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91D932">
      <w:pPr>
        <w:spacing w:beforeLines="50" w:line="360" w:lineRule="auto"/>
        <w:jc w:val="center"/>
        <w:rPr>
          <w:rFonts w:hint="eastAsia" w:ascii="仿宋" w:hAnsi="仿宋" w:eastAsia="仿宋" w:cs="仿宋"/>
          <w:color w:val="auto"/>
          <w:sz w:val="52"/>
          <w:szCs w:val="52"/>
        </w:rPr>
      </w:pPr>
    </w:p>
    <w:p w14:paraId="7AD3AF6E">
      <w:pPr>
        <w:spacing w:beforeLines="50" w:line="360" w:lineRule="auto"/>
        <w:jc w:val="center"/>
        <w:rPr>
          <w:rFonts w:hint="eastAsia" w:ascii="仿宋" w:hAnsi="仿宋" w:eastAsia="仿宋" w:cs="仿宋"/>
          <w:color w:val="auto"/>
          <w:sz w:val="52"/>
          <w:szCs w:val="52"/>
        </w:rPr>
      </w:pPr>
      <w:r>
        <w:rPr>
          <w:rFonts w:hint="eastAsia" w:ascii="仿宋" w:hAnsi="仿宋" w:eastAsia="仿宋" w:cs="仿宋"/>
          <w:color w:val="auto"/>
          <w:sz w:val="52"/>
          <w:szCs w:val="52"/>
        </w:rPr>
        <w:t>广西壮族自治区政府采购</w:t>
      </w:r>
    </w:p>
    <w:p w14:paraId="2206FECB">
      <w:pPr>
        <w:spacing w:beforeLines="50" w:line="360" w:lineRule="auto"/>
        <w:jc w:val="center"/>
        <w:rPr>
          <w:rFonts w:hint="eastAsia" w:ascii="仿宋" w:hAnsi="仿宋" w:eastAsia="仿宋" w:cs="仿宋"/>
          <w:b/>
          <w:color w:val="auto"/>
          <w:sz w:val="48"/>
          <w:szCs w:val="48"/>
        </w:rPr>
      </w:pPr>
      <w:r>
        <w:rPr>
          <w:rFonts w:hint="eastAsia" w:ascii="仿宋" w:hAnsi="仿宋" w:eastAsia="仿宋" w:cs="仿宋"/>
          <w:color w:val="auto"/>
          <w:sz w:val="52"/>
          <w:szCs w:val="52"/>
        </w:rPr>
        <w:t>公开招标文件</w:t>
      </w:r>
    </w:p>
    <w:p w14:paraId="6DD03945">
      <w:pPr>
        <w:pStyle w:val="24"/>
        <w:jc w:val="center"/>
        <w:rPr>
          <w:rFonts w:hint="eastAsia" w:ascii="仿宋" w:hAnsi="仿宋" w:eastAsia="仿宋" w:cs="仿宋"/>
          <w:color w:val="auto"/>
          <w:spacing w:val="30"/>
          <w:kern w:val="52"/>
          <w:sz w:val="48"/>
          <w:szCs w:val="48"/>
          <w:u w:val="thick"/>
          <w:lang w:eastAsia="zh-CN"/>
        </w:rPr>
      </w:pPr>
    </w:p>
    <w:p w14:paraId="0BA4AAE9">
      <w:pPr>
        <w:tabs>
          <w:tab w:val="left" w:pos="3004"/>
          <w:tab w:val="left" w:pos="7479"/>
        </w:tabs>
        <w:spacing w:beforeLines="50" w:line="360" w:lineRule="auto"/>
        <w:jc w:val="left"/>
        <w:rPr>
          <w:rFonts w:hint="eastAsia" w:ascii="仿宋" w:hAnsi="仿宋" w:eastAsia="仿宋" w:cs="仿宋"/>
          <w:b/>
          <w:color w:val="auto"/>
          <w:sz w:val="48"/>
          <w:szCs w:val="48"/>
        </w:rPr>
      </w:pPr>
      <w:r>
        <w:rPr>
          <w:rFonts w:hint="eastAsia" w:ascii="仿宋" w:hAnsi="仿宋" w:eastAsia="仿宋" w:cs="仿宋"/>
          <w:b/>
          <w:color w:val="auto"/>
          <w:sz w:val="48"/>
          <w:szCs w:val="48"/>
        </w:rPr>
        <w:tab/>
      </w:r>
      <w:r>
        <w:rPr>
          <w:rFonts w:hint="eastAsia" w:ascii="仿宋" w:hAnsi="仿宋" w:eastAsia="仿宋" w:cs="仿宋"/>
          <w:b/>
          <w:color w:val="auto"/>
          <w:sz w:val="48"/>
          <w:szCs w:val="48"/>
        </w:rPr>
        <w:tab/>
      </w:r>
    </w:p>
    <w:p w14:paraId="6A406D71">
      <w:pPr>
        <w:spacing w:beforeLines="50" w:line="360" w:lineRule="auto"/>
        <w:jc w:val="center"/>
        <w:rPr>
          <w:rFonts w:hint="eastAsia" w:ascii="仿宋" w:hAnsi="仿宋" w:eastAsia="仿宋" w:cs="仿宋"/>
          <w:color w:val="auto"/>
          <w:sz w:val="52"/>
          <w:szCs w:val="52"/>
        </w:rPr>
      </w:pPr>
      <w:r>
        <w:rPr>
          <w:rFonts w:hint="eastAsia" w:ascii="仿宋" w:hAnsi="仿宋" w:eastAsia="仿宋" w:cs="仿宋"/>
          <w:color w:val="auto"/>
          <w:sz w:val="52"/>
          <w:szCs w:val="52"/>
        </w:rPr>
        <w:t>招 标 文 件</w:t>
      </w:r>
    </w:p>
    <w:p w14:paraId="65A379AE">
      <w:pPr>
        <w:pStyle w:val="16"/>
        <w:jc w:val="center"/>
        <w:rPr>
          <w:rFonts w:hint="eastAsia" w:ascii="仿宋" w:hAnsi="仿宋" w:eastAsia="仿宋" w:cs="仿宋"/>
          <w:color w:val="auto"/>
          <w:sz w:val="24"/>
          <w:szCs w:val="32"/>
        </w:rPr>
      </w:pPr>
      <w:r>
        <w:rPr>
          <w:rFonts w:hint="eastAsia" w:ascii="仿宋" w:hAnsi="仿宋" w:eastAsia="仿宋" w:cs="仿宋"/>
          <w:color w:val="auto"/>
          <w:sz w:val="24"/>
          <w:szCs w:val="32"/>
        </w:rPr>
        <w:t>（全流程电子化评标）</w:t>
      </w:r>
    </w:p>
    <w:p w14:paraId="1B86175D">
      <w:pPr>
        <w:snapToGrid w:val="0"/>
        <w:spacing w:beforeLines="50" w:line="360" w:lineRule="auto"/>
        <w:rPr>
          <w:rFonts w:hint="eastAsia" w:ascii="仿宋" w:hAnsi="仿宋" w:eastAsia="仿宋" w:cs="仿宋"/>
          <w:color w:val="auto"/>
          <w:sz w:val="30"/>
          <w:szCs w:val="72"/>
        </w:rPr>
      </w:pPr>
    </w:p>
    <w:p w14:paraId="597F0DC4">
      <w:pPr>
        <w:snapToGrid w:val="0"/>
        <w:spacing w:beforeLines="50" w:line="360" w:lineRule="auto"/>
        <w:ind w:firstLine="602" w:firstLineChars="200"/>
        <w:jc w:val="left"/>
        <w:rPr>
          <w:rFonts w:hint="eastAsia" w:ascii="仿宋" w:hAnsi="仿宋" w:eastAsia="仿宋" w:cs="仿宋"/>
          <w:color w:val="auto"/>
          <w:sz w:val="30"/>
          <w:szCs w:val="72"/>
          <w:lang w:eastAsia="zh-CN"/>
        </w:rPr>
      </w:pPr>
      <w:r>
        <w:rPr>
          <w:rFonts w:hint="eastAsia" w:ascii="仿宋" w:hAnsi="仿宋" w:eastAsia="仿宋" w:cs="仿宋"/>
          <w:b/>
          <w:bCs/>
          <w:color w:val="auto"/>
          <w:sz w:val="30"/>
          <w:szCs w:val="30"/>
        </w:rPr>
        <w:t>项目</w:t>
      </w:r>
      <w:r>
        <w:rPr>
          <w:rFonts w:hint="eastAsia" w:ascii="仿宋" w:hAnsi="仿宋" w:eastAsia="仿宋" w:cs="仿宋"/>
          <w:b/>
          <w:bCs/>
          <w:color w:val="auto"/>
          <w:w w:val="95"/>
          <w:sz w:val="30"/>
          <w:szCs w:val="30"/>
        </w:rPr>
        <w:t>名称</w:t>
      </w:r>
      <w:r>
        <w:rPr>
          <w:rFonts w:hint="eastAsia" w:ascii="仿宋" w:hAnsi="仿宋" w:eastAsia="仿宋" w:cs="仿宋"/>
          <w:b/>
          <w:bCs/>
          <w:color w:val="auto"/>
          <w:sz w:val="30"/>
          <w:szCs w:val="30"/>
        </w:rPr>
        <w:t>：</w:t>
      </w:r>
      <w:r>
        <w:rPr>
          <w:rFonts w:hint="eastAsia" w:ascii="仿宋" w:hAnsi="仿宋" w:eastAsia="仿宋" w:cs="仿宋"/>
          <w:b/>
          <w:bCs/>
          <w:color w:val="auto"/>
          <w:sz w:val="30"/>
          <w:szCs w:val="30"/>
          <w:lang w:eastAsia="zh-CN"/>
        </w:rPr>
        <w:t>天峨县人民医院保洁、洗涤服务项目</w:t>
      </w:r>
    </w:p>
    <w:p w14:paraId="65E90BCA">
      <w:pPr>
        <w:snapToGrid w:val="0"/>
        <w:spacing w:beforeLines="50" w:line="360" w:lineRule="auto"/>
        <w:ind w:firstLine="602" w:firstLineChars="200"/>
        <w:jc w:val="left"/>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rPr>
        <w:t>项目编号：</w:t>
      </w:r>
      <w:r>
        <w:rPr>
          <w:rFonts w:hint="eastAsia" w:ascii="仿宋" w:hAnsi="仿宋" w:eastAsia="仿宋" w:cs="仿宋"/>
          <w:b/>
          <w:color w:val="auto"/>
          <w:sz w:val="30"/>
          <w:szCs w:val="30"/>
          <w:lang w:eastAsia="zh-CN"/>
        </w:rPr>
        <w:t>HCZC2025-G3-220089-GXBB</w:t>
      </w:r>
    </w:p>
    <w:p w14:paraId="09FC1629">
      <w:pPr>
        <w:snapToGrid w:val="0"/>
        <w:spacing w:beforeLines="50" w:line="360" w:lineRule="auto"/>
        <w:jc w:val="center"/>
        <w:rPr>
          <w:rFonts w:hint="eastAsia" w:ascii="仿宋" w:hAnsi="仿宋" w:eastAsia="仿宋" w:cs="仿宋"/>
          <w:b/>
          <w:bCs/>
          <w:color w:val="auto"/>
          <w:sz w:val="30"/>
          <w:szCs w:val="30"/>
        </w:rPr>
      </w:pPr>
    </w:p>
    <w:p w14:paraId="010AC5F2">
      <w:pPr>
        <w:pStyle w:val="24"/>
        <w:snapToGrid w:val="0"/>
        <w:spacing w:before="50" w:after="120" w:line="360" w:lineRule="auto"/>
        <w:ind w:firstLine="1130" w:firstLineChars="395"/>
        <w:rPr>
          <w:rFonts w:hint="eastAsia" w:ascii="仿宋" w:hAnsi="仿宋" w:eastAsia="仿宋" w:cs="仿宋"/>
          <w:b/>
          <w:bCs/>
          <w:color w:val="auto"/>
          <w:w w:val="95"/>
          <w:sz w:val="30"/>
          <w:szCs w:val="30"/>
        </w:rPr>
      </w:pPr>
    </w:p>
    <w:p w14:paraId="2AF3BBA3">
      <w:pPr>
        <w:pStyle w:val="24"/>
        <w:snapToGrid w:val="0"/>
        <w:spacing w:before="50" w:after="120" w:line="360" w:lineRule="auto"/>
        <w:ind w:firstLine="1130" w:firstLineChars="395"/>
        <w:rPr>
          <w:rFonts w:hint="eastAsia" w:ascii="仿宋" w:hAnsi="仿宋" w:eastAsia="仿宋" w:cs="仿宋"/>
          <w:b/>
          <w:bCs/>
          <w:color w:val="auto"/>
          <w:w w:val="95"/>
          <w:sz w:val="30"/>
          <w:szCs w:val="30"/>
        </w:rPr>
      </w:pPr>
    </w:p>
    <w:p w14:paraId="71EA3B11">
      <w:pPr>
        <w:pStyle w:val="24"/>
        <w:snapToGrid w:val="0"/>
        <w:spacing w:before="50" w:after="120" w:line="360" w:lineRule="auto"/>
        <w:ind w:firstLine="1130" w:firstLineChars="395"/>
        <w:rPr>
          <w:rFonts w:hint="eastAsia" w:ascii="仿宋" w:hAnsi="仿宋" w:eastAsia="仿宋" w:cs="仿宋"/>
          <w:b/>
          <w:bCs/>
          <w:color w:val="auto"/>
          <w:w w:val="95"/>
          <w:sz w:val="30"/>
          <w:szCs w:val="30"/>
        </w:rPr>
      </w:pPr>
    </w:p>
    <w:p w14:paraId="7FBB605F">
      <w:pPr>
        <w:pStyle w:val="24"/>
        <w:snapToGrid w:val="0"/>
        <w:spacing w:before="50" w:after="120" w:line="360" w:lineRule="auto"/>
        <w:ind w:firstLine="572" w:firstLineChars="200"/>
        <w:jc w:val="left"/>
        <w:rPr>
          <w:rFonts w:hint="eastAsia" w:ascii="仿宋" w:hAnsi="仿宋" w:eastAsia="仿宋" w:cs="仿宋"/>
          <w:b/>
          <w:bCs/>
          <w:color w:val="auto"/>
          <w:w w:val="95"/>
          <w:sz w:val="30"/>
          <w:szCs w:val="30"/>
        </w:rPr>
      </w:pPr>
      <w:r>
        <w:rPr>
          <w:rFonts w:hint="eastAsia" w:ascii="仿宋" w:hAnsi="仿宋" w:eastAsia="仿宋" w:cs="仿宋"/>
          <w:b/>
          <w:bCs/>
          <w:color w:val="auto"/>
          <w:w w:val="95"/>
          <w:sz w:val="30"/>
          <w:szCs w:val="30"/>
        </w:rPr>
        <w:t>采 购 人：</w:t>
      </w:r>
      <w:r>
        <w:rPr>
          <w:rFonts w:hint="eastAsia" w:ascii="仿宋" w:hAnsi="仿宋" w:eastAsia="仿宋" w:cs="仿宋"/>
          <w:b/>
          <w:bCs/>
          <w:color w:val="auto"/>
          <w:w w:val="95"/>
          <w:sz w:val="30"/>
          <w:szCs w:val="30"/>
          <w:lang w:eastAsia="zh-CN"/>
        </w:rPr>
        <w:t xml:space="preserve">  天峨县人民医院</w:t>
      </w:r>
    </w:p>
    <w:p w14:paraId="68B5A829">
      <w:pPr>
        <w:pStyle w:val="24"/>
        <w:snapToGrid w:val="0"/>
        <w:spacing w:before="50" w:after="120" w:line="360" w:lineRule="auto"/>
        <w:ind w:firstLine="572" w:firstLineChars="200"/>
        <w:jc w:val="left"/>
        <w:rPr>
          <w:rFonts w:hint="eastAsia" w:ascii="仿宋" w:hAnsi="仿宋" w:eastAsia="仿宋" w:cs="仿宋"/>
          <w:b/>
          <w:bCs/>
          <w:color w:val="auto"/>
          <w:w w:val="95"/>
          <w:sz w:val="30"/>
          <w:szCs w:val="30"/>
          <w:lang w:eastAsia="zh-CN"/>
        </w:rPr>
      </w:pPr>
      <w:r>
        <w:rPr>
          <w:rFonts w:hint="eastAsia" w:ascii="仿宋" w:hAnsi="仿宋" w:eastAsia="仿宋" w:cs="仿宋"/>
          <w:b/>
          <w:bCs/>
          <w:color w:val="auto"/>
          <w:w w:val="95"/>
          <w:sz w:val="30"/>
          <w:szCs w:val="30"/>
        </w:rPr>
        <w:t>采购代理机构</w:t>
      </w:r>
      <w:bookmarkStart w:id="0" w:name="PO_3000001867_PM031"/>
      <w:r>
        <w:rPr>
          <w:rFonts w:hint="eastAsia" w:ascii="仿宋" w:hAnsi="仿宋" w:eastAsia="仿宋" w:cs="仿宋"/>
          <w:b/>
          <w:bCs/>
          <w:color w:val="auto"/>
          <w:w w:val="95"/>
          <w:sz w:val="30"/>
          <w:szCs w:val="30"/>
        </w:rPr>
        <w:t>：</w:t>
      </w:r>
      <w:bookmarkEnd w:id="0"/>
      <w:r>
        <w:rPr>
          <w:rFonts w:hint="eastAsia" w:ascii="仿宋" w:hAnsi="仿宋" w:eastAsia="仿宋" w:cs="仿宋"/>
          <w:b/>
          <w:bCs/>
          <w:color w:val="auto"/>
          <w:w w:val="95"/>
          <w:sz w:val="30"/>
          <w:szCs w:val="30"/>
          <w:lang w:eastAsia="zh-CN"/>
        </w:rPr>
        <w:t>广西北部湾佰亿招标造价咨询有限公司</w:t>
      </w:r>
    </w:p>
    <w:p w14:paraId="77F10889">
      <w:pPr>
        <w:pStyle w:val="24"/>
        <w:snapToGrid w:val="0"/>
        <w:spacing w:before="50" w:after="120" w:line="360" w:lineRule="auto"/>
        <w:ind w:firstLine="841" w:firstLineChars="294"/>
        <w:rPr>
          <w:rFonts w:hint="eastAsia" w:ascii="仿宋" w:hAnsi="仿宋" w:eastAsia="仿宋" w:cs="仿宋"/>
          <w:b/>
          <w:bCs/>
          <w:color w:val="auto"/>
          <w:w w:val="95"/>
          <w:sz w:val="30"/>
          <w:szCs w:val="30"/>
        </w:rPr>
        <w:sectPr>
          <w:headerReference r:id="rId3" w:type="default"/>
          <w:footerReference r:id="rId4" w:type="default"/>
          <w:footerReference r:id="rId5" w:type="even"/>
          <w:pgSz w:w="11906" w:h="16838"/>
          <w:pgMar w:top="1134" w:right="1134" w:bottom="1134" w:left="1134" w:header="720" w:footer="720" w:gutter="0"/>
          <w:pgNumType w:start="1"/>
          <w:cols w:space="720" w:num="1"/>
          <w:docGrid w:type="lines" w:linePitch="331" w:charSpace="0"/>
        </w:sectPr>
      </w:pPr>
      <w:r>
        <w:rPr>
          <w:rFonts w:hint="eastAsia" w:ascii="仿宋" w:hAnsi="仿宋" w:eastAsia="仿宋" w:cs="仿宋"/>
          <w:b/>
          <w:bCs/>
          <w:color w:val="auto"/>
          <w:w w:val="95"/>
          <w:sz w:val="30"/>
          <w:szCs w:val="30"/>
        </w:rPr>
        <w:t xml:space="preserve">                      202</w:t>
      </w:r>
      <w:r>
        <w:rPr>
          <w:rFonts w:hint="eastAsia" w:ascii="仿宋" w:hAnsi="仿宋" w:eastAsia="仿宋" w:cs="仿宋"/>
          <w:b/>
          <w:bCs/>
          <w:color w:val="auto"/>
          <w:w w:val="95"/>
          <w:sz w:val="30"/>
          <w:szCs w:val="30"/>
          <w:lang w:val="en-US" w:eastAsia="zh-CN"/>
        </w:rPr>
        <w:t>5</w:t>
      </w:r>
      <w:r>
        <w:rPr>
          <w:rFonts w:hint="eastAsia" w:ascii="仿宋" w:hAnsi="仿宋" w:eastAsia="仿宋" w:cs="仿宋"/>
          <w:b/>
          <w:bCs/>
          <w:color w:val="auto"/>
          <w:w w:val="95"/>
          <w:sz w:val="30"/>
          <w:szCs w:val="30"/>
        </w:rPr>
        <w:t>年</w:t>
      </w:r>
      <w:r>
        <w:rPr>
          <w:rFonts w:hint="eastAsia" w:ascii="仿宋" w:hAnsi="仿宋" w:eastAsia="仿宋" w:cs="仿宋"/>
          <w:b/>
          <w:bCs/>
          <w:color w:val="auto"/>
          <w:w w:val="95"/>
          <w:sz w:val="30"/>
          <w:szCs w:val="30"/>
          <w:lang w:val="en-US" w:eastAsia="zh-CN"/>
        </w:rPr>
        <w:t>11</w:t>
      </w:r>
      <w:r>
        <w:rPr>
          <w:rFonts w:hint="eastAsia" w:ascii="仿宋" w:hAnsi="仿宋" w:eastAsia="仿宋" w:cs="仿宋"/>
          <w:b/>
          <w:bCs/>
          <w:color w:val="auto"/>
          <w:w w:val="95"/>
          <w:sz w:val="30"/>
          <w:szCs w:val="30"/>
        </w:rPr>
        <w:t>月</w:t>
      </w:r>
    </w:p>
    <w:p w14:paraId="6B39D61C">
      <w:pPr>
        <w:pStyle w:val="24"/>
        <w:spacing w:before="120" w:after="120" w:line="360" w:lineRule="auto"/>
        <w:rPr>
          <w:rFonts w:hint="eastAsia" w:ascii="仿宋" w:hAnsi="仿宋" w:eastAsia="仿宋" w:cs="仿宋"/>
          <w:color w:val="auto"/>
        </w:rPr>
      </w:pPr>
    </w:p>
    <w:sdt>
      <w:sdtPr>
        <w:rPr>
          <w:rFonts w:ascii="宋体" w:hAnsi="宋体" w:eastAsia="宋体" w:cs="Times New Roman"/>
          <w:color w:val="auto"/>
          <w:kern w:val="2"/>
          <w:sz w:val="52"/>
          <w:szCs w:val="52"/>
          <w:lang w:val="en-US" w:eastAsia="zh-CN" w:bidi="ar-SA"/>
        </w:rPr>
        <w:id w:val="147454314"/>
        <w15:color w:val="DBDBDB"/>
        <w:docPartObj>
          <w:docPartGallery w:val="Table of Contents"/>
          <w:docPartUnique/>
        </w:docPartObj>
      </w:sdtPr>
      <w:sdtEndPr>
        <w:rPr>
          <w:rFonts w:hint="eastAsia" w:ascii="@幼圆" w:hAnsi="@幼圆" w:eastAsia="@幼圆" w:cs="Times New Roman"/>
          <w:b/>
          <w:color w:val="auto"/>
          <w:kern w:val="2"/>
          <w:sz w:val="28"/>
          <w:szCs w:val="24"/>
          <w:lang w:val="en-US" w:eastAsia="zh-CN" w:bidi="ar-SA"/>
        </w:rPr>
      </w:sdtEndPr>
      <w:sdtContent>
        <w:p w14:paraId="2DFDC853">
          <w:pPr>
            <w:spacing w:before="0" w:beforeLines="0" w:after="0" w:afterLines="0" w:line="240" w:lineRule="auto"/>
            <w:ind w:left="0" w:leftChars="0" w:right="0" w:rightChars="0" w:firstLine="0" w:firstLineChars="0"/>
            <w:jc w:val="center"/>
            <w:rPr>
              <w:color w:val="auto"/>
              <w:sz w:val="52"/>
              <w:szCs w:val="52"/>
            </w:rPr>
          </w:pPr>
          <w:r>
            <w:rPr>
              <w:rFonts w:ascii="宋体" w:hAnsi="宋体" w:eastAsia="宋体"/>
              <w:color w:val="auto"/>
              <w:sz w:val="52"/>
              <w:szCs w:val="52"/>
            </w:rPr>
            <w:t>目录</w:t>
          </w:r>
        </w:p>
        <w:p w14:paraId="55D49302">
          <w:pPr>
            <w:pStyle w:val="32"/>
            <w:tabs>
              <w:tab w:val="right" w:leader="dot" w:pos="9781"/>
              <w:tab w:val="clear" w:pos="8398"/>
            </w:tabs>
            <w:spacing w:line="480" w:lineRule="auto"/>
            <w:rPr>
              <w:color w:val="auto"/>
              <w:sz w:val="32"/>
              <w:szCs w:val="32"/>
            </w:rPr>
          </w:pPr>
          <w:r>
            <w:rPr>
              <w:rFonts w:hint="eastAsia"/>
              <w:color w:val="auto"/>
            </w:rPr>
            <w:fldChar w:fldCharType="begin"/>
          </w:r>
          <w:r>
            <w:rPr>
              <w:rFonts w:hint="eastAsia"/>
              <w:color w:val="auto"/>
            </w:rPr>
            <w:instrText xml:space="preserve">TOC \o "1-1" \h \u </w:instrText>
          </w:r>
          <w:r>
            <w:rPr>
              <w:rFonts w:hint="eastAsia"/>
              <w:color w:val="auto"/>
            </w:rPr>
            <w:fldChar w:fldCharType="separate"/>
          </w:r>
          <w:r>
            <w:rPr>
              <w:rFonts w:hint="eastAsia"/>
              <w:color w:val="auto"/>
              <w:sz w:val="32"/>
              <w:szCs w:val="32"/>
            </w:rPr>
            <w:fldChar w:fldCharType="begin"/>
          </w:r>
          <w:r>
            <w:rPr>
              <w:rFonts w:hint="eastAsia"/>
              <w:color w:val="auto"/>
              <w:sz w:val="32"/>
              <w:szCs w:val="32"/>
            </w:rPr>
            <w:instrText xml:space="preserve"> HYPERLINK \l _Toc2681 </w:instrText>
          </w:r>
          <w:r>
            <w:rPr>
              <w:rFonts w:hint="eastAsia"/>
              <w:color w:val="auto"/>
              <w:sz w:val="32"/>
              <w:szCs w:val="32"/>
            </w:rPr>
            <w:fldChar w:fldCharType="separate"/>
          </w:r>
          <w:r>
            <w:rPr>
              <w:rFonts w:hint="eastAsia" w:ascii="仿宋" w:hAnsi="仿宋" w:eastAsia="仿宋" w:cs="仿宋"/>
              <w:color w:val="auto"/>
              <w:sz w:val="32"/>
              <w:szCs w:val="32"/>
            </w:rPr>
            <w:t xml:space="preserve">第一章 </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招标公告</w:t>
          </w:r>
          <w:r>
            <w:rPr>
              <w:color w:val="auto"/>
              <w:sz w:val="32"/>
              <w:szCs w:val="32"/>
            </w:rPr>
            <w:tab/>
          </w:r>
          <w:r>
            <w:rPr>
              <w:color w:val="auto"/>
              <w:sz w:val="32"/>
              <w:szCs w:val="32"/>
            </w:rPr>
            <w:fldChar w:fldCharType="begin"/>
          </w:r>
          <w:r>
            <w:rPr>
              <w:color w:val="auto"/>
              <w:sz w:val="32"/>
              <w:szCs w:val="32"/>
            </w:rPr>
            <w:instrText xml:space="preserve"> PAGEREF _Toc2681 \h </w:instrText>
          </w:r>
          <w:r>
            <w:rPr>
              <w:color w:val="auto"/>
              <w:sz w:val="32"/>
              <w:szCs w:val="32"/>
            </w:rPr>
            <w:fldChar w:fldCharType="separate"/>
          </w:r>
          <w:r>
            <w:rPr>
              <w:color w:val="auto"/>
              <w:sz w:val="32"/>
              <w:szCs w:val="32"/>
            </w:rPr>
            <w:t>3</w:t>
          </w:r>
          <w:r>
            <w:rPr>
              <w:color w:val="auto"/>
              <w:sz w:val="32"/>
              <w:szCs w:val="32"/>
            </w:rPr>
            <w:fldChar w:fldCharType="end"/>
          </w:r>
          <w:r>
            <w:rPr>
              <w:rFonts w:hint="eastAsia"/>
              <w:color w:val="auto"/>
              <w:sz w:val="32"/>
              <w:szCs w:val="32"/>
            </w:rPr>
            <w:fldChar w:fldCharType="end"/>
          </w:r>
        </w:p>
        <w:p w14:paraId="7896B3B0">
          <w:pPr>
            <w:pStyle w:val="32"/>
            <w:tabs>
              <w:tab w:val="right" w:leader="dot" w:pos="9781"/>
              <w:tab w:val="clear" w:pos="8398"/>
            </w:tabs>
            <w:spacing w:line="480" w:lineRule="auto"/>
            <w:rPr>
              <w:color w:val="auto"/>
              <w:sz w:val="32"/>
              <w:szCs w:val="32"/>
            </w:rPr>
          </w:pPr>
          <w:r>
            <w:rPr>
              <w:rFonts w:hint="eastAsia"/>
              <w:color w:val="auto"/>
              <w:sz w:val="32"/>
              <w:szCs w:val="32"/>
            </w:rPr>
            <w:fldChar w:fldCharType="begin"/>
          </w:r>
          <w:r>
            <w:rPr>
              <w:rFonts w:hint="eastAsia"/>
              <w:color w:val="auto"/>
              <w:sz w:val="32"/>
              <w:szCs w:val="32"/>
            </w:rPr>
            <w:instrText xml:space="preserve"> HYPERLINK \l _Toc26355 </w:instrText>
          </w:r>
          <w:r>
            <w:rPr>
              <w:rFonts w:hint="eastAsia"/>
              <w:color w:val="auto"/>
              <w:sz w:val="32"/>
              <w:szCs w:val="32"/>
            </w:rPr>
            <w:fldChar w:fldCharType="separate"/>
          </w:r>
          <w:r>
            <w:rPr>
              <w:rFonts w:hint="eastAsia" w:ascii="仿宋" w:hAnsi="仿宋" w:eastAsia="仿宋" w:cs="仿宋"/>
              <w:color w:val="auto"/>
              <w:sz w:val="32"/>
              <w:szCs w:val="32"/>
            </w:rPr>
            <w:t>第二章  采购需求</w:t>
          </w:r>
          <w:r>
            <w:rPr>
              <w:color w:val="auto"/>
              <w:sz w:val="32"/>
              <w:szCs w:val="32"/>
            </w:rPr>
            <w:tab/>
          </w:r>
          <w:r>
            <w:rPr>
              <w:color w:val="auto"/>
              <w:sz w:val="32"/>
              <w:szCs w:val="32"/>
            </w:rPr>
            <w:fldChar w:fldCharType="begin"/>
          </w:r>
          <w:r>
            <w:rPr>
              <w:color w:val="auto"/>
              <w:sz w:val="32"/>
              <w:szCs w:val="32"/>
            </w:rPr>
            <w:instrText xml:space="preserve"> PAGEREF _Toc26355 \h </w:instrText>
          </w:r>
          <w:r>
            <w:rPr>
              <w:color w:val="auto"/>
              <w:sz w:val="32"/>
              <w:szCs w:val="32"/>
            </w:rPr>
            <w:fldChar w:fldCharType="separate"/>
          </w:r>
          <w:r>
            <w:rPr>
              <w:color w:val="auto"/>
              <w:sz w:val="32"/>
              <w:szCs w:val="32"/>
            </w:rPr>
            <w:t>6</w:t>
          </w:r>
          <w:r>
            <w:rPr>
              <w:color w:val="auto"/>
              <w:sz w:val="32"/>
              <w:szCs w:val="32"/>
            </w:rPr>
            <w:fldChar w:fldCharType="end"/>
          </w:r>
          <w:r>
            <w:rPr>
              <w:rFonts w:hint="eastAsia"/>
              <w:color w:val="auto"/>
              <w:sz w:val="32"/>
              <w:szCs w:val="32"/>
            </w:rPr>
            <w:fldChar w:fldCharType="end"/>
          </w:r>
        </w:p>
        <w:p w14:paraId="3A9E3BBB">
          <w:pPr>
            <w:pStyle w:val="32"/>
            <w:tabs>
              <w:tab w:val="right" w:leader="dot" w:pos="9781"/>
              <w:tab w:val="clear" w:pos="8398"/>
            </w:tabs>
            <w:spacing w:line="480" w:lineRule="auto"/>
            <w:rPr>
              <w:color w:val="auto"/>
              <w:sz w:val="32"/>
              <w:szCs w:val="32"/>
            </w:rPr>
          </w:pPr>
          <w:r>
            <w:rPr>
              <w:rFonts w:hint="eastAsia"/>
              <w:color w:val="auto"/>
              <w:sz w:val="32"/>
              <w:szCs w:val="32"/>
            </w:rPr>
            <w:fldChar w:fldCharType="begin"/>
          </w:r>
          <w:r>
            <w:rPr>
              <w:rFonts w:hint="eastAsia"/>
              <w:color w:val="auto"/>
              <w:sz w:val="32"/>
              <w:szCs w:val="32"/>
            </w:rPr>
            <w:instrText xml:space="preserve"> HYPERLINK \l _Toc18148 </w:instrText>
          </w:r>
          <w:r>
            <w:rPr>
              <w:rFonts w:hint="eastAsia"/>
              <w:color w:val="auto"/>
              <w:sz w:val="32"/>
              <w:szCs w:val="32"/>
            </w:rPr>
            <w:fldChar w:fldCharType="separate"/>
          </w:r>
          <w:r>
            <w:rPr>
              <w:rFonts w:hint="eastAsia" w:ascii="仿宋" w:hAnsi="仿宋" w:eastAsia="仿宋" w:cs="仿宋"/>
              <w:color w:val="auto"/>
              <w:sz w:val="32"/>
              <w:szCs w:val="32"/>
            </w:rPr>
            <w:t>第三章  投标人须知</w:t>
          </w:r>
          <w:r>
            <w:rPr>
              <w:color w:val="auto"/>
              <w:sz w:val="32"/>
              <w:szCs w:val="32"/>
            </w:rPr>
            <w:tab/>
          </w:r>
          <w:r>
            <w:rPr>
              <w:color w:val="auto"/>
              <w:sz w:val="32"/>
              <w:szCs w:val="32"/>
            </w:rPr>
            <w:fldChar w:fldCharType="begin"/>
          </w:r>
          <w:r>
            <w:rPr>
              <w:color w:val="auto"/>
              <w:sz w:val="32"/>
              <w:szCs w:val="32"/>
            </w:rPr>
            <w:instrText xml:space="preserve"> PAGEREF _Toc18148 \h </w:instrText>
          </w:r>
          <w:r>
            <w:rPr>
              <w:color w:val="auto"/>
              <w:sz w:val="32"/>
              <w:szCs w:val="32"/>
            </w:rPr>
            <w:fldChar w:fldCharType="separate"/>
          </w:r>
          <w:r>
            <w:rPr>
              <w:color w:val="auto"/>
              <w:sz w:val="32"/>
              <w:szCs w:val="32"/>
            </w:rPr>
            <w:t>52</w:t>
          </w:r>
          <w:r>
            <w:rPr>
              <w:color w:val="auto"/>
              <w:sz w:val="32"/>
              <w:szCs w:val="32"/>
            </w:rPr>
            <w:fldChar w:fldCharType="end"/>
          </w:r>
          <w:r>
            <w:rPr>
              <w:rFonts w:hint="eastAsia"/>
              <w:color w:val="auto"/>
              <w:sz w:val="32"/>
              <w:szCs w:val="32"/>
            </w:rPr>
            <w:fldChar w:fldCharType="end"/>
          </w:r>
        </w:p>
        <w:p w14:paraId="10A45802">
          <w:pPr>
            <w:pStyle w:val="32"/>
            <w:tabs>
              <w:tab w:val="right" w:leader="dot" w:pos="9781"/>
              <w:tab w:val="clear" w:pos="8398"/>
            </w:tabs>
            <w:spacing w:line="480" w:lineRule="auto"/>
            <w:rPr>
              <w:color w:val="auto"/>
              <w:sz w:val="32"/>
              <w:szCs w:val="32"/>
            </w:rPr>
          </w:pPr>
          <w:r>
            <w:rPr>
              <w:rFonts w:hint="eastAsia"/>
              <w:color w:val="auto"/>
              <w:sz w:val="32"/>
              <w:szCs w:val="32"/>
            </w:rPr>
            <w:fldChar w:fldCharType="begin"/>
          </w:r>
          <w:r>
            <w:rPr>
              <w:rFonts w:hint="eastAsia"/>
              <w:color w:val="auto"/>
              <w:sz w:val="32"/>
              <w:szCs w:val="32"/>
            </w:rPr>
            <w:instrText xml:space="preserve"> HYPERLINK \l _Toc12773 </w:instrText>
          </w:r>
          <w:r>
            <w:rPr>
              <w:rFonts w:hint="eastAsia"/>
              <w:color w:val="auto"/>
              <w:sz w:val="32"/>
              <w:szCs w:val="32"/>
            </w:rPr>
            <w:fldChar w:fldCharType="separate"/>
          </w:r>
          <w:r>
            <w:rPr>
              <w:rFonts w:hint="eastAsia" w:ascii="仿宋" w:hAnsi="仿宋" w:eastAsia="仿宋"/>
              <w:color w:val="auto"/>
              <w:sz w:val="32"/>
              <w:szCs w:val="32"/>
            </w:rPr>
            <w:t>第四章  评标方法及评标标准</w:t>
          </w:r>
          <w:r>
            <w:rPr>
              <w:color w:val="auto"/>
              <w:sz w:val="32"/>
              <w:szCs w:val="32"/>
            </w:rPr>
            <w:tab/>
          </w:r>
          <w:r>
            <w:rPr>
              <w:color w:val="auto"/>
              <w:sz w:val="32"/>
              <w:szCs w:val="32"/>
            </w:rPr>
            <w:fldChar w:fldCharType="begin"/>
          </w:r>
          <w:r>
            <w:rPr>
              <w:color w:val="auto"/>
              <w:sz w:val="32"/>
              <w:szCs w:val="32"/>
            </w:rPr>
            <w:instrText xml:space="preserve"> PAGEREF _Toc12773 \h </w:instrText>
          </w:r>
          <w:r>
            <w:rPr>
              <w:color w:val="auto"/>
              <w:sz w:val="32"/>
              <w:szCs w:val="32"/>
            </w:rPr>
            <w:fldChar w:fldCharType="separate"/>
          </w:r>
          <w:r>
            <w:rPr>
              <w:color w:val="auto"/>
              <w:sz w:val="32"/>
              <w:szCs w:val="32"/>
            </w:rPr>
            <w:t>70</w:t>
          </w:r>
          <w:r>
            <w:rPr>
              <w:color w:val="auto"/>
              <w:sz w:val="32"/>
              <w:szCs w:val="32"/>
            </w:rPr>
            <w:fldChar w:fldCharType="end"/>
          </w:r>
          <w:r>
            <w:rPr>
              <w:rFonts w:hint="eastAsia"/>
              <w:color w:val="auto"/>
              <w:sz w:val="32"/>
              <w:szCs w:val="32"/>
            </w:rPr>
            <w:fldChar w:fldCharType="end"/>
          </w:r>
        </w:p>
        <w:p w14:paraId="63F8A3E6">
          <w:pPr>
            <w:pStyle w:val="32"/>
            <w:tabs>
              <w:tab w:val="right" w:leader="dot" w:pos="9781"/>
              <w:tab w:val="clear" w:pos="8398"/>
            </w:tabs>
            <w:spacing w:line="480" w:lineRule="auto"/>
            <w:rPr>
              <w:color w:val="auto"/>
              <w:sz w:val="32"/>
              <w:szCs w:val="32"/>
            </w:rPr>
          </w:pPr>
          <w:r>
            <w:rPr>
              <w:rFonts w:hint="eastAsia"/>
              <w:color w:val="auto"/>
              <w:sz w:val="32"/>
              <w:szCs w:val="32"/>
            </w:rPr>
            <w:fldChar w:fldCharType="begin"/>
          </w:r>
          <w:r>
            <w:rPr>
              <w:rFonts w:hint="eastAsia"/>
              <w:color w:val="auto"/>
              <w:sz w:val="32"/>
              <w:szCs w:val="32"/>
            </w:rPr>
            <w:instrText xml:space="preserve"> HYPERLINK \l _Toc6520 </w:instrText>
          </w:r>
          <w:r>
            <w:rPr>
              <w:rFonts w:hint="eastAsia"/>
              <w:color w:val="auto"/>
              <w:sz w:val="32"/>
              <w:szCs w:val="32"/>
            </w:rPr>
            <w:fldChar w:fldCharType="separate"/>
          </w:r>
          <w:r>
            <w:rPr>
              <w:rFonts w:hint="eastAsia" w:ascii="仿宋" w:hAnsi="仿宋" w:eastAsia="仿宋"/>
              <w:color w:val="auto"/>
              <w:sz w:val="32"/>
              <w:szCs w:val="32"/>
            </w:rPr>
            <w:t>第五章  拟签订的合同文本</w:t>
          </w:r>
          <w:r>
            <w:rPr>
              <w:color w:val="auto"/>
              <w:sz w:val="32"/>
              <w:szCs w:val="32"/>
            </w:rPr>
            <w:tab/>
          </w:r>
          <w:r>
            <w:rPr>
              <w:color w:val="auto"/>
              <w:sz w:val="32"/>
              <w:szCs w:val="32"/>
            </w:rPr>
            <w:fldChar w:fldCharType="begin"/>
          </w:r>
          <w:r>
            <w:rPr>
              <w:color w:val="auto"/>
              <w:sz w:val="32"/>
              <w:szCs w:val="32"/>
            </w:rPr>
            <w:instrText xml:space="preserve"> PAGEREF _Toc6520 \h </w:instrText>
          </w:r>
          <w:r>
            <w:rPr>
              <w:color w:val="auto"/>
              <w:sz w:val="32"/>
              <w:szCs w:val="32"/>
            </w:rPr>
            <w:fldChar w:fldCharType="separate"/>
          </w:r>
          <w:r>
            <w:rPr>
              <w:color w:val="auto"/>
              <w:sz w:val="32"/>
              <w:szCs w:val="32"/>
            </w:rPr>
            <w:t>77</w:t>
          </w:r>
          <w:r>
            <w:rPr>
              <w:color w:val="auto"/>
              <w:sz w:val="32"/>
              <w:szCs w:val="32"/>
            </w:rPr>
            <w:fldChar w:fldCharType="end"/>
          </w:r>
          <w:r>
            <w:rPr>
              <w:rFonts w:hint="eastAsia"/>
              <w:color w:val="auto"/>
              <w:sz w:val="32"/>
              <w:szCs w:val="32"/>
            </w:rPr>
            <w:fldChar w:fldCharType="end"/>
          </w:r>
        </w:p>
        <w:p w14:paraId="4182B0DF">
          <w:pPr>
            <w:pStyle w:val="32"/>
            <w:tabs>
              <w:tab w:val="right" w:leader="dot" w:pos="9781"/>
              <w:tab w:val="clear" w:pos="8398"/>
            </w:tabs>
            <w:spacing w:line="480" w:lineRule="auto"/>
            <w:rPr>
              <w:color w:val="auto"/>
            </w:rPr>
          </w:pPr>
          <w:r>
            <w:rPr>
              <w:rFonts w:hint="eastAsia"/>
              <w:color w:val="auto"/>
              <w:sz w:val="32"/>
              <w:szCs w:val="32"/>
            </w:rPr>
            <w:fldChar w:fldCharType="begin"/>
          </w:r>
          <w:r>
            <w:rPr>
              <w:rFonts w:hint="eastAsia"/>
              <w:color w:val="auto"/>
              <w:sz w:val="32"/>
              <w:szCs w:val="32"/>
            </w:rPr>
            <w:instrText xml:space="preserve"> HYPERLINK \l _Toc12121 </w:instrText>
          </w:r>
          <w:r>
            <w:rPr>
              <w:rFonts w:hint="eastAsia"/>
              <w:color w:val="auto"/>
              <w:sz w:val="32"/>
              <w:szCs w:val="32"/>
            </w:rPr>
            <w:fldChar w:fldCharType="separate"/>
          </w:r>
          <w:r>
            <w:rPr>
              <w:rFonts w:hint="eastAsia" w:ascii="仿宋" w:hAnsi="仿宋" w:eastAsia="仿宋"/>
              <w:color w:val="auto"/>
              <w:sz w:val="32"/>
              <w:szCs w:val="32"/>
            </w:rPr>
            <w:t>第六章　投标文件格式</w:t>
          </w:r>
          <w:r>
            <w:rPr>
              <w:color w:val="auto"/>
              <w:sz w:val="32"/>
              <w:szCs w:val="32"/>
            </w:rPr>
            <w:tab/>
          </w:r>
          <w:r>
            <w:rPr>
              <w:color w:val="auto"/>
              <w:sz w:val="32"/>
              <w:szCs w:val="32"/>
            </w:rPr>
            <w:fldChar w:fldCharType="begin"/>
          </w:r>
          <w:r>
            <w:rPr>
              <w:color w:val="auto"/>
              <w:sz w:val="32"/>
              <w:szCs w:val="32"/>
            </w:rPr>
            <w:instrText xml:space="preserve"> PAGEREF _Toc12121 \h </w:instrText>
          </w:r>
          <w:r>
            <w:rPr>
              <w:color w:val="auto"/>
              <w:sz w:val="32"/>
              <w:szCs w:val="32"/>
            </w:rPr>
            <w:fldChar w:fldCharType="separate"/>
          </w:r>
          <w:r>
            <w:rPr>
              <w:color w:val="auto"/>
              <w:sz w:val="32"/>
              <w:szCs w:val="32"/>
            </w:rPr>
            <w:t>113</w:t>
          </w:r>
          <w:r>
            <w:rPr>
              <w:color w:val="auto"/>
              <w:sz w:val="32"/>
              <w:szCs w:val="32"/>
            </w:rPr>
            <w:fldChar w:fldCharType="end"/>
          </w:r>
          <w:r>
            <w:rPr>
              <w:rFonts w:hint="eastAsia"/>
              <w:color w:val="auto"/>
              <w:sz w:val="32"/>
              <w:szCs w:val="32"/>
            </w:rPr>
            <w:fldChar w:fldCharType="end"/>
          </w:r>
        </w:p>
        <w:p w14:paraId="487DA53C">
          <w:pPr>
            <w:pStyle w:val="5"/>
            <w:rPr>
              <w:rFonts w:hint="eastAsia" w:ascii="@幼圆" w:hAnsi="@幼圆" w:eastAsia="@幼圆" w:cs="Times New Roman"/>
              <w:b/>
              <w:color w:val="auto"/>
              <w:kern w:val="2"/>
              <w:sz w:val="28"/>
              <w:szCs w:val="24"/>
              <w:lang w:val="en-US" w:eastAsia="zh-CN" w:bidi="ar-SA"/>
            </w:rPr>
          </w:pPr>
          <w:r>
            <w:rPr>
              <w:rFonts w:hint="eastAsia"/>
              <w:color w:val="auto"/>
            </w:rPr>
            <w:fldChar w:fldCharType="end"/>
          </w:r>
        </w:p>
      </w:sdtContent>
    </w:sdt>
    <w:p w14:paraId="5A10E649">
      <w:pPr>
        <w:rPr>
          <w:rFonts w:hint="eastAsia"/>
          <w:color w:val="auto"/>
        </w:rPr>
      </w:pPr>
    </w:p>
    <w:p w14:paraId="1A8C11E4">
      <w:pPr>
        <w:spacing w:beforeLines="50" w:line="480" w:lineRule="exact"/>
        <w:rPr>
          <w:rFonts w:hint="eastAsia" w:ascii="仿宋" w:hAnsi="仿宋" w:eastAsia="仿宋" w:cs="仿宋"/>
          <w:color w:val="auto"/>
          <w:sz w:val="30"/>
        </w:rPr>
      </w:pPr>
    </w:p>
    <w:p w14:paraId="55E87B47">
      <w:pPr>
        <w:rPr>
          <w:rFonts w:hint="eastAsia" w:ascii="仿宋" w:hAnsi="仿宋" w:eastAsia="仿宋" w:cs="仿宋"/>
          <w:color w:val="auto"/>
        </w:rPr>
      </w:pPr>
    </w:p>
    <w:p w14:paraId="45F4A4B2">
      <w:pPr>
        <w:spacing w:beforeLines="50" w:line="480" w:lineRule="exact"/>
        <w:rPr>
          <w:rFonts w:hint="eastAsia" w:ascii="仿宋" w:hAnsi="仿宋" w:eastAsia="仿宋" w:cs="仿宋"/>
          <w:color w:val="auto"/>
          <w:sz w:val="30"/>
        </w:rPr>
      </w:pPr>
    </w:p>
    <w:p w14:paraId="3E64F405">
      <w:pPr>
        <w:spacing w:beforeLines="50" w:line="480" w:lineRule="exact"/>
        <w:rPr>
          <w:rFonts w:hint="eastAsia" w:ascii="仿宋" w:hAnsi="仿宋" w:eastAsia="仿宋" w:cs="仿宋"/>
          <w:color w:val="auto"/>
          <w:sz w:val="30"/>
        </w:rPr>
      </w:pPr>
    </w:p>
    <w:p w14:paraId="4ABBBF8D">
      <w:pPr>
        <w:pStyle w:val="16"/>
        <w:rPr>
          <w:rFonts w:hint="eastAsia" w:ascii="仿宋" w:hAnsi="仿宋" w:eastAsia="仿宋" w:cs="仿宋"/>
          <w:b/>
          <w:bCs/>
          <w:color w:val="auto"/>
        </w:rPr>
      </w:pPr>
      <w:bookmarkStart w:id="1" w:name="_Toc254970489"/>
      <w:bookmarkStart w:id="2" w:name="_Toc254970630"/>
    </w:p>
    <w:p w14:paraId="77DB16CA">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ascii="仿宋" w:hAnsi="仿宋" w:eastAsia="仿宋" w:cs="仿宋"/>
          <w:color w:val="auto"/>
        </w:rPr>
      </w:pPr>
      <w:r>
        <w:rPr>
          <w:rFonts w:hint="eastAsia" w:ascii="仿宋" w:hAnsi="仿宋" w:eastAsia="仿宋" w:cs="仿宋"/>
          <w:b w:val="0"/>
          <w:bCs w:val="0"/>
          <w:color w:val="auto"/>
        </w:rPr>
        <w:br w:type="page"/>
      </w:r>
      <w:bookmarkStart w:id="3" w:name="_Toc74320800"/>
      <w:bookmarkStart w:id="4" w:name="_Toc2681"/>
      <w:r>
        <w:rPr>
          <w:rFonts w:hint="eastAsia" w:ascii="仿宋" w:hAnsi="仿宋" w:eastAsia="仿宋" w:cs="仿宋"/>
          <w:color w:val="auto"/>
        </w:rPr>
        <w:t>第一章</w:t>
      </w:r>
      <w:bookmarkEnd w:id="1"/>
      <w:bookmarkEnd w:id="2"/>
      <w:bookmarkStart w:id="5" w:name="_Toc28359001"/>
      <w:bookmarkStart w:id="6" w:name="_Toc35393789"/>
      <w:r>
        <w:rPr>
          <w:rFonts w:hint="eastAsia" w:ascii="仿宋" w:hAnsi="仿宋" w:eastAsia="仿宋" w:cs="仿宋"/>
          <w:color w:val="auto"/>
        </w:rPr>
        <w:t xml:space="preserve"> 招标公告</w:t>
      </w:r>
      <w:bookmarkEnd w:id="3"/>
      <w:bookmarkEnd w:id="4"/>
      <w:bookmarkEnd w:id="5"/>
      <w:bookmarkEnd w:id="6"/>
    </w:p>
    <w:p w14:paraId="1BC0CBB3">
      <w:pPr>
        <w:rPr>
          <w:rFonts w:hint="eastAsia" w:ascii="仿宋" w:hAnsi="仿宋" w:eastAsia="仿宋" w:cs="仿宋"/>
          <w:color w:val="auto"/>
        </w:rPr>
      </w:pPr>
    </w:p>
    <w:p w14:paraId="45D9E82A">
      <w:pPr>
        <w:pStyle w:val="24"/>
        <w:ind w:firstLine="602" w:firstLineChars="200"/>
        <w:jc w:val="center"/>
        <w:rPr>
          <w:rFonts w:hint="eastAsia" w:ascii="仿宋" w:hAnsi="仿宋" w:eastAsia="仿宋" w:cs="仿宋"/>
          <w:b/>
          <w:color w:val="auto"/>
          <w:sz w:val="30"/>
          <w:szCs w:val="30"/>
          <w:lang w:eastAsia="zh-CN"/>
        </w:rPr>
      </w:pPr>
      <w:r>
        <w:rPr>
          <w:rFonts w:hint="eastAsia" w:ascii="仿宋" w:hAnsi="仿宋" w:eastAsia="仿宋" w:cs="仿宋"/>
          <w:b/>
          <w:color w:val="auto"/>
          <w:sz w:val="30"/>
          <w:szCs w:val="30"/>
          <w:lang w:eastAsia="zh-CN"/>
        </w:rPr>
        <w:t>广西北部湾佰亿招标造价咨询有限公司</w:t>
      </w:r>
    </w:p>
    <w:p w14:paraId="440A84CB">
      <w:pPr>
        <w:pStyle w:val="24"/>
        <w:ind w:firstLine="602" w:firstLineChars="200"/>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关于</w:t>
      </w:r>
      <w:r>
        <w:rPr>
          <w:rFonts w:hint="eastAsia" w:ascii="仿宋" w:hAnsi="仿宋" w:eastAsia="仿宋" w:cs="仿宋"/>
          <w:b/>
          <w:color w:val="auto"/>
          <w:sz w:val="30"/>
          <w:szCs w:val="30"/>
          <w:lang w:eastAsia="zh-CN"/>
        </w:rPr>
        <w:t>天峨县人民医院保洁、洗涤服务项目</w:t>
      </w:r>
      <w:r>
        <w:rPr>
          <w:rFonts w:hint="eastAsia" w:ascii="仿宋" w:hAnsi="仿宋" w:eastAsia="仿宋" w:cs="仿宋"/>
          <w:b/>
          <w:color w:val="auto"/>
          <w:sz w:val="30"/>
          <w:szCs w:val="30"/>
        </w:rPr>
        <w:t>（项目编号:</w:t>
      </w:r>
      <w:r>
        <w:rPr>
          <w:rFonts w:hint="eastAsia" w:ascii="仿宋" w:hAnsi="仿宋" w:eastAsia="仿宋" w:cs="仿宋"/>
          <w:color w:val="auto"/>
        </w:rPr>
        <w:t xml:space="preserve"> </w:t>
      </w:r>
      <w:r>
        <w:rPr>
          <w:rFonts w:hint="eastAsia" w:ascii="仿宋" w:hAnsi="仿宋" w:eastAsia="仿宋" w:cs="仿宋"/>
          <w:b/>
          <w:color w:val="auto"/>
          <w:sz w:val="30"/>
          <w:szCs w:val="30"/>
          <w:lang w:eastAsia="zh-CN"/>
        </w:rPr>
        <w:t>HCZC2025-G3-220089-GXBB</w:t>
      </w:r>
      <w:r>
        <w:rPr>
          <w:rFonts w:hint="eastAsia" w:ascii="仿宋" w:hAnsi="仿宋" w:eastAsia="仿宋" w:cs="仿宋"/>
          <w:b/>
          <w:color w:val="auto"/>
          <w:sz w:val="30"/>
          <w:szCs w:val="30"/>
        </w:rPr>
        <w:t>）公开招标公告</w:t>
      </w:r>
      <w:r>
        <w:rPr>
          <w:rFonts w:hint="eastAsia" w:ascii="仿宋" w:hAnsi="仿宋" w:eastAsia="仿宋" w:cs="仿宋"/>
          <w:b/>
          <w:color w:val="auto"/>
          <w:sz w:val="28"/>
          <w:szCs w:val="22"/>
        </w:rPr>
        <w:t>（远程异地评</w:t>
      </w:r>
      <w:r>
        <w:rPr>
          <w:rFonts w:hint="eastAsia" w:ascii="仿宋" w:hAnsi="仿宋" w:eastAsia="仿宋" w:cs="仿宋"/>
          <w:b/>
          <w:color w:val="auto"/>
          <w:sz w:val="28"/>
          <w:szCs w:val="22"/>
          <w:lang w:val="en-US" w:eastAsia="zh-CN"/>
        </w:rPr>
        <w:t>标</w:t>
      </w:r>
      <w:r>
        <w:rPr>
          <w:rFonts w:hint="eastAsia" w:ascii="仿宋" w:hAnsi="仿宋" w:eastAsia="仿宋" w:cs="仿宋"/>
          <w:b/>
          <w:color w:val="auto"/>
          <w:sz w:val="28"/>
          <w:szCs w:val="22"/>
        </w:rPr>
        <w:t>）</w:t>
      </w:r>
    </w:p>
    <w:p w14:paraId="2322B1A9">
      <w:pPr>
        <w:spacing w:line="440" w:lineRule="exact"/>
        <w:rPr>
          <w:rFonts w:hint="eastAsia" w:ascii="仿宋" w:hAnsi="仿宋" w:eastAsia="仿宋" w:cs="仿宋"/>
          <w:b/>
          <w:bCs/>
          <w:color w:val="auto"/>
          <w:sz w:val="24"/>
        </w:rPr>
      </w:pPr>
      <w:bookmarkStart w:id="7" w:name="_Toc35393790"/>
      <w:bookmarkStart w:id="8" w:name="_Toc28359002"/>
      <w:bookmarkStart w:id="9" w:name="_Toc35393621"/>
      <w:bookmarkStart w:id="10" w:name="_Toc28359079"/>
      <w:bookmarkStart w:id="11" w:name="_Hlk24379207"/>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3A12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6" w:type="dxa"/>
          </w:tcPr>
          <w:p w14:paraId="32A10D42">
            <w:pPr>
              <w:spacing w:line="360" w:lineRule="auto"/>
              <w:rPr>
                <w:rFonts w:hint="eastAsia" w:ascii="仿宋" w:hAnsi="仿宋" w:eastAsia="仿宋" w:cs="仿宋"/>
                <w:color w:val="auto"/>
                <w:szCs w:val="21"/>
              </w:rPr>
            </w:pPr>
            <w:r>
              <w:rPr>
                <w:rFonts w:hint="eastAsia" w:ascii="仿宋" w:hAnsi="仿宋" w:eastAsia="仿宋" w:cs="仿宋"/>
                <w:color w:val="auto"/>
                <w:szCs w:val="21"/>
              </w:rPr>
              <w:t>项目概况:</w:t>
            </w:r>
          </w:p>
          <w:p w14:paraId="42FDC6BD">
            <w:pPr>
              <w:pStyle w:val="30"/>
              <w:spacing w:line="360" w:lineRule="auto"/>
              <w:ind w:firstLine="420" w:firstLineChars="200"/>
              <w:rPr>
                <w:rFonts w:hint="eastAsia" w:ascii="仿宋" w:hAnsi="仿宋" w:eastAsia="仿宋" w:cs="仿宋"/>
                <w:color w:val="auto"/>
                <w:lang w:val="en-US" w:eastAsia="zh-CN"/>
              </w:rPr>
            </w:pPr>
            <w:r>
              <w:rPr>
                <w:rFonts w:hint="eastAsia" w:ascii="仿宋" w:hAnsi="仿宋" w:eastAsia="仿宋" w:cs="仿宋"/>
                <w:color w:val="auto"/>
                <w:kern w:val="2"/>
                <w:sz w:val="21"/>
                <w:szCs w:val="21"/>
                <w:u w:val="single"/>
                <w:lang w:val="en-US" w:eastAsia="zh-CN"/>
              </w:rPr>
              <w:t xml:space="preserve">天峨县人民医院保洁、洗涤服务项目 </w:t>
            </w:r>
            <w:r>
              <w:rPr>
                <w:rFonts w:hint="eastAsia" w:ascii="仿宋" w:hAnsi="仿宋" w:eastAsia="仿宋" w:cs="仿宋"/>
                <w:color w:val="auto"/>
                <w:kern w:val="2"/>
                <w:sz w:val="21"/>
                <w:szCs w:val="21"/>
                <w:lang w:val="en-US" w:eastAsia="zh-CN"/>
              </w:rPr>
              <w:t>招标项目的潜在投标人应在广西政府采购云平台线上获取（下载）招标文件，并于</w:t>
            </w:r>
            <w:r>
              <w:rPr>
                <w:rFonts w:hint="eastAsia" w:ascii="仿宋" w:hAnsi="仿宋" w:eastAsia="仿宋" w:cs="仿宋"/>
                <w:color w:val="auto"/>
                <w:kern w:val="2"/>
                <w:sz w:val="21"/>
                <w:szCs w:val="21"/>
                <w:u w:val="single"/>
                <w:lang w:val="en-US" w:eastAsia="zh-CN"/>
              </w:rPr>
              <w:t xml:space="preserve"> 2025年 月 日10时00分</w:t>
            </w:r>
            <w:r>
              <w:rPr>
                <w:rFonts w:hint="eastAsia" w:ascii="仿宋" w:hAnsi="仿宋" w:eastAsia="仿宋" w:cs="仿宋"/>
                <w:color w:val="auto"/>
                <w:kern w:val="2"/>
                <w:sz w:val="21"/>
                <w:szCs w:val="21"/>
                <w:lang w:val="en-US" w:eastAsia="zh-CN"/>
              </w:rPr>
              <w:t>（北京时间）前递交（上传）投标文件。</w:t>
            </w:r>
          </w:p>
        </w:tc>
      </w:tr>
    </w:tbl>
    <w:p w14:paraId="5822FFAF">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一、项目基本情况</w:t>
      </w:r>
      <w:bookmarkEnd w:id="7"/>
      <w:bookmarkEnd w:id="8"/>
      <w:bookmarkEnd w:id="9"/>
      <w:bookmarkEnd w:id="10"/>
    </w:p>
    <w:p w14:paraId="45A8FBB4">
      <w:pPr>
        <w:spacing w:line="44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项目编号：</w:t>
      </w:r>
      <w:r>
        <w:rPr>
          <w:rFonts w:hint="eastAsia" w:ascii="仿宋" w:hAnsi="仿宋" w:eastAsia="仿宋" w:cs="仿宋"/>
          <w:color w:val="auto"/>
          <w:szCs w:val="21"/>
          <w:lang w:eastAsia="zh-CN"/>
        </w:rPr>
        <w:t>HCZC2025-G3-220089-GXBB</w:t>
      </w:r>
    </w:p>
    <w:p w14:paraId="3E60E3AE">
      <w:pPr>
        <w:spacing w:line="44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项目名称：</w:t>
      </w:r>
      <w:r>
        <w:rPr>
          <w:rFonts w:hint="eastAsia" w:ascii="仿宋" w:hAnsi="仿宋" w:eastAsia="仿宋" w:cs="仿宋"/>
          <w:color w:val="auto"/>
          <w:szCs w:val="21"/>
          <w:lang w:eastAsia="zh-CN"/>
        </w:rPr>
        <w:t>天峨县人民医院保洁、洗涤服务项目</w:t>
      </w:r>
    </w:p>
    <w:p w14:paraId="4D400D9A">
      <w:pPr>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采购方式: 公开招标</w:t>
      </w:r>
    </w:p>
    <w:bookmarkEnd w:id="11"/>
    <w:p w14:paraId="08D24AB3">
      <w:pPr>
        <w:spacing w:line="44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预算金额：</w:t>
      </w:r>
      <w:r>
        <w:rPr>
          <w:rFonts w:hint="eastAsia" w:ascii="仿宋" w:hAnsi="仿宋" w:eastAsia="仿宋" w:cs="仿宋"/>
          <w:color w:val="auto"/>
          <w:szCs w:val="21"/>
          <w:lang w:eastAsia="zh-CN"/>
        </w:rPr>
        <w:t xml:space="preserve">348 </w:t>
      </w:r>
      <w:r>
        <w:rPr>
          <w:rFonts w:hint="eastAsia" w:ascii="仿宋" w:hAnsi="仿宋" w:eastAsia="仿宋" w:cs="仿宋"/>
          <w:color w:val="auto"/>
          <w:szCs w:val="21"/>
        </w:rPr>
        <w:t>万元</w:t>
      </w:r>
    </w:p>
    <w:p w14:paraId="55844712">
      <w:pPr>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最高限价（如有）：</w:t>
      </w:r>
      <w:r>
        <w:rPr>
          <w:rFonts w:hint="eastAsia" w:ascii="仿宋" w:hAnsi="仿宋" w:eastAsia="仿宋" w:cs="仿宋"/>
          <w:color w:val="auto"/>
          <w:szCs w:val="21"/>
          <w:lang w:eastAsia="zh-CN"/>
        </w:rPr>
        <w:t xml:space="preserve">348 </w:t>
      </w:r>
      <w:r>
        <w:rPr>
          <w:rFonts w:hint="eastAsia" w:ascii="仿宋" w:hAnsi="仿宋" w:eastAsia="仿宋" w:cs="仿宋"/>
          <w:color w:val="auto"/>
          <w:szCs w:val="21"/>
        </w:rPr>
        <w:t>万元</w:t>
      </w:r>
    </w:p>
    <w:p w14:paraId="717E9BB6">
      <w:pPr>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采购需求：2026年、2027年医院日常保洁、洗涤等配套服务</w:t>
      </w:r>
      <w:r>
        <w:rPr>
          <w:rFonts w:hint="eastAsia" w:ascii="仿宋" w:hAnsi="仿宋" w:eastAsia="仿宋" w:cs="仿宋"/>
          <w:color w:val="auto"/>
          <w:szCs w:val="21"/>
          <w:lang w:val="en-US" w:eastAsia="zh-CN"/>
        </w:rPr>
        <w:t>等</w:t>
      </w:r>
      <w:r>
        <w:rPr>
          <w:rFonts w:hint="eastAsia" w:ascii="仿宋" w:hAnsi="仿宋" w:eastAsia="仿宋" w:cs="仿宋"/>
          <w:color w:val="auto"/>
          <w:szCs w:val="21"/>
        </w:rPr>
        <w:t>，具体详见招标文件第二章采购需求。</w:t>
      </w:r>
    </w:p>
    <w:p w14:paraId="481FD4D7">
      <w:pPr>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合同履行期限：</w:t>
      </w:r>
      <w:r>
        <w:rPr>
          <w:rFonts w:hint="eastAsia" w:ascii="仿宋" w:hAnsi="仿宋" w:eastAsia="仿宋" w:cs="仿宋"/>
          <w:color w:val="auto"/>
          <w:szCs w:val="21"/>
          <w:lang w:val="en-US" w:eastAsia="zh-CN"/>
        </w:rPr>
        <w:t>自合同签订之日起约定服务期为2年</w:t>
      </w:r>
      <w:r>
        <w:rPr>
          <w:rFonts w:hint="eastAsia" w:ascii="仿宋" w:hAnsi="仿宋" w:eastAsia="仿宋" w:cs="仿宋"/>
          <w:color w:val="auto"/>
          <w:szCs w:val="21"/>
        </w:rPr>
        <w:t>。</w:t>
      </w:r>
    </w:p>
    <w:p w14:paraId="0AA4BA77">
      <w:pPr>
        <w:spacing w:line="440" w:lineRule="exact"/>
        <w:ind w:firstLine="422" w:firstLineChars="200"/>
        <w:rPr>
          <w:rFonts w:hint="eastAsia" w:ascii="仿宋" w:hAnsi="仿宋" w:eastAsia="仿宋" w:cs="仿宋"/>
          <w:b/>
          <w:bCs/>
          <w:color w:val="auto"/>
        </w:rPr>
      </w:pPr>
      <w:bookmarkStart w:id="12" w:name="_Toc35393791"/>
      <w:bookmarkStart w:id="13" w:name="_Toc28359003"/>
      <w:bookmarkStart w:id="14" w:name="_Toc28359080"/>
      <w:bookmarkStart w:id="15" w:name="_Toc35393622"/>
      <w:r>
        <w:rPr>
          <w:rFonts w:hint="eastAsia" w:ascii="仿宋" w:hAnsi="仿宋" w:eastAsia="仿宋" w:cs="仿宋"/>
          <w:b/>
          <w:bCs/>
          <w:color w:val="auto"/>
          <w:szCs w:val="21"/>
        </w:rPr>
        <w:t>本项目</w:t>
      </w:r>
      <w:r>
        <w:rPr>
          <w:rFonts w:hint="eastAsia" w:ascii="仿宋" w:hAnsi="仿宋" w:eastAsia="仿宋" w:cs="仿宋"/>
          <w:b/>
          <w:bCs/>
          <w:color w:val="auto"/>
          <w:szCs w:val="21"/>
          <w:lang w:val="en-US" w:eastAsia="zh-CN"/>
        </w:rPr>
        <w:t>(否)</w:t>
      </w:r>
      <w:r>
        <w:rPr>
          <w:rFonts w:hint="eastAsia" w:ascii="仿宋" w:hAnsi="仿宋" w:eastAsia="仿宋" w:cs="仿宋"/>
          <w:b/>
          <w:bCs/>
          <w:color w:val="auto"/>
          <w:szCs w:val="21"/>
        </w:rPr>
        <w:t>接受联合体</w:t>
      </w:r>
    </w:p>
    <w:p w14:paraId="5D773C9E">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二、投标人的资格要求</w:t>
      </w:r>
      <w:bookmarkEnd w:id="12"/>
      <w:bookmarkEnd w:id="13"/>
      <w:bookmarkEnd w:id="14"/>
      <w:bookmarkEnd w:id="15"/>
      <w:r>
        <w:rPr>
          <w:rFonts w:hint="eastAsia" w:ascii="仿宋" w:hAnsi="仿宋" w:eastAsia="仿宋" w:cs="仿宋"/>
          <w:b/>
          <w:bCs/>
          <w:color w:val="auto"/>
          <w:sz w:val="24"/>
        </w:rPr>
        <w:t>：</w:t>
      </w:r>
    </w:p>
    <w:p w14:paraId="51694792">
      <w:pPr>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1.满足《中华人民共和国政府采购法》第二十二条规定；</w:t>
      </w:r>
    </w:p>
    <w:p w14:paraId="34DD99E9">
      <w:pPr>
        <w:spacing w:line="440" w:lineRule="exact"/>
        <w:ind w:firstLine="420" w:firstLineChars="200"/>
        <w:rPr>
          <w:rFonts w:hint="eastAsia" w:ascii="仿宋" w:hAnsi="仿宋" w:eastAsia="仿宋" w:cs="仿宋"/>
          <w:color w:val="auto"/>
          <w:szCs w:val="21"/>
          <w:lang w:val="en-US" w:eastAsia="zh-CN"/>
        </w:rPr>
      </w:pPr>
      <w:bookmarkStart w:id="16" w:name="_Toc28359081"/>
      <w:bookmarkStart w:id="17" w:name="_Toc28359004"/>
      <w:r>
        <w:rPr>
          <w:rFonts w:hint="eastAsia" w:ascii="仿宋" w:hAnsi="仿宋" w:eastAsia="仿宋" w:cs="仿宋"/>
          <w:color w:val="auto"/>
          <w:szCs w:val="21"/>
        </w:rPr>
        <w:t>2.落实政府采购政策需满足的资格要求：</w:t>
      </w:r>
      <w:r>
        <w:rPr>
          <w:rFonts w:hint="eastAsia" w:ascii="仿宋" w:hAnsi="仿宋" w:eastAsia="仿宋" w:cs="仿宋"/>
          <w:color w:val="auto"/>
          <w:szCs w:val="21"/>
          <w:lang w:val="en-US" w:eastAsia="zh-CN"/>
        </w:rPr>
        <w:t>专门面向小微企业采购；</w:t>
      </w:r>
    </w:p>
    <w:p w14:paraId="0AF311FA">
      <w:pPr>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3.本项目的特定资格要求：无</w:t>
      </w:r>
    </w:p>
    <w:p w14:paraId="6E32A5E6">
      <w:pPr>
        <w:spacing w:line="440" w:lineRule="exact"/>
        <w:rPr>
          <w:rFonts w:hint="eastAsia" w:ascii="仿宋" w:hAnsi="仿宋" w:eastAsia="仿宋" w:cs="仿宋"/>
          <w:b/>
          <w:bCs/>
          <w:color w:val="auto"/>
          <w:sz w:val="24"/>
        </w:rPr>
      </w:pPr>
      <w:bookmarkStart w:id="18" w:name="_Toc35393623"/>
      <w:bookmarkStart w:id="19" w:name="_Toc35393792"/>
      <w:r>
        <w:rPr>
          <w:rFonts w:hint="eastAsia" w:ascii="仿宋" w:hAnsi="仿宋" w:eastAsia="仿宋" w:cs="仿宋"/>
          <w:b/>
          <w:bCs/>
          <w:color w:val="auto"/>
          <w:sz w:val="24"/>
        </w:rPr>
        <w:t>三、获取招标文件</w:t>
      </w:r>
      <w:bookmarkEnd w:id="16"/>
      <w:bookmarkEnd w:id="17"/>
      <w:bookmarkEnd w:id="18"/>
      <w:bookmarkEnd w:id="19"/>
    </w:p>
    <w:p w14:paraId="1B8C795B">
      <w:pPr>
        <w:snapToGrid w:val="0"/>
        <w:spacing w:line="440" w:lineRule="exact"/>
        <w:ind w:firstLine="420" w:firstLineChars="200"/>
        <w:rPr>
          <w:rFonts w:hint="eastAsia" w:ascii="仿宋" w:hAnsi="仿宋" w:eastAsia="仿宋" w:cs="仿宋"/>
          <w:color w:val="auto"/>
        </w:rPr>
      </w:pPr>
      <w:bookmarkStart w:id="20" w:name="_Toc28359005"/>
      <w:bookmarkStart w:id="21" w:name="_Toc28359082"/>
      <w:bookmarkStart w:id="22" w:name="_Toc35393793"/>
      <w:bookmarkStart w:id="23" w:name="_Toc35393624"/>
      <w:r>
        <w:rPr>
          <w:rFonts w:hint="eastAsia" w:ascii="仿宋" w:hAnsi="仿宋" w:eastAsia="仿宋" w:cs="仿宋"/>
          <w:color w:val="auto"/>
        </w:rPr>
        <w:t>时间：自招标公告发布之时起至招标文件递交截止时间止。</w:t>
      </w:r>
    </w:p>
    <w:p w14:paraId="5C11A401">
      <w:pPr>
        <w:snapToGrid w:val="0"/>
        <w:spacing w:line="44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rPr>
        <w:t>网址：广西政府采购云平台</w:t>
      </w:r>
      <w:r>
        <w:rPr>
          <w:rFonts w:hint="eastAsia" w:ascii="仿宋" w:hAnsi="仿宋" w:eastAsia="仿宋" w:cs="仿宋"/>
          <w:color w:val="auto"/>
          <w:lang w:val="en-US" w:eastAsia="zh-CN"/>
        </w:rPr>
        <w:t>线上</w:t>
      </w:r>
    </w:p>
    <w:p w14:paraId="3CA83807">
      <w:pPr>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 xml:space="preserve">获取方式：供应商登录广西政府采购云平台https://www.gcy.zfcg.gxzf.gov.cn/在线申请获取采购文件（进入“项目采购”应用，在获取采购文件菜单中选择项目，申请获取采购文件） </w:t>
      </w:r>
    </w:p>
    <w:p w14:paraId="051C61BE">
      <w:pPr>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售价：0元。</w:t>
      </w:r>
    </w:p>
    <w:p w14:paraId="536207C3">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四、提交投标文件</w:t>
      </w:r>
      <w:bookmarkEnd w:id="20"/>
      <w:bookmarkEnd w:id="21"/>
      <w:r>
        <w:rPr>
          <w:rFonts w:hint="eastAsia" w:ascii="仿宋" w:hAnsi="仿宋" w:eastAsia="仿宋" w:cs="仿宋"/>
          <w:b/>
          <w:bCs/>
          <w:color w:val="auto"/>
          <w:sz w:val="24"/>
        </w:rPr>
        <w:t>截止时间、开标时间和地点</w:t>
      </w:r>
      <w:bookmarkEnd w:id="22"/>
      <w:bookmarkEnd w:id="23"/>
    </w:p>
    <w:p w14:paraId="0DE4C03F">
      <w:pPr>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rPr>
        <w:t xml:space="preserve"> 1.</w:t>
      </w:r>
      <w:r>
        <w:rPr>
          <w:rFonts w:hint="eastAsia" w:ascii="仿宋" w:hAnsi="仿宋" w:eastAsia="仿宋" w:cs="仿宋"/>
          <w:color w:val="auto"/>
          <w:szCs w:val="21"/>
        </w:rPr>
        <w:t>提交投标文件截止时间：2025年</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月</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日10时00分（北京时间）</w:t>
      </w:r>
    </w:p>
    <w:p w14:paraId="4D51B6B7">
      <w:pPr>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 xml:space="preserve"> 2.投标地点（网址）：请登录广西政府采购云平台开标大厅（投标客户端投标）。 </w:t>
      </w:r>
    </w:p>
    <w:p w14:paraId="16BDB176">
      <w:pPr>
        <w:spacing w:line="44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 xml:space="preserve"> 3.开标时间：2025年</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月</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日10时00分（北京时间）</w:t>
      </w:r>
    </w:p>
    <w:p w14:paraId="308276DA">
      <w:pPr>
        <w:spacing w:line="440" w:lineRule="exact"/>
        <w:rPr>
          <w:rFonts w:hint="eastAsia" w:ascii="仿宋" w:hAnsi="仿宋" w:eastAsia="仿宋" w:cs="仿宋"/>
          <w:b/>
          <w:bCs/>
          <w:color w:val="auto"/>
          <w:sz w:val="24"/>
        </w:rPr>
      </w:pPr>
      <w:r>
        <w:rPr>
          <w:rFonts w:hint="eastAsia" w:ascii="仿宋" w:hAnsi="仿宋" w:eastAsia="仿宋" w:cs="仿宋"/>
          <w:color w:val="auto"/>
          <w:szCs w:val="21"/>
        </w:rPr>
        <w:t xml:space="preserve">     4.开标地点：广西政府采购云平台电子开标大厅。 </w:t>
      </w:r>
      <w:r>
        <w:rPr>
          <w:rFonts w:hint="eastAsia" w:ascii="仿宋" w:hAnsi="仿宋" w:eastAsia="仿宋" w:cs="仿宋"/>
          <w:color w:val="auto"/>
        </w:rPr>
        <w:t xml:space="preserve"> </w:t>
      </w:r>
    </w:p>
    <w:p w14:paraId="775058F1">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五、公告期限</w:t>
      </w:r>
    </w:p>
    <w:p w14:paraId="3E9EFF4A">
      <w:pPr>
        <w:spacing w:line="440" w:lineRule="exact"/>
        <w:ind w:firstLine="420" w:firstLineChars="200"/>
        <w:rPr>
          <w:rFonts w:hint="eastAsia" w:ascii="仿宋" w:hAnsi="仿宋" w:eastAsia="仿宋" w:cs="仿宋"/>
          <w:color w:val="auto"/>
          <w:kern w:val="0"/>
          <w:szCs w:val="21"/>
        </w:rPr>
      </w:pPr>
      <w:r>
        <w:rPr>
          <w:rFonts w:hint="eastAsia" w:ascii="仿宋" w:hAnsi="仿宋" w:eastAsia="仿宋" w:cs="仿宋"/>
          <w:color w:val="auto"/>
          <w:kern w:val="0"/>
          <w:szCs w:val="21"/>
        </w:rPr>
        <w:t>自本公告发布之日起</w:t>
      </w:r>
      <w:r>
        <w:rPr>
          <w:rFonts w:hint="eastAsia" w:ascii="仿宋" w:hAnsi="仿宋" w:eastAsia="仿宋" w:cs="仿宋"/>
          <w:color w:val="auto"/>
          <w:kern w:val="0"/>
          <w:szCs w:val="21"/>
          <w:lang w:val="en-US" w:eastAsia="zh-CN"/>
        </w:rPr>
        <w:t>5</w:t>
      </w:r>
      <w:r>
        <w:rPr>
          <w:rFonts w:hint="eastAsia" w:ascii="仿宋" w:hAnsi="仿宋" w:eastAsia="仿宋" w:cs="仿宋"/>
          <w:color w:val="auto"/>
          <w:kern w:val="0"/>
          <w:szCs w:val="21"/>
        </w:rPr>
        <w:t>个工作日。</w:t>
      </w:r>
    </w:p>
    <w:p w14:paraId="779A9BAA">
      <w:pPr>
        <w:spacing w:line="440" w:lineRule="exact"/>
        <w:rPr>
          <w:rFonts w:hint="eastAsia" w:ascii="仿宋" w:hAnsi="仿宋" w:eastAsia="仿宋" w:cs="仿宋"/>
          <w:b/>
          <w:bCs/>
          <w:color w:val="auto"/>
          <w:sz w:val="24"/>
        </w:rPr>
      </w:pPr>
      <w:bookmarkStart w:id="24" w:name="_Toc35393626"/>
      <w:bookmarkStart w:id="25" w:name="_Toc35393795"/>
      <w:r>
        <w:rPr>
          <w:rFonts w:hint="eastAsia" w:ascii="仿宋" w:hAnsi="仿宋" w:eastAsia="仿宋" w:cs="仿宋"/>
          <w:b/>
          <w:bCs/>
          <w:color w:val="auto"/>
          <w:sz w:val="24"/>
        </w:rPr>
        <w:t>六、其他补充事宜</w:t>
      </w:r>
      <w:bookmarkEnd w:id="24"/>
      <w:bookmarkEnd w:id="25"/>
    </w:p>
    <w:p w14:paraId="6E4C17A8">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1.投标保证金：本项目不收取投标保证金</w:t>
      </w:r>
    </w:p>
    <w:p w14:paraId="0A9D1C78">
      <w:pPr>
        <w:spacing w:line="440" w:lineRule="exact"/>
        <w:ind w:firstLine="315" w:firstLineChars="150"/>
        <w:rPr>
          <w:rFonts w:hint="eastAsia" w:ascii="仿宋" w:hAnsi="仿宋" w:eastAsia="仿宋" w:cs="仿宋"/>
          <w:color w:val="auto"/>
          <w:kern w:val="0"/>
          <w:szCs w:val="21"/>
        </w:rPr>
      </w:pPr>
      <w:bookmarkStart w:id="26" w:name="_Toc28359008"/>
      <w:bookmarkStart w:id="27" w:name="_Toc35393627"/>
      <w:bookmarkStart w:id="28" w:name="_Toc35393796"/>
      <w:bookmarkStart w:id="29" w:name="_Toc28359085"/>
      <w:r>
        <w:rPr>
          <w:rFonts w:hint="eastAsia" w:ascii="仿宋" w:hAnsi="仿宋" w:eastAsia="仿宋" w:cs="仿宋"/>
          <w:color w:val="auto"/>
          <w:kern w:val="0"/>
          <w:szCs w:val="21"/>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C80D495">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3.根据财政部《关于在政府采购活动中查询及使用信用记录有关问题的通知》（财库〔2016〕125号）的规定，对在“信用中国”网站(www.creditchina.gov.cn)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450A0D73">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4.网上查询地址：中国政府采购网（http://www.ccgp.gov.cn/）、广西壮族自治区政府采购网（http://zfcg.gxzf.gov.cn/）、全国公共资源交易平台（广西·河池）（http://ggzy.jgswj.gxzf.gov.cn/hcggzy/）</w:t>
      </w:r>
      <w:r>
        <w:rPr>
          <w:rFonts w:hint="eastAsia" w:ascii="仿宋" w:hAnsi="仿宋" w:eastAsia="仿宋" w:cs="仿宋"/>
          <w:color w:val="auto"/>
          <w:kern w:val="0"/>
          <w:szCs w:val="21"/>
          <w:lang w:eastAsia="zh-CN"/>
        </w:rPr>
        <w:t>、天峨县人民政府网（http://www.tiane.gov.cn/）</w:t>
      </w:r>
      <w:r>
        <w:rPr>
          <w:rFonts w:hint="eastAsia" w:ascii="仿宋" w:hAnsi="仿宋" w:eastAsia="仿宋" w:cs="仿宋"/>
          <w:color w:val="auto"/>
          <w:kern w:val="0"/>
          <w:szCs w:val="21"/>
        </w:rPr>
        <w:t>。</w:t>
      </w:r>
    </w:p>
    <w:p w14:paraId="1AE7DC5C">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5.本项目需要落实的政府采购政策：</w:t>
      </w:r>
    </w:p>
    <w:p w14:paraId="7D730B1A">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（1）政府采购促进中小企业发展。</w:t>
      </w:r>
    </w:p>
    <w:p w14:paraId="2DB4CE9C">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（2）政府采购支持采用本国产品的政策。</w:t>
      </w:r>
      <w:bookmarkStart w:id="157" w:name="_GoBack"/>
      <w:bookmarkEnd w:id="157"/>
    </w:p>
    <w:p w14:paraId="3DA928D8">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（3）强制采购节能产品；优先采购节能产品、环境标志产品。</w:t>
      </w:r>
    </w:p>
    <w:p w14:paraId="4F0A62FA">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（4）政府采购促进残疾人就业政策。</w:t>
      </w:r>
    </w:p>
    <w:p w14:paraId="303E802E">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（5）政府采购支持监狱企业发展。</w:t>
      </w:r>
    </w:p>
    <w:p w14:paraId="197B2B24">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6.投标注意事项：</w:t>
      </w:r>
    </w:p>
    <w:p w14:paraId="450429C4">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1）投标文件提交方式：本项目为全流程电子化政府采购项目，通过广西政府采购云平台（https://www.gcy.zfcg.gxzf.gov.cn/）实行在线电子投标，供应商应先安装“广西政府采购云平台电子交易客户端”（请自行前往广西政府采购云平台进行下载），并按照本项目招标文件和广西政府采购云平台的要求编制、加密后在投标截止时间前通过网络上传至广西政府采购云平台，供应商在广西政府采购云平台提交电子版投标文件时，请填写参加远程开标活动经办人联系方式。</w:t>
      </w:r>
    </w:p>
    <w:p w14:paraId="30742930">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2）供应商应及时熟悉掌握电子标系统操作指南（见广西政府采购云平台电子卖场首页右上角—服务中心—帮助文档—项目采购）：https://service.zcygov.cn/#/knowledges/tree?tag=AG1DtGwBFdiHxlNdhY0r；及时完成CA申领和绑定（见广西壮族自治区政府采购网—办事服务—下载专区-广西政府采购云平台CA证书办理操作指南）。</w:t>
      </w:r>
    </w:p>
    <w:p w14:paraId="55458841">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5572ED84">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（4）为确保网上操作合法、有效和安全，请投标人确保在电子投标过程中能够对相关数据电文进行加密和使用电子签章，妥善保管CA数字证书并使用有效的CA数字证书参与整个采购活动。</w:t>
      </w:r>
    </w:p>
    <w:p w14:paraId="2B7B0F38">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599F7D2D">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7.CA证书在线解密：供应商投标时，需携带制作投标文件时用来加密的有效数字证书（CA认证）登录广西政府采购云平台电子开标大厅现场按规定时间对加密的投标文件进行解密，否则后果自负。</w:t>
      </w:r>
    </w:p>
    <w:p w14:paraId="1FD28D59">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8.若对项目采购电子交易系统操作有疑问，可登录广西政府采购云平台（https://www.gcy.zfcg.gxzf.gov.cn/），点击右侧咨询小采，获取采小蜜智能服务管家帮助，或拨打广西政府采购云平台服务热线95763获取热线服务帮助。</w:t>
      </w:r>
    </w:p>
    <w:p w14:paraId="768E1A29">
      <w:pPr>
        <w:spacing w:line="440" w:lineRule="exact"/>
        <w:ind w:firstLine="315" w:firstLineChars="150"/>
        <w:rPr>
          <w:rFonts w:hint="eastAsia" w:ascii="仿宋" w:hAnsi="仿宋" w:eastAsia="仿宋" w:cs="仿宋"/>
          <w:color w:val="auto"/>
          <w:kern w:val="0"/>
          <w:szCs w:val="21"/>
        </w:rPr>
      </w:pPr>
      <w:r>
        <w:rPr>
          <w:rFonts w:hint="eastAsia" w:ascii="仿宋" w:hAnsi="仿宋" w:eastAsia="仿宋" w:cs="仿宋"/>
          <w:color w:val="auto"/>
          <w:kern w:val="0"/>
          <w:szCs w:val="21"/>
        </w:rPr>
        <w:t>9.评标说明：本项目为远程异地全流程电子评标，评标主会场地址：河池市公共资源交易中心（河池市直属机关办公区二楼东侧（河池市宜州区庆远镇高家堡西路 1 号）），联系方式：0778-2303258； 评标分会场地址：根据项目要求落实确定。</w:t>
      </w:r>
    </w:p>
    <w:p w14:paraId="6BC6ECE3">
      <w:pPr>
        <w:pStyle w:val="56"/>
        <w:rPr>
          <w:rFonts w:hint="eastAsia" w:ascii="仿宋" w:hAnsi="仿宋" w:eastAsia="仿宋" w:cs="仿宋"/>
          <w:color w:val="auto"/>
        </w:rPr>
      </w:pPr>
    </w:p>
    <w:p w14:paraId="385D64ED">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七、对本次招标提出询问，请按以下方式联系。</w:t>
      </w:r>
      <w:bookmarkEnd w:id="26"/>
      <w:bookmarkEnd w:id="27"/>
      <w:bookmarkEnd w:id="28"/>
      <w:bookmarkEnd w:id="29"/>
    </w:p>
    <w:p w14:paraId="601A3C2B">
      <w:pPr>
        <w:spacing w:line="440" w:lineRule="exact"/>
        <w:ind w:firstLine="424" w:firstLineChars="202"/>
        <w:rPr>
          <w:rFonts w:hint="eastAsia" w:ascii="仿宋" w:hAnsi="仿宋" w:eastAsia="仿宋" w:cs="仿宋"/>
          <w:color w:val="auto"/>
        </w:rPr>
      </w:pPr>
      <w:r>
        <w:rPr>
          <w:rFonts w:hint="eastAsia" w:ascii="仿宋" w:hAnsi="仿宋" w:eastAsia="仿宋" w:cs="仿宋"/>
          <w:color w:val="auto"/>
        </w:rPr>
        <w:t>1.采购人信息</w:t>
      </w:r>
    </w:p>
    <w:p w14:paraId="65D737C7">
      <w:pPr>
        <w:spacing w:line="440" w:lineRule="exact"/>
        <w:ind w:firstLine="424" w:firstLineChars="202"/>
        <w:rPr>
          <w:rFonts w:hint="eastAsia" w:ascii="仿宋" w:hAnsi="仿宋" w:eastAsia="仿宋" w:cs="仿宋"/>
          <w:color w:val="auto"/>
          <w:lang w:eastAsia="zh-CN"/>
        </w:rPr>
      </w:pPr>
      <w:r>
        <w:rPr>
          <w:rFonts w:hint="eastAsia" w:ascii="仿宋" w:hAnsi="仿宋" w:eastAsia="仿宋" w:cs="仿宋"/>
          <w:color w:val="auto"/>
        </w:rPr>
        <w:t>名称：</w:t>
      </w:r>
      <w:r>
        <w:rPr>
          <w:rFonts w:hint="eastAsia" w:ascii="仿宋" w:hAnsi="仿宋" w:eastAsia="仿宋" w:cs="仿宋"/>
          <w:color w:val="auto"/>
          <w:lang w:eastAsia="zh-CN"/>
        </w:rPr>
        <w:t>天峨县人民医院</w:t>
      </w:r>
    </w:p>
    <w:p w14:paraId="7978A8E3">
      <w:pPr>
        <w:spacing w:line="440" w:lineRule="exact"/>
        <w:ind w:firstLine="424" w:firstLineChars="202"/>
        <w:rPr>
          <w:rFonts w:hint="eastAsia" w:ascii="仿宋" w:hAnsi="仿宋" w:eastAsia="仿宋" w:cs="仿宋"/>
          <w:color w:val="auto"/>
        </w:rPr>
      </w:pPr>
      <w:r>
        <w:rPr>
          <w:rFonts w:hint="eastAsia" w:ascii="仿宋" w:hAnsi="仿宋" w:eastAsia="仿宋" w:cs="仿宋"/>
          <w:color w:val="auto"/>
        </w:rPr>
        <w:t>地址：天峨县六排镇新民街001号</w:t>
      </w:r>
    </w:p>
    <w:p w14:paraId="4D05DFF0">
      <w:pPr>
        <w:spacing w:line="440" w:lineRule="exact"/>
        <w:ind w:firstLine="424" w:firstLineChars="202"/>
        <w:rPr>
          <w:rFonts w:hint="eastAsia" w:ascii="仿宋" w:hAnsi="仿宋" w:eastAsia="仿宋" w:cs="仿宋"/>
          <w:color w:val="auto"/>
          <w:lang w:val="en-US" w:eastAsia="zh-CN"/>
        </w:rPr>
      </w:pPr>
      <w:r>
        <w:rPr>
          <w:rFonts w:hint="eastAsia" w:ascii="仿宋" w:hAnsi="仿宋" w:eastAsia="仿宋" w:cs="仿宋"/>
          <w:color w:val="auto"/>
        </w:rPr>
        <w:t>项目联系人：</w:t>
      </w:r>
      <w:r>
        <w:rPr>
          <w:rFonts w:hint="eastAsia" w:ascii="仿宋" w:hAnsi="仿宋" w:eastAsia="仿宋" w:cs="仿宋"/>
          <w:color w:val="auto"/>
          <w:lang w:val="en-US" w:eastAsia="zh-CN"/>
        </w:rPr>
        <w:t xml:space="preserve">  </w:t>
      </w:r>
    </w:p>
    <w:p w14:paraId="24626C50">
      <w:pPr>
        <w:spacing w:line="440" w:lineRule="exact"/>
        <w:ind w:firstLine="424" w:firstLineChars="202"/>
        <w:rPr>
          <w:rFonts w:hint="eastAsia" w:ascii="仿宋" w:hAnsi="仿宋" w:eastAsia="仿宋" w:cs="仿宋"/>
          <w:color w:val="auto"/>
        </w:rPr>
      </w:pPr>
      <w:r>
        <w:rPr>
          <w:rFonts w:hint="eastAsia" w:ascii="仿宋" w:hAnsi="仿宋" w:eastAsia="仿宋" w:cs="仿宋"/>
          <w:color w:val="auto"/>
        </w:rPr>
        <w:t>联系电话：0778-7829190</w:t>
      </w:r>
    </w:p>
    <w:p w14:paraId="67C85EE3">
      <w:pPr>
        <w:spacing w:line="440" w:lineRule="exact"/>
        <w:ind w:firstLine="424" w:firstLineChars="202"/>
        <w:rPr>
          <w:rFonts w:hint="eastAsia" w:ascii="仿宋" w:hAnsi="仿宋" w:eastAsia="仿宋" w:cs="仿宋"/>
          <w:color w:val="auto"/>
        </w:rPr>
      </w:pPr>
      <w:r>
        <w:rPr>
          <w:rFonts w:hint="eastAsia" w:ascii="仿宋" w:hAnsi="仿宋" w:eastAsia="仿宋" w:cs="仿宋"/>
          <w:color w:val="auto"/>
        </w:rPr>
        <w:t>2.采购代理机构信息</w:t>
      </w:r>
    </w:p>
    <w:p w14:paraId="78458793">
      <w:pPr>
        <w:spacing w:line="440" w:lineRule="exact"/>
        <w:ind w:firstLine="424" w:firstLineChars="202"/>
        <w:rPr>
          <w:rFonts w:hint="eastAsia" w:ascii="仿宋" w:hAnsi="仿宋" w:eastAsia="仿宋" w:cs="仿宋"/>
          <w:color w:val="auto"/>
        </w:rPr>
      </w:pPr>
      <w:r>
        <w:rPr>
          <w:rFonts w:hint="eastAsia" w:ascii="仿宋" w:hAnsi="仿宋" w:eastAsia="仿宋" w:cs="仿宋"/>
          <w:color w:val="auto"/>
        </w:rPr>
        <w:t>名 称：广西北部湾佰亿招标造价咨询有限公司</w:t>
      </w:r>
    </w:p>
    <w:p w14:paraId="2949E1A9">
      <w:pPr>
        <w:spacing w:line="440" w:lineRule="exact"/>
        <w:ind w:firstLine="424" w:firstLineChars="202"/>
        <w:rPr>
          <w:rFonts w:hint="eastAsia" w:ascii="仿宋" w:hAnsi="仿宋" w:eastAsia="仿宋" w:cs="仿宋"/>
          <w:color w:val="auto"/>
        </w:rPr>
      </w:pPr>
      <w:r>
        <w:rPr>
          <w:rFonts w:hint="eastAsia" w:ascii="仿宋" w:hAnsi="仿宋" w:eastAsia="仿宋" w:cs="仿宋"/>
          <w:color w:val="auto"/>
        </w:rPr>
        <w:t>地 址：河池市金城江区任香路金旅国际投资大厦2单元1803号</w:t>
      </w:r>
    </w:p>
    <w:p w14:paraId="20C5CA8A">
      <w:pPr>
        <w:spacing w:line="440" w:lineRule="exact"/>
        <w:ind w:firstLine="424" w:firstLineChars="202"/>
        <w:rPr>
          <w:rFonts w:hint="eastAsia" w:ascii="仿宋" w:hAnsi="仿宋" w:eastAsia="仿宋" w:cs="仿宋"/>
          <w:color w:val="auto"/>
        </w:rPr>
      </w:pPr>
      <w:r>
        <w:rPr>
          <w:rFonts w:hint="eastAsia" w:ascii="仿宋" w:hAnsi="仿宋" w:eastAsia="仿宋" w:cs="仿宋"/>
          <w:color w:val="auto"/>
        </w:rPr>
        <w:t>联系方式：0778-2281799</w:t>
      </w:r>
    </w:p>
    <w:p w14:paraId="15AE5533">
      <w:pPr>
        <w:spacing w:line="440" w:lineRule="exact"/>
        <w:ind w:firstLine="424" w:firstLineChars="202"/>
        <w:rPr>
          <w:rFonts w:hint="eastAsia" w:ascii="仿宋" w:hAnsi="仿宋" w:eastAsia="仿宋" w:cs="仿宋"/>
          <w:color w:val="auto"/>
        </w:rPr>
      </w:pPr>
      <w:r>
        <w:rPr>
          <w:rFonts w:hint="eastAsia" w:ascii="仿宋" w:hAnsi="仿宋" w:eastAsia="仿宋" w:cs="仿宋"/>
          <w:color w:val="auto"/>
        </w:rPr>
        <w:t>3.项目联系方式</w:t>
      </w:r>
    </w:p>
    <w:p w14:paraId="1C5D1DFF">
      <w:pPr>
        <w:spacing w:line="440" w:lineRule="exact"/>
        <w:ind w:firstLine="424" w:firstLineChars="202"/>
        <w:rPr>
          <w:rFonts w:hint="eastAsia" w:ascii="仿宋" w:hAnsi="仿宋" w:eastAsia="仿宋" w:cs="仿宋"/>
          <w:color w:val="auto"/>
        </w:rPr>
      </w:pPr>
      <w:r>
        <w:rPr>
          <w:rFonts w:hint="eastAsia" w:ascii="仿宋" w:hAnsi="仿宋" w:eastAsia="仿宋" w:cs="仿宋"/>
          <w:color w:val="auto"/>
        </w:rPr>
        <w:t>项目联系人：甘敏燕</w:t>
      </w:r>
    </w:p>
    <w:p w14:paraId="7ED779F4">
      <w:pPr>
        <w:spacing w:line="440" w:lineRule="exact"/>
        <w:ind w:firstLine="424" w:firstLineChars="202"/>
        <w:rPr>
          <w:rFonts w:hint="eastAsia" w:ascii="仿宋" w:hAnsi="仿宋" w:eastAsia="仿宋" w:cs="仿宋"/>
          <w:color w:val="auto"/>
          <w:szCs w:val="21"/>
        </w:rPr>
      </w:pPr>
      <w:r>
        <w:rPr>
          <w:rFonts w:hint="eastAsia" w:ascii="仿宋" w:hAnsi="仿宋" w:eastAsia="仿宋" w:cs="仿宋"/>
          <w:color w:val="auto"/>
        </w:rPr>
        <w:t>电 话：0778-2281799</w:t>
      </w:r>
    </w:p>
    <w:p w14:paraId="7C42CD34">
      <w:pPr>
        <w:snapToGrid w:val="0"/>
        <w:spacing w:line="320" w:lineRule="exact"/>
        <w:rPr>
          <w:rFonts w:hint="eastAsia" w:ascii="仿宋" w:hAnsi="仿宋" w:eastAsia="仿宋" w:cs="仿宋"/>
          <w:color w:val="auto"/>
          <w:sz w:val="24"/>
          <w:szCs w:val="20"/>
        </w:rPr>
      </w:pPr>
    </w:p>
    <w:p w14:paraId="13C65C38">
      <w:pPr>
        <w:snapToGrid w:val="0"/>
        <w:spacing w:line="320" w:lineRule="exact"/>
        <w:rPr>
          <w:rFonts w:hint="eastAsia" w:ascii="仿宋" w:hAnsi="仿宋" w:eastAsia="仿宋" w:cs="仿宋"/>
          <w:color w:val="auto"/>
          <w:sz w:val="24"/>
          <w:szCs w:val="20"/>
        </w:rPr>
      </w:pPr>
    </w:p>
    <w:p w14:paraId="7B8702E1">
      <w:pPr>
        <w:spacing w:line="360" w:lineRule="auto"/>
        <w:ind w:firstLine="420"/>
        <w:jc w:val="right"/>
        <w:rPr>
          <w:rFonts w:hint="eastAsia" w:ascii="仿宋" w:hAnsi="仿宋" w:eastAsia="仿宋" w:cs="仿宋"/>
          <w:color w:val="auto"/>
        </w:rPr>
      </w:pPr>
      <w:r>
        <w:rPr>
          <w:rFonts w:hint="eastAsia" w:ascii="仿宋" w:hAnsi="仿宋" w:eastAsia="仿宋" w:cs="仿宋"/>
          <w:color w:val="auto"/>
        </w:rPr>
        <w:br w:type="page"/>
      </w:r>
    </w:p>
    <w:p w14:paraId="4D3661CD">
      <w:pPr>
        <w:pStyle w:val="2"/>
        <w:jc w:val="center"/>
        <w:rPr>
          <w:rFonts w:hint="eastAsia" w:ascii="仿宋" w:hAnsi="仿宋" w:eastAsia="仿宋" w:cs="仿宋"/>
          <w:color w:val="auto"/>
        </w:rPr>
      </w:pPr>
      <w:bookmarkStart w:id="30" w:name="_Toc26355"/>
      <w:bookmarkStart w:id="31" w:name="_Toc74320801"/>
      <w:r>
        <w:rPr>
          <w:rFonts w:hint="eastAsia" w:ascii="仿宋" w:hAnsi="仿宋" w:eastAsia="仿宋" w:cs="仿宋"/>
          <w:color w:val="auto"/>
        </w:rPr>
        <w:t>第二章  采购需求</w:t>
      </w:r>
      <w:bookmarkEnd w:id="30"/>
      <w:bookmarkEnd w:id="31"/>
    </w:p>
    <w:p w14:paraId="65EB7EDF">
      <w:pPr>
        <w:pStyle w:val="56"/>
        <w:ind w:firstLine="683" w:firstLineChars="200"/>
        <w:rPr>
          <w:rFonts w:hint="eastAsia" w:ascii="仿宋" w:hAnsi="仿宋" w:eastAsia="仿宋" w:cs="仿宋"/>
          <w:b/>
          <w:bCs w:val="0"/>
          <w:i w:val="0"/>
          <w:iCs w:val="0"/>
          <w:color w:val="auto"/>
          <w:kern w:val="0"/>
          <w:sz w:val="32"/>
          <w:szCs w:val="32"/>
          <w:u w:val="none"/>
          <w:lang w:val="en-US" w:eastAsia="zh-CN" w:bidi="ar"/>
        </w:rPr>
      </w:pPr>
      <w:bookmarkStart w:id="32" w:name="_Toc254970490"/>
      <w:bookmarkStart w:id="33" w:name="_Toc254970631"/>
    </w:p>
    <w:bookmarkEnd w:id="32"/>
    <w:bookmarkEnd w:id="33"/>
    <w:p w14:paraId="43CBE864">
      <w:pPr>
        <w:jc w:val="center"/>
        <w:outlineLvl w:val="2"/>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lang w:eastAsia="zh-CN"/>
        </w:rPr>
        <w:t>天峨县人民医院保洁、洗涤服务项目项目需求</w:t>
      </w:r>
    </w:p>
    <w:p w14:paraId="218F9A6A">
      <w:pPr>
        <w:pageBreakBefore w:val="0"/>
        <w:widowControl w:val="0"/>
        <w:kinsoku/>
        <w:wordWrap/>
        <w:overflowPunct/>
        <w:topLinePunct w:val="0"/>
        <w:autoSpaceDE/>
        <w:autoSpaceDN/>
        <w:bidi w:val="0"/>
        <w:adjustRightInd/>
        <w:spacing w:line="560" w:lineRule="exact"/>
        <w:textAlignment w:val="auto"/>
        <w:outlineLvl w:val="2"/>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一、服务内容及范围</w:t>
      </w:r>
      <w:r>
        <w:rPr>
          <w:rFonts w:hint="eastAsia" w:ascii="仿宋" w:hAnsi="仿宋" w:eastAsia="仿宋" w:cs="仿宋"/>
          <w:b/>
          <w:bCs/>
          <w:color w:val="auto"/>
          <w:sz w:val="24"/>
          <w:szCs w:val="24"/>
        </w:rPr>
        <w:t>（★附具体保洁、洗涤工作责任区明细表）</w:t>
      </w:r>
    </w:p>
    <w:p w14:paraId="57FD45B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1、负责医院</w:t>
      </w:r>
      <w:r>
        <w:rPr>
          <w:rFonts w:hint="eastAsia" w:ascii="仿宋" w:hAnsi="仿宋" w:eastAsia="仿宋" w:cs="仿宋"/>
          <w:color w:val="auto"/>
          <w:sz w:val="24"/>
          <w:szCs w:val="24"/>
        </w:rPr>
        <w:t>院内整体卫生保洁等后勤保障服务</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包括门诊楼、住院楼、</w:t>
      </w:r>
      <w:r>
        <w:rPr>
          <w:rFonts w:hint="eastAsia" w:ascii="仿宋" w:hAnsi="仿宋" w:eastAsia="仿宋" w:cs="仿宋"/>
          <w:color w:val="auto"/>
          <w:sz w:val="24"/>
          <w:szCs w:val="24"/>
          <w:lang w:eastAsia="zh-CN"/>
        </w:rPr>
        <w:t>康复住院</w:t>
      </w:r>
      <w:r>
        <w:rPr>
          <w:rFonts w:hint="eastAsia" w:ascii="仿宋" w:hAnsi="仿宋" w:eastAsia="仿宋" w:cs="仿宋"/>
          <w:color w:val="auto"/>
          <w:sz w:val="24"/>
          <w:szCs w:val="24"/>
        </w:rPr>
        <w:t>楼、医技楼、急救综合楼、</w:t>
      </w:r>
      <w:r>
        <w:rPr>
          <w:rFonts w:hint="eastAsia" w:ascii="仿宋" w:hAnsi="仿宋" w:eastAsia="仿宋" w:cs="仿宋"/>
          <w:color w:val="auto"/>
          <w:sz w:val="24"/>
          <w:szCs w:val="24"/>
          <w:lang w:eastAsia="zh-CN"/>
        </w:rPr>
        <w:t>感染性疾病科综合楼（</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楼</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楼、</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eastAsia="zh-CN"/>
        </w:rPr>
        <w:t>楼、</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eastAsia="zh-CN"/>
        </w:rPr>
        <w:t>楼）、</w:t>
      </w:r>
      <w:r>
        <w:rPr>
          <w:rFonts w:hint="eastAsia" w:ascii="仿宋" w:hAnsi="仿宋" w:eastAsia="仿宋" w:cs="仿宋"/>
          <w:color w:val="auto"/>
          <w:sz w:val="24"/>
          <w:szCs w:val="24"/>
        </w:rPr>
        <w:t>存放垃圾场地、职工住宿楼区外围</w:t>
      </w:r>
      <w:r>
        <w:rPr>
          <w:rFonts w:hint="eastAsia" w:ascii="仿宋" w:hAnsi="仿宋" w:eastAsia="仿宋" w:cs="仿宋"/>
          <w:color w:val="auto"/>
          <w:sz w:val="24"/>
          <w:szCs w:val="24"/>
          <w:lang w:eastAsia="zh-CN"/>
        </w:rPr>
        <w:t>、城区道路（医院门前道路卫生）、</w:t>
      </w:r>
      <w:r>
        <w:rPr>
          <w:rFonts w:hint="eastAsia" w:ascii="仿宋" w:hAnsi="仿宋" w:eastAsia="仿宋" w:cs="仿宋"/>
          <w:color w:val="auto"/>
          <w:sz w:val="24"/>
          <w:szCs w:val="24"/>
        </w:rPr>
        <w:t>洗衣房用工区、停车场</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院内公共场地等整体保洁</w:t>
      </w:r>
      <w:r>
        <w:rPr>
          <w:rFonts w:hint="eastAsia" w:ascii="仿宋" w:hAnsi="仿宋" w:eastAsia="仿宋" w:cs="仿宋"/>
          <w:color w:val="auto"/>
          <w:sz w:val="24"/>
          <w:szCs w:val="24"/>
          <w:lang w:eastAsia="zh-CN"/>
        </w:rPr>
        <w:t>工作。</w:t>
      </w:r>
    </w:p>
    <w:p w14:paraId="47E177D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2、负责</w:t>
      </w:r>
      <w:r>
        <w:rPr>
          <w:rFonts w:hint="eastAsia" w:ascii="仿宋" w:hAnsi="仿宋" w:eastAsia="仿宋" w:cs="仿宋"/>
          <w:color w:val="auto"/>
          <w:sz w:val="24"/>
          <w:szCs w:val="24"/>
        </w:rPr>
        <w:t>供应室的器械清洗、</w:t>
      </w:r>
      <w:r>
        <w:rPr>
          <w:rFonts w:hint="eastAsia" w:ascii="仿宋" w:hAnsi="仿宋" w:eastAsia="仿宋" w:cs="仿宋"/>
          <w:color w:val="auto"/>
          <w:sz w:val="24"/>
          <w:szCs w:val="24"/>
          <w:lang w:val="en-US" w:eastAsia="zh-CN"/>
        </w:rPr>
        <w:t>下</w:t>
      </w:r>
      <w:r>
        <w:rPr>
          <w:rFonts w:hint="eastAsia" w:ascii="仿宋" w:hAnsi="仿宋" w:eastAsia="仿宋" w:cs="仿宋"/>
          <w:color w:val="auto"/>
          <w:sz w:val="24"/>
          <w:szCs w:val="24"/>
        </w:rPr>
        <w:t>收上送</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手术室敷料折贴、打包、</w:t>
      </w:r>
      <w:r>
        <w:rPr>
          <w:rFonts w:hint="eastAsia" w:ascii="仿宋" w:hAnsi="仿宋" w:eastAsia="仿宋" w:cs="仿宋"/>
          <w:color w:val="auto"/>
          <w:sz w:val="24"/>
          <w:szCs w:val="24"/>
          <w:lang w:eastAsia="zh-CN"/>
        </w:rPr>
        <w:t>手术</w:t>
      </w:r>
      <w:r>
        <w:rPr>
          <w:rFonts w:hint="eastAsia" w:ascii="仿宋" w:hAnsi="仿宋" w:eastAsia="仿宋" w:cs="仿宋"/>
          <w:color w:val="auto"/>
          <w:sz w:val="24"/>
          <w:szCs w:val="24"/>
        </w:rPr>
        <w:t>器械、物品、</w:t>
      </w:r>
      <w:r>
        <w:rPr>
          <w:rFonts w:hint="eastAsia" w:ascii="仿宋" w:hAnsi="仿宋" w:eastAsia="仿宋" w:cs="仿宋"/>
          <w:color w:val="auto"/>
          <w:sz w:val="24"/>
          <w:szCs w:val="24"/>
          <w:lang w:eastAsia="zh-CN"/>
        </w:rPr>
        <w:t>无菌</w:t>
      </w:r>
      <w:r>
        <w:rPr>
          <w:rFonts w:hint="eastAsia" w:ascii="仿宋" w:hAnsi="仿宋" w:eastAsia="仿宋" w:cs="仿宋"/>
          <w:color w:val="auto"/>
          <w:sz w:val="24"/>
          <w:szCs w:val="24"/>
          <w:lang w:val="zh-CN" w:eastAsia="zh-CN"/>
        </w:rPr>
        <w:t>包的</w:t>
      </w:r>
      <w:r>
        <w:rPr>
          <w:rFonts w:hint="eastAsia" w:ascii="仿宋" w:hAnsi="仿宋" w:eastAsia="仿宋" w:cs="仿宋"/>
          <w:color w:val="auto"/>
          <w:sz w:val="24"/>
          <w:szCs w:val="24"/>
          <w:lang w:val="en-US" w:eastAsia="zh-CN"/>
        </w:rPr>
        <w:t>下</w:t>
      </w:r>
      <w:r>
        <w:rPr>
          <w:rFonts w:hint="eastAsia" w:ascii="仿宋" w:hAnsi="仿宋" w:eastAsia="仿宋" w:cs="仿宋"/>
          <w:color w:val="auto"/>
          <w:sz w:val="24"/>
          <w:szCs w:val="24"/>
        </w:rPr>
        <w:t>收上送</w:t>
      </w:r>
      <w:r>
        <w:rPr>
          <w:rFonts w:hint="eastAsia" w:ascii="仿宋" w:hAnsi="仿宋" w:eastAsia="仿宋" w:cs="仿宋"/>
          <w:color w:val="auto"/>
          <w:sz w:val="24"/>
          <w:szCs w:val="24"/>
          <w:lang w:eastAsia="zh-CN"/>
        </w:rPr>
        <w:t>、洗鞋并消毒、送标本；</w:t>
      </w:r>
      <w:r>
        <w:rPr>
          <w:rFonts w:hint="eastAsia" w:ascii="仿宋" w:hAnsi="仿宋" w:eastAsia="仿宋" w:cs="仿宋"/>
          <w:color w:val="auto"/>
          <w:sz w:val="24"/>
          <w:szCs w:val="24"/>
        </w:rPr>
        <w:t>病区开水房烧开水、热水的供应、科室职工饮用水的供应</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煮中药、</w:t>
      </w:r>
      <w:r>
        <w:rPr>
          <w:rFonts w:hint="eastAsia" w:ascii="仿宋" w:hAnsi="仿宋" w:eastAsia="仿宋" w:cs="仿宋"/>
          <w:color w:val="auto"/>
          <w:sz w:val="24"/>
          <w:szCs w:val="24"/>
          <w:lang w:eastAsia="zh-CN"/>
        </w:rPr>
        <w:t>各科室</w:t>
      </w:r>
      <w:r>
        <w:rPr>
          <w:rFonts w:hint="eastAsia" w:ascii="仿宋" w:hAnsi="仿宋" w:eastAsia="仿宋" w:cs="仿宋"/>
          <w:color w:val="auto"/>
          <w:sz w:val="24"/>
          <w:szCs w:val="24"/>
        </w:rPr>
        <w:t>药品、耗材领用</w:t>
      </w:r>
      <w:r>
        <w:rPr>
          <w:rFonts w:hint="eastAsia" w:ascii="仿宋" w:hAnsi="仿宋" w:eastAsia="仿宋" w:cs="仿宋"/>
          <w:color w:val="auto"/>
          <w:sz w:val="24"/>
          <w:szCs w:val="24"/>
          <w:lang w:eastAsia="zh-CN"/>
        </w:rPr>
        <w:t>；部分科室标本运送</w:t>
      </w:r>
      <w:r>
        <w:rPr>
          <w:rFonts w:hint="eastAsia" w:ascii="仿宋" w:hAnsi="仿宋" w:eastAsia="仿宋" w:cs="仿宋"/>
          <w:color w:val="auto"/>
          <w:sz w:val="24"/>
          <w:szCs w:val="24"/>
        </w:rPr>
        <w:t>等</w:t>
      </w:r>
      <w:r>
        <w:rPr>
          <w:rFonts w:hint="eastAsia" w:ascii="仿宋" w:hAnsi="仿宋" w:eastAsia="仿宋" w:cs="仿宋"/>
          <w:color w:val="auto"/>
          <w:sz w:val="24"/>
          <w:szCs w:val="24"/>
          <w:lang w:eastAsia="zh-CN"/>
        </w:rPr>
        <w:t>工作。</w:t>
      </w:r>
    </w:p>
    <w:p w14:paraId="3B382D1D">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医废布草管理</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负责院内布草下收下送、消毒、织物缝补</w:t>
      </w:r>
      <w:r>
        <w:rPr>
          <w:rFonts w:hint="eastAsia" w:ascii="仿宋" w:hAnsi="仿宋" w:eastAsia="仿宋" w:cs="仿宋"/>
          <w:color w:val="auto"/>
          <w:sz w:val="24"/>
          <w:szCs w:val="24"/>
          <w:lang w:eastAsia="zh-CN"/>
        </w:rPr>
        <w:t>；病区垃圾收集、</w:t>
      </w:r>
      <w:r>
        <w:rPr>
          <w:rFonts w:hint="eastAsia" w:ascii="仿宋" w:hAnsi="仿宋" w:eastAsia="仿宋" w:cs="仿宋"/>
          <w:color w:val="auto"/>
          <w:sz w:val="24"/>
          <w:szCs w:val="24"/>
        </w:rPr>
        <w:t>清运等工作。</w:t>
      </w:r>
    </w:p>
    <w:p w14:paraId="0C359A69">
      <w:pPr>
        <w:pageBreakBefore w:val="0"/>
        <w:widowControl w:val="0"/>
        <w:kinsoku/>
        <w:wordWrap/>
        <w:overflowPunct/>
        <w:topLinePunct w:val="0"/>
        <w:autoSpaceDE/>
        <w:autoSpaceDN/>
        <w:bidi w:val="0"/>
        <w:adjustRightInd/>
        <w:spacing w:line="56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★附具体保洁、洗涤工作责任区明细表</w:t>
      </w:r>
    </w:p>
    <w:tbl>
      <w:tblPr>
        <w:tblStyle w:val="47"/>
        <w:tblW w:w="9478"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19"/>
        <w:gridCol w:w="797"/>
        <w:gridCol w:w="1467"/>
        <w:gridCol w:w="5064"/>
        <w:gridCol w:w="656"/>
      </w:tblGrid>
      <w:tr w14:paraId="29BA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5" w:type="dxa"/>
            <w:tcBorders>
              <w:tl2br w:val="nil"/>
              <w:tr2bl w:val="nil"/>
            </w:tcBorders>
            <w:noWrap w:val="0"/>
            <w:vAlign w:val="top"/>
          </w:tcPr>
          <w:p w14:paraId="1DA3FD31">
            <w:pPr>
              <w:spacing w:beforeLines="0" w:afterLines="0"/>
              <w:jc w:val="center"/>
              <w:rPr>
                <w:rFonts w:hint="eastAsia" w:ascii="仿宋" w:hAnsi="仿宋" w:eastAsia="仿宋" w:cs="仿宋"/>
                <w:b/>
                <w:color w:val="auto"/>
                <w:sz w:val="21"/>
                <w:szCs w:val="24"/>
              </w:rPr>
            </w:pPr>
            <w:r>
              <w:rPr>
                <w:rFonts w:hint="eastAsia" w:ascii="仿宋" w:hAnsi="仿宋" w:eastAsia="仿宋" w:cs="仿宋"/>
                <w:b/>
                <w:color w:val="auto"/>
                <w:sz w:val="21"/>
                <w:szCs w:val="24"/>
              </w:rPr>
              <w:t>序号</w:t>
            </w:r>
          </w:p>
        </w:tc>
        <w:tc>
          <w:tcPr>
            <w:tcW w:w="1616" w:type="dxa"/>
            <w:gridSpan w:val="2"/>
            <w:tcBorders>
              <w:tl2br w:val="nil"/>
              <w:tr2bl w:val="nil"/>
            </w:tcBorders>
            <w:noWrap w:val="0"/>
            <w:vAlign w:val="top"/>
          </w:tcPr>
          <w:p w14:paraId="084A3E7A">
            <w:pPr>
              <w:spacing w:beforeLines="0" w:afterLines="0"/>
              <w:ind w:firstLine="632" w:firstLineChars="300"/>
              <w:jc w:val="both"/>
              <w:rPr>
                <w:rFonts w:hint="eastAsia" w:ascii="仿宋" w:hAnsi="仿宋" w:eastAsia="仿宋" w:cs="仿宋"/>
                <w:b/>
                <w:color w:val="auto"/>
                <w:sz w:val="21"/>
                <w:szCs w:val="24"/>
              </w:rPr>
            </w:pPr>
            <w:r>
              <w:rPr>
                <w:rFonts w:hint="eastAsia" w:ascii="仿宋" w:hAnsi="仿宋" w:eastAsia="仿宋" w:cs="仿宋"/>
                <w:b/>
                <w:color w:val="auto"/>
                <w:sz w:val="21"/>
                <w:szCs w:val="24"/>
              </w:rPr>
              <w:t>部门</w:t>
            </w:r>
          </w:p>
        </w:tc>
        <w:tc>
          <w:tcPr>
            <w:tcW w:w="1467" w:type="dxa"/>
            <w:tcBorders>
              <w:tl2br w:val="nil"/>
              <w:tr2bl w:val="nil"/>
            </w:tcBorders>
            <w:noWrap w:val="0"/>
            <w:vAlign w:val="top"/>
          </w:tcPr>
          <w:p w14:paraId="74A9530E">
            <w:pPr>
              <w:spacing w:beforeLines="0" w:afterLines="0"/>
              <w:jc w:val="center"/>
              <w:rPr>
                <w:rFonts w:hint="eastAsia" w:ascii="仿宋" w:hAnsi="仿宋" w:eastAsia="仿宋" w:cs="仿宋"/>
                <w:b/>
                <w:color w:val="auto"/>
                <w:sz w:val="21"/>
                <w:szCs w:val="24"/>
              </w:rPr>
            </w:pPr>
            <w:r>
              <w:rPr>
                <w:rFonts w:hint="eastAsia" w:ascii="仿宋" w:hAnsi="仿宋" w:eastAsia="仿宋" w:cs="仿宋"/>
                <w:b/>
                <w:color w:val="auto"/>
                <w:sz w:val="21"/>
                <w:szCs w:val="24"/>
              </w:rPr>
              <w:t>服务地点</w:t>
            </w:r>
          </w:p>
        </w:tc>
        <w:tc>
          <w:tcPr>
            <w:tcW w:w="5064" w:type="dxa"/>
            <w:tcBorders>
              <w:tl2br w:val="nil"/>
              <w:tr2bl w:val="nil"/>
            </w:tcBorders>
            <w:noWrap w:val="0"/>
            <w:vAlign w:val="top"/>
          </w:tcPr>
          <w:p w14:paraId="2488C42D">
            <w:pPr>
              <w:spacing w:beforeLines="0" w:afterLines="0"/>
              <w:jc w:val="center"/>
              <w:rPr>
                <w:rFonts w:hint="eastAsia" w:ascii="仿宋" w:hAnsi="仿宋" w:eastAsia="仿宋" w:cs="仿宋"/>
                <w:b/>
                <w:color w:val="auto"/>
                <w:sz w:val="21"/>
                <w:szCs w:val="24"/>
              </w:rPr>
            </w:pPr>
            <w:r>
              <w:rPr>
                <w:rFonts w:hint="eastAsia" w:ascii="仿宋" w:hAnsi="仿宋" w:eastAsia="仿宋" w:cs="仿宋"/>
                <w:b/>
                <w:color w:val="auto"/>
                <w:sz w:val="21"/>
                <w:szCs w:val="24"/>
              </w:rPr>
              <w:t>工作区域</w:t>
            </w:r>
          </w:p>
        </w:tc>
        <w:tc>
          <w:tcPr>
            <w:tcW w:w="656" w:type="dxa"/>
            <w:tcBorders>
              <w:tl2br w:val="nil"/>
              <w:tr2bl w:val="nil"/>
            </w:tcBorders>
            <w:noWrap w:val="0"/>
            <w:vAlign w:val="top"/>
          </w:tcPr>
          <w:p w14:paraId="01EB477E">
            <w:pPr>
              <w:spacing w:beforeLines="0" w:afterLines="0"/>
              <w:jc w:val="center"/>
              <w:rPr>
                <w:rFonts w:hint="eastAsia" w:ascii="仿宋" w:hAnsi="仿宋" w:eastAsia="仿宋" w:cs="仿宋"/>
                <w:b/>
                <w:color w:val="auto"/>
                <w:sz w:val="21"/>
                <w:szCs w:val="24"/>
              </w:rPr>
            </w:pPr>
            <w:r>
              <w:rPr>
                <w:rFonts w:hint="eastAsia" w:ascii="仿宋" w:hAnsi="仿宋" w:eastAsia="仿宋" w:cs="仿宋"/>
                <w:b/>
                <w:color w:val="auto"/>
                <w:sz w:val="21"/>
                <w:szCs w:val="24"/>
              </w:rPr>
              <w:t>备注</w:t>
            </w:r>
          </w:p>
        </w:tc>
      </w:tr>
      <w:tr w14:paraId="0871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675" w:type="dxa"/>
            <w:tcBorders>
              <w:tl2br w:val="nil"/>
              <w:tr2bl w:val="nil"/>
            </w:tcBorders>
            <w:noWrap w:val="0"/>
            <w:vAlign w:val="center"/>
          </w:tcPr>
          <w:p w14:paraId="701833E6">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1</w:t>
            </w:r>
          </w:p>
        </w:tc>
        <w:tc>
          <w:tcPr>
            <w:tcW w:w="1616" w:type="dxa"/>
            <w:gridSpan w:val="2"/>
            <w:tcBorders>
              <w:tl2br w:val="nil"/>
              <w:tr2bl w:val="nil"/>
            </w:tcBorders>
            <w:noWrap w:val="0"/>
            <w:vAlign w:val="center"/>
          </w:tcPr>
          <w:p w14:paraId="50CA16C4">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保洁主管</w:t>
            </w:r>
          </w:p>
        </w:tc>
        <w:tc>
          <w:tcPr>
            <w:tcW w:w="1467" w:type="dxa"/>
            <w:tcBorders>
              <w:tl2br w:val="nil"/>
              <w:tr2bl w:val="nil"/>
            </w:tcBorders>
            <w:noWrap w:val="0"/>
            <w:vAlign w:val="center"/>
          </w:tcPr>
          <w:p w14:paraId="7DEAB77D">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全院所有保洁、洗涤的工作区域</w:t>
            </w:r>
          </w:p>
        </w:tc>
        <w:tc>
          <w:tcPr>
            <w:tcW w:w="5064" w:type="dxa"/>
            <w:tcBorders>
              <w:tl2br w:val="nil"/>
              <w:tr2bl w:val="nil"/>
            </w:tcBorders>
            <w:noWrap w:val="0"/>
            <w:vAlign w:val="top"/>
          </w:tcPr>
          <w:p w14:paraId="59779F57">
            <w:pPr>
              <w:spacing w:beforeLines="0" w:afterLines="0"/>
              <w:jc w:val="both"/>
              <w:rPr>
                <w:rFonts w:hint="eastAsia" w:ascii="仿宋" w:hAnsi="仿宋" w:eastAsia="仿宋" w:cs="仿宋"/>
                <w:color w:val="auto"/>
                <w:sz w:val="21"/>
                <w:szCs w:val="24"/>
              </w:rPr>
            </w:pPr>
            <w:r>
              <w:rPr>
                <w:rFonts w:hint="eastAsia" w:ascii="仿宋" w:hAnsi="仿宋" w:eastAsia="仿宋" w:cs="仿宋"/>
                <w:color w:val="auto"/>
                <w:sz w:val="21"/>
                <w:szCs w:val="24"/>
              </w:rPr>
              <w:t>承包单位必聘请（或指定）一位经理（项目负责人），全权代表其负责管理承包服务工作、并与院方保持密切联系。项目经理具备有二年以上从事医院后勤服务管理的经验和曾担任过一年以上医院后勤服务管理负责人的经历。</w:t>
            </w:r>
          </w:p>
        </w:tc>
        <w:tc>
          <w:tcPr>
            <w:tcW w:w="656" w:type="dxa"/>
            <w:tcBorders>
              <w:tl2br w:val="nil"/>
              <w:tr2bl w:val="nil"/>
            </w:tcBorders>
            <w:noWrap w:val="0"/>
            <w:vAlign w:val="top"/>
          </w:tcPr>
          <w:p w14:paraId="35B99CF2">
            <w:pPr>
              <w:spacing w:beforeLines="0" w:afterLines="0"/>
              <w:jc w:val="center"/>
              <w:rPr>
                <w:rFonts w:hint="eastAsia" w:ascii="仿宋" w:hAnsi="仿宋" w:eastAsia="仿宋" w:cs="仿宋"/>
                <w:color w:val="auto"/>
                <w:sz w:val="21"/>
                <w:szCs w:val="24"/>
              </w:rPr>
            </w:pPr>
          </w:p>
        </w:tc>
      </w:tr>
      <w:tr w14:paraId="1F4B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75" w:type="dxa"/>
            <w:tcBorders>
              <w:tl2br w:val="nil"/>
              <w:tr2bl w:val="nil"/>
            </w:tcBorders>
            <w:noWrap w:val="0"/>
            <w:vAlign w:val="top"/>
          </w:tcPr>
          <w:p w14:paraId="3A897C79">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2</w:t>
            </w:r>
          </w:p>
        </w:tc>
        <w:tc>
          <w:tcPr>
            <w:tcW w:w="1616" w:type="dxa"/>
            <w:gridSpan w:val="2"/>
            <w:tcBorders>
              <w:tl2br w:val="nil"/>
              <w:tr2bl w:val="nil"/>
            </w:tcBorders>
            <w:noWrap w:val="0"/>
            <w:vAlign w:val="center"/>
          </w:tcPr>
          <w:p w14:paraId="4879427C">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供</w:t>
            </w:r>
            <w:r>
              <w:rPr>
                <w:rFonts w:hint="eastAsia" w:ascii="仿宋" w:hAnsi="仿宋" w:eastAsia="仿宋" w:cs="仿宋"/>
                <w:color w:val="auto"/>
                <w:sz w:val="21"/>
                <w:szCs w:val="24"/>
                <w:lang w:eastAsia="zh-CN"/>
              </w:rPr>
              <w:t>应</w:t>
            </w:r>
            <w:r>
              <w:rPr>
                <w:rFonts w:hint="eastAsia" w:ascii="仿宋" w:hAnsi="仿宋" w:eastAsia="仿宋" w:cs="仿宋"/>
                <w:color w:val="auto"/>
                <w:sz w:val="21"/>
                <w:szCs w:val="24"/>
              </w:rPr>
              <w:t>室</w:t>
            </w:r>
          </w:p>
        </w:tc>
        <w:tc>
          <w:tcPr>
            <w:tcW w:w="1467" w:type="dxa"/>
            <w:tcBorders>
              <w:tl2br w:val="nil"/>
              <w:tr2bl w:val="nil"/>
            </w:tcBorders>
            <w:noWrap w:val="0"/>
            <w:vAlign w:val="center"/>
          </w:tcPr>
          <w:p w14:paraId="504CD579">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住院部一楼</w:t>
            </w:r>
          </w:p>
        </w:tc>
        <w:tc>
          <w:tcPr>
            <w:tcW w:w="5064" w:type="dxa"/>
            <w:tcBorders>
              <w:tl2br w:val="nil"/>
              <w:tr2bl w:val="nil"/>
            </w:tcBorders>
            <w:noWrap w:val="0"/>
            <w:vAlign w:val="top"/>
          </w:tcPr>
          <w:p w14:paraId="0377D310">
            <w:pPr>
              <w:spacing w:beforeLines="0" w:afterLines="0"/>
              <w:jc w:val="both"/>
              <w:rPr>
                <w:rFonts w:hint="eastAsia" w:ascii="仿宋" w:hAnsi="仿宋" w:eastAsia="仿宋" w:cs="仿宋"/>
                <w:color w:val="auto"/>
                <w:sz w:val="21"/>
                <w:szCs w:val="24"/>
              </w:rPr>
            </w:pPr>
            <w:r>
              <w:rPr>
                <w:rFonts w:hint="eastAsia" w:ascii="仿宋" w:hAnsi="仿宋" w:eastAsia="仿宋" w:cs="仿宋"/>
                <w:color w:val="auto"/>
                <w:sz w:val="21"/>
                <w:szCs w:val="24"/>
              </w:rPr>
              <w:t>清洗器械、下收上送器械，全面清洁、垃圾清理回收</w:t>
            </w:r>
            <w:r>
              <w:rPr>
                <w:rFonts w:hint="eastAsia" w:ascii="仿宋" w:hAnsi="仿宋" w:eastAsia="仿宋" w:cs="仿宋"/>
                <w:color w:val="auto"/>
                <w:sz w:val="21"/>
                <w:szCs w:val="24"/>
                <w:lang w:eastAsia="zh-CN"/>
              </w:rPr>
              <w:t>等工作</w:t>
            </w:r>
            <w:r>
              <w:rPr>
                <w:rFonts w:hint="eastAsia" w:ascii="仿宋" w:hAnsi="仿宋" w:eastAsia="仿宋" w:cs="仿宋"/>
                <w:color w:val="auto"/>
                <w:sz w:val="21"/>
                <w:szCs w:val="24"/>
              </w:rPr>
              <w:t>。</w:t>
            </w:r>
          </w:p>
        </w:tc>
        <w:tc>
          <w:tcPr>
            <w:tcW w:w="656" w:type="dxa"/>
            <w:tcBorders>
              <w:tl2br w:val="nil"/>
              <w:tr2bl w:val="nil"/>
            </w:tcBorders>
            <w:noWrap w:val="0"/>
            <w:vAlign w:val="top"/>
          </w:tcPr>
          <w:p w14:paraId="5ED032A5">
            <w:pPr>
              <w:spacing w:beforeLines="0" w:afterLines="0"/>
              <w:jc w:val="center"/>
              <w:rPr>
                <w:rFonts w:hint="eastAsia" w:ascii="仿宋" w:hAnsi="仿宋" w:eastAsia="仿宋" w:cs="仿宋"/>
                <w:color w:val="auto"/>
                <w:sz w:val="21"/>
                <w:szCs w:val="24"/>
              </w:rPr>
            </w:pPr>
          </w:p>
        </w:tc>
      </w:tr>
      <w:tr w14:paraId="04FC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tcBorders>
              <w:tl2br w:val="nil"/>
              <w:tr2bl w:val="nil"/>
            </w:tcBorders>
            <w:noWrap w:val="0"/>
            <w:vAlign w:val="top"/>
          </w:tcPr>
          <w:p w14:paraId="36EACE97">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3</w:t>
            </w:r>
          </w:p>
        </w:tc>
        <w:tc>
          <w:tcPr>
            <w:tcW w:w="1616" w:type="dxa"/>
            <w:gridSpan w:val="2"/>
            <w:tcBorders>
              <w:tl2br w:val="nil"/>
              <w:tr2bl w:val="nil"/>
            </w:tcBorders>
            <w:noWrap w:val="0"/>
            <w:vAlign w:val="center"/>
          </w:tcPr>
          <w:p w14:paraId="7E84189E">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内科一病区</w:t>
            </w:r>
          </w:p>
        </w:tc>
        <w:tc>
          <w:tcPr>
            <w:tcW w:w="1467" w:type="dxa"/>
            <w:tcBorders>
              <w:tl2br w:val="nil"/>
              <w:tr2bl w:val="nil"/>
            </w:tcBorders>
            <w:noWrap w:val="0"/>
            <w:vAlign w:val="center"/>
          </w:tcPr>
          <w:p w14:paraId="565FF811">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住院部二楼</w:t>
            </w:r>
          </w:p>
        </w:tc>
        <w:tc>
          <w:tcPr>
            <w:tcW w:w="5064" w:type="dxa"/>
            <w:tcBorders>
              <w:tl2br w:val="nil"/>
              <w:tr2bl w:val="nil"/>
            </w:tcBorders>
            <w:noWrap w:val="0"/>
            <w:vAlign w:val="top"/>
          </w:tcPr>
          <w:p w14:paraId="34A072A6">
            <w:pPr>
              <w:spacing w:beforeLines="0" w:afterLines="0"/>
              <w:jc w:val="both"/>
              <w:rPr>
                <w:rFonts w:hint="eastAsia" w:ascii="仿宋" w:hAnsi="仿宋" w:eastAsia="仿宋" w:cs="仿宋"/>
                <w:color w:val="auto"/>
                <w:sz w:val="21"/>
                <w:szCs w:val="24"/>
              </w:rPr>
            </w:pPr>
            <w:r>
              <w:rPr>
                <w:rFonts w:hint="eastAsia" w:ascii="仿宋" w:hAnsi="仿宋" w:eastAsia="仿宋" w:cs="仿宋"/>
                <w:color w:val="auto"/>
                <w:sz w:val="21"/>
                <w:szCs w:val="24"/>
              </w:rPr>
              <w:t>全面清洁、垃圾清理回收、打饮用水</w:t>
            </w:r>
            <w:r>
              <w:rPr>
                <w:rFonts w:hint="eastAsia" w:ascii="仿宋" w:hAnsi="仿宋" w:eastAsia="仿宋" w:cs="仿宋"/>
                <w:color w:val="auto"/>
                <w:sz w:val="21"/>
                <w:szCs w:val="24"/>
                <w:lang w:eastAsia="zh-CN"/>
              </w:rPr>
              <w:t>等工作</w:t>
            </w:r>
          </w:p>
        </w:tc>
        <w:tc>
          <w:tcPr>
            <w:tcW w:w="656" w:type="dxa"/>
            <w:tcBorders>
              <w:tl2br w:val="nil"/>
              <w:tr2bl w:val="nil"/>
            </w:tcBorders>
            <w:noWrap w:val="0"/>
            <w:vAlign w:val="top"/>
          </w:tcPr>
          <w:p w14:paraId="28BEE10B">
            <w:pPr>
              <w:spacing w:beforeLines="0" w:afterLines="0"/>
              <w:jc w:val="center"/>
              <w:rPr>
                <w:rFonts w:hint="eastAsia" w:ascii="仿宋" w:hAnsi="仿宋" w:eastAsia="仿宋" w:cs="仿宋"/>
                <w:color w:val="auto"/>
                <w:sz w:val="21"/>
                <w:szCs w:val="24"/>
              </w:rPr>
            </w:pPr>
          </w:p>
        </w:tc>
      </w:tr>
      <w:tr w14:paraId="4C26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75" w:type="dxa"/>
            <w:tcBorders>
              <w:tl2br w:val="nil"/>
              <w:tr2bl w:val="nil"/>
            </w:tcBorders>
            <w:noWrap w:val="0"/>
            <w:vAlign w:val="top"/>
          </w:tcPr>
          <w:p w14:paraId="2EE920A1">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4</w:t>
            </w:r>
          </w:p>
        </w:tc>
        <w:tc>
          <w:tcPr>
            <w:tcW w:w="1616" w:type="dxa"/>
            <w:gridSpan w:val="2"/>
            <w:tcBorders>
              <w:tl2br w:val="nil"/>
              <w:tr2bl w:val="nil"/>
            </w:tcBorders>
            <w:noWrap w:val="0"/>
            <w:vAlign w:val="center"/>
          </w:tcPr>
          <w:p w14:paraId="45CAB5FC">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妇产科</w:t>
            </w:r>
          </w:p>
        </w:tc>
        <w:tc>
          <w:tcPr>
            <w:tcW w:w="1467" w:type="dxa"/>
            <w:tcBorders>
              <w:tl2br w:val="nil"/>
              <w:tr2bl w:val="nil"/>
            </w:tcBorders>
            <w:noWrap w:val="0"/>
            <w:vAlign w:val="center"/>
          </w:tcPr>
          <w:p w14:paraId="2A15C96F">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住院部三楼</w:t>
            </w:r>
          </w:p>
        </w:tc>
        <w:tc>
          <w:tcPr>
            <w:tcW w:w="5064" w:type="dxa"/>
            <w:tcBorders>
              <w:tl2br w:val="nil"/>
              <w:tr2bl w:val="nil"/>
            </w:tcBorders>
            <w:noWrap w:val="0"/>
            <w:vAlign w:val="top"/>
          </w:tcPr>
          <w:p w14:paraId="7C42AC18">
            <w:pPr>
              <w:spacing w:beforeLines="0" w:afterLines="0"/>
              <w:jc w:val="both"/>
              <w:rPr>
                <w:rFonts w:hint="eastAsia" w:ascii="仿宋" w:hAnsi="仿宋" w:eastAsia="仿宋" w:cs="仿宋"/>
                <w:color w:val="auto"/>
                <w:sz w:val="21"/>
                <w:szCs w:val="24"/>
              </w:rPr>
            </w:pPr>
            <w:r>
              <w:rPr>
                <w:rFonts w:hint="eastAsia" w:ascii="仿宋" w:hAnsi="仿宋" w:eastAsia="仿宋" w:cs="仿宋"/>
                <w:color w:val="auto"/>
                <w:sz w:val="21"/>
                <w:szCs w:val="24"/>
              </w:rPr>
              <w:t>全面清洁、垃圾清理回收、打饮用水</w:t>
            </w:r>
            <w:r>
              <w:rPr>
                <w:rFonts w:hint="eastAsia" w:ascii="仿宋" w:hAnsi="仿宋" w:eastAsia="仿宋" w:cs="仿宋"/>
                <w:color w:val="auto"/>
                <w:sz w:val="21"/>
                <w:szCs w:val="24"/>
                <w:lang w:eastAsia="zh-CN"/>
              </w:rPr>
              <w:t>等工作</w:t>
            </w:r>
          </w:p>
        </w:tc>
        <w:tc>
          <w:tcPr>
            <w:tcW w:w="656" w:type="dxa"/>
            <w:tcBorders>
              <w:tl2br w:val="nil"/>
              <w:tr2bl w:val="nil"/>
            </w:tcBorders>
            <w:noWrap w:val="0"/>
            <w:vAlign w:val="top"/>
          </w:tcPr>
          <w:p w14:paraId="72C581D7">
            <w:pPr>
              <w:spacing w:beforeLines="0" w:afterLines="0"/>
              <w:jc w:val="center"/>
              <w:rPr>
                <w:rFonts w:hint="eastAsia" w:ascii="仿宋" w:hAnsi="仿宋" w:eastAsia="仿宋" w:cs="仿宋"/>
                <w:color w:val="auto"/>
                <w:sz w:val="21"/>
                <w:szCs w:val="24"/>
              </w:rPr>
            </w:pPr>
          </w:p>
        </w:tc>
      </w:tr>
      <w:tr w14:paraId="2087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tcBorders>
              <w:tl2br w:val="nil"/>
              <w:tr2bl w:val="nil"/>
            </w:tcBorders>
            <w:noWrap w:val="0"/>
            <w:vAlign w:val="top"/>
          </w:tcPr>
          <w:p w14:paraId="1FDFDEB7">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5</w:t>
            </w:r>
          </w:p>
        </w:tc>
        <w:tc>
          <w:tcPr>
            <w:tcW w:w="1616" w:type="dxa"/>
            <w:gridSpan w:val="2"/>
            <w:tcBorders>
              <w:tl2br w:val="nil"/>
              <w:tr2bl w:val="nil"/>
            </w:tcBorders>
            <w:noWrap w:val="0"/>
            <w:vAlign w:val="center"/>
          </w:tcPr>
          <w:p w14:paraId="166BD658">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外科一病区</w:t>
            </w:r>
          </w:p>
        </w:tc>
        <w:tc>
          <w:tcPr>
            <w:tcW w:w="1467" w:type="dxa"/>
            <w:tcBorders>
              <w:tl2br w:val="nil"/>
              <w:tr2bl w:val="nil"/>
            </w:tcBorders>
            <w:noWrap w:val="0"/>
            <w:vAlign w:val="center"/>
          </w:tcPr>
          <w:p w14:paraId="51C0DC59">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住院部四楼</w:t>
            </w:r>
          </w:p>
        </w:tc>
        <w:tc>
          <w:tcPr>
            <w:tcW w:w="5064" w:type="dxa"/>
            <w:tcBorders>
              <w:tl2br w:val="nil"/>
              <w:tr2bl w:val="nil"/>
            </w:tcBorders>
            <w:noWrap w:val="0"/>
            <w:vAlign w:val="top"/>
          </w:tcPr>
          <w:p w14:paraId="2E56E39D">
            <w:pPr>
              <w:spacing w:beforeLines="0" w:afterLines="0"/>
              <w:jc w:val="both"/>
              <w:rPr>
                <w:rFonts w:hint="eastAsia" w:ascii="仿宋" w:hAnsi="仿宋" w:eastAsia="仿宋" w:cs="仿宋"/>
                <w:color w:val="auto"/>
                <w:sz w:val="21"/>
                <w:szCs w:val="24"/>
              </w:rPr>
            </w:pPr>
            <w:r>
              <w:rPr>
                <w:rFonts w:hint="eastAsia" w:ascii="仿宋" w:hAnsi="仿宋" w:eastAsia="仿宋" w:cs="仿宋"/>
                <w:color w:val="auto"/>
                <w:sz w:val="21"/>
                <w:szCs w:val="24"/>
              </w:rPr>
              <w:t>全面清洁、垃圾清理回收、打饮用水</w:t>
            </w:r>
            <w:r>
              <w:rPr>
                <w:rFonts w:hint="eastAsia" w:ascii="仿宋" w:hAnsi="仿宋" w:eastAsia="仿宋" w:cs="仿宋"/>
                <w:color w:val="auto"/>
                <w:sz w:val="21"/>
                <w:szCs w:val="24"/>
                <w:lang w:eastAsia="zh-CN"/>
              </w:rPr>
              <w:t>等工作</w:t>
            </w:r>
          </w:p>
        </w:tc>
        <w:tc>
          <w:tcPr>
            <w:tcW w:w="656" w:type="dxa"/>
            <w:tcBorders>
              <w:tl2br w:val="nil"/>
              <w:tr2bl w:val="nil"/>
            </w:tcBorders>
            <w:noWrap w:val="0"/>
            <w:vAlign w:val="top"/>
          </w:tcPr>
          <w:p w14:paraId="3342951D">
            <w:pPr>
              <w:spacing w:beforeLines="0" w:afterLines="0"/>
              <w:jc w:val="center"/>
              <w:rPr>
                <w:rFonts w:hint="eastAsia" w:ascii="仿宋" w:hAnsi="仿宋" w:eastAsia="仿宋" w:cs="仿宋"/>
                <w:color w:val="auto"/>
                <w:sz w:val="21"/>
                <w:szCs w:val="24"/>
              </w:rPr>
            </w:pPr>
          </w:p>
        </w:tc>
      </w:tr>
      <w:tr w14:paraId="0B80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Borders>
              <w:tl2br w:val="nil"/>
              <w:tr2bl w:val="nil"/>
            </w:tcBorders>
            <w:noWrap w:val="0"/>
            <w:vAlign w:val="top"/>
          </w:tcPr>
          <w:p w14:paraId="3901B710">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6</w:t>
            </w:r>
          </w:p>
        </w:tc>
        <w:tc>
          <w:tcPr>
            <w:tcW w:w="1616" w:type="dxa"/>
            <w:gridSpan w:val="2"/>
            <w:tcBorders>
              <w:tl2br w:val="nil"/>
              <w:tr2bl w:val="nil"/>
            </w:tcBorders>
            <w:noWrap w:val="0"/>
            <w:vAlign w:val="center"/>
          </w:tcPr>
          <w:p w14:paraId="15965E93">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外科二病区</w:t>
            </w:r>
          </w:p>
        </w:tc>
        <w:tc>
          <w:tcPr>
            <w:tcW w:w="1467" w:type="dxa"/>
            <w:tcBorders>
              <w:tl2br w:val="nil"/>
              <w:tr2bl w:val="nil"/>
            </w:tcBorders>
            <w:noWrap w:val="0"/>
            <w:vAlign w:val="center"/>
          </w:tcPr>
          <w:p w14:paraId="18B204DC">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住院部五楼</w:t>
            </w:r>
          </w:p>
        </w:tc>
        <w:tc>
          <w:tcPr>
            <w:tcW w:w="5064" w:type="dxa"/>
            <w:tcBorders>
              <w:tl2br w:val="nil"/>
              <w:tr2bl w:val="nil"/>
            </w:tcBorders>
            <w:noWrap w:val="0"/>
            <w:vAlign w:val="top"/>
          </w:tcPr>
          <w:p w14:paraId="663E49FC">
            <w:pPr>
              <w:spacing w:beforeLines="0" w:afterLines="0"/>
              <w:jc w:val="both"/>
              <w:rPr>
                <w:rFonts w:hint="eastAsia" w:ascii="仿宋" w:hAnsi="仿宋" w:eastAsia="仿宋" w:cs="仿宋"/>
                <w:color w:val="auto"/>
                <w:sz w:val="21"/>
                <w:szCs w:val="24"/>
              </w:rPr>
            </w:pPr>
            <w:r>
              <w:rPr>
                <w:rFonts w:hint="eastAsia" w:ascii="仿宋" w:hAnsi="仿宋" w:eastAsia="仿宋" w:cs="仿宋"/>
                <w:color w:val="auto"/>
                <w:sz w:val="21"/>
                <w:szCs w:val="24"/>
              </w:rPr>
              <w:t>全面清洁、垃圾清理回收、打饮用水</w:t>
            </w:r>
            <w:r>
              <w:rPr>
                <w:rFonts w:hint="eastAsia" w:ascii="仿宋" w:hAnsi="仿宋" w:eastAsia="仿宋" w:cs="仿宋"/>
                <w:color w:val="auto"/>
                <w:sz w:val="21"/>
                <w:szCs w:val="24"/>
                <w:lang w:eastAsia="zh-CN"/>
              </w:rPr>
              <w:t>等工作</w:t>
            </w:r>
          </w:p>
        </w:tc>
        <w:tc>
          <w:tcPr>
            <w:tcW w:w="656" w:type="dxa"/>
            <w:tcBorders>
              <w:tl2br w:val="nil"/>
              <w:tr2bl w:val="nil"/>
            </w:tcBorders>
            <w:noWrap w:val="0"/>
            <w:vAlign w:val="top"/>
          </w:tcPr>
          <w:p w14:paraId="59DA727C">
            <w:pPr>
              <w:spacing w:beforeLines="0" w:afterLines="0"/>
              <w:jc w:val="center"/>
              <w:rPr>
                <w:rFonts w:hint="eastAsia" w:ascii="仿宋" w:hAnsi="仿宋" w:eastAsia="仿宋" w:cs="仿宋"/>
                <w:color w:val="auto"/>
                <w:sz w:val="21"/>
                <w:szCs w:val="24"/>
              </w:rPr>
            </w:pPr>
          </w:p>
        </w:tc>
      </w:tr>
      <w:tr w14:paraId="38B2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5" w:type="dxa"/>
            <w:tcBorders>
              <w:tl2br w:val="nil"/>
              <w:tr2bl w:val="nil"/>
            </w:tcBorders>
            <w:noWrap w:val="0"/>
            <w:vAlign w:val="top"/>
          </w:tcPr>
          <w:p w14:paraId="66AC9D59">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7</w:t>
            </w:r>
          </w:p>
        </w:tc>
        <w:tc>
          <w:tcPr>
            <w:tcW w:w="1616" w:type="dxa"/>
            <w:gridSpan w:val="2"/>
            <w:tcBorders>
              <w:tl2br w:val="nil"/>
              <w:tr2bl w:val="nil"/>
            </w:tcBorders>
            <w:noWrap w:val="0"/>
            <w:vAlign w:val="center"/>
          </w:tcPr>
          <w:p w14:paraId="7C1A70B9">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手术室</w:t>
            </w:r>
          </w:p>
        </w:tc>
        <w:tc>
          <w:tcPr>
            <w:tcW w:w="1467" w:type="dxa"/>
            <w:tcBorders>
              <w:tl2br w:val="nil"/>
              <w:tr2bl w:val="nil"/>
            </w:tcBorders>
            <w:noWrap w:val="0"/>
            <w:vAlign w:val="center"/>
          </w:tcPr>
          <w:p w14:paraId="06F38EFD">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住院部六楼</w:t>
            </w:r>
          </w:p>
        </w:tc>
        <w:tc>
          <w:tcPr>
            <w:tcW w:w="5064" w:type="dxa"/>
            <w:tcBorders>
              <w:tl2br w:val="nil"/>
              <w:tr2bl w:val="nil"/>
            </w:tcBorders>
            <w:noWrap w:val="0"/>
            <w:vAlign w:val="top"/>
          </w:tcPr>
          <w:p w14:paraId="468D8855">
            <w:pPr>
              <w:spacing w:beforeLines="0" w:afterLines="0"/>
              <w:jc w:val="both"/>
              <w:rPr>
                <w:rFonts w:hint="eastAsia" w:ascii="仿宋" w:hAnsi="仿宋" w:eastAsia="仿宋" w:cs="仿宋"/>
                <w:color w:val="auto"/>
                <w:sz w:val="21"/>
                <w:szCs w:val="24"/>
              </w:rPr>
            </w:pPr>
            <w:r>
              <w:rPr>
                <w:rFonts w:hint="eastAsia" w:ascii="仿宋" w:hAnsi="仿宋" w:eastAsia="仿宋" w:cs="仿宋"/>
                <w:color w:val="auto"/>
                <w:sz w:val="21"/>
                <w:szCs w:val="24"/>
              </w:rPr>
              <w:t>擦仪器，送器械、送标本，领药、领材料、领输液器，叠衣服并打包，消毒并叠洗手巾，洗鞋并消毒，打饮用水，全面清洁、垃圾清理回收</w:t>
            </w:r>
            <w:r>
              <w:rPr>
                <w:rFonts w:hint="eastAsia" w:ascii="仿宋" w:hAnsi="仿宋" w:eastAsia="仿宋" w:cs="仿宋"/>
                <w:color w:val="auto"/>
                <w:sz w:val="21"/>
                <w:szCs w:val="24"/>
                <w:lang w:eastAsia="zh-CN"/>
              </w:rPr>
              <w:t>等工作</w:t>
            </w:r>
          </w:p>
        </w:tc>
        <w:tc>
          <w:tcPr>
            <w:tcW w:w="656" w:type="dxa"/>
            <w:tcBorders>
              <w:tl2br w:val="nil"/>
              <w:tr2bl w:val="nil"/>
            </w:tcBorders>
            <w:noWrap w:val="0"/>
            <w:vAlign w:val="top"/>
          </w:tcPr>
          <w:p w14:paraId="04FD8B34">
            <w:pPr>
              <w:spacing w:beforeLines="0" w:afterLines="0"/>
              <w:jc w:val="center"/>
              <w:rPr>
                <w:rFonts w:hint="eastAsia" w:ascii="仿宋" w:hAnsi="仿宋" w:eastAsia="仿宋" w:cs="仿宋"/>
                <w:color w:val="auto"/>
                <w:sz w:val="21"/>
                <w:szCs w:val="24"/>
              </w:rPr>
            </w:pPr>
          </w:p>
        </w:tc>
      </w:tr>
      <w:tr w14:paraId="4F28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75" w:type="dxa"/>
            <w:tcBorders>
              <w:tl2br w:val="nil"/>
              <w:tr2bl w:val="nil"/>
            </w:tcBorders>
            <w:noWrap w:val="0"/>
            <w:vAlign w:val="top"/>
          </w:tcPr>
          <w:p w14:paraId="76EAAB31">
            <w:pPr>
              <w:spacing w:beforeLines="0" w:afterLines="0"/>
              <w:jc w:val="center"/>
              <w:rPr>
                <w:rFonts w:hint="eastAsia" w:ascii="仿宋" w:hAnsi="仿宋" w:eastAsia="仿宋" w:cs="仿宋"/>
                <w:color w:val="auto"/>
                <w:sz w:val="21"/>
                <w:szCs w:val="24"/>
                <w:lang w:val="en-US" w:eastAsia="zh-CN"/>
              </w:rPr>
            </w:pPr>
            <w:r>
              <w:rPr>
                <w:rFonts w:hint="eastAsia" w:ascii="仿宋" w:hAnsi="仿宋" w:eastAsia="仿宋" w:cs="仿宋"/>
                <w:color w:val="auto"/>
                <w:sz w:val="21"/>
                <w:szCs w:val="24"/>
                <w:lang w:val="en-US" w:eastAsia="zh-CN"/>
              </w:rPr>
              <w:t>8</w:t>
            </w:r>
          </w:p>
        </w:tc>
        <w:tc>
          <w:tcPr>
            <w:tcW w:w="1616" w:type="dxa"/>
            <w:gridSpan w:val="2"/>
            <w:tcBorders>
              <w:tl2br w:val="nil"/>
              <w:tr2bl w:val="nil"/>
            </w:tcBorders>
            <w:noWrap w:val="0"/>
            <w:vAlign w:val="center"/>
          </w:tcPr>
          <w:p w14:paraId="361DFB84">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胃镜室</w:t>
            </w:r>
          </w:p>
        </w:tc>
        <w:tc>
          <w:tcPr>
            <w:tcW w:w="1467" w:type="dxa"/>
            <w:tcBorders>
              <w:tl2br w:val="nil"/>
              <w:tr2bl w:val="nil"/>
            </w:tcBorders>
            <w:noWrap w:val="0"/>
            <w:vAlign w:val="center"/>
          </w:tcPr>
          <w:p w14:paraId="23319864">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医技楼一楼</w:t>
            </w:r>
          </w:p>
        </w:tc>
        <w:tc>
          <w:tcPr>
            <w:tcW w:w="5064" w:type="dxa"/>
            <w:tcBorders>
              <w:tl2br w:val="nil"/>
              <w:tr2bl w:val="nil"/>
            </w:tcBorders>
            <w:noWrap w:val="0"/>
            <w:vAlign w:val="top"/>
          </w:tcPr>
          <w:p w14:paraId="5F71B8E8">
            <w:pPr>
              <w:spacing w:beforeLines="0" w:afterLines="0"/>
              <w:jc w:val="both"/>
              <w:rPr>
                <w:rFonts w:hint="eastAsia" w:ascii="仿宋" w:hAnsi="仿宋" w:eastAsia="仿宋" w:cs="仿宋"/>
                <w:color w:val="auto"/>
                <w:sz w:val="21"/>
                <w:szCs w:val="24"/>
              </w:rPr>
            </w:pPr>
            <w:r>
              <w:rPr>
                <w:rFonts w:hint="eastAsia" w:ascii="仿宋" w:hAnsi="仿宋" w:eastAsia="仿宋" w:cs="仿宋"/>
                <w:color w:val="auto"/>
                <w:sz w:val="21"/>
                <w:szCs w:val="24"/>
              </w:rPr>
              <w:t>全面清洁、垃圾清理回收、打饮用水</w:t>
            </w:r>
            <w:r>
              <w:rPr>
                <w:rFonts w:hint="eastAsia" w:ascii="仿宋" w:hAnsi="仿宋" w:eastAsia="仿宋" w:cs="仿宋"/>
                <w:color w:val="auto"/>
                <w:sz w:val="21"/>
                <w:szCs w:val="24"/>
                <w:lang w:eastAsia="zh-CN"/>
              </w:rPr>
              <w:t>等工作</w:t>
            </w:r>
          </w:p>
        </w:tc>
        <w:tc>
          <w:tcPr>
            <w:tcW w:w="656" w:type="dxa"/>
            <w:tcBorders>
              <w:tl2br w:val="nil"/>
              <w:tr2bl w:val="nil"/>
            </w:tcBorders>
            <w:noWrap w:val="0"/>
            <w:vAlign w:val="top"/>
          </w:tcPr>
          <w:p w14:paraId="2CD639C2">
            <w:pPr>
              <w:spacing w:beforeLines="0" w:afterLines="0"/>
              <w:jc w:val="center"/>
              <w:rPr>
                <w:rFonts w:hint="eastAsia" w:ascii="仿宋" w:hAnsi="仿宋" w:eastAsia="仿宋" w:cs="仿宋"/>
                <w:color w:val="auto"/>
                <w:sz w:val="21"/>
                <w:szCs w:val="24"/>
              </w:rPr>
            </w:pPr>
          </w:p>
        </w:tc>
      </w:tr>
      <w:tr w14:paraId="73CC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75" w:type="dxa"/>
            <w:tcBorders>
              <w:tl2br w:val="nil"/>
              <w:tr2bl w:val="nil"/>
            </w:tcBorders>
            <w:noWrap w:val="0"/>
            <w:vAlign w:val="top"/>
          </w:tcPr>
          <w:p w14:paraId="1C523261">
            <w:pPr>
              <w:spacing w:beforeLines="0" w:afterLines="0"/>
              <w:jc w:val="center"/>
              <w:rPr>
                <w:rFonts w:hint="eastAsia" w:ascii="仿宋" w:hAnsi="仿宋" w:eastAsia="仿宋" w:cs="仿宋"/>
                <w:color w:val="auto"/>
                <w:sz w:val="21"/>
                <w:szCs w:val="24"/>
                <w:lang w:val="en-US" w:eastAsia="zh-CN"/>
              </w:rPr>
            </w:pPr>
            <w:r>
              <w:rPr>
                <w:rFonts w:hint="eastAsia" w:ascii="仿宋" w:hAnsi="仿宋" w:eastAsia="仿宋" w:cs="仿宋"/>
                <w:color w:val="auto"/>
                <w:sz w:val="21"/>
                <w:szCs w:val="24"/>
                <w:lang w:val="en-US" w:eastAsia="zh-CN"/>
              </w:rPr>
              <w:t>9</w:t>
            </w:r>
          </w:p>
        </w:tc>
        <w:tc>
          <w:tcPr>
            <w:tcW w:w="1616" w:type="dxa"/>
            <w:gridSpan w:val="2"/>
            <w:tcBorders>
              <w:tl2br w:val="nil"/>
              <w:tr2bl w:val="nil"/>
            </w:tcBorders>
            <w:noWrap w:val="0"/>
            <w:vAlign w:val="center"/>
          </w:tcPr>
          <w:p w14:paraId="6AD79943">
            <w:pPr>
              <w:spacing w:beforeLines="0" w:afterLines="0"/>
              <w:jc w:val="center"/>
              <w:rPr>
                <w:rFonts w:hint="eastAsia" w:ascii="仿宋" w:hAnsi="仿宋" w:eastAsia="仿宋" w:cs="仿宋"/>
                <w:color w:val="auto"/>
                <w:sz w:val="21"/>
                <w:szCs w:val="24"/>
                <w:lang w:eastAsia="zh-CN"/>
              </w:rPr>
            </w:pPr>
            <w:r>
              <w:rPr>
                <w:rFonts w:hint="eastAsia" w:ascii="仿宋" w:hAnsi="仿宋" w:eastAsia="仿宋" w:cs="仿宋"/>
                <w:color w:val="auto"/>
                <w:sz w:val="21"/>
                <w:szCs w:val="24"/>
                <w:lang w:eastAsia="zh-CN"/>
              </w:rPr>
              <w:t>放射科</w:t>
            </w:r>
          </w:p>
        </w:tc>
        <w:tc>
          <w:tcPr>
            <w:tcW w:w="1467" w:type="dxa"/>
            <w:tcBorders>
              <w:tl2br w:val="nil"/>
              <w:tr2bl w:val="nil"/>
            </w:tcBorders>
            <w:noWrap w:val="0"/>
            <w:vAlign w:val="center"/>
          </w:tcPr>
          <w:p w14:paraId="28F15D73">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医技楼</w:t>
            </w:r>
            <w:r>
              <w:rPr>
                <w:rFonts w:hint="eastAsia" w:ascii="仿宋" w:hAnsi="仿宋" w:eastAsia="仿宋" w:cs="仿宋"/>
                <w:color w:val="auto"/>
                <w:sz w:val="21"/>
                <w:szCs w:val="24"/>
                <w:lang w:eastAsia="zh-CN"/>
              </w:rPr>
              <w:t>二</w:t>
            </w:r>
            <w:r>
              <w:rPr>
                <w:rFonts w:hint="eastAsia" w:ascii="仿宋" w:hAnsi="仿宋" w:eastAsia="仿宋" w:cs="仿宋"/>
                <w:color w:val="auto"/>
                <w:sz w:val="21"/>
                <w:szCs w:val="24"/>
              </w:rPr>
              <w:t>楼</w:t>
            </w:r>
          </w:p>
        </w:tc>
        <w:tc>
          <w:tcPr>
            <w:tcW w:w="5064" w:type="dxa"/>
            <w:tcBorders>
              <w:tl2br w:val="nil"/>
              <w:tr2bl w:val="nil"/>
            </w:tcBorders>
            <w:noWrap w:val="0"/>
            <w:vAlign w:val="center"/>
          </w:tcPr>
          <w:p w14:paraId="61F57E36">
            <w:pPr>
              <w:spacing w:beforeLines="0" w:afterLines="0"/>
              <w:jc w:val="center"/>
              <w:rPr>
                <w:rFonts w:hint="eastAsia" w:ascii="仿宋" w:hAnsi="仿宋" w:eastAsia="仿宋" w:cs="仿宋"/>
                <w:color w:val="auto"/>
                <w:sz w:val="21"/>
                <w:szCs w:val="24"/>
              </w:rPr>
            </w:pPr>
            <w:r>
              <w:rPr>
                <w:rFonts w:hint="eastAsia" w:ascii="仿宋" w:hAnsi="仿宋" w:eastAsia="仿宋" w:cs="仿宋"/>
                <w:color w:val="auto"/>
                <w:sz w:val="21"/>
                <w:szCs w:val="24"/>
              </w:rPr>
              <w:t>全面清洁、垃圾清理回收、打饮用水</w:t>
            </w:r>
            <w:r>
              <w:rPr>
                <w:rFonts w:hint="eastAsia" w:ascii="仿宋" w:hAnsi="仿宋" w:eastAsia="仿宋" w:cs="仿宋"/>
                <w:color w:val="auto"/>
                <w:sz w:val="21"/>
                <w:szCs w:val="24"/>
                <w:lang w:eastAsia="zh-CN"/>
              </w:rPr>
              <w:t>等工作</w:t>
            </w:r>
          </w:p>
        </w:tc>
        <w:tc>
          <w:tcPr>
            <w:tcW w:w="656" w:type="dxa"/>
            <w:tcBorders>
              <w:tl2br w:val="nil"/>
              <w:tr2bl w:val="nil"/>
            </w:tcBorders>
            <w:noWrap w:val="0"/>
            <w:vAlign w:val="top"/>
          </w:tcPr>
          <w:p w14:paraId="6E51A5CD">
            <w:pPr>
              <w:spacing w:beforeLines="0" w:afterLines="0"/>
              <w:jc w:val="center"/>
              <w:rPr>
                <w:rFonts w:hint="eastAsia" w:ascii="仿宋" w:hAnsi="仿宋" w:eastAsia="仿宋" w:cs="仿宋"/>
                <w:color w:val="auto"/>
                <w:sz w:val="21"/>
                <w:szCs w:val="24"/>
              </w:rPr>
            </w:pPr>
          </w:p>
        </w:tc>
      </w:tr>
      <w:tr w14:paraId="0340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75" w:type="dxa"/>
            <w:tcBorders>
              <w:tl2br w:val="nil"/>
              <w:tr2bl w:val="nil"/>
            </w:tcBorders>
            <w:noWrap w:val="0"/>
            <w:vAlign w:val="center"/>
          </w:tcPr>
          <w:p w14:paraId="5DC001CE">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lang w:val="en-US" w:eastAsia="zh-CN"/>
              </w:rPr>
              <w:t>10</w:t>
            </w:r>
          </w:p>
        </w:tc>
        <w:tc>
          <w:tcPr>
            <w:tcW w:w="1616" w:type="dxa"/>
            <w:gridSpan w:val="2"/>
            <w:tcBorders>
              <w:tl2br w:val="nil"/>
              <w:tr2bl w:val="nil"/>
            </w:tcBorders>
            <w:noWrap w:val="0"/>
            <w:vAlign w:val="center"/>
          </w:tcPr>
          <w:p w14:paraId="7BAD3F18">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检验科</w:t>
            </w:r>
          </w:p>
        </w:tc>
        <w:tc>
          <w:tcPr>
            <w:tcW w:w="1467" w:type="dxa"/>
            <w:tcBorders>
              <w:tl2br w:val="nil"/>
              <w:tr2bl w:val="nil"/>
            </w:tcBorders>
            <w:noWrap w:val="0"/>
            <w:vAlign w:val="center"/>
          </w:tcPr>
          <w:p w14:paraId="6CC39318">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医技楼四楼</w:t>
            </w:r>
          </w:p>
        </w:tc>
        <w:tc>
          <w:tcPr>
            <w:tcW w:w="5064" w:type="dxa"/>
            <w:tcBorders>
              <w:tl2br w:val="nil"/>
              <w:tr2bl w:val="nil"/>
            </w:tcBorders>
            <w:noWrap w:val="0"/>
            <w:vAlign w:val="center"/>
          </w:tcPr>
          <w:p w14:paraId="398D5F4A">
            <w:pPr>
              <w:spacing w:beforeLines="0" w:afterLines="0"/>
              <w:jc w:val="center"/>
              <w:rPr>
                <w:rFonts w:hint="eastAsia" w:ascii="仿宋" w:hAnsi="仿宋" w:eastAsia="仿宋" w:cs="仿宋"/>
                <w:color w:val="auto"/>
                <w:sz w:val="21"/>
                <w:szCs w:val="24"/>
                <w:highlight w:val="none"/>
                <w:lang w:val="en-US"/>
              </w:rPr>
            </w:pPr>
            <w:r>
              <w:rPr>
                <w:rFonts w:hint="eastAsia" w:ascii="仿宋" w:hAnsi="仿宋" w:eastAsia="仿宋" w:cs="仿宋"/>
                <w:color w:val="auto"/>
                <w:sz w:val="21"/>
                <w:szCs w:val="24"/>
                <w:highlight w:val="none"/>
              </w:rPr>
              <w:t>擦仪器；洗涤洗血型板、大小便接放盘子、竹签、玻璃片、血库交叉配血的玻璃管、微生物用的培养板子、玻璃管子、塞子并消毒、浸泡、煮、再次洗涤后高压；高生化室用的吸嘴、生化杯、大小子弹头，洗好并烤干；各科室送上来的输血袋要跟护工交接签字；高压全院病人的标本、领耗材、打饮用水、接生化室用来做化验的两大桶纯净水、全面清洁、垃圾清理回收</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254DA517">
            <w:pPr>
              <w:spacing w:beforeLines="0" w:afterLines="0"/>
              <w:jc w:val="center"/>
              <w:rPr>
                <w:rFonts w:hint="eastAsia" w:ascii="仿宋" w:hAnsi="仿宋" w:eastAsia="仿宋" w:cs="仿宋"/>
                <w:color w:val="auto"/>
                <w:sz w:val="21"/>
                <w:szCs w:val="24"/>
                <w:highlight w:val="none"/>
              </w:rPr>
            </w:pPr>
          </w:p>
        </w:tc>
      </w:tr>
      <w:tr w14:paraId="764B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75" w:type="dxa"/>
            <w:tcBorders>
              <w:tl2br w:val="nil"/>
              <w:tr2bl w:val="nil"/>
            </w:tcBorders>
            <w:noWrap w:val="0"/>
            <w:vAlign w:val="top"/>
          </w:tcPr>
          <w:p w14:paraId="1FAE2608">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1</w:t>
            </w:r>
            <w:r>
              <w:rPr>
                <w:rFonts w:hint="eastAsia" w:ascii="仿宋" w:hAnsi="仿宋" w:eastAsia="仿宋" w:cs="仿宋"/>
                <w:color w:val="auto"/>
                <w:sz w:val="21"/>
                <w:szCs w:val="24"/>
                <w:highlight w:val="none"/>
                <w:lang w:val="en-US" w:eastAsia="zh-CN"/>
              </w:rPr>
              <w:t>1</w:t>
            </w:r>
          </w:p>
        </w:tc>
        <w:tc>
          <w:tcPr>
            <w:tcW w:w="1616" w:type="dxa"/>
            <w:gridSpan w:val="2"/>
            <w:tcBorders>
              <w:tl2br w:val="nil"/>
              <w:tr2bl w:val="nil"/>
            </w:tcBorders>
            <w:noWrap w:val="0"/>
            <w:vAlign w:val="center"/>
          </w:tcPr>
          <w:p w14:paraId="47B5D84F">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血库</w:t>
            </w:r>
            <w:r>
              <w:rPr>
                <w:rFonts w:hint="eastAsia" w:ascii="仿宋" w:hAnsi="仿宋" w:eastAsia="仿宋" w:cs="仿宋"/>
                <w:color w:val="auto"/>
                <w:sz w:val="21"/>
                <w:szCs w:val="24"/>
                <w:highlight w:val="none"/>
                <w:lang w:eastAsia="zh-CN"/>
              </w:rPr>
              <w:t>、</w:t>
            </w:r>
            <w:r>
              <w:rPr>
                <w:rFonts w:hint="eastAsia" w:ascii="仿宋" w:hAnsi="仿宋" w:eastAsia="仿宋" w:cs="仿宋"/>
                <w:color w:val="auto"/>
                <w:sz w:val="21"/>
                <w:szCs w:val="24"/>
                <w:highlight w:val="none"/>
              </w:rPr>
              <w:t>病理科</w:t>
            </w:r>
          </w:p>
        </w:tc>
        <w:tc>
          <w:tcPr>
            <w:tcW w:w="1467" w:type="dxa"/>
            <w:tcBorders>
              <w:tl2br w:val="nil"/>
              <w:tr2bl w:val="nil"/>
            </w:tcBorders>
            <w:noWrap w:val="0"/>
            <w:vAlign w:val="center"/>
          </w:tcPr>
          <w:p w14:paraId="0BFB8498">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医技楼五楼</w:t>
            </w:r>
          </w:p>
        </w:tc>
        <w:tc>
          <w:tcPr>
            <w:tcW w:w="5064" w:type="dxa"/>
            <w:tcBorders>
              <w:tl2br w:val="nil"/>
              <w:tr2bl w:val="nil"/>
            </w:tcBorders>
            <w:noWrap w:val="0"/>
            <w:vAlign w:val="top"/>
          </w:tcPr>
          <w:p w14:paraId="7C72DED2">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267637F2">
            <w:pPr>
              <w:spacing w:beforeLines="0" w:afterLines="0"/>
              <w:jc w:val="center"/>
              <w:rPr>
                <w:rFonts w:hint="eastAsia" w:ascii="仿宋" w:hAnsi="仿宋" w:eastAsia="仿宋" w:cs="仿宋"/>
                <w:color w:val="auto"/>
                <w:sz w:val="21"/>
                <w:szCs w:val="24"/>
                <w:highlight w:val="none"/>
              </w:rPr>
            </w:pPr>
          </w:p>
        </w:tc>
      </w:tr>
      <w:tr w14:paraId="261A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5" w:type="dxa"/>
            <w:tcBorders>
              <w:tl2br w:val="nil"/>
              <w:tr2bl w:val="nil"/>
            </w:tcBorders>
            <w:noWrap w:val="0"/>
            <w:vAlign w:val="top"/>
          </w:tcPr>
          <w:p w14:paraId="6D3422D5">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1</w:t>
            </w:r>
            <w:r>
              <w:rPr>
                <w:rFonts w:hint="eastAsia" w:ascii="仿宋" w:hAnsi="仿宋" w:eastAsia="仿宋" w:cs="仿宋"/>
                <w:color w:val="auto"/>
                <w:sz w:val="21"/>
                <w:szCs w:val="24"/>
                <w:highlight w:val="none"/>
                <w:lang w:val="en-US" w:eastAsia="zh-CN"/>
              </w:rPr>
              <w:t>2</w:t>
            </w:r>
          </w:p>
        </w:tc>
        <w:tc>
          <w:tcPr>
            <w:tcW w:w="1616" w:type="dxa"/>
            <w:gridSpan w:val="2"/>
            <w:tcBorders>
              <w:tl2br w:val="nil"/>
              <w:tr2bl w:val="nil"/>
            </w:tcBorders>
            <w:noWrap w:val="0"/>
            <w:vAlign w:val="center"/>
          </w:tcPr>
          <w:p w14:paraId="3F377A3C">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超声科、心电科</w:t>
            </w:r>
          </w:p>
        </w:tc>
        <w:tc>
          <w:tcPr>
            <w:tcW w:w="1467" w:type="dxa"/>
            <w:tcBorders>
              <w:tl2br w:val="nil"/>
              <w:tr2bl w:val="nil"/>
            </w:tcBorders>
            <w:noWrap w:val="0"/>
            <w:vAlign w:val="center"/>
          </w:tcPr>
          <w:p w14:paraId="63A10A48">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医技楼六楼</w:t>
            </w:r>
          </w:p>
        </w:tc>
        <w:tc>
          <w:tcPr>
            <w:tcW w:w="5064" w:type="dxa"/>
            <w:tcBorders>
              <w:tl2br w:val="nil"/>
              <w:tr2bl w:val="nil"/>
            </w:tcBorders>
            <w:noWrap w:val="0"/>
            <w:vAlign w:val="top"/>
          </w:tcPr>
          <w:p w14:paraId="0A5EC948">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5C068786">
            <w:pPr>
              <w:spacing w:beforeLines="0" w:afterLines="0"/>
              <w:jc w:val="center"/>
              <w:rPr>
                <w:rFonts w:hint="eastAsia" w:ascii="仿宋" w:hAnsi="仿宋" w:eastAsia="仿宋" w:cs="仿宋"/>
                <w:color w:val="auto"/>
                <w:sz w:val="21"/>
                <w:szCs w:val="24"/>
                <w:highlight w:val="none"/>
              </w:rPr>
            </w:pPr>
          </w:p>
        </w:tc>
      </w:tr>
      <w:tr w14:paraId="64E5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75" w:type="dxa"/>
            <w:tcBorders>
              <w:tl2br w:val="nil"/>
              <w:tr2bl w:val="nil"/>
            </w:tcBorders>
            <w:noWrap w:val="0"/>
            <w:vAlign w:val="top"/>
          </w:tcPr>
          <w:p w14:paraId="1663DE86">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1</w:t>
            </w:r>
            <w:r>
              <w:rPr>
                <w:rFonts w:hint="eastAsia" w:ascii="仿宋" w:hAnsi="仿宋" w:eastAsia="仿宋" w:cs="仿宋"/>
                <w:color w:val="auto"/>
                <w:sz w:val="21"/>
                <w:szCs w:val="24"/>
                <w:highlight w:val="none"/>
                <w:lang w:val="en-US" w:eastAsia="zh-CN"/>
              </w:rPr>
              <w:t>3</w:t>
            </w:r>
          </w:p>
        </w:tc>
        <w:tc>
          <w:tcPr>
            <w:tcW w:w="1616" w:type="dxa"/>
            <w:gridSpan w:val="2"/>
            <w:tcBorders>
              <w:tl2br w:val="nil"/>
              <w:tr2bl w:val="nil"/>
            </w:tcBorders>
            <w:noWrap w:val="0"/>
            <w:vAlign w:val="center"/>
          </w:tcPr>
          <w:p w14:paraId="5A655197">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门诊楼1楼</w:t>
            </w:r>
          </w:p>
        </w:tc>
        <w:tc>
          <w:tcPr>
            <w:tcW w:w="1467" w:type="dxa"/>
            <w:tcBorders>
              <w:tl2br w:val="nil"/>
              <w:tr2bl w:val="nil"/>
            </w:tcBorders>
            <w:noWrap w:val="0"/>
            <w:vAlign w:val="center"/>
          </w:tcPr>
          <w:p w14:paraId="60D697D0">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1楼</w:t>
            </w:r>
          </w:p>
        </w:tc>
        <w:tc>
          <w:tcPr>
            <w:tcW w:w="5064" w:type="dxa"/>
            <w:tcBorders>
              <w:tl2br w:val="nil"/>
              <w:tr2bl w:val="nil"/>
            </w:tcBorders>
            <w:noWrap w:val="0"/>
            <w:vAlign w:val="top"/>
          </w:tcPr>
          <w:p w14:paraId="6725E736">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2E09A789">
            <w:pPr>
              <w:spacing w:beforeLines="0" w:afterLines="0"/>
              <w:jc w:val="center"/>
              <w:rPr>
                <w:rFonts w:hint="eastAsia" w:ascii="仿宋" w:hAnsi="仿宋" w:eastAsia="仿宋" w:cs="仿宋"/>
                <w:color w:val="auto"/>
                <w:sz w:val="21"/>
                <w:szCs w:val="24"/>
                <w:highlight w:val="none"/>
              </w:rPr>
            </w:pPr>
          </w:p>
        </w:tc>
      </w:tr>
      <w:tr w14:paraId="3FF4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75" w:type="dxa"/>
            <w:tcBorders>
              <w:tl2br w:val="nil"/>
              <w:tr2bl w:val="nil"/>
            </w:tcBorders>
            <w:noWrap w:val="0"/>
            <w:vAlign w:val="top"/>
          </w:tcPr>
          <w:p w14:paraId="58B6E016">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1</w:t>
            </w:r>
            <w:r>
              <w:rPr>
                <w:rFonts w:hint="eastAsia" w:ascii="仿宋" w:hAnsi="仿宋" w:eastAsia="仿宋" w:cs="仿宋"/>
                <w:color w:val="auto"/>
                <w:sz w:val="21"/>
                <w:szCs w:val="24"/>
                <w:highlight w:val="none"/>
                <w:lang w:val="en-US" w:eastAsia="zh-CN"/>
              </w:rPr>
              <w:t>4</w:t>
            </w:r>
          </w:p>
        </w:tc>
        <w:tc>
          <w:tcPr>
            <w:tcW w:w="1616" w:type="dxa"/>
            <w:gridSpan w:val="2"/>
            <w:tcBorders>
              <w:tl2br w:val="nil"/>
              <w:tr2bl w:val="nil"/>
            </w:tcBorders>
            <w:noWrap w:val="0"/>
            <w:vAlign w:val="center"/>
          </w:tcPr>
          <w:p w14:paraId="2783130C">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门诊楼2楼</w:t>
            </w:r>
          </w:p>
        </w:tc>
        <w:tc>
          <w:tcPr>
            <w:tcW w:w="1467" w:type="dxa"/>
            <w:tcBorders>
              <w:tl2br w:val="nil"/>
              <w:tr2bl w:val="nil"/>
            </w:tcBorders>
            <w:noWrap w:val="0"/>
            <w:vAlign w:val="center"/>
          </w:tcPr>
          <w:p w14:paraId="20C1CFC0">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2楼</w:t>
            </w:r>
          </w:p>
        </w:tc>
        <w:tc>
          <w:tcPr>
            <w:tcW w:w="5064" w:type="dxa"/>
            <w:tcBorders>
              <w:tl2br w:val="nil"/>
              <w:tr2bl w:val="nil"/>
            </w:tcBorders>
            <w:noWrap w:val="0"/>
            <w:vAlign w:val="top"/>
          </w:tcPr>
          <w:p w14:paraId="681A6089">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22B7FEED">
            <w:pPr>
              <w:spacing w:beforeLines="0" w:afterLines="0"/>
              <w:jc w:val="center"/>
              <w:rPr>
                <w:rFonts w:hint="eastAsia" w:ascii="仿宋" w:hAnsi="仿宋" w:eastAsia="仿宋" w:cs="仿宋"/>
                <w:color w:val="auto"/>
                <w:sz w:val="21"/>
                <w:szCs w:val="24"/>
                <w:highlight w:val="none"/>
              </w:rPr>
            </w:pPr>
          </w:p>
        </w:tc>
      </w:tr>
      <w:tr w14:paraId="384D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tcBorders>
              <w:tl2br w:val="nil"/>
              <w:tr2bl w:val="nil"/>
            </w:tcBorders>
            <w:noWrap w:val="0"/>
            <w:vAlign w:val="top"/>
          </w:tcPr>
          <w:p w14:paraId="32F25F40">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1</w:t>
            </w:r>
            <w:r>
              <w:rPr>
                <w:rFonts w:hint="eastAsia" w:ascii="仿宋" w:hAnsi="仿宋" w:eastAsia="仿宋" w:cs="仿宋"/>
                <w:color w:val="auto"/>
                <w:sz w:val="21"/>
                <w:szCs w:val="24"/>
                <w:highlight w:val="none"/>
                <w:lang w:val="en-US" w:eastAsia="zh-CN"/>
              </w:rPr>
              <w:t>5</w:t>
            </w:r>
          </w:p>
        </w:tc>
        <w:tc>
          <w:tcPr>
            <w:tcW w:w="1616" w:type="dxa"/>
            <w:gridSpan w:val="2"/>
            <w:tcBorders>
              <w:tl2br w:val="nil"/>
              <w:tr2bl w:val="nil"/>
            </w:tcBorders>
            <w:noWrap w:val="0"/>
            <w:vAlign w:val="center"/>
          </w:tcPr>
          <w:p w14:paraId="282380C1">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门诊楼3楼</w:t>
            </w:r>
          </w:p>
        </w:tc>
        <w:tc>
          <w:tcPr>
            <w:tcW w:w="1467" w:type="dxa"/>
            <w:tcBorders>
              <w:tl2br w:val="nil"/>
              <w:tr2bl w:val="nil"/>
            </w:tcBorders>
            <w:noWrap w:val="0"/>
            <w:vAlign w:val="center"/>
          </w:tcPr>
          <w:p w14:paraId="02FCB058">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3楼</w:t>
            </w:r>
          </w:p>
        </w:tc>
        <w:tc>
          <w:tcPr>
            <w:tcW w:w="5064" w:type="dxa"/>
            <w:tcBorders>
              <w:tl2br w:val="nil"/>
              <w:tr2bl w:val="nil"/>
            </w:tcBorders>
            <w:noWrap w:val="0"/>
            <w:vAlign w:val="top"/>
          </w:tcPr>
          <w:p w14:paraId="161043CA">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286D793E">
            <w:pPr>
              <w:spacing w:beforeLines="0" w:afterLines="0"/>
              <w:jc w:val="center"/>
              <w:rPr>
                <w:rFonts w:hint="eastAsia" w:ascii="仿宋" w:hAnsi="仿宋" w:eastAsia="仿宋" w:cs="仿宋"/>
                <w:color w:val="auto"/>
                <w:sz w:val="21"/>
                <w:szCs w:val="24"/>
                <w:highlight w:val="none"/>
              </w:rPr>
            </w:pPr>
          </w:p>
        </w:tc>
      </w:tr>
      <w:tr w14:paraId="28DA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tcBorders>
              <w:tl2br w:val="nil"/>
              <w:tr2bl w:val="nil"/>
            </w:tcBorders>
            <w:noWrap w:val="0"/>
            <w:vAlign w:val="top"/>
          </w:tcPr>
          <w:p w14:paraId="40D05DA8">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1</w:t>
            </w:r>
            <w:r>
              <w:rPr>
                <w:rFonts w:hint="eastAsia" w:ascii="仿宋" w:hAnsi="仿宋" w:eastAsia="仿宋" w:cs="仿宋"/>
                <w:color w:val="auto"/>
                <w:sz w:val="21"/>
                <w:szCs w:val="24"/>
                <w:highlight w:val="none"/>
                <w:lang w:val="en-US" w:eastAsia="zh-CN"/>
              </w:rPr>
              <w:t>6</w:t>
            </w:r>
          </w:p>
        </w:tc>
        <w:tc>
          <w:tcPr>
            <w:tcW w:w="1616" w:type="dxa"/>
            <w:gridSpan w:val="2"/>
            <w:tcBorders>
              <w:tl2br w:val="nil"/>
              <w:tr2bl w:val="nil"/>
            </w:tcBorders>
            <w:noWrap w:val="0"/>
            <w:vAlign w:val="center"/>
          </w:tcPr>
          <w:p w14:paraId="7EFC17F9">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门诊楼4楼</w:t>
            </w:r>
          </w:p>
        </w:tc>
        <w:tc>
          <w:tcPr>
            <w:tcW w:w="1467" w:type="dxa"/>
            <w:tcBorders>
              <w:tl2br w:val="nil"/>
              <w:tr2bl w:val="nil"/>
            </w:tcBorders>
            <w:noWrap w:val="0"/>
            <w:vAlign w:val="center"/>
          </w:tcPr>
          <w:p w14:paraId="6BD59891">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4楼</w:t>
            </w:r>
          </w:p>
        </w:tc>
        <w:tc>
          <w:tcPr>
            <w:tcW w:w="5064" w:type="dxa"/>
            <w:tcBorders>
              <w:tl2br w:val="nil"/>
              <w:tr2bl w:val="nil"/>
            </w:tcBorders>
            <w:noWrap w:val="0"/>
            <w:vAlign w:val="top"/>
          </w:tcPr>
          <w:p w14:paraId="184D4A2E">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69A0BF52">
            <w:pPr>
              <w:spacing w:beforeLines="0" w:afterLines="0"/>
              <w:jc w:val="center"/>
              <w:rPr>
                <w:rFonts w:hint="eastAsia" w:ascii="仿宋" w:hAnsi="仿宋" w:eastAsia="仿宋" w:cs="仿宋"/>
                <w:color w:val="auto"/>
                <w:sz w:val="21"/>
                <w:szCs w:val="24"/>
                <w:highlight w:val="none"/>
              </w:rPr>
            </w:pPr>
          </w:p>
        </w:tc>
      </w:tr>
      <w:tr w14:paraId="1824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75" w:type="dxa"/>
            <w:tcBorders>
              <w:tl2br w:val="nil"/>
              <w:tr2bl w:val="nil"/>
            </w:tcBorders>
            <w:noWrap w:val="0"/>
            <w:vAlign w:val="top"/>
          </w:tcPr>
          <w:p w14:paraId="0EF1C4F5">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1</w:t>
            </w:r>
            <w:r>
              <w:rPr>
                <w:rFonts w:hint="eastAsia" w:ascii="仿宋" w:hAnsi="仿宋" w:eastAsia="仿宋" w:cs="仿宋"/>
                <w:color w:val="auto"/>
                <w:sz w:val="21"/>
                <w:szCs w:val="24"/>
                <w:highlight w:val="none"/>
                <w:lang w:val="en-US" w:eastAsia="zh-CN"/>
              </w:rPr>
              <w:t>7</w:t>
            </w:r>
          </w:p>
        </w:tc>
        <w:tc>
          <w:tcPr>
            <w:tcW w:w="1616" w:type="dxa"/>
            <w:gridSpan w:val="2"/>
            <w:tcBorders>
              <w:tl2br w:val="nil"/>
              <w:tr2bl w:val="nil"/>
            </w:tcBorders>
            <w:noWrap w:val="0"/>
            <w:vAlign w:val="center"/>
          </w:tcPr>
          <w:p w14:paraId="4919E82D">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门诊楼5楼</w:t>
            </w:r>
          </w:p>
        </w:tc>
        <w:tc>
          <w:tcPr>
            <w:tcW w:w="1467" w:type="dxa"/>
            <w:tcBorders>
              <w:tl2br w:val="nil"/>
              <w:tr2bl w:val="nil"/>
            </w:tcBorders>
            <w:noWrap w:val="0"/>
            <w:vAlign w:val="center"/>
          </w:tcPr>
          <w:p w14:paraId="466408FA">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5楼</w:t>
            </w:r>
          </w:p>
        </w:tc>
        <w:tc>
          <w:tcPr>
            <w:tcW w:w="5064" w:type="dxa"/>
            <w:tcBorders>
              <w:tl2br w:val="nil"/>
              <w:tr2bl w:val="nil"/>
            </w:tcBorders>
            <w:noWrap w:val="0"/>
            <w:vAlign w:val="top"/>
          </w:tcPr>
          <w:p w14:paraId="06797093">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60B649DB">
            <w:pPr>
              <w:spacing w:beforeLines="0" w:afterLines="0"/>
              <w:jc w:val="center"/>
              <w:rPr>
                <w:rFonts w:hint="eastAsia" w:ascii="仿宋" w:hAnsi="仿宋" w:eastAsia="仿宋" w:cs="仿宋"/>
                <w:color w:val="auto"/>
                <w:sz w:val="21"/>
                <w:szCs w:val="24"/>
                <w:highlight w:val="none"/>
              </w:rPr>
            </w:pPr>
          </w:p>
        </w:tc>
      </w:tr>
      <w:tr w14:paraId="7CB8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75" w:type="dxa"/>
            <w:tcBorders>
              <w:tl2br w:val="nil"/>
              <w:tr2bl w:val="nil"/>
            </w:tcBorders>
            <w:noWrap w:val="0"/>
            <w:vAlign w:val="top"/>
          </w:tcPr>
          <w:p w14:paraId="5ECD06A1">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1</w:t>
            </w:r>
            <w:r>
              <w:rPr>
                <w:rFonts w:hint="eastAsia" w:ascii="仿宋" w:hAnsi="仿宋" w:eastAsia="仿宋" w:cs="仿宋"/>
                <w:color w:val="auto"/>
                <w:sz w:val="21"/>
                <w:szCs w:val="24"/>
                <w:highlight w:val="none"/>
                <w:lang w:val="en-US" w:eastAsia="zh-CN"/>
              </w:rPr>
              <w:t>8</w:t>
            </w:r>
          </w:p>
        </w:tc>
        <w:tc>
          <w:tcPr>
            <w:tcW w:w="1616" w:type="dxa"/>
            <w:gridSpan w:val="2"/>
            <w:tcBorders>
              <w:tl2br w:val="nil"/>
              <w:tr2bl w:val="nil"/>
            </w:tcBorders>
            <w:noWrap w:val="0"/>
            <w:vAlign w:val="center"/>
          </w:tcPr>
          <w:p w14:paraId="3806117C">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门诊楼6楼</w:t>
            </w:r>
          </w:p>
        </w:tc>
        <w:tc>
          <w:tcPr>
            <w:tcW w:w="1467" w:type="dxa"/>
            <w:tcBorders>
              <w:tl2br w:val="nil"/>
              <w:tr2bl w:val="nil"/>
            </w:tcBorders>
            <w:noWrap w:val="0"/>
            <w:vAlign w:val="center"/>
          </w:tcPr>
          <w:p w14:paraId="4CCD125B">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6楼</w:t>
            </w:r>
          </w:p>
        </w:tc>
        <w:tc>
          <w:tcPr>
            <w:tcW w:w="5064" w:type="dxa"/>
            <w:tcBorders>
              <w:tl2br w:val="nil"/>
              <w:tr2bl w:val="nil"/>
            </w:tcBorders>
            <w:noWrap w:val="0"/>
            <w:vAlign w:val="top"/>
          </w:tcPr>
          <w:p w14:paraId="0D9A4FB5">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14520E9C">
            <w:pPr>
              <w:spacing w:beforeLines="0" w:afterLines="0"/>
              <w:jc w:val="center"/>
              <w:rPr>
                <w:rFonts w:hint="eastAsia" w:ascii="仿宋" w:hAnsi="仿宋" w:eastAsia="仿宋" w:cs="仿宋"/>
                <w:color w:val="auto"/>
                <w:sz w:val="21"/>
                <w:szCs w:val="24"/>
                <w:highlight w:val="none"/>
              </w:rPr>
            </w:pPr>
          </w:p>
        </w:tc>
      </w:tr>
      <w:tr w14:paraId="052F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tcBorders>
              <w:tl2br w:val="nil"/>
              <w:tr2bl w:val="nil"/>
            </w:tcBorders>
            <w:noWrap w:val="0"/>
            <w:vAlign w:val="top"/>
          </w:tcPr>
          <w:p w14:paraId="0C39DA40">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lang w:val="en-US" w:eastAsia="zh-CN"/>
              </w:rPr>
              <w:t>19</w:t>
            </w:r>
          </w:p>
        </w:tc>
        <w:tc>
          <w:tcPr>
            <w:tcW w:w="1616" w:type="dxa"/>
            <w:gridSpan w:val="2"/>
            <w:tcBorders>
              <w:tl2br w:val="nil"/>
              <w:tr2bl w:val="nil"/>
            </w:tcBorders>
            <w:noWrap w:val="0"/>
            <w:vAlign w:val="center"/>
          </w:tcPr>
          <w:p w14:paraId="3B3D0913">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儿康</w:t>
            </w:r>
          </w:p>
        </w:tc>
        <w:tc>
          <w:tcPr>
            <w:tcW w:w="1467" w:type="dxa"/>
            <w:tcBorders>
              <w:tl2br w:val="nil"/>
              <w:tr2bl w:val="nil"/>
            </w:tcBorders>
            <w:noWrap w:val="0"/>
            <w:vAlign w:val="center"/>
          </w:tcPr>
          <w:p w14:paraId="11DC931D">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急救综合楼负1楼</w:t>
            </w:r>
          </w:p>
        </w:tc>
        <w:tc>
          <w:tcPr>
            <w:tcW w:w="5064" w:type="dxa"/>
            <w:tcBorders>
              <w:tl2br w:val="nil"/>
              <w:tr2bl w:val="nil"/>
            </w:tcBorders>
            <w:noWrap w:val="0"/>
            <w:vAlign w:val="top"/>
          </w:tcPr>
          <w:p w14:paraId="091A5874">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2C3797B6">
            <w:pPr>
              <w:spacing w:beforeLines="0" w:afterLines="0"/>
              <w:jc w:val="center"/>
              <w:rPr>
                <w:rFonts w:hint="eastAsia" w:ascii="仿宋" w:hAnsi="仿宋" w:eastAsia="仿宋" w:cs="仿宋"/>
                <w:color w:val="auto"/>
                <w:sz w:val="21"/>
                <w:szCs w:val="24"/>
                <w:highlight w:val="none"/>
              </w:rPr>
            </w:pPr>
          </w:p>
        </w:tc>
      </w:tr>
      <w:tr w14:paraId="7801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tcBorders>
              <w:tl2br w:val="nil"/>
              <w:tr2bl w:val="nil"/>
            </w:tcBorders>
            <w:noWrap w:val="0"/>
            <w:vAlign w:val="top"/>
          </w:tcPr>
          <w:p w14:paraId="33D358DA">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2</w:t>
            </w:r>
            <w:r>
              <w:rPr>
                <w:rFonts w:hint="eastAsia" w:ascii="仿宋" w:hAnsi="仿宋" w:eastAsia="仿宋" w:cs="仿宋"/>
                <w:color w:val="auto"/>
                <w:sz w:val="21"/>
                <w:szCs w:val="24"/>
                <w:highlight w:val="none"/>
                <w:lang w:val="en-US" w:eastAsia="zh-CN"/>
              </w:rPr>
              <w:t>0</w:t>
            </w:r>
          </w:p>
        </w:tc>
        <w:tc>
          <w:tcPr>
            <w:tcW w:w="1616" w:type="dxa"/>
            <w:gridSpan w:val="2"/>
            <w:tcBorders>
              <w:tl2br w:val="nil"/>
              <w:tr2bl w:val="nil"/>
            </w:tcBorders>
            <w:noWrap w:val="0"/>
            <w:vAlign w:val="center"/>
          </w:tcPr>
          <w:p w14:paraId="18A45BEC">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急诊科</w:t>
            </w:r>
          </w:p>
        </w:tc>
        <w:tc>
          <w:tcPr>
            <w:tcW w:w="1467" w:type="dxa"/>
            <w:tcBorders>
              <w:tl2br w:val="nil"/>
              <w:tr2bl w:val="nil"/>
            </w:tcBorders>
            <w:noWrap w:val="0"/>
            <w:vAlign w:val="center"/>
          </w:tcPr>
          <w:p w14:paraId="5F5A0C56">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急救综合楼1楼</w:t>
            </w:r>
          </w:p>
        </w:tc>
        <w:tc>
          <w:tcPr>
            <w:tcW w:w="5064" w:type="dxa"/>
            <w:tcBorders>
              <w:tl2br w:val="nil"/>
              <w:tr2bl w:val="nil"/>
            </w:tcBorders>
            <w:noWrap w:val="0"/>
            <w:vAlign w:val="top"/>
          </w:tcPr>
          <w:p w14:paraId="7D19CFF2">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领耗材、打饮用水、找平车、轮椅、软担架等，全面清洁、垃圾清理回收</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545D68C9">
            <w:pPr>
              <w:spacing w:beforeLines="0" w:afterLines="0"/>
              <w:jc w:val="center"/>
              <w:rPr>
                <w:rFonts w:hint="eastAsia" w:ascii="仿宋" w:hAnsi="仿宋" w:eastAsia="仿宋" w:cs="仿宋"/>
                <w:color w:val="auto"/>
                <w:sz w:val="21"/>
                <w:szCs w:val="24"/>
                <w:highlight w:val="none"/>
              </w:rPr>
            </w:pPr>
          </w:p>
        </w:tc>
      </w:tr>
      <w:tr w14:paraId="0F38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tcBorders>
              <w:tl2br w:val="nil"/>
              <w:tr2bl w:val="nil"/>
            </w:tcBorders>
            <w:noWrap w:val="0"/>
            <w:vAlign w:val="top"/>
          </w:tcPr>
          <w:p w14:paraId="7D425EDE">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2</w:t>
            </w:r>
            <w:r>
              <w:rPr>
                <w:rFonts w:hint="eastAsia" w:ascii="仿宋" w:hAnsi="仿宋" w:eastAsia="仿宋" w:cs="仿宋"/>
                <w:color w:val="auto"/>
                <w:sz w:val="21"/>
                <w:szCs w:val="24"/>
                <w:highlight w:val="none"/>
                <w:lang w:val="en-US" w:eastAsia="zh-CN"/>
              </w:rPr>
              <w:t>1</w:t>
            </w:r>
          </w:p>
        </w:tc>
        <w:tc>
          <w:tcPr>
            <w:tcW w:w="1616" w:type="dxa"/>
            <w:gridSpan w:val="2"/>
            <w:tcBorders>
              <w:tl2br w:val="nil"/>
              <w:tr2bl w:val="nil"/>
            </w:tcBorders>
            <w:noWrap w:val="0"/>
            <w:vAlign w:val="center"/>
          </w:tcPr>
          <w:p w14:paraId="5570E1E1">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碎石科</w:t>
            </w:r>
          </w:p>
        </w:tc>
        <w:tc>
          <w:tcPr>
            <w:tcW w:w="1467" w:type="dxa"/>
            <w:tcBorders>
              <w:tl2br w:val="nil"/>
              <w:tr2bl w:val="nil"/>
            </w:tcBorders>
            <w:noWrap w:val="0"/>
            <w:vAlign w:val="center"/>
          </w:tcPr>
          <w:p w14:paraId="70D46EE9">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急救综合楼2楼</w:t>
            </w:r>
          </w:p>
        </w:tc>
        <w:tc>
          <w:tcPr>
            <w:tcW w:w="5064" w:type="dxa"/>
            <w:tcBorders>
              <w:tl2br w:val="nil"/>
              <w:tr2bl w:val="nil"/>
            </w:tcBorders>
            <w:noWrap w:val="0"/>
            <w:vAlign w:val="top"/>
          </w:tcPr>
          <w:p w14:paraId="2D011328">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0C954F67">
            <w:pPr>
              <w:spacing w:beforeLines="0" w:afterLines="0"/>
              <w:jc w:val="center"/>
              <w:rPr>
                <w:rFonts w:hint="eastAsia" w:ascii="仿宋" w:hAnsi="仿宋" w:eastAsia="仿宋" w:cs="仿宋"/>
                <w:color w:val="auto"/>
                <w:sz w:val="21"/>
                <w:szCs w:val="24"/>
                <w:highlight w:val="none"/>
              </w:rPr>
            </w:pPr>
          </w:p>
        </w:tc>
      </w:tr>
      <w:tr w14:paraId="509A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tcBorders>
              <w:tl2br w:val="nil"/>
              <w:tr2bl w:val="nil"/>
            </w:tcBorders>
            <w:noWrap w:val="0"/>
            <w:vAlign w:val="top"/>
          </w:tcPr>
          <w:p w14:paraId="0A60563B">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2</w:t>
            </w:r>
            <w:r>
              <w:rPr>
                <w:rFonts w:hint="eastAsia" w:ascii="仿宋" w:hAnsi="仿宋" w:eastAsia="仿宋" w:cs="仿宋"/>
                <w:color w:val="auto"/>
                <w:sz w:val="21"/>
                <w:szCs w:val="24"/>
                <w:highlight w:val="none"/>
                <w:lang w:val="en-US" w:eastAsia="zh-CN"/>
              </w:rPr>
              <w:t>2</w:t>
            </w:r>
          </w:p>
        </w:tc>
        <w:tc>
          <w:tcPr>
            <w:tcW w:w="1616" w:type="dxa"/>
            <w:gridSpan w:val="2"/>
            <w:tcBorders>
              <w:tl2br w:val="nil"/>
              <w:tr2bl w:val="nil"/>
            </w:tcBorders>
            <w:noWrap w:val="0"/>
            <w:vAlign w:val="center"/>
          </w:tcPr>
          <w:p w14:paraId="622693FE">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儿科</w:t>
            </w:r>
          </w:p>
        </w:tc>
        <w:tc>
          <w:tcPr>
            <w:tcW w:w="1467" w:type="dxa"/>
            <w:tcBorders>
              <w:tl2br w:val="nil"/>
              <w:tr2bl w:val="nil"/>
            </w:tcBorders>
            <w:noWrap w:val="0"/>
            <w:vAlign w:val="center"/>
          </w:tcPr>
          <w:p w14:paraId="12F3CFC5">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急救综合楼3楼</w:t>
            </w:r>
          </w:p>
        </w:tc>
        <w:tc>
          <w:tcPr>
            <w:tcW w:w="5064" w:type="dxa"/>
            <w:tcBorders>
              <w:tl2br w:val="nil"/>
              <w:tr2bl w:val="nil"/>
            </w:tcBorders>
            <w:noWrap w:val="0"/>
            <w:vAlign w:val="top"/>
          </w:tcPr>
          <w:p w14:paraId="2B7D96C2">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772F64C4">
            <w:pPr>
              <w:spacing w:beforeLines="0" w:afterLines="0"/>
              <w:jc w:val="center"/>
              <w:rPr>
                <w:rFonts w:hint="eastAsia" w:ascii="仿宋" w:hAnsi="仿宋" w:eastAsia="仿宋" w:cs="仿宋"/>
                <w:color w:val="auto"/>
                <w:sz w:val="21"/>
                <w:szCs w:val="24"/>
                <w:highlight w:val="none"/>
              </w:rPr>
            </w:pPr>
          </w:p>
        </w:tc>
      </w:tr>
      <w:tr w14:paraId="2602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tcBorders>
              <w:tl2br w:val="nil"/>
              <w:tr2bl w:val="nil"/>
            </w:tcBorders>
            <w:noWrap w:val="0"/>
            <w:vAlign w:val="top"/>
          </w:tcPr>
          <w:p w14:paraId="100FBDB2">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2</w:t>
            </w:r>
            <w:r>
              <w:rPr>
                <w:rFonts w:hint="eastAsia" w:ascii="仿宋" w:hAnsi="仿宋" w:eastAsia="仿宋" w:cs="仿宋"/>
                <w:color w:val="auto"/>
                <w:sz w:val="21"/>
                <w:szCs w:val="24"/>
                <w:highlight w:val="none"/>
                <w:lang w:val="en-US" w:eastAsia="zh-CN"/>
              </w:rPr>
              <w:t>3</w:t>
            </w:r>
          </w:p>
        </w:tc>
        <w:tc>
          <w:tcPr>
            <w:tcW w:w="1616" w:type="dxa"/>
            <w:gridSpan w:val="2"/>
            <w:tcBorders>
              <w:tl2br w:val="nil"/>
              <w:tr2bl w:val="nil"/>
            </w:tcBorders>
            <w:noWrap w:val="0"/>
            <w:vAlign w:val="center"/>
          </w:tcPr>
          <w:p w14:paraId="5406863F">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眼耳鼻喉咽喉科</w:t>
            </w:r>
          </w:p>
        </w:tc>
        <w:tc>
          <w:tcPr>
            <w:tcW w:w="1467" w:type="dxa"/>
            <w:tcBorders>
              <w:tl2br w:val="nil"/>
              <w:tr2bl w:val="nil"/>
            </w:tcBorders>
            <w:noWrap w:val="0"/>
            <w:vAlign w:val="center"/>
          </w:tcPr>
          <w:p w14:paraId="3F6459B4">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急救综合楼4楼</w:t>
            </w:r>
          </w:p>
        </w:tc>
        <w:tc>
          <w:tcPr>
            <w:tcW w:w="5064" w:type="dxa"/>
            <w:tcBorders>
              <w:tl2br w:val="nil"/>
              <w:tr2bl w:val="nil"/>
            </w:tcBorders>
            <w:noWrap w:val="0"/>
            <w:vAlign w:val="top"/>
          </w:tcPr>
          <w:p w14:paraId="5F4B51BE">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全面清洁、垃圾清理回收，铺床、擦床、送标本、领耗材、领药，打开水和饮用水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0C4B0355">
            <w:pPr>
              <w:spacing w:beforeLines="0" w:afterLines="0"/>
              <w:jc w:val="center"/>
              <w:rPr>
                <w:rFonts w:hint="eastAsia" w:ascii="仿宋" w:hAnsi="仿宋" w:eastAsia="仿宋" w:cs="仿宋"/>
                <w:color w:val="auto"/>
                <w:sz w:val="21"/>
                <w:szCs w:val="24"/>
                <w:highlight w:val="none"/>
              </w:rPr>
            </w:pPr>
          </w:p>
        </w:tc>
      </w:tr>
      <w:tr w14:paraId="28C0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tcBorders>
              <w:tl2br w:val="nil"/>
              <w:tr2bl w:val="nil"/>
            </w:tcBorders>
            <w:noWrap w:val="0"/>
            <w:vAlign w:val="top"/>
          </w:tcPr>
          <w:p w14:paraId="5D41739C">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2</w:t>
            </w:r>
            <w:r>
              <w:rPr>
                <w:rFonts w:hint="eastAsia" w:ascii="仿宋" w:hAnsi="仿宋" w:eastAsia="仿宋" w:cs="仿宋"/>
                <w:color w:val="auto"/>
                <w:sz w:val="21"/>
                <w:szCs w:val="24"/>
                <w:highlight w:val="none"/>
                <w:lang w:val="en-US" w:eastAsia="zh-CN"/>
              </w:rPr>
              <w:t>4</w:t>
            </w:r>
          </w:p>
        </w:tc>
        <w:tc>
          <w:tcPr>
            <w:tcW w:w="1616" w:type="dxa"/>
            <w:gridSpan w:val="2"/>
            <w:tcBorders>
              <w:tl2br w:val="nil"/>
              <w:tr2bl w:val="nil"/>
            </w:tcBorders>
            <w:noWrap w:val="0"/>
            <w:vAlign w:val="center"/>
          </w:tcPr>
          <w:p w14:paraId="675DCF4F">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血透室</w:t>
            </w:r>
          </w:p>
        </w:tc>
        <w:tc>
          <w:tcPr>
            <w:tcW w:w="1467" w:type="dxa"/>
            <w:tcBorders>
              <w:tl2br w:val="nil"/>
              <w:tr2bl w:val="nil"/>
            </w:tcBorders>
            <w:noWrap w:val="0"/>
            <w:vAlign w:val="center"/>
          </w:tcPr>
          <w:p w14:paraId="024B7287">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急救综合楼5楼</w:t>
            </w:r>
          </w:p>
        </w:tc>
        <w:tc>
          <w:tcPr>
            <w:tcW w:w="5064" w:type="dxa"/>
            <w:tcBorders>
              <w:tl2br w:val="nil"/>
              <w:tr2bl w:val="nil"/>
            </w:tcBorders>
            <w:noWrap w:val="0"/>
            <w:vAlign w:val="top"/>
          </w:tcPr>
          <w:p w14:paraId="01049809">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45411D1C">
            <w:pPr>
              <w:spacing w:beforeLines="0" w:afterLines="0"/>
              <w:jc w:val="center"/>
              <w:rPr>
                <w:rFonts w:hint="eastAsia" w:ascii="仿宋" w:hAnsi="仿宋" w:eastAsia="仿宋" w:cs="仿宋"/>
                <w:color w:val="auto"/>
                <w:sz w:val="21"/>
                <w:szCs w:val="24"/>
                <w:highlight w:val="none"/>
              </w:rPr>
            </w:pPr>
          </w:p>
        </w:tc>
      </w:tr>
      <w:tr w14:paraId="5A5F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tcBorders>
              <w:tl2br w:val="nil"/>
              <w:tr2bl w:val="nil"/>
            </w:tcBorders>
            <w:noWrap w:val="0"/>
            <w:vAlign w:val="top"/>
          </w:tcPr>
          <w:p w14:paraId="0D6ECC38">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2</w:t>
            </w:r>
            <w:r>
              <w:rPr>
                <w:rFonts w:hint="eastAsia" w:ascii="仿宋" w:hAnsi="仿宋" w:eastAsia="仿宋" w:cs="仿宋"/>
                <w:color w:val="auto"/>
                <w:sz w:val="21"/>
                <w:szCs w:val="24"/>
                <w:highlight w:val="none"/>
                <w:lang w:val="en-US" w:eastAsia="zh-CN"/>
              </w:rPr>
              <w:t>5</w:t>
            </w:r>
          </w:p>
        </w:tc>
        <w:tc>
          <w:tcPr>
            <w:tcW w:w="1616" w:type="dxa"/>
            <w:gridSpan w:val="2"/>
            <w:tcBorders>
              <w:tl2br w:val="nil"/>
              <w:tr2bl w:val="nil"/>
            </w:tcBorders>
            <w:noWrap w:val="0"/>
            <w:vAlign w:val="center"/>
          </w:tcPr>
          <w:p w14:paraId="29EB49C0">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ICU</w:t>
            </w:r>
          </w:p>
        </w:tc>
        <w:tc>
          <w:tcPr>
            <w:tcW w:w="1467" w:type="dxa"/>
            <w:tcBorders>
              <w:tl2br w:val="nil"/>
              <w:tr2bl w:val="nil"/>
            </w:tcBorders>
            <w:noWrap w:val="0"/>
            <w:vAlign w:val="center"/>
          </w:tcPr>
          <w:p w14:paraId="0BF58597">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急救综合楼6楼</w:t>
            </w:r>
          </w:p>
        </w:tc>
        <w:tc>
          <w:tcPr>
            <w:tcW w:w="5064" w:type="dxa"/>
            <w:tcBorders>
              <w:tl2br w:val="nil"/>
              <w:tr2bl w:val="nil"/>
            </w:tcBorders>
            <w:noWrap w:val="0"/>
            <w:vAlign w:val="top"/>
          </w:tcPr>
          <w:p w14:paraId="7433760A">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5B828468">
            <w:pPr>
              <w:spacing w:beforeLines="0" w:afterLines="0"/>
              <w:jc w:val="center"/>
              <w:rPr>
                <w:rFonts w:hint="eastAsia" w:ascii="仿宋" w:hAnsi="仿宋" w:eastAsia="仿宋" w:cs="仿宋"/>
                <w:color w:val="auto"/>
                <w:sz w:val="21"/>
                <w:szCs w:val="24"/>
                <w:highlight w:val="none"/>
              </w:rPr>
            </w:pPr>
          </w:p>
        </w:tc>
      </w:tr>
      <w:tr w14:paraId="1FBB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tcBorders>
              <w:tl2br w:val="nil"/>
              <w:tr2bl w:val="nil"/>
            </w:tcBorders>
            <w:noWrap w:val="0"/>
            <w:vAlign w:val="top"/>
          </w:tcPr>
          <w:p w14:paraId="7026BEDA">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2</w:t>
            </w:r>
            <w:r>
              <w:rPr>
                <w:rFonts w:hint="eastAsia" w:ascii="仿宋" w:hAnsi="仿宋" w:eastAsia="仿宋" w:cs="仿宋"/>
                <w:color w:val="auto"/>
                <w:sz w:val="21"/>
                <w:szCs w:val="24"/>
                <w:highlight w:val="none"/>
                <w:lang w:val="en-US" w:eastAsia="zh-CN"/>
              </w:rPr>
              <w:t>6</w:t>
            </w:r>
          </w:p>
        </w:tc>
        <w:tc>
          <w:tcPr>
            <w:tcW w:w="1616" w:type="dxa"/>
            <w:gridSpan w:val="2"/>
            <w:tcBorders>
              <w:tl2br w:val="nil"/>
              <w:tr2bl w:val="nil"/>
            </w:tcBorders>
            <w:noWrap w:val="0"/>
            <w:vAlign w:val="center"/>
          </w:tcPr>
          <w:p w14:paraId="1A7EF299">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体检科</w:t>
            </w:r>
          </w:p>
        </w:tc>
        <w:tc>
          <w:tcPr>
            <w:tcW w:w="1467" w:type="dxa"/>
            <w:tcBorders>
              <w:tl2br w:val="nil"/>
              <w:tr2bl w:val="nil"/>
            </w:tcBorders>
            <w:noWrap w:val="0"/>
            <w:vAlign w:val="center"/>
          </w:tcPr>
          <w:p w14:paraId="2FD6EF5C">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急救综合楼7楼</w:t>
            </w:r>
          </w:p>
        </w:tc>
        <w:tc>
          <w:tcPr>
            <w:tcW w:w="5064" w:type="dxa"/>
            <w:tcBorders>
              <w:tl2br w:val="nil"/>
              <w:tr2bl w:val="nil"/>
            </w:tcBorders>
            <w:noWrap w:val="0"/>
            <w:vAlign w:val="top"/>
          </w:tcPr>
          <w:p w14:paraId="677E9E60">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482672BA">
            <w:pPr>
              <w:spacing w:beforeLines="0" w:afterLines="0"/>
              <w:jc w:val="center"/>
              <w:rPr>
                <w:rFonts w:hint="eastAsia" w:ascii="仿宋" w:hAnsi="仿宋" w:eastAsia="仿宋" w:cs="仿宋"/>
                <w:color w:val="auto"/>
                <w:sz w:val="21"/>
                <w:szCs w:val="24"/>
                <w:highlight w:val="none"/>
              </w:rPr>
            </w:pPr>
          </w:p>
        </w:tc>
      </w:tr>
      <w:tr w14:paraId="4B6B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75" w:type="dxa"/>
            <w:tcBorders>
              <w:tl2br w:val="nil"/>
              <w:tr2bl w:val="nil"/>
            </w:tcBorders>
            <w:noWrap w:val="0"/>
            <w:vAlign w:val="top"/>
          </w:tcPr>
          <w:p w14:paraId="4E3A77A6">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2</w:t>
            </w:r>
            <w:r>
              <w:rPr>
                <w:rFonts w:hint="eastAsia" w:ascii="仿宋" w:hAnsi="仿宋" w:eastAsia="仿宋" w:cs="仿宋"/>
                <w:color w:val="auto"/>
                <w:sz w:val="21"/>
                <w:szCs w:val="24"/>
                <w:highlight w:val="none"/>
                <w:lang w:val="en-US" w:eastAsia="zh-CN"/>
              </w:rPr>
              <w:t>7</w:t>
            </w:r>
          </w:p>
        </w:tc>
        <w:tc>
          <w:tcPr>
            <w:tcW w:w="1616" w:type="dxa"/>
            <w:gridSpan w:val="2"/>
            <w:tcBorders>
              <w:tl2br w:val="nil"/>
              <w:tr2bl w:val="nil"/>
            </w:tcBorders>
            <w:noWrap w:val="0"/>
            <w:vAlign w:val="center"/>
          </w:tcPr>
          <w:p w14:paraId="70B24B3A">
            <w:pPr>
              <w:spacing w:beforeLines="0" w:afterLines="0"/>
              <w:jc w:val="center"/>
              <w:rPr>
                <w:rFonts w:hint="eastAsia" w:ascii="仿宋" w:hAnsi="仿宋" w:eastAsia="仿宋" w:cs="仿宋"/>
                <w:color w:val="auto"/>
                <w:sz w:val="20"/>
                <w:szCs w:val="22"/>
                <w:highlight w:val="none"/>
              </w:rPr>
            </w:pPr>
            <w:r>
              <w:rPr>
                <w:rFonts w:hint="eastAsia" w:ascii="仿宋" w:hAnsi="仿宋" w:eastAsia="仿宋" w:cs="仿宋"/>
                <w:color w:val="auto"/>
                <w:sz w:val="20"/>
                <w:szCs w:val="22"/>
                <w:highlight w:val="none"/>
              </w:rPr>
              <w:t>康复住院楼</w:t>
            </w:r>
          </w:p>
        </w:tc>
        <w:tc>
          <w:tcPr>
            <w:tcW w:w="1467" w:type="dxa"/>
            <w:tcBorders>
              <w:tl2br w:val="nil"/>
              <w:tr2bl w:val="nil"/>
            </w:tcBorders>
            <w:noWrap w:val="0"/>
            <w:vAlign w:val="center"/>
          </w:tcPr>
          <w:p w14:paraId="57872BE5">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1楼至3楼</w:t>
            </w:r>
          </w:p>
        </w:tc>
        <w:tc>
          <w:tcPr>
            <w:tcW w:w="5064" w:type="dxa"/>
            <w:tcBorders>
              <w:tl2br w:val="nil"/>
              <w:tr2bl w:val="nil"/>
            </w:tcBorders>
            <w:noWrap w:val="0"/>
            <w:vAlign w:val="top"/>
          </w:tcPr>
          <w:p w14:paraId="1030E62B">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7A256AA2">
            <w:pPr>
              <w:spacing w:beforeLines="0" w:afterLines="0"/>
              <w:jc w:val="center"/>
              <w:rPr>
                <w:rFonts w:hint="eastAsia" w:ascii="仿宋" w:hAnsi="仿宋" w:eastAsia="仿宋" w:cs="仿宋"/>
                <w:color w:val="auto"/>
                <w:sz w:val="21"/>
                <w:szCs w:val="24"/>
                <w:highlight w:val="none"/>
              </w:rPr>
            </w:pPr>
          </w:p>
        </w:tc>
      </w:tr>
      <w:tr w14:paraId="5524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675" w:type="dxa"/>
            <w:tcBorders>
              <w:tl2br w:val="nil"/>
              <w:tr2bl w:val="nil"/>
            </w:tcBorders>
            <w:noWrap w:val="0"/>
            <w:vAlign w:val="top"/>
          </w:tcPr>
          <w:p w14:paraId="27D19863">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2</w:t>
            </w:r>
            <w:r>
              <w:rPr>
                <w:rFonts w:hint="eastAsia" w:ascii="仿宋" w:hAnsi="仿宋" w:eastAsia="仿宋" w:cs="仿宋"/>
                <w:color w:val="auto"/>
                <w:sz w:val="21"/>
                <w:szCs w:val="24"/>
                <w:highlight w:val="none"/>
                <w:lang w:val="en-US" w:eastAsia="zh-CN"/>
              </w:rPr>
              <w:t>8</w:t>
            </w:r>
          </w:p>
        </w:tc>
        <w:tc>
          <w:tcPr>
            <w:tcW w:w="1616" w:type="dxa"/>
            <w:gridSpan w:val="2"/>
            <w:tcBorders>
              <w:tl2br w:val="nil"/>
              <w:tr2bl w:val="nil"/>
            </w:tcBorders>
            <w:noWrap w:val="0"/>
            <w:vAlign w:val="center"/>
          </w:tcPr>
          <w:p w14:paraId="488D1773">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结核门诊</w:t>
            </w:r>
          </w:p>
        </w:tc>
        <w:tc>
          <w:tcPr>
            <w:tcW w:w="1467" w:type="dxa"/>
            <w:tcBorders>
              <w:tl2br w:val="nil"/>
              <w:tr2bl w:val="nil"/>
            </w:tcBorders>
            <w:noWrap w:val="0"/>
            <w:vAlign w:val="center"/>
          </w:tcPr>
          <w:p w14:paraId="3511589E">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感染性疾病科综合2楼</w:t>
            </w:r>
          </w:p>
        </w:tc>
        <w:tc>
          <w:tcPr>
            <w:tcW w:w="5064" w:type="dxa"/>
            <w:tcBorders>
              <w:tl2br w:val="nil"/>
              <w:tr2bl w:val="nil"/>
            </w:tcBorders>
            <w:noWrap w:val="0"/>
            <w:vAlign w:val="top"/>
          </w:tcPr>
          <w:p w14:paraId="4917D341">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69FB8733">
            <w:pPr>
              <w:spacing w:beforeLines="0" w:afterLines="0"/>
              <w:jc w:val="center"/>
              <w:rPr>
                <w:rFonts w:hint="eastAsia" w:ascii="仿宋" w:hAnsi="仿宋" w:eastAsia="仿宋" w:cs="仿宋"/>
                <w:color w:val="auto"/>
                <w:sz w:val="21"/>
                <w:szCs w:val="24"/>
                <w:highlight w:val="none"/>
              </w:rPr>
            </w:pPr>
          </w:p>
        </w:tc>
      </w:tr>
      <w:tr w14:paraId="3AE0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5" w:type="dxa"/>
            <w:tcBorders>
              <w:tl2br w:val="nil"/>
              <w:tr2bl w:val="nil"/>
            </w:tcBorders>
            <w:noWrap w:val="0"/>
            <w:vAlign w:val="top"/>
          </w:tcPr>
          <w:p w14:paraId="31C0F1B6">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lang w:val="en-US" w:eastAsia="zh-CN"/>
              </w:rPr>
              <w:t>29</w:t>
            </w:r>
          </w:p>
        </w:tc>
        <w:tc>
          <w:tcPr>
            <w:tcW w:w="1616" w:type="dxa"/>
            <w:gridSpan w:val="2"/>
            <w:tcBorders>
              <w:tl2br w:val="nil"/>
              <w:tr2bl w:val="nil"/>
            </w:tcBorders>
            <w:noWrap w:val="0"/>
            <w:vAlign w:val="center"/>
          </w:tcPr>
          <w:p w14:paraId="2DA5EE7B">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内科二病区</w:t>
            </w:r>
          </w:p>
        </w:tc>
        <w:tc>
          <w:tcPr>
            <w:tcW w:w="1467" w:type="dxa"/>
            <w:tcBorders>
              <w:tl2br w:val="nil"/>
              <w:tr2bl w:val="nil"/>
            </w:tcBorders>
            <w:noWrap w:val="0"/>
            <w:vAlign w:val="center"/>
          </w:tcPr>
          <w:p w14:paraId="566D5A82">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感染性疾病科综合</w:t>
            </w:r>
            <w:r>
              <w:rPr>
                <w:rFonts w:hint="eastAsia" w:ascii="仿宋" w:hAnsi="仿宋" w:eastAsia="仿宋" w:cs="仿宋"/>
                <w:color w:val="auto"/>
                <w:sz w:val="21"/>
                <w:szCs w:val="24"/>
                <w:highlight w:val="none"/>
                <w:lang w:val="en-US" w:eastAsia="zh-CN"/>
              </w:rPr>
              <w:t>1、</w:t>
            </w:r>
            <w:r>
              <w:rPr>
                <w:rFonts w:hint="eastAsia" w:ascii="仿宋" w:hAnsi="仿宋" w:eastAsia="仿宋" w:cs="仿宋"/>
                <w:color w:val="auto"/>
                <w:sz w:val="21"/>
                <w:szCs w:val="24"/>
                <w:highlight w:val="none"/>
              </w:rPr>
              <w:t>4、5、6楼</w:t>
            </w:r>
          </w:p>
        </w:tc>
        <w:tc>
          <w:tcPr>
            <w:tcW w:w="5064" w:type="dxa"/>
            <w:tcBorders>
              <w:tl2br w:val="nil"/>
              <w:tr2bl w:val="nil"/>
            </w:tcBorders>
            <w:noWrap w:val="0"/>
            <w:vAlign w:val="top"/>
          </w:tcPr>
          <w:p w14:paraId="4E9F849D">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全面清洁、垃圾清理回收、打饮用水</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22DCD9EC">
            <w:pPr>
              <w:spacing w:beforeLines="0" w:afterLines="0"/>
              <w:jc w:val="center"/>
              <w:rPr>
                <w:rFonts w:hint="eastAsia" w:ascii="仿宋" w:hAnsi="仿宋" w:eastAsia="仿宋" w:cs="仿宋"/>
                <w:color w:val="auto"/>
                <w:sz w:val="21"/>
                <w:szCs w:val="24"/>
                <w:highlight w:val="none"/>
              </w:rPr>
            </w:pPr>
          </w:p>
        </w:tc>
      </w:tr>
      <w:tr w14:paraId="5CAF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5" w:type="dxa"/>
            <w:tcBorders>
              <w:tl2br w:val="nil"/>
              <w:tr2bl w:val="nil"/>
            </w:tcBorders>
            <w:noWrap w:val="0"/>
            <w:vAlign w:val="top"/>
          </w:tcPr>
          <w:p w14:paraId="1FE1AD64">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rPr>
              <w:t>3</w:t>
            </w:r>
            <w:r>
              <w:rPr>
                <w:rFonts w:hint="eastAsia" w:ascii="仿宋" w:hAnsi="仿宋" w:eastAsia="仿宋" w:cs="仿宋"/>
                <w:color w:val="auto"/>
                <w:sz w:val="21"/>
                <w:szCs w:val="24"/>
                <w:highlight w:val="none"/>
                <w:lang w:val="en-US" w:eastAsia="zh-CN"/>
              </w:rPr>
              <w:t>0</w:t>
            </w:r>
          </w:p>
        </w:tc>
        <w:tc>
          <w:tcPr>
            <w:tcW w:w="1616" w:type="dxa"/>
            <w:gridSpan w:val="2"/>
            <w:tcBorders>
              <w:tl2br w:val="nil"/>
              <w:tr2bl w:val="nil"/>
            </w:tcBorders>
            <w:noWrap w:val="0"/>
            <w:vAlign w:val="center"/>
          </w:tcPr>
          <w:p w14:paraId="479C8BC4">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西药房</w:t>
            </w:r>
          </w:p>
        </w:tc>
        <w:tc>
          <w:tcPr>
            <w:tcW w:w="1467" w:type="dxa"/>
            <w:tcBorders>
              <w:tl2br w:val="nil"/>
              <w:tr2bl w:val="nil"/>
            </w:tcBorders>
            <w:noWrap w:val="0"/>
            <w:vAlign w:val="center"/>
          </w:tcPr>
          <w:p w14:paraId="14D249AD">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lang w:eastAsia="zh-CN"/>
              </w:rPr>
              <w:t>全院</w:t>
            </w:r>
          </w:p>
        </w:tc>
        <w:tc>
          <w:tcPr>
            <w:tcW w:w="5064" w:type="dxa"/>
            <w:tcBorders>
              <w:tl2br w:val="nil"/>
              <w:tr2bl w:val="nil"/>
            </w:tcBorders>
            <w:noWrap w:val="0"/>
            <w:vAlign w:val="top"/>
          </w:tcPr>
          <w:p w14:paraId="5C4BBD30">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各科室药品运送及科内保洁工作</w:t>
            </w:r>
          </w:p>
        </w:tc>
        <w:tc>
          <w:tcPr>
            <w:tcW w:w="656" w:type="dxa"/>
            <w:tcBorders>
              <w:tl2br w:val="nil"/>
              <w:tr2bl w:val="nil"/>
            </w:tcBorders>
            <w:noWrap w:val="0"/>
            <w:vAlign w:val="top"/>
          </w:tcPr>
          <w:p w14:paraId="2A32E6F9">
            <w:pPr>
              <w:spacing w:beforeLines="0" w:afterLines="0"/>
              <w:jc w:val="center"/>
              <w:rPr>
                <w:rFonts w:hint="eastAsia" w:ascii="仿宋" w:hAnsi="仿宋" w:eastAsia="仿宋" w:cs="仿宋"/>
                <w:color w:val="auto"/>
                <w:sz w:val="21"/>
                <w:szCs w:val="24"/>
                <w:highlight w:val="none"/>
              </w:rPr>
            </w:pPr>
          </w:p>
        </w:tc>
      </w:tr>
      <w:tr w14:paraId="47DA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5" w:type="dxa"/>
            <w:tcBorders>
              <w:tl2br w:val="nil"/>
              <w:tr2bl w:val="nil"/>
            </w:tcBorders>
            <w:noWrap w:val="0"/>
            <w:vAlign w:val="top"/>
          </w:tcPr>
          <w:p w14:paraId="477061DE">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3</w:t>
            </w:r>
            <w:r>
              <w:rPr>
                <w:rFonts w:hint="eastAsia" w:ascii="仿宋" w:hAnsi="仿宋" w:eastAsia="仿宋" w:cs="仿宋"/>
                <w:color w:val="auto"/>
                <w:sz w:val="21"/>
                <w:szCs w:val="24"/>
                <w:highlight w:val="none"/>
                <w:lang w:val="en-US" w:eastAsia="zh-CN"/>
              </w:rPr>
              <w:t>1</w:t>
            </w:r>
          </w:p>
        </w:tc>
        <w:tc>
          <w:tcPr>
            <w:tcW w:w="1616" w:type="dxa"/>
            <w:gridSpan w:val="2"/>
            <w:tcBorders>
              <w:tl2br w:val="nil"/>
              <w:tr2bl w:val="nil"/>
            </w:tcBorders>
            <w:noWrap w:val="0"/>
            <w:vAlign w:val="center"/>
          </w:tcPr>
          <w:p w14:paraId="1934689C">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公共部份</w:t>
            </w:r>
          </w:p>
        </w:tc>
        <w:tc>
          <w:tcPr>
            <w:tcW w:w="1467" w:type="dxa"/>
            <w:tcBorders>
              <w:tl2br w:val="nil"/>
              <w:tr2bl w:val="nil"/>
            </w:tcBorders>
            <w:noWrap w:val="0"/>
            <w:vAlign w:val="center"/>
          </w:tcPr>
          <w:p w14:paraId="4EEA8B9A">
            <w:pPr>
              <w:spacing w:beforeLines="0" w:afterLines="0"/>
              <w:jc w:val="center"/>
              <w:rPr>
                <w:rFonts w:hint="eastAsia" w:ascii="仿宋" w:hAnsi="仿宋" w:eastAsia="仿宋" w:cs="仿宋"/>
                <w:color w:val="auto"/>
                <w:sz w:val="21"/>
                <w:szCs w:val="24"/>
                <w:highlight w:val="none"/>
                <w:lang w:eastAsia="zh-CN"/>
              </w:rPr>
            </w:pPr>
            <w:r>
              <w:rPr>
                <w:rFonts w:hint="eastAsia" w:ascii="仿宋" w:hAnsi="仿宋" w:eastAsia="仿宋" w:cs="仿宋"/>
                <w:color w:val="auto"/>
                <w:sz w:val="21"/>
                <w:szCs w:val="24"/>
                <w:highlight w:val="none"/>
                <w:lang w:eastAsia="zh-CN"/>
              </w:rPr>
              <w:t>全院</w:t>
            </w:r>
          </w:p>
        </w:tc>
        <w:tc>
          <w:tcPr>
            <w:tcW w:w="5064" w:type="dxa"/>
            <w:tcBorders>
              <w:tl2br w:val="nil"/>
              <w:tr2bl w:val="nil"/>
            </w:tcBorders>
            <w:noWrap w:val="0"/>
            <w:vAlign w:val="top"/>
          </w:tcPr>
          <w:p w14:paraId="23B94739">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医技楼三楼公共部份、医技楼七楼公共部份、感染性疾病科综合7楼、楼顶、停车场、职工住宿区、医院城区卫生责任区</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533E8CAA">
            <w:pPr>
              <w:spacing w:beforeLines="0" w:afterLines="0"/>
              <w:jc w:val="center"/>
              <w:rPr>
                <w:rFonts w:hint="eastAsia" w:ascii="仿宋" w:hAnsi="仿宋" w:eastAsia="仿宋" w:cs="仿宋"/>
                <w:color w:val="auto"/>
                <w:sz w:val="21"/>
                <w:szCs w:val="24"/>
                <w:highlight w:val="none"/>
              </w:rPr>
            </w:pPr>
          </w:p>
        </w:tc>
      </w:tr>
      <w:tr w14:paraId="1156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tcBorders>
              <w:tl2br w:val="nil"/>
              <w:tr2bl w:val="nil"/>
            </w:tcBorders>
            <w:noWrap w:val="0"/>
            <w:vAlign w:val="top"/>
          </w:tcPr>
          <w:p w14:paraId="635AF50C">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lang w:val="en-US" w:eastAsia="zh-CN"/>
              </w:rPr>
              <w:t>32</w:t>
            </w:r>
          </w:p>
        </w:tc>
        <w:tc>
          <w:tcPr>
            <w:tcW w:w="1616" w:type="dxa"/>
            <w:gridSpan w:val="2"/>
            <w:tcBorders>
              <w:tl2br w:val="nil"/>
              <w:tr2bl w:val="nil"/>
            </w:tcBorders>
            <w:noWrap w:val="0"/>
            <w:vAlign w:val="center"/>
          </w:tcPr>
          <w:p w14:paraId="45366C63">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开水房、电梯轿箱</w:t>
            </w:r>
          </w:p>
        </w:tc>
        <w:tc>
          <w:tcPr>
            <w:tcW w:w="1467" w:type="dxa"/>
            <w:tcBorders>
              <w:tl2br w:val="nil"/>
              <w:tr2bl w:val="nil"/>
            </w:tcBorders>
            <w:shd w:val="clear" w:color="auto" w:fill="auto"/>
            <w:noWrap w:val="0"/>
            <w:vAlign w:val="center"/>
          </w:tcPr>
          <w:p w14:paraId="2BD69ADB">
            <w:pPr>
              <w:spacing w:beforeLines="0" w:afterLines="0"/>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1"/>
                <w:szCs w:val="24"/>
                <w:highlight w:val="none"/>
                <w:lang w:eastAsia="zh-CN"/>
              </w:rPr>
              <w:t>全院</w:t>
            </w:r>
          </w:p>
        </w:tc>
        <w:tc>
          <w:tcPr>
            <w:tcW w:w="5064" w:type="dxa"/>
            <w:tcBorders>
              <w:tl2br w:val="nil"/>
              <w:tr2bl w:val="nil"/>
            </w:tcBorders>
            <w:noWrap w:val="0"/>
            <w:vAlign w:val="top"/>
          </w:tcPr>
          <w:p w14:paraId="34735ECB">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负责全院的开水、热水、清理锅炉、打扫10部部电梯轿箱</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092B7C11">
            <w:pPr>
              <w:spacing w:beforeLines="0" w:afterLines="0"/>
              <w:jc w:val="center"/>
              <w:rPr>
                <w:rFonts w:hint="eastAsia" w:ascii="仿宋" w:hAnsi="仿宋" w:eastAsia="仿宋" w:cs="仿宋"/>
                <w:color w:val="auto"/>
                <w:sz w:val="21"/>
                <w:szCs w:val="24"/>
                <w:highlight w:val="none"/>
              </w:rPr>
            </w:pPr>
          </w:p>
        </w:tc>
      </w:tr>
      <w:tr w14:paraId="2AA4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675" w:type="dxa"/>
            <w:tcBorders>
              <w:tl2br w:val="nil"/>
              <w:tr2bl w:val="nil"/>
            </w:tcBorders>
            <w:noWrap w:val="0"/>
            <w:vAlign w:val="top"/>
          </w:tcPr>
          <w:p w14:paraId="0BEF128B">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lang w:val="en-US" w:eastAsia="zh-CN"/>
              </w:rPr>
              <w:t>33</w:t>
            </w:r>
          </w:p>
        </w:tc>
        <w:tc>
          <w:tcPr>
            <w:tcW w:w="1616" w:type="dxa"/>
            <w:gridSpan w:val="2"/>
            <w:tcBorders>
              <w:tl2br w:val="nil"/>
              <w:tr2bl w:val="nil"/>
            </w:tcBorders>
            <w:noWrap w:val="0"/>
            <w:vAlign w:val="center"/>
          </w:tcPr>
          <w:p w14:paraId="3A9DF8C0">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医疗废物</w:t>
            </w:r>
            <w:r>
              <w:rPr>
                <w:rFonts w:hint="eastAsia" w:ascii="仿宋" w:hAnsi="仿宋" w:eastAsia="仿宋" w:cs="仿宋"/>
                <w:color w:val="auto"/>
                <w:sz w:val="21"/>
                <w:szCs w:val="24"/>
                <w:highlight w:val="none"/>
                <w:lang w:eastAsia="zh-CN"/>
              </w:rPr>
              <w:t>、可回收废物、生活垃圾等</w:t>
            </w:r>
          </w:p>
        </w:tc>
        <w:tc>
          <w:tcPr>
            <w:tcW w:w="1467" w:type="dxa"/>
            <w:tcBorders>
              <w:tl2br w:val="nil"/>
              <w:tr2bl w:val="nil"/>
            </w:tcBorders>
            <w:shd w:val="clear" w:color="auto" w:fill="auto"/>
            <w:noWrap w:val="0"/>
            <w:vAlign w:val="center"/>
          </w:tcPr>
          <w:p w14:paraId="3E5125D2">
            <w:pPr>
              <w:spacing w:beforeLines="0" w:afterLines="0"/>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1"/>
                <w:szCs w:val="24"/>
                <w:highlight w:val="none"/>
                <w:lang w:eastAsia="zh-CN"/>
              </w:rPr>
              <w:t>全院</w:t>
            </w:r>
          </w:p>
        </w:tc>
        <w:tc>
          <w:tcPr>
            <w:tcW w:w="5064" w:type="dxa"/>
            <w:tcBorders>
              <w:tl2br w:val="nil"/>
              <w:tr2bl w:val="nil"/>
            </w:tcBorders>
            <w:noWrap w:val="0"/>
            <w:vAlign w:val="top"/>
          </w:tcPr>
          <w:p w14:paraId="64803CF7">
            <w:pPr>
              <w:spacing w:beforeLines="0" w:afterLines="0"/>
              <w:jc w:val="both"/>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负责对</w:t>
            </w:r>
            <w:r>
              <w:rPr>
                <w:rFonts w:hint="eastAsia" w:ascii="仿宋" w:hAnsi="仿宋" w:eastAsia="仿宋" w:cs="仿宋"/>
                <w:color w:val="auto"/>
                <w:sz w:val="21"/>
                <w:szCs w:val="24"/>
                <w:highlight w:val="none"/>
                <w:lang w:eastAsia="zh-CN"/>
              </w:rPr>
              <w:t>医院</w:t>
            </w:r>
            <w:r>
              <w:rPr>
                <w:rFonts w:hint="eastAsia" w:ascii="仿宋" w:hAnsi="仿宋" w:eastAsia="仿宋" w:cs="仿宋"/>
                <w:color w:val="auto"/>
                <w:sz w:val="21"/>
                <w:szCs w:val="24"/>
                <w:highlight w:val="none"/>
              </w:rPr>
              <w:t>医疗废物</w:t>
            </w:r>
            <w:r>
              <w:rPr>
                <w:rFonts w:hint="eastAsia" w:ascii="仿宋" w:hAnsi="仿宋" w:eastAsia="仿宋" w:cs="仿宋"/>
                <w:color w:val="auto"/>
                <w:sz w:val="21"/>
                <w:szCs w:val="24"/>
                <w:highlight w:val="none"/>
                <w:lang w:eastAsia="zh-CN"/>
              </w:rPr>
              <w:t>、可回收废物、生活垃圾等</w:t>
            </w:r>
            <w:r>
              <w:rPr>
                <w:rFonts w:hint="eastAsia" w:ascii="仿宋" w:hAnsi="仿宋" w:eastAsia="仿宋" w:cs="仿宋"/>
                <w:color w:val="auto"/>
                <w:sz w:val="21"/>
                <w:szCs w:val="24"/>
                <w:highlight w:val="none"/>
              </w:rPr>
              <w:t>进行收集并与第三方对接清运工作，做好各类台账归档，清洁、消毒暂存室</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3E33FB6B">
            <w:pPr>
              <w:spacing w:beforeLines="0" w:afterLines="0"/>
              <w:jc w:val="center"/>
              <w:rPr>
                <w:rFonts w:hint="eastAsia" w:ascii="仿宋" w:hAnsi="仿宋" w:eastAsia="仿宋" w:cs="仿宋"/>
                <w:color w:val="auto"/>
                <w:sz w:val="21"/>
                <w:szCs w:val="24"/>
                <w:highlight w:val="none"/>
              </w:rPr>
            </w:pPr>
          </w:p>
        </w:tc>
      </w:tr>
      <w:tr w14:paraId="080E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5" w:type="dxa"/>
            <w:tcBorders>
              <w:tl2br w:val="nil"/>
              <w:tr2bl w:val="nil"/>
            </w:tcBorders>
            <w:noWrap w:val="0"/>
            <w:vAlign w:val="top"/>
          </w:tcPr>
          <w:p w14:paraId="60F14B66">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lang w:val="en-US" w:eastAsia="zh-CN"/>
              </w:rPr>
              <w:t>34</w:t>
            </w:r>
          </w:p>
        </w:tc>
        <w:tc>
          <w:tcPr>
            <w:tcW w:w="819" w:type="dxa"/>
            <w:vMerge w:val="restart"/>
            <w:tcBorders>
              <w:tl2br w:val="nil"/>
              <w:tr2bl w:val="nil"/>
            </w:tcBorders>
            <w:noWrap w:val="0"/>
            <w:vAlign w:val="center"/>
          </w:tcPr>
          <w:p w14:paraId="759BC66F">
            <w:pPr>
              <w:spacing w:beforeLines="0" w:afterLines="0"/>
              <w:jc w:val="center"/>
              <w:rPr>
                <w:rFonts w:hint="eastAsia" w:ascii="仿宋" w:hAnsi="仿宋" w:eastAsia="仿宋" w:cs="仿宋"/>
                <w:color w:val="auto"/>
                <w:sz w:val="21"/>
                <w:szCs w:val="24"/>
                <w:highlight w:val="none"/>
              </w:rPr>
            </w:pPr>
          </w:p>
          <w:p w14:paraId="247D5497">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洗衣房</w:t>
            </w:r>
          </w:p>
        </w:tc>
        <w:tc>
          <w:tcPr>
            <w:tcW w:w="797" w:type="dxa"/>
            <w:tcBorders>
              <w:tl2br w:val="nil"/>
              <w:tr2bl w:val="nil"/>
            </w:tcBorders>
            <w:noWrap w:val="0"/>
            <w:vAlign w:val="center"/>
          </w:tcPr>
          <w:p w14:paraId="1EB55C15">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布草</w:t>
            </w:r>
          </w:p>
        </w:tc>
        <w:tc>
          <w:tcPr>
            <w:tcW w:w="1467" w:type="dxa"/>
            <w:tcBorders>
              <w:tl2br w:val="nil"/>
              <w:tr2bl w:val="nil"/>
            </w:tcBorders>
            <w:shd w:val="clear" w:color="auto" w:fill="auto"/>
            <w:noWrap w:val="0"/>
            <w:vAlign w:val="center"/>
          </w:tcPr>
          <w:p w14:paraId="6D727A72">
            <w:pPr>
              <w:spacing w:beforeLines="0" w:afterLines="0"/>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1"/>
                <w:szCs w:val="24"/>
                <w:highlight w:val="none"/>
                <w:lang w:eastAsia="zh-CN"/>
              </w:rPr>
              <w:t>全院</w:t>
            </w:r>
          </w:p>
        </w:tc>
        <w:tc>
          <w:tcPr>
            <w:tcW w:w="5064" w:type="dxa"/>
            <w:tcBorders>
              <w:tl2br w:val="nil"/>
              <w:tr2bl w:val="nil"/>
            </w:tcBorders>
            <w:shd w:val="clear" w:color="auto" w:fill="auto"/>
            <w:noWrap w:val="0"/>
            <w:vAlign w:val="top"/>
          </w:tcPr>
          <w:p w14:paraId="32D1593D">
            <w:pPr>
              <w:spacing w:beforeLines="0" w:afterLines="0"/>
              <w:jc w:val="both"/>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1"/>
                <w:szCs w:val="24"/>
                <w:highlight w:val="none"/>
              </w:rPr>
              <w:t>洗涤、下收上送全院手术衣</w:t>
            </w:r>
            <w:r>
              <w:rPr>
                <w:rFonts w:hint="eastAsia" w:ascii="仿宋" w:hAnsi="仿宋" w:eastAsia="仿宋" w:cs="仿宋"/>
                <w:color w:val="auto"/>
                <w:sz w:val="21"/>
                <w:szCs w:val="24"/>
                <w:highlight w:val="none"/>
                <w:lang w:eastAsia="zh-CN"/>
              </w:rPr>
              <w:t>、</w:t>
            </w:r>
            <w:r>
              <w:rPr>
                <w:rFonts w:hint="eastAsia" w:ascii="仿宋" w:hAnsi="仿宋" w:eastAsia="仿宋" w:cs="仿宋"/>
                <w:color w:val="auto"/>
                <w:sz w:val="21"/>
                <w:szCs w:val="24"/>
                <w:highlight w:val="none"/>
              </w:rPr>
              <w:t>被服类等布草</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2D75653D">
            <w:pPr>
              <w:spacing w:beforeLines="0" w:afterLines="0"/>
              <w:jc w:val="center"/>
              <w:rPr>
                <w:rFonts w:hint="eastAsia" w:ascii="仿宋" w:hAnsi="仿宋" w:eastAsia="仿宋" w:cs="仿宋"/>
                <w:color w:val="auto"/>
                <w:sz w:val="21"/>
                <w:szCs w:val="24"/>
                <w:highlight w:val="none"/>
              </w:rPr>
            </w:pPr>
          </w:p>
        </w:tc>
      </w:tr>
      <w:tr w14:paraId="048A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75" w:type="dxa"/>
            <w:tcBorders>
              <w:tl2br w:val="nil"/>
              <w:tr2bl w:val="nil"/>
            </w:tcBorders>
            <w:noWrap w:val="0"/>
            <w:vAlign w:val="top"/>
          </w:tcPr>
          <w:p w14:paraId="49F39A2E">
            <w:pPr>
              <w:spacing w:beforeLines="0" w:afterLines="0"/>
              <w:jc w:val="center"/>
              <w:rPr>
                <w:rFonts w:hint="eastAsia" w:ascii="仿宋" w:hAnsi="仿宋" w:eastAsia="仿宋" w:cs="仿宋"/>
                <w:color w:val="auto"/>
                <w:sz w:val="21"/>
                <w:szCs w:val="24"/>
                <w:highlight w:val="none"/>
                <w:lang w:val="en-US" w:eastAsia="zh-CN"/>
              </w:rPr>
            </w:pPr>
            <w:r>
              <w:rPr>
                <w:rFonts w:hint="eastAsia" w:ascii="仿宋" w:hAnsi="仿宋" w:eastAsia="仿宋" w:cs="仿宋"/>
                <w:color w:val="auto"/>
                <w:sz w:val="21"/>
                <w:szCs w:val="24"/>
                <w:highlight w:val="none"/>
                <w:lang w:val="en-US" w:eastAsia="zh-CN"/>
              </w:rPr>
              <w:t>35</w:t>
            </w:r>
          </w:p>
        </w:tc>
        <w:tc>
          <w:tcPr>
            <w:tcW w:w="819" w:type="dxa"/>
            <w:vMerge w:val="continue"/>
            <w:tcBorders>
              <w:tl2br w:val="nil"/>
              <w:tr2bl w:val="nil"/>
            </w:tcBorders>
            <w:noWrap w:val="0"/>
            <w:vAlign w:val="center"/>
          </w:tcPr>
          <w:p w14:paraId="035A6E5A">
            <w:pPr>
              <w:spacing w:beforeLines="0" w:afterLines="0"/>
              <w:jc w:val="center"/>
              <w:rPr>
                <w:rFonts w:hint="eastAsia" w:ascii="仿宋" w:hAnsi="仿宋" w:eastAsia="仿宋" w:cs="仿宋"/>
                <w:color w:val="auto"/>
                <w:sz w:val="21"/>
                <w:szCs w:val="24"/>
                <w:highlight w:val="none"/>
              </w:rPr>
            </w:pPr>
          </w:p>
        </w:tc>
        <w:tc>
          <w:tcPr>
            <w:tcW w:w="797" w:type="dxa"/>
            <w:tcBorders>
              <w:tl2br w:val="nil"/>
              <w:tr2bl w:val="nil"/>
            </w:tcBorders>
            <w:noWrap w:val="0"/>
            <w:vAlign w:val="center"/>
          </w:tcPr>
          <w:p w14:paraId="224FBEF9">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缝补</w:t>
            </w:r>
          </w:p>
        </w:tc>
        <w:tc>
          <w:tcPr>
            <w:tcW w:w="1467" w:type="dxa"/>
            <w:tcBorders>
              <w:tl2br w:val="nil"/>
              <w:tr2bl w:val="nil"/>
            </w:tcBorders>
            <w:shd w:val="clear" w:color="auto" w:fill="auto"/>
            <w:noWrap w:val="0"/>
            <w:vAlign w:val="center"/>
          </w:tcPr>
          <w:p w14:paraId="2E27C638">
            <w:pPr>
              <w:spacing w:beforeLines="0" w:afterLines="0"/>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1"/>
                <w:szCs w:val="24"/>
                <w:highlight w:val="none"/>
                <w:lang w:eastAsia="zh-CN"/>
              </w:rPr>
              <w:t>全院</w:t>
            </w:r>
          </w:p>
        </w:tc>
        <w:tc>
          <w:tcPr>
            <w:tcW w:w="5064" w:type="dxa"/>
            <w:tcBorders>
              <w:tl2br w:val="nil"/>
              <w:tr2bl w:val="nil"/>
            </w:tcBorders>
            <w:shd w:val="clear" w:color="auto" w:fill="auto"/>
            <w:noWrap w:val="0"/>
            <w:vAlign w:val="center"/>
          </w:tcPr>
          <w:p w14:paraId="702D2CBC">
            <w:pPr>
              <w:spacing w:beforeLines="0" w:afterLines="0"/>
              <w:jc w:val="both"/>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1"/>
                <w:szCs w:val="24"/>
                <w:highlight w:val="none"/>
              </w:rPr>
              <w:t>缝补全院破损的手术衣、被服类等布草</w:t>
            </w:r>
            <w:r>
              <w:rPr>
                <w:rFonts w:hint="eastAsia" w:ascii="仿宋" w:hAnsi="仿宋" w:eastAsia="仿宋" w:cs="仿宋"/>
                <w:color w:val="auto"/>
                <w:sz w:val="21"/>
                <w:szCs w:val="24"/>
                <w:highlight w:val="none"/>
                <w:lang w:eastAsia="zh-CN"/>
              </w:rPr>
              <w:t>等工作</w:t>
            </w:r>
          </w:p>
        </w:tc>
        <w:tc>
          <w:tcPr>
            <w:tcW w:w="656" w:type="dxa"/>
            <w:tcBorders>
              <w:tl2br w:val="nil"/>
              <w:tr2bl w:val="nil"/>
            </w:tcBorders>
            <w:noWrap w:val="0"/>
            <w:vAlign w:val="top"/>
          </w:tcPr>
          <w:p w14:paraId="7FCD401B">
            <w:pPr>
              <w:spacing w:beforeLines="0" w:afterLines="0"/>
              <w:jc w:val="center"/>
              <w:rPr>
                <w:rFonts w:hint="eastAsia" w:ascii="仿宋" w:hAnsi="仿宋" w:eastAsia="仿宋" w:cs="仿宋"/>
                <w:color w:val="auto"/>
                <w:sz w:val="21"/>
                <w:szCs w:val="24"/>
                <w:highlight w:val="none"/>
              </w:rPr>
            </w:pPr>
          </w:p>
        </w:tc>
      </w:tr>
      <w:tr w14:paraId="3F52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78" w:type="dxa"/>
            <w:gridSpan w:val="6"/>
            <w:tcBorders>
              <w:tl2br w:val="nil"/>
              <w:tr2bl w:val="nil"/>
            </w:tcBorders>
            <w:noWrap w:val="0"/>
            <w:vAlign w:val="top"/>
          </w:tcPr>
          <w:p w14:paraId="02823661">
            <w:pPr>
              <w:spacing w:beforeLines="0" w:afterLines="0"/>
              <w:jc w:val="left"/>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备注：1、保洁人员不含职能办公室、病案室、保管室、配电房、药品及耗材库房。</w:t>
            </w:r>
          </w:p>
          <w:p w14:paraId="2EF316D4">
            <w:pPr>
              <w:spacing w:beforeLines="0" w:afterLines="0"/>
              <w:jc w:val="center"/>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 xml:space="preserve">      2、感染性疾病科综合3楼（隔离病房）、感染性疾病科综合7楼、原康复科病房（住院部一楼）发热门诊目前未投入使用，待投入使用后再根据实际情况配置人员及增加费用。</w:t>
            </w:r>
          </w:p>
        </w:tc>
      </w:tr>
    </w:tbl>
    <w:p w14:paraId="103D7FB2">
      <w:pPr>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二</w:t>
      </w:r>
      <w:r>
        <w:rPr>
          <w:rFonts w:hint="eastAsia" w:ascii="仿宋" w:hAnsi="仿宋" w:eastAsia="仿宋" w:cs="仿宋"/>
          <w:b/>
          <w:bCs/>
          <w:color w:val="auto"/>
          <w:sz w:val="24"/>
          <w:szCs w:val="24"/>
          <w:highlight w:val="none"/>
        </w:rPr>
        <w:t>、保洁服务具体内容及标准</w:t>
      </w:r>
    </w:p>
    <w:p w14:paraId="31A5F3F1">
      <w:pPr>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（一）</w:t>
      </w:r>
      <w:r>
        <w:rPr>
          <w:rFonts w:hint="eastAsia" w:ascii="仿宋" w:hAnsi="仿宋" w:eastAsia="仿宋" w:cs="仿宋"/>
          <w:b/>
          <w:bCs/>
          <w:color w:val="auto"/>
          <w:sz w:val="24"/>
          <w:szCs w:val="24"/>
          <w:highlight w:val="none"/>
        </w:rPr>
        <w:t>保洁要求</w:t>
      </w:r>
    </w:p>
    <w:p w14:paraId="3C9BB409">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val="0"/>
          <w:bCs w:val="0"/>
          <w:color w:val="auto"/>
          <w:sz w:val="24"/>
          <w:szCs w:val="24"/>
          <w:highlight w:val="none"/>
        </w:rPr>
        <w:t>承包单位</w:t>
      </w:r>
      <w:r>
        <w:rPr>
          <w:rFonts w:hint="eastAsia" w:ascii="仿宋" w:hAnsi="仿宋" w:eastAsia="仿宋" w:cs="仿宋"/>
          <w:color w:val="auto"/>
          <w:sz w:val="24"/>
          <w:szCs w:val="24"/>
          <w:highlight w:val="none"/>
        </w:rPr>
        <w:t>应根据天峨县人民医院各科室的特点，对服务区域内</w:t>
      </w:r>
      <w:r>
        <w:rPr>
          <w:rFonts w:hint="eastAsia" w:ascii="仿宋" w:hAnsi="仿宋" w:eastAsia="仿宋" w:cs="仿宋"/>
          <w:color w:val="auto"/>
          <w:sz w:val="24"/>
          <w:szCs w:val="24"/>
        </w:rPr>
        <w:t>提供合理时段的室内外清洁服务，每天卫生符合保洁要求，包括大楼内的楼梯、大厅、走廊、屋顶天台、吊顶、平台、雨棚、电梯厅、电梯间、病区、卫生间、茶水间、花盆、会议室、接待室、办公区域、公共活动场所的台（地）面、明沟、墙面、门、窗、灯具、果壳箱等设施和器皿等所有公共部位设施，以及垃圾、废弃物清理和院规划范围内的所有环境卫生保洁。使其有一个整洁、舒适、安静、安全的就医环境。</w:t>
      </w:r>
    </w:p>
    <w:p w14:paraId="630769C3">
      <w:pPr>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（二）</w:t>
      </w:r>
      <w:r>
        <w:rPr>
          <w:rFonts w:hint="eastAsia" w:ascii="仿宋" w:hAnsi="仿宋" w:eastAsia="仿宋" w:cs="仿宋"/>
          <w:b/>
          <w:bCs/>
          <w:color w:val="auto"/>
          <w:sz w:val="24"/>
          <w:szCs w:val="24"/>
        </w:rPr>
        <w:t>保洁服务工作内容</w:t>
      </w:r>
    </w:p>
    <w:p w14:paraId="5EC5BCB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公共区域日常服务内容：地面、楼梯、扶手、踢脚线、门窗玻璃、门及门窗框、纱门、纱窗、玻璃幕墙及有关附体，沙发、桌子、各类宣传牌、橱窗及有关附件，天花板、栏杆消防楼梯区域等，及时清除各种垃圾等杂物，无积灰、印迹、污渍。PVC地面定期进行抛光、喷磨、刷洗、补蜡、全面保养打蜡，石材地面定期晶面处理及保养。</w:t>
      </w:r>
    </w:p>
    <w:p w14:paraId="020B3299">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办公区域、会议室等特定区域保洁服务内容：地面、楼梯、扶手、踢脚线、大厅石材墙面、天花板、门窗玻璃、门及门窗、纱门、纱窗、墙壁附体、灯具、音响、垃圾桶等公用设施表面，电梯及卫生间，办公室内储衣柜和桌椅表面等严格按要求做好清洁、清运工作，无积灰、印迹、污渍。桌面简单整理等，随时保持清洁；石材、灯具每季度进行一次清洁，石材地面定期晶面处理及保养。负责行政区域各办公室、会议室的开水供应。</w:t>
      </w:r>
    </w:p>
    <w:p w14:paraId="597F82B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3.负责病区内的清洁卫生，包括内墙、玻璃、高处灯具、通风口、地面、室内家具、楼梯、扶手、踢脚线、走廊、通道、窗户、门、纱门、纱窗、桌、椅、床、柜、宣传栏、洗手间、公共通道等。</w:t>
      </w:r>
    </w:p>
    <w:p w14:paraId="6A73052E">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4.顶篷等边缘区域服务内容：屋顶屋面、沟槽、地面、雨篷及边角区域，各种附体的表面清洁，不积水、不留杂物，排水通畅。</w:t>
      </w:r>
    </w:p>
    <w:p w14:paraId="3F7E619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5.物资、设施服务内容：全院区域内的自助挂号机、自助查询机等；一般机器表面清洁（除医疗物资及医院特殊规定的物资除外），空调风口及室内机外壳洗尘与保洁。</w:t>
      </w:r>
    </w:p>
    <w:p w14:paraId="5C696197">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6.窗帘、床帘服务内容：保持窗帘、床帘表面清洁，普通窗帘、床帘根据窗帘、床帘清洁。</w:t>
      </w:r>
    </w:p>
    <w:p w14:paraId="6C3DF67E">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7.不锈钢保洁服务内容：包括所有不锈钢制品、设施、物资、除有明确规定的保洁要求外，至少每二个月用不锈钢油保养一次，亚光不锈钢表面无污渍、无灰尘，镜面不锈钢表面光亮。</w:t>
      </w:r>
    </w:p>
    <w:p w14:paraId="7BA6D03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r>
        <w:rPr>
          <w:rFonts w:hint="eastAsia" w:ascii="仿宋" w:hAnsi="仿宋" w:eastAsia="仿宋" w:cs="仿宋"/>
          <w:color w:val="auto"/>
          <w:sz w:val="24"/>
          <w:szCs w:val="24"/>
          <w:lang w:eastAsia="zh-CN"/>
        </w:rPr>
        <w:t>垃圾</w:t>
      </w:r>
      <w:r>
        <w:rPr>
          <w:rFonts w:hint="eastAsia" w:ascii="仿宋" w:hAnsi="仿宋" w:eastAsia="仿宋" w:cs="仿宋"/>
          <w:color w:val="auto"/>
          <w:sz w:val="24"/>
          <w:szCs w:val="24"/>
        </w:rPr>
        <w:t>收集、清运服务：符合相关规定的要求，做到</w:t>
      </w:r>
      <w:r>
        <w:rPr>
          <w:rFonts w:hint="eastAsia" w:ascii="仿宋" w:hAnsi="仿宋" w:eastAsia="仿宋" w:cs="仿宋"/>
          <w:color w:val="auto"/>
          <w:sz w:val="24"/>
          <w:szCs w:val="24"/>
          <w:lang w:eastAsia="zh-CN"/>
        </w:rPr>
        <w:t>垃圾</w:t>
      </w:r>
      <w:r>
        <w:rPr>
          <w:rFonts w:hint="eastAsia" w:ascii="仿宋" w:hAnsi="仿宋" w:eastAsia="仿宋" w:cs="仿宋"/>
          <w:color w:val="auto"/>
          <w:sz w:val="24"/>
          <w:szCs w:val="24"/>
        </w:rPr>
        <w:t>储运规范，专职员工每天2次及时收集垃圾，使用专用标识垃圾袋，使用污物电梯运送，绝对禁止使用客梯。转运站工具摆放整齐，垃圾存量不超过三分之二，且做到日产日清，定期清洗，无明显积水，无蚊蝇飞舞。垃圾清运工具应保持清洁无破损，收集、清运过程中不得产生二次污染，各类垃圾运到规定的地方，再将垃圾运到垃圾转运站。</w:t>
      </w:r>
    </w:p>
    <w:p w14:paraId="46E6AFB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9.为了符合医院院感的要求，用于物表、地表清洁、消毒的毛巾、地巾、拖把等所有保洁用具实行集中清洗、集中消毒，集中发放，并符合相关技术规范的要求，由医院提供集中清洗的场地和水电，保洁服务公司提供清洗消毒物资、烘干物资、人员及相关耗材，同时保洁服务公司必须提供充足保洁用具，确保周转，保洁服务公司尚需满足以下要求</w:t>
      </w:r>
      <w:r>
        <w:rPr>
          <w:rFonts w:hint="eastAsia" w:ascii="仿宋" w:hAnsi="仿宋" w:eastAsia="仿宋" w:cs="仿宋"/>
          <w:color w:val="auto"/>
          <w:sz w:val="24"/>
          <w:szCs w:val="24"/>
          <w:lang w:eastAsia="zh-CN"/>
        </w:rPr>
        <w:t>。</w:t>
      </w:r>
    </w:p>
    <w:p w14:paraId="551143AD">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（1）设立不同的洗涤、储存、浸泡、晾干、收发、消毒功能区域</w:t>
      </w:r>
      <w:r>
        <w:rPr>
          <w:rFonts w:hint="eastAsia" w:ascii="仿宋" w:hAnsi="仿宋" w:eastAsia="仿宋" w:cs="仿宋"/>
          <w:color w:val="auto"/>
          <w:sz w:val="24"/>
          <w:szCs w:val="24"/>
          <w:lang w:eastAsia="zh-CN"/>
        </w:rPr>
        <w:t>。</w:t>
      </w:r>
    </w:p>
    <w:p w14:paraId="41BDCCD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（2）为防止交叉感染，对不同区域的清洁工具按医院院感要求实行严格分类摆放和使用，用颜色、字标等方式进行区分</w:t>
      </w:r>
      <w:r>
        <w:rPr>
          <w:rFonts w:hint="eastAsia" w:ascii="仿宋" w:hAnsi="仿宋" w:eastAsia="仿宋" w:cs="仿宋"/>
          <w:color w:val="auto"/>
          <w:sz w:val="24"/>
          <w:szCs w:val="24"/>
          <w:lang w:eastAsia="zh-CN"/>
        </w:rPr>
        <w:t>。</w:t>
      </w:r>
    </w:p>
    <w:p w14:paraId="470039B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（3）配置专职洗涤人员</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负责院内布草下收下送、消毒、织物缝补等</w:t>
      </w:r>
      <w:r>
        <w:rPr>
          <w:rFonts w:hint="eastAsia" w:ascii="仿宋" w:hAnsi="仿宋" w:eastAsia="仿宋" w:cs="仿宋"/>
          <w:color w:val="auto"/>
          <w:sz w:val="24"/>
          <w:szCs w:val="24"/>
          <w:lang w:eastAsia="zh-CN"/>
        </w:rPr>
        <w:t>工作。</w:t>
      </w:r>
    </w:p>
    <w:p w14:paraId="1FDD852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（4）制定集中清洗消毒工作流程</w:t>
      </w:r>
      <w:r>
        <w:rPr>
          <w:rFonts w:hint="eastAsia" w:ascii="仿宋" w:hAnsi="仿宋" w:eastAsia="仿宋" w:cs="仿宋"/>
          <w:color w:val="auto"/>
          <w:sz w:val="24"/>
          <w:szCs w:val="24"/>
          <w:lang w:eastAsia="zh-CN"/>
        </w:rPr>
        <w:t>。</w:t>
      </w:r>
    </w:p>
    <w:p w14:paraId="50755598">
      <w:pPr>
        <w:pageBreakBefore w:val="0"/>
        <w:widowControl w:val="0"/>
        <w:kinsoku/>
        <w:wordWrap/>
        <w:overflowPunct/>
        <w:topLinePunct w:val="0"/>
        <w:autoSpaceDE/>
        <w:autoSpaceDN/>
        <w:bidi w:val="0"/>
        <w:adjustRightInd/>
        <w:spacing w:line="56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（三）</w:t>
      </w:r>
      <w:r>
        <w:rPr>
          <w:rFonts w:hint="eastAsia" w:ascii="仿宋" w:hAnsi="仿宋" w:eastAsia="仿宋" w:cs="仿宋"/>
          <w:b/>
          <w:bCs/>
          <w:color w:val="auto"/>
          <w:sz w:val="24"/>
          <w:szCs w:val="24"/>
        </w:rPr>
        <w:t>保洁服务标准</w:t>
      </w:r>
    </w:p>
    <w:p w14:paraId="03AE331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1.保洁服务总体要求：</w:t>
      </w:r>
    </w:p>
    <w:p w14:paraId="69D43296">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（1）负责服务范围内环境清洁卫生</w:t>
      </w:r>
    </w:p>
    <w:p w14:paraId="7A4A9B2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（2）及时收集垃圾，并送到院内指定地点</w:t>
      </w:r>
    </w:p>
    <w:p w14:paraId="43254310">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（3）按时（每天至少1次）巡视，每层要做到干净、整洁、无蜘蛛丝，无异味</w:t>
      </w:r>
    </w:p>
    <w:p w14:paraId="375C4A8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（4）为避免尘土飞扬，按地面清洁标准，规范方法进行处理</w:t>
      </w:r>
    </w:p>
    <w:p w14:paraId="7624505A">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（5）要求对清洁工具采取集中清洗消毒，符合院感要求</w:t>
      </w:r>
    </w:p>
    <w:p w14:paraId="4AC5FF3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（6）为防止交叉感染，对不同区域的清洁工具按院感的要求实行一床一巾，拖把分色使用，分类摆放，用颜色、字标等方式进行区分</w:t>
      </w:r>
    </w:p>
    <w:p w14:paraId="45108F0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要求保洁服务公司配置满足功能要求的集中洗涤物资、洗地机、自动洗地吸水机、吸水洗尘机、地坪/地毯吹干机，真空吸尘机、垃圾车等，清洁车辆必须是全方位清洁手推车，定期对PVC、大理石、花岗岩以及其它各材质地面护理，包括PVC地面的起蜡落蜡，刷洗补蜡，喷磨和抛光等处理，大理石、花岗岩地面的晶化，翻新、保持各材质地面的光亮、整洁。</w:t>
      </w:r>
    </w:p>
    <w:p w14:paraId="02AB9299">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r>
        <w:rPr>
          <w:rFonts w:hint="eastAsia" w:ascii="仿宋" w:hAnsi="仿宋" w:eastAsia="仿宋" w:cs="仿宋"/>
          <w:b w:val="0"/>
          <w:bCs w:val="0"/>
          <w:color w:val="auto"/>
          <w:sz w:val="24"/>
          <w:szCs w:val="24"/>
        </w:rPr>
        <w:t>承包单位</w:t>
      </w:r>
      <w:r>
        <w:rPr>
          <w:rFonts w:hint="eastAsia" w:ascii="仿宋" w:hAnsi="仿宋" w:eastAsia="仿宋" w:cs="仿宋"/>
          <w:color w:val="auto"/>
          <w:sz w:val="24"/>
          <w:szCs w:val="24"/>
        </w:rPr>
        <w:t>负责提供保洁用的清洁剂、洗涤剂、消毒剂和地面保护材料，并符合医院院感的要求</w:t>
      </w:r>
    </w:p>
    <w:p w14:paraId="1FA34D7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（9）门急诊区域内的公厕实行专人负责，定时巡扫</w:t>
      </w:r>
    </w:p>
    <w:p w14:paraId="5ABBA91E">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（10）医院区域内的道路、停车场和门前“三包”及所有公共区域的地面无有形垃圾和建筑垃圾，无堆积杂物，无积灰，无积水，无阻塞等，做到每日清扫两次，巡回保洁</w:t>
      </w:r>
    </w:p>
    <w:p w14:paraId="62B9D0A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（11）日常巡视如发现设施物资故障或安全隐患时须及时上报</w:t>
      </w:r>
    </w:p>
    <w:p w14:paraId="77974E50">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（12）配合做好节能工作，关好空调房的门窗，杜绝衣服乱晒乱挂现象</w:t>
      </w:r>
    </w:p>
    <w:p w14:paraId="20C7866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2.保洁服务分项要求</w:t>
      </w:r>
    </w:p>
    <w:p w14:paraId="7DD0356C">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（1）户外清洁卫生标准</w:t>
      </w:r>
    </w:p>
    <w:p w14:paraId="4A5B6C8C">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1）外围的所有路面、通道、停车场等公共区域原则上做到无纸屑、无烟头、无污水、无瓜皮果壳、无痰迹.</w:t>
      </w:r>
    </w:p>
    <w:p w14:paraId="142055D6">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2）花园、花坛内无杂物、石凳、石桌上保持洁净</w:t>
      </w:r>
    </w:p>
    <w:p w14:paraId="73382E70">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3）垃圾箱内外保持清洁，及时处理</w:t>
      </w:r>
    </w:p>
    <w:p w14:paraId="34BE413E">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4）每月一次大检查</w:t>
      </w:r>
    </w:p>
    <w:p w14:paraId="70EFAA4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5）应完成的其余工作</w:t>
      </w:r>
    </w:p>
    <w:p w14:paraId="191044B7">
      <w:pPr>
        <w:pageBreakBefore w:val="0"/>
        <w:widowControl w:val="0"/>
        <w:tabs>
          <w:tab w:val="left" w:pos="467"/>
        </w:tabs>
        <w:kinsoku/>
        <w:wordWrap/>
        <w:overflowPunct/>
        <w:topLinePunct w:val="0"/>
        <w:autoSpaceDE/>
        <w:autoSpaceDN/>
        <w:bidi w:val="0"/>
        <w:adjustRightInd/>
        <w:spacing w:line="560" w:lineRule="exact"/>
        <w:ind w:firstLine="240" w:firstLineChars="1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（2）公共场所、大厅保洁卫生标准</w:t>
      </w:r>
    </w:p>
    <w:p w14:paraId="7D1D19A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1）大理石地面清洁光亮无尘土污迹</w:t>
      </w:r>
    </w:p>
    <w:p w14:paraId="22D35A50">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2）休息处的候诊清洁、无污迹</w:t>
      </w:r>
    </w:p>
    <w:p w14:paraId="5FF59B40">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3）休息处的候诊椅、沙发、茶几保持干净，垃圾及时处理</w:t>
      </w:r>
    </w:p>
    <w:p w14:paraId="468D394A">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4）建筑物室外3米以下玻璃保持光洁、明亮、大堂室内4米以下玻璃保持光洁、明亮。</w:t>
      </w:r>
    </w:p>
    <w:p w14:paraId="7243C614">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5）地面无烟蒂，保持整洁</w:t>
      </w:r>
    </w:p>
    <w:p w14:paraId="4A47DC2E">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6）大门、门把手上无手印、无尘、无污迹</w:t>
      </w:r>
    </w:p>
    <w:p w14:paraId="6ACE55B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7）公共卫生间保持清洁、无异味、无污垢</w:t>
      </w:r>
    </w:p>
    <w:p w14:paraId="45DAB15A">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8）电梯间天花板、不锈钢墙面清洁光亮、不锈钢门和电梯轿厢每周上油一次</w:t>
      </w:r>
    </w:p>
    <w:p w14:paraId="208DC2C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9）各服务台饰面清洁光亮无尘迹</w:t>
      </w:r>
    </w:p>
    <w:p w14:paraId="002F2F4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10）公共场所、走廊、过道无堆放杂物，墙面无蜘蛛网、鞋印、小广告等污迹</w:t>
      </w:r>
    </w:p>
    <w:p w14:paraId="07C838FC">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11）区域内的自助挂号、查询机的保洁消毒使用专用的一次性杀菌无纺布，保证一天一次以上</w:t>
      </w:r>
    </w:p>
    <w:p w14:paraId="061B1209">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12）每月一次大检查</w:t>
      </w:r>
    </w:p>
    <w:p w14:paraId="23659747">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垃圾桶必须专人检查，垃圾按分类标准进行捡放，如果垃圾筒超过三分之二，就应及时清倒，垃圾袋不得有破损，否则会导致垃圾溢出。垃圾袋按标准套放，垃圾筒定期清洗、消毒，内外壁干净、干燥、无异味。</w:t>
      </w:r>
    </w:p>
    <w:p w14:paraId="6F1FCE2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14）应完成的其他工作</w:t>
      </w:r>
    </w:p>
    <w:p w14:paraId="68277F9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（3）地胶板（PVC）、地面石材维护、保养</w:t>
      </w:r>
    </w:p>
    <w:p w14:paraId="209930A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1）院区内所有地胶板（PVC）每半年打蜡1次，特殊情况按实际需要执行</w:t>
      </w:r>
    </w:p>
    <w:p w14:paraId="403E91A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2）再次打蜡前，须将陈蜡去除后，方可重新打蜡</w:t>
      </w:r>
    </w:p>
    <w:p w14:paraId="1372EB44">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3）地胶板、石材维护的机器物资必须满足实际工作需要，低噪音</w:t>
      </w:r>
    </w:p>
    <w:p w14:paraId="4A4EC22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4）室内石材地面须定期清洗，各楼层石材地面定期做晶面养护</w:t>
      </w:r>
    </w:p>
    <w:p w14:paraId="565B065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5）平时地胶板上的顽固污垢，应对其擦拭去除</w:t>
      </w:r>
    </w:p>
    <w:p w14:paraId="1BC6866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6）地胶板打蜡的须环保，无刺激性气味，选用百丽珠、3M、庄臣或同档次及以上品牌</w:t>
      </w:r>
    </w:p>
    <w:p w14:paraId="0DB8C22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7）工作时应放置“工作进行中”“小心地滑”的警告牌，有安全措施，确保工作时各类人员的安全</w:t>
      </w:r>
    </w:p>
    <w:p w14:paraId="33C188E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8）应完成的其余工作</w:t>
      </w:r>
    </w:p>
    <w:p w14:paraId="3ABD677C">
      <w:pPr>
        <w:pageBreakBefore w:val="0"/>
        <w:widowControl w:val="0"/>
        <w:kinsoku/>
        <w:wordWrap/>
        <w:overflowPunct/>
        <w:topLinePunct w:val="0"/>
        <w:autoSpaceDE/>
        <w:autoSpaceDN/>
        <w:bidi w:val="0"/>
        <w:adjustRightInd/>
        <w:spacing w:line="560" w:lineRule="exact"/>
        <w:ind w:firstLine="240" w:firstLineChars="1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（4）各楼层清洁卫生标准</w:t>
      </w:r>
    </w:p>
    <w:p w14:paraId="77FA3D7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1）走廊地面、电梯厅墙面光亮清洁无尘、无水迹；各层面电梯按键清洁无污</w:t>
      </w:r>
    </w:p>
    <w:p w14:paraId="74A9C21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2）安全通道、楼梯清洁无垃圾及卫生死角，楼梯扶手、画框、栏杆、灯罩无灰尘</w:t>
      </w:r>
    </w:p>
    <w:p w14:paraId="13C514C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3）烟道通风口经常擦拭无积灰</w:t>
      </w:r>
    </w:p>
    <w:p w14:paraId="3A629BD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4）污洗间、开水间、晾衣间保持干净无积水</w:t>
      </w:r>
    </w:p>
    <w:p w14:paraId="511F3E89">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5）不锈钢水池等保持光亮，每周上油一次</w:t>
      </w:r>
    </w:p>
    <w:p w14:paraId="3B38675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6）演示教室保持整洁干净，随时可用</w:t>
      </w:r>
    </w:p>
    <w:p w14:paraId="78AFDE2C">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7）公共设施、消防设施外表面保持整洁无尘</w:t>
      </w:r>
    </w:p>
    <w:p w14:paraId="547A86C4">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8）保持各诊室、治疗室、护理站、医生办公室、主任办公室、医护值班室等各种台面、地面、家具表面、冰箱表面及椅子洁净无尘</w:t>
      </w:r>
    </w:p>
    <w:p w14:paraId="6FBE5FB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9）保持病区宣传栏、门、玻璃窗内洁净，无乱贴画、广告，无乱堆放杂物</w:t>
      </w:r>
    </w:p>
    <w:p w14:paraId="75914C1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10）各病区走廊、墙面、扶手、玻璃窗内必须洁净光亮、整洁，不得有任何污迹、烟头</w:t>
      </w:r>
    </w:p>
    <w:p w14:paraId="2D67B97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11）分类处理垃圾：垃圾箱内外保持清洁，及时处理，无散乱垃圾，无积水，无异味</w:t>
      </w:r>
    </w:p>
    <w:p w14:paraId="53534B7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12）每月一次大检查</w:t>
      </w:r>
    </w:p>
    <w:p w14:paraId="5828E46D">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13）应完成的其余工作</w:t>
      </w:r>
    </w:p>
    <w:p w14:paraId="2055DCBB">
      <w:pPr>
        <w:pageBreakBefore w:val="0"/>
        <w:widowControl w:val="0"/>
        <w:kinsoku/>
        <w:wordWrap/>
        <w:overflowPunct/>
        <w:topLinePunct w:val="0"/>
        <w:autoSpaceDE/>
        <w:autoSpaceDN/>
        <w:bidi w:val="0"/>
        <w:adjustRightInd/>
        <w:spacing w:line="560" w:lineRule="exact"/>
        <w:ind w:firstLine="240" w:firstLineChars="1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（5）病房清洁卫生标准</w:t>
      </w:r>
    </w:p>
    <w:p w14:paraId="1BB2B59E">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1）病房要求：</w:t>
      </w:r>
    </w:p>
    <w:p w14:paraId="326D8EE9">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①保持病房安静、整洁、舒适、安全</w:t>
      </w:r>
    </w:p>
    <w:p w14:paraId="15D222C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②病房内墙面、桌面、床档、输液架及物资带清洁、无尘；地面无垃圾、无污迹，保持干净</w:t>
      </w:r>
    </w:p>
    <w:p w14:paraId="3BF549A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③病房窗帘、床帘：拆、挂符合标准</w:t>
      </w:r>
    </w:p>
    <w:p w14:paraId="364DD34D">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④电视机表面无积灰</w:t>
      </w:r>
    </w:p>
    <w:p w14:paraId="4E8CED29">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⑤病房的冰箱，里外须保持干净</w:t>
      </w:r>
    </w:p>
    <w:p w14:paraId="33D2A43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⑥热水瓶外干净无污迹</w:t>
      </w:r>
    </w:p>
    <w:p w14:paraId="2789B6CD">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⑦沙发、茶几、电话机表面干净无污迹</w:t>
      </w:r>
    </w:p>
    <w:p w14:paraId="14B7C637">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⑧橱柜表面无积灰，抽屉表面干净无污迹</w:t>
      </w:r>
    </w:p>
    <w:p w14:paraId="6ACB7B1E">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⑨垃圾桶内外清洁，垃圾袋按标准套放</w:t>
      </w:r>
    </w:p>
    <w:p w14:paraId="1D9F528A">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⑩墙面、空调风口表面无积灰</w:t>
      </w:r>
    </w:p>
    <w:p w14:paraId="3F92579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⑪病房四角无蜘蛛网尘埃</w:t>
      </w:r>
    </w:p>
    <w:p w14:paraId="00B91F1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⑫玻璃窗清洁光亮、窗台、窗轨清洁无尘</w:t>
      </w:r>
    </w:p>
    <w:p w14:paraId="5C16E58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⑬进入病房，应尽量集中作业，避免在病人休息和用餐时间进行清洁，清洁动作轻，不得碰坏病人用品，要避免发出大的响声，轻拿轻放</w:t>
      </w:r>
    </w:p>
    <w:p w14:paraId="0ED22E0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⑭每月一次大检查</w:t>
      </w:r>
    </w:p>
    <w:p w14:paraId="073EEAB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⑮应完成的其余工作</w:t>
      </w:r>
    </w:p>
    <w:p w14:paraId="7A2906F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2）卫生间要求（包括公共卫生间）：</w:t>
      </w:r>
    </w:p>
    <w:p w14:paraId="5F9DC1BC">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①镜子明亮，无积灰、水迹及污渍</w:t>
      </w:r>
    </w:p>
    <w:p w14:paraId="01CCFB49">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②天花板无积灰，蜘蛛网</w:t>
      </w:r>
    </w:p>
    <w:p w14:paraId="3B15F10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③灯箱装饰板表面无积灰</w:t>
      </w:r>
    </w:p>
    <w:p w14:paraId="10C801B6">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④坐厕盖板、座板清洁无水迹、内壁外壁无污迹</w:t>
      </w:r>
    </w:p>
    <w:p w14:paraId="0627110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⑤洗脸盆和沐浴房所有金属器表面清洁光亮、瓷盆内壁无水珠或皂渍，水塞无毛发</w:t>
      </w:r>
    </w:p>
    <w:p w14:paraId="61D2E044">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⑥墙面、墙身面砖清洁光亮，无污迹</w:t>
      </w:r>
    </w:p>
    <w:p w14:paraId="0A58689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⑦沐浴房玻璃门干净，无污迹</w:t>
      </w:r>
    </w:p>
    <w:p w14:paraId="590B652A">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⑧毛巾架光亮无水迹</w:t>
      </w:r>
    </w:p>
    <w:p w14:paraId="0F0249F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⑨地漏无异味，地漏盖盖好，地砖擦拭干净，无烟灰及毛发留下</w:t>
      </w:r>
    </w:p>
    <w:p w14:paraId="37AB34A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⑩厕所地面无积水，便池内（含小便器）大小便及时冲净，无尿碱或污垢</w:t>
      </w:r>
    </w:p>
    <w:p w14:paraId="7F83252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⑪抹布、拖把、扫把要及时清洗、消毒，保持干净，必须做好标记，挂在固定位置，分别按要求使用</w:t>
      </w:r>
    </w:p>
    <w:p w14:paraId="5D0853B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⑫垃圾桶必须经常专人检查，如果垃圾量超过三分之二，就应及时清倒，垃圾袋不得有破损，否则会导致垃圾溢出。垃圾袋按标准套入。垃圾筒定期清洗，消毒，内外壁干净、干燥、无异味。</w:t>
      </w:r>
    </w:p>
    <w:p w14:paraId="0C454060">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⑬每月一次大检查</w:t>
      </w:r>
    </w:p>
    <w:p w14:paraId="0FAF9FF4">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⑮病房卫生间是病人和家属倾倒污物的地方，是主要污染源，所以保洁时应彻底清除一切污物和污渍，每天定期进行消毒处理，保洁工具和材料必须专项专用。</w:t>
      </w:r>
    </w:p>
    <w:p w14:paraId="6A03AC16">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（6）行政办公室要求</w:t>
      </w:r>
    </w:p>
    <w:p w14:paraId="2F538C2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1）保持安静、整洁、舒适、安全</w:t>
      </w:r>
    </w:p>
    <w:p w14:paraId="2A68D787">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2）墙面、桌面无尘</w:t>
      </w:r>
    </w:p>
    <w:p w14:paraId="3506EBE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3）窗帘干净、整洁、无污染，悬挂符合标准</w:t>
      </w:r>
    </w:p>
    <w:p w14:paraId="0B3999D7">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4）橱柜外无积灰，抽屉外干净无污迹</w:t>
      </w:r>
    </w:p>
    <w:p w14:paraId="37AF478A">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5）垃圾桶内外清洁，垃圾袋按标准套放</w:t>
      </w:r>
    </w:p>
    <w:p w14:paraId="13BBE68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6）墙面、风口无积灰</w:t>
      </w:r>
    </w:p>
    <w:p w14:paraId="38C51DD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7）四角无蛛网尘埃</w:t>
      </w:r>
    </w:p>
    <w:p w14:paraId="7D3999C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8）玻璃窗清洁光亮，窗台、窗轨清洁无尘</w:t>
      </w:r>
    </w:p>
    <w:p w14:paraId="7CCCDCB4">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9）每月一次大检查</w:t>
      </w:r>
    </w:p>
    <w:p w14:paraId="37C86CAD">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10）打开水，其他临时交办的任务</w:t>
      </w:r>
    </w:p>
    <w:p w14:paraId="089D613C">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11）日常保洁不得影响工作，保洁时间征得行政人员同意，如果遇到开会等情况，不得打搅或擅自进行保洁作业</w:t>
      </w:r>
    </w:p>
    <w:p w14:paraId="3429FCB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12）不得翻阅资料，整理物品后应及时归位</w:t>
      </w:r>
    </w:p>
    <w:p w14:paraId="1033724A">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13）应完成的其余工作</w:t>
      </w:r>
    </w:p>
    <w:p w14:paraId="0D83636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（7）宿舍管理服务内容及要求</w:t>
      </w:r>
    </w:p>
    <w:p w14:paraId="4281F9F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1）打扫集体宿舍公共区域卫生，包括走廊、门窗等，定期检查各楼层房间卫生及安全规范工作，协助搞好各宿舍的维修保养工作，以确保职工宿舍的清洁和安全</w:t>
      </w:r>
      <w:r>
        <w:rPr>
          <w:rFonts w:hint="eastAsia" w:ascii="仿宋" w:hAnsi="仿宋" w:eastAsia="仿宋" w:cs="仿宋"/>
          <w:color w:val="auto"/>
          <w:sz w:val="24"/>
          <w:szCs w:val="24"/>
          <w:lang w:eastAsia="zh-CN"/>
        </w:rPr>
        <w:t>。</w:t>
      </w:r>
    </w:p>
    <w:p w14:paraId="6EAB8C64">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highlight w:val="yellow"/>
          <w:lang w:eastAsia="zh-CN"/>
        </w:rPr>
      </w:pPr>
      <w:r>
        <w:rPr>
          <w:rFonts w:hint="eastAsia" w:ascii="仿宋" w:hAnsi="仿宋" w:eastAsia="仿宋" w:cs="仿宋"/>
          <w:color w:val="auto"/>
          <w:sz w:val="24"/>
          <w:szCs w:val="24"/>
        </w:rPr>
        <w:t>2）维护职工宿舍正常秩序，保证宿舍安静</w:t>
      </w:r>
      <w:r>
        <w:rPr>
          <w:rFonts w:hint="eastAsia" w:ascii="仿宋" w:hAnsi="仿宋" w:eastAsia="仿宋" w:cs="仿宋"/>
          <w:color w:val="auto"/>
          <w:sz w:val="24"/>
          <w:szCs w:val="24"/>
          <w:lang w:eastAsia="zh-CN"/>
        </w:rPr>
        <w:t>。</w:t>
      </w:r>
    </w:p>
    <w:p w14:paraId="638FC9C4">
      <w:pPr>
        <w:pageBreakBefore w:val="0"/>
        <w:widowControl w:val="0"/>
        <w:numPr>
          <w:ilvl w:val="0"/>
          <w:numId w:val="3"/>
        </w:numPr>
        <w:kinsoku/>
        <w:wordWrap/>
        <w:overflowPunct/>
        <w:topLinePunct w:val="0"/>
        <w:autoSpaceDE/>
        <w:autoSpaceDN/>
        <w:bidi w:val="0"/>
        <w:adjustRightInd/>
        <w:spacing w:line="560" w:lineRule="exact"/>
        <w:textAlignment w:val="auto"/>
        <w:outlineLvl w:val="2"/>
        <w:rPr>
          <w:rFonts w:hint="eastAsia" w:ascii="仿宋" w:hAnsi="仿宋" w:eastAsia="仿宋" w:cs="仿宋"/>
          <w:b/>
          <w:bCs/>
          <w:color w:val="auto"/>
          <w:sz w:val="24"/>
          <w:szCs w:val="24"/>
        </w:rPr>
      </w:pPr>
      <w:r>
        <w:rPr>
          <w:rFonts w:hint="eastAsia" w:ascii="仿宋" w:hAnsi="仿宋" w:eastAsia="仿宋" w:cs="仿宋"/>
          <w:b/>
          <w:bCs/>
          <w:color w:val="auto"/>
          <w:sz w:val="24"/>
          <w:szCs w:val="24"/>
        </w:rPr>
        <w:t>保洁质量与要求：</w:t>
      </w:r>
    </w:p>
    <w:p w14:paraId="1FE03F0C">
      <w:pPr>
        <w:pageBreakBefore w:val="0"/>
        <w:widowControl w:val="0"/>
        <w:kinsoku/>
        <w:wordWrap/>
        <w:overflowPunct/>
        <w:topLinePunct w:val="0"/>
        <w:autoSpaceDE/>
        <w:autoSpaceDN/>
        <w:bidi w:val="0"/>
        <w:adjustRightInd/>
        <w:spacing w:line="560" w:lineRule="exact"/>
        <w:ind w:firstLine="482" w:firstLineChars="200"/>
        <w:textAlignment w:val="auto"/>
        <w:outlineLvl w:val="2"/>
        <w:rPr>
          <w:rFonts w:hint="eastAsia" w:ascii="仿宋" w:hAnsi="仿宋" w:eastAsia="仿宋" w:cs="仿宋"/>
          <w:color w:val="auto"/>
          <w:sz w:val="24"/>
          <w:szCs w:val="24"/>
        </w:rPr>
      </w:pPr>
      <w:r>
        <w:rPr>
          <w:rFonts w:hint="eastAsia" w:ascii="仿宋" w:hAnsi="仿宋" w:eastAsia="仿宋" w:cs="仿宋"/>
          <w:b/>
          <w:bCs/>
          <w:color w:val="auto"/>
          <w:sz w:val="24"/>
          <w:szCs w:val="24"/>
        </w:rPr>
        <w:t>（一)保洁要求</w:t>
      </w:r>
    </w:p>
    <w:p w14:paraId="6AA0BF9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门诊楼、住院楼：大厅、走廊、楼梯、电梯内、各诊室地面每日湿式清扫二次并至少半小时巡视一遍，以保持整洁；墙面、门、窗、天花板每月擦拭并保洁；内外科门诊每日至少清扫三次，有污染时随时清扫；公共厕所每日清扫二次并至少半小时巡视一遍，以保持整洁、无臭、无污垢；家具、水槽等每日擦拭一次并保持整洁；电梯厅、大厅内及候诊区域的凳子、桌子必须摆放于固定的位置并保持整洁；门诊值班室至少每周清扫一次，使用后及时保洁。</w:t>
      </w:r>
    </w:p>
    <w:p w14:paraId="05D8B82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护士站、治疗室、护士长办公室、医生办、主任办（演示教室）、病区地面（包括病房内卫生间）每日湿式清扫二次，床头柜、生活柜、电视机、盥洗室内水槽、开水器、护士站吧台、卫生间洗脸盘、马桶每日擦拭；值班室（包括家具、墙面、天棚）每周清扫二次；病区墙面、门、窗（包括卫生间内）、病床、凳子、陪人床、热水瓶架每周擦拭3-4次；病区天花板、空调等每月清洁一次；出院病人整理床单位及清点物品，按要求进行终末消毒；开水房和公共卫生间每日清扫二次。有污染时随时清扫。</w:t>
      </w:r>
    </w:p>
    <w:p w14:paraId="71BFD729">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3.手术室、供应室、急诊室、输液室、ICU、检验科、放射科、中西药房等科室按各相关科室的要求做好保洁工作，负责部分科室开水供应，并符合院感考核要求。</w:t>
      </w:r>
    </w:p>
    <w:p w14:paraId="1AC860F7">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4.集体宿舍走廊、厕所、楼梯至少每日清扫一次，每周拖地三次，每月大扫除（天棚、墙面），并保洁。</w:t>
      </w:r>
    </w:p>
    <w:p w14:paraId="3480486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5.场外道路、绿化带、地下车库、门前三包区域白天至少半小时巡视一遍，以保持整洁、无垃圾、无烟蒂；发热门诊每日一次清扫。</w:t>
      </w:r>
    </w:p>
    <w:p w14:paraId="40AFC11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做好生活垃圾和医疗垃圾分类收集。垃圾收集每日二次，病房内垃圾袋视季节变化更换1-2次，特殊情况随时更换，全院生活垃圾一日二次外运及处置，医院内部垃圾存放区域每天清洗、消毒1次，每周全面清洗消毒1次。</w:t>
      </w:r>
    </w:p>
    <w:p w14:paraId="79758C7D">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7.医疗垃圾交接、称重、运送、登记及暂存点、运送工具的消毒由专人负责管理，并符合院感要求。</w:t>
      </w:r>
    </w:p>
    <w:p w14:paraId="1104865E">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8.中午、晚上医院内整体保洁工作。</w:t>
      </w:r>
    </w:p>
    <w:p w14:paraId="66FAAD8A">
      <w:pPr>
        <w:pageBreakBefore w:val="0"/>
        <w:widowControl w:val="0"/>
        <w:kinsoku/>
        <w:wordWrap/>
        <w:overflowPunct/>
        <w:topLinePunct w:val="0"/>
        <w:autoSpaceDE/>
        <w:autoSpaceDN/>
        <w:bidi w:val="0"/>
        <w:adjustRightInd/>
        <w:spacing w:line="560" w:lineRule="exact"/>
        <w:ind w:firstLine="482" w:firstLineChars="200"/>
        <w:textAlignment w:val="auto"/>
        <w:outlineLvl w:val="2"/>
        <w:rPr>
          <w:rFonts w:hint="eastAsia" w:ascii="仿宋" w:hAnsi="仿宋" w:eastAsia="仿宋" w:cs="仿宋"/>
          <w:color w:val="auto"/>
          <w:sz w:val="24"/>
          <w:szCs w:val="24"/>
        </w:rPr>
      </w:pPr>
      <w:r>
        <w:rPr>
          <w:rFonts w:hint="eastAsia" w:ascii="仿宋" w:hAnsi="仿宋" w:eastAsia="仿宋" w:cs="仿宋"/>
          <w:b/>
          <w:bCs/>
          <w:color w:val="auto"/>
          <w:sz w:val="24"/>
          <w:szCs w:val="24"/>
        </w:rPr>
        <w:t>（二)操作要求</w:t>
      </w:r>
    </w:p>
    <w:p w14:paraId="3E62010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一)室内环境卫生</w:t>
      </w:r>
    </w:p>
    <w:p w14:paraId="1E1B803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对各大厅、走廊、电梯厅及科室（病区阳台、病房地面等）每日上、下午两次重点清理，湿式清扫，拖抹、推尘、吸尘（病房地面清洁、垃圾袋更换上午必须8：00前完成）。有污迹随时清除；楼梯、台阶每日不间断清扫。</w:t>
      </w:r>
    </w:p>
    <w:p w14:paraId="0062E39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2.床档、床下、凳子、床头柜、阳台壁橱每日全面擦拭、清洁一次；出院病人的病床、凳子、壁橱及床头柜及时予以清洁。</w:t>
      </w:r>
    </w:p>
    <w:p w14:paraId="3BF6155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3.卫生间洗手盆、便槽、墙壁、镜子每日全面擦拭清洁，特殊情况及时清洁；无污垢、臭味，地面无积水。适时使用空气清新剂或配置檀香。</w:t>
      </w:r>
    </w:p>
    <w:p w14:paraId="4181A77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4.室内外所有灯具开关、艺术装饰品、图形符号等标识标牌每日加床时按病房一样保洁。</w:t>
      </w:r>
    </w:p>
    <w:p w14:paraId="519A5710">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5.病室及走廊墙壁每周擦拭至少一次，有污迹及时擦净。活动室加床时按病房一样保洁。</w:t>
      </w:r>
    </w:p>
    <w:p w14:paraId="3D176D24">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6.垃圾桶、箱每日清洁，各室的纸篓垃圾袋，上、下各更换一次，特殊情况增加更换次数（垃圾八分满应及时倾倒）。医疗垃圾一律用印有标记的黄色专用包装袋。</w:t>
      </w:r>
    </w:p>
    <w:p w14:paraId="5BC6F26C">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7.医生办公室、护理站、检查室、器械间、病室的家具每日全面擦拭，有污迹或需要时随时清洁。</w:t>
      </w:r>
    </w:p>
    <w:p w14:paraId="7AA1EC94">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8.科主任办公室、医护人员值班室每周全面打扫二次。如有特殊情况随时保洁。</w:t>
      </w:r>
    </w:p>
    <w:p w14:paraId="08DE0F7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9.ICU室内湿式清洁卫生时建议用0.1%的施康溶液。</w:t>
      </w:r>
    </w:p>
    <w:p w14:paraId="7BA068B6">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所有天花板、灯管、玻璃窗、抽气风口等至少每月清洁一次。出入口的台阶及地面每周用水枪冲刷一次，室外露台、门厅、采光顶、雨棚定期清洁。对每楼层病室外走廊、护理站、电梯厅等地面每月进行洗涤、清洗。</w:t>
      </w:r>
    </w:p>
    <w:p w14:paraId="0658ADF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二）室外环境卫生</w:t>
      </w:r>
    </w:p>
    <w:p w14:paraId="3A43F04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1.医院建筑物外部的公共地面（含绿化地带）在每天XX时间前全面清扫为3次，其余时间作巡回保洁；每月用水对全院公共地面清洗为4次</w:t>
      </w:r>
    </w:p>
    <w:p w14:paraId="06F3085A">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2.公共地域地面以上的门、窗、墙、消防栓、公告栏、栏杆、各类标识物等配套设施随时清洁保持干净。公用椅、凳、台每天清抹及消毒为2次，灯具清抹每月为1次。</w:t>
      </w:r>
    </w:p>
    <w:p w14:paraId="35D0592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3.公共地域的垃圾箱每天清洁及消毒为2次。</w:t>
      </w:r>
    </w:p>
    <w:p w14:paraId="4B319746">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4.地面有血、污液的即时清洗及消毒。</w:t>
      </w:r>
    </w:p>
    <w:p w14:paraId="52AEFCC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5.每月全面清理为2次，其余时间巡回保洁。</w:t>
      </w:r>
    </w:p>
    <w:p w14:paraId="2F8C580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6.公共区域的卫生间每天全面清洁、清理、消毒为3次，其余时间进行巡回保洁。</w:t>
      </w:r>
    </w:p>
    <w:p w14:paraId="41CB0931">
      <w:pPr>
        <w:pageBreakBefore w:val="0"/>
        <w:widowControl w:val="0"/>
        <w:kinsoku/>
        <w:wordWrap/>
        <w:overflowPunct/>
        <w:topLinePunct w:val="0"/>
        <w:autoSpaceDE/>
        <w:autoSpaceDN/>
        <w:bidi w:val="0"/>
        <w:adjustRightInd/>
        <w:spacing w:line="560" w:lineRule="exact"/>
        <w:ind w:firstLine="482" w:firstLineChars="200"/>
        <w:textAlignment w:val="auto"/>
        <w:outlineLvl w:val="2"/>
        <w:rPr>
          <w:rFonts w:hint="eastAsia" w:ascii="仿宋" w:hAnsi="仿宋" w:eastAsia="仿宋" w:cs="仿宋"/>
          <w:b/>
          <w:bCs/>
          <w:color w:val="auto"/>
          <w:sz w:val="24"/>
          <w:szCs w:val="24"/>
        </w:rPr>
      </w:pPr>
      <w:r>
        <w:rPr>
          <w:rFonts w:hint="eastAsia" w:ascii="仿宋" w:hAnsi="仿宋" w:eastAsia="仿宋" w:cs="仿宋"/>
          <w:b/>
          <w:bCs/>
          <w:color w:val="auto"/>
          <w:sz w:val="24"/>
          <w:szCs w:val="24"/>
        </w:rPr>
        <w:t>(三）保洁标准（★附具体保洁标准明细表）</w:t>
      </w:r>
    </w:p>
    <w:p w14:paraId="17C54604">
      <w:pPr>
        <w:pageBreakBefore w:val="0"/>
        <w:widowControl w:val="0"/>
        <w:kinsoku/>
        <w:wordWrap/>
        <w:overflowPunct/>
        <w:topLinePunct w:val="0"/>
        <w:autoSpaceDE/>
        <w:autoSpaceDN/>
        <w:bidi w:val="0"/>
        <w:adjustRightInd/>
        <w:spacing w:line="560" w:lineRule="exact"/>
        <w:ind w:firstLine="720" w:firstLineChars="3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一）室内环境卫生</w:t>
      </w:r>
    </w:p>
    <w:p w14:paraId="711825D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1.地面无污渍、痰迹</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无纸屑杂质；</w:t>
      </w:r>
    </w:p>
    <w:p w14:paraId="55304AE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2.天花板、墙面、墙角无蜘蛛网</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灯3具光亮清洁；</w:t>
      </w:r>
    </w:p>
    <w:p w14:paraId="0F98D11C">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3.室内外所有灯具开关、艺术装饰品、图形符号等标识标牌无污迹、灰尘；</w:t>
      </w:r>
    </w:p>
    <w:p w14:paraId="49BC1F6E">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4.台面、栏杆、椅子、沙发、床档整洁无灰尘，床头柜无蟑螂、蟑迹；</w:t>
      </w:r>
    </w:p>
    <w:p w14:paraId="393B27E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5.玻璃门、窗光亮、清洁，无污迹、水迹、灰尘及明显手印；</w:t>
      </w:r>
    </w:p>
    <w:p w14:paraId="1468AC3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6.卫生间无异味、臭味，地面无积水、污渍，墙壁、天棚无蜘蛛网，卫生洁具清洁、镜子明净无灰尘、污痕；</w:t>
      </w:r>
    </w:p>
    <w:p w14:paraId="29DE4DF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7.垃圾箱内垃圾不高出垃圾箱平面，表面干燥，外表干净，无积垢、臭味；</w:t>
      </w:r>
    </w:p>
    <w:p w14:paraId="00CCBCC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8.保洁设施、用具堆放整洁有序。</w:t>
      </w:r>
    </w:p>
    <w:p w14:paraId="74194883">
      <w:pPr>
        <w:pageBreakBefore w:val="0"/>
        <w:widowControl w:val="0"/>
        <w:kinsoku/>
        <w:wordWrap/>
        <w:overflowPunct/>
        <w:topLinePunct w:val="0"/>
        <w:autoSpaceDE/>
        <w:autoSpaceDN/>
        <w:bidi w:val="0"/>
        <w:adjustRightInd/>
        <w:spacing w:line="560" w:lineRule="exact"/>
        <w:ind w:firstLine="720" w:firstLineChars="3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二）室外环境卫生</w:t>
      </w:r>
    </w:p>
    <w:p w14:paraId="12FD358C">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1.地面保持干净、整洁、非雨季、雨天时保持干爽。</w:t>
      </w:r>
    </w:p>
    <w:p w14:paraId="4BE26EF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2.地面杂物及时清理</w:t>
      </w:r>
    </w:p>
    <w:p w14:paraId="7DB2380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3.地面有血、污液时及时清洗并按消毒规范进行消毒处理。</w:t>
      </w:r>
    </w:p>
    <w:p w14:paraId="3CA145B9">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4.垃圾箱内垃圾满则清倒，周围无不雅异味，消毒规范。</w:t>
      </w:r>
    </w:p>
    <w:p w14:paraId="05DC08A7">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5.地面及附设物无明显青苔、杂草。</w:t>
      </w:r>
    </w:p>
    <w:p w14:paraId="66C0DF3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6.各类标识、墙壁有不当广告、张贴物时要及时清理并不留明显污痕。</w:t>
      </w:r>
    </w:p>
    <w:p w14:paraId="50BDD250">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7.清扫、清洗地面及公共附设物时不过分扬尘、无过分噪音。</w:t>
      </w:r>
    </w:p>
    <w:p w14:paraId="6CBA5BE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三）各区域卫生标准明细</w:t>
      </w:r>
    </w:p>
    <w:p w14:paraId="5B02E78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1.楼内区域（各楼层卫生区域）</w:t>
      </w:r>
    </w:p>
    <w:p w14:paraId="12F1FC0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（1）地面：无废杂物、纸屑、无污渍。</w:t>
      </w:r>
    </w:p>
    <w:p w14:paraId="63D90154">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（2）墙面、踢脚线、消防排烟口、警铃、安全指示灯、各种标牌表面干净，无灰尘、水迹、污迹。</w:t>
      </w:r>
    </w:p>
    <w:p w14:paraId="3164D3F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（3）垃圾桶：外表干净整洁、无积垢、臭味。</w:t>
      </w:r>
    </w:p>
    <w:p w14:paraId="3EA19FF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（4）玻璃窗、玻璃、窗框、窗帘、窗台明亮光洁、无积尘、斑点。</w:t>
      </w:r>
    </w:p>
    <w:p w14:paraId="1BCF1940">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（5）各种设施外表：如大堂前台、广告牌、灯箱、消防栓箱、楼层分布牌等表面干净、无积尘、污迹、斑点。</w:t>
      </w:r>
    </w:p>
    <w:p w14:paraId="67B1A72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（6）楼梯：无灰尘、无杂物。</w:t>
      </w:r>
    </w:p>
    <w:p w14:paraId="30873A6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2.卫生间</w:t>
      </w:r>
    </w:p>
    <w:p w14:paraId="36B416C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（1）大小便池：外内光洁、无污垢、斑点、积水、积尘、无异味（适当地方可以放芳香球、喷空气清新剂）。</w:t>
      </w:r>
    </w:p>
    <w:p w14:paraId="4C6D70C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（2）洗手盆、镜台、镜面：内外光洁、无污垢、斑点、积水、积尘。</w:t>
      </w:r>
    </w:p>
    <w:p w14:paraId="4D9302E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（3）地面、墙面：光洁、无污迹、无污物、脏物，无积水、积尘、无蜘蛛网和非法小广告。</w:t>
      </w:r>
    </w:p>
    <w:p w14:paraId="72AE076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（4）卫生间纸篓、垃圾桶：无沉积物、无臭味、外表干净。</w:t>
      </w:r>
    </w:p>
    <w:p w14:paraId="6FFE323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3.楼道</w:t>
      </w:r>
    </w:p>
    <w:p w14:paraId="0A1C2F6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（1）清洁：范围楼道梯级、扶手、墙面、消防栓、消防管道、楼道门窗、楼道灯开关及灯具的清洁</w:t>
      </w:r>
      <w:r>
        <w:rPr>
          <w:rFonts w:hint="eastAsia" w:ascii="仿宋" w:hAnsi="仿宋" w:eastAsia="仿宋" w:cs="仿宋"/>
          <w:color w:val="auto"/>
          <w:sz w:val="24"/>
          <w:szCs w:val="24"/>
          <w:lang w:eastAsia="zh-CN"/>
        </w:rPr>
        <w:t>。</w:t>
      </w:r>
    </w:p>
    <w:p w14:paraId="7561992D">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（2）清洁标准：</w:t>
      </w:r>
    </w:p>
    <w:p w14:paraId="35F0337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1）每日清扫、擦拭一次。梯级每周拖抹一次，窗户玻璃定期擦拭。</w:t>
      </w:r>
    </w:p>
    <w:p w14:paraId="3E508444">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2）目视楼道达到无烟头、果皮、纸屑、广告纸、蜘蛛网、积尘、污痕等。</w:t>
      </w:r>
    </w:p>
    <w:p w14:paraId="65B70C7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4.客用电梯的清洁标准</w:t>
      </w:r>
      <w:r>
        <w:rPr>
          <w:rFonts w:hint="eastAsia" w:ascii="仿宋" w:hAnsi="仿宋" w:eastAsia="仿宋" w:cs="仿宋"/>
          <w:color w:val="auto"/>
          <w:sz w:val="24"/>
          <w:szCs w:val="24"/>
          <w:lang w:eastAsia="zh-CN"/>
        </w:rPr>
        <w:t>。</w:t>
      </w:r>
    </w:p>
    <w:p w14:paraId="0FB10D9D">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（1）电梯门干净、无手印、无污迹；轨道干净无杂物。</w:t>
      </w:r>
    </w:p>
    <w:p w14:paraId="3F6ACD5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（2）顶板、顶灯等干净无尘土。</w:t>
      </w:r>
    </w:p>
    <w:p w14:paraId="13BEC225">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（3）轿厢四壁干净无尘土、无污渍、无划痕。</w:t>
      </w:r>
    </w:p>
    <w:p w14:paraId="7F2C84ED">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（4）地板干净无杂物、无尘土、无污渍。</w:t>
      </w:r>
    </w:p>
    <w:p w14:paraId="395A32C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（5）内外按键、控盘干净无尘、无污。</w:t>
      </w:r>
    </w:p>
    <w:p w14:paraId="7E9003C0">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（6）轿厢内干净、无尘土。</w:t>
      </w:r>
    </w:p>
    <w:p w14:paraId="3149DF7E">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5.步行梯的清洁标准</w:t>
      </w:r>
      <w:r>
        <w:rPr>
          <w:rFonts w:hint="eastAsia" w:ascii="仿宋" w:hAnsi="仿宋" w:eastAsia="仿宋" w:cs="仿宋"/>
          <w:color w:val="auto"/>
          <w:sz w:val="24"/>
          <w:szCs w:val="24"/>
          <w:lang w:eastAsia="zh-CN"/>
        </w:rPr>
        <w:t>。</w:t>
      </w:r>
    </w:p>
    <w:p w14:paraId="3478BE0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（1）楼梯内的顶板及灯具、排风口无尘、无污迹。</w:t>
      </w:r>
    </w:p>
    <w:p w14:paraId="71C594B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（2）墙面及踢脚板干净无尘土、无污迹。</w:t>
      </w:r>
    </w:p>
    <w:p w14:paraId="26D9527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（3）扶手、栏杆无尘土、无污渍。</w:t>
      </w:r>
    </w:p>
    <w:p w14:paraId="0C12D74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（4）平台及台阶无杂物、头发、无尘土、黑道，干净整洁。</w:t>
      </w:r>
    </w:p>
    <w:p w14:paraId="1C3D97C3">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（5）楼道内无堆放杂物。</w:t>
      </w:r>
    </w:p>
    <w:p w14:paraId="379F0927">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6.大厅的清洁质量标准</w:t>
      </w:r>
      <w:r>
        <w:rPr>
          <w:rFonts w:hint="eastAsia" w:ascii="仿宋" w:hAnsi="仿宋" w:eastAsia="仿宋" w:cs="仿宋"/>
          <w:color w:val="auto"/>
          <w:sz w:val="24"/>
          <w:szCs w:val="24"/>
          <w:lang w:eastAsia="zh-CN"/>
        </w:rPr>
        <w:t>。</w:t>
      </w:r>
    </w:p>
    <w:p w14:paraId="7D02A730">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（1）天花板、灯罩、排风口及龙骨架干净无尘土、无污迹。</w:t>
      </w:r>
    </w:p>
    <w:p w14:paraId="4F217A8E">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（2）墙面及踢脚板干净、无尘土、无污渍。</w:t>
      </w:r>
    </w:p>
    <w:p w14:paraId="06F1D0A9">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（3）玻璃门及窗体玻璃干净无手印、无污迹，窗框无尘土。</w:t>
      </w:r>
    </w:p>
    <w:p w14:paraId="54E14202">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（4）前台办公桌面、台面干净无尘土、污迹。</w:t>
      </w:r>
    </w:p>
    <w:p w14:paraId="67D00458">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（5）电脑、电话消毒彻底、干净无污。</w:t>
      </w:r>
    </w:p>
    <w:p w14:paraId="20714831">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（6）地面及边角干净、无水迹、无尘土、污物。</w:t>
      </w:r>
    </w:p>
    <w:p w14:paraId="4845C470">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rPr>
        <w:t>（7）大厅内摆放的绿植等盆体干净无尘土，绿叶无浮沉，盆内无杂物。</w:t>
      </w:r>
    </w:p>
    <w:p w14:paraId="7F2DD3BF">
      <w:pPr>
        <w:pageBreakBefore w:val="0"/>
        <w:kinsoku/>
        <w:wordWrap/>
        <w:overflowPunct/>
        <w:topLinePunct w:val="0"/>
        <w:autoSpaceDE/>
        <w:autoSpaceDN/>
        <w:bidi w:val="0"/>
        <w:adjustRightInd/>
        <w:snapToGrid w:val="0"/>
        <w:spacing w:line="560" w:lineRule="exact"/>
        <w:ind w:right="315"/>
        <w:rPr>
          <w:rFonts w:hint="eastAsia" w:ascii="仿宋" w:hAnsi="仿宋" w:eastAsia="仿宋" w:cs="仿宋"/>
          <w:b/>
          <w:bCs/>
          <w:color w:val="auto"/>
          <w:sz w:val="24"/>
          <w:szCs w:val="24"/>
        </w:rPr>
      </w:pPr>
      <w:r>
        <w:rPr>
          <w:rFonts w:hint="eastAsia" w:ascii="仿宋" w:hAnsi="仿宋" w:eastAsia="仿宋" w:cs="仿宋"/>
          <w:b/>
          <w:bCs/>
          <w:color w:val="auto"/>
          <w:sz w:val="24"/>
          <w:szCs w:val="24"/>
        </w:rPr>
        <w:t>附：★具体保洁标准明细表</w:t>
      </w:r>
    </w:p>
    <w:p w14:paraId="65439567">
      <w:pPr>
        <w:pageBreakBefore w:val="0"/>
        <w:kinsoku/>
        <w:wordWrap/>
        <w:overflowPunct/>
        <w:topLinePunct w:val="0"/>
        <w:autoSpaceDE/>
        <w:autoSpaceDN/>
        <w:bidi w:val="0"/>
        <w:adjustRightInd/>
        <w:spacing w:line="560" w:lineRule="exact"/>
        <w:ind w:firstLine="723" w:firstLineChars="300"/>
        <w:rPr>
          <w:rFonts w:hint="eastAsia" w:ascii="仿宋" w:hAnsi="仿宋" w:eastAsia="仿宋" w:cs="仿宋"/>
          <w:b/>
          <w:bCs/>
          <w:color w:val="auto"/>
          <w:sz w:val="24"/>
          <w:szCs w:val="24"/>
        </w:rPr>
      </w:pPr>
      <w:r>
        <w:rPr>
          <w:rFonts w:hint="eastAsia" w:ascii="仿宋" w:hAnsi="仿宋" w:eastAsia="仿宋" w:cs="仿宋"/>
          <w:b/>
          <w:bCs/>
          <w:color w:val="auto"/>
          <w:sz w:val="24"/>
          <w:szCs w:val="24"/>
        </w:rPr>
        <w:t>1、各相关区域及病区洗手间日常保洁项目要求</w:t>
      </w:r>
    </w:p>
    <w:tbl>
      <w:tblPr>
        <w:tblStyle w:val="47"/>
        <w:tblW w:w="8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744"/>
        <w:gridCol w:w="1872"/>
        <w:gridCol w:w="1556"/>
        <w:gridCol w:w="3068"/>
      </w:tblGrid>
      <w:tr w14:paraId="5EBC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1" w:hRule="exact"/>
          <w:jc w:val="center"/>
        </w:trPr>
        <w:tc>
          <w:tcPr>
            <w:tcW w:w="1744" w:type="dxa"/>
            <w:shd w:val="clear" w:color="auto" w:fill="FFFFFF"/>
            <w:vAlign w:val="center"/>
          </w:tcPr>
          <w:p w14:paraId="063A2632">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项目</w:t>
            </w:r>
          </w:p>
        </w:tc>
        <w:tc>
          <w:tcPr>
            <w:tcW w:w="1872" w:type="dxa"/>
            <w:shd w:val="clear" w:color="auto" w:fill="FFFFFF"/>
            <w:vAlign w:val="center"/>
          </w:tcPr>
          <w:p w14:paraId="76A0B322">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标准（质量要求）</w:t>
            </w:r>
          </w:p>
        </w:tc>
        <w:tc>
          <w:tcPr>
            <w:tcW w:w="1556" w:type="dxa"/>
            <w:shd w:val="clear" w:color="auto" w:fill="FFFFFF"/>
            <w:vAlign w:val="center"/>
          </w:tcPr>
          <w:p w14:paraId="620D53C2">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频次</w:t>
            </w:r>
          </w:p>
        </w:tc>
        <w:tc>
          <w:tcPr>
            <w:tcW w:w="3068" w:type="dxa"/>
            <w:shd w:val="clear" w:color="auto" w:fill="FFFFFF"/>
            <w:vAlign w:val="center"/>
          </w:tcPr>
          <w:p w14:paraId="1604F087">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注意事项</w:t>
            </w:r>
          </w:p>
        </w:tc>
      </w:tr>
      <w:tr w14:paraId="2047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97" w:hRule="exact"/>
          <w:jc w:val="center"/>
        </w:trPr>
        <w:tc>
          <w:tcPr>
            <w:tcW w:w="1744" w:type="dxa"/>
            <w:shd w:val="clear" w:color="auto" w:fill="FFFFFF"/>
            <w:vAlign w:val="center"/>
          </w:tcPr>
          <w:p w14:paraId="24118B4A">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地面</w:t>
            </w:r>
          </w:p>
        </w:tc>
        <w:tc>
          <w:tcPr>
            <w:tcW w:w="1872" w:type="dxa"/>
            <w:shd w:val="clear" w:color="auto" w:fill="FFFFFF"/>
            <w:vAlign w:val="center"/>
          </w:tcPr>
          <w:p w14:paraId="270C2889">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无浮灰、水迹、杂物、鞋印及 污迹</w:t>
            </w:r>
          </w:p>
        </w:tc>
        <w:tc>
          <w:tcPr>
            <w:tcW w:w="1556" w:type="dxa"/>
            <w:shd w:val="clear" w:color="auto" w:fill="FFFFFF"/>
          </w:tcPr>
          <w:p w14:paraId="5AA224FF">
            <w:pPr>
              <w:pStyle w:val="125"/>
              <w:pageBreakBefore w:val="0"/>
              <w:tabs>
                <w:tab w:val="left" w:pos="310"/>
              </w:tabs>
              <w:kinsoku/>
              <w:wordWrap/>
              <w:overflowPunct/>
              <w:topLinePunct w:val="0"/>
              <w:autoSpaceDE/>
              <w:autoSpaceDN/>
              <w:bidi w:val="0"/>
              <w:adjustRightInd/>
              <w:spacing w:line="560" w:lineRule="exact"/>
              <w:ind w:firstLine="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每天上、 下午各一次</w:t>
            </w:r>
          </w:p>
          <w:p w14:paraId="51D5A2EE">
            <w:pPr>
              <w:pStyle w:val="125"/>
              <w:pageBreakBefore w:val="0"/>
              <w:tabs>
                <w:tab w:val="left" w:pos="230"/>
              </w:tabs>
              <w:kinsoku/>
              <w:wordWrap/>
              <w:overflowPunct/>
              <w:topLinePunct w:val="0"/>
              <w:autoSpaceDE/>
              <w:autoSpaceDN/>
              <w:bidi w:val="0"/>
              <w:adjustRightInd/>
              <w:spacing w:line="560" w:lineRule="exact"/>
              <w:ind w:firstLine="0"/>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随脏随拖</w:t>
            </w:r>
          </w:p>
        </w:tc>
        <w:tc>
          <w:tcPr>
            <w:tcW w:w="3068" w:type="dxa"/>
            <w:shd w:val="clear" w:color="auto" w:fill="FFFFFF"/>
            <w:vAlign w:val="center"/>
          </w:tcPr>
          <w:p w14:paraId="6332ED26">
            <w:pPr>
              <w:pStyle w:val="125"/>
              <w:pageBreakBefore w:val="0"/>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注意踢脚线的清洁。</w:t>
            </w:r>
          </w:p>
        </w:tc>
      </w:tr>
      <w:tr w14:paraId="6D3C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34" w:hRule="exact"/>
          <w:jc w:val="center"/>
        </w:trPr>
        <w:tc>
          <w:tcPr>
            <w:tcW w:w="1744" w:type="dxa"/>
            <w:shd w:val="clear" w:color="auto" w:fill="FFFFFF"/>
            <w:vAlign w:val="center"/>
          </w:tcPr>
          <w:p w14:paraId="15F5C2BC">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墙壁瓷砖</w:t>
            </w:r>
          </w:p>
        </w:tc>
        <w:tc>
          <w:tcPr>
            <w:tcW w:w="1872" w:type="dxa"/>
            <w:shd w:val="clear" w:color="auto" w:fill="FFFFFF"/>
            <w:vAlign w:val="center"/>
          </w:tcPr>
          <w:p w14:paraId="5EB1FEA7">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无灰尘、水迹、皂迹，瓷砖缝 隙处洁白</w:t>
            </w:r>
          </w:p>
        </w:tc>
        <w:tc>
          <w:tcPr>
            <w:tcW w:w="1556" w:type="dxa"/>
            <w:shd w:val="clear" w:color="auto" w:fill="FFFFFF"/>
            <w:vAlign w:val="center"/>
          </w:tcPr>
          <w:p w14:paraId="1FECF148">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每天上午一 次</w:t>
            </w:r>
          </w:p>
        </w:tc>
        <w:tc>
          <w:tcPr>
            <w:tcW w:w="3068" w:type="dxa"/>
            <w:shd w:val="clear" w:color="auto" w:fill="FFFFFF"/>
            <w:vAlign w:val="center"/>
          </w:tcPr>
          <w:p w14:paraId="5A9E63A9">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先用牙刷醮清洁剂，先刷洗 缝隙，再按程序操作。</w:t>
            </w:r>
          </w:p>
        </w:tc>
      </w:tr>
      <w:tr w14:paraId="1B83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71" w:hRule="exact"/>
          <w:jc w:val="center"/>
        </w:trPr>
        <w:tc>
          <w:tcPr>
            <w:tcW w:w="1744" w:type="dxa"/>
            <w:shd w:val="clear" w:color="auto" w:fill="FFFFFF"/>
            <w:vAlign w:val="center"/>
          </w:tcPr>
          <w:p w14:paraId="00317F16">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脸盆及台面</w:t>
            </w:r>
          </w:p>
        </w:tc>
        <w:tc>
          <w:tcPr>
            <w:tcW w:w="1872" w:type="dxa"/>
            <w:shd w:val="clear" w:color="auto" w:fill="FFFFFF"/>
            <w:vAlign w:val="center"/>
          </w:tcPr>
          <w:p w14:paraId="7531917F">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无水迹、黄迹，洁净、光亮</w:t>
            </w:r>
          </w:p>
        </w:tc>
        <w:tc>
          <w:tcPr>
            <w:tcW w:w="1556" w:type="dxa"/>
            <w:shd w:val="clear" w:color="auto" w:fill="FFFFFF"/>
            <w:vAlign w:val="center"/>
          </w:tcPr>
          <w:p w14:paraId="70E0071D">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每天上、下 午各一次</w:t>
            </w:r>
          </w:p>
        </w:tc>
        <w:tc>
          <w:tcPr>
            <w:tcW w:w="3068" w:type="dxa"/>
            <w:shd w:val="clear" w:color="auto" w:fill="FFFFFF"/>
            <w:vAlign w:val="center"/>
          </w:tcPr>
          <w:p w14:paraId="450AE0FE">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不可遗漏台面下的弯头。</w:t>
            </w:r>
          </w:p>
        </w:tc>
      </w:tr>
      <w:tr w14:paraId="36AD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34" w:hRule="exact"/>
          <w:jc w:val="center"/>
        </w:trPr>
        <w:tc>
          <w:tcPr>
            <w:tcW w:w="1744" w:type="dxa"/>
            <w:shd w:val="clear" w:color="auto" w:fill="FFFFFF"/>
            <w:vAlign w:val="center"/>
          </w:tcPr>
          <w:p w14:paraId="02A6E032">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镜面、镜框</w:t>
            </w:r>
          </w:p>
        </w:tc>
        <w:tc>
          <w:tcPr>
            <w:tcW w:w="1872" w:type="dxa"/>
            <w:shd w:val="clear" w:color="auto" w:fill="FFFFFF"/>
            <w:vAlign w:val="center"/>
          </w:tcPr>
          <w:p w14:paraId="76C2DE9A">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无灰尘、水迹、锈迹，镜面上 无顽垢</w:t>
            </w:r>
          </w:p>
        </w:tc>
        <w:tc>
          <w:tcPr>
            <w:tcW w:w="1556" w:type="dxa"/>
            <w:shd w:val="clear" w:color="auto" w:fill="FFFFFF"/>
            <w:vAlign w:val="center"/>
          </w:tcPr>
          <w:p w14:paraId="0B887B8B">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每天上午一 次</w:t>
            </w:r>
          </w:p>
        </w:tc>
        <w:tc>
          <w:tcPr>
            <w:tcW w:w="3068" w:type="dxa"/>
            <w:shd w:val="clear" w:color="auto" w:fill="FFFFFF"/>
            <w:vAlign w:val="center"/>
          </w:tcPr>
          <w:p w14:paraId="3BC56FDD">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玻璃不能擦花。</w:t>
            </w:r>
          </w:p>
        </w:tc>
      </w:tr>
      <w:tr w14:paraId="5CA0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6" w:hRule="exact"/>
          <w:jc w:val="center"/>
        </w:trPr>
        <w:tc>
          <w:tcPr>
            <w:tcW w:w="1744" w:type="dxa"/>
            <w:shd w:val="clear" w:color="auto" w:fill="FFFFFF"/>
            <w:vAlign w:val="center"/>
          </w:tcPr>
          <w:p w14:paraId="5765ACBA">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所有金属架、龙 头、污物钩、软管、 下水弯头、开关、 扶手等</w:t>
            </w:r>
          </w:p>
        </w:tc>
        <w:tc>
          <w:tcPr>
            <w:tcW w:w="1872" w:type="dxa"/>
            <w:shd w:val="clear" w:color="auto" w:fill="FFFFFF"/>
            <w:vAlign w:val="center"/>
          </w:tcPr>
          <w:p w14:paraId="412D8F8B">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光亮、无斑迹</w:t>
            </w:r>
          </w:p>
        </w:tc>
        <w:tc>
          <w:tcPr>
            <w:tcW w:w="1556" w:type="dxa"/>
            <w:shd w:val="clear" w:color="auto" w:fill="FFFFFF"/>
            <w:vAlign w:val="center"/>
          </w:tcPr>
          <w:p w14:paraId="2F3B971E">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每天上午一 次</w:t>
            </w:r>
          </w:p>
        </w:tc>
        <w:tc>
          <w:tcPr>
            <w:tcW w:w="3068" w:type="dxa"/>
            <w:shd w:val="clear" w:color="auto" w:fill="FFFFFF"/>
            <w:vAlign w:val="center"/>
          </w:tcPr>
          <w:p w14:paraId="0451C572">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抹布要分开使用。</w:t>
            </w:r>
          </w:p>
        </w:tc>
      </w:tr>
      <w:tr w14:paraId="26B0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56" w:hRule="exact"/>
          <w:jc w:val="center"/>
        </w:trPr>
        <w:tc>
          <w:tcPr>
            <w:tcW w:w="1744" w:type="dxa"/>
            <w:vMerge w:val="restart"/>
            <w:shd w:val="clear" w:color="auto" w:fill="FFFFFF"/>
            <w:vAlign w:val="center"/>
          </w:tcPr>
          <w:p w14:paraId="59B5E461">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抽水马桶及水箱</w:t>
            </w:r>
          </w:p>
        </w:tc>
        <w:tc>
          <w:tcPr>
            <w:tcW w:w="1872" w:type="dxa"/>
            <w:shd w:val="clear" w:color="auto" w:fill="FFFFFF"/>
            <w:vAlign w:val="center"/>
          </w:tcPr>
          <w:p w14:paraId="4B2D496A">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无水痕、锈迹、斑迹、毛发、 尿碱</w:t>
            </w:r>
          </w:p>
        </w:tc>
        <w:tc>
          <w:tcPr>
            <w:tcW w:w="1556" w:type="dxa"/>
            <w:shd w:val="clear" w:color="auto" w:fill="FFFFFF"/>
            <w:vAlign w:val="center"/>
          </w:tcPr>
          <w:p w14:paraId="4D7E6D27">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每天上、下 午各一次</w:t>
            </w:r>
          </w:p>
        </w:tc>
        <w:tc>
          <w:tcPr>
            <w:tcW w:w="3068" w:type="dxa"/>
            <w:shd w:val="clear" w:color="auto" w:fill="FFFFFF"/>
            <w:vAlign w:val="center"/>
          </w:tcPr>
          <w:p w14:paraId="40ABD726">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马桶</w:t>
            </w:r>
            <w:r>
              <w:rPr>
                <w:rFonts w:hint="eastAsia" w:ascii="仿宋" w:hAnsi="仿宋" w:eastAsia="仿宋" w:cs="仿宋"/>
                <w:color w:val="auto"/>
                <w:sz w:val="24"/>
                <w:szCs w:val="24"/>
                <w:lang w:eastAsia="zh-CN"/>
              </w:rPr>
              <w:t>胶圈</w:t>
            </w:r>
            <w:r>
              <w:rPr>
                <w:rFonts w:hint="eastAsia" w:ascii="仿宋" w:hAnsi="仿宋" w:eastAsia="仿宋" w:cs="仿宋"/>
                <w:color w:val="auto"/>
                <w:sz w:val="24"/>
                <w:szCs w:val="24"/>
              </w:rPr>
              <w:t>、出水口、溢水口、 水阀、控制器、四周瓷砖的 卫生不能忽略。</w:t>
            </w:r>
          </w:p>
        </w:tc>
      </w:tr>
      <w:tr w14:paraId="3EA3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33" w:hRule="exact"/>
          <w:jc w:val="center"/>
        </w:trPr>
        <w:tc>
          <w:tcPr>
            <w:tcW w:w="1744" w:type="dxa"/>
            <w:vMerge w:val="continue"/>
            <w:shd w:val="clear" w:color="auto" w:fill="FFFFFF"/>
            <w:vAlign w:val="center"/>
          </w:tcPr>
          <w:p w14:paraId="66ED3A3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c>
          <w:tcPr>
            <w:tcW w:w="1872" w:type="dxa"/>
            <w:shd w:val="clear" w:color="auto" w:fill="FFFFFF"/>
            <w:vAlign w:val="center"/>
          </w:tcPr>
          <w:p w14:paraId="651797B7">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无灰尘、无黄迹、无沉淀物</w:t>
            </w:r>
          </w:p>
        </w:tc>
        <w:tc>
          <w:tcPr>
            <w:tcW w:w="1556" w:type="dxa"/>
            <w:shd w:val="clear" w:color="auto" w:fill="FFFFFF"/>
            <w:vAlign w:val="center"/>
          </w:tcPr>
          <w:p w14:paraId="5E64EC85">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每天上、下 午各一次</w:t>
            </w:r>
          </w:p>
        </w:tc>
        <w:tc>
          <w:tcPr>
            <w:tcW w:w="3068" w:type="dxa"/>
            <w:shd w:val="clear" w:color="auto" w:fill="FFFFFF"/>
            <w:vAlign w:val="center"/>
          </w:tcPr>
          <w:p w14:paraId="6BD7212C">
            <w:pPr>
              <w:pStyle w:val="125"/>
              <w:pageBreakBefore w:val="0"/>
              <w:tabs>
                <w:tab w:val="left" w:pos="324"/>
              </w:tabs>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水箱盖一定要放在安全的 地方，防止打烂；</w:t>
            </w:r>
          </w:p>
          <w:p w14:paraId="07D798DA">
            <w:pPr>
              <w:pStyle w:val="125"/>
              <w:pageBreakBefore w:val="0"/>
              <w:tabs>
                <w:tab w:val="left" w:pos="317"/>
              </w:tabs>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刷洗时要小心，避免损坏 内部构件。</w:t>
            </w:r>
          </w:p>
        </w:tc>
      </w:tr>
      <w:tr w14:paraId="7044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14" w:hRule="exact"/>
          <w:jc w:val="center"/>
        </w:trPr>
        <w:tc>
          <w:tcPr>
            <w:tcW w:w="1744" w:type="dxa"/>
            <w:shd w:val="clear" w:color="auto" w:fill="FFFFFF"/>
            <w:vAlign w:val="center"/>
          </w:tcPr>
          <w:p w14:paraId="141CFB93">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浴帘、浴帘杆、环</w:t>
            </w:r>
          </w:p>
        </w:tc>
        <w:tc>
          <w:tcPr>
            <w:tcW w:w="1872" w:type="dxa"/>
            <w:shd w:val="clear" w:color="auto" w:fill="FFFFFF"/>
            <w:vAlign w:val="center"/>
          </w:tcPr>
          <w:p w14:paraId="12EE2C8E">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无皂迹、头发</w:t>
            </w:r>
          </w:p>
        </w:tc>
        <w:tc>
          <w:tcPr>
            <w:tcW w:w="1556" w:type="dxa"/>
            <w:shd w:val="clear" w:color="auto" w:fill="FFFFFF"/>
            <w:vAlign w:val="center"/>
          </w:tcPr>
          <w:p w14:paraId="13C96EC2">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每天上午一 次</w:t>
            </w:r>
          </w:p>
        </w:tc>
        <w:tc>
          <w:tcPr>
            <w:tcW w:w="3068" w:type="dxa"/>
            <w:shd w:val="clear" w:color="auto" w:fill="FFFFFF"/>
            <w:vAlign w:val="center"/>
          </w:tcPr>
          <w:p w14:paraId="40EB1214">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洗净后抹干，不可滴水。</w:t>
            </w:r>
          </w:p>
        </w:tc>
      </w:tr>
      <w:tr w14:paraId="13B6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84" w:hRule="exact"/>
          <w:jc w:val="center"/>
        </w:trPr>
        <w:tc>
          <w:tcPr>
            <w:tcW w:w="1744" w:type="dxa"/>
            <w:shd w:val="clear" w:color="auto" w:fill="FFFFFF"/>
            <w:vAlign w:val="center"/>
          </w:tcPr>
          <w:p w14:paraId="6D6FADDD">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卫生间垃圾桶</w:t>
            </w:r>
          </w:p>
        </w:tc>
        <w:tc>
          <w:tcPr>
            <w:tcW w:w="1872" w:type="dxa"/>
            <w:shd w:val="clear" w:color="auto" w:fill="FFFFFF"/>
            <w:vAlign w:val="center"/>
          </w:tcPr>
          <w:p w14:paraId="3A3E6D17">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光亮、无污迹、无水迹，周边 无垃圾</w:t>
            </w:r>
          </w:p>
        </w:tc>
        <w:tc>
          <w:tcPr>
            <w:tcW w:w="1556" w:type="dxa"/>
            <w:shd w:val="clear" w:color="auto" w:fill="FFFFFF"/>
            <w:vAlign w:val="center"/>
          </w:tcPr>
          <w:p w14:paraId="33A3FB85">
            <w:pPr>
              <w:pStyle w:val="125"/>
              <w:pageBreakBefore w:val="0"/>
              <w:tabs>
                <w:tab w:val="left" w:pos="310"/>
              </w:tabs>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每天上、 下午各一次</w:t>
            </w:r>
          </w:p>
          <w:p w14:paraId="40E07571">
            <w:pPr>
              <w:pStyle w:val="125"/>
              <w:pageBreakBefore w:val="0"/>
              <w:tabs>
                <w:tab w:val="left" w:pos="223"/>
              </w:tabs>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随满随倒</w:t>
            </w:r>
          </w:p>
        </w:tc>
        <w:tc>
          <w:tcPr>
            <w:tcW w:w="3068" w:type="dxa"/>
            <w:shd w:val="clear" w:color="auto" w:fill="FFFFFF"/>
            <w:vAlign w:val="center"/>
          </w:tcPr>
          <w:p w14:paraId="652C1FB1">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垃圾袋平整</w:t>
            </w:r>
            <w:r>
              <w:rPr>
                <w:rFonts w:hint="eastAsia" w:ascii="仿宋" w:hAnsi="仿宋" w:eastAsia="仿宋" w:cs="仿宋"/>
                <w:color w:val="auto"/>
                <w:sz w:val="24"/>
                <w:szCs w:val="24"/>
                <w:lang w:eastAsia="zh-CN"/>
              </w:rPr>
              <w:t>的</w:t>
            </w:r>
            <w:r>
              <w:rPr>
                <w:rFonts w:hint="eastAsia" w:ascii="仿宋" w:hAnsi="仿宋" w:eastAsia="仿宋" w:cs="仿宋"/>
                <w:color w:val="auto"/>
                <w:sz w:val="24"/>
                <w:szCs w:val="24"/>
              </w:rPr>
              <w:t>套在垃圾桶 上，与垃圾桶之间无缝隙， 翻边约5厘米，不能漫溢。</w:t>
            </w:r>
          </w:p>
        </w:tc>
      </w:tr>
      <w:tr w14:paraId="7409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61" w:hRule="exact"/>
          <w:jc w:val="center"/>
        </w:trPr>
        <w:tc>
          <w:tcPr>
            <w:tcW w:w="1744" w:type="dxa"/>
            <w:shd w:val="clear" w:color="auto" w:fill="FFFFFF"/>
            <w:vAlign w:val="center"/>
          </w:tcPr>
          <w:p w14:paraId="13397C0D">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门（面、锁把手、锁眼、碰头）、絞 链</w:t>
            </w:r>
          </w:p>
        </w:tc>
        <w:tc>
          <w:tcPr>
            <w:tcW w:w="1872" w:type="dxa"/>
            <w:shd w:val="clear" w:color="auto" w:fill="FFFFFF"/>
            <w:vAlign w:val="center"/>
          </w:tcPr>
          <w:p w14:paraId="541A242E">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无浮灰、手印、斑迹</w:t>
            </w:r>
          </w:p>
        </w:tc>
        <w:tc>
          <w:tcPr>
            <w:tcW w:w="1556" w:type="dxa"/>
            <w:shd w:val="clear" w:color="auto" w:fill="FFFFFF"/>
            <w:vAlign w:val="center"/>
          </w:tcPr>
          <w:p w14:paraId="524FE917">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每天上午</w:t>
            </w:r>
            <w:r>
              <w:rPr>
                <w:rFonts w:hint="eastAsia" w:ascii="仿宋" w:hAnsi="仿宋" w:eastAsia="仿宋" w:cs="仿宋"/>
                <w:color w:val="auto"/>
                <w:sz w:val="24"/>
                <w:szCs w:val="24"/>
                <w:lang w:val="en-US" w:eastAsia="zh-CN"/>
              </w:rPr>
              <w:t>一次</w:t>
            </w:r>
          </w:p>
        </w:tc>
        <w:tc>
          <w:tcPr>
            <w:tcW w:w="3068" w:type="dxa"/>
            <w:shd w:val="clear" w:color="auto" w:fill="FFFFFF"/>
            <w:vAlign w:val="center"/>
          </w:tcPr>
          <w:p w14:paraId="7C3E6CE3">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抹干净，无水迹印。</w:t>
            </w:r>
          </w:p>
        </w:tc>
      </w:tr>
      <w:tr w14:paraId="71D2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56" w:hRule="exact"/>
          <w:jc w:val="center"/>
        </w:trPr>
        <w:tc>
          <w:tcPr>
            <w:tcW w:w="1744" w:type="dxa"/>
            <w:shd w:val="clear" w:color="auto" w:fill="FFFFFF"/>
            <w:vAlign w:val="center"/>
          </w:tcPr>
          <w:p w14:paraId="23D9280B">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门槛、防滑垫、地 漏</w:t>
            </w:r>
          </w:p>
        </w:tc>
        <w:tc>
          <w:tcPr>
            <w:tcW w:w="1872" w:type="dxa"/>
            <w:shd w:val="clear" w:color="auto" w:fill="FFFFFF"/>
            <w:vAlign w:val="center"/>
          </w:tcPr>
          <w:p w14:paraId="3FB6E14C">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无头发、纱头，无灰尘、纸屑， 无污迹、水迹</w:t>
            </w:r>
          </w:p>
        </w:tc>
        <w:tc>
          <w:tcPr>
            <w:tcW w:w="1556" w:type="dxa"/>
            <w:shd w:val="clear" w:color="auto" w:fill="FFFFFF"/>
            <w:vAlign w:val="center"/>
          </w:tcPr>
          <w:p w14:paraId="22EB7C36">
            <w:pPr>
              <w:pStyle w:val="125"/>
              <w:pageBreakBefore w:val="0"/>
              <w:kinsoku/>
              <w:wordWrap/>
              <w:overflowPunct/>
              <w:topLinePunct w:val="0"/>
              <w:autoSpaceDE/>
              <w:autoSpaceDN/>
              <w:bidi w:val="0"/>
              <w:adjustRightInd/>
              <w:spacing w:after="80"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每天上、下</w:t>
            </w:r>
          </w:p>
          <w:p w14:paraId="742E6D2B">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午一次</w:t>
            </w:r>
          </w:p>
        </w:tc>
        <w:tc>
          <w:tcPr>
            <w:tcW w:w="3068" w:type="dxa"/>
            <w:shd w:val="clear" w:color="auto" w:fill="FFFFFF"/>
            <w:vAlign w:val="center"/>
          </w:tcPr>
          <w:p w14:paraId="4D2F0CDF">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地漏清洁后应盖在地漏孔 上，不可有积水。</w:t>
            </w:r>
          </w:p>
        </w:tc>
      </w:tr>
      <w:tr w14:paraId="13E3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75" w:hRule="exact"/>
          <w:jc w:val="center"/>
        </w:trPr>
        <w:tc>
          <w:tcPr>
            <w:tcW w:w="1744" w:type="dxa"/>
            <w:shd w:val="clear" w:color="auto" w:fill="FFFFFF"/>
            <w:vAlign w:val="center"/>
          </w:tcPr>
          <w:p w14:paraId="6E2EE8D8">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风口及风口挡板</w:t>
            </w:r>
          </w:p>
        </w:tc>
        <w:tc>
          <w:tcPr>
            <w:tcW w:w="1872" w:type="dxa"/>
            <w:shd w:val="clear" w:color="auto" w:fill="FFFFFF"/>
            <w:vAlign w:val="center"/>
          </w:tcPr>
          <w:p w14:paraId="69A680D6">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无灰尘、无印迹</w:t>
            </w:r>
          </w:p>
        </w:tc>
        <w:tc>
          <w:tcPr>
            <w:tcW w:w="1556" w:type="dxa"/>
            <w:shd w:val="clear" w:color="auto" w:fill="FFFFFF"/>
            <w:vAlign w:val="center"/>
          </w:tcPr>
          <w:p w14:paraId="0C25849F">
            <w:pPr>
              <w:pStyle w:val="125"/>
              <w:pageBreakBefore w:val="0"/>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3068" w:type="dxa"/>
            <w:shd w:val="clear" w:color="auto" w:fill="FFFFFF"/>
          </w:tcPr>
          <w:p w14:paraId="6068B749">
            <w:pPr>
              <w:pStyle w:val="125"/>
              <w:pageBreakBefore w:val="0"/>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风口四周墙壁不可有污迹， 不可站在病人用椅上。</w:t>
            </w:r>
          </w:p>
        </w:tc>
      </w:tr>
      <w:tr w14:paraId="100E0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3" w:hRule="exact"/>
          <w:jc w:val="center"/>
        </w:trPr>
        <w:tc>
          <w:tcPr>
            <w:tcW w:w="1744" w:type="dxa"/>
            <w:shd w:val="clear" w:color="auto" w:fill="FFFFFF"/>
          </w:tcPr>
          <w:p w14:paraId="182A0891">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房顶</w:t>
            </w:r>
          </w:p>
        </w:tc>
        <w:tc>
          <w:tcPr>
            <w:tcW w:w="1872" w:type="dxa"/>
            <w:shd w:val="clear" w:color="auto" w:fill="FFFFFF"/>
          </w:tcPr>
          <w:p w14:paraId="6252BAE0">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无斑迹、无吊灰、无蜘蛛网</w:t>
            </w:r>
          </w:p>
        </w:tc>
        <w:tc>
          <w:tcPr>
            <w:tcW w:w="1556" w:type="dxa"/>
            <w:shd w:val="clear" w:color="auto" w:fill="FFFFFF"/>
          </w:tcPr>
          <w:p w14:paraId="12FE85BF">
            <w:pPr>
              <w:pStyle w:val="125"/>
              <w:pageBreakBefore w:val="0"/>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3068" w:type="dxa"/>
            <w:shd w:val="clear" w:color="auto" w:fill="FFFFFF"/>
          </w:tcPr>
          <w:p w14:paraId="75D9C854">
            <w:pPr>
              <w:pStyle w:val="125"/>
              <w:pageBreakBefore w:val="0"/>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防止灰尘扬起。</w:t>
            </w:r>
          </w:p>
        </w:tc>
      </w:tr>
      <w:tr w14:paraId="6029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07" w:hRule="exact"/>
          <w:jc w:val="center"/>
        </w:trPr>
        <w:tc>
          <w:tcPr>
            <w:tcW w:w="1744" w:type="dxa"/>
            <w:shd w:val="clear" w:color="auto" w:fill="FFFFFF"/>
            <w:vAlign w:val="center"/>
          </w:tcPr>
          <w:p w14:paraId="7CEAD89C">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顶灯及罩</w:t>
            </w:r>
          </w:p>
        </w:tc>
        <w:tc>
          <w:tcPr>
            <w:tcW w:w="1872" w:type="dxa"/>
            <w:shd w:val="clear" w:color="auto" w:fill="FFFFFF"/>
            <w:vAlign w:val="center"/>
          </w:tcPr>
          <w:p w14:paraId="089F0528">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w:t>
            </w:r>
          </w:p>
        </w:tc>
        <w:tc>
          <w:tcPr>
            <w:tcW w:w="1556" w:type="dxa"/>
            <w:shd w:val="clear" w:color="auto" w:fill="FFFFFF"/>
            <w:vAlign w:val="center"/>
          </w:tcPr>
          <w:p w14:paraId="50D6A8E1">
            <w:pPr>
              <w:pStyle w:val="125"/>
              <w:pageBreakBefore w:val="0"/>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3068" w:type="dxa"/>
            <w:shd w:val="clear" w:color="auto" w:fill="FFFFFF"/>
          </w:tcPr>
          <w:p w14:paraId="4E5A81F1">
            <w:pPr>
              <w:pStyle w:val="125"/>
              <w:pageBreakBefore w:val="0"/>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擦时不要把灯罩周围墙壁碰 有印迹。</w:t>
            </w:r>
          </w:p>
        </w:tc>
      </w:tr>
      <w:tr w14:paraId="7A53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22" w:hRule="exact"/>
          <w:jc w:val="center"/>
        </w:trPr>
        <w:tc>
          <w:tcPr>
            <w:tcW w:w="1744" w:type="dxa"/>
            <w:shd w:val="clear" w:color="auto" w:fill="FFFFFF"/>
            <w:vAlign w:val="center"/>
          </w:tcPr>
          <w:p w14:paraId="5C87522A">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卫生间空气</w:t>
            </w:r>
          </w:p>
        </w:tc>
        <w:tc>
          <w:tcPr>
            <w:tcW w:w="1872" w:type="dxa"/>
            <w:shd w:val="clear" w:color="auto" w:fill="FFFFFF"/>
            <w:vAlign w:val="center"/>
          </w:tcPr>
          <w:p w14:paraId="238A973B">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无异味、空气清新</w:t>
            </w:r>
          </w:p>
        </w:tc>
        <w:tc>
          <w:tcPr>
            <w:tcW w:w="1556" w:type="dxa"/>
            <w:shd w:val="clear" w:color="auto" w:fill="FFFFFF"/>
            <w:vAlign w:val="center"/>
          </w:tcPr>
          <w:p w14:paraId="08B443EA">
            <w:pPr>
              <w:pStyle w:val="125"/>
              <w:pageBreakBefore w:val="0"/>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必要时</w:t>
            </w:r>
          </w:p>
        </w:tc>
        <w:tc>
          <w:tcPr>
            <w:tcW w:w="3068" w:type="dxa"/>
            <w:shd w:val="clear" w:color="auto" w:fill="FFFFFF"/>
          </w:tcPr>
          <w:p w14:paraId="4A3D7BFC">
            <w:pPr>
              <w:pStyle w:val="125"/>
              <w:pageBreakBefore w:val="0"/>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喷洒时征求病人及家属意 见。</w:t>
            </w:r>
          </w:p>
        </w:tc>
      </w:tr>
    </w:tbl>
    <w:p w14:paraId="1B51BDCD">
      <w:pPr>
        <w:pageBreakBefore w:val="0"/>
        <w:kinsoku/>
        <w:wordWrap/>
        <w:overflowPunct/>
        <w:topLinePunct w:val="0"/>
        <w:autoSpaceDE/>
        <w:autoSpaceDN/>
        <w:bidi w:val="0"/>
        <w:adjustRightInd/>
        <w:snapToGrid w:val="0"/>
        <w:spacing w:line="560" w:lineRule="exact"/>
        <w:ind w:right="315"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lang w:val="zh-CN" w:bidi="zh-CN"/>
        </w:rPr>
        <w:t>2、</w:t>
      </w:r>
      <w:r>
        <w:rPr>
          <w:rFonts w:hint="eastAsia" w:ascii="仿宋" w:hAnsi="仿宋" w:eastAsia="仿宋" w:cs="仿宋"/>
          <w:b/>
          <w:bCs/>
          <w:color w:val="auto"/>
          <w:sz w:val="24"/>
          <w:szCs w:val="24"/>
        </w:rPr>
        <w:t>各相关区域及病房内日常保洁项目要求</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275"/>
        <w:gridCol w:w="2751"/>
        <w:gridCol w:w="1912"/>
        <w:gridCol w:w="2240"/>
      </w:tblGrid>
      <w:tr w14:paraId="1768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6" w:hRule="exact"/>
          <w:jc w:val="center"/>
        </w:trPr>
        <w:tc>
          <w:tcPr>
            <w:tcW w:w="1275" w:type="dxa"/>
            <w:shd w:val="clear" w:color="auto" w:fill="FFFFFF"/>
            <w:vAlign w:val="center"/>
          </w:tcPr>
          <w:p w14:paraId="5710E3C9">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项目</w:t>
            </w:r>
          </w:p>
        </w:tc>
        <w:tc>
          <w:tcPr>
            <w:tcW w:w="2751" w:type="dxa"/>
            <w:shd w:val="clear" w:color="auto" w:fill="FFFFFF"/>
            <w:vAlign w:val="center"/>
          </w:tcPr>
          <w:p w14:paraId="5A884267">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标准（质量要求）</w:t>
            </w:r>
          </w:p>
        </w:tc>
        <w:tc>
          <w:tcPr>
            <w:tcW w:w="1912" w:type="dxa"/>
            <w:shd w:val="clear" w:color="auto" w:fill="FFFFFF"/>
            <w:vAlign w:val="center"/>
          </w:tcPr>
          <w:p w14:paraId="27744A65">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频次</w:t>
            </w:r>
          </w:p>
        </w:tc>
        <w:tc>
          <w:tcPr>
            <w:tcW w:w="2240" w:type="dxa"/>
            <w:shd w:val="clear" w:color="auto" w:fill="FFFFFF"/>
            <w:vAlign w:val="center"/>
          </w:tcPr>
          <w:p w14:paraId="1A337BA8">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注意事项</w:t>
            </w:r>
          </w:p>
        </w:tc>
      </w:tr>
      <w:tr w14:paraId="0577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tcW w:w="1275" w:type="dxa"/>
            <w:shd w:val="clear" w:color="auto" w:fill="FFFFFF"/>
            <w:vAlign w:val="center"/>
          </w:tcPr>
          <w:p w14:paraId="1C4BC0A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门、防火通道图</w:t>
            </w:r>
          </w:p>
        </w:tc>
        <w:tc>
          <w:tcPr>
            <w:tcW w:w="2751" w:type="dxa"/>
            <w:shd w:val="clear" w:color="auto" w:fill="FFFFFF"/>
            <w:vAlign w:val="center"/>
          </w:tcPr>
          <w:p w14:paraId="2350AAA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无浮灰、手印、斑迹，光亮</w:t>
            </w:r>
          </w:p>
        </w:tc>
        <w:tc>
          <w:tcPr>
            <w:tcW w:w="1912" w:type="dxa"/>
            <w:shd w:val="clear" w:color="auto" w:fill="FFFFFF"/>
            <w:vAlign w:val="center"/>
          </w:tcPr>
          <w:p w14:paraId="0BC4269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每天上午一 次</w:t>
            </w:r>
          </w:p>
        </w:tc>
        <w:tc>
          <w:tcPr>
            <w:tcW w:w="2240" w:type="dxa"/>
            <w:shd w:val="clear" w:color="auto" w:fill="FFFFFF"/>
            <w:vAlign w:val="center"/>
          </w:tcPr>
          <w:p w14:paraId="23DCC0D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防火通道图不可破损、脱落</w:t>
            </w:r>
          </w:p>
        </w:tc>
      </w:tr>
      <w:tr w14:paraId="686A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15" w:hRule="exact"/>
          <w:jc w:val="center"/>
        </w:trPr>
        <w:tc>
          <w:tcPr>
            <w:tcW w:w="1275" w:type="dxa"/>
            <w:shd w:val="clear" w:color="auto" w:fill="FFFFFF"/>
            <w:vAlign w:val="center"/>
          </w:tcPr>
          <w:p w14:paraId="076BC05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地面</w:t>
            </w:r>
          </w:p>
        </w:tc>
        <w:tc>
          <w:tcPr>
            <w:tcW w:w="2751" w:type="dxa"/>
            <w:shd w:val="clear" w:color="auto" w:fill="FFFFFF"/>
            <w:vAlign w:val="center"/>
          </w:tcPr>
          <w:p w14:paraId="3AAD059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无灰尘、污迹、水迹，清 洁、干净、无斑迹</w:t>
            </w:r>
          </w:p>
        </w:tc>
        <w:tc>
          <w:tcPr>
            <w:tcW w:w="1912" w:type="dxa"/>
            <w:shd w:val="clear" w:color="auto" w:fill="FFFFFF"/>
            <w:vAlign w:val="center"/>
          </w:tcPr>
          <w:p w14:paraId="21A194E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1、每天二 次</w:t>
            </w:r>
          </w:p>
          <w:p w14:paraId="49C62F6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随脏随 拖</w:t>
            </w:r>
          </w:p>
        </w:tc>
        <w:tc>
          <w:tcPr>
            <w:tcW w:w="2240" w:type="dxa"/>
            <w:shd w:val="clear" w:color="auto" w:fill="FFFFFF"/>
            <w:vAlign w:val="center"/>
          </w:tcPr>
          <w:p w14:paraId="45DA705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床脚、床头柜脚下的地面卫 生不可忽略</w:t>
            </w:r>
          </w:p>
        </w:tc>
      </w:tr>
      <w:tr w14:paraId="6088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59" w:hRule="exact"/>
          <w:jc w:val="center"/>
        </w:trPr>
        <w:tc>
          <w:tcPr>
            <w:tcW w:w="1275" w:type="dxa"/>
            <w:shd w:val="clear" w:color="auto" w:fill="FFFFFF"/>
            <w:vAlign w:val="center"/>
          </w:tcPr>
          <w:p w14:paraId="2FE06FF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壁橱内外</w:t>
            </w:r>
          </w:p>
        </w:tc>
        <w:tc>
          <w:tcPr>
            <w:tcW w:w="2751" w:type="dxa"/>
            <w:shd w:val="clear" w:color="auto" w:fill="FFFFFF"/>
            <w:vAlign w:val="center"/>
          </w:tcPr>
          <w:p w14:paraId="4E5974E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无灰尘、污迹、蟑螂，干净</w:t>
            </w:r>
          </w:p>
        </w:tc>
        <w:tc>
          <w:tcPr>
            <w:tcW w:w="1912" w:type="dxa"/>
            <w:shd w:val="clear" w:color="auto" w:fill="FFFFFF"/>
            <w:vAlign w:val="center"/>
          </w:tcPr>
          <w:p w14:paraId="6C47625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240" w:type="dxa"/>
            <w:shd w:val="clear" w:color="auto" w:fill="FFFFFF"/>
            <w:vAlign w:val="center"/>
          </w:tcPr>
          <w:p w14:paraId="7EC7DEA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家具不能擦花，清除残留在 家具面上的清洁剂泡沬，除 净并擦均匀</w:t>
            </w:r>
          </w:p>
        </w:tc>
      </w:tr>
      <w:tr w14:paraId="603E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tcW w:w="1275" w:type="dxa"/>
            <w:shd w:val="clear" w:color="auto" w:fill="FFFFFF"/>
            <w:vAlign w:val="center"/>
          </w:tcPr>
          <w:p w14:paraId="25EABEE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床头柜</w:t>
            </w:r>
          </w:p>
        </w:tc>
        <w:tc>
          <w:tcPr>
            <w:tcW w:w="2751" w:type="dxa"/>
            <w:shd w:val="clear" w:color="auto" w:fill="FFFFFF"/>
            <w:vAlign w:val="center"/>
          </w:tcPr>
          <w:p w14:paraId="31FEC4A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无灰尘、污迹、蟑螂，干净</w:t>
            </w:r>
          </w:p>
        </w:tc>
        <w:tc>
          <w:tcPr>
            <w:tcW w:w="1912" w:type="dxa"/>
            <w:shd w:val="clear" w:color="auto" w:fill="FFFFFF"/>
            <w:vAlign w:val="center"/>
          </w:tcPr>
          <w:p w14:paraId="2DEC7F1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240" w:type="dxa"/>
            <w:shd w:val="clear" w:color="auto" w:fill="FFFFFF"/>
            <w:vAlign w:val="center"/>
          </w:tcPr>
          <w:p w14:paraId="75A2566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床头柜脚的卫生不可忽略， 抽屉和手把处不可有污迹</w:t>
            </w:r>
          </w:p>
        </w:tc>
      </w:tr>
      <w:tr w14:paraId="04DF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tcW w:w="1275" w:type="dxa"/>
            <w:shd w:val="clear" w:color="auto" w:fill="FFFFFF"/>
            <w:vAlign w:val="center"/>
          </w:tcPr>
          <w:p w14:paraId="15F3A18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床、床头板</w:t>
            </w:r>
          </w:p>
        </w:tc>
        <w:tc>
          <w:tcPr>
            <w:tcW w:w="2751" w:type="dxa"/>
            <w:shd w:val="clear" w:color="auto" w:fill="FFFFFF"/>
            <w:vAlign w:val="center"/>
          </w:tcPr>
          <w:p w14:paraId="7B8E974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无灰尘、污迹、破损</w:t>
            </w:r>
          </w:p>
        </w:tc>
        <w:tc>
          <w:tcPr>
            <w:tcW w:w="1912" w:type="dxa"/>
            <w:shd w:val="clear" w:color="auto" w:fill="FFFFFF"/>
            <w:vAlign w:val="center"/>
          </w:tcPr>
          <w:p w14:paraId="5044CAF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240" w:type="dxa"/>
            <w:shd w:val="clear" w:color="auto" w:fill="FFFFFF"/>
            <w:vAlign w:val="center"/>
          </w:tcPr>
          <w:p w14:paraId="0569C13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床头板不可有污迹，擦拭时 不可用脱色剂</w:t>
            </w:r>
          </w:p>
        </w:tc>
      </w:tr>
      <w:tr w14:paraId="1E7C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tcW w:w="1275" w:type="dxa"/>
            <w:shd w:val="clear" w:color="auto" w:fill="FFFFFF"/>
            <w:vAlign w:val="center"/>
          </w:tcPr>
          <w:p w14:paraId="603CBE6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椅子</w:t>
            </w:r>
          </w:p>
        </w:tc>
        <w:tc>
          <w:tcPr>
            <w:tcW w:w="2751" w:type="dxa"/>
            <w:shd w:val="clear" w:color="auto" w:fill="FFFFFF"/>
            <w:vAlign w:val="center"/>
          </w:tcPr>
          <w:p w14:paraId="02E4351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无灰尘、污迹、水迹、变 形、破损，洁净、稳固、完好</w:t>
            </w:r>
          </w:p>
        </w:tc>
        <w:tc>
          <w:tcPr>
            <w:tcW w:w="1912" w:type="dxa"/>
            <w:shd w:val="clear" w:color="auto" w:fill="FFFFFF"/>
            <w:vAlign w:val="center"/>
          </w:tcPr>
          <w:p w14:paraId="38D3872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240" w:type="dxa"/>
            <w:shd w:val="clear" w:color="auto" w:fill="FFFFFF"/>
            <w:vAlign w:val="center"/>
          </w:tcPr>
          <w:p w14:paraId="2D895B7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如破损及时报修</w:t>
            </w:r>
          </w:p>
        </w:tc>
      </w:tr>
      <w:tr w14:paraId="6492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4" w:hRule="exact"/>
          <w:jc w:val="center"/>
        </w:trPr>
        <w:tc>
          <w:tcPr>
            <w:tcW w:w="1275" w:type="dxa"/>
            <w:shd w:val="clear" w:color="auto" w:fill="FFFFFF"/>
            <w:vAlign w:val="center"/>
          </w:tcPr>
          <w:p w14:paraId="73968FC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喷淋、烟感器</w:t>
            </w:r>
          </w:p>
        </w:tc>
        <w:tc>
          <w:tcPr>
            <w:tcW w:w="2751" w:type="dxa"/>
            <w:shd w:val="clear" w:color="auto" w:fill="FFFFFF"/>
            <w:vAlign w:val="center"/>
          </w:tcPr>
          <w:p w14:paraId="10C3FAC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无灰尘、吊灰</w:t>
            </w:r>
          </w:p>
        </w:tc>
        <w:tc>
          <w:tcPr>
            <w:tcW w:w="1912" w:type="dxa"/>
            <w:shd w:val="clear" w:color="auto" w:fill="FFFFFF"/>
            <w:vAlign w:val="center"/>
          </w:tcPr>
          <w:p w14:paraId="6AF2B41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240" w:type="dxa"/>
            <w:shd w:val="clear" w:color="auto" w:fill="FFFFFF"/>
            <w:vAlign w:val="center"/>
          </w:tcPr>
          <w:p w14:paraId="53C24C7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42D6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3" w:hRule="exact"/>
          <w:jc w:val="center"/>
        </w:trPr>
        <w:tc>
          <w:tcPr>
            <w:tcW w:w="1275" w:type="dxa"/>
            <w:shd w:val="clear" w:color="auto" w:fill="FFFFFF"/>
            <w:vAlign w:val="center"/>
          </w:tcPr>
          <w:p w14:paraId="6DEC4A3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墙壁</w:t>
            </w:r>
          </w:p>
        </w:tc>
        <w:tc>
          <w:tcPr>
            <w:tcW w:w="2751" w:type="dxa"/>
            <w:shd w:val="clear" w:color="auto" w:fill="FFFFFF"/>
            <w:vAlign w:val="center"/>
          </w:tcPr>
          <w:p w14:paraId="2A9F6E7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无灰尘、水迹、污迹，干 净、明亮、无脱落</w:t>
            </w:r>
          </w:p>
        </w:tc>
        <w:tc>
          <w:tcPr>
            <w:tcW w:w="1912" w:type="dxa"/>
            <w:shd w:val="clear" w:color="auto" w:fill="FFFFFF"/>
            <w:vAlign w:val="center"/>
          </w:tcPr>
          <w:p w14:paraId="7A499F4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240" w:type="dxa"/>
            <w:shd w:val="clear" w:color="auto" w:fill="FFFFFF"/>
            <w:vAlign w:val="center"/>
          </w:tcPr>
          <w:p w14:paraId="6FF4DDF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不可损坏墙面，清洁剂不可 脱色</w:t>
            </w:r>
          </w:p>
        </w:tc>
      </w:tr>
      <w:tr w14:paraId="5780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exact"/>
          <w:jc w:val="center"/>
        </w:trPr>
        <w:tc>
          <w:tcPr>
            <w:tcW w:w="1275" w:type="dxa"/>
            <w:shd w:val="clear" w:color="auto" w:fill="FFFFFF"/>
            <w:vAlign w:val="center"/>
          </w:tcPr>
          <w:p w14:paraId="07F8CB7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房顶、输液轨道</w:t>
            </w:r>
          </w:p>
        </w:tc>
        <w:tc>
          <w:tcPr>
            <w:tcW w:w="2751" w:type="dxa"/>
            <w:shd w:val="clear" w:color="auto" w:fill="FFFFFF"/>
            <w:vAlign w:val="center"/>
          </w:tcPr>
          <w:p w14:paraId="63E10ED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无斑迹、吊灰、蜘蛛网</w:t>
            </w:r>
          </w:p>
        </w:tc>
        <w:tc>
          <w:tcPr>
            <w:tcW w:w="1912" w:type="dxa"/>
            <w:shd w:val="clear" w:color="auto" w:fill="FFFFFF"/>
            <w:vAlign w:val="center"/>
          </w:tcPr>
          <w:p w14:paraId="4F9B104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240" w:type="dxa"/>
            <w:shd w:val="clear" w:color="auto" w:fill="FFFFFF"/>
            <w:vAlign w:val="center"/>
          </w:tcPr>
          <w:p w14:paraId="1E9AB7D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08D8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74" w:hRule="exact"/>
          <w:jc w:val="center"/>
        </w:trPr>
        <w:tc>
          <w:tcPr>
            <w:tcW w:w="1275" w:type="dxa"/>
            <w:shd w:val="clear" w:color="auto" w:fill="FFFFFF"/>
            <w:vAlign w:val="center"/>
          </w:tcPr>
          <w:p w14:paraId="46A0CB3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顶灯、罩</w:t>
            </w:r>
          </w:p>
        </w:tc>
        <w:tc>
          <w:tcPr>
            <w:tcW w:w="2751" w:type="dxa"/>
            <w:shd w:val="clear" w:color="auto" w:fill="FFFFFF"/>
            <w:vAlign w:val="center"/>
          </w:tcPr>
          <w:p w14:paraId="3EFADDF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w:t>
            </w:r>
          </w:p>
        </w:tc>
        <w:tc>
          <w:tcPr>
            <w:tcW w:w="1912" w:type="dxa"/>
            <w:shd w:val="clear" w:color="auto" w:fill="FFFFFF"/>
            <w:vAlign w:val="center"/>
          </w:tcPr>
          <w:p w14:paraId="757E34F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240" w:type="dxa"/>
            <w:shd w:val="clear" w:color="auto" w:fill="FFFFFF"/>
            <w:vAlign w:val="center"/>
          </w:tcPr>
          <w:p w14:paraId="5913146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27E3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19" w:hRule="exact"/>
          <w:jc w:val="center"/>
        </w:trPr>
        <w:tc>
          <w:tcPr>
            <w:tcW w:w="1275" w:type="dxa"/>
            <w:shd w:val="clear" w:color="auto" w:fill="FFFFFF"/>
            <w:vAlign w:val="center"/>
          </w:tcPr>
          <w:p w14:paraId="2D8125A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开关、插座、空调 调节器</w:t>
            </w:r>
          </w:p>
        </w:tc>
        <w:tc>
          <w:tcPr>
            <w:tcW w:w="2751" w:type="dxa"/>
            <w:shd w:val="clear" w:color="auto" w:fill="FFFFFF"/>
            <w:vAlign w:val="center"/>
          </w:tcPr>
          <w:p w14:paraId="5AE5322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无灰尘、污迹，光亮、无破损</w:t>
            </w:r>
          </w:p>
        </w:tc>
        <w:tc>
          <w:tcPr>
            <w:tcW w:w="1912" w:type="dxa"/>
            <w:shd w:val="clear" w:color="auto" w:fill="FFFFFF"/>
            <w:vAlign w:val="center"/>
          </w:tcPr>
          <w:p w14:paraId="34B1EBF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240" w:type="dxa"/>
            <w:shd w:val="clear" w:color="auto" w:fill="FFFFFF"/>
            <w:vAlign w:val="center"/>
          </w:tcPr>
          <w:p w14:paraId="08C1427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5C4C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73" w:hRule="exact"/>
          <w:jc w:val="center"/>
        </w:trPr>
        <w:tc>
          <w:tcPr>
            <w:tcW w:w="1275" w:type="dxa"/>
            <w:shd w:val="clear" w:color="auto" w:fill="FFFFFF"/>
            <w:vAlign w:val="center"/>
          </w:tcPr>
          <w:p w14:paraId="7050B56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窗户玻璃、窗框、 窗台</w:t>
            </w:r>
          </w:p>
        </w:tc>
        <w:tc>
          <w:tcPr>
            <w:tcW w:w="2751" w:type="dxa"/>
            <w:shd w:val="clear" w:color="auto" w:fill="FFFFFF"/>
            <w:vAlign w:val="center"/>
          </w:tcPr>
          <w:p w14:paraId="31200DE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玻璃干净、明亮，无灰尘、 污迹，窗框无破损，窗扣完好</w:t>
            </w:r>
          </w:p>
        </w:tc>
        <w:tc>
          <w:tcPr>
            <w:tcW w:w="1912" w:type="dxa"/>
            <w:shd w:val="clear" w:color="auto" w:fill="FFFFFF"/>
            <w:vAlign w:val="center"/>
          </w:tcPr>
          <w:p w14:paraId="1070C83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240" w:type="dxa"/>
            <w:shd w:val="clear" w:color="auto" w:fill="FFFFFF"/>
            <w:vAlign w:val="center"/>
          </w:tcPr>
          <w:p w14:paraId="08AFF4E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污水不可滴落楼下</w:t>
            </w:r>
          </w:p>
          <w:p w14:paraId="5DF7017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高空作业必须系牢安全 带，或用升降机、吊篮进行 作业</w:t>
            </w:r>
          </w:p>
          <w:p w14:paraId="25ECE40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rPr>
              <w:tab/>
            </w:r>
            <w:r>
              <w:rPr>
                <w:rFonts w:hint="eastAsia" w:ascii="仿宋" w:hAnsi="仿宋" w:eastAsia="仿宋" w:cs="仿宋"/>
                <w:color w:val="auto"/>
                <w:sz w:val="24"/>
                <w:szCs w:val="24"/>
              </w:rPr>
              <w:t>刮大风、下雨时勿作业</w:t>
            </w:r>
          </w:p>
        </w:tc>
      </w:tr>
      <w:tr w14:paraId="0B13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21" w:hRule="exact"/>
          <w:jc w:val="center"/>
        </w:trPr>
        <w:tc>
          <w:tcPr>
            <w:tcW w:w="1275" w:type="dxa"/>
            <w:shd w:val="clear" w:color="auto" w:fill="FFFFFF"/>
            <w:vAlign w:val="center"/>
          </w:tcPr>
          <w:p w14:paraId="6E5DD15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窗帘、隔离帘、屏 风、开关及拉绳、 轨道</w:t>
            </w:r>
          </w:p>
        </w:tc>
        <w:tc>
          <w:tcPr>
            <w:tcW w:w="2751" w:type="dxa"/>
            <w:shd w:val="clear" w:color="auto" w:fill="FFFFFF"/>
            <w:vAlign w:val="center"/>
          </w:tcPr>
          <w:p w14:paraId="77210A7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干净，无破损、脱钩、污迹、 变形</w:t>
            </w:r>
          </w:p>
        </w:tc>
        <w:tc>
          <w:tcPr>
            <w:tcW w:w="1912" w:type="dxa"/>
            <w:shd w:val="clear" w:color="auto" w:fill="FFFFFF"/>
            <w:vAlign w:val="center"/>
          </w:tcPr>
          <w:p w14:paraId="5F525ED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窗帘、 隔离帘每季 度送洗一次2、擦拭每 天一次</w:t>
            </w:r>
          </w:p>
          <w:p w14:paraId="7C78F95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c>
          <w:tcPr>
            <w:tcW w:w="2240" w:type="dxa"/>
            <w:shd w:val="clear" w:color="auto" w:fill="FFFFFF"/>
            <w:vAlign w:val="center"/>
          </w:tcPr>
          <w:p w14:paraId="3A0484A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p w14:paraId="2E26B14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p w14:paraId="7781E89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61CB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80" w:hRule="exact"/>
          <w:jc w:val="center"/>
        </w:trPr>
        <w:tc>
          <w:tcPr>
            <w:tcW w:w="1275" w:type="dxa"/>
            <w:shd w:val="clear" w:color="auto" w:fill="FFFFFF"/>
            <w:vAlign w:val="center"/>
          </w:tcPr>
          <w:p w14:paraId="0DEC286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垃圾桶</w:t>
            </w:r>
          </w:p>
        </w:tc>
        <w:tc>
          <w:tcPr>
            <w:tcW w:w="2751" w:type="dxa"/>
            <w:shd w:val="clear" w:color="auto" w:fill="FFFFFF"/>
            <w:vAlign w:val="center"/>
          </w:tcPr>
          <w:p w14:paraId="0A0F408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光亮、无污迹、无水迹， 周边无垃圾</w:t>
            </w:r>
          </w:p>
        </w:tc>
        <w:tc>
          <w:tcPr>
            <w:tcW w:w="1912" w:type="dxa"/>
            <w:shd w:val="clear" w:color="auto" w:fill="FFFFFF"/>
            <w:vAlign w:val="center"/>
          </w:tcPr>
          <w:p w14:paraId="16CA0FE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1、每天 上、下午各 一次</w:t>
            </w:r>
          </w:p>
          <w:p w14:paraId="5DB6E79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2、随满随 倒</w:t>
            </w:r>
          </w:p>
        </w:tc>
        <w:tc>
          <w:tcPr>
            <w:tcW w:w="2240" w:type="dxa"/>
            <w:shd w:val="clear" w:color="auto" w:fill="FFFFFF"/>
            <w:vAlign w:val="center"/>
          </w:tcPr>
          <w:p w14:paraId="7D6D12F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垃圾袋平整的套在垃圾桶 上，与垃圾桶之间无缝隙， 翻边约5厘米，不能漫溢。</w:t>
            </w:r>
          </w:p>
        </w:tc>
      </w:tr>
      <w:tr w14:paraId="4633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16" w:hRule="exact"/>
          <w:jc w:val="center"/>
        </w:trPr>
        <w:tc>
          <w:tcPr>
            <w:tcW w:w="1275" w:type="dxa"/>
            <w:shd w:val="clear" w:color="auto" w:fill="FFFFFF"/>
            <w:vAlign w:val="center"/>
          </w:tcPr>
          <w:p w14:paraId="72D2319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电视机、架及遥控 器</w:t>
            </w:r>
          </w:p>
        </w:tc>
        <w:tc>
          <w:tcPr>
            <w:tcW w:w="2751" w:type="dxa"/>
            <w:shd w:val="clear" w:color="auto" w:fill="FFFFFF"/>
            <w:vAlign w:val="center"/>
          </w:tcPr>
          <w:p w14:paraId="72AE3D4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无灰尘、污迹</w:t>
            </w:r>
          </w:p>
        </w:tc>
        <w:tc>
          <w:tcPr>
            <w:tcW w:w="1912" w:type="dxa"/>
            <w:shd w:val="clear" w:color="auto" w:fill="FFFFFF"/>
            <w:vAlign w:val="center"/>
          </w:tcPr>
          <w:p w14:paraId="7A2606F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2240" w:type="dxa"/>
            <w:shd w:val="clear" w:color="auto" w:fill="FFFFFF"/>
            <w:vAlign w:val="center"/>
          </w:tcPr>
          <w:p w14:paraId="674FA01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遥控器不可水洗</w:t>
            </w:r>
          </w:p>
        </w:tc>
      </w:tr>
      <w:tr w14:paraId="2494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5" w:hRule="exact"/>
          <w:jc w:val="center"/>
        </w:trPr>
        <w:tc>
          <w:tcPr>
            <w:tcW w:w="1275" w:type="dxa"/>
            <w:shd w:val="clear" w:color="auto" w:fill="FFFFFF"/>
            <w:vAlign w:val="center"/>
          </w:tcPr>
          <w:p w14:paraId="57CC503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踢脚板</w:t>
            </w:r>
          </w:p>
        </w:tc>
        <w:tc>
          <w:tcPr>
            <w:tcW w:w="2751" w:type="dxa"/>
            <w:shd w:val="clear" w:color="auto" w:fill="FFFFFF"/>
            <w:vAlign w:val="center"/>
          </w:tcPr>
          <w:p w14:paraId="269DE71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无污物、斑迹，干净、光亮</w:t>
            </w:r>
          </w:p>
        </w:tc>
        <w:tc>
          <w:tcPr>
            <w:tcW w:w="1912" w:type="dxa"/>
            <w:shd w:val="clear" w:color="auto" w:fill="FFFFFF"/>
            <w:vAlign w:val="center"/>
          </w:tcPr>
          <w:p w14:paraId="13F05FD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2240" w:type="dxa"/>
            <w:shd w:val="clear" w:color="auto" w:fill="FFFFFF"/>
            <w:vAlign w:val="center"/>
          </w:tcPr>
          <w:p w14:paraId="210C1EF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50C4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5" w:hRule="exact"/>
          <w:jc w:val="center"/>
        </w:trPr>
        <w:tc>
          <w:tcPr>
            <w:tcW w:w="1275" w:type="dxa"/>
            <w:shd w:val="clear" w:color="auto" w:fill="FFFFFF"/>
            <w:vAlign w:val="center"/>
          </w:tcPr>
          <w:p w14:paraId="3EDCE23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空调风口及风口 挡板</w:t>
            </w:r>
          </w:p>
        </w:tc>
        <w:tc>
          <w:tcPr>
            <w:tcW w:w="2751" w:type="dxa"/>
            <w:shd w:val="clear" w:color="auto" w:fill="FFFFFF"/>
            <w:vAlign w:val="center"/>
          </w:tcPr>
          <w:p w14:paraId="218E301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无冷凝水，清洁无灰尘</w:t>
            </w:r>
          </w:p>
        </w:tc>
        <w:tc>
          <w:tcPr>
            <w:tcW w:w="1912" w:type="dxa"/>
            <w:shd w:val="clear" w:color="auto" w:fill="FFFFFF"/>
            <w:vAlign w:val="center"/>
          </w:tcPr>
          <w:p w14:paraId="544E00E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不可站在病 人用椅上</w:t>
            </w:r>
          </w:p>
        </w:tc>
        <w:tc>
          <w:tcPr>
            <w:tcW w:w="2240" w:type="dxa"/>
            <w:shd w:val="clear" w:color="auto" w:fill="FFFFFF"/>
            <w:vAlign w:val="center"/>
          </w:tcPr>
          <w:p w14:paraId="7339CF8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梯子、干净抹布</w:t>
            </w:r>
          </w:p>
        </w:tc>
      </w:tr>
    </w:tbl>
    <w:p w14:paraId="11E98473">
      <w:pPr>
        <w:pageBreakBefore w:val="0"/>
        <w:kinsoku/>
        <w:wordWrap/>
        <w:overflowPunct/>
        <w:topLinePunct w:val="0"/>
        <w:autoSpaceDE/>
        <w:autoSpaceDN/>
        <w:bidi w:val="0"/>
        <w:adjustRightInd/>
        <w:spacing w:line="560" w:lineRule="exact"/>
        <w:ind w:firstLine="241" w:firstLineChars="100"/>
        <w:rPr>
          <w:rFonts w:hint="eastAsia" w:ascii="仿宋" w:hAnsi="仿宋" w:eastAsia="仿宋" w:cs="仿宋"/>
          <w:b/>
          <w:bCs/>
          <w:color w:val="auto"/>
          <w:sz w:val="24"/>
          <w:szCs w:val="24"/>
        </w:rPr>
      </w:pPr>
      <w:r>
        <w:rPr>
          <w:rFonts w:hint="eastAsia" w:ascii="仿宋" w:hAnsi="仿宋" w:eastAsia="仿宋" w:cs="仿宋"/>
          <w:b/>
          <w:bCs/>
          <w:color w:val="auto"/>
          <w:sz w:val="24"/>
          <w:szCs w:val="24"/>
          <w:lang w:val="zh-CN" w:bidi="zh-CN"/>
        </w:rPr>
        <w:t>3、</w:t>
      </w:r>
      <w:r>
        <w:rPr>
          <w:rFonts w:hint="eastAsia" w:ascii="仿宋" w:hAnsi="仿宋" w:eastAsia="仿宋" w:cs="仿宋"/>
          <w:b/>
          <w:bCs/>
          <w:color w:val="auto"/>
          <w:sz w:val="24"/>
          <w:szCs w:val="24"/>
        </w:rPr>
        <w:t>病房内日常保洁项目要求</w:t>
      </w:r>
    </w:p>
    <w:tbl>
      <w:tblPr>
        <w:tblStyle w:val="47"/>
        <w:tblW w:w="0" w:type="auto"/>
        <w:jc w:val="center"/>
        <w:tblLayout w:type="fixed"/>
        <w:tblCellMar>
          <w:top w:w="0" w:type="dxa"/>
          <w:left w:w="10" w:type="dxa"/>
          <w:bottom w:w="0" w:type="dxa"/>
          <w:right w:w="10" w:type="dxa"/>
        </w:tblCellMar>
      </w:tblPr>
      <w:tblGrid>
        <w:gridCol w:w="1607"/>
        <w:gridCol w:w="2592"/>
        <w:gridCol w:w="1438"/>
        <w:gridCol w:w="2437"/>
      </w:tblGrid>
      <w:tr w14:paraId="0E22A9BE">
        <w:tblPrEx>
          <w:tblCellMar>
            <w:top w:w="0" w:type="dxa"/>
            <w:left w:w="10" w:type="dxa"/>
            <w:bottom w:w="0" w:type="dxa"/>
            <w:right w:w="10" w:type="dxa"/>
          </w:tblCellMar>
        </w:tblPrEx>
        <w:trPr>
          <w:trHeight w:val="681" w:hRule="exact"/>
          <w:jc w:val="center"/>
        </w:trPr>
        <w:tc>
          <w:tcPr>
            <w:tcW w:w="1607" w:type="dxa"/>
            <w:tcBorders>
              <w:top w:val="single" w:color="auto" w:sz="4" w:space="0"/>
              <w:left w:val="single" w:color="auto" w:sz="4" w:space="0"/>
            </w:tcBorders>
            <w:shd w:val="clear" w:color="auto" w:fill="FFFFFF"/>
            <w:vAlign w:val="center"/>
          </w:tcPr>
          <w:p w14:paraId="6E274C35">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项目</w:t>
            </w:r>
          </w:p>
        </w:tc>
        <w:tc>
          <w:tcPr>
            <w:tcW w:w="2592" w:type="dxa"/>
            <w:tcBorders>
              <w:top w:val="single" w:color="auto" w:sz="4" w:space="0"/>
              <w:left w:val="single" w:color="auto" w:sz="4" w:space="0"/>
            </w:tcBorders>
            <w:shd w:val="clear" w:color="auto" w:fill="FFFFFF"/>
            <w:vAlign w:val="center"/>
          </w:tcPr>
          <w:p w14:paraId="416517B4">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标准（质量要求）</w:t>
            </w:r>
          </w:p>
        </w:tc>
        <w:tc>
          <w:tcPr>
            <w:tcW w:w="1438" w:type="dxa"/>
            <w:tcBorders>
              <w:top w:val="single" w:color="auto" w:sz="4" w:space="0"/>
              <w:left w:val="single" w:color="auto" w:sz="4" w:space="0"/>
            </w:tcBorders>
            <w:shd w:val="clear" w:color="auto" w:fill="FFFFFF"/>
            <w:vAlign w:val="center"/>
          </w:tcPr>
          <w:p w14:paraId="086E2D73">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频次</w:t>
            </w:r>
          </w:p>
        </w:tc>
        <w:tc>
          <w:tcPr>
            <w:tcW w:w="2437" w:type="dxa"/>
            <w:tcBorders>
              <w:top w:val="single" w:color="auto" w:sz="4" w:space="0"/>
              <w:left w:val="single" w:color="auto" w:sz="4" w:space="0"/>
              <w:right w:val="single" w:color="auto" w:sz="4" w:space="0"/>
            </w:tcBorders>
            <w:shd w:val="clear" w:color="auto" w:fill="FFFFFF"/>
            <w:vAlign w:val="center"/>
          </w:tcPr>
          <w:p w14:paraId="438A8AF2">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注意事项</w:t>
            </w:r>
          </w:p>
        </w:tc>
      </w:tr>
      <w:tr w14:paraId="1C913021">
        <w:tblPrEx>
          <w:tblCellMar>
            <w:top w:w="0" w:type="dxa"/>
            <w:left w:w="10" w:type="dxa"/>
            <w:bottom w:w="0" w:type="dxa"/>
            <w:right w:w="10" w:type="dxa"/>
          </w:tblCellMar>
        </w:tblPrEx>
        <w:trPr>
          <w:trHeight w:val="1124" w:hRule="exact"/>
          <w:jc w:val="center"/>
        </w:trPr>
        <w:tc>
          <w:tcPr>
            <w:tcW w:w="1607" w:type="dxa"/>
            <w:tcBorders>
              <w:top w:val="single" w:color="auto" w:sz="4" w:space="0"/>
              <w:left w:val="single" w:color="auto" w:sz="4" w:space="0"/>
            </w:tcBorders>
            <w:shd w:val="clear" w:color="auto" w:fill="FFFFFF"/>
            <w:vAlign w:val="center"/>
          </w:tcPr>
          <w:p w14:paraId="11B6907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沙发（面、缝隙、 脚）</w:t>
            </w:r>
          </w:p>
        </w:tc>
        <w:tc>
          <w:tcPr>
            <w:tcW w:w="2592" w:type="dxa"/>
            <w:tcBorders>
              <w:top w:val="single" w:color="auto" w:sz="4" w:space="0"/>
              <w:left w:val="single" w:color="auto" w:sz="4" w:space="0"/>
            </w:tcBorders>
            <w:shd w:val="clear" w:color="auto" w:fill="FFFFFF"/>
            <w:vAlign w:val="center"/>
          </w:tcPr>
          <w:p w14:paraId="376486D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无灰尘、污物、斑迹、 破损，干净、整洁</w:t>
            </w:r>
          </w:p>
        </w:tc>
        <w:tc>
          <w:tcPr>
            <w:tcW w:w="1438" w:type="dxa"/>
            <w:tcBorders>
              <w:top w:val="single" w:color="auto" w:sz="4" w:space="0"/>
              <w:left w:val="single" w:color="auto" w:sz="4" w:space="0"/>
            </w:tcBorders>
            <w:shd w:val="clear" w:color="auto" w:fill="FFFFFF"/>
            <w:vAlign w:val="center"/>
          </w:tcPr>
          <w:p w14:paraId="036152B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每三月一 次</w:t>
            </w:r>
          </w:p>
        </w:tc>
        <w:tc>
          <w:tcPr>
            <w:tcW w:w="2437" w:type="dxa"/>
            <w:tcBorders>
              <w:top w:val="single" w:color="auto" w:sz="4" w:space="0"/>
              <w:left w:val="single" w:color="auto" w:sz="4" w:space="0"/>
              <w:right w:val="single" w:color="auto" w:sz="4" w:space="0"/>
            </w:tcBorders>
            <w:shd w:val="clear" w:color="auto" w:fill="FFFFFF"/>
            <w:vAlign w:val="center"/>
          </w:tcPr>
          <w:p w14:paraId="081F04A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对破损的沙发及时更换或报修</w:t>
            </w:r>
          </w:p>
        </w:tc>
      </w:tr>
      <w:tr w14:paraId="4E8830B4">
        <w:tblPrEx>
          <w:tblCellMar>
            <w:top w:w="0" w:type="dxa"/>
            <w:left w:w="10" w:type="dxa"/>
            <w:bottom w:w="0" w:type="dxa"/>
            <w:right w:w="10" w:type="dxa"/>
          </w:tblCellMar>
        </w:tblPrEx>
        <w:trPr>
          <w:trHeight w:val="689" w:hRule="exact"/>
          <w:jc w:val="center"/>
        </w:trPr>
        <w:tc>
          <w:tcPr>
            <w:tcW w:w="1607" w:type="dxa"/>
            <w:tcBorders>
              <w:top w:val="single" w:color="auto" w:sz="4" w:space="0"/>
              <w:left w:val="single" w:color="auto" w:sz="4" w:space="0"/>
            </w:tcBorders>
            <w:shd w:val="clear" w:color="auto" w:fill="FFFFFF"/>
            <w:vAlign w:val="center"/>
          </w:tcPr>
          <w:p w14:paraId="32DD979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电话机</w:t>
            </w:r>
          </w:p>
        </w:tc>
        <w:tc>
          <w:tcPr>
            <w:tcW w:w="2592" w:type="dxa"/>
            <w:tcBorders>
              <w:top w:val="single" w:color="auto" w:sz="4" w:space="0"/>
              <w:left w:val="single" w:color="auto" w:sz="4" w:space="0"/>
            </w:tcBorders>
            <w:shd w:val="clear" w:color="auto" w:fill="FFFFFF"/>
            <w:vAlign w:val="center"/>
          </w:tcPr>
          <w:p w14:paraId="6E6D19E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清洁，无污迹、异味</w:t>
            </w:r>
          </w:p>
        </w:tc>
        <w:tc>
          <w:tcPr>
            <w:tcW w:w="1438" w:type="dxa"/>
            <w:tcBorders>
              <w:top w:val="single" w:color="auto" w:sz="4" w:space="0"/>
              <w:left w:val="single" w:color="auto" w:sz="4" w:space="0"/>
            </w:tcBorders>
            <w:shd w:val="clear" w:color="auto" w:fill="FFFFFF"/>
            <w:vAlign w:val="center"/>
          </w:tcPr>
          <w:p w14:paraId="774663C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每2天1次</w:t>
            </w:r>
          </w:p>
        </w:tc>
        <w:tc>
          <w:tcPr>
            <w:tcW w:w="2437" w:type="dxa"/>
            <w:tcBorders>
              <w:top w:val="single" w:color="auto" w:sz="4" w:space="0"/>
              <w:left w:val="single" w:color="auto" w:sz="4" w:space="0"/>
              <w:right w:val="single" w:color="auto" w:sz="4" w:space="0"/>
            </w:tcBorders>
            <w:shd w:val="clear" w:color="auto" w:fill="FFFFFF"/>
            <w:vAlign w:val="center"/>
          </w:tcPr>
          <w:p w14:paraId="56CD9B8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清洁时按下电话按键</w:t>
            </w:r>
          </w:p>
        </w:tc>
      </w:tr>
      <w:tr w14:paraId="6B68F74C">
        <w:tblPrEx>
          <w:tblCellMar>
            <w:top w:w="0" w:type="dxa"/>
            <w:left w:w="10" w:type="dxa"/>
            <w:bottom w:w="0" w:type="dxa"/>
            <w:right w:w="10" w:type="dxa"/>
          </w:tblCellMar>
        </w:tblPrEx>
        <w:trPr>
          <w:trHeight w:val="1253" w:hRule="exact"/>
          <w:jc w:val="center"/>
        </w:trPr>
        <w:tc>
          <w:tcPr>
            <w:tcW w:w="1607" w:type="dxa"/>
            <w:tcBorders>
              <w:top w:val="single" w:color="auto" w:sz="4" w:space="0"/>
              <w:left w:val="single" w:color="auto" w:sz="4" w:space="0"/>
            </w:tcBorders>
            <w:shd w:val="clear" w:color="auto" w:fill="FFFFFF"/>
            <w:vAlign w:val="center"/>
          </w:tcPr>
          <w:p w14:paraId="0E040B3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冰箱</w:t>
            </w:r>
          </w:p>
        </w:tc>
        <w:tc>
          <w:tcPr>
            <w:tcW w:w="2592" w:type="dxa"/>
            <w:tcBorders>
              <w:top w:val="single" w:color="auto" w:sz="4" w:space="0"/>
              <w:left w:val="single" w:color="auto" w:sz="4" w:space="0"/>
            </w:tcBorders>
            <w:shd w:val="clear" w:color="auto" w:fill="FFFFFF"/>
            <w:vAlign w:val="center"/>
          </w:tcPr>
          <w:p w14:paraId="55F0CBC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内外清洁，外部光亮， 无异味、斑迹，运转正常</w:t>
            </w:r>
          </w:p>
        </w:tc>
        <w:tc>
          <w:tcPr>
            <w:tcW w:w="1438" w:type="dxa"/>
            <w:tcBorders>
              <w:top w:val="single" w:color="auto" w:sz="4" w:space="0"/>
              <w:left w:val="single" w:color="auto" w:sz="4" w:space="0"/>
            </w:tcBorders>
            <w:shd w:val="clear" w:color="auto" w:fill="FFFFFF"/>
            <w:vAlign w:val="center"/>
          </w:tcPr>
          <w:p w14:paraId="00F497F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每月一次</w:t>
            </w:r>
          </w:p>
        </w:tc>
        <w:tc>
          <w:tcPr>
            <w:tcW w:w="2437" w:type="dxa"/>
            <w:tcBorders>
              <w:top w:val="single" w:color="auto" w:sz="4" w:space="0"/>
              <w:left w:val="single" w:color="auto" w:sz="4" w:space="0"/>
              <w:right w:val="single" w:color="auto" w:sz="4" w:space="0"/>
            </w:tcBorders>
            <w:shd w:val="clear" w:color="auto" w:fill="FFFFFF"/>
            <w:vAlign w:val="center"/>
          </w:tcPr>
          <w:p w14:paraId="5F3C0C3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取岀食品时，需征得病人同 意后再行擦拭</w:t>
            </w:r>
          </w:p>
          <w:p w14:paraId="03978B9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冰箱门边缘封胶处的清洁不 可忽略</w:t>
            </w:r>
          </w:p>
        </w:tc>
      </w:tr>
      <w:tr w14:paraId="154975FF">
        <w:tblPrEx>
          <w:tblCellMar>
            <w:top w:w="0" w:type="dxa"/>
            <w:left w:w="10" w:type="dxa"/>
            <w:bottom w:w="0" w:type="dxa"/>
            <w:right w:w="10" w:type="dxa"/>
          </w:tblCellMar>
        </w:tblPrEx>
        <w:trPr>
          <w:trHeight w:val="794" w:hRule="exact"/>
          <w:jc w:val="center"/>
        </w:trPr>
        <w:tc>
          <w:tcPr>
            <w:tcW w:w="1607" w:type="dxa"/>
            <w:tcBorders>
              <w:top w:val="single" w:color="auto" w:sz="4" w:space="0"/>
              <w:left w:val="single" w:color="auto" w:sz="4" w:space="0"/>
            </w:tcBorders>
            <w:shd w:val="clear" w:color="auto" w:fill="FFFFFF"/>
            <w:vAlign w:val="center"/>
          </w:tcPr>
          <w:p w14:paraId="38361AC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地灯</w:t>
            </w:r>
          </w:p>
        </w:tc>
        <w:tc>
          <w:tcPr>
            <w:tcW w:w="2592" w:type="dxa"/>
            <w:tcBorders>
              <w:top w:val="single" w:color="auto" w:sz="4" w:space="0"/>
              <w:left w:val="single" w:color="auto" w:sz="4" w:space="0"/>
            </w:tcBorders>
            <w:shd w:val="clear" w:color="auto" w:fill="FFFFFF"/>
            <w:vAlign w:val="center"/>
          </w:tcPr>
          <w:p w14:paraId="6F723A3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无灰尘，灯罩完好、光亮</w:t>
            </w:r>
          </w:p>
        </w:tc>
        <w:tc>
          <w:tcPr>
            <w:tcW w:w="1438" w:type="dxa"/>
            <w:tcBorders>
              <w:top w:val="single" w:color="auto" w:sz="4" w:space="0"/>
              <w:left w:val="single" w:color="auto" w:sz="4" w:space="0"/>
            </w:tcBorders>
            <w:shd w:val="clear" w:color="auto" w:fill="FFFFFF"/>
            <w:vAlign w:val="center"/>
          </w:tcPr>
          <w:p w14:paraId="49101F2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437" w:type="dxa"/>
            <w:tcBorders>
              <w:top w:val="single" w:color="auto" w:sz="4" w:space="0"/>
              <w:left w:val="single" w:color="auto" w:sz="4" w:space="0"/>
              <w:right w:val="single" w:color="auto" w:sz="4" w:space="0"/>
            </w:tcBorders>
            <w:shd w:val="clear" w:color="auto" w:fill="FFFFFF"/>
            <w:vAlign w:val="center"/>
          </w:tcPr>
          <w:p w14:paraId="799BC5E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灯罩、灯泡损坏及时报修</w:t>
            </w:r>
          </w:p>
        </w:tc>
      </w:tr>
      <w:tr w14:paraId="32705A3C">
        <w:tblPrEx>
          <w:tblCellMar>
            <w:top w:w="0" w:type="dxa"/>
            <w:left w:w="10" w:type="dxa"/>
            <w:bottom w:w="0" w:type="dxa"/>
            <w:right w:w="10" w:type="dxa"/>
          </w:tblCellMar>
        </w:tblPrEx>
        <w:trPr>
          <w:trHeight w:val="1260" w:hRule="exact"/>
          <w:jc w:val="center"/>
        </w:trPr>
        <w:tc>
          <w:tcPr>
            <w:tcW w:w="1607" w:type="dxa"/>
            <w:tcBorders>
              <w:top w:val="single" w:color="auto" w:sz="4" w:space="0"/>
              <w:left w:val="single" w:color="auto" w:sz="4" w:space="0"/>
            </w:tcBorders>
            <w:shd w:val="clear" w:color="auto" w:fill="FFFFFF"/>
            <w:vAlign w:val="center"/>
          </w:tcPr>
          <w:p w14:paraId="6E69A72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水瓶</w:t>
            </w:r>
          </w:p>
        </w:tc>
        <w:tc>
          <w:tcPr>
            <w:tcW w:w="2592" w:type="dxa"/>
            <w:tcBorders>
              <w:top w:val="single" w:color="auto" w:sz="4" w:space="0"/>
              <w:left w:val="single" w:color="auto" w:sz="4" w:space="0"/>
            </w:tcBorders>
            <w:shd w:val="clear" w:color="auto" w:fill="FFFFFF"/>
            <w:vAlign w:val="center"/>
          </w:tcPr>
          <w:p w14:paraId="08D8152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瓶子干净，无污迹</w:t>
            </w:r>
          </w:p>
          <w:p w14:paraId="7D4385A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瓶口无缺损</w:t>
            </w:r>
          </w:p>
          <w:p w14:paraId="1657CE9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rPr>
              <w:tab/>
            </w:r>
            <w:r>
              <w:rPr>
                <w:rFonts w:hint="eastAsia" w:ascii="仿宋" w:hAnsi="仿宋" w:eastAsia="仿宋" w:cs="仿宋"/>
                <w:color w:val="auto"/>
                <w:sz w:val="24"/>
                <w:szCs w:val="24"/>
              </w:rPr>
              <w:t>瓶塞消毒</w:t>
            </w:r>
          </w:p>
          <w:p w14:paraId="4D4E378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z w:val="24"/>
                <w:szCs w:val="24"/>
              </w:rPr>
              <w:tab/>
            </w:r>
            <w:r>
              <w:rPr>
                <w:rFonts w:hint="eastAsia" w:ascii="仿宋" w:hAnsi="仿宋" w:eastAsia="仿宋" w:cs="仿宋"/>
                <w:color w:val="auto"/>
                <w:sz w:val="24"/>
                <w:szCs w:val="24"/>
              </w:rPr>
              <w:t>保温</w:t>
            </w:r>
          </w:p>
        </w:tc>
        <w:tc>
          <w:tcPr>
            <w:tcW w:w="1438" w:type="dxa"/>
            <w:tcBorders>
              <w:top w:val="single" w:color="auto" w:sz="4" w:space="0"/>
              <w:left w:val="single" w:color="auto" w:sz="4" w:space="0"/>
            </w:tcBorders>
            <w:shd w:val="clear" w:color="auto" w:fill="FFFFFF"/>
            <w:vAlign w:val="center"/>
          </w:tcPr>
          <w:p w14:paraId="1DA291E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437" w:type="dxa"/>
            <w:tcBorders>
              <w:top w:val="single" w:color="auto" w:sz="4" w:space="0"/>
              <w:left w:val="single" w:color="auto" w:sz="4" w:space="0"/>
              <w:right w:val="single" w:color="auto" w:sz="4" w:space="0"/>
            </w:tcBorders>
            <w:shd w:val="clear" w:color="auto" w:fill="FFFFFF"/>
            <w:vAlign w:val="center"/>
          </w:tcPr>
          <w:p w14:paraId="7AB5D3A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不保温水瓶及时更换</w:t>
            </w:r>
          </w:p>
        </w:tc>
      </w:tr>
      <w:tr w14:paraId="46CD2251">
        <w:tblPrEx>
          <w:tblCellMar>
            <w:top w:w="0" w:type="dxa"/>
            <w:left w:w="10" w:type="dxa"/>
            <w:bottom w:w="0" w:type="dxa"/>
            <w:right w:w="10" w:type="dxa"/>
          </w:tblCellMar>
        </w:tblPrEx>
        <w:trPr>
          <w:trHeight w:val="712" w:hRule="exact"/>
          <w:jc w:val="center"/>
        </w:trPr>
        <w:tc>
          <w:tcPr>
            <w:tcW w:w="1607" w:type="dxa"/>
            <w:tcBorders>
              <w:top w:val="single" w:color="auto" w:sz="4" w:space="0"/>
              <w:left w:val="single" w:color="auto" w:sz="4" w:space="0"/>
            </w:tcBorders>
            <w:shd w:val="clear" w:color="auto" w:fill="FFFFFF"/>
            <w:vAlign w:val="center"/>
          </w:tcPr>
          <w:p w14:paraId="4FADA84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纱窗</w:t>
            </w:r>
          </w:p>
        </w:tc>
        <w:tc>
          <w:tcPr>
            <w:tcW w:w="2592" w:type="dxa"/>
            <w:tcBorders>
              <w:top w:val="single" w:color="auto" w:sz="4" w:space="0"/>
              <w:left w:val="single" w:color="auto" w:sz="4" w:space="0"/>
            </w:tcBorders>
            <w:shd w:val="clear" w:color="auto" w:fill="FFFFFF"/>
            <w:vAlign w:val="center"/>
          </w:tcPr>
          <w:p w14:paraId="4EF03A9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无灰尘、破损</w:t>
            </w:r>
          </w:p>
        </w:tc>
        <w:tc>
          <w:tcPr>
            <w:tcW w:w="1438" w:type="dxa"/>
            <w:tcBorders>
              <w:top w:val="single" w:color="auto" w:sz="4" w:space="0"/>
              <w:left w:val="single" w:color="auto" w:sz="4" w:space="0"/>
            </w:tcBorders>
            <w:shd w:val="clear" w:color="auto" w:fill="FFFFFF"/>
            <w:vAlign w:val="center"/>
          </w:tcPr>
          <w:p w14:paraId="000BBD9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437" w:type="dxa"/>
            <w:tcBorders>
              <w:top w:val="single" w:color="auto" w:sz="4" w:space="0"/>
              <w:left w:val="single" w:color="auto" w:sz="4" w:space="0"/>
              <w:right w:val="single" w:color="auto" w:sz="4" w:space="0"/>
            </w:tcBorders>
            <w:shd w:val="clear" w:color="auto" w:fill="FFFFFF"/>
            <w:vAlign w:val="center"/>
          </w:tcPr>
          <w:p w14:paraId="7258333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对破损的纱窗及时报修</w:t>
            </w:r>
          </w:p>
        </w:tc>
      </w:tr>
      <w:tr w14:paraId="7636F916">
        <w:tblPrEx>
          <w:tblCellMar>
            <w:top w:w="0" w:type="dxa"/>
            <w:left w:w="10" w:type="dxa"/>
            <w:bottom w:w="0" w:type="dxa"/>
            <w:right w:w="10" w:type="dxa"/>
          </w:tblCellMar>
        </w:tblPrEx>
        <w:trPr>
          <w:trHeight w:val="794" w:hRule="exact"/>
          <w:jc w:val="center"/>
        </w:trPr>
        <w:tc>
          <w:tcPr>
            <w:tcW w:w="1607" w:type="dxa"/>
            <w:tcBorders>
              <w:top w:val="single" w:color="auto" w:sz="4" w:space="0"/>
              <w:left w:val="single" w:color="auto" w:sz="4" w:space="0"/>
            </w:tcBorders>
            <w:shd w:val="clear" w:color="auto" w:fill="FFFFFF"/>
            <w:vAlign w:val="center"/>
          </w:tcPr>
          <w:p w14:paraId="1D80EA3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床头设备带</w:t>
            </w:r>
          </w:p>
        </w:tc>
        <w:tc>
          <w:tcPr>
            <w:tcW w:w="2592" w:type="dxa"/>
            <w:tcBorders>
              <w:top w:val="single" w:color="auto" w:sz="4" w:space="0"/>
              <w:left w:val="single" w:color="auto" w:sz="4" w:space="0"/>
            </w:tcBorders>
            <w:shd w:val="clear" w:color="auto" w:fill="FFFFFF"/>
            <w:vAlign w:val="center"/>
          </w:tcPr>
          <w:p w14:paraId="5C6DA2F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清洁，无污迹</w:t>
            </w:r>
          </w:p>
        </w:tc>
        <w:tc>
          <w:tcPr>
            <w:tcW w:w="1438" w:type="dxa"/>
            <w:tcBorders>
              <w:top w:val="single" w:color="auto" w:sz="4" w:space="0"/>
              <w:left w:val="single" w:color="auto" w:sz="4" w:space="0"/>
            </w:tcBorders>
            <w:shd w:val="clear" w:color="auto" w:fill="FFFFFF"/>
            <w:vAlign w:val="center"/>
          </w:tcPr>
          <w:p w14:paraId="437AAAB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437" w:type="dxa"/>
            <w:tcBorders>
              <w:top w:val="single" w:color="auto" w:sz="4" w:space="0"/>
              <w:left w:val="single" w:color="auto" w:sz="4" w:space="0"/>
              <w:right w:val="single" w:color="auto" w:sz="4" w:space="0"/>
            </w:tcBorders>
            <w:shd w:val="clear" w:color="auto" w:fill="FFFFFF"/>
            <w:vAlign w:val="center"/>
          </w:tcPr>
          <w:p w14:paraId="528496C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不可带水擦拭</w:t>
            </w:r>
          </w:p>
        </w:tc>
      </w:tr>
      <w:tr w14:paraId="64E372E2">
        <w:tblPrEx>
          <w:tblCellMar>
            <w:top w:w="0" w:type="dxa"/>
            <w:left w:w="10" w:type="dxa"/>
            <w:bottom w:w="0" w:type="dxa"/>
            <w:right w:w="10" w:type="dxa"/>
          </w:tblCellMar>
        </w:tblPrEx>
        <w:trPr>
          <w:trHeight w:val="2182" w:hRule="exact"/>
          <w:jc w:val="center"/>
        </w:trPr>
        <w:tc>
          <w:tcPr>
            <w:tcW w:w="1607" w:type="dxa"/>
            <w:tcBorders>
              <w:top w:val="single" w:color="auto" w:sz="4" w:space="0"/>
              <w:left w:val="single" w:color="auto" w:sz="4" w:space="0"/>
            </w:tcBorders>
            <w:shd w:val="clear" w:color="auto" w:fill="FFFFFF"/>
            <w:vAlign w:val="center"/>
          </w:tcPr>
          <w:p w14:paraId="767B678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微波炉及框、架</w:t>
            </w:r>
          </w:p>
        </w:tc>
        <w:tc>
          <w:tcPr>
            <w:tcW w:w="2592" w:type="dxa"/>
            <w:tcBorders>
              <w:top w:val="single" w:color="auto" w:sz="4" w:space="0"/>
              <w:left w:val="single" w:color="auto" w:sz="4" w:space="0"/>
            </w:tcBorders>
            <w:shd w:val="clear" w:color="auto" w:fill="FFFFFF"/>
            <w:vAlign w:val="center"/>
          </w:tcPr>
          <w:p w14:paraId="18AE41A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无灰尘、污迹、油垢</w:t>
            </w:r>
          </w:p>
        </w:tc>
        <w:tc>
          <w:tcPr>
            <w:tcW w:w="1438" w:type="dxa"/>
            <w:tcBorders>
              <w:top w:val="single" w:color="auto" w:sz="4" w:space="0"/>
              <w:left w:val="single" w:color="auto" w:sz="4" w:space="0"/>
            </w:tcBorders>
            <w:shd w:val="clear" w:color="auto" w:fill="FFFFFF"/>
            <w:vAlign w:val="center"/>
          </w:tcPr>
          <w:p w14:paraId="4E9E4BE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每天中、晚 各一次</w:t>
            </w:r>
          </w:p>
        </w:tc>
        <w:tc>
          <w:tcPr>
            <w:tcW w:w="2437" w:type="dxa"/>
            <w:tcBorders>
              <w:top w:val="single" w:color="auto" w:sz="4" w:space="0"/>
              <w:left w:val="single" w:color="auto" w:sz="4" w:space="0"/>
              <w:right w:val="single" w:color="auto" w:sz="4" w:space="0"/>
            </w:tcBorders>
            <w:shd w:val="clear" w:color="auto" w:fill="FFFFFF"/>
            <w:vAlign w:val="center"/>
          </w:tcPr>
          <w:p w14:paraId="558AAB2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清洁时请勿拆下除转盘、盘架、 滚珠以外的任何部件，以免损坏 微波炉及引起触电的危险； 勿用金属刷子、颗粒状洗涤剂、 酸碱性洗涤剂、溶化剂、去污粉、 碱性肥皂洗刷微波炉的任何部 位。</w:t>
            </w:r>
          </w:p>
        </w:tc>
      </w:tr>
      <w:tr w14:paraId="1EA71BEC">
        <w:tblPrEx>
          <w:tblCellMar>
            <w:top w:w="0" w:type="dxa"/>
            <w:left w:w="10" w:type="dxa"/>
            <w:bottom w:w="0" w:type="dxa"/>
            <w:right w:w="10" w:type="dxa"/>
          </w:tblCellMar>
        </w:tblPrEx>
        <w:trPr>
          <w:trHeight w:val="1965" w:hRule="exact"/>
          <w:jc w:val="center"/>
        </w:trPr>
        <w:tc>
          <w:tcPr>
            <w:tcW w:w="1607" w:type="dxa"/>
            <w:tcBorders>
              <w:top w:val="single" w:color="auto" w:sz="4" w:space="0"/>
              <w:left w:val="single" w:color="auto" w:sz="4" w:space="0"/>
              <w:bottom w:val="single" w:color="auto" w:sz="4" w:space="0"/>
            </w:tcBorders>
            <w:shd w:val="clear" w:color="auto" w:fill="FFFFFF"/>
            <w:vAlign w:val="center"/>
          </w:tcPr>
          <w:p w14:paraId="1B8C7D0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地毯</w:t>
            </w:r>
          </w:p>
        </w:tc>
        <w:tc>
          <w:tcPr>
            <w:tcW w:w="2592" w:type="dxa"/>
            <w:tcBorders>
              <w:top w:val="single" w:color="auto" w:sz="4" w:space="0"/>
              <w:left w:val="single" w:color="auto" w:sz="4" w:space="0"/>
              <w:bottom w:val="single" w:color="auto" w:sz="4" w:space="0"/>
            </w:tcBorders>
            <w:shd w:val="clear" w:color="auto" w:fill="FFFFFF"/>
            <w:vAlign w:val="center"/>
          </w:tcPr>
          <w:p w14:paraId="222052A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无斑迹、杂物，无纤维 疏松，无板结，干净且蓬 松</w:t>
            </w:r>
          </w:p>
        </w:tc>
        <w:tc>
          <w:tcPr>
            <w:tcW w:w="1438" w:type="dxa"/>
            <w:tcBorders>
              <w:top w:val="single" w:color="auto" w:sz="4" w:space="0"/>
              <w:left w:val="single" w:color="auto" w:sz="4" w:space="0"/>
              <w:bottom w:val="single" w:color="auto" w:sz="4" w:space="0"/>
            </w:tcBorders>
            <w:shd w:val="clear" w:color="auto" w:fill="FFFFFF"/>
            <w:vAlign w:val="center"/>
          </w:tcPr>
          <w:p w14:paraId="5BE0C62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每2月1次</w:t>
            </w:r>
          </w:p>
        </w:tc>
        <w:tc>
          <w:tcPr>
            <w:tcW w:w="2437" w:type="dxa"/>
            <w:tcBorders>
              <w:top w:val="single" w:color="auto" w:sz="4" w:space="0"/>
              <w:left w:val="single" w:color="auto" w:sz="4" w:space="0"/>
              <w:bottom w:val="single" w:color="auto" w:sz="4" w:space="0"/>
              <w:right w:val="single" w:color="auto" w:sz="4" w:space="0"/>
            </w:tcBorders>
            <w:shd w:val="clear" w:color="auto" w:fill="FFFFFF"/>
            <w:vAlign w:val="center"/>
          </w:tcPr>
          <w:p w14:paraId="47074B4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bl>
    <w:p w14:paraId="4156D352">
      <w:pPr>
        <w:pageBreakBefore w:val="0"/>
        <w:kinsoku/>
        <w:wordWrap/>
        <w:overflowPunct/>
        <w:topLinePunct w:val="0"/>
        <w:autoSpaceDE/>
        <w:autoSpaceDN/>
        <w:bidi w:val="0"/>
        <w:adjustRightInd/>
        <w:spacing w:line="560" w:lineRule="exact"/>
        <w:ind w:firstLine="241" w:firstLineChars="100"/>
        <w:rPr>
          <w:rFonts w:hint="eastAsia" w:ascii="仿宋" w:hAnsi="仿宋" w:eastAsia="仿宋" w:cs="仿宋"/>
          <w:b/>
          <w:bCs/>
          <w:color w:val="auto"/>
          <w:sz w:val="24"/>
          <w:szCs w:val="24"/>
        </w:rPr>
      </w:pPr>
      <w:r>
        <w:rPr>
          <w:rFonts w:hint="eastAsia" w:ascii="仿宋" w:hAnsi="仿宋" w:eastAsia="仿宋" w:cs="仿宋"/>
          <w:b/>
          <w:bCs/>
          <w:color w:val="auto"/>
          <w:sz w:val="24"/>
          <w:szCs w:val="24"/>
        </w:rPr>
        <w:t>4、门、急诊、公共走廊、厅堂及楼道日常保洁项目要求</w:t>
      </w:r>
    </w:p>
    <w:tbl>
      <w:tblPr>
        <w:tblStyle w:val="47"/>
        <w:tblW w:w="0" w:type="auto"/>
        <w:jc w:val="center"/>
        <w:tblLayout w:type="fixed"/>
        <w:tblCellMar>
          <w:top w:w="0" w:type="dxa"/>
          <w:left w:w="10" w:type="dxa"/>
          <w:bottom w:w="0" w:type="dxa"/>
          <w:right w:w="10" w:type="dxa"/>
        </w:tblCellMar>
      </w:tblPr>
      <w:tblGrid>
        <w:gridCol w:w="950"/>
        <w:gridCol w:w="1552"/>
        <w:gridCol w:w="2554"/>
        <w:gridCol w:w="3132"/>
      </w:tblGrid>
      <w:tr w14:paraId="09798AF3">
        <w:tblPrEx>
          <w:tblCellMar>
            <w:top w:w="0" w:type="dxa"/>
            <w:left w:w="10" w:type="dxa"/>
            <w:bottom w:w="0" w:type="dxa"/>
            <w:right w:w="10" w:type="dxa"/>
          </w:tblCellMar>
        </w:tblPrEx>
        <w:trPr>
          <w:trHeight w:val="575" w:hRule="exact"/>
          <w:jc w:val="center"/>
        </w:trPr>
        <w:tc>
          <w:tcPr>
            <w:tcW w:w="950" w:type="dxa"/>
            <w:tcBorders>
              <w:top w:val="single" w:color="auto" w:sz="4" w:space="0"/>
              <w:left w:val="single" w:color="auto" w:sz="4" w:space="0"/>
            </w:tcBorders>
            <w:shd w:val="clear" w:color="auto" w:fill="FFFFFF"/>
            <w:vAlign w:val="center"/>
          </w:tcPr>
          <w:p w14:paraId="1F14D9B2">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项目</w:t>
            </w:r>
          </w:p>
        </w:tc>
        <w:tc>
          <w:tcPr>
            <w:tcW w:w="1552" w:type="dxa"/>
            <w:tcBorders>
              <w:top w:val="single" w:color="auto" w:sz="4" w:space="0"/>
              <w:left w:val="single" w:color="auto" w:sz="4" w:space="0"/>
            </w:tcBorders>
            <w:shd w:val="clear" w:color="auto" w:fill="FFFFFF"/>
            <w:vAlign w:val="center"/>
          </w:tcPr>
          <w:p w14:paraId="0E3C4A9E">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标准（质量要求）</w:t>
            </w:r>
          </w:p>
        </w:tc>
        <w:tc>
          <w:tcPr>
            <w:tcW w:w="2554" w:type="dxa"/>
            <w:tcBorders>
              <w:top w:val="single" w:color="auto" w:sz="4" w:space="0"/>
              <w:left w:val="single" w:color="auto" w:sz="4" w:space="0"/>
            </w:tcBorders>
            <w:shd w:val="clear" w:color="auto" w:fill="FFFFFF"/>
            <w:vAlign w:val="center"/>
          </w:tcPr>
          <w:p w14:paraId="0628D1FF">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频次</w:t>
            </w:r>
          </w:p>
        </w:tc>
        <w:tc>
          <w:tcPr>
            <w:tcW w:w="3132" w:type="dxa"/>
            <w:tcBorders>
              <w:top w:val="single" w:color="auto" w:sz="4" w:space="0"/>
              <w:left w:val="single" w:color="auto" w:sz="4" w:space="0"/>
              <w:right w:val="single" w:color="auto" w:sz="4" w:space="0"/>
            </w:tcBorders>
            <w:shd w:val="clear" w:color="auto" w:fill="FFFFFF"/>
            <w:vAlign w:val="center"/>
          </w:tcPr>
          <w:p w14:paraId="7BEE03DC">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注意事项</w:t>
            </w:r>
          </w:p>
        </w:tc>
      </w:tr>
      <w:tr w14:paraId="21696D05">
        <w:tblPrEx>
          <w:tblCellMar>
            <w:top w:w="0" w:type="dxa"/>
            <w:left w:w="10" w:type="dxa"/>
            <w:bottom w:w="0" w:type="dxa"/>
            <w:right w:w="10" w:type="dxa"/>
          </w:tblCellMar>
        </w:tblPrEx>
        <w:trPr>
          <w:trHeight w:val="1158"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32858DE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走廊</w:t>
            </w:r>
          </w:p>
        </w:tc>
        <w:tc>
          <w:tcPr>
            <w:tcW w:w="1552" w:type="dxa"/>
            <w:tcBorders>
              <w:top w:val="single" w:color="auto" w:sz="4" w:space="0"/>
              <w:left w:val="single" w:color="auto" w:sz="4" w:space="0"/>
              <w:bottom w:val="single" w:color="auto" w:sz="4" w:space="0"/>
            </w:tcBorders>
            <w:shd w:val="clear" w:color="auto" w:fill="FFFFFF"/>
            <w:vAlign w:val="center"/>
          </w:tcPr>
          <w:p w14:paraId="1842674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清洁光亮，无尘、斑迹、油迹、污迹、 烟头</w:t>
            </w:r>
          </w:p>
        </w:tc>
        <w:tc>
          <w:tcPr>
            <w:tcW w:w="2554" w:type="dxa"/>
            <w:tcBorders>
              <w:top w:val="single" w:color="auto" w:sz="4" w:space="0"/>
              <w:left w:val="single" w:color="auto" w:sz="4" w:space="0"/>
              <w:bottom w:val="single" w:color="auto" w:sz="4" w:space="0"/>
            </w:tcBorders>
            <w:shd w:val="clear" w:color="auto" w:fill="FFFFFF"/>
            <w:vAlign w:val="center"/>
          </w:tcPr>
          <w:p w14:paraId="771458A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1、尘推：2小时1次，随脏随打扫</w:t>
            </w:r>
          </w:p>
          <w:p w14:paraId="7B3A9CA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2、洗地机：每半月1 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61A6FDC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1、尘推不可靠近病人及家属2、不可跟在病人后面推尘，应 绕道推尘</w:t>
            </w:r>
          </w:p>
        </w:tc>
      </w:tr>
      <w:tr w14:paraId="654DA148">
        <w:tblPrEx>
          <w:tblCellMar>
            <w:top w:w="0" w:type="dxa"/>
            <w:left w:w="10" w:type="dxa"/>
            <w:bottom w:w="0" w:type="dxa"/>
            <w:right w:w="10" w:type="dxa"/>
          </w:tblCellMar>
        </w:tblPrEx>
        <w:trPr>
          <w:trHeight w:val="115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62ACD01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楼梯面</w:t>
            </w:r>
          </w:p>
        </w:tc>
        <w:tc>
          <w:tcPr>
            <w:tcW w:w="1552" w:type="dxa"/>
            <w:tcBorders>
              <w:top w:val="single" w:color="auto" w:sz="4" w:space="0"/>
              <w:left w:val="single" w:color="auto" w:sz="4" w:space="0"/>
              <w:bottom w:val="single" w:color="auto" w:sz="4" w:space="0"/>
            </w:tcBorders>
            <w:shd w:val="clear" w:color="auto" w:fill="FFFFFF"/>
            <w:vAlign w:val="center"/>
          </w:tcPr>
          <w:p w14:paraId="49AEC10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干净，无灰尘、污迹</w:t>
            </w:r>
          </w:p>
        </w:tc>
        <w:tc>
          <w:tcPr>
            <w:tcW w:w="2554" w:type="dxa"/>
            <w:tcBorders>
              <w:top w:val="single" w:color="auto" w:sz="4" w:space="0"/>
              <w:left w:val="single" w:color="auto" w:sz="4" w:space="0"/>
              <w:bottom w:val="single" w:color="auto" w:sz="4" w:space="0"/>
            </w:tcBorders>
            <w:shd w:val="clear" w:color="auto" w:fill="FFFFFF"/>
            <w:vAlign w:val="center"/>
          </w:tcPr>
          <w:p w14:paraId="56DB03F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2小时1次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7E83DEB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勿忽略靠近扶手一侧的楼梯 面的清洁</w:t>
            </w:r>
          </w:p>
          <w:p w14:paraId="32AC368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不可污染另-侧墙面</w:t>
            </w:r>
          </w:p>
        </w:tc>
      </w:tr>
      <w:tr w14:paraId="7764F989">
        <w:tblPrEx>
          <w:tblCellMar>
            <w:top w:w="0" w:type="dxa"/>
            <w:left w:w="10" w:type="dxa"/>
            <w:bottom w:w="0" w:type="dxa"/>
            <w:right w:w="10" w:type="dxa"/>
          </w:tblCellMar>
        </w:tblPrEx>
        <w:trPr>
          <w:trHeight w:val="141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39D9719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楼梯扶手、栏 杆、玻璃</w:t>
            </w:r>
          </w:p>
        </w:tc>
        <w:tc>
          <w:tcPr>
            <w:tcW w:w="1552" w:type="dxa"/>
            <w:tcBorders>
              <w:top w:val="single" w:color="auto" w:sz="4" w:space="0"/>
              <w:left w:val="single" w:color="auto" w:sz="4" w:space="0"/>
              <w:bottom w:val="single" w:color="auto" w:sz="4" w:space="0"/>
            </w:tcBorders>
            <w:shd w:val="clear" w:color="auto" w:fill="FFFFFF"/>
            <w:vAlign w:val="center"/>
          </w:tcPr>
          <w:p w14:paraId="4B4A325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无灰尘、斑迹</w:t>
            </w:r>
          </w:p>
        </w:tc>
        <w:tc>
          <w:tcPr>
            <w:tcW w:w="2554" w:type="dxa"/>
            <w:tcBorders>
              <w:top w:val="single" w:color="auto" w:sz="4" w:space="0"/>
              <w:left w:val="single" w:color="auto" w:sz="4" w:space="0"/>
              <w:bottom w:val="single" w:color="auto" w:sz="4" w:space="0"/>
            </w:tcBorders>
            <w:shd w:val="clear" w:color="auto" w:fill="FFFFFF"/>
            <w:vAlign w:val="center"/>
          </w:tcPr>
          <w:p w14:paraId="545D409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0E23C84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7F2741B6">
        <w:tblPrEx>
          <w:tblCellMar>
            <w:top w:w="0" w:type="dxa"/>
            <w:left w:w="10" w:type="dxa"/>
            <w:bottom w:w="0" w:type="dxa"/>
            <w:right w:w="10" w:type="dxa"/>
          </w:tblCellMar>
        </w:tblPrEx>
        <w:trPr>
          <w:trHeight w:val="79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7A747F6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楼梯防滑铜 条</w:t>
            </w:r>
          </w:p>
        </w:tc>
        <w:tc>
          <w:tcPr>
            <w:tcW w:w="1552" w:type="dxa"/>
            <w:tcBorders>
              <w:top w:val="single" w:color="auto" w:sz="4" w:space="0"/>
              <w:left w:val="single" w:color="auto" w:sz="4" w:space="0"/>
              <w:bottom w:val="single" w:color="auto" w:sz="4" w:space="0"/>
            </w:tcBorders>
            <w:shd w:val="clear" w:color="auto" w:fill="FFFFFF"/>
            <w:vAlign w:val="center"/>
          </w:tcPr>
          <w:p w14:paraId="179C56E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无污迹、锈迹，光亮 清洁</w:t>
            </w:r>
          </w:p>
        </w:tc>
        <w:tc>
          <w:tcPr>
            <w:tcW w:w="2554" w:type="dxa"/>
            <w:tcBorders>
              <w:top w:val="single" w:color="auto" w:sz="4" w:space="0"/>
              <w:left w:val="single" w:color="auto" w:sz="4" w:space="0"/>
              <w:bottom w:val="single" w:color="auto" w:sz="4" w:space="0"/>
            </w:tcBorders>
            <w:shd w:val="clear" w:color="auto" w:fill="FFFFFF"/>
            <w:vAlign w:val="center"/>
          </w:tcPr>
          <w:p w14:paraId="0F435AD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每月一次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1770BB4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擦桐油不可沾染到墙壁、地毯 上，防止地毯脱色</w:t>
            </w:r>
          </w:p>
        </w:tc>
      </w:tr>
      <w:tr w14:paraId="5F522495">
        <w:tblPrEx>
          <w:tblCellMar>
            <w:top w:w="0" w:type="dxa"/>
            <w:left w:w="10" w:type="dxa"/>
            <w:bottom w:w="0" w:type="dxa"/>
            <w:right w:w="10" w:type="dxa"/>
          </w:tblCellMar>
        </w:tblPrEx>
        <w:trPr>
          <w:trHeight w:val="1208"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50C73C1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防尘垫</w:t>
            </w:r>
          </w:p>
        </w:tc>
        <w:tc>
          <w:tcPr>
            <w:tcW w:w="1552" w:type="dxa"/>
            <w:tcBorders>
              <w:top w:val="single" w:color="auto" w:sz="4" w:space="0"/>
              <w:left w:val="single" w:color="auto" w:sz="4" w:space="0"/>
              <w:bottom w:val="single" w:color="auto" w:sz="4" w:space="0"/>
            </w:tcBorders>
            <w:shd w:val="clear" w:color="auto" w:fill="FFFFFF"/>
            <w:vAlign w:val="center"/>
          </w:tcPr>
          <w:p w14:paraId="2B96727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无沙土、杂物、污物 残留，干净、美观</w:t>
            </w:r>
          </w:p>
        </w:tc>
        <w:tc>
          <w:tcPr>
            <w:tcW w:w="2554" w:type="dxa"/>
            <w:tcBorders>
              <w:top w:val="single" w:color="auto" w:sz="4" w:space="0"/>
              <w:left w:val="single" w:color="auto" w:sz="4" w:space="0"/>
              <w:bottom w:val="single" w:color="auto" w:sz="4" w:space="0"/>
            </w:tcBorders>
            <w:shd w:val="clear" w:color="auto" w:fill="FFFFFF"/>
            <w:vAlign w:val="center"/>
          </w:tcPr>
          <w:p w14:paraId="4AEB3DA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3134A6C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检查清洗后的地垫，对有些镶峡 在地垫中的杂物挑除</w:t>
            </w:r>
          </w:p>
        </w:tc>
      </w:tr>
      <w:tr w14:paraId="3590FE03">
        <w:tblPrEx>
          <w:tblCellMar>
            <w:top w:w="0" w:type="dxa"/>
            <w:left w:w="10" w:type="dxa"/>
            <w:bottom w:w="0" w:type="dxa"/>
            <w:right w:w="10" w:type="dxa"/>
          </w:tblCellMar>
        </w:tblPrEx>
        <w:trPr>
          <w:trHeight w:val="67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6AFA412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门帘</w:t>
            </w:r>
          </w:p>
        </w:tc>
        <w:tc>
          <w:tcPr>
            <w:tcW w:w="1552" w:type="dxa"/>
            <w:tcBorders>
              <w:top w:val="single" w:color="auto" w:sz="4" w:space="0"/>
              <w:left w:val="single" w:color="auto" w:sz="4" w:space="0"/>
              <w:bottom w:val="single" w:color="auto" w:sz="4" w:space="0"/>
            </w:tcBorders>
            <w:shd w:val="clear" w:color="auto" w:fill="FFFFFF"/>
            <w:vAlign w:val="center"/>
          </w:tcPr>
          <w:p w14:paraId="4AFDC18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无灰尘、污迹、缺损， 清洁</w:t>
            </w:r>
          </w:p>
        </w:tc>
        <w:tc>
          <w:tcPr>
            <w:tcW w:w="2554" w:type="dxa"/>
            <w:tcBorders>
              <w:top w:val="single" w:color="auto" w:sz="4" w:space="0"/>
              <w:left w:val="single" w:color="auto" w:sz="4" w:space="0"/>
              <w:bottom w:val="single" w:color="auto" w:sz="4" w:space="0"/>
            </w:tcBorders>
            <w:shd w:val="clear" w:color="auto" w:fill="FFFFFF"/>
            <w:vAlign w:val="center"/>
          </w:tcPr>
          <w:p w14:paraId="7F306D5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5E91608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避免在人员进出高峰期进行保 洁</w:t>
            </w:r>
          </w:p>
        </w:tc>
      </w:tr>
      <w:tr w14:paraId="543D8BAD">
        <w:tblPrEx>
          <w:tblCellMar>
            <w:top w:w="0" w:type="dxa"/>
            <w:left w:w="10" w:type="dxa"/>
            <w:bottom w:w="0" w:type="dxa"/>
            <w:right w:w="10" w:type="dxa"/>
          </w:tblCellMar>
        </w:tblPrEx>
        <w:trPr>
          <w:trHeight w:val="121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6C449EC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等候椅</w:t>
            </w:r>
          </w:p>
        </w:tc>
        <w:tc>
          <w:tcPr>
            <w:tcW w:w="1552" w:type="dxa"/>
            <w:tcBorders>
              <w:top w:val="single" w:color="auto" w:sz="4" w:space="0"/>
              <w:left w:val="single" w:color="auto" w:sz="4" w:space="0"/>
              <w:bottom w:val="single" w:color="auto" w:sz="4" w:space="0"/>
            </w:tcBorders>
            <w:shd w:val="clear" w:color="auto" w:fill="FFFFFF"/>
            <w:vAlign w:val="center"/>
          </w:tcPr>
          <w:p w14:paraId="5437473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无灰尘、污迹、杂 物、水迹，干净明亮</w:t>
            </w:r>
          </w:p>
        </w:tc>
        <w:tc>
          <w:tcPr>
            <w:tcW w:w="2554" w:type="dxa"/>
            <w:tcBorders>
              <w:top w:val="single" w:color="auto" w:sz="4" w:space="0"/>
              <w:left w:val="single" w:color="auto" w:sz="4" w:space="0"/>
              <w:bottom w:val="single" w:color="auto" w:sz="4" w:space="0"/>
            </w:tcBorders>
            <w:shd w:val="clear" w:color="auto" w:fill="FFFFFF"/>
            <w:vAlign w:val="center"/>
          </w:tcPr>
          <w:p w14:paraId="72FD426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每天二次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2956B5B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等候椅下方的卫生不要忽略</w:t>
            </w:r>
          </w:p>
        </w:tc>
      </w:tr>
      <w:tr w14:paraId="35C2AB22">
        <w:tblPrEx>
          <w:tblCellMar>
            <w:top w:w="0" w:type="dxa"/>
            <w:left w:w="10" w:type="dxa"/>
            <w:bottom w:w="0" w:type="dxa"/>
            <w:right w:w="10" w:type="dxa"/>
          </w:tblCellMar>
        </w:tblPrEx>
        <w:trPr>
          <w:trHeight w:val="1316"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0E84D37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垃圾桶</w:t>
            </w:r>
          </w:p>
        </w:tc>
        <w:tc>
          <w:tcPr>
            <w:tcW w:w="1552" w:type="dxa"/>
            <w:tcBorders>
              <w:top w:val="single" w:color="auto" w:sz="4" w:space="0"/>
              <w:left w:val="single" w:color="auto" w:sz="4" w:space="0"/>
              <w:bottom w:val="single" w:color="auto" w:sz="4" w:space="0"/>
            </w:tcBorders>
            <w:shd w:val="clear" w:color="auto" w:fill="FFFFFF"/>
            <w:vAlign w:val="center"/>
          </w:tcPr>
          <w:p w14:paraId="6780681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光亮、无污迹、无水 迹，周边无垃圾</w:t>
            </w:r>
          </w:p>
        </w:tc>
        <w:tc>
          <w:tcPr>
            <w:tcW w:w="2554" w:type="dxa"/>
            <w:tcBorders>
              <w:top w:val="single" w:color="auto" w:sz="4" w:space="0"/>
              <w:left w:val="single" w:color="auto" w:sz="4" w:space="0"/>
              <w:bottom w:val="single" w:color="auto" w:sz="4" w:space="0"/>
            </w:tcBorders>
            <w:shd w:val="clear" w:color="auto" w:fill="FFFFFF"/>
            <w:vAlign w:val="center"/>
          </w:tcPr>
          <w:p w14:paraId="1191B30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每天三次</w:t>
            </w:r>
          </w:p>
          <w:p w14:paraId="054EF9E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随满随倒</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6B35344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不可漫溢</w:t>
            </w:r>
          </w:p>
        </w:tc>
      </w:tr>
      <w:tr w14:paraId="0BC52C8B">
        <w:tblPrEx>
          <w:tblCellMar>
            <w:top w:w="0" w:type="dxa"/>
            <w:left w:w="10" w:type="dxa"/>
            <w:bottom w:w="0" w:type="dxa"/>
            <w:right w:w="10" w:type="dxa"/>
          </w:tblCellMar>
        </w:tblPrEx>
        <w:trPr>
          <w:trHeight w:val="81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64E68C7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标识牌、框</w:t>
            </w:r>
          </w:p>
        </w:tc>
        <w:tc>
          <w:tcPr>
            <w:tcW w:w="1552" w:type="dxa"/>
            <w:tcBorders>
              <w:top w:val="single" w:color="auto" w:sz="4" w:space="0"/>
              <w:left w:val="single" w:color="auto" w:sz="4" w:space="0"/>
              <w:bottom w:val="single" w:color="auto" w:sz="4" w:space="0"/>
            </w:tcBorders>
            <w:shd w:val="clear" w:color="auto" w:fill="FFFFFF"/>
            <w:vAlign w:val="center"/>
          </w:tcPr>
          <w:p w14:paraId="7E77D4F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无灰尘、无损坏、无 脱落</w:t>
            </w:r>
          </w:p>
        </w:tc>
        <w:tc>
          <w:tcPr>
            <w:tcW w:w="2554" w:type="dxa"/>
            <w:tcBorders>
              <w:top w:val="single" w:color="auto" w:sz="4" w:space="0"/>
              <w:left w:val="single" w:color="auto" w:sz="4" w:space="0"/>
              <w:bottom w:val="single" w:color="auto" w:sz="4" w:space="0"/>
            </w:tcBorders>
            <w:shd w:val="clear" w:color="auto" w:fill="FFFFFF"/>
            <w:vAlign w:val="center"/>
          </w:tcPr>
          <w:p w14:paraId="3F34B8D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6A9E2B6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689C62D8">
        <w:tblPrEx>
          <w:tblCellMar>
            <w:top w:w="0" w:type="dxa"/>
            <w:left w:w="10" w:type="dxa"/>
            <w:bottom w:w="0" w:type="dxa"/>
            <w:right w:w="10" w:type="dxa"/>
          </w:tblCellMar>
        </w:tblPrEx>
        <w:trPr>
          <w:trHeight w:val="848"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6752737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走廊医用扶 手</w:t>
            </w:r>
          </w:p>
        </w:tc>
        <w:tc>
          <w:tcPr>
            <w:tcW w:w="1552" w:type="dxa"/>
            <w:tcBorders>
              <w:top w:val="single" w:color="auto" w:sz="4" w:space="0"/>
              <w:left w:val="single" w:color="auto" w:sz="4" w:space="0"/>
              <w:bottom w:val="single" w:color="auto" w:sz="4" w:space="0"/>
            </w:tcBorders>
            <w:shd w:val="clear" w:color="auto" w:fill="FFFFFF"/>
            <w:vAlign w:val="center"/>
          </w:tcPr>
          <w:p w14:paraId="782FC6A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无灰尘、损坏、污迹</w:t>
            </w:r>
          </w:p>
        </w:tc>
        <w:tc>
          <w:tcPr>
            <w:tcW w:w="2554" w:type="dxa"/>
            <w:tcBorders>
              <w:top w:val="single" w:color="auto" w:sz="4" w:space="0"/>
              <w:left w:val="single" w:color="auto" w:sz="4" w:space="0"/>
              <w:bottom w:val="single" w:color="auto" w:sz="4" w:space="0"/>
            </w:tcBorders>
            <w:shd w:val="clear" w:color="auto" w:fill="FFFFFF"/>
            <w:vAlign w:val="center"/>
          </w:tcPr>
          <w:p w14:paraId="09262ED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6A4C8DD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43AC2642">
        <w:tblPrEx>
          <w:tblCellMar>
            <w:top w:w="0" w:type="dxa"/>
            <w:left w:w="10" w:type="dxa"/>
            <w:bottom w:w="0" w:type="dxa"/>
            <w:right w:w="10" w:type="dxa"/>
          </w:tblCellMar>
        </w:tblPrEx>
        <w:trPr>
          <w:trHeight w:val="1778"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4CB7D2F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走廊两侧墙 壁</w:t>
            </w:r>
          </w:p>
        </w:tc>
        <w:tc>
          <w:tcPr>
            <w:tcW w:w="1552" w:type="dxa"/>
            <w:tcBorders>
              <w:top w:val="single" w:color="auto" w:sz="4" w:space="0"/>
              <w:left w:val="single" w:color="auto" w:sz="4" w:space="0"/>
              <w:bottom w:val="single" w:color="auto" w:sz="4" w:space="0"/>
            </w:tcBorders>
            <w:shd w:val="clear" w:color="auto" w:fill="FFFFFF"/>
            <w:vAlign w:val="center"/>
          </w:tcPr>
          <w:p w14:paraId="6F5242F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无灰尘、污迹、脱落</w:t>
            </w:r>
          </w:p>
        </w:tc>
        <w:tc>
          <w:tcPr>
            <w:tcW w:w="2554" w:type="dxa"/>
            <w:tcBorders>
              <w:top w:val="single" w:color="auto" w:sz="4" w:space="0"/>
              <w:left w:val="single" w:color="auto" w:sz="4" w:space="0"/>
              <w:bottom w:val="single" w:color="auto" w:sz="4" w:space="0"/>
            </w:tcBorders>
            <w:shd w:val="clear" w:color="auto" w:fill="FFFFFF"/>
            <w:vAlign w:val="center"/>
          </w:tcPr>
          <w:p w14:paraId="2132222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1098023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勿忽略踢脚板的卫生，不可将墙 壁擦花</w:t>
            </w:r>
          </w:p>
        </w:tc>
      </w:tr>
      <w:tr w14:paraId="666C4C8E">
        <w:tblPrEx>
          <w:tblCellMar>
            <w:top w:w="0" w:type="dxa"/>
            <w:left w:w="10" w:type="dxa"/>
            <w:bottom w:w="0" w:type="dxa"/>
            <w:right w:w="10" w:type="dxa"/>
          </w:tblCellMar>
        </w:tblPrEx>
        <w:trPr>
          <w:trHeight w:val="119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77917C0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立式烟缸</w:t>
            </w:r>
          </w:p>
        </w:tc>
        <w:tc>
          <w:tcPr>
            <w:tcW w:w="1552" w:type="dxa"/>
            <w:tcBorders>
              <w:top w:val="single" w:color="auto" w:sz="4" w:space="0"/>
              <w:left w:val="single" w:color="auto" w:sz="4" w:space="0"/>
              <w:bottom w:val="single" w:color="auto" w:sz="4" w:space="0"/>
            </w:tcBorders>
            <w:shd w:val="clear" w:color="auto" w:fill="FFFFFF"/>
            <w:vAlign w:val="center"/>
          </w:tcPr>
          <w:p w14:paraId="76A054D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干净，无烟头、烟灰、 痰迹、垃圾</w:t>
            </w:r>
          </w:p>
        </w:tc>
        <w:tc>
          <w:tcPr>
            <w:tcW w:w="2554" w:type="dxa"/>
            <w:tcBorders>
              <w:top w:val="single" w:color="auto" w:sz="4" w:space="0"/>
              <w:left w:val="single" w:color="auto" w:sz="4" w:space="0"/>
              <w:bottom w:val="single" w:color="auto" w:sz="4" w:space="0"/>
            </w:tcBorders>
            <w:shd w:val="clear" w:color="auto" w:fill="FFFFFF"/>
            <w:vAlign w:val="center"/>
          </w:tcPr>
          <w:p w14:paraId="2A2720C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2062C41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定期清洗，更换砂子</w:t>
            </w:r>
          </w:p>
        </w:tc>
      </w:tr>
      <w:tr w14:paraId="5D8A8EA4">
        <w:tblPrEx>
          <w:tblCellMar>
            <w:top w:w="0" w:type="dxa"/>
            <w:left w:w="10" w:type="dxa"/>
            <w:bottom w:w="0" w:type="dxa"/>
            <w:right w:w="10" w:type="dxa"/>
          </w:tblCellMar>
        </w:tblPrEx>
        <w:trPr>
          <w:trHeight w:val="1478"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4D72BAF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电子触摸屏</w:t>
            </w:r>
          </w:p>
        </w:tc>
        <w:tc>
          <w:tcPr>
            <w:tcW w:w="1552" w:type="dxa"/>
            <w:tcBorders>
              <w:top w:val="single" w:color="auto" w:sz="4" w:space="0"/>
              <w:left w:val="single" w:color="auto" w:sz="4" w:space="0"/>
              <w:bottom w:val="single" w:color="auto" w:sz="4" w:space="0"/>
            </w:tcBorders>
            <w:shd w:val="clear" w:color="auto" w:fill="FFFFFF"/>
            <w:vAlign w:val="center"/>
          </w:tcPr>
          <w:p w14:paraId="3ACA9E7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无灰尘、污迹，完好</w:t>
            </w:r>
          </w:p>
        </w:tc>
        <w:tc>
          <w:tcPr>
            <w:tcW w:w="2554" w:type="dxa"/>
            <w:tcBorders>
              <w:top w:val="single" w:color="auto" w:sz="4" w:space="0"/>
              <w:left w:val="single" w:color="auto" w:sz="4" w:space="0"/>
              <w:bottom w:val="single" w:color="auto" w:sz="4" w:space="0"/>
            </w:tcBorders>
            <w:shd w:val="clear" w:color="auto" w:fill="FFFFFF"/>
            <w:vAlign w:val="center"/>
          </w:tcPr>
          <w:p w14:paraId="737C19E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21B6B9A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不可沾水</w:t>
            </w:r>
          </w:p>
        </w:tc>
      </w:tr>
      <w:tr w14:paraId="40017345">
        <w:tblPrEx>
          <w:tblCellMar>
            <w:top w:w="0" w:type="dxa"/>
            <w:left w:w="10" w:type="dxa"/>
            <w:bottom w:w="0" w:type="dxa"/>
            <w:right w:w="10" w:type="dxa"/>
          </w:tblCellMar>
        </w:tblPrEx>
        <w:trPr>
          <w:trHeight w:val="1806"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4F241BD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大厅所有玻 璃面</w:t>
            </w:r>
          </w:p>
        </w:tc>
        <w:tc>
          <w:tcPr>
            <w:tcW w:w="1552" w:type="dxa"/>
            <w:tcBorders>
              <w:top w:val="single" w:color="auto" w:sz="4" w:space="0"/>
              <w:left w:val="single" w:color="auto" w:sz="4" w:space="0"/>
              <w:bottom w:val="single" w:color="auto" w:sz="4" w:space="0"/>
            </w:tcBorders>
            <w:shd w:val="clear" w:color="auto" w:fill="FFFFFF"/>
            <w:vAlign w:val="center"/>
          </w:tcPr>
          <w:p w14:paraId="6F5BB36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无灰尘、污迹，洁净 明亮</w:t>
            </w:r>
          </w:p>
        </w:tc>
        <w:tc>
          <w:tcPr>
            <w:tcW w:w="2554" w:type="dxa"/>
            <w:tcBorders>
              <w:top w:val="single" w:color="auto" w:sz="4" w:space="0"/>
              <w:left w:val="single" w:color="auto" w:sz="4" w:space="0"/>
              <w:bottom w:val="single" w:color="auto" w:sz="4" w:space="0"/>
            </w:tcBorders>
            <w:shd w:val="clear" w:color="auto" w:fill="FFFFFF"/>
            <w:vAlign w:val="center"/>
          </w:tcPr>
          <w:p w14:paraId="34057BF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1EDE3BC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污水不可滴漏</w:t>
            </w:r>
          </w:p>
        </w:tc>
      </w:tr>
    </w:tbl>
    <w:p w14:paraId="21C9ECE4">
      <w:pPr>
        <w:pageBreakBefore w:val="0"/>
        <w:kinsoku/>
        <w:wordWrap/>
        <w:overflowPunct/>
        <w:topLinePunct w:val="0"/>
        <w:autoSpaceDE/>
        <w:autoSpaceDN/>
        <w:bidi w:val="0"/>
        <w:adjustRightInd/>
        <w:spacing w:line="560" w:lineRule="exact"/>
        <w:ind w:firstLine="241" w:firstLineChars="100"/>
        <w:rPr>
          <w:rFonts w:hint="eastAsia" w:ascii="仿宋" w:hAnsi="仿宋" w:eastAsia="仿宋" w:cs="仿宋"/>
          <w:color w:val="auto"/>
          <w:sz w:val="24"/>
          <w:szCs w:val="24"/>
        </w:rPr>
      </w:pPr>
      <w:r>
        <w:rPr>
          <w:rFonts w:hint="eastAsia" w:ascii="仿宋" w:hAnsi="仿宋" w:eastAsia="仿宋" w:cs="仿宋"/>
          <w:b/>
          <w:bCs/>
          <w:color w:val="auto"/>
          <w:sz w:val="24"/>
          <w:szCs w:val="24"/>
        </w:rPr>
        <w:t>5、电梯（客梯、货梯、扶梯）日常保洁项目要求</w:t>
      </w:r>
    </w:p>
    <w:tbl>
      <w:tblPr>
        <w:tblStyle w:val="47"/>
        <w:tblW w:w="0" w:type="auto"/>
        <w:jc w:val="center"/>
        <w:tblLayout w:type="fixed"/>
        <w:tblCellMar>
          <w:top w:w="0" w:type="dxa"/>
          <w:left w:w="10" w:type="dxa"/>
          <w:bottom w:w="0" w:type="dxa"/>
          <w:right w:w="10" w:type="dxa"/>
        </w:tblCellMar>
      </w:tblPr>
      <w:tblGrid>
        <w:gridCol w:w="969"/>
        <w:gridCol w:w="2131"/>
        <w:gridCol w:w="2254"/>
        <w:gridCol w:w="2992"/>
      </w:tblGrid>
      <w:tr w14:paraId="09D55F7D">
        <w:tblPrEx>
          <w:tblCellMar>
            <w:top w:w="0" w:type="dxa"/>
            <w:left w:w="10" w:type="dxa"/>
            <w:bottom w:w="0" w:type="dxa"/>
            <w:right w:w="10" w:type="dxa"/>
          </w:tblCellMar>
        </w:tblPrEx>
        <w:trPr>
          <w:trHeight w:val="644" w:hRule="exact"/>
          <w:jc w:val="center"/>
        </w:trPr>
        <w:tc>
          <w:tcPr>
            <w:tcW w:w="969" w:type="dxa"/>
            <w:tcBorders>
              <w:top w:val="single" w:color="auto" w:sz="4" w:space="0"/>
              <w:left w:val="single" w:color="auto" w:sz="4" w:space="0"/>
            </w:tcBorders>
            <w:shd w:val="clear" w:color="auto" w:fill="FFFFFF"/>
            <w:vAlign w:val="center"/>
          </w:tcPr>
          <w:p w14:paraId="0557A84F">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项目</w:t>
            </w:r>
          </w:p>
        </w:tc>
        <w:tc>
          <w:tcPr>
            <w:tcW w:w="2131" w:type="dxa"/>
            <w:tcBorders>
              <w:top w:val="single" w:color="auto" w:sz="4" w:space="0"/>
              <w:left w:val="single" w:color="auto" w:sz="4" w:space="0"/>
            </w:tcBorders>
            <w:shd w:val="clear" w:color="auto" w:fill="FFFFFF"/>
            <w:vAlign w:val="center"/>
          </w:tcPr>
          <w:p w14:paraId="78D0F9F0">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标准（质量要求）</w:t>
            </w:r>
          </w:p>
        </w:tc>
        <w:tc>
          <w:tcPr>
            <w:tcW w:w="2254" w:type="dxa"/>
            <w:tcBorders>
              <w:top w:val="single" w:color="auto" w:sz="4" w:space="0"/>
              <w:left w:val="single" w:color="auto" w:sz="4" w:space="0"/>
            </w:tcBorders>
            <w:shd w:val="clear" w:color="auto" w:fill="FFFFFF"/>
            <w:vAlign w:val="center"/>
          </w:tcPr>
          <w:p w14:paraId="7BA71FB7">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频次</w:t>
            </w:r>
          </w:p>
        </w:tc>
        <w:tc>
          <w:tcPr>
            <w:tcW w:w="2992" w:type="dxa"/>
            <w:tcBorders>
              <w:top w:val="single" w:color="auto" w:sz="4" w:space="0"/>
              <w:left w:val="single" w:color="auto" w:sz="4" w:space="0"/>
              <w:right w:val="single" w:color="auto" w:sz="4" w:space="0"/>
            </w:tcBorders>
            <w:shd w:val="clear" w:color="auto" w:fill="FFFFFF"/>
            <w:vAlign w:val="center"/>
          </w:tcPr>
          <w:p w14:paraId="3992F9DF">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注意事项</w:t>
            </w:r>
          </w:p>
        </w:tc>
      </w:tr>
      <w:tr w14:paraId="45C033E1">
        <w:tblPrEx>
          <w:tblCellMar>
            <w:top w:w="0" w:type="dxa"/>
            <w:left w:w="10" w:type="dxa"/>
            <w:bottom w:w="0" w:type="dxa"/>
            <w:right w:w="10" w:type="dxa"/>
          </w:tblCellMar>
        </w:tblPrEx>
        <w:trPr>
          <w:trHeight w:val="634" w:hRule="exact"/>
          <w:jc w:val="center"/>
        </w:trPr>
        <w:tc>
          <w:tcPr>
            <w:tcW w:w="969" w:type="dxa"/>
            <w:tcBorders>
              <w:top w:val="single" w:color="auto" w:sz="4" w:space="0"/>
              <w:left w:val="single" w:color="auto" w:sz="4" w:space="0"/>
            </w:tcBorders>
            <w:shd w:val="clear" w:color="auto" w:fill="FFFFFF"/>
            <w:vAlign w:val="center"/>
          </w:tcPr>
          <w:p w14:paraId="1458619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内板壁（金属 面板）</w:t>
            </w:r>
          </w:p>
        </w:tc>
        <w:tc>
          <w:tcPr>
            <w:tcW w:w="2131" w:type="dxa"/>
            <w:tcBorders>
              <w:top w:val="single" w:color="auto" w:sz="4" w:space="0"/>
              <w:left w:val="single" w:color="auto" w:sz="4" w:space="0"/>
            </w:tcBorders>
            <w:shd w:val="clear" w:color="auto" w:fill="FFFFFF"/>
            <w:vAlign w:val="center"/>
          </w:tcPr>
          <w:p w14:paraId="05231A5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无灰尘、斑迹、手印， 干净、光亮</w:t>
            </w:r>
          </w:p>
        </w:tc>
        <w:tc>
          <w:tcPr>
            <w:tcW w:w="2254" w:type="dxa"/>
            <w:tcBorders>
              <w:top w:val="single" w:color="auto" w:sz="4" w:space="0"/>
              <w:left w:val="single" w:color="auto" w:sz="4" w:space="0"/>
            </w:tcBorders>
            <w:shd w:val="clear" w:color="auto" w:fill="FFFFFF"/>
            <w:vAlign w:val="center"/>
          </w:tcPr>
          <w:p w14:paraId="44D426F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992" w:type="dxa"/>
            <w:tcBorders>
              <w:top w:val="single" w:color="auto" w:sz="4" w:space="0"/>
              <w:left w:val="single" w:color="auto" w:sz="4" w:space="0"/>
              <w:right w:val="single" w:color="auto" w:sz="4" w:space="0"/>
            </w:tcBorders>
            <w:shd w:val="clear" w:color="auto" w:fill="FFFFFF"/>
            <w:vAlign w:val="center"/>
          </w:tcPr>
          <w:p w14:paraId="60C210D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7E8F0604">
        <w:tblPrEx>
          <w:tblCellMar>
            <w:top w:w="0" w:type="dxa"/>
            <w:left w:w="10" w:type="dxa"/>
            <w:bottom w:w="0" w:type="dxa"/>
            <w:right w:w="10" w:type="dxa"/>
          </w:tblCellMar>
        </w:tblPrEx>
        <w:trPr>
          <w:trHeight w:val="1084" w:hRule="exact"/>
          <w:jc w:val="center"/>
        </w:trPr>
        <w:tc>
          <w:tcPr>
            <w:tcW w:w="969" w:type="dxa"/>
            <w:tcBorders>
              <w:top w:val="single" w:color="auto" w:sz="4" w:space="0"/>
              <w:left w:val="single" w:color="auto" w:sz="4" w:space="0"/>
            </w:tcBorders>
            <w:shd w:val="clear" w:color="auto" w:fill="FFFFFF"/>
            <w:vAlign w:val="center"/>
          </w:tcPr>
          <w:p w14:paraId="62A54CB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地面</w:t>
            </w:r>
          </w:p>
        </w:tc>
        <w:tc>
          <w:tcPr>
            <w:tcW w:w="2131" w:type="dxa"/>
            <w:tcBorders>
              <w:top w:val="single" w:color="auto" w:sz="4" w:space="0"/>
              <w:left w:val="single" w:color="auto" w:sz="4" w:space="0"/>
            </w:tcBorders>
            <w:shd w:val="clear" w:color="auto" w:fill="FFFFFF"/>
            <w:vAlign w:val="center"/>
          </w:tcPr>
          <w:p w14:paraId="01BD591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无灰尘、斑迹、水迹、 污物，干净</w:t>
            </w:r>
          </w:p>
        </w:tc>
        <w:tc>
          <w:tcPr>
            <w:tcW w:w="2254" w:type="dxa"/>
            <w:tcBorders>
              <w:top w:val="single" w:color="auto" w:sz="4" w:space="0"/>
              <w:left w:val="single" w:color="auto" w:sz="4" w:space="0"/>
            </w:tcBorders>
            <w:shd w:val="clear" w:color="auto" w:fill="FFFFFF"/>
            <w:vAlign w:val="center"/>
          </w:tcPr>
          <w:p w14:paraId="40143E6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每天二次，随脏随拖</w:t>
            </w:r>
          </w:p>
        </w:tc>
        <w:tc>
          <w:tcPr>
            <w:tcW w:w="2992" w:type="dxa"/>
            <w:tcBorders>
              <w:top w:val="single" w:color="auto" w:sz="4" w:space="0"/>
              <w:left w:val="single" w:color="auto" w:sz="4" w:space="0"/>
              <w:right w:val="single" w:color="auto" w:sz="4" w:space="0"/>
            </w:tcBorders>
            <w:shd w:val="clear" w:color="auto" w:fill="FFFFFF"/>
            <w:vAlign w:val="center"/>
          </w:tcPr>
          <w:p w14:paraId="241D44F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中午下班前清洁一次，下午下班 前清洁一次</w:t>
            </w:r>
          </w:p>
        </w:tc>
      </w:tr>
      <w:tr w14:paraId="64088498">
        <w:tblPrEx>
          <w:tblCellMar>
            <w:top w:w="0" w:type="dxa"/>
            <w:left w:w="10" w:type="dxa"/>
            <w:bottom w:w="0" w:type="dxa"/>
            <w:right w:w="10" w:type="dxa"/>
          </w:tblCellMar>
        </w:tblPrEx>
        <w:trPr>
          <w:trHeight w:val="855" w:hRule="exact"/>
          <w:jc w:val="center"/>
        </w:trPr>
        <w:tc>
          <w:tcPr>
            <w:tcW w:w="969" w:type="dxa"/>
            <w:tcBorders>
              <w:top w:val="single" w:color="auto" w:sz="4" w:space="0"/>
              <w:left w:val="single" w:color="auto" w:sz="4" w:space="0"/>
            </w:tcBorders>
            <w:shd w:val="clear" w:color="auto" w:fill="FFFFFF"/>
            <w:vAlign w:val="center"/>
          </w:tcPr>
          <w:p w14:paraId="09CF229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灯罩</w:t>
            </w:r>
          </w:p>
        </w:tc>
        <w:tc>
          <w:tcPr>
            <w:tcW w:w="2131" w:type="dxa"/>
            <w:tcBorders>
              <w:top w:val="single" w:color="auto" w:sz="4" w:space="0"/>
              <w:left w:val="single" w:color="auto" w:sz="4" w:space="0"/>
            </w:tcBorders>
            <w:shd w:val="clear" w:color="auto" w:fill="FFFFFF"/>
            <w:vAlign w:val="center"/>
          </w:tcPr>
          <w:p w14:paraId="5A76888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无灰尘、斑迹，干净</w:t>
            </w:r>
          </w:p>
        </w:tc>
        <w:tc>
          <w:tcPr>
            <w:tcW w:w="2254" w:type="dxa"/>
            <w:tcBorders>
              <w:top w:val="single" w:color="auto" w:sz="4" w:space="0"/>
              <w:left w:val="single" w:color="auto" w:sz="4" w:space="0"/>
            </w:tcBorders>
            <w:shd w:val="clear" w:color="auto" w:fill="FFFFFF"/>
            <w:vAlign w:val="center"/>
          </w:tcPr>
          <w:p w14:paraId="248EAD9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992" w:type="dxa"/>
            <w:tcBorders>
              <w:top w:val="single" w:color="auto" w:sz="4" w:space="0"/>
              <w:left w:val="single" w:color="auto" w:sz="4" w:space="0"/>
              <w:right w:val="single" w:color="auto" w:sz="4" w:space="0"/>
            </w:tcBorders>
            <w:shd w:val="clear" w:color="auto" w:fill="FFFFFF"/>
            <w:vAlign w:val="center"/>
          </w:tcPr>
          <w:p w14:paraId="1F0B836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喷金属光亮剂每月一次</w:t>
            </w:r>
          </w:p>
        </w:tc>
      </w:tr>
      <w:tr w14:paraId="6E56DBEE">
        <w:tblPrEx>
          <w:tblCellMar>
            <w:top w:w="0" w:type="dxa"/>
            <w:left w:w="10" w:type="dxa"/>
            <w:bottom w:w="0" w:type="dxa"/>
            <w:right w:w="10" w:type="dxa"/>
          </w:tblCellMar>
        </w:tblPrEx>
        <w:trPr>
          <w:trHeight w:val="626" w:hRule="exact"/>
          <w:jc w:val="center"/>
        </w:trPr>
        <w:tc>
          <w:tcPr>
            <w:tcW w:w="969" w:type="dxa"/>
            <w:tcBorders>
              <w:top w:val="single" w:color="auto" w:sz="4" w:space="0"/>
              <w:left w:val="single" w:color="auto" w:sz="4" w:space="0"/>
            </w:tcBorders>
            <w:shd w:val="clear" w:color="auto" w:fill="FFFFFF"/>
            <w:vAlign w:val="center"/>
          </w:tcPr>
          <w:p w14:paraId="14B4085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指示按钮</w:t>
            </w:r>
          </w:p>
        </w:tc>
        <w:tc>
          <w:tcPr>
            <w:tcW w:w="2131" w:type="dxa"/>
            <w:tcBorders>
              <w:top w:val="single" w:color="auto" w:sz="4" w:space="0"/>
              <w:left w:val="single" w:color="auto" w:sz="4" w:space="0"/>
            </w:tcBorders>
            <w:shd w:val="clear" w:color="auto" w:fill="FFFFFF"/>
            <w:vAlign w:val="center"/>
          </w:tcPr>
          <w:p w14:paraId="309A628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无灰尘、污迹，清晰 无破损</w:t>
            </w:r>
          </w:p>
        </w:tc>
        <w:tc>
          <w:tcPr>
            <w:tcW w:w="2254" w:type="dxa"/>
            <w:tcBorders>
              <w:top w:val="single" w:color="auto" w:sz="4" w:space="0"/>
              <w:left w:val="single" w:color="auto" w:sz="4" w:space="0"/>
            </w:tcBorders>
            <w:shd w:val="clear" w:color="auto" w:fill="FFFFFF"/>
            <w:vAlign w:val="center"/>
          </w:tcPr>
          <w:p w14:paraId="39178FC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992" w:type="dxa"/>
            <w:tcBorders>
              <w:top w:val="single" w:color="auto" w:sz="4" w:space="0"/>
              <w:left w:val="single" w:color="auto" w:sz="4" w:space="0"/>
              <w:right w:val="single" w:color="auto" w:sz="4" w:space="0"/>
            </w:tcBorders>
            <w:shd w:val="clear" w:color="auto" w:fill="FFFFFF"/>
            <w:vAlign w:val="center"/>
          </w:tcPr>
          <w:p w14:paraId="4CA2D56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擦拭按钮时应在停机状态</w:t>
            </w:r>
          </w:p>
          <w:p w14:paraId="66E6FE3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按钮内不可进水</w:t>
            </w:r>
          </w:p>
        </w:tc>
      </w:tr>
      <w:tr w14:paraId="3AC4CAB2">
        <w:tblPrEx>
          <w:tblCellMar>
            <w:top w:w="0" w:type="dxa"/>
            <w:left w:w="10" w:type="dxa"/>
            <w:bottom w:w="0" w:type="dxa"/>
            <w:right w:w="10" w:type="dxa"/>
          </w:tblCellMar>
        </w:tblPrEx>
        <w:trPr>
          <w:trHeight w:val="634" w:hRule="exact"/>
          <w:jc w:val="center"/>
        </w:trPr>
        <w:tc>
          <w:tcPr>
            <w:tcW w:w="969" w:type="dxa"/>
            <w:tcBorders>
              <w:top w:val="single" w:color="auto" w:sz="4" w:space="0"/>
              <w:left w:val="single" w:color="auto" w:sz="4" w:space="0"/>
            </w:tcBorders>
            <w:shd w:val="clear" w:color="auto" w:fill="FFFFFF"/>
            <w:vAlign w:val="center"/>
          </w:tcPr>
          <w:p w14:paraId="697AC2E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门</w:t>
            </w:r>
          </w:p>
        </w:tc>
        <w:tc>
          <w:tcPr>
            <w:tcW w:w="2131" w:type="dxa"/>
            <w:tcBorders>
              <w:top w:val="single" w:color="auto" w:sz="4" w:space="0"/>
              <w:left w:val="single" w:color="auto" w:sz="4" w:space="0"/>
            </w:tcBorders>
            <w:shd w:val="clear" w:color="auto" w:fill="FFFFFF"/>
            <w:vAlign w:val="center"/>
          </w:tcPr>
          <w:p w14:paraId="4F5CE78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无灰尘、斑迹，干净 明亮</w:t>
            </w:r>
          </w:p>
        </w:tc>
        <w:tc>
          <w:tcPr>
            <w:tcW w:w="2254" w:type="dxa"/>
            <w:tcBorders>
              <w:top w:val="single" w:color="auto" w:sz="4" w:space="0"/>
              <w:left w:val="single" w:color="auto" w:sz="4" w:space="0"/>
            </w:tcBorders>
            <w:shd w:val="clear" w:color="auto" w:fill="FFFFFF"/>
            <w:vAlign w:val="center"/>
          </w:tcPr>
          <w:p w14:paraId="745458A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992" w:type="dxa"/>
            <w:tcBorders>
              <w:top w:val="single" w:color="auto" w:sz="4" w:space="0"/>
              <w:left w:val="single" w:color="auto" w:sz="4" w:space="0"/>
              <w:right w:val="single" w:color="auto" w:sz="4" w:space="0"/>
            </w:tcBorders>
            <w:shd w:val="clear" w:color="auto" w:fill="FFFFFF"/>
            <w:vAlign w:val="center"/>
          </w:tcPr>
          <w:p w14:paraId="65EB32D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5EB33051">
        <w:tblPrEx>
          <w:tblCellMar>
            <w:top w:w="0" w:type="dxa"/>
            <w:left w:w="10" w:type="dxa"/>
            <w:bottom w:w="0" w:type="dxa"/>
            <w:right w:w="10" w:type="dxa"/>
          </w:tblCellMar>
        </w:tblPrEx>
        <w:trPr>
          <w:trHeight w:val="648" w:hRule="exact"/>
          <w:jc w:val="center"/>
        </w:trPr>
        <w:tc>
          <w:tcPr>
            <w:tcW w:w="969" w:type="dxa"/>
            <w:tcBorders>
              <w:top w:val="single" w:color="auto" w:sz="4" w:space="0"/>
              <w:left w:val="single" w:color="auto" w:sz="4" w:space="0"/>
            </w:tcBorders>
            <w:shd w:val="clear" w:color="auto" w:fill="FFFFFF"/>
            <w:vAlign w:val="center"/>
          </w:tcPr>
          <w:p w14:paraId="6A812A8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扶手</w:t>
            </w:r>
          </w:p>
        </w:tc>
        <w:tc>
          <w:tcPr>
            <w:tcW w:w="2131" w:type="dxa"/>
            <w:tcBorders>
              <w:top w:val="single" w:color="auto" w:sz="4" w:space="0"/>
              <w:left w:val="single" w:color="auto" w:sz="4" w:space="0"/>
            </w:tcBorders>
            <w:shd w:val="clear" w:color="auto" w:fill="FFFFFF"/>
            <w:vAlign w:val="center"/>
          </w:tcPr>
          <w:p w14:paraId="3B65B70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无灰尘、斑迹，干净 明亮</w:t>
            </w:r>
          </w:p>
        </w:tc>
        <w:tc>
          <w:tcPr>
            <w:tcW w:w="2254" w:type="dxa"/>
            <w:tcBorders>
              <w:top w:val="single" w:color="auto" w:sz="4" w:space="0"/>
              <w:left w:val="single" w:color="auto" w:sz="4" w:space="0"/>
            </w:tcBorders>
            <w:shd w:val="clear" w:color="auto" w:fill="FFFFFF"/>
            <w:vAlign w:val="center"/>
          </w:tcPr>
          <w:p w14:paraId="0449295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992" w:type="dxa"/>
            <w:tcBorders>
              <w:top w:val="single" w:color="auto" w:sz="4" w:space="0"/>
              <w:left w:val="single" w:color="auto" w:sz="4" w:space="0"/>
              <w:right w:val="single" w:color="auto" w:sz="4" w:space="0"/>
            </w:tcBorders>
            <w:shd w:val="clear" w:color="auto" w:fill="FFFFFF"/>
            <w:vAlign w:val="center"/>
          </w:tcPr>
          <w:p w14:paraId="6A7FF45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2B6C2746">
        <w:tblPrEx>
          <w:tblCellMar>
            <w:top w:w="0" w:type="dxa"/>
            <w:left w:w="10" w:type="dxa"/>
            <w:bottom w:w="0" w:type="dxa"/>
            <w:right w:w="10" w:type="dxa"/>
          </w:tblCellMar>
        </w:tblPrEx>
        <w:trPr>
          <w:trHeight w:val="733" w:hRule="exact"/>
          <w:jc w:val="center"/>
        </w:trPr>
        <w:tc>
          <w:tcPr>
            <w:tcW w:w="969" w:type="dxa"/>
            <w:tcBorders>
              <w:top w:val="single" w:color="auto" w:sz="4" w:space="0"/>
              <w:left w:val="single" w:color="auto" w:sz="4" w:space="0"/>
              <w:bottom w:val="single" w:color="auto" w:sz="4" w:space="0"/>
            </w:tcBorders>
            <w:shd w:val="clear" w:color="auto" w:fill="FFFFFF"/>
            <w:vAlign w:val="center"/>
          </w:tcPr>
          <w:p w14:paraId="03E6619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换气扇及罩</w:t>
            </w:r>
          </w:p>
        </w:tc>
        <w:tc>
          <w:tcPr>
            <w:tcW w:w="2131" w:type="dxa"/>
            <w:tcBorders>
              <w:top w:val="single" w:color="auto" w:sz="4" w:space="0"/>
              <w:left w:val="single" w:color="auto" w:sz="4" w:space="0"/>
              <w:bottom w:val="single" w:color="auto" w:sz="4" w:space="0"/>
            </w:tcBorders>
            <w:shd w:val="clear" w:color="auto" w:fill="FFFFFF"/>
            <w:vAlign w:val="center"/>
          </w:tcPr>
          <w:p w14:paraId="29C6557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无灰尘，干净明亮</w:t>
            </w:r>
          </w:p>
        </w:tc>
        <w:tc>
          <w:tcPr>
            <w:tcW w:w="2254" w:type="dxa"/>
            <w:tcBorders>
              <w:top w:val="single" w:color="auto" w:sz="4" w:space="0"/>
              <w:left w:val="single" w:color="auto" w:sz="4" w:space="0"/>
              <w:bottom w:val="single" w:color="auto" w:sz="4" w:space="0"/>
            </w:tcBorders>
            <w:shd w:val="clear" w:color="auto" w:fill="FFFFFF"/>
            <w:vAlign w:val="center"/>
          </w:tcPr>
          <w:p w14:paraId="19E0C70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992" w:type="dxa"/>
            <w:tcBorders>
              <w:top w:val="single" w:color="auto" w:sz="4" w:space="0"/>
              <w:left w:val="single" w:color="auto" w:sz="4" w:space="0"/>
              <w:bottom w:val="single" w:color="auto" w:sz="4" w:space="0"/>
              <w:right w:val="single" w:color="auto" w:sz="4" w:space="0"/>
            </w:tcBorders>
            <w:shd w:val="clear" w:color="auto" w:fill="FFFFFF"/>
            <w:vAlign w:val="center"/>
          </w:tcPr>
          <w:p w14:paraId="5CB9A35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3AEFF8F8">
        <w:tblPrEx>
          <w:tblCellMar>
            <w:top w:w="0" w:type="dxa"/>
            <w:left w:w="10" w:type="dxa"/>
            <w:bottom w:w="0" w:type="dxa"/>
            <w:right w:w="10" w:type="dxa"/>
          </w:tblCellMar>
        </w:tblPrEx>
        <w:trPr>
          <w:trHeight w:val="778" w:hRule="exact"/>
          <w:jc w:val="center"/>
        </w:trPr>
        <w:tc>
          <w:tcPr>
            <w:tcW w:w="969" w:type="dxa"/>
            <w:tcBorders>
              <w:top w:val="single" w:color="auto" w:sz="4" w:space="0"/>
              <w:left w:val="single" w:color="auto" w:sz="4" w:space="0"/>
              <w:bottom w:val="single" w:color="auto" w:sz="4" w:space="0"/>
            </w:tcBorders>
            <w:shd w:val="clear" w:color="auto" w:fill="FFFFFF"/>
            <w:vAlign w:val="center"/>
          </w:tcPr>
          <w:p w14:paraId="67B39CD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电话机</w:t>
            </w:r>
          </w:p>
        </w:tc>
        <w:tc>
          <w:tcPr>
            <w:tcW w:w="2131" w:type="dxa"/>
            <w:tcBorders>
              <w:top w:val="single" w:color="auto" w:sz="4" w:space="0"/>
              <w:left w:val="single" w:color="auto" w:sz="4" w:space="0"/>
              <w:bottom w:val="single" w:color="auto" w:sz="4" w:space="0"/>
            </w:tcBorders>
            <w:shd w:val="clear" w:color="auto" w:fill="FFFFFF"/>
            <w:vAlign w:val="center"/>
          </w:tcPr>
          <w:p w14:paraId="5FC7DBA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清洁，无污迹、异味</w:t>
            </w:r>
          </w:p>
        </w:tc>
        <w:tc>
          <w:tcPr>
            <w:tcW w:w="2254" w:type="dxa"/>
            <w:tcBorders>
              <w:top w:val="single" w:color="auto" w:sz="4" w:space="0"/>
              <w:left w:val="single" w:color="auto" w:sz="4" w:space="0"/>
              <w:bottom w:val="single" w:color="auto" w:sz="4" w:space="0"/>
            </w:tcBorders>
            <w:shd w:val="clear" w:color="auto" w:fill="FFFFFF"/>
            <w:vAlign w:val="center"/>
          </w:tcPr>
          <w:p w14:paraId="690CD23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2992" w:type="dxa"/>
            <w:tcBorders>
              <w:top w:val="single" w:color="auto" w:sz="4" w:space="0"/>
              <w:left w:val="single" w:color="auto" w:sz="4" w:space="0"/>
              <w:bottom w:val="single" w:color="auto" w:sz="4" w:space="0"/>
              <w:right w:val="single" w:color="auto" w:sz="4" w:space="0"/>
            </w:tcBorders>
            <w:shd w:val="clear" w:color="auto" w:fill="FFFFFF"/>
            <w:vAlign w:val="center"/>
          </w:tcPr>
          <w:p w14:paraId="577C0F8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375CCC6D">
        <w:tblPrEx>
          <w:tblCellMar>
            <w:top w:w="0" w:type="dxa"/>
            <w:left w:w="10" w:type="dxa"/>
            <w:bottom w:w="0" w:type="dxa"/>
            <w:right w:w="10" w:type="dxa"/>
          </w:tblCellMar>
        </w:tblPrEx>
        <w:trPr>
          <w:trHeight w:val="853" w:hRule="exact"/>
          <w:jc w:val="center"/>
        </w:trPr>
        <w:tc>
          <w:tcPr>
            <w:tcW w:w="969" w:type="dxa"/>
            <w:tcBorders>
              <w:top w:val="single" w:color="auto" w:sz="4" w:space="0"/>
              <w:left w:val="single" w:color="auto" w:sz="4" w:space="0"/>
              <w:bottom w:val="single" w:color="auto" w:sz="4" w:space="0"/>
            </w:tcBorders>
            <w:shd w:val="clear" w:color="auto" w:fill="FFFFFF"/>
            <w:vAlign w:val="center"/>
          </w:tcPr>
          <w:p w14:paraId="101825B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扶梯</w:t>
            </w:r>
          </w:p>
        </w:tc>
        <w:tc>
          <w:tcPr>
            <w:tcW w:w="2131" w:type="dxa"/>
            <w:tcBorders>
              <w:top w:val="single" w:color="auto" w:sz="4" w:space="0"/>
              <w:left w:val="single" w:color="auto" w:sz="4" w:space="0"/>
              <w:bottom w:val="single" w:color="auto" w:sz="4" w:space="0"/>
            </w:tcBorders>
            <w:shd w:val="clear" w:color="auto" w:fill="FFFFFF"/>
            <w:vAlign w:val="center"/>
          </w:tcPr>
          <w:p w14:paraId="60D26CE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清洁、无污迹</w:t>
            </w:r>
          </w:p>
        </w:tc>
        <w:tc>
          <w:tcPr>
            <w:tcW w:w="2254" w:type="dxa"/>
            <w:tcBorders>
              <w:top w:val="single" w:color="auto" w:sz="4" w:space="0"/>
              <w:left w:val="single" w:color="auto" w:sz="4" w:space="0"/>
              <w:bottom w:val="single" w:color="auto" w:sz="4" w:space="0"/>
            </w:tcBorders>
            <w:shd w:val="clear" w:color="auto" w:fill="FFFFFF"/>
            <w:vAlign w:val="center"/>
          </w:tcPr>
          <w:p w14:paraId="52B9990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每天二次</w:t>
            </w:r>
          </w:p>
        </w:tc>
        <w:tc>
          <w:tcPr>
            <w:tcW w:w="2992" w:type="dxa"/>
            <w:tcBorders>
              <w:top w:val="single" w:color="auto" w:sz="4" w:space="0"/>
              <w:left w:val="single" w:color="auto" w:sz="4" w:space="0"/>
              <w:bottom w:val="single" w:color="auto" w:sz="4" w:space="0"/>
              <w:right w:val="single" w:color="auto" w:sz="4" w:space="0"/>
            </w:tcBorders>
            <w:shd w:val="clear" w:color="auto" w:fill="FFFFFF"/>
            <w:vAlign w:val="center"/>
          </w:tcPr>
          <w:p w14:paraId="6E25298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擦拭保洁时应在停机状态</w:t>
            </w:r>
          </w:p>
        </w:tc>
      </w:tr>
    </w:tbl>
    <w:p w14:paraId="0A8403B5">
      <w:pPr>
        <w:pageBreakBefore w:val="0"/>
        <w:tabs>
          <w:tab w:val="center" w:pos="4564"/>
        </w:tabs>
        <w:kinsoku/>
        <w:wordWrap/>
        <w:overflowPunct/>
        <w:topLinePunct w:val="0"/>
        <w:autoSpaceDE/>
        <w:autoSpaceDN/>
        <w:bidi w:val="0"/>
        <w:adjustRightInd/>
        <w:spacing w:line="560" w:lineRule="exact"/>
        <w:ind w:firstLine="482" w:firstLineChars="200"/>
        <w:jc w:val="left"/>
        <w:rPr>
          <w:rFonts w:hint="eastAsia" w:ascii="仿宋" w:hAnsi="仿宋" w:eastAsia="仿宋" w:cs="仿宋"/>
          <w:color w:val="auto"/>
          <w:sz w:val="24"/>
          <w:szCs w:val="24"/>
        </w:rPr>
      </w:pPr>
      <w:r>
        <w:rPr>
          <w:rFonts w:hint="eastAsia" w:ascii="仿宋" w:hAnsi="仿宋" w:eastAsia="仿宋" w:cs="仿宋"/>
          <w:b/>
          <w:bCs/>
          <w:color w:val="auto"/>
          <w:sz w:val="24"/>
          <w:szCs w:val="24"/>
          <w:lang w:val="zh-CN" w:bidi="zh-CN"/>
        </w:rPr>
        <w:t>6、</w:t>
      </w:r>
      <w:r>
        <w:rPr>
          <w:rFonts w:hint="eastAsia" w:ascii="仿宋" w:hAnsi="仿宋" w:eastAsia="仿宋" w:cs="仿宋"/>
          <w:b/>
          <w:bCs/>
          <w:color w:val="auto"/>
          <w:sz w:val="24"/>
          <w:szCs w:val="24"/>
        </w:rPr>
        <w:t>公共洗手间内日常保洁项目要求</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39"/>
        <w:gridCol w:w="2359"/>
        <w:gridCol w:w="1812"/>
        <w:gridCol w:w="2724"/>
      </w:tblGrid>
      <w:tr w14:paraId="75D1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83" w:hRule="exact"/>
          <w:jc w:val="center"/>
        </w:trPr>
        <w:tc>
          <w:tcPr>
            <w:tcW w:w="1039" w:type="dxa"/>
            <w:shd w:val="clear" w:color="auto" w:fill="FFFFFF"/>
            <w:vAlign w:val="center"/>
          </w:tcPr>
          <w:p w14:paraId="1C5300CD">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项目</w:t>
            </w:r>
          </w:p>
        </w:tc>
        <w:tc>
          <w:tcPr>
            <w:tcW w:w="2359" w:type="dxa"/>
            <w:shd w:val="clear" w:color="auto" w:fill="FFFFFF"/>
            <w:vAlign w:val="center"/>
          </w:tcPr>
          <w:p w14:paraId="01C34012">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标准（质量要求）</w:t>
            </w:r>
          </w:p>
        </w:tc>
        <w:tc>
          <w:tcPr>
            <w:tcW w:w="1812" w:type="dxa"/>
            <w:shd w:val="clear" w:color="auto" w:fill="FFFFFF"/>
            <w:vAlign w:val="center"/>
          </w:tcPr>
          <w:p w14:paraId="3AF547E4">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频次</w:t>
            </w:r>
          </w:p>
        </w:tc>
        <w:tc>
          <w:tcPr>
            <w:tcW w:w="2724" w:type="dxa"/>
            <w:shd w:val="clear" w:color="auto" w:fill="FFFFFF"/>
            <w:vAlign w:val="center"/>
          </w:tcPr>
          <w:p w14:paraId="7DDF0188">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注意事项</w:t>
            </w:r>
          </w:p>
        </w:tc>
      </w:tr>
      <w:tr w14:paraId="27BA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66" w:hRule="exact"/>
          <w:jc w:val="center"/>
        </w:trPr>
        <w:tc>
          <w:tcPr>
            <w:tcW w:w="1039" w:type="dxa"/>
            <w:shd w:val="clear" w:color="auto" w:fill="FFFFFF"/>
            <w:vAlign w:val="center"/>
          </w:tcPr>
          <w:p w14:paraId="125AD7C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地面</w:t>
            </w:r>
          </w:p>
        </w:tc>
        <w:tc>
          <w:tcPr>
            <w:tcW w:w="2359" w:type="dxa"/>
            <w:shd w:val="clear" w:color="auto" w:fill="FFFFFF"/>
            <w:vAlign w:val="center"/>
          </w:tcPr>
          <w:p w14:paraId="54F15A3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无浮灰、水迹、杂物、 鞋印及污迹</w:t>
            </w:r>
          </w:p>
        </w:tc>
        <w:tc>
          <w:tcPr>
            <w:tcW w:w="1812" w:type="dxa"/>
            <w:shd w:val="clear" w:color="auto" w:fill="FFFFFF"/>
            <w:vAlign w:val="center"/>
          </w:tcPr>
          <w:p w14:paraId="54EB51B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每小时一次</w:t>
            </w:r>
          </w:p>
          <w:p w14:paraId="53E6C21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随脏随拖</w:t>
            </w:r>
          </w:p>
        </w:tc>
        <w:tc>
          <w:tcPr>
            <w:tcW w:w="2724" w:type="dxa"/>
            <w:shd w:val="clear" w:color="auto" w:fill="FFFFFF"/>
            <w:vAlign w:val="center"/>
          </w:tcPr>
          <w:p w14:paraId="2D07671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注意马桶后及脸盆下的地面。</w:t>
            </w:r>
          </w:p>
        </w:tc>
      </w:tr>
      <w:tr w14:paraId="49FC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25" w:hRule="exact"/>
          <w:jc w:val="center"/>
        </w:trPr>
        <w:tc>
          <w:tcPr>
            <w:tcW w:w="1039" w:type="dxa"/>
            <w:shd w:val="clear" w:color="auto" w:fill="FFFFFF"/>
            <w:vAlign w:val="center"/>
          </w:tcPr>
          <w:p w14:paraId="36F0216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墙壁瓷砖</w:t>
            </w:r>
          </w:p>
        </w:tc>
        <w:tc>
          <w:tcPr>
            <w:tcW w:w="2359" w:type="dxa"/>
            <w:shd w:val="clear" w:color="auto" w:fill="FFFFFF"/>
            <w:vAlign w:val="center"/>
          </w:tcPr>
          <w:p w14:paraId="53AE914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无灰尘、水迹、皂 迹，瓷砖缝隙处洁白， 无脱落</w:t>
            </w:r>
          </w:p>
        </w:tc>
        <w:tc>
          <w:tcPr>
            <w:tcW w:w="1812" w:type="dxa"/>
            <w:shd w:val="clear" w:color="auto" w:fill="FFFFFF"/>
            <w:vAlign w:val="center"/>
          </w:tcPr>
          <w:p w14:paraId="0B3C09A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每天上午一次</w:t>
            </w:r>
          </w:p>
        </w:tc>
        <w:tc>
          <w:tcPr>
            <w:tcW w:w="2724" w:type="dxa"/>
            <w:shd w:val="clear" w:color="auto" w:fill="FFFFFF"/>
            <w:vAlign w:val="center"/>
          </w:tcPr>
          <w:p w14:paraId="450DCB7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先用牙刷蘸清洁剂，先刷洗缝隙， 再按程序操作。</w:t>
            </w:r>
          </w:p>
        </w:tc>
      </w:tr>
      <w:tr w14:paraId="7CE8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7" w:hRule="exact"/>
          <w:jc w:val="center"/>
        </w:trPr>
        <w:tc>
          <w:tcPr>
            <w:tcW w:w="1039" w:type="dxa"/>
            <w:shd w:val="clear" w:color="auto" w:fill="FFFFFF"/>
            <w:vAlign w:val="center"/>
          </w:tcPr>
          <w:p w14:paraId="16B927A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洗手盆及台 面</w:t>
            </w:r>
          </w:p>
        </w:tc>
        <w:tc>
          <w:tcPr>
            <w:tcW w:w="2359" w:type="dxa"/>
            <w:shd w:val="clear" w:color="auto" w:fill="FFFFFF"/>
            <w:vAlign w:val="center"/>
          </w:tcPr>
          <w:p w14:paraId="4737291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无水迹、黄迹，洁净、 光亮、畅通</w:t>
            </w:r>
          </w:p>
        </w:tc>
        <w:tc>
          <w:tcPr>
            <w:tcW w:w="1812" w:type="dxa"/>
            <w:shd w:val="clear" w:color="auto" w:fill="FFFFFF"/>
            <w:vAlign w:val="center"/>
          </w:tcPr>
          <w:p w14:paraId="02635CE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每小时一次</w:t>
            </w:r>
          </w:p>
        </w:tc>
        <w:tc>
          <w:tcPr>
            <w:tcW w:w="2724" w:type="dxa"/>
            <w:shd w:val="clear" w:color="auto" w:fill="FFFFFF"/>
            <w:vAlign w:val="center"/>
          </w:tcPr>
          <w:p w14:paraId="6FBE0D0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不可遗漏台面下的弯头。</w:t>
            </w:r>
          </w:p>
        </w:tc>
      </w:tr>
      <w:tr w14:paraId="17AF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97" w:hRule="exact"/>
          <w:jc w:val="center"/>
        </w:trPr>
        <w:tc>
          <w:tcPr>
            <w:tcW w:w="1039" w:type="dxa"/>
            <w:shd w:val="clear" w:color="auto" w:fill="FFFFFF"/>
            <w:vAlign w:val="center"/>
          </w:tcPr>
          <w:p w14:paraId="21506DB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镜面、镜框、 镜灯</w:t>
            </w:r>
          </w:p>
        </w:tc>
        <w:tc>
          <w:tcPr>
            <w:tcW w:w="2359" w:type="dxa"/>
            <w:shd w:val="clear" w:color="auto" w:fill="FFFFFF"/>
            <w:vAlign w:val="center"/>
          </w:tcPr>
          <w:p w14:paraId="6872BED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无灰尘、水迹、锈迹， 镜面上无顽垢</w:t>
            </w:r>
          </w:p>
        </w:tc>
        <w:tc>
          <w:tcPr>
            <w:tcW w:w="1812" w:type="dxa"/>
            <w:shd w:val="clear" w:color="auto" w:fill="FFFFFF"/>
            <w:vAlign w:val="center"/>
          </w:tcPr>
          <w:p w14:paraId="7BB2CBD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每天上午一次</w:t>
            </w:r>
          </w:p>
        </w:tc>
        <w:tc>
          <w:tcPr>
            <w:tcW w:w="2724" w:type="dxa"/>
            <w:shd w:val="clear" w:color="auto" w:fill="FFFFFF"/>
            <w:vAlign w:val="center"/>
          </w:tcPr>
          <w:p w14:paraId="19B1294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玻璃不能擦花。</w:t>
            </w:r>
          </w:p>
        </w:tc>
      </w:tr>
      <w:tr w14:paraId="2BAA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85" w:hRule="exact"/>
          <w:jc w:val="center"/>
        </w:trPr>
        <w:tc>
          <w:tcPr>
            <w:tcW w:w="1039" w:type="dxa"/>
            <w:shd w:val="clear" w:color="auto" w:fill="FFFFFF"/>
            <w:vAlign w:val="center"/>
          </w:tcPr>
          <w:p w14:paraId="2E97689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龙头、挂 钩、下水弯 头、开关、扶 手等</w:t>
            </w:r>
          </w:p>
        </w:tc>
        <w:tc>
          <w:tcPr>
            <w:tcW w:w="2359" w:type="dxa"/>
            <w:shd w:val="clear" w:color="auto" w:fill="FFFFFF"/>
            <w:vAlign w:val="center"/>
          </w:tcPr>
          <w:p w14:paraId="0AD4DBD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光亮、无斑迹</w:t>
            </w:r>
          </w:p>
        </w:tc>
        <w:tc>
          <w:tcPr>
            <w:tcW w:w="1812" w:type="dxa"/>
            <w:shd w:val="clear" w:color="auto" w:fill="FFFFFF"/>
            <w:vAlign w:val="center"/>
          </w:tcPr>
          <w:p w14:paraId="2462D38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每2小时一次</w:t>
            </w:r>
          </w:p>
        </w:tc>
        <w:tc>
          <w:tcPr>
            <w:tcW w:w="2724" w:type="dxa"/>
            <w:shd w:val="clear" w:color="auto" w:fill="FFFFFF"/>
            <w:vAlign w:val="center"/>
          </w:tcPr>
          <w:p w14:paraId="3CEE275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抹布要分开使用。</w:t>
            </w:r>
          </w:p>
        </w:tc>
      </w:tr>
      <w:tr w14:paraId="1236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65" w:hRule="exact"/>
          <w:jc w:val="center"/>
        </w:trPr>
        <w:tc>
          <w:tcPr>
            <w:tcW w:w="1039" w:type="dxa"/>
            <w:vMerge w:val="restart"/>
            <w:shd w:val="clear" w:color="auto" w:fill="FFFFFF"/>
            <w:vAlign w:val="center"/>
          </w:tcPr>
          <w:p w14:paraId="10E3E53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小便池、抽水 马桶及水箱</w:t>
            </w:r>
          </w:p>
        </w:tc>
        <w:tc>
          <w:tcPr>
            <w:tcW w:w="2359" w:type="dxa"/>
            <w:shd w:val="clear" w:color="auto" w:fill="FFFFFF"/>
            <w:vAlign w:val="center"/>
          </w:tcPr>
          <w:p w14:paraId="2EB375B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无水痕、锈迹、斑迹、 毛发、尿碱</w:t>
            </w:r>
          </w:p>
        </w:tc>
        <w:tc>
          <w:tcPr>
            <w:tcW w:w="1812" w:type="dxa"/>
            <w:shd w:val="clear" w:color="auto" w:fill="FFFFFF"/>
            <w:vAlign w:val="center"/>
          </w:tcPr>
          <w:p w14:paraId="310B4AC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每天三次</w:t>
            </w:r>
          </w:p>
        </w:tc>
        <w:tc>
          <w:tcPr>
            <w:tcW w:w="2724" w:type="dxa"/>
            <w:shd w:val="clear" w:color="auto" w:fill="FFFFFF"/>
            <w:vAlign w:val="center"/>
          </w:tcPr>
          <w:p w14:paraId="33F1FA7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马桶胶圈、出水口、溢水口、水 阀、控制器、四周瓷砖的卫生不 能忽略。</w:t>
            </w:r>
          </w:p>
        </w:tc>
      </w:tr>
      <w:tr w14:paraId="520B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99" w:hRule="exact"/>
          <w:jc w:val="center"/>
        </w:trPr>
        <w:tc>
          <w:tcPr>
            <w:tcW w:w="1039" w:type="dxa"/>
            <w:vMerge w:val="continue"/>
            <w:shd w:val="clear" w:color="auto" w:fill="FFFFFF"/>
            <w:vAlign w:val="center"/>
          </w:tcPr>
          <w:p w14:paraId="3D8B1D6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c>
          <w:tcPr>
            <w:tcW w:w="2359" w:type="dxa"/>
            <w:shd w:val="clear" w:color="auto" w:fill="FFFFFF"/>
            <w:vAlign w:val="center"/>
          </w:tcPr>
          <w:p w14:paraId="5FD4074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无灰尘、无黄迹、无 沉淀物</w:t>
            </w:r>
          </w:p>
        </w:tc>
        <w:tc>
          <w:tcPr>
            <w:tcW w:w="1812" w:type="dxa"/>
            <w:shd w:val="clear" w:color="auto" w:fill="FFFFFF"/>
            <w:vAlign w:val="center"/>
          </w:tcPr>
          <w:p w14:paraId="739A964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每天上、下午各一次</w:t>
            </w:r>
          </w:p>
        </w:tc>
        <w:tc>
          <w:tcPr>
            <w:tcW w:w="2724" w:type="dxa"/>
            <w:shd w:val="clear" w:color="auto" w:fill="FFFFFF"/>
            <w:vAlign w:val="center"/>
          </w:tcPr>
          <w:p w14:paraId="14C97CB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水箱盖一定要放在安全的地 方，防止打烂；</w:t>
            </w:r>
          </w:p>
          <w:p w14:paraId="7AB57CB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刷洗时要小心，避免损坏内部 构件。</w:t>
            </w:r>
          </w:p>
        </w:tc>
      </w:tr>
      <w:tr w14:paraId="64C9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13" w:hRule="exact"/>
          <w:jc w:val="center"/>
        </w:trPr>
        <w:tc>
          <w:tcPr>
            <w:tcW w:w="1039" w:type="dxa"/>
            <w:shd w:val="clear" w:color="auto" w:fill="FFFFFF"/>
            <w:vAlign w:val="center"/>
          </w:tcPr>
          <w:p w14:paraId="46DCDB4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垃圾桶</w:t>
            </w:r>
          </w:p>
        </w:tc>
        <w:tc>
          <w:tcPr>
            <w:tcW w:w="2359" w:type="dxa"/>
            <w:shd w:val="clear" w:color="auto" w:fill="FFFFFF"/>
            <w:vAlign w:val="center"/>
          </w:tcPr>
          <w:p w14:paraId="3064BDF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光亮、无污迹、无水 迹，周边无垃圾</w:t>
            </w:r>
          </w:p>
        </w:tc>
        <w:tc>
          <w:tcPr>
            <w:tcW w:w="1812" w:type="dxa"/>
            <w:shd w:val="clear" w:color="auto" w:fill="FFFFFF"/>
            <w:vAlign w:val="center"/>
          </w:tcPr>
          <w:p w14:paraId="5ED95DF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每天三次</w:t>
            </w:r>
          </w:p>
          <w:p w14:paraId="675B537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随满随倒</w:t>
            </w:r>
          </w:p>
        </w:tc>
        <w:tc>
          <w:tcPr>
            <w:tcW w:w="2724" w:type="dxa"/>
            <w:shd w:val="clear" w:color="auto" w:fill="FFFFFF"/>
            <w:vAlign w:val="center"/>
          </w:tcPr>
          <w:p w14:paraId="7AD75CD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垃圾袋平整地套在垃圾桶上，与 垃圾桶之间无缝隙，翻边约5厘 米，不能漫溢。</w:t>
            </w:r>
          </w:p>
        </w:tc>
      </w:tr>
      <w:tr w14:paraId="42D1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45" w:hRule="exact"/>
          <w:jc w:val="center"/>
        </w:trPr>
        <w:tc>
          <w:tcPr>
            <w:tcW w:w="1039" w:type="dxa"/>
            <w:shd w:val="clear" w:color="auto" w:fill="FFFFFF"/>
            <w:vAlign w:val="center"/>
          </w:tcPr>
          <w:p w14:paraId="121EE6D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门（面、锁 把手、锁眼、 碰头）、饺链</w:t>
            </w:r>
          </w:p>
        </w:tc>
        <w:tc>
          <w:tcPr>
            <w:tcW w:w="2359" w:type="dxa"/>
            <w:shd w:val="clear" w:color="auto" w:fill="FFFFFF"/>
            <w:vAlign w:val="center"/>
          </w:tcPr>
          <w:p w14:paraId="0A99FD2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无浮灰、手印、斑迹</w:t>
            </w:r>
          </w:p>
        </w:tc>
        <w:tc>
          <w:tcPr>
            <w:tcW w:w="1812" w:type="dxa"/>
            <w:shd w:val="clear" w:color="auto" w:fill="FFFFFF"/>
            <w:vAlign w:val="center"/>
          </w:tcPr>
          <w:p w14:paraId="36BF6D3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每天上午一次</w:t>
            </w:r>
          </w:p>
        </w:tc>
        <w:tc>
          <w:tcPr>
            <w:tcW w:w="2724" w:type="dxa"/>
            <w:shd w:val="clear" w:color="auto" w:fill="FFFFFF"/>
            <w:vAlign w:val="center"/>
          </w:tcPr>
          <w:p w14:paraId="481F5C7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用专用工具包抹布清洁锁眼、 校链、碰头，定时给钗链上矿物 油，保洁保养每周一次。</w:t>
            </w:r>
          </w:p>
        </w:tc>
      </w:tr>
      <w:tr w14:paraId="0ED2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18" w:hRule="exact"/>
          <w:jc w:val="center"/>
        </w:trPr>
        <w:tc>
          <w:tcPr>
            <w:tcW w:w="1039" w:type="dxa"/>
            <w:shd w:val="clear" w:color="auto" w:fill="FFFFFF"/>
            <w:vAlign w:val="center"/>
          </w:tcPr>
          <w:p w14:paraId="7E3182F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门槛、防滑 垫、地漏</w:t>
            </w:r>
          </w:p>
        </w:tc>
        <w:tc>
          <w:tcPr>
            <w:tcW w:w="2359" w:type="dxa"/>
            <w:shd w:val="clear" w:color="auto" w:fill="FFFFFF"/>
            <w:vAlign w:val="center"/>
          </w:tcPr>
          <w:p w14:paraId="6A3EC25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无头发、纱头，无 灰尘、纸屑，无污迹、 水迹</w:t>
            </w:r>
          </w:p>
        </w:tc>
        <w:tc>
          <w:tcPr>
            <w:tcW w:w="1812" w:type="dxa"/>
            <w:shd w:val="clear" w:color="auto" w:fill="FFFFFF"/>
            <w:vAlign w:val="center"/>
          </w:tcPr>
          <w:p w14:paraId="0C4499E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每天上、下午一次</w:t>
            </w:r>
          </w:p>
        </w:tc>
        <w:tc>
          <w:tcPr>
            <w:tcW w:w="2724" w:type="dxa"/>
            <w:shd w:val="clear" w:color="auto" w:fill="FFFFFF"/>
            <w:vAlign w:val="center"/>
          </w:tcPr>
          <w:p w14:paraId="3DD4FE9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地漏清洁后应盖在地漏孔上，不 可有积水。</w:t>
            </w:r>
          </w:p>
        </w:tc>
      </w:tr>
      <w:tr w14:paraId="51A5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3" w:hRule="exact"/>
          <w:jc w:val="center"/>
        </w:trPr>
        <w:tc>
          <w:tcPr>
            <w:tcW w:w="1039" w:type="dxa"/>
            <w:shd w:val="clear" w:color="auto" w:fill="FFFFFF"/>
            <w:vAlign w:val="center"/>
          </w:tcPr>
          <w:p w14:paraId="6B5166E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风口及风口 挡板</w:t>
            </w:r>
          </w:p>
        </w:tc>
        <w:tc>
          <w:tcPr>
            <w:tcW w:w="2359" w:type="dxa"/>
            <w:shd w:val="clear" w:color="auto" w:fill="FFFFFF"/>
            <w:vAlign w:val="center"/>
          </w:tcPr>
          <w:p w14:paraId="767D8ED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无灰尘、无印迹</w:t>
            </w:r>
          </w:p>
        </w:tc>
        <w:tc>
          <w:tcPr>
            <w:tcW w:w="1812" w:type="dxa"/>
            <w:shd w:val="clear" w:color="auto" w:fill="FFFFFF"/>
            <w:vAlign w:val="center"/>
          </w:tcPr>
          <w:p w14:paraId="04ADBB0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724" w:type="dxa"/>
            <w:shd w:val="clear" w:color="auto" w:fill="FFFFFF"/>
            <w:vAlign w:val="center"/>
          </w:tcPr>
          <w:p w14:paraId="29146D0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风口四周墙壁不可有污迹，不可 站在病人用椅上。</w:t>
            </w:r>
          </w:p>
        </w:tc>
      </w:tr>
      <w:tr w14:paraId="632A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5" w:hRule="exact"/>
          <w:jc w:val="center"/>
        </w:trPr>
        <w:tc>
          <w:tcPr>
            <w:tcW w:w="1039" w:type="dxa"/>
            <w:shd w:val="clear" w:color="auto" w:fill="FFFFFF"/>
            <w:vAlign w:val="center"/>
          </w:tcPr>
          <w:p w14:paraId="6195467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房顶</w:t>
            </w:r>
          </w:p>
        </w:tc>
        <w:tc>
          <w:tcPr>
            <w:tcW w:w="2359" w:type="dxa"/>
            <w:shd w:val="clear" w:color="auto" w:fill="FFFFFF"/>
            <w:vAlign w:val="center"/>
          </w:tcPr>
          <w:p w14:paraId="41FE6E2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无斑迹、无吊灰、无 蜘蛛网</w:t>
            </w:r>
          </w:p>
        </w:tc>
        <w:tc>
          <w:tcPr>
            <w:tcW w:w="1812" w:type="dxa"/>
            <w:shd w:val="clear" w:color="auto" w:fill="FFFFFF"/>
            <w:vAlign w:val="center"/>
          </w:tcPr>
          <w:p w14:paraId="06C2FDD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724" w:type="dxa"/>
            <w:shd w:val="clear" w:color="auto" w:fill="FFFFFF"/>
            <w:vAlign w:val="center"/>
          </w:tcPr>
          <w:p w14:paraId="67E76D5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防止灰尘扬起。</w:t>
            </w:r>
          </w:p>
        </w:tc>
      </w:tr>
      <w:tr w14:paraId="7D72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73" w:hRule="exact"/>
          <w:jc w:val="center"/>
        </w:trPr>
        <w:tc>
          <w:tcPr>
            <w:tcW w:w="1039" w:type="dxa"/>
            <w:shd w:val="clear" w:color="auto" w:fill="FFFFFF"/>
            <w:vAlign w:val="center"/>
          </w:tcPr>
          <w:p w14:paraId="01ED64A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顶灯及罩</w:t>
            </w:r>
          </w:p>
        </w:tc>
        <w:tc>
          <w:tcPr>
            <w:tcW w:w="2359" w:type="dxa"/>
            <w:shd w:val="clear" w:color="auto" w:fill="FFFFFF"/>
            <w:vAlign w:val="center"/>
          </w:tcPr>
          <w:p w14:paraId="5F9B96E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w:t>
            </w:r>
          </w:p>
        </w:tc>
        <w:tc>
          <w:tcPr>
            <w:tcW w:w="1812" w:type="dxa"/>
            <w:shd w:val="clear" w:color="auto" w:fill="FFFFFF"/>
            <w:vAlign w:val="center"/>
          </w:tcPr>
          <w:p w14:paraId="4ED1EBB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724" w:type="dxa"/>
            <w:shd w:val="clear" w:color="auto" w:fill="FFFFFF"/>
            <w:vAlign w:val="center"/>
          </w:tcPr>
          <w:p w14:paraId="2356622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擦时不要把灯罩周围墙壁碰有印 迹。</w:t>
            </w:r>
          </w:p>
        </w:tc>
      </w:tr>
      <w:tr w14:paraId="2AAE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0" w:hRule="exact"/>
          <w:jc w:val="center"/>
        </w:trPr>
        <w:tc>
          <w:tcPr>
            <w:tcW w:w="1039" w:type="dxa"/>
            <w:shd w:val="clear" w:color="auto" w:fill="FFFFFF"/>
            <w:vAlign w:val="center"/>
          </w:tcPr>
          <w:p w14:paraId="70DE256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卫生间空气</w:t>
            </w:r>
          </w:p>
        </w:tc>
        <w:tc>
          <w:tcPr>
            <w:tcW w:w="2359" w:type="dxa"/>
            <w:shd w:val="clear" w:color="auto" w:fill="FFFFFF"/>
            <w:vAlign w:val="center"/>
          </w:tcPr>
          <w:p w14:paraId="4B4F316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无异味、空气清新</w:t>
            </w:r>
          </w:p>
        </w:tc>
        <w:tc>
          <w:tcPr>
            <w:tcW w:w="1812" w:type="dxa"/>
            <w:shd w:val="clear" w:color="auto" w:fill="FFFFFF"/>
            <w:vAlign w:val="center"/>
          </w:tcPr>
          <w:p w14:paraId="0580D73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必要时</w:t>
            </w:r>
          </w:p>
        </w:tc>
        <w:tc>
          <w:tcPr>
            <w:tcW w:w="2724" w:type="dxa"/>
            <w:shd w:val="clear" w:color="auto" w:fill="FFFFFF"/>
            <w:vAlign w:val="center"/>
          </w:tcPr>
          <w:p w14:paraId="15485A4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71EC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88" w:hRule="exact"/>
          <w:jc w:val="center"/>
        </w:trPr>
        <w:tc>
          <w:tcPr>
            <w:tcW w:w="1039" w:type="dxa"/>
            <w:shd w:val="clear" w:color="auto" w:fill="FFFFFF"/>
            <w:vAlign w:val="center"/>
          </w:tcPr>
          <w:p w14:paraId="326F5C5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玻璃窗、框、 窗台</w:t>
            </w:r>
          </w:p>
        </w:tc>
        <w:tc>
          <w:tcPr>
            <w:tcW w:w="2359" w:type="dxa"/>
            <w:shd w:val="clear" w:color="auto" w:fill="FFFFFF"/>
            <w:vAlign w:val="center"/>
          </w:tcPr>
          <w:p w14:paraId="7C508E5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窗框无灰尘、玻璃明 亮无污迹</w:t>
            </w:r>
          </w:p>
        </w:tc>
        <w:tc>
          <w:tcPr>
            <w:tcW w:w="1812" w:type="dxa"/>
            <w:shd w:val="clear" w:color="auto" w:fill="FFFFFF"/>
            <w:vAlign w:val="center"/>
          </w:tcPr>
          <w:p w14:paraId="6CEF0E1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玻璃每周一次</w:t>
            </w:r>
          </w:p>
          <w:p w14:paraId="655BE20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窗框、台每天一次</w:t>
            </w:r>
          </w:p>
        </w:tc>
        <w:tc>
          <w:tcPr>
            <w:tcW w:w="2724" w:type="dxa"/>
            <w:shd w:val="clear" w:color="auto" w:fill="FFFFFF"/>
            <w:vAlign w:val="center"/>
          </w:tcPr>
          <w:p w14:paraId="5BF8F9A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2EDD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39" w:hRule="exact"/>
          <w:jc w:val="center"/>
        </w:trPr>
        <w:tc>
          <w:tcPr>
            <w:tcW w:w="1039" w:type="dxa"/>
            <w:shd w:val="clear" w:color="auto" w:fill="FFFFFF"/>
            <w:vAlign w:val="center"/>
          </w:tcPr>
          <w:p w14:paraId="7A98424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便池隔板</w:t>
            </w:r>
          </w:p>
        </w:tc>
        <w:tc>
          <w:tcPr>
            <w:tcW w:w="2359" w:type="dxa"/>
            <w:shd w:val="clear" w:color="auto" w:fill="FFFFFF"/>
            <w:vAlign w:val="center"/>
          </w:tcPr>
          <w:p w14:paraId="1B92DCA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无灰尘、污迹、水迹、 鞋印</w:t>
            </w:r>
          </w:p>
        </w:tc>
        <w:tc>
          <w:tcPr>
            <w:tcW w:w="1812" w:type="dxa"/>
            <w:shd w:val="clear" w:color="auto" w:fill="FFFFFF"/>
            <w:vAlign w:val="center"/>
          </w:tcPr>
          <w:p w14:paraId="45A864D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每天二次</w:t>
            </w:r>
          </w:p>
          <w:p w14:paraId="205638D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随脏随擦</w:t>
            </w:r>
          </w:p>
        </w:tc>
        <w:tc>
          <w:tcPr>
            <w:tcW w:w="2724" w:type="dxa"/>
            <w:shd w:val="clear" w:color="auto" w:fill="FFFFFF"/>
            <w:vAlign w:val="center"/>
          </w:tcPr>
          <w:p w14:paraId="3BEB8D9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bl>
    <w:p w14:paraId="4D8551B6">
      <w:pPr>
        <w:pageBreakBefore w:val="0"/>
        <w:numPr>
          <w:ilvl w:val="0"/>
          <w:numId w:val="0"/>
        </w:numPr>
        <w:kinsoku/>
        <w:wordWrap/>
        <w:overflowPunct/>
        <w:topLinePunct w:val="0"/>
        <w:autoSpaceDE/>
        <w:autoSpaceDN/>
        <w:bidi w:val="0"/>
        <w:adjustRightInd/>
        <w:spacing w:line="560" w:lineRule="exact"/>
        <w:ind w:leftChars="0" w:firstLine="723" w:firstLineChars="300"/>
        <w:rPr>
          <w:rFonts w:hint="eastAsia" w:ascii="仿宋" w:hAnsi="仿宋" w:eastAsia="仿宋" w:cs="仿宋"/>
          <w:color w:val="auto"/>
          <w:sz w:val="24"/>
          <w:szCs w:val="24"/>
        </w:rPr>
      </w:pPr>
      <w:r>
        <w:rPr>
          <w:rFonts w:hint="eastAsia" w:ascii="仿宋" w:hAnsi="仿宋" w:eastAsia="仿宋" w:cs="仿宋"/>
          <w:b/>
          <w:bCs/>
          <w:color w:val="auto"/>
          <w:sz w:val="24"/>
          <w:szCs w:val="24"/>
          <w:lang w:val="en-US" w:eastAsia="zh-CN"/>
        </w:rPr>
        <w:t>7.</w:t>
      </w:r>
      <w:r>
        <w:rPr>
          <w:rFonts w:hint="eastAsia" w:ascii="仿宋" w:hAnsi="仿宋" w:eastAsia="仿宋" w:cs="仿宋"/>
          <w:b/>
          <w:bCs/>
          <w:color w:val="auto"/>
          <w:sz w:val="24"/>
          <w:szCs w:val="24"/>
        </w:rPr>
        <w:t>公共医疗用房日常保洁项目要求</w:t>
      </w:r>
    </w:p>
    <w:tbl>
      <w:tblPr>
        <w:tblStyle w:val="47"/>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314"/>
        <w:gridCol w:w="2981"/>
        <w:gridCol w:w="1692"/>
        <w:gridCol w:w="2607"/>
      </w:tblGrid>
      <w:tr w14:paraId="6EF0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1" w:hRule="exact"/>
          <w:jc w:val="center"/>
        </w:trPr>
        <w:tc>
          <w:tcPr>
            <w:tcW w:w="1314" w:type="dxa"/>
            <w:shd w:val="clear" w:color="auto" w:fill="FFFFFF"/>
            <w:vAlign w:val="bottom"/>
          </w:tcPr>
          <w:p w14:paraId="6EB8F747">
            <w:pPr>
              <w:pStyle w:val="125"/>
              <w:pageBreakBefore w:val="0"/>
              <w:kinsoku/>
              <w:wordWrap/>
              <w:overflowPunct/>
              <w:topLinePunct w:val="0"/>
              <w:autoSpaceDE/>
              <w:autoSpaceDN/>
              <w:bidi w:val="0"/>
              <w:adjustRightInd/>
              <w:spacing w:line="560" w:lineRule="exact"/>
              <w:ind w:firstLine="760"/>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项目</w:t>
            </w:r>
          </w:p>
        </w:tc>
        <w:tc>
          <w:tcPr>
            <w:tcW w:w="2981" w:type="dxa"/>
            <w:shd w:val="clear" w:color="auto" w:fill="FFFFFF"/>
            <w:vAlign w:val="bottom"/>
          </w:tcPr>
          <w:p w14:paraId="5B44352B">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标准（质量要求）</w:t>
            </w:r>
          </w:p>
        </w:tc>
        <w:tc>
          <w:tcPr>
            <w:tcW w:w="1692" w:type="dxa"/>
            <w:shd w:val="clear" w:color="auto" w:fill="FFFFFF"/>
            <w:vAlign w:val="bottom"/>
          </w:tcPr>
          <w:p w14:paraId="5B9443C3">
            <w:pPr>
              <w:pStyle w:val="125"/>
              <w:pageBreakBefore w:val="0"/>
              <w:kinsoku/>
              <w:wordWrap/>
              <w:overflowPunct/>
              <w:topLinePunct w:val="0"/>
              <w:autoSpaceDE/>
              <w:autoSpaceDN/>
              <w:bidi w:val="0"/>
              <w:adjustRightInd/>
              <w:spacing w:line="560" w:lineRule="exact"/>
              <w:ind w:firstLine="660"/>
              <w:rPr>
                <w:rFonts w:hint="eastAsia" w:ascii="仿宋" w:hAnsi="仿宋" w:eastAsia="仿宋" w:cs="仿宋"/>
                <w:b/>
                <w:bCs/>
                <w:color w:val="auto"/>
                <w:sz w:val="24"/>
                <w:szCs w:val="24"/>
              </w:rPr>
            </w:pPr>
            <w:r>
              <w:rPr>
                <w:rFonts w:hint="eastAsia" w:ascii="仿宋" w:hAnsi="仿宋" w:eastAsia="仿宋" w:cs="仿宋"/>
                <w:b/>
                <w:bCs/>
                <w:color w:val="auto"/>
                <w:sz w:val="24"/>
                <w:szCs w:val="24"/>
              </w:rPr>
              <w:t>频次</w:t>
            </w:r>
          </w:p>
        </w:tc>
        <w:tc>
          <w:tcPr>
            <w:tcW w:w="2607" w:type="dxa"/>
            <w:shd w:val="clear" w:color="auto" w:fill="FFFFFF"/>
            <w:vAlign w:val="bottom"/>
          </w:tcPr>
          <w:p w14:paraId="0C63C816">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注意事项</w:t>
            </w:r>
          </w:p>
        </w:tc>
      </w:tr>
      <w:tr w14:paraId="1DA9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81" w:hRule="exact"/>
          <w:jc w:val="center"/>
        </w:trPr>
        <w:tc>
          <w:tcPr>
            <w:tcW w:w="1314" w:type="dxa"/>
            <w:shd w:val="clear" w:color="auto" w:fill="FFFFFF"/>
            <w:vAlign w:val="center"/>
          </w:tcPr>
          <w:p w14:paraId="4821FC75">
            <w:pPr>
              <w:pStyle w:val="125"/>
              <w:pageBreakBefore w:val="0"/>
              <w:kinsoku/>
              <w:wordWrap/>
              <w:overflowPunct/>
              <w:topLinePunct w:val="0"/>
              <w:autoSpaceDE/>
              <w:autoSpaceDN/>
              <w:bidi w:val="0"/>
              <w:adjustRightInd/>
              <w:spacing w:line="560" w:lineRule="exact"/>
              <w:ind w:firstLine="180"/>
              <w:jc w:val="center"/>
              <w:rPr>
                <w:rFonts w:hint="eastAsia" w:ascii="仿宋" w:hAnsi="仿宋" w:eastAsia="仿宋" w:cs="仿宋"/>
                <w:color w:val="auto"/>
                <w:sz w:val="24"/>
                <w:szCs w:val="24"/>
              </w:rPr>
            </w:pPr>
            <w:r>
              <w:rPr>
                <w:rFonts w:hint="eastAsia" w:ascii="仿宋" w:hAnsi="仿宋" w:eastAsia="仿宋" w:cs="仿宋"/>
                <w:color w:val="auto"/>
                <w:sz w:val="24"/>
                <w:szCs w:val="24"/>
              </w:rPr>
              <w:t>门（面、框、把手）</w:t>
            </w:r>
          </w:p>
        </w:tc>
        <w:tc>
          <w:tcPr>
            <w:tcW w:w="2981" w:type="dxa"/>
            <w:shd w:val="clear" w:color="auto" w:fill="FFFFFF"/>
            <w:vAlign w:val="center"/>
          </w:tcPr>
          <w:p w14:paraId="61AFE651">
            <w:pPr>
              <w:pStyle w:val="125"/>
              <w:pageBreakBefore w:val="0"/>
              <w:kinsoku/>
              <w:wordWrap/>
              <w:overflowPunct/>
              <w:topLinePunct w:val="0"/>
              <w:autoSpaceDE/>
              <w:autoSpaceDN/>
              <w:bidi w:val="0"/>
              <w:adjustRightInd/>
              <w:spacing w:line="560" w:lineRule="exact"/>
              <w:ind w:firstLine="260"/>
              <w:jc w:val="left"/>
              <w:rPr>
                <w:rFonts w:hint="eastAsia" w:ascii="仿宋" w:hAnsi="仿宋" w:eastAsia="仿宋" w:cs="仿宋"/>
                <w:color w:val="auto"/>
                <w:sz w:val="24"/>
                <w:szCs w:val="24"/>
              </w:rPr>
            </w:pPr>
            <w:r>
              <w:rPr>
                <w:rFonts w:hint="eastAsia" w:ascii="仿宋" w:hAnsi="仿宋" w:eastAsia="仿宋" w:cs="仿宋"/>
                <w:color w:val="auto"/>
                <w:sz w:val="24"/>
                <w:szCs w:val="24"/>
              </w:rPr>
              <w:t>无浮灰、手印、斑迹，光亮</w:t>
            </w:r>
          </w:p>
        </w:tc>
        <w:tc>
          <w:tcPr>
            <w:tcW w:w="1692" w:type="dxa"/>
            <w:shd w:val="clear" w:color="auto" w:fill="FFFFFF"/>
            <w:vAlign w:val="center"/>
          </w:tcPr>
          <w:p w14:paraId="2FC6D7C9">
            <w:pPr>
              <w:pStyle w:val="125"/>
              <w:pageBreakBefore w:val="0"/>
              <w:kinsoku/>
              <w:wordWrap/>
              <w:overflowPunct/>
              <w:topLinePunct w:val="0"/>
              <w:autoSpaceDE/>
              <w:autoSpaceDN/>
              <w:bidi w:val="0"/>
              <w:adjustRightInd/>
              <w:spacing w:line="560" w:lineRule="exact"/>
              <w:ind w:firstLine="360"/>
              <w:rPr>
                <w:rFonts w:hint="eastAsia" w:ascii="仿宋" w:hAnsi="仿宋" w:eastAsia="仿宋" w:cs="仿宋"/>
                <w:color w:val="auto"/>
                <w:sz w:val="24"/>
                <w:szCs w:val="24"/>
              </w:rPr>
            </w:pPr>
            <w:r>
              <w:rPr>
                <w:rFonts w:hint="eastAsia" w:ascii="仿宋" w:hAnsi="仿宋" w:eastAsia="仿宋" w:cs="仿宋"/>
                <w:color w:val="auto"/>
                <w:sz w:val="24"/>
                <w:szCs w:val="24"/>
              </w:rPr>
              <w:t>每天上午一次</w:t>
            </w:r>
          </w:p>
        </w:tc>
        <w:tc>
          <w:tcPr>
            <w:tcW w:w="2607" w:type="dxa"/>
            <w:shd w:val="clear" w:color="auto" w:fill="FFFFFF"/>
            <w:vAlign w:val="bottom"/>
          </w:tcPr>
          <w:p w14:paraId="02470F6C">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防火通道图不可破损、脱 落</w:t>
            </w:r>
          </w:p>
        </w:tc>
      </w:tr>
      <w:tr w14:paraId="45CA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11" w:hRule="exact"/>
          <w:jc w:val="center"/>
        </w:trPr>
        <w:tc>
          <w:tcPr>
            <w:tcW w:w="1314" w:type="dxa"/>
            <w:shd w:val="clear" w:color="auto" w:fill="FFFFFF"/>
            <w:vAlign w:val="center"/>
          </w:tcPr>
          <w:p w14:paraId="2ED74782">
            <w:pPr>
              <w:pStyle w:val="125"/>
              <w:pageBreakBefore w:val="0"/>
              <w:kinsoku/>
              <w:wordWrap/>
              <w:overflowPunct/>
              <w:topLinePunct w:val="0"/>
              <w:autoSpaceDE/>
              <w:autoSpaceDN/>
              <w:bidi w:val="0"/>
              <w:adjustRightInd/>
              <w:spacing w:line="560" w:lineRule="exact"/>
              <w:ind w:left="180" w:firstLine="220"/>
              <w:jc w:val="center"/>
              <w:rPr>
                <w:rFonts w:hint="eastAsia" w:ascii="仿宋" w:hAnsi="仿宋" w:eastAsia="仿宋" w:cs="仿宋"/>
                <w:color w:val="auto"/>
                <w:sz w:val="24"/>
                <w:szCs w:val="24"/>
              </w:rPr>
            </w:pPr>
            <w:r>
              <w:rPr>
                <w:rFonts w:hint="eastAsia" w:ascii="仿宋" w:hAnsi="仿宋" w:eastAsia="仿宋" w:cs="仿宋"/>
                <w:color w:val="auto"/>
                <w:sz w:val="24"/>
                <w:szCs w:val="24"/>
              </w:rPr>
              <w:t>窗台、框、轨道、 玻璃</w:t>
            </w:r>
          </w:p>
        </w:tc>
        <w:tc>
          <w:tcPr>
            <w:tcW w:w="2981" w:type="dxa"/>
            <w:shd w:val="clear" w:color="auto" w:fill="FFFFFF"/>
            <w:vAlign w:val="center"/>
          </w:tcPr>
          <w:p w14:paraId="380EAB9C">
            <w:pPr>
              <w:pStyle w:val="125"/>
              <w:pageBreakBefore w:val="0"/>
              <w:kinsoku/>
              <w:wordWrap/>
              <w:overflowPunct/>
              <w:topLinePunct w:val="0"/>
              <w:autoSpaceDE/>
              <w:autoSpaceDN/>
              <w:bidi w:val="0"/>
              <w:adjustRightInd/>
              <w:spacing w:line="560" w:lineRule="exact"/>
              <w:ind w:firstLine="380"/>
              <w:jc w:val="left"/>
              <w:rPr>
                <w:rFonts w:hint="eastAsia" w:ascii="仿宋" w:hAnsi="仿宋" w:eastAsia="仿宋" w:cs="仿宋"/>
                <w:color w:val="auto"/>
                <w:sz w:val="24"/>
                <w:szCs w:val="24"/>
              </w:rPr>
            </w:pPr>
            <w:r>
              <w:rPr>
                <w:rFonts w:hint="eastAsia" w:ascii="仿宋" w:hAnsi="仿宋" w:eastAsia="仿宋" w:cs="仿宋"/>
                <w:color w:val="auto"/>
                <w:sz w:val="24"/>
                <w:szCs w:val="24"/>
              </w:rPr>
              <w:t>玻璃干净、明亮，无灰尘、 污迹，窗框无破损，窗扣完好</w:t>
            </w:r>
          </w:p>
        </w:tc>
        <w:tc>
          <w:tcPr>
            <w:tcW w:w="1692" w:type="dxa"/>
            <w:shd w:val="clear" w:color="auto" w:fill="FFFFFF"/>
            <w:vAlign w:val="bottom"/>
          </w:tcPr>
          <w:p w14:paraId="6ED10DE0">
            <w:pPr>
              <w:pStyle w:val="125"/>
              <w:pageBreakBefore w:val="0"/>
              <w:kinsoku/>
              <w:wordWrap/>
              <w:overflowPunct/>
              <w:topLinePunct w:val="0"/>
              <w:autoSpaceDE/>
              <w:autoSpaceDN/>
              <w:bidi w:val="0"/>
              <w:adjustRightInd/>
              <w:spacing w:line="5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窗台、窗框每 天一次；轨道、 玻璃每月一次。</w:t>
            </w:r>
          </w:p>
        </w:tc>
        <w:tc>
          <w:tcPr>
            <w:tcW w:w="2607" w:type="dxa"/>
            <w:shd w:val="clear" w:color="auto" w:fill="FFFFFF"/>
            <w:vAlign w:val="bottom"/>
          </w:tcPr>
          <w:p w14:paraId="2631F9D0">
            <w:pPr>
              <w:pStyle w:val="125"/>
              <w:pageBreakBefore w:val="0"/>
              <w:tabs>
                <w:tab w:val="left" w:pos="575"/>
              </w:tabs>
              <w:kinsoku/>
              <w:wordWrap/>
              <w:overflowPunct/>
              <w:topLinePunct w:val="0"/>
              <w:autoSpaceDE/>
              <w:autoSpaceDN/>
              <w:bidi w:val="0"/>
              <w:adjustRightInd/>
              <w:spacing w:line="560" w:lineRule="exact"/>
              <w:ind w:firstLine="280"/>
              <w:jc w:val="left"/>
              <w:rPr>
                <w:rFonts w:hint="eastAsia" w:ascii="仿宋" w:hAnsi="仿宋" w:eastAsia="仿宋" w:cs="仿宋"/>
                <w:color w:val="auto"/>
                <w:sz w:val="24"/>
                <w:szCs w:val="24"/>
              </w:rPr>
            </w:pPr>
            <w:r>
              <w:rPr>
                <w:rFonts w:hint="eastAsia" w:ascii="仿宋" w:hAnsi="仿宋" w:eastAsia="仿宋" w:cs="仿宋"/>
                <w:color w:val="auto"/>
                <w:sz w:val="24"/>
                <w:szCs w:val="24"/>
              </w:rPr>
              <w:t>1、污水不可滴落楼下</w:t>
            </w:r>
          </w:p>
          <w:p w14:paraId="39607A1C">
            <w:pPr>
              <w:pStyle w:val="125"/>
              <w:pageBreakBefore w:val="0"/>
              <w:tabs>
                <w:tab w:val="left" w:pos="554"/>
              </w:tabs>
              <w:kinsoku/>
              <w:wordWrap/>
              <w:overflowPunct/>
              <w:topLinePunct w:val="0"/>
              <w:autoSpaceDE/>
              <w:autoSpaceDN/>
              <w:bidi w:val="0"/>
              <w:adjustRightInd/>
              <w:spacing w:line="560" w:lineRule="exact"/>
              <w:ind w:firstLine="320"/>
              <w:rPr>
                <w:rFonts w:hint="eastAsia" w:ascii="仿宋" w:hAnsi="仿宋" w:eastAsia="仿宋" w:cs="仿宋"/>
                <w:color w:val="auto"/>
                <w:sz w:val="24"/>
                <w:szCs w:val="24"/>
              </w:rPr>
            </w:pPr>
            <w:r>
              <w:rPr>
                <w:rFonts w:hint="eastAsia" w:ascii="仿宋" w:hAnsi="仿宋" w:eastAsia="仿宋" w:cs="仿宋"/>
                <w:color w:val="auto"/>
                <w:sz w:val="24"/>
                <w:szCs w:val="24"/>
              </w:rPr>
              <w:t>2、刮大风、下雨时勿作业</w:t>
            </w:r>
          </w:p>
        </w:tc>
      </w:tr>
      <w:tr w14:paraId="1A1A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26" w:hRule="exact"/>
          <w:jc w:val="center"/>
        </w:trPr>
        <w:tc>
          <w:tcPr>
            <w:tcW w:w="1314" w:type="dxa"/>
            <w:shd w:val="clear" w:color="auto" w:fill="FFFFFF"/>
            <w:vAlign w:val="center"/>
          </w:tcPr>
          <w:p w14:paraId="684E9FAC">
            <w:pPr>
              <w:pStyle w:val="125"/>
              <w:pageBreakBefore w:val="0"/>
              <w:kinsoku/>
              <w:wordWrap/>
              <w:overflowPunct/>
              <w:topLinePunct w:val="0"/>
              <w:autoSpaceDE/>
              <w:autoSpaceDN/>
              <w:bidi w:val="0"/>
              <w:adjustRightInd/>
              <w:spacing w:line="560" w:lineRule="exact"/>
              <w:ind w:left="0" w:leftChars="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窗帘</w:t>
            </w:r>
          </w:p>
        </w:tc>
        <w:tc>
          <w:tcPr>
            <w:tcW w:w="2981" w:type="dxa"/>
            <w:shd w:val="clear" w:color="auto" w:fill="FFFFFF"/>
            <w:vAlign w:val="center"/>
          </w:tcPr>
          <w:p w14:paraId="54DD54E9">
            <w:pPr>
              <w:pStyle w:val="125"/>
              <w:pageBreakBefore w:val="0"/>
              <w:kinsoku/>
              <w:wordWrap/>
              <w:overflowPunct/>
              <w:topLinePunct w:val="0"/>
              <w:autoSpaceDE/>
              <w:autoSpaceDN/>
              <w:bidi w:val="0"/>
              <w:adjustRightInd/>
              <w:spacing w:line="560" w:lineRule="exact"/>
              <w:ind w:firstLine="380"/>
              <w:jc w:val="left"/>
              <w:rPr>
                <w:rFonts w:hint="eastAsia" w:ascii="仿宋" w:hAnsi="仿宋" w:eastAsia="仿宋" w:cs="仿宋"/>
                <w:color w:val="auto"/>
                <w:sz w:val="24"/>
                <w:szCs w:val="24"/>
              </w:rPr>
            </w:pPr>
            <w:r>
              <w:rPr>
                <w:rFonts w:hint="eastAsia" w:ascii="仿宋" w:hAnsi="仿宋" w:eastAsia="仿宋" w:cs="仿宋"/>
                <w:color w:val="auto"/>
                <w:sz w:val="24"/>
                <w:szCs w:val="24"/>
              </w:rPr>
              <w:t>干净，无破损、脱钩、污迹、 变形</w:t>
            </w:r>
          </w:p>
        </w:tc>
        <w:tc>
          <w:tcPr>
            <w:tcW w:w="1692" w:type="dxa"/>
            <w:shd w:val="clear" w:color="auto" w:fill="FFFFFF"/>
          </w:tcPr>
          <w:p w14:paraId="4A3DD37F">
            <w:pPr>
              <w:pStyle w:val="125"/>
              <w:pageBreakBefore w:val="0"/>
              <w:tabs>
                <w:tab w:val="left" w:pos="446"/>
              </w:tabs>
              <w:kinsoku/>
              <w:wordWrap/>
              <w:overflowPunct/>
              <w:topLinePunct w:val="0"/>
              <w:autoSpaceDE/>
              <w:autoSpaceDN/>
              <w:bidi w:val="0"/>
              <w:adjustRightInd/>
              <w:spacing w:line="5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窗帘每季度 清洗一次</w:t>
            </w:r>
          </w:p>
          <w:p w14:paraId="171D1A5B">
            <w:pPr>
              <w:pStyle w:val="125"/>
              <w:pageBreakBefore w:val="0"/>
              <w:tabs>
                <w:tab w:val="left" w:pos="418"/>
              </w:tabs>
              <w:kinsoku/>
              <w:wordWrap/>
              <w:overflowPunct/>
              <w:topLinePunct w:val="0"/>
              <w:autoSpaceDE/>
              <w:autoSpaceDN/>
              <w:bidi w:val="0"/>
              <w:adjustRightInd/>
              <w:spacing w:line="5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擦拭每天一 次</w:t>
            </w:r>
          </w:p>
        </w:tc>
        <w:tc>
          <w:tcPr>
            <w:tcW w:w="2607" w:type="dxa"/>
            <w:shd w:val="clear" w:color="auto" w:fill="FFFFFF"/>
          </w:tcPr>
          <w:p w14:paraId="317C4720">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lang w:eastAsia="zh-TW"/>
              </w:rPr>
            </w:pPr>
          </w:p>
        </w:tc>
      </w:tr>
      <w:tr w14:paraId="61C5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3" w:hRule="exact"/>
          <w:jc w:val="center"/>
        </w:trPr>
        <w:tc>
          <w:tcPr>
            <w:tcW w:w="1314" w:type="dxa"/>
            <w:shd w:val="clear" w:color="auto" w:fill="FFFFFF"/>
            <w:vAlign w:val="center"/>
          </w:tcPr>
          <w:p w14:paraId="4ED1124B">
            <w:pPr>
              <w:pStyle w:val="125"/>
              <w:pageBreakBefore w:val="0"/>
              <w:kinsoku/>
              <w:wordWrap/>
              <w:overflowPunct/>
              <w:topLinePunct w:val="0"/>
              <w:autoSpaceDE/>
              <w:autoSpaceDN/>
              <w:bidi w:val="0"/>
              <w:adjustRightInd/>
              <w:spacing w:line="560" w:lineRule="exact"/>
              <w:ind w:left="0" w:leftChars="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纱窗</w:t>
            </w:r>
          </w:p>
        </w:tc>
        <w:tc>
          <w:tcPr>
            <w:tcW w:w="2981" w:type="dxa"/>
            <w:shd w:val="clear" w:color="auto" w:fill="FFFFFF"/>
          </w:tcPr>
          <w:p w14:paraId="2AB4CBE0">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w:t>
            </w:r>
          </w:p>
        </w:tc>
        <w:tc>
          <w:tcPr>
            <w:tcW w:w="1692" w:type="dxa"/>
            <w:shd w:val="clear" w:color="auto" w:fill="FFFFFF"/>
          </w:tcPr>
          <w:p w14:paraId="1F5DD571">
            <w:pPr>
              <w:pStyle w:val="125"/>
              <w:pageBreakBefore w:val="0"/>
              <w:kinsoku/>
              <w:wordWrap/>
              <w:overflowPunct/>
              <w:topLinePunct w:val="0"/>
              <w:autoSpaceDE/>
              <w:autoSpaceDN/>
              <w:bidi w:val="0"/>
              <w:adjustRightInd/>
              <w:spacing w:line="560" w:lineRule="exact"/>
              <w:ind w:firstLine="360"/>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607" w:type="dxa"/>
            <w:shd w:val="clear" w:color="auto" w:fill="FFFFFF"/>
          </w:tcPr>
          <w:p w14:paraId="3AA424E1">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纱窗破损及时报修</w:t>
            </w:r>
          </w:p>
        </w:tc>
      </w:tr>
      <w:tr w14:paraId="5BEC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35" w:hRule="exact"/>
          <w:jc w:val="center"/>
        </w:trPr>
        <w:tc>
          <w:tcPr>
            <w:tcW w:w="1314" w:type="dxa"/>
            <w:shd w:val="clear" w:color="auto" w:fill="FFFFFF"/>
            <w:vAlign w:val="center"/>
          </w:tcPr>
          <w:p w14:paraId="37FFA666">
            <w:pPr>
              <w:pStyle w:val="125"/>
              <w:pageBreakBefore w:val="0"/>
              <w:kinsoku/>
              <w:wordWrap/>
              <w:overflowPunct/>
              <w:topLinePunct w:val="0"/>
              <w:autoSpaceDE/>
              <w:autoSpaceDN/>
              <w:bidi w:val="0"/>
              <w:adjustRightInd/>
              <w:spacing w:line="56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地面</w:t>
            </w:r>
          </w:p>
        </w:tc>
        <w:tc>
          <w:tcPr>
            <w:tcW w:w="2981" w:type="dxa"/>
            <w:shd w:val="clear" w:color="auto" w:fill="FFFFFF"/>
          </w:tcPr>
          <w:p w14:paraId="26285991">
            <w:pPr>
              <w:pStyle w:val="125"/>
              <w:pageBreakBefore w:val="0"/>
              <w:kinsoku/>
              <w:wordWrap/>
              <w:overflowPunct/>
              <w:topLinePunct w:val="0"/>
              <w:autoSpaceDE/>
              <w:autoSpaceDN/>
              <w:bidi w:val="0"/>
              <w:adjustRightInd/>
              <w:spacing w:line="560" w:lineRule="exact"/>
              <w:ind w:firstLine="300"/>
              <w:rPr>
                <w:rFonts w:hint="eastAsia" w:ascii="仿宋" w:hAnsi="仿宋" w:eastAsia="仿宋" w:cs="仿宋"/>
                <w:color w:val="auto"/>
                <w:sz w:val="24"/>
                <w:szCs w:val="24"/>
              </w:rPr>
            </w:pPr>
            <w:r>
              <w:rPr>
                <w:rFonts w:hint="eastAsia" w:ascii="仿宋" w:hAnsi="仿宋" w:eastAsia="仿宋" w:cs="仿宋"/>
                <w:color w:val="auto"/>
                <w:sz w:val="24"/>
                <w:szCs w:val="24"/>
              </w:rPr>
              <w:t>无灰尘、污迹、水迹，清洁、 干净、无斑迹</w:t>
            </w:r>
          </w:p>
        </w:tc>
        <w:tc>
          <w:tcPr>
            <w:tcW w:w="1692" w:type="dxa"/>
            <w:shd w:val="clear" w:color="auto" w:fill="FFFFFF"/>
          </w:tcPr>
          <w:p w14:paraId="270827AC">
            <w:pPr>
              <w:pStyle w:val="125"/>
              <w:pageBreakBefore w:val="0"/>
              <w:tabs>
                <w:tab w:val="left" w:pos="602"/>
              </w:tabs>
              <w:kinsoku/>
              <w:wordWrap/>
              <w:overflowPunct/>
              <w:topLinePunct w:val="0"/>
              <w:autoSpaceDE/>
              <w:autoSpaceDN/>
              <w:bidi w:val="0"/>
              <w:adjustRightInd/>
              <w:spacing w:after="60" w:line="560" w:lineRule="exact"/>
              <w:ind w:firstLine="300"/>
              <w:jc w:val="left"/>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每天三次</w:t>
            </w:r>
          </w:p>
          <w:p w14:paraId="048A1097">
            <w:pPr>
              <w:pStyle w:val="125"/>
              <w:pageBreakBefore w:val="0"/>
              <w:tabs>
                <w:tab w:val="left" w:pos="617"/>
              </w:tabs>
              <w:kinsoku/>
              <w:wordWrap/>
              <w:overflowPunct/>
              <w:topLinePunct w:val="0"/>
              <w:autoSpaceDE/>
              <w:autoSpaceDN/>
              <w:bidi w:val="0"/>
              <w:adjustRightInd/>
              <w:spacing w:line="560" w:lineRule="exact"/>
              <w:ind w:firstLine="300"/>
              <w:jc w:val="left"/>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随脏随拖</w:t>
            </w:r>
          </w:p>
        </w:tc>
        <w:tc>
          <w:tcPr>
            <w:tcW w:w="2607" w:type="dxa"/>
            <w:shd w:val="clear" w:color="auto" w:fill="FFFFFF"/>
          </w:tcPr>
          <w:p w14:paraId="27122A6A">
            <w:pPr>
              <w:pStyle w:val="125"/>
              <w:pageBreakBefore w:val="0"/>
              <w:kinsoku/>
              <w:wordWrap/>
              <w:overflowPunct/>
              <w:topLinePunct w:val="0"/>
              <w:autoSpaceDE/>
              <w:autoSpaceDN/>
              <w:bidi w:val="0"/>
              <w:adjustRightInd/>
              <w:spacing w:line="560" w:lineRule="exact"/>
              <w:ind w:firstLine="320"/>
              <w:jc w:val="left"/>
              <w:rPr>
                <w:rFonts w:hint="eastAsia" w:ascii="仿宋" w:hAnsi="仿宋" w:eastAsia="仿宋" w:cs="仿宋"/>
                <w:color w:val="auto"/>
                <w:sz w:val="24"/>
                <w:szCs w:val="24"/>
              </w:rPr>
            </w:pPr>
            <w:r>
              <w:rPr>
                <w:rFonts w:hint="eastAsia" w:ascii="仿宋" w:hAnsi="仿宋" w:eastAsia="仿宋" w:cs="仿宋"/>
                <w:color w:val="auto"/>
                <w:sz w:val="24"/>
                <w:szCs w:val="24"/>
              </w:rPr>
              <w:t>床脚、床头柜脚下的地 面卫生不可忽略</w:t>
            </w:r>
          </w:p>
        </w:tc>
      </w:tr>
      <w:tr w14:paraId="0AE7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tcW w:w="1314" w:type="dxa"/>
            <w:shd w:val="clear" w:color="auto" w:fill="FFFFFF"/>
            <w:vAlign w:val="center"/>
          </w:tcPr>
          <w:p w14:paraId="51FE59F9">
            <w:pPr>
              <w:pStyle w:val="125"/>
              <w:pageBreakBefore w:val="0"/>
              <w:kinsoku/>
              <w:wordWrap/>
              <w:overflowPunct/>
              <w:topLinePunct w:val="0"/>
              <w:autoSpaceDE/>
              <w:autoSpaceDN/>
              <w:bidi w:val="0"/>
              <w:adjustRightInd/>
              <w:spacing w:line="560" w:lineRule="exact"/>
              <w:ind w:left="0" w:leftChars="0"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墙壁</w:t>
            </w:r>
          </w:p>
        </w:tc>
        <w:tc>
          <w:tcPr>
            <w:tcW w:w="2981" w:type="dxa"/>
            <w:shd w:val="clear" w:color="auto" w:fill="FFFFFF"/>
          </w:tcPr>
          <w:p w14:paraId="52591565">
            <w:pPr>
              <w:pStyle w:val="125"/>
              <w:pageBreakBefore w:val="0"/>
              <w:kinsoku/>
              <w:wordWrap/>
              <w:overflowPunct/>
              <w:topLinePunct w:val="0"/>
              <w:autoSpaceDE/>
              <w:autoSpaceDN/>
              <w:bidi w:val="0"/>
              <w:adjustRightInd/>
              <w:spacing w:line="560" w:lineRule="exact"/>
              <w:ind w:firstLine="300"/>
              <w:rPr>
                <w:rFonts w:hint="eastAsia" w:ascii="仿宋" w:hAnsi="仿宋" w:eastAsia="仿宋" w:cs="仿宋"/>
                <w:color w:val="auto"/>
                <w:sz w:val="24"/>
                <w:szCs w:val="24"/>
              </w:rPr>
            </w:pPr>
            <w:r>
              <w:rPr>
                <w:rFonts w:hint="eastAsia" w:ascii="仿宋" w:hAnsi="仿宋" w:eastAsia="仿宋" w:cs="仿宋"/>
                <w:color w:val="auto"/>
                <w:sz w:val="24"/>
                <w:szCs w:val="24"/>
              </w:rPr>
              <w:t>无灰尘、水迹、污迹，干净、 明亮、无脱落</w:t>
            </w:r>
          </w:p>
        </w:tc>
        <w:tc>
          <w:tcPr>
            <w:tcW w:w="1692" w:type="dxa"/>
            <w:shd w:val="clear" w:color="auto" w:fill="FFFFFF"/>
            <w:vAlign w:val="center"/>
          </w:tcPr>
          <w:p w14:paraId="1E8FB859">
            <w:pPr>
              <w:pStyle w:val="125"/>
              <w:pageBreakBefore w:val="0"/>
              <w:kinsoku/>
              <w:wordWrap/>
              <w:overflowPunct/>
              <w:topLinePunct w:val="0"/>
              <w:autoSpaceDE/>
              <w:autoSpaceDN/>
              <w:bidi w:val="0"/>
              <w:adjustRightInd/>
              <w:spacing w:line="560" w:lineRule="exact"/>
              <w:ind w:firstLine="360"/>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607" w:type="dxa"/>
            <w:shd w:val="clear" w:color="auto" w:fill="FFFFFF"/>
          </w:tcPr>
          <w:p w14:paraId="23CB7E96">
            <w:pPr>
              <w:pStyle w:val="125"/>
              <w:pageBreakBefore w:val="0"/>
              <w:kinsoku/>
              <w:wordWrap/>
              <w:overflowPunct/>
              <w:topLinePunct w:val="0"/>
              <w:autoSpaceDE/>
              <w:autoSpaceDN/>
              <w:bidi w:val="0"/>
              <w:adjustRightInd/>
              <w:spacing w:line="560" w:lineRule="exact"/>
              <w:ind w:firstLine="320"/>
              <w:jc w:val="left"/>
              <w:rPr>
                <w:rFonts w:hint="eastAsia" w:ascii="仿宋" w:hAnsi="仿宋" w:eastAsia="仿宋" w:cs="仿宋"/>
                <w:color w:val="auto"/>
                <w:sz w:val="24"/>
                <w:szCs w:val="24"/>
              </w:rPr>
            </w:pPr>
            <w:r>
              <w:rPr>
                <w:rFonts w:hint="eastAsia" w:ascii="仿宋" w:hAnsi="仿宋" w:eastAsia="仿宋" w:cs="仿宋"/>
                <w:color w:val="auto"/>
                <w:sz w:val="24"/>
                <w:szCs w:val="24"/>
              </w:rPr>
              <w:t>不可损坏墙面，清洁剂 不可脱色</w:t>
            </w:r>
          </w:p>
        </w:tc>
      </w:tr>
      <w:tr w14:paraId="0D1C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9" w:hRule="exact"/>
          <w:jc w:val="center"/>
        </w:trPr>
        <w:tc>
          <w:tcPr>
            <w:tcW w:w="1314" w:type="dxa"/>
            <w:shd w:val="clear" w:color="auto" w:fill="FFFFFF"/>
            <w:vAlign w:val="center"/>
          </w:tcPr>
          <w:p w14:paraId="749B5EC3">
            <w:pPr>
              <w:pStyle w:val="125"/>
              <w:pageBreakBefore w:val="0"/>
              <w:kinsoku/>
              <w:wordWrap/>
              <w:overflowPunct/>
              <w:topLinePunct w:val="0"/>
              <w:autoSpaceDE/>
              <w:autoSpaceDN/>
              <w:bidi w:val="0"/>
              <w:adjustRightInd/>
              <w:spacing w:line="56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房顶</w:t>
            </w:r>
          </w:p>
        </w:tc>
        <w:tc>
          <w:tcPr>
            <w:tcW w:w="2981" w:type="dxa"/>
            <w:shd w:val="clear" w:color="auto" w:fill="FFFFFF"/>
          </w:tcPr>
          <w:p w14:paraId="43808E20">
            <w:pPr>
              <w:pStyle w:val="125"/>
              <w:pageBreakBefore w:val="0"/>
              <w:kinsoku/>
              <w:wordWrap/>
              <w:overflowPunct/>
              <w:topLinePunct w:val="0"/>
              <w:autoSpaceDE/>
              <w:autoSpaceDN/>
              <w:bidi w:val="0"/>
              <w:adjustRightInd/>
              <w:spacing w:line="560" w:lineRule="exact"/>
              <w:ind w:firstLine="440"/>
              <w:jc w:val="left"/>
              <w:rPr>
                <w:rFonts w:hint="eastAsia" w:ascii="仿宋" w:hAnsi="仿宋" w:eastAsia="仿宋" w:cs="仿宋"/>
                <w:color w:val="auto"/>
                <w:sz w:val="24"/>
                <w:szCs w:val="24"/>
              </w:rPr>
            </w:pPr>
            <w:r>
              <w:rPr>
                <w:rFonts w:hint="eastAsia" w:ascii="仿宋" w:hAnsi="仿宋" w:eastAsia="仿宋" w:cs="仿宋"/>
                <w:color w:val="auto"/>
                <w:sz w:val="24"/>
                <w:szCs w:val="24"/>
              </w:rPr>
              <w:t>无斑迹、吊灰、蜘蛛网</w:t>
            </w:r>
          </w:p>
        </w:tc>
        <w:tc>
          <w:tcPr>
            <w:tcW w:w="1692" w:type="dxa"/>
            <w:shd w:val="clear" w:color="auto" w:fill="FFFFFF"/>
          </w:tcPr>
          <w:p w14:paraId="08635736">
            <w:pPr>
              <w:pStyle w:val="125"/>
              <w:pageBreakBefore w:val="0"/>
              <w:kinsoku/>
              <w:wordWrap/>
              <w:overflowPunct/>
              <w:topLinePunct w:val="0"/>
              <w:autoSpaceDE/>
              <w:autoSpaceDN/>
              <w:bidi w:val="0"/>
              <w:adjustRightInd/>
              <w:spacing w:line="560" w:lineRule="exact"/>
              <w:ind w:firstLine="360"/>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607" w:type="dxa"/>
            <w:shd w:val="clear" w:color="auto" w:fill="FFFFFF"/>
          </w:tcPr>
          <w:p w14:paraId="1F6DF1AF">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p>
        </w:tc>
      </w:tr>
      <w:tr w14:paraId="52DF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9" w:hRule="exact"/>
          <w:jc w:val="center"/>
        </w:trPr>
        <w:tc>
          <w:tcPr>
            <w:tcW w:w="1314" w:type="dxa"/>
            <w:shd w:val="clear" w:color="auto" w:fill="FFFFFF"/>
            <w:vAlign w:val="center"/>
          </w:tcPr>
          <w:p w14:paraId="09535D01">
            <w:pPr>
              <w:pStyle w:val="125"/>
              <w:pageBreakBefore w:val="0"/>
              <w:kinsoku/>
              <w:wordWrap/>
              <w:overflowPunct/>
              <w:topLinePunct w:val="0"/>
              <w:autoSpaceDE/>
              <w:autoSpaceDN/>
              <w:bidi w:val="0"/>
              <w:adjustRightInd/>
              <w:spacing w:line="560" w:lineRule="exact"/>
              <w:ind w:firstLine="380"/>
              <w:jc w:val="center"/>
              <w:rPr>
                <w:rFonts w:hint="eastAsia" w:ascii="仿宋" w:hAnsi="仿宋" w:eastAsia="仿宋" w:cs="仿宋"/>
                <w:color w:val="auto"/>
                <w:sz w:val="24"/>
                <w:szCs w:val="24"/>
              </w:rPr>
            </w:pPr>
            <w:r>
              <w:rPr>
                <w:rFonts w:hint="eastAsia" w:ascii="仿宋" w:hAnsi="仿宋" w:eastAsia="仿宋" w:cs="仿宋"/>
                <w:color w:val="auto"/>
                <w:sz w:val="24"/>
                <w:szCs w:val="24"/>
              </w:rPr>
              <w:t>房顶灯、罩</w:t>
            </w:r>
          </w:p>
        </w:tc>
        <w:tc>
          <w:tcPr>
            <w:tcW w:w="2981" w:type="dxa"/>
            <w:shd w:val="clear" w:color="auto" w:fill="FFFFFF"/>
          </w:tcPr>
          <w:p w14:paraId="048F53E4">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w:t>
            </w:r>
          </w:p>
        </w:tc>
        <w:tc>
          <w:tcPr>
            <w:tcW w:w="1692" w:type="dxa"/>
            <w:shd w:val="clear" w:color="auto" w:fill="FFFFFF"/>
          </w:tcPr>
          <w:p w14:paraId="3AA90925">
            <w:pPr>
              <w:pStyle w:val="125"/>
              <w:pageBreakBefore w:val="0"/>
              <w:kinsoku/>
              <w:wordWrap/>
              <w:overflowPunct/>
              <w:topLinePunct w:val="0"/>
              <w:autoSpaceDE/>
              <w:autoSpaceDN/>
              <w:bidi w:val="0"/>
              <w:adjustRightInd/>
              <w:spacing w:line="560" w:lineRule="exact"/>
              <w:ind w:firstLine="360"/>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607" w:type="dxa"/>
            <w:shd w:val="clear" w:color="auto" w:fill="FFFFFF"/>
          </w:tcPr>
          <w:p w14:paraId="7F282FC2">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p>
        </w:tc>
      </w:tr>
      <w:tr w14:paraId="2591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10" w:hRule="exact"/>
          <w:jc w:val="center"/>
        </w:trPr>
        <w:tc>
          <w:tcPr>
            <w:tcW w:w="1314" w:type="dxa"/>
            <w:shd w:val="clear" w:color="auto" w:fill="FFFFFF"/>
            <w:vAlign w:val="center"/>
          </w:tcPr>
          <w:p w14:paraId="214E4544">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壁橱、柜</w:t>
            </w:r>
          </w:p>
        </w:tc>
        <w:tc>
          <w:tcPr>
            <w:tcW w:w="2981" w:type="dxa"/>
            <w:shd w:val="clear" w:color="auto" w:fill="FFFFFF"/>
            <w:vAlign w:val="center"/>
          </w:tcPr>
          <w:p w14:paraId="6C1914F4">
            <w:pPr>
              <w:pStyle w:val="125"/>
              <w:pageBreakBefore w:val="0"/>
              <w:kinsoku/>
              <w:wordWrap/>
              <w:overflowPunct/>
              <w:topLinePunct w:val="0"/>
              <w:autoSpaceDE/>
              <w:autoSpaceDN/>
              <w:bidi w:val="0"/>
              <w:adjustRightInd/>
              <w:spacing w:line="560" w:lineRule="exact"/>
              <w:ind w:firstLine="220"/>
              <w:jc w:val="left"/>
              <w:rPr>
                <w:rFonts w:hint="eastAsia" w:ascii="仿宋" w:hAnsi="仿宋" w:eastAsia="仿宋" w:cs="仿宋"/>
                <w:color w:val="auto"/>
                <w:sz w:val="24"/>
                <w:szCs w:val="24"/>
              </w:rPr>
            </w:pPr>
            <w:r>
              <w:rPr>
                <w:rFonts w:hint="eastAsia" w:ascii="仿宋" w:hAnsi="仿宋" w:eastAsia="仿宋" w:cs="仿宋"/>
                <w:color w:val="auto"/>
                <w:sz w:val="24"/>
                <w:szCs w:val="24"/>
              </w:rPr>
              <w:t>无灰尘、污迹、蟬螂，干净</w:t>
            </w:r>
          </w:p>
        </w:tc>
        <w:tc>
          <w:tcPr>
            <w:tcW w:w="1692" w:type="dxa"/>
            <w:shd w:val="clear" w:color="auto" w:fill="FFFFFF"/>
            <w:vAlign w:val="center"/>
          </w:tcPr>
          <w:p w14:paraId="3B262ADB">
            <w:pPr>
              <w:pStyle w:val="125"/>
              <w:pageBreakBefore w:val="0"/>
              <w:kinsoku/>
              <w:wordWrap/>
              <w:overflowPunct/>
              <w:topLinePunct w:val="0"/>
              <w:autoSpaceDE/>
              <w:autoSpaceDN/>
              <w:bidi w:val="0"/>
              <w:adjustRightInd/>
              <w:spacing w:line="560" w:lineRule="exact"/>
              <w:ind w:firstLine="360"/>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607" w:type="dxa"/>
            <w:shd w:val="clear" w:color="auto" w:fill="FFFFFF"/>
            <w:vAlign w:val="bottom"/>
          </w:tcPr>
          <w:p w14:paraId="0B4F254E">
            <w:pPr>
              <w:pStyle w:val="125"/>
              <w:pageBreakBefore w:val="0"/>
              <w:kinsoku/>
              <w:wordWrap/>
              <w:overflowPunct/>
              <w:topLinePunct w:val="0"/>
              <w:autoSpaceDE/>
              <w:autoSpaceDN/>
              <w:bidi w:val="0"/>
              <w:adjustRightInd/>
              <w:spacing w:line="560" w:lineRule="exact"/>
              <w:ind w:firstLine="320"/>
              <w:jc w:val="left"/>
              <w:rPr>
                <w:rFonts w:hint="eastAsia" w:ascii="仿宋" w:hAnsi="仿宋" w:eastAsia="仿宋" w:cs="仿宋"/>
                <w:color w:val="auto"/>
                <w:sz w:val="24"/>
                <w:szCs w:val="24"/>
              </w:rPr>
            </w:pPr>
            <w:r>
              <w:rPr>
                <w:rFonts w:hint="eastAsia" w:ascii="仿宋" w:hAnsi="仿宋" w:eastAsia="仿宋" w:cs="仿宋"/>
                <w:color w:val="auto"/>
                <w:sz w:val="24"/>
                <w:szCs w:val="24"/>
              </w:rPr>
              <w:t>家具不能擦花，清除残 留在家具面上的清洁剂 泡沫，除净并擦均匀</w:t>
            </w:r>
          </w:p>
        </w:tc>
      </w:tr>
      <w:tr w14:paraId="53AF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tcW w:w="1314" w:type="dxa"/>
            <w:shd w:val="clear" w:color="auto" w:fill="FFFFFF"/>
            <w:vAlign w:val="center"/>
          </w:tcPr>
          <w:p w14:paraId="2DC461A3">
            <w:pPr>
              <w:pStyle w:val="125"/>
              <w:pageBreakBefore w:val="0"/>
              <w:kinsoku/>
              <w:wordWrap/>
              <w:overflowPunct/>
              <w:topLinePunct w:val="0"/>
              <w:autoSpaceDE/>
              <w:autoSpaceDN/>
              <w:bidi w:val="0"/>
              <w:adjustRightInd/>
              <w:spacing w:line="560" w:lineRule="exact"/>
              <w:jc w:val="both"/>
              <w:rPr>
                <w:rFonts w:hint="eastAsia" w:ascii="仿宋" w:hAnsi="仿宋" w:eastAsia="仿宋" w:cs="仿宋"/>
                <w:color w:val="auto"/>
                <w:sz w:val="24"/>
                <w:szCs w:val="24"/>
              </w:rPr>
            </w:pPr>
            <w:r>
              <w:rPr>
                <w:rFonts w:hint="eastAsia" w:ascii="仿宋" w:hAnsi="仿宋" w:eastAsia="仿宋" w:cs="仿宋"/>
                <w:color w:val="auto"/>
                <w:sz w:val="24"/>
                <w:szCs w:val="24"/>
              </w:rPr>
              <w:t>桌、椅</w:t>
            </w:r>
          </w:p>
        </w:tc>
        <w:tc>
          <w:tcPr>
            <w:tcW w:w="2981" w:type="dxa"/>
            <w:shd w:val="clear" w:color="auto" w:fill="FFFFFF"/>
          </w:tcPr>
          <w:p w14:paraId="73CC663E">
            <w:pPr>
              <w:pStyle w:val="125"/>
              <w:pageBreakBefore w:val="0"/>
              <w:kinsoku/>
              <w:wordWrap/>
              <w:overflowPunct/>
              <w:topLinePunct w:val="0"/>
              <w:autoSpaceDE/>
              <w:autoSpaceDN/>
              <w:bidi w:val="0"/>
              <w:adjustRightInd/>
              <w:spacing w:line="560" w:lineRule="exact"/>
              <w:ind w:firstLine="300"/>
              <w:rPr>
                <w:rFonts w:hint="eastAsia" w:ascii="仿宋" w:hAnsi="仿宋" w:eastAsia="仿宋" w:cs="仿宋"/>
                <w:color w:val="auto"/>
                <w:sz w:val="24"/>
                <w:szCs w:val="24"/>
              </w:rPr>
            </w:pPr>
            <w:r>
              <w:rPr>
                <w:rFonts w:hint="eastAsia" w:ascii="仿宋" w:hAnsi="仿宋" w:eastAsia="仿宋" w:cs="仿宋"/>
                <w:color w:val="auto"/>
                <w:sz w:val="24"/>
                <w:szCs w:val="24"/>
              </w:rPr>
              <w:t>无灰尘、污迹、水迹、变形、 破损，洁净、稳固、完好</w:t>
            </w:r>
          </w:p>
        </w:tc>
        <w:tc>
          <w:tcPr>
            <w:tcW w:w="1692" w:type="dxa"/>
            <w:shd w:val="clear" w:color="auto" w:fill="FFFFFF"/>
            <w:vAlign w:val="center"/>
          </w:tcPr>
          <w:p w14:paraId="3C2BD219">
            <w:pPr>
              <w:pStyle w:val="125"/>
              <w:pageBreakBefore w:val="0"/>
              <w:kinsoku/>
              <w:wordWrap/>
              <w:overflowPunct/>
              <w:topLinePunct w:val="0"/>
              <w:autoSpaceDE/>
              <w:autoSpaceDN/>
              <w:bidi w:val="0"/>
              <w:adjustRightInd/>
              <w:spacing w:line="560" w:lineRule="exact"/>
              <w:ind w:firstLine="360"/>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607" w:type="dxa"/>
            <w:shd w:val="clear" w:color="auto" w:fill="FFFFFF"/>
            <w:vAlign w:val="center"/>
          </w:tcPr>
          <w:p w14:paraId="65E9E5DA">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如破损及时报修</w:t>
            </w:r>
          </w:p>
        </w:tc>
      </w:tr>
      <w:tr w14:paraId="64F4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23" w:hRule="exact"/>
          <w:jc w:val="center"/>
        </w:trPr>
        <w:tc>
          <w:tcPr>
            <w:tcW w:w="1314" w:type="dxa"/>
            <w:shd w:val="clear" w:color="auto" w:fill="FFFFFF"/>
            <w:vAlign w:val="center"/>
          </w:tcPr>
          <w:p w14:paraId="654D5564">
            <w:pPr>
              <w:pStyle w:val="125"/>
              <w:pageBreakBefore w:val="0"/>
              <w:kinsoku/>
              <w:wordWrap/>
              <w:overflowPunct/>
              <w:topLinePunct w:val="0"/>
              <w:autoSpaceDE/>
              <w:autoSpaceDN/>
              <w:bidi w:val="0"/>
              <w:adjustRightInd/>
              <w:spacing w:line="560" w:lineRule="exact"/>
              <w:ind w:left="0" w:leftChars="0" w:firstLine="240" w:firstLineChars="100"/>
              <w:jc w:val="both"/>
              <w:rPr>
                <w:rFonts w:hint="eastAsia" w:ascii="仿宋" w:hAnsi="仿宋" w:eastAsia="仿宋" w:cs="仿宋"/>
                <w:color w:val="auto"/>
                <w:sz w:val="24"/>
                <w:szCs w:val="24"/>
              </w:rPr>
            </w:pPr>
            <w:r>
              <w:rPr>
                <w:rFonts w:hint="eastAsia" w:ascii="仿宋" w:hAnsi="仿宋" w:eastAsia="仿宋" w:cs="仿宋"/>
                <w:color w:val="auto"/>
                <w:sz w:val="24"/>
                <w:szCs w:val="24"/>
              </w:rPr>
              <w:t>洗手池</w:t>
            </w:r>
          </w:p>
          <w:p w14:paraId="7FBBD8CE">
            <w:pPr>
              <w:pStyle w:val="125"/>
              <w:pageBreakBefore w:val="0"/>
              <w:kinsoku/>
              <w:wordWrap/>
              <w:overflowPunct/>
              <w:topLinePunct w:val="0"/>
              <w:autoSpaceDE/>
              <w:autoSpaceDN/>
              <w:bidi w:val="0"/>
              <w:adjustRightInd/>
              <w:spacing w:line="560" w:lineRule="exact"/>
              <w:ind w:left="0" w:leftChars="0" w:firstLine="240" w:firstLineChars="100"/>
              <w:jc w:val="both"/>
              <w:rPr>
                <w:rFonts w:hint="eastAsia" w:ascii="仿宋" w:hAnsi="仿宋" w:eastAsia="仿宋" w:cs="仿宋"/>
                <w:color w:val="auto"/>
                <w:sz w:val="24"/>
                <w:szCs w:val="24"/>
              </w:rPr>
            </w:pPr>
            <w:r>
              <w:rPr>
                <w:rFonts w:hint="eastAsia" w:ascii="仿宋" w:hAnsi="仿宋" w:eastAsia="仿宋" w:cs="仿宋"/>
                <w:color w:val="auto"/>
                <w:sz w:val="24"/>
                <w:szCs w:val="24"/>
              </w:rPr>
              <w:t>龙头</w:t>
            </w:r>
          </w:p>
        </w:tc>
        <w:tc>
          <w:tcPr>
            <w:tcW w:w="2981" w:type="dxa"/>
            <w:shd w:val="clear" w:color="auto" w:fill="FFFFFF"/>
          </w:tcPr>
          <w:p w14:paraId="21D5AE4B">
            <w:pPr>
              <w:pStyle w:val="125"/>
              <w:pageBreakBefore w:val="0"/>
              <w:kinsoku/>
              <w:wordWrap/>
              <w:overflowPunct/>
              <w:topLinePunct w:val="0"/>
              <w:autoSpaceDE/>
              <w:autoSpaceDN/>
              <w:bidi w:val="0"/>
              <w:adjustRightInd/>
              <w:spacing w:line="560" w:lineRule="exact"/>
              <w:ind w:firstLine="300"/>
              <w:rPr>
                <w:rFonts w:hint="eastAsia" w:ascii="仿宋" w:hAnsi="仿宋" w:eastAsia="仿宋" w:cs="仿宋"/>
                <w:color w:val="auto"/>
                <w:sz w:val="24"/>
                <w:szCs w:val="24"/>
              </w:rPr>
            </w:pPr>
            <w:r>
              <w:rPr>
                <w:rFonts w:hint="eastAsia" w:ascii="仿宋" w:hAnsi="仿宋" w:eastAsia="仿宋" w:cs="仿宋"/>
                <w:color w:val="auto"/>
                <w:sz w:val="24"/>
                <w:szCs w:val="24"/>
              </w:rPr>
              <w:t>无水迹、黄迹，洁净、光亮、 畅通</w:t>
            </w:r>
          </w:p>
        </w:tc>
        <w:tc>
          <w:tcPr>
            <w:tcW w:w="1692" w:type="dxa"/>
            <w:shd w:val="clear" w:color="auto" w:fill="FFFFFF"/>
            <w:vAlign w:val="center"/>
          </w:tcPr>
          <w:p w14:paraId="6BD063A9">
            <w:pPr>
              <w:pStyle w:val="125"/>
              <w:pageBreakBefore w:val="0"/>
              <w:kinsoku/>
              <w:wordWrap/>
              <w:overflowPunct/>
              <w:topLinePunct w:val="0"/>
              <w:autoSpaceDE/>
              <w:autoSpaceDN/>
              <w:bidi w:val="0"/>
              <w:adjustRightInd/>
              <w:spacing w:line="560" w:lineRule="exact"/>
              <w:ind w:firstLine="360"/>
              <w:rPr>
                <w:rFonts w:hint="eastAsia" w:ascii="仿宋" w:hAnsi="仿宋" w:eastAsia="仿宋" w:cs="仿宋"/>
                <w:color w:val="auto"/>
                <w:sz w:val="24"/>
                <w:szCs w:val="24"/>
              </w:rPr>
            </w:pPr>
            <w:r>
              <w:rPr>
                <w:rFonts w:hint="eastAsia" w:ascii="仿宋" w:hAnsi="仿宋" w:eastAsia="仿宋" w:cs="仿宋"/>
                <w:color w:val="auto"/>
                <w:sz w:val="24"/>
                <w:szCs w:val="24"/>
              </w:rPr>
              <w:t>每天二次</w:t>
            </w:r>
          </w:p>
        </w:tc>
        <w:tc>
          <w:tcPr>
            <w:tcW w:w="2607" w:type="dxa"/>
            <w:shd w:val="clear" w:color="auto" w:fill="FFFFFF"/>
            <w:vAlign w:val="center"/>
          </w:tcPr>
          <w:p w14:paraId="234F81E6">
            <w:pPr>
              <w:pStyle w:val="125"/>
              <w:pageBreakBefore w:val="0"/>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不可遗漏台面下的弯头。</w:t>
            </w:r>
          </w:p>
        </w:tc>
      </w:tr>
      <w:tr w14:paraId="4CDC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3" w:hRule="exact"/>
          <w:jc w:val="center"/>
        </w:trPr>
        <w:tc>
          <w:tcPr>
            <w:tcW w:w="1314" w:type="dxa"/>
            <w:shd w:val="clear" w:color="auto" w:fill="FFFFFF"/>
            <w:vAlign w:val="center"/>
          </w:tcPr>
          <w:p w14:paraId="127EBADA">
            <w:pPr>
              <w:pStyle w:val="125"/>
              <w:pageBreakBefore w:val="0"/>
              <w:kinsoku/>
              <w:wordWrap/>
              <w:overflowPunct/>
              <w:topLinePunct w:val="0"/>
              <w:autoSpaceDE/>
              <w:autoSpaceDN/>
              <w:bidi w:val="0"/>
              <w:adjustRightInd/>
              <w:spacing w:line="560" w:lineRule="exact"/>
              <w:ind w:left="0" w:leftChars="0" w:firstLine="240" w:firstLineChars="100"/>
              <w:jc w:val="both"/>
              <w:rPr>
                <w:rFonts w:hint="eastAsia" w:ascii="仿宋" w:hAnsi="仿宋" w:eastAsia="仿宋" w:cs="仿宋"/>
                <w:color w:val="auto"/>
                <w:sz w:val="24"/>
                <w:szCs w:val="24"/>
              </w:rPr>
            </w:pPr>
            <w:r>
              <w:rPr>
                <w:rFonts w:hint="eastAsia" w:ascii="仿宋" w:hAnsi="仿宋" w:eastAsia="仿宋" w:cs="仿宋"/>
                <w:color w:val="auto"/>
                <w:sz w:val="24"/>
                <w:szCs w:val="24"/>
              </w:rPr>
              <w:t>白板框</w:t>
            </w:r>
          </w:p>
        </w:tc>
        <w:tc>
          <w:tcPr>
            <w:tcW w:w="2981" w:type="dxa"/>
            <w:shd w:val="clear" w:color="auto" w:fill="FFFFFF"/>
          </w:tcPr>
          <w:p w14:paraId="7FE245E8">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无灰尘、污迹</w:t>
            </w:r>
          </w:p>
        </w:tc>
        <w:tc>
          <w:tcPr>
            <w:tcW w:w="1692" w:type="dxa"/>
            <w:shd w:val="clear" w:color="auto" w:fill="FFFFFF"/>
          </w:tcPr>
          <w:p w14:paraId="5A34CCB3">
            <w:pPr>
              <w:pStyle w:val="125"/>
              <w:pageBreakBefore w:val="0"/>
              <w:kinsoku/>
              <w:wordWrap/>
              <w:overflowPunct/>
              <w:topLinePunct w:val="0"/>
              <w:autoSpaceDE/>
              <w:autoSpaceDN/>
              <w:bidi w:val="0"/>
              <w:adjustRightInd/>
              <w:spacing w:line="560" w:lineRule="exact"/>
              <w:ind w:firstLine="360"/>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607" w:type="dxa"/>
            <w:shd w:val="clear" w:color="auto" w:fill="FFFFFF"/>
          </w:tcPr>
          <w:p w14:paraId="44A49589">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p>
        </w:tc>
      </w:tr>
      <w:tr w14:paraId="0C7B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5" w:hRule="exact"/>
          <w:jc w:val="center"/>
        </w:trPr>
        <w:tc>
          <w:tcPr>
            <w:tcW w:w="1314" w:type="dxa"/>
            <w:shd w:val="clear" w:color="auto" w:fill="FFFFFF"/>
            <w:vAlign w:val="center"/>
          </w:tcPr>
          <w:p w14:paraId="7544DEAF">
            <w:pPr>
              <w:pStyle w:val="125"/>
              <w:pageBreakBefore w:val="0"/>
              <w:kinsoku/>
              <w:wordWrap/>
              <w:overflowPunct/>
              <w:topLinePunct w:val="0"/>
              <w:autoSpaceDE/>
              <w:autoSpaceDN/>
              <w:bidi w:val="0"/>
              <w:adjustRightInd/>
              <w:spacing w:line="560" w:lineRule="exact"/>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标识牌</w:t>
            </w:r>
          </w:p>
        </w:tc>
        <w:tc>
          <w:tcPr>
            <w:tcW w:w="2981" w:type="dxa"/>
            <w:shd w:val="clear" w:color="auto" w:fill="FFFFFF"/>
          </w:tcPr>
          <w:p w14:paraId="4455385F">
            <w:pPr>
              <w:pStyle w:val="125"/>
              <w:pageBreakBefore w:val="0"/>
              <w:kinsoku/>
              <w:wordWrap/>
              <w:overflowPunct/>
              <w:topLinePunct w:val="0"/>
              <w:autoSpaceDE/>
              <w:autoSpaceDN/>
              <w:bidi w:val="0"/>
              <w:adjustRightInd/>
              <w:spacing w:line="560" w:lineRule="exact"/>
              <w:ind w:firstLine="800"/>
              <w:jc w:val="left"/>
              <w:rPr>
                <w:rFonts w:hint="eastAsia" w:ascii="仿宋" w:hAnsi="仿宋" w:eastAsia="仿宋" w:cs="仿宋"/>
                <w:color w:val="auto"/>
                <w:sz w:val="24"/>
                <w:szCs w:val="24"/>
              </w:rPr>
            </w:pPr>
            <w:r>
              <w:rPr>
                <w:rFonts w:hint="eastAsia" w:ascii="仿宋" w:hAnsi="仿宋" w:eastAsia="仿宋" w:cs="仿宋"/>
                <w:color w:val="auto"/>
                <w:sz w:val="24"/>
                <w:szCs w:val="24"/>
              </w:rPr>
              <w:t>清晰，无灰尘</w:t>
            </w:r>
          </w:p>
        </w:tc>
        <w:tc>
          <w:tcPr>
            <w:tcW w:w="1692" w:type="dxa"/>
            <w:shd w:val="clear" w:color="auto" w:fill="FFFFFF"/>
          </w:tcPr>
          <w:p w14:paraId="400F422A">
            <w:pPr>
              <w:pStyle w:val="125"/>
              <w:pageBreakBefore w:val="0"/>
              <w:kinsoku/>
              <w:wordWrap/>
              <w:overflowPunct/>
              <w:topLinePunct w:val="0"/>
              <w:autoSpaceDE/>
              <w:autoSpaceDN/>
              <w:bidi w:val="0"/>
              <w:adjustRightInd/>
              <w:spacing w:line="560" w:lineRule="exact"/>
              <w:ind w:firstLine="360"/>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607" w:type="dxa"/>
            <w:shd w:val="clear" w:color="auto" w:fill="FFFFFF"/>
          </w:tcPr>
          <w:p w14:paraId="7F524EDF">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p>
        </w:tc>
      </w:tr>
      <w:tr w14:paraId="1A4D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90" w:hRule="exact"/>
          <w:jc w:val="center"/>
        </w:trPr>
        <w:tc>
          <w:tcPr>
            <w:tcW w:w="1314" w:type="dxa"/>
            <w:shd w:val="clear" w:color="auto" w:fill="FFFFFF"/>
            <w:vAlign w:val="center"/>
          </w:tcPr>
          <w:p w14:paraId="6796A0EA">
            <w:pPr>
              <w:pStyle w:val="125"/>
              <w:pageBreakBefore w:val="0"/>
              <w:kinsoku/>
              <w:wordWrap/>
              <w:overflowPunct/>
              <w:topLinePunct w:val="0"/>
              <w:autoSpaceDE/>
              <w:autoSpaceDN/>
              <w:bidi w:val="0"/>
              <w:adjustRightInd/>
              <w:spacing w:line="560" w:lineRule="exact"/>
              <w:ind w:left="0" w:leftChars="0" w:firstLine="240" w:firstLineChars="100"/>
              <w:jc w:val="both"/>
              <w:rPr>
                <w:rFonts w:hint="eastAsia" w:ascii="仿宋" w:hAnsi="仿宋" w:eastAsia="仿宋" w:cs="仿宋"/>
                <w:color w:val="auto"/>
                <w:sz w:val="24"/>
                <w:szCs w:val="24"/>
              </w:rPr>
            </w:pPr>
            <w:r>
              <w:rPr>
                <w:rFonts w:hint="eastAsia" w:ascii="仿宋" w:hAnsi="仿宋" w:eastAsia="仿宋" w:cs="仿宋"/>
                <w:color w:val="auto"/>
                <w:sz w:val="24"/>
                <w:szCs w:val="24"/>
              </w:rPr>
              <w:t>垃圾桶</w:t>
            </w:r>
          </w:p>
        </w:tc>
        <w:tc>
          <w:tcPr>
            <w:tcW w:w="2981" w:type="dxa"/>
            <w:shd w:val="clear" w:color="auto" w:fill="FFFFFF"/>
            <w:vAlign w:val="center"/>
          </w:tcPr>
          <w:p w14:paraId="140E2E4D">
            <w:pPr>
              <w:pStyle w:val="125"/>
              <w:pageBreakBefore w:val="0"/>
              <w:kinsoku/>
              <w:wordWrap/>
              <w:overflowPunct/>
              <w:topLinePunct w:val="0"/>
              <w:autoSpaceDE/>
              <w:autoSpaceDN/>
              <w:bidi w:val="0"/>
              <w:adjustRightInd/>
              <w:spacing w:line="560" w:lineRule="exact"/>
              <w:ind w:firstLine="300"/>
              <w:rPr>
                <w:rFonts w:hint="eastAsia" w:ascii="仿宋" w:hAnsi="仿宋" w:eastAsia="仿宋" w:cs="仿宋"/>
                <w:color w:val="auto"/>
                <w:sz w:val="24"/>
                <w:szCs w:val="24"/>
              </w:rPr>
            </w:pPr>
            <w:r>
              <w:rPr>
                <w:rFonts w:hint="eastAsia" w:ascii="仿宋" w:hAnsi="仿宋" w:eastAsia="仿宋" w:cs="仿宋"/>
                <w:color w:val="auto"/>
                <w:sz w:val="24"/>
                <w:szCs w:val="24"/>
              </w:rPr>
              <w:t>光亮、无污迹、无水迹，周 边无垃圾</w:t>
            </w:r>
          </w:p>
        </w:tc>
        <w:tc>
          <w:tcPr>
            <w:tcW w:w="1692" w:type="dxa"/>
            <w:shd w:val="clear" w:color="auto" w:fill="FFFFFF"/>
          </w:tcPr>
          <w:p w14:paraId="02014857">
            <w:pPr>
              <w:pStyle w:val="125"/>
              <w:pageBreakBefore w:val="0"/>
              <w:tabs>
                <w:tab w:val="left" w:pos="274"/>
              </w:tabs>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每天上、下午 各一次</w:t>
            </w:r>
          </w:p>
          <w:p w14:paraId="2A273EAB">
            <w:pPr>
              <w:pStyle w:val="125"/>
              <w:pageBreakBefore w:val="0"/>
              <w:tabs>
                <w:tab w:val="left" w:pos="324"/>
              </w:tabs>
              <w:kinsoku/>
              <w:wordWrap/>
              <w:overflowPunct/>
              <w:topLinePunct w:val="0"/>
              <w:autoSpaceDE/>
              <w:autoSpaceDN/>
              <w:bidi w:val="0"/>
              <w:adjustRightInd/>
              <w:spacing w:line="560" w:lineRule="exact"/>
              <w:ind w:firstLine="0"/>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随满随倒</w:t>
            </w:r>
          </w:p>
        </w:tc>
        <w:tc>
          <w:tcPr>
            <w:tcW w:w="2607" w:type="dxa"/>
            <w:shd w:val="clear" w:color="auto" w:fill="FFFFFF"/>
            <w:vAlign w:val="bottom"/>
          </w:tcPr>
          <w:p w14:paraId="32C0B85E">
            <w:pPr>
              <w:pStyle w:val="125"/>
              <w:pageBreakBefore w:val="0"/>
              <w:kinsoku/>
              <w:wordWrap/>
              <w:overflowPunct/>
              <w:topLinePunct w:val="0"/>
              <w:autoSpaceDE/>
              <w:autoSpaceDN/>
              <w:bidi w:val="0"/>
              <w:adjustRightInd/>
              <w:spacing w:line="560" w:lineRule="exact"/>
              <w:ind w:firstLine="0"/>
              <w:rPr>
                <w:rFonts w:hint="eastAsia" w:ascii="仿宋" w:hAnsi="仿宋" w:eastAsia="仿宋" w:cs="仿宋"/>
                <w:color w:val="auto"/>
                <w:sz w:val="24"/>
                <w:szCs w:val="24"/>
              </w:rPr>
            </w:pPr>
            <w:r>
              <w:rPr>
                <w:rFonts w:hint="eastAsia" w:ascii="仿宋" w:hAnsi="仿宋" w:eastAsia="仿宋" w:cs="仿宋"/>
                <w:color w:val="auto"/>
                <w:sz w:val="24"/>
                <w:szCs w:val="24"/>
              </w:rPr>
              <w:t>垃圾袋平整</w:t>
            </w:r>
            <w:r>
              <w:rPr>
                <w:rFonts w:hint="eastAsia" w:ascii="仿宋" w:hAnsi="仿宋" w:eastAsia="仿宋" w:cs="仿宋"/>
                <w:color w:val="auto"/>
                <w:sz w:val="24"/>
                <w:szCs w:val="24"/>
                <w:lang w:eastAsia="zh-CN"/>
              </w:rPr>
              <w:t>的</w:t>
            </w:r>
            <w:r>
              <w:rPr>
                <w:rFonts w:hint="eastAsia" w:ascii="仿宋" w:hAnsi="仿宋" w:eastAsia="仿宋" w:cs="仿宋"/>
                <w:color w:val="auto"/>
                <w:sz w:val="24"/>
                <w:szCs w:val="24"/>
              </w:rPr>
              <w:t>套在垃 圾桶上，与垃圾桶之间无 缝隙，翻边约5厘米，不 能漫溢。</w:t>
            </w:r>
          </w:p>
        </w:tc>
      </w:tr>
      <w:tr w14:paraId="4EE5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tcW w:w="1314" w:type="dxa"/>
            <w:shd w:val="clear" w:color="auto" w:fill="FFFFFF"/>
            <w:vAlign w:val="center"/>
          </w:tcPr>
          <w:p w14:paraId="4BFE84CB">
            <w:pPr>
              <w:pStyle w:val="125"/>
              <w:pageBreakBefore w:val="0"/>
              <w:kinsoku/>
              <w:wordWrap/>
              <w:overflowPunct/>
              <w:topLinePunct w:val="0"/>
              <w:autoSpaceDE/>
              <w:autoSpaceDN/>
              <w:bidi w:val="0"/>
              <w:adjustRightInd/>
              <w:spacing w:line="56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护士站吧台</w:t>
            </w:r>
          </w:p>
        </w:tc>
        <w:tc>
          <w:tcPr>
            <w:tcW w:w="2981" w:type="dxa"/>
            <w:shd w:val="clear" w:color="auto" w:fill="FFFFFF"/>
          </w:tcPr>
          <w:p w14:paraId="2ABEC06B">
            <w:pPr>
              <w:pStyle w:val="125"/>
              <w:pageBreakBefore w:val="0"/>
              <w:kinsoku/>
              <w:wordWrap/>
              <w:overflowPunct/>
              <w:topLinePunct w:val="0"/>
              <w:autoSpaceDE/>
              <w:autoSpaceDN/>
              <w:bidi w:val="0"/>
              <w:adjustRightInd/>
              <w:spacing w:line="560" w:lineRule="exact"/>
              <w:ind w:firstLine="300"/>
              <w:rPr>
                <w:rFonts w:hint="eastAsia" w:ascii="仿宋" w:hAnsi="仿宋" w:eastAsia="仿宋" w:cs="仿宋"/>
                <w:color w:val="auto"/>
                <w:sz w:val="24"/>
                <w:szCs w:val="24"/>
              </w:rPr>
            </w:pPr>
            <w:r>
              <w:rPr>
                <w:rFonts w:hint="eastAsia" w:ascii="仿宋" w:hAnsi="仿宋" w:eastAsia="仿宋" w:cs="仿宋"/>
                <w:color w:val="auto"/>
                <w:sz w:val="24"/>
                <w:szCs w:val="24"/>
              </w:rPr>
              <w:t>无灰尘、污迹、水迹、变形、 破损，洁净、稳固、完好</w:t>
            </w:r>
          </w:p>
        </w:tc>
        <w:tc>
          <w:tcPr>
            <w:tcW w:w="1692" w:type="dxa"/>
            <w:shd w:val="clear" w:color="auto" w:fill="FFFFFF"/>
          </w:tcPr>
          <w:p w14:paraId="3E2BED17">
            <w:pPr>
              <w:pStyle w:val="125"/>
              <w:pageBreakBefore w:val="0"/>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607" w:type="dxa"/>
            <w:shd w:val="clear" w:color="auto" w:fill="FFFFFF"/>
            <w:vAlign w:val="center"/>
          </w:tcPr>
          <w:p w14:paraId="47B0BE77">
            <w:pPr>
              <w:pStyle w:val="125"/>
              <w:pageBreakBefore w:val="0"/>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如破损及时报修</w:t>
            </w:r>
          </w:p>
        </w:tc>
      </w:tr>
      <w:tr w14:paraId="7618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92" w:hRule="exact"/>
          <w:jc w:val="center"/>
        </w:trPr>
        <w:tc>
          <w:tcPr>
            <w:tcW w:w="1314" w:type="dxa"/>
            <w:shd w:val="clear" w:color="auto" w:fill="FFFFFF"/>
          </w:tcPr>
          <w:p w14:paraId="689CCAD3">
            <w:pPr>
              <w:pStyle w:val="125"/>
              <w:pageBreakBefore w:val="0"/>
              <w:kinsoku/>
              <w:wordWrap/>
              <w:overflowPunct/>
              <w:topLinePunct w:val="0"/>
              <w:autoSpaceDE/>
              <w:autoSpaceDN/>
              <w:bidi w:val="0"/>
              <w:adjustRightInd/>
              <w:spacing w:line="560" w:lineRule="exact"/>
              <w:ind w:left="0" w:leftChars="0"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体重秤</w:t>
            </w:r>
          </w:p>
        </w:tc>
        <w:tc>
          <w:tcPr>
            <w:tcW w:w="2981" w:type="dxa"/>
            <w:shd w:val="clear" w:color="auto" w:fill="FFFFFF"/>
          </w:tcPr>
          <w:p w14:paraId="768EB475">
            <w:pPr>
              <w:pStyle w:val="125"/>
              <w:pageBreakBefore w:val="0"/>
              <w:kinsoku/>
              <w:wordWrap/>
              <w:overflowPunct/>
              <w:topLinePunct w:val="0"/>
              <w:autoSpaceDE/>
              <w:autoSpaceDN/>
              <w:bidi w:val="0"/>
              <w:adjustRightInd/>
              <w:spacing w:line="560" w:lineRule="exact"/>
              <w:ind w:firstLine="800"/>
              <w:jc w:val="left"/>
              <w:rPr>
                <w:rFonts w:hint="eastAsia" w:ascii="仿宋" w:hAnsi="仿宋" w:eastAsia="仿宋" w:cs="仿宋"/>
                <w:color w:val="auto"/>
                <w:sz w:val="24"/>
                <w:szCs w:val="24"/>
              </w:rPr>
            </w:pPr>
            <w:r>
              <w:rPr>
                <w:rFonts w:hint="eastAsia" w:ascii="仿宋" w:hAnsi="仿宋" w:eastAsia="仿宋" w:cs="仿宋"/>
                <w:color w:val="auto"/>
                <w:sz w:val="24"/>
                <w:szCs w:val="24"/>
              </w:rPr>
              <w:t>无灰尘、污迹</w:t>
            </w:r>
          </w:p>
        </w:tc>
        <w:tc>
          <w:tcPr>
            <w:tcW w:w="1692" w:type="dxa"/>
            <w:shd w:val="clear" w:color="auto" w:fill="FFFFFF"/>
          </w:tcPr>
          <w:p w14:paraId="6B8FF8D0">
            <w:pPr>
              <w:pStyle w:val="125"/>
              <w:pageBreakBefore w:val="0"/>
              <w:kinsoku/>
              <w:wordWrap/>
              <w:overflowPunct/>
              <w:topLinePunct w:val="0"/>
              <w:autoSpaceDE/>
              <w:autoSpaceDN/>
              <w:bidi w:val="0"/>
              <w:adjustRightInd/>
              <w:spacing w:line="560" w:lineRule="exact"/>
              <w:ind w:firstLine="360"/>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607" w:type="dxa"/>
            <w:shd w:val="clear" w:color="auto" w:fill="FFFFFF"/>
          </w:tcPr>
          <w:p w14:paraId="78D409C0">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p>
        </w:tc>
      </w:tr>
      <w:tr w14:paraId="7E2D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2" w:hRule="exact"/>
          <w:jc w:val="center"/>
        </w:trPr>
        <w:tc>
          <w:tcPr>
            <w:tcW w:w="1314" w:type="dxa"/>
            <w:shd w:val="clear" w:color="auto" w:fill="FFFFFF"/>
          </w:tcPr>
          <w:p w14:paraId="5B156EC6">
            <w:pPr>
              <w:pStyle w:val="125"/>
              <w:pageBreakBefore w:val="0"/>
              <w:kinsoku/>
              <w:wordWrap/>
              <w:overflowPunct/>
              <w:topLinePunct w:val="0"/>
              <w:autoSpaceDE/>
              <w:autoSpaceDN/>
              <w:bidi w:val="0"/>
              <w:adjustRightInd/>
              <w:spacing w:line="560" w:lineRule="exact"/>
              <w:ind w:left="0" w:leftChars="0"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电话机</w:t>
            </w:r>
          </w:p>
        </w:tc>
        <w:tc>
          <w:tcPr>
            <w:tcW w:w="2981" w:type="dxa"/>
            <w:shd w:val="clear" w:color="auto" w:fill="FFFFFF"/>
          </w:tcPr>
          <w:p w14:paraId="55D259DE">
            <w:pPr>
              <w:pStyle w:val="125"/>
              <w:pageBreakBefore w:val="0"/>
              <w:kinsoku/>
              <w:wordWrap/>
              <w:overflowPunct/>
              <w:topLinePunct w:val="0"/>
              <w:autoSpaceDE/>
              <w:autoSpaceDN/>
              <w:bidi w:val="0"/>
              <w:adjustRightInd/>
              <w:spacing w:line="560" w:lineRule="exact"/>
              <w:ind w:firstLine="440"/>
              <w:jc w:val="left"/>
              <w:rPr>
                <w:rFonts w:hint="eastAsia" w:ascii="仿宋" w:hAnsi="仿宋" w:eastAsia="仿宋" w:cs="仿宋"/>
                <w:color w:val="auto"/>
                <w:sz w:val="24"/>
                <w:szCs w:val="24"/>
              </w:rPr>
            </w:pPr>
            <w:r>
              <w:rPr>
                <w:rFonts w:hint="eastAsia" w:ascii="仿宋" w:hAnsi="仿宋" w:eastAsia="仿宋" w:cs="仿宋"/>
                <w:color w:val="auto"/>
                <w:sz w:val="24"/>
                <w:szCs w:val="24"/>
              </w:rPr>
              <w:t>清洁，无污迹、异味</w:t>
            </w:r>
          </w:p>
        </w:tc>
        <w:tc>
          <w:tcPr>
            <w:tcW w:w="1692" w:type="dxa"/>
            <w:shd w:val="clear" w:color="auto" w:fill="FFFFFF"/>
          </w:tcPr>
          <w:p w14:paraId="39F092AB">
            <w:pPr>
              <w:pStyle w:val="125"/>
              <w:pageBreakBefore w:val="0"/>
              <w:kinsoku/>
              <w:wordWrap/>
              <w:overflowPunct/>
              <w:topLinePunct w:val="0"/>
              <w:autoSpaceDE/>
              <w:autoSpaceDN/>
              <w:bidi w:val="0"/>
              <w:adjustRightInd/>
              <w:spacing w:line="560" w:lineRule="exact"/>
              <w:ind w:firstLine="260"/>
              <w:jc w:val="left"/>
              <w:rPr>
                <w:rFonts w:hint="eastAsia" w:ascii="仿宋" w:hAnsi="仿宋" w:eastAsia="仿宋" w:cs="仿宋"/>
                <w:color w:val="auto"/>
                <w:sz w:val="24"/>
                <w:szCs w:val="24"/>
              </w:rPr>
            </w:pPr>
            <w:r>
              <w:rPr>
                <w:rFonts w:hint="eastAsia" w:ascii="仿宋" w:hAnsi="仿宋" w:eastAsia="仿宋" w:cs="仿宋"/>
                <w:color w:val="auto"/>
                <w:sz w:val="24"/>
                <w:szCs w:val="24"/>
              </w:rPr>
              <w:t>每2天1次</w:t>
            </w:r>
          </w:p>
        </w:tc>
        <w:tc>
          <w:tcPr>
            <w:tcW w:w="2607" w:type="dxa"/>
            <w:shd w:val="clear" w:color="auto" w:fill="FFFFFF"/>
          </w:tcPr>
          <w:p w14:paraId="17E89C27">
            <w:pPr>
              <w:pStyle w:val="125"/>
              <w:pageBreakBefore w:val="0"/>
              <w:kinsoku/>
              <w:wordWrap/>
              <w:overflowPunct/>
              <w:topLinePunct w:val="0"/>
              <w:autoSpaceDE/>
              <w:autoSpaceDN/>
              <w:bidi w:val="0"/>
              <w:adjustRightInd/>
              <w:spacing w:line="560" w:lineRule="exact"/>
              <w:ind w:firstLine="260"/>
              <w:jc w:val="left"/>
              <w:rPr>
                <w:rFonts w:hint="eastAsia" w:ascii="仿宋" w:hAnsi="仿宋" w:eastAsia="仿宋" w:cs="仿宋"/>
                <w:color w:val="auto"/>
                <w:sz w:val="24"/>
                <w:szCs w:val="24"/>
              </w:rPr>
            </w:pPr>
            <w:r>
              <w:rPr>
                <w:rFonts w:hint="eastAsia" w:ascii="仿宋" w:hAnsi="仿宋" w:eastAsia="仿宋" w:cs="仿宋"/>
                <w:color w:val="auto"/>
                <w:sz w:val="24"/>
                <w:szCs w:val="24"/>
              </w:rPr>
              <w:t>清洁时按下电话按键</w:t>
            </w:r>
          </w:p>
        </w:tc>
      </w:tr>
      <w:tr w14:paraId="687F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32" w:hRule="exact"/>
          <w:jc w:val="center"/>
        </w:trPr>
        <w:tc>
          <w:tcPr>
            <w:tcW w:w="1314" w:type="dxa"/>
            <w:shd w:val="clear" w:color="auto" w:fill="FFFFFF"/>
          </w:tcPr>
          <w:p w14:paraId="4059AF2D">
            <w:pPr>
              <w:pStyle w:val="125"/>
              <w:pageBreakBefore w:val="0"/>
              <w:kinsoku/>
              <w:wordWrap/>
              <w:overflowPunct/>
              <w:topLinePunct w:val="0"/>
              <w:autoSpaceDE/>
              <w:autoSpaceDN/>
              <w:bidi w:val="0"/>
              <w:adjustRightInd/>
              <w:spacing w:line="560" w:lineRule="exact"/>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空调出风口</w:t>
            </w:r>
          </w:p>
        </w:tc>
        <w:tc>
          <w:tcPr>
            <w:tcW w:w="2981" w:type="dxa"/>
            <w:shd w:val="clear" w:color="auto" w:fill="FFFFFF"/>
          </w:tcPr>
          <w:p w14:paraId="08B950D4">
            <w:pPr>
              <w:pStyle w:val="125"/>
              <w:pageBreakBefore w:val="0"/>
              <w:kinsoku/>
              <w:wordWrap/>
              <w:overflowPunct/>
              <w:topLinePunct w:val="0"/>
              <w:autoSpaceDE/>
              <w:autoSpaceDN/>
              <w:bidi w:val="0"/>
              <w:adjustRightInd/>
              <w:spacing w:line="560" w:lineRule="exact"/>
              <w:ind w:firstLine="380"/>
              <w:jc w:val="left"/>
              <w:rPr>
                <w:rFonts w:hint="eastAsia" w:ascii="仿宋" w:hAnsi="仿宋" w:eastAsia="仿宋" w:cs="仿宋"/>
                <w:color w:val="auto"/>
                <w:sz w:val="24"/>
                <w:szCs w:val="24"/>
              </w:rPr>
            </w:pPr>
            <w:r>
              <w:rPr>
                <w:rFonts w:hint="eastAsia" w:ascii="仿宋" w:hAnsi="仿宋" w:eastAsia="仿宋" w:cs="仿宋"/>
                <w:color w:val="auto"/>
                <w:sz w:val="24"/>
                <w:szCs w:val="24"/>
              </w:rPr>
              <w:t>无冷凝水，清洁无灰尘</w:t>
            </w:r>
          </w:p>
        </w:tc>
        <w:tc>
          <w:tcPr>
            <w:tcW w:w="1692" w:type="dxa"/>
            <w:shd w:val="clear" w:color="auto" w:fill="FFFFFF"/>
          </w:tcPr>
          <w:p w14:paraId="4683A85D">
            <w:pPr>
              <w:pStyle w:val="125"/>
              <w:pageBreakBefore w:val="0"/>
              <w:kinsoku/>
              <w:wordWrap/>
              <w:overflowPunct/>
              <w:topLinePunct w:val="0"/>
              <w:autoSpaceDE/>
              <w:autoSpaceDN/>
              <w:bidi w:val="0"/>
              <w:adjustRightInd/>
              <w:spacing w:line="560" w:lineRule="exact"/>
              <w:ind w:firstLine="360"/>
              <w:rPr>
                <w:rFonts w:hint="eastAsia" w:ascii="仿宋" w:hAnsi="仿宋" w:eastAsia="仿宋" w:cs="仿宋"/>
                <w:color w:val="auto"/>
                <w:sz w:val="24"/>
                <w:szCs w:val="24"/>
              </w:rPr>
            </w:pPr>
            <w:r>
              <w:rPr>
                <w:rFonts w:hint="eastAsia" w:ascii="仿宋" w:hAnsi="仿宋" w:eastAsia="仿宋" w:cs="仿宋"/>
                <w:color w:val="auto"/>
                <w:sz w:val="24"/>
                <w:szCs w:val="24"/>
              </w:rPr>
              <w:t>每周一次</w:t>
            </w:r>
          </w:p>
        </w:tc>
        <w:tc>
          <w:tcPr>
            <w:tcW w:w="2607" w:type="dxa"/>
            <w:shd w:val="clear" w:color="auto" w:fill="FFFFFF"/>
          </w:tcPr>
          <w:p w14:paraId="6F528A3E">
            <w:pPr>
              <w:pStyle w:val="125"/>
              <w:pageBreakBefore w:val="0"/>
              <w:kinsoku/>
              <w:wordWrap/>
              <w:overflowPunct/>
              <w:topLinePunct w:val="0"/>
              <w:autoSpaceDE/>
              <w:autoSpaceDN/>
              <w:bidi w:val="0"/>
              <w:adjustRightInd/>
              <w:spacing w:line="5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不可站在病人用椅上</w:t>
            </w:r>
          </w:p>
        </w:tc>
      </w:tr>
    </w:tbl>
    <w:p w14:paraId="6BFE8436">
      <w:pPr>
        <w:pStyle w:val="126"/>
        <w:pageBreakBefore w:val="0"/>
        <w:kinsoku/>
        <w:wordWrap/>
        <w:overflowPunct/>
        <w:topLinePunct w:val="0"/>
        <w:autoSpaceDE/>
        <w:autoSpaceDN/>
        <w:bidi w:val="0"/>
        <w:adjustRightInd/>
        <w:spacing w:line="560" w:lineRule="exact"/>
        <w:ind w:left="86"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说明：公共医疗用房：医生办公室、护士站、主任办公室、配餐间、开水间、污洗间、值班 房、库房、处置间、诊疗室、专科检查室、清创室、教研活动室。</w:t>
      </w:r>
    </w:p>
    <w:p w14:paraId="58F2930F">
      <w:pPr>
        <w:pStyle w:val="126"/>
        <w:pageBreakBefore w:val="0"/>
        <w:kinsoku/>
        <w:wordWrap/>
        <w:overflowPunct/>
        <w:topLinePunct w:val="0"/>
        <w:autoSpaceDE/>
        <w:autoSpaceDN/>
        <w:bidi w:val="0"/>
        <w:adjustRightInd/>
        <w:spacing w:line="560" w:lineRule="exact"/>
        <w:ind w:left="86" w:firstLine="482" w:firstLineChars="20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8、医院外环境日常保洁项目要求</w:t>
      </w:r>
    </w:p>
    <w:tbl>
      <w:tblPr>
        <w:tblStyle w:val="47"/>
        <w:tblW w:w="8380" w:type="dxa"/>
        <w:jc w:val="center"/>
        <w:tblLayout w:type="fixed"/>
        <w:tblCellMar>
          <w:top w:w="0" w:type="dxa"/>
          <w:left w:w="10" w:type="dxa"/>
          <w:bottom w:w="0" w:type="dxa"/>
          <w:right w:w="10" w:type="dxa"/>
        </w:tblCellMar>
      </w:tblPr>
      <w:tblGrid>
        <w:gridCol w:w="1249"/>
        <w:gridCol w:w="2295"/>
        <w:gridCol w:w="2430"/>
        <w:gridCol w:w="2406"/>
      </w:tblGrid>
      <w:tr w14:paraId="12CD5AD4">
        <w:tblPrEx>
          <w:tblCellMar>
            <w:top w:w="0" w:type="dxa"/>
            <w:left w:w="10" w:type="dxa"/>
            <w:bottom w:w="0" w:type="dxa"/>
            <w:right w:w="10" w:type="dxa"/>
          </w:tblCellMar>
        </w:tblPrEx>
        <w:trPr>
          <w:trHeight w:val="553" w:hRule="exact"/>
          <w:jc w:val="center"/>
        </w:trPr>
        <w:tc>
          <w:tcPr>
            <w:tcW w:w="1249" w:type="dxa"/>
            <w:tcBorders>
              <w:top w:val="single" w:color="auto" w:sz="4" w:space="0"/>
              <w:left w:val="single" w:color="auto" w:sz="4" w:space="0"/>
            </w:tcBorders>
            <w:shd w:val="clear" w:color="auto" w:fill="FFFFFF"/>
            <w:vAlign w:val="center"/>
          </w:tcPr>
          <w:p w14:paraId="2754AE4C">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项目</w:t>
            </w:r>
          </w:p>
        </w:tc>
        <w:tc>
          <w:tcPr>
            <w:tcW w:w="2295" w:type="dxa"/>
            <w:tcBorders>
              <w:top w:val="single" w:color="auto" w:sz="4" w:space="0"/>
              <w:left w:val="single" w:color="auto" w:sz="4" w:space="0"/>
            </w:tcBorders>
            <w:shd w:val="clear" w:color="auto" w:fill="FFFFFF"/>
            <w:vAlign w:val="center"/>
          </w:tcPr>
          <w:p w14:paraId="445A1EAE">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标准（质量要求）</w:t>
            </w:r>
          </w:p>
        </w:tc>
        <w:tc>
          <w:tcPr>
            <w:tcW w:w="2430" w:type="dxa"/>
            <w:tcBorders>
              <w:top w:val="single" w:color="auto" w:sz="4" w:space="0"/>
              <w:left w:val="single" w:color="auto" w:sz="4" w:space="0"/>
            </w:tcBorders>
            <w:shd w:val="clear" w:color="auto" w:fill="FFFFFF"/>
            <w:vAlign w:val="center"/>
          </w:tcPr>
          <w:p w14:paraId="6EC50E79">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频次</w:t>
            </w:r>
          </w:p>
        </w:tc>
        <w:tc>
          <w:tcPr>
            <w:tcW w:w="2406" w:type="dxa"/>
            <w:tcBorders>
              <w:top w:val="single" w:color="auto" w:sz="4" w:space="0"/>
              <w:left w:val="single" w:color="auto" w:sz="4" w:space="0"/>
              <w:right w:val="single" w:color="auto" w:sz="4" w:space="0"/>
            </w:tcBorders>
            <w:shd w:val="clear" w:color="auto" w:fill="FFFFFF"/>
            <w:vAlign w:val="center"/>
          </w:tcPr>
          <w:p w14:paraId="3CF97881">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注意事项</w:t>
            </w:r>
          </w:p>
        </w:tc>
      </w:tr>
      <w:tr w14:paraId="2F9DD525">
        <w:tblPrEx>
          <w:tblCellMar>
            <w:top w:w="0" w:type="dxa"/>
            <w:left w:w="10" w:type="dxa"/>
            <w:bottom w:w="0" w:type="dxa"/>
            <w:right w:w="10" w:type="dxa"/>
          </w:tblCellMar>
        </w:tblPrEx>
        <w:trPr>
          <w:trHeight w:val="1326"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1A80260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主干道地面、台阶</w:t>
            </w:r>
          </w:p>
        </w:tc>
        <w:tc>
          <w:tcPr>
            <w:tcW w:w="2295" w:type="dxa"/>
            <w:tcBorders>
              <w:top w:val="single" w:color="auto" w:sz="4" w:space="0"/>
              <w:left w:val="single" w:color="auto" w:sz="4" w:space="0"/>
              <w:bottom w:val="single" w:color="auto" w:sz="4" w:space="0"/>
            </w:tcBorders>
            <w:shd w:val="clear" w:color="auto" w:fill="FFFFFF"/>
            <w:vAlign w:val="center"/>
          </w:tcPr>
          <w:p w14:paraId="6B02F34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无瓜果皮、纸屑、枯叶、烟头、呕吐物、污物等</w:t>
            </w:r>
          </w:p>
        </w:tc>
        <w:tc>
          <w:tcPr>
            <w:tcW w:w="2430" w:type="dxa"/>
            <w:tcBorders>
              <w:top w:val="single" w:color="auto" w:sz="4" w:space="0"/>
              <w:left w:val="single" w:color="auto" w:sz="4" w:space="0"/>
              <w:bottom w:val="single" w:color="auto" w:sz="4" w:space="0"/>
            </w:tcBorders>
            <w:shd w:val="clear" w:color="auto" w:fill="FFFFFF"/>
            <w:vAlign w:val="center"/>
          </w:tcPr>
          <w:p w14:paraId="2BF9F46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1、每天二次（大扫）</w:t>
            </w:r>
          </w:p>
          <w:p w14:paraId="2F460BD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巡回保洁 维护每</w:t>
            </w:r>
          </w:p>
          <w:p w14:paraId="0EB51B7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小 时一次</w:t>
            </w:r>
          </w:p>
          <w:p w14:paraId="3899D07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rPr>
              <w:tab/>
            </w:r>
            <w:r>
              <w:rPr>
                <w:rFonts w:hint="eastAsia" w:ascii="仿宋" w:hAnsi="仿宋" w:eastAsia="仿宋" w:cs="仿宋"/>
                <w:color w:val="auto"/>
                <w:sz w:val="24"/>
                <w:szCs w:val="24"/>
              </w:rPr>
              <w:t>随脏随扫</w:t>
            </w:r>
          </w:p>
        </w:tc>
        <w:tc>
          <w:tcPr>
            <w:tcW w:w="2406" w:type="dxa"/>
            <w:tcBorders>
              <w:top w:val="single" w:color="auto" w:sz="4" w:space="0"/>
              <w:left w:val="single" w:color="auto" w:sz="4" w:space="0"/>
              <w:bottom w:val="single" w:color="auto" w:sz="4" w:space="0"/>
              <w:right w:val="single" w:color="auto" w:sz="4" w:space="0"/>
            </w:tcBorders>
            <w:shd w:val="clear" w:color="auto" w:fill="FFFFFF"/>
            <w:vAlign w:val="center"/>
          </w:tcPr>
          <w:p w14:paraId="0EE2C7B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避免扬尘、触碰行人、地面湿滑</w:t>
            </w:r>
          </w:p>
        </w:tc>
      </w:tr>
      <w:tr w14:paraId="644AE640">
        <w:tblPrEx>
          <w:tblCellMar>
            <w:top w:w="0" w:type="dxa"/>
            <w:left w:w="10" w:type="dxa"/>
            <w:bottom w:w="0" w:type="dxa"/>
            <w:right w:w="10" w:type="dxa"/>
          </w:tblCellMar>
        </w:tblPrEx>
        <w:trPr>
          <w:trHeight w:val="2027"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0F24CAC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窖井盖</w:t>
            </w:r>
          </w:p>
        </w:tc>
        <w:tc>
          <w:tcPr>
            <w:tcW w:w="2295" w:type="dxa"/>
            <w:tcBorders>
              <w:top w:val="single" w:color="auto" w:sz="4" w:space="0"/>
              <w:left w:val="single" w:color="auto" w:sz="4" w:space="0"/>
              <w:bottom w:val="single" w:color="auto" w:sz="4" w:space="0"/>
            </w:tcBorders>
            <w:shd w:val="clear" w:color="auto" w:fill="FFFFFF"/>
            <w:vAlign w:val="center"/>
          </w:tcPr>
          <w:p w14:paraId="6F941A2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无晃动，表面无痕迹、污迹， 下水孔无阻塞、破损</w:t>
            </w:r>
          </w:p>
        </w:tc>
        <w:tc>
          <w:tcPr>
            <w:tcW w:w="2430" w:type="dxa"/>
            <w:tcBorders>
              <w:top w:val="single" w:color="auto" w:sz="4" w:space="0"/>
              <w:left w:val="single" w:color="auto" w:sz="4" w:space="0"/>
              <w:bottom w:val="single" w:color="auto" w:sz="4" w:space="0"/>
            </w:tcBorders>
            <w:shd w:val="clear" w:color="auto" w:fill="FFFFFF"/>
            <w:vAlign w:val="center"/>
          </w:tcPr>
          <w:p w14:paraId="5B836F8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2406" w:type="dxa"/>
            <w:tcBorders>
              <w:top w:val="single" w:color="auto" w:sz="4" w:space="0"/>
              <w:left w:val="single" w:color="auto" w:sz="4" w:space="0"/>
              <w:bottom w:val="single" w:color="auto" w:sz="4" w:space="0"/>
              <w:right w:val="single" w:color="auto" w:sz="4" w:space="0"/>
            </w:tcBorders>
            <w:shd w:val="clear" w:color="auto" w:fill="FFFFFF"/>
            <w:vAlign w:val="center"/>
          </w:tcPr>
          <w:p w14:paraId="562E8F5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发现缺失、破损、晃动应立即报修，避免行人发生意外，周边无积水</w:t>
            </w:r>
          </w:p>
        </w:tc>
      </w:tr>
      <w:tr w14:paraId="110112B2">
        <w:tblPrEx>
          <w:tblCellMar>
            <w:top w:w="0" w:type="dxa"/>
            <w:left w:w="10" w:type="dxa"/>
            <w:bottom w:w="0" w:type="dxa"/>
            <w:right w:w="10" w:type="dxa"/>
          </w:tblCellMar>
        </w:tblPrEx>
        <w:trPr>
          <w:trHeight w:val="1071"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382E5D1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绿化带、花坛</w:t>
            </w:r>
          </w:p>
        </w:tc>
        <w:tc>
          <w:tcPr>
            <w:tcW w:w="2295" w:type="dxa"/>
            <w:tcBorders>
              <w:top w:val="single" w:color="auto" w:sz="4" w:space="0"/>
              <w:left w:val="single" w:color="auto" w:sz="4" w:space="0"/>
              <w:bottom w:val="single" w:color="auto" w:sz="4" w:space="0"/>
            </w:tcBorders>
            <w:shd w:val="clear" w:color="auto" w:fill="FFFFFF"/>
            <w:vAlign w:val="center"/>
          </w:tcPr>
          <w:p w14:paraId="76673A2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无灰尘、枯枝败叶、杂物、虫 害、异味，美观</w:t>
            </w:r>
          </w:p>
        </w:tc>
        <w:tc>
          <w:tcPr>
            <w:tcW w:w="2430" w:type="dxa"/>
            <w:tcBorders>
              <w:top w:val="single" w:color="auto" w:sz="4" w:space="0"/>
              <w:left w:val="single" w:color="auto" w:sz="4" w:space="0"/>
              <w:bottom w:val="single" w:color="auto" w:sz="4" w:space="0"/>
            </w:tcBorders>
            <w:shd w:val="clear" w:color="auto" w:fill="FFFFFF"/>
            <w:vAlign w:val="center"/>
          </w:tcPr>
          <w:p w14:paraId="3643853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2406" w:type="dxa"/>
            <w:tcBorders>
              <w:top w:val="single" w:color="auto" w:sz="4" w:space="0"/>
              <w:left w:val="single" w:color="auto" w:sz="4" w:space="0"/>
              <w:bottom w:val="single" w:color="auto" w:sz="4" w:space="0"/>
              <w:right w:val="single" w:color="auto" w:sz="4" w:space="0"/>
            </w:tcBorders>
            <w:shd w:val="clear" w:color="auto" w:fill="FFFFFF"/>
            <w:vAlign w:val="center"/>
          </w:tcPr>
          <w:p w14:paraId="75112F1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1BD3574D">
        <w:tblPrEx>
          <w:tblCellMar>
            <w:top w:w="0" w:type="dxa"/>
            <w:left w:w="10" w:type="dxa"/>
            <w:bottom w:w="0" w:type="dxa"/>
            <w:right w:w="10" w:type="dxa"/>
          </w:tblCellMar>
        </w:tblPrEx>
        <w:trPr>
          <w:trHeight w:val="1301"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2ACC758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路灯杆、罩</w:t>
            </w:r>
          </w:p>
        </w:tc>
        <w:tc>
          <w:tcPr>
            <w:tcW w:w="2295" w:type="dxa"/>
            <w:tcBorders>
              <w:top w:val="single" w:color="auto" w:sz="4" w:space="0"/>
              <w:left w:val="single" w:color="auto" w:sz="4" w:space="0"/>
              <w:bottom w:val="single" w:color="auto" w:sz="4" w:space="0"/>
            </w:tcBorders>
            <w:shd w:val="clear" w:color="auto" w:fill="FFFFFF"/>
            <w:vAlign w:val="center"/>
          </w:tcPr>
          <w:p w14:paraId="5D27E48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无灰尘、污迹</w:t>
            </w:r>
          </w:p>
        </w:tc>
        <w:tc>
          <w:tcPr>
            <w:tcW w:w="2430" w:type="dxa"/>
            <w:tcBorders>
              <w:top w:val="single" w:color="auto" w:sz="4" w:space="0"/>
              <w:left w:val="single" w:color="auto" w:sz="4" w:space="0"/>
              <w:bottom w:val="single" w:color="auto" w:sz="4" w:space="0"/>
            </w:tcBorders>
            <w:shd w:val="clear" w:color="auto" w:fill="FFFFFF"/>
            <w:vAlign w:val="center"/>
          </w:tcPr>
          <w:p w14:paraId="0620B0E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每三天一次</w:t>
            </w:r>
          </w:p>
        </w:tc>
        <w:tc>
          <w:tcPr>
            <w:tcW w:w="2406" w:type="dxa"/>
            <w:tcBorders>
              <w:top w:val="single" w:color="auto" w:sz="4" w:space="0"/>
              <w:left w:val="single" w:color="auto" w:sz="4" w:space="0"/>
              <w:bottom w:val="single" w:color="auto" w:sz="4" w:space="0"/>
              <w:right w:val="single" w:color="auto" w:sz="4" w:space="0"/>
            </w:tcBorders>
            <w:shd w:val="clear" w:color="auto" w:fill="FFFFFF"/>
            <w:vAlign w:val="center"/>
          </w:tcPr>
          <w:p w14:paraId="0C7FD80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防止触电，避免损坏灯罩、高空坠落</w:t>
            </w:r>
          </w:p>
        </w:tc>
      </w:tr>
      <w:tr w14:paraId="0285CA42">
        <w:tblPrEx>
          <w:tblCellMar>
            <w:top w:w="0" w:type="dxa"/>
            <w:left w:w="10" w:type="dxa"/>
            <w:bottom w:w="0" w:type="dxa"/>
            <w:right w:w="10" w:type="dxa"/>
          </w:tblCellMar>
        </w:tblPrEx>
        <w:trPr>
          <w:trHeight w:val="1399"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0118303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绿化带周边的 石凳、石椅、石 桌</w:t>
            </w:r>
          </w:p>
        </w:tc>
        <w:tc>
          <w:tcPr>
            <w:tcW w:w="2295" w:type="dxa"/>
            <w:tcBorders>
              <w:top w:val="single" w:color="auto" w:sz="4" w:space="0"/>
              <w:left w:val="single" w:color="auto" w:sz="4" w:space="0"/>
              <w:bottom w:val="single" w:color="auto" w:sz="4" w:space="0"/>
            </w:tcBorders>
            <w:shd w:val="clear" w:color="auto" w:fill="FFFFFF"/>
            <w:vAlign w:val="center"/>
          </w:tcPr>
          <w:p w14:paraId="35D7DB0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无灰尘、污迹、垃圾、水迹</w:t>
            </w:r>
          </w:p>
        </w:tc>
        <w:tc>
          <w:tcPr>
            <w:tcW w:w="2430" w:type="dxa"/>
            <w:tcBorders>
              <w:top w:val="single" w:color="auto" w:sz="4" w:space="0"/>
              <w:left w:val="single" w:color="auto" w:sz="4" w:space="0"/>
              <w:bottom w:val="single" w:color="auto" w:sz="4" w:space="0"/>
            </w:tcBorders>
            <w:shd w:val="clear" w:color="auto" w:fill="FFFFFF"/>
            <w:vAlign w:val="center"/>
          </w:tcPr>
          <w:p w14:paraId="33C128F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每天三次</w:t>
            </w:r>
          </w:p>
          <w:p w14:paraId="69554A8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随脏随扫</w:t>
            </w:r>
          </w:p>
        </w:tc>
        <w:tc>
          <w:tcPr>
            <w:tcW w:w="2406" w:type="dxa"/>
            <w:tcBorders>
              <w:top w:val="single" w:color="auto" w:sz="4" w:space="0"/>
              <w:left w:val="single" w:color="auto" w:sz="4" w:space="0"/>
              <w:bottom w:val="single" w:color="auto" w:sz="4" w:space="0"/>
              <w:right w:val="single" w:color="auto" w:sz="4" w:space="0"/>
            </w:tcBorders>
            <w:shd w:val="clear" w:color="auto" w:fill="FFFFFF"/>
            <w:vAlign w:val="center"/>
          </w:tcPr>
          <w:p w14:paraId="7250D51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28307B7E">
        <w:tblPrEx>
          <w:tblCellMar>
            <w:top w:w="0" w:type="dxa"/>
            <w:left w:w="10" w:type="dxa"/>
            <w:bottom w:w="0" w:type="dxa"/>
            <w:right w:w="10" w:type="dxa"/>
          </w:tblCellMar>
        </w:tblPrEx>
        <w:trPr>
          <w:trHeight w:val="998"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615E70C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垃圾桶</w:t>
            </w:r>
          </w:p>
        </w:tc>
        <w:tc>
          <w:tcPr>
            <w:tcW w:w="2295" w:type="dxa"/>
            <w:tcBorders>
              <w:top w:val="single" w:color="auto" w:sz="4" w:space="0"/>
              <w:left w:val="single" w:color="auto" w:sz="4" w:space="0"/>
              <w:bottom w:val="single" w:color="auto" w:sz="4" w:space="0"/>
            </w:tcBorders>
            <w:shd w:val="clear" w:color="auto" w:fill="FFFFFF"/>
            <w:vAlign w:val="center"/>
          </w:tcPr>
          <w:p w14:paraId="66C6554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无污迹、漫溢、异味，周边无 蚊蝇</w:t>
            </w:r>
          </w:p>
        </w:tc>
        <w:tc>
          <w:tcPr>
            <w:tcW w:w="2430" w:type="dxa"/>
            <w:tcBorders>
              <w:top w:val="single" w:color="auto" w:sz="4" w:space="0"/>
              <w:left w:val="single" w:color="auto" w:sz="4" w:space="0"/>
              <w:bottom w:val="single" w:color="auto" w:sz="4" w:space="0"/>
            </w:tcBorders>
            <w:shd w:val="clear" w:color="auto" w:fill="FFFFFF"/>
            <w:vAlign w:val="center"/>
          </w:tcPr>
          <w:p w14:paraId="3CFB5BB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每天二次</w:t>
            </w:r>
          </w:p>
        </w:tc>
        <w:tc>
          <w:tcPr>
            <w:tcW w:w="2406" w:type="dxa"/>
            <w:tcBorders>
              <w:top w:val="single" w:color="auto" w:sz="4" w:space="0"/>
              <w:left w:val="single" w:color="auto" w:sz="4" w:space="0"/>
              <w:bottom w:val="single" w:color="auto" w:sz="4" w:space="0"/>
              <w:right w:val="single" w:color="auto" w:sz="4" w:space="0"/>
            </w:tcBorders>
            <w:shd w:val="clear" w:color="auto" w:fill="FFFFFF"/>
            <w:vAlign w:val="center"/>
          </w:tcPr>
          <w:p w14:paraId="26C1DBA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无污水滴漏</w:t>
            </w:r>
          </w:p>
        </w:tc>
      </w:tr>
      <w:tr w14:paraId="62C3C668">
        <w:tblPrEx>
          <w:tblCellMar>
            <w:top w:w="0" w:type="dxa"/>
            <w:left w:w="10" w:type="dxa"/>
            <w:bottom w:w="0" w:type="dxa"/>
            <w:right w:w="10" w:type="dxa"/>
          </w:tblCellMar>
        </w:tblPrEx>
        <w:trPr>
          <w:trHeight w:val="997"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0B04BDC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宣传栏、框、面</w:t>
            </w:r>
          </w:p>
        </w:tc>
        <w:tc>
          <w:tcPr>
            <w:tcW w:w="2295" w:type="dxa"/>
            <w:tcBorders>
              <w:top w:val="single" w:color="auto" w:sz="4" w:space="0"/>
              <w:left w:val="single" w:color="auto" w:sz="4" w:space="0"/>
              <w:bottom w:val="single" w:color="auto" w:sz="4" w:space="0"/>
            </w:tcBorders>
            <w:shd w:val="clear" w:color="auto" w:fill="FFFFFF"/>
            <w:vAlign w:val="center"/>
          </w:tcPr>
          <w:p w14:paraId="1DA295A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无灰尘、污迹、脱落</w:t>
            </w:r>
          </w:p>
        </w:tc>
        <w:tc>
          <w:tcPr>
            <w:tcW w:w="2430" w:type="dxa"/>
            <w:tcBorders>
              <w:top w:val="single" w:color="auto" w:sz="4" w:space="0"/>
              <w:left w:val="single" w:color="auto" w:sz="4" w:space="0"/>
              <w:bottom w:val="single" w:color="auto" w:sz="4" w:space="0"/>
            </w:tcBorders>
            <w:shd w:val="clear" w:color="auto" w:fill="FFFFFF"/>
            <w:vAlign w:val="center"/>
          </w:tcPr>
          <w:p w14:paraId="4F80B06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每天一次</w:t>
            </w:r>
          </w:p>
        </w:tc>
        <w:tc>
          <w:tcPr>
            <w:tcW w:w="2406" w:type="dxa"/>
            <w:tcBorders>
              <w:top w:val="single" w:color="auto" w:sz="4" w:space="0"/>
              <w:left w:val="single" w:color="auto" w:sz="4" w:space="0"/>
              <w:bottom w:val="single" w:color="auto" w:sz="4" w:space="0"/>
              <w:right w:val="single" w:color="auto" w:sz="4" w:space="0"/>
            </w:tcBorders>
            <w:shd w:val="clear" w:color="auto" w:fill="FFFFFF"/>
            <w:vAlign w:val="center"/>
          </w:tcPr>
          <w:p w14:paraId="1741091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表面不可擦花</w:t>
            </w:r>
          </w:p>
        </w:tc>
      </w:tr>
    </w:tbl>
    <w:p w14:paraId="43808F85">
      <w:pPr>
        <w:pageBreakBefore w:val="0"/>
        <w:kinsoku/>
        <w:wordWrap/>
        <w:overflowPunct/>
        <w:topLinePunct w:val="0"/>
        <w:autoSpaceDE/>
        <w:autoSpaceDN/>
        <w:bidi w:val="0"/>
        <w:adjustRightInd/>
        <w:spacing w:line="56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lang w:val="zh-CN" w:bidi="zh-CN"/>
        </w:rPr>
        <w:t>9、</w:t>
      </w:r>
      <w:r>
        <w:rPr>
          <w:rFonts w:hint="eastAsia" w:ascii="仿宋" w:hAnsi="仿宋" w:eastAsia="仿宋" w:cs="仿宋"/>
          <w:b/>
          <w:bCs/>
          <w:color w:val="auto"/>
          <w:sz w:val="24"/>
          <w:szCs w:val="24"/>
        </w:rPr>
        <w:t>病区医用器物常保洁项目要求</w:t>
      </w:r>
    </w:p>
    <w:tbl>
      <w:tblPr>
        <w:tblStyle w:val="47"/>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706"/>
        <w:gridCol w:w="3110"/>
        <w:gridCol w:w="1555"/>
        <w:gridCol w:w="2173"/>
      </w:tblGrid>
      <w:tr w14:paraId="21E0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8" w:hRule="exact"/>
          <w:jc w:val="center"/>
        </w:trPr>
        <w:tc>
          <w:tcPr>
            <w:tcW w:w="1706" w:type="dxa"/>
            <w:shd w:val="clear" w:color="auto" w:fill="FFFFFF"/>
            <w:vAlign w:val="center"/>
          </w:tcPr>
          <w:p w14:paraId="636CC8EF">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项目</w:t>
            </w:r>
          </w:p>
        </w:tc>
        <w:tc>
          <w:tcPr>
            <w:tcW w:w="3110" w:type="dxa"/>
            <w:shd w:val="clear" w:color="auto" w:fill="FFFFFF"/>
            <w:vAlign w:val="center"/>
          </w:tcPr>
          <w:p w14:paraId="724A5EEC">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标准（质量要求）</w:t>
            </w:r>
          </w:p>
        </w:tc>
        <w:tc>
          <w:tcPr>
            <w:tcW w:w="1555" w:type="dxa"/>
            <w:shd w:val="clear" w:color="auto" w:fill="FFFFFF"/>
            <w:vAlign w:val="center"/>
          </w:tcPr>
          <w:p w14:paraId="59460561">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频次</w:t>
            </w:r>
          </w:p>
        </w:tc>
        <w:tc>
          <w:tcPr>
            <w:tcW w:w="2173" w:type="dxa"/>
            <w:shd w:val="clear" w:color="auto" w:fill="FFFFFF"/>
            <w:vAlign w:val="center"/>
          </w:tcPr>
          <w:p w14:paraId="416CBE43">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注意事项</w:t>
            </w:r>
          </w:p>
        </w:tc>
      </w:tr>
      <w:tr w14:paraId="16BD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2" w:hRule="exact"/>
          <w:jc w:val="center"/>
        </w:trPr>
        <w:tc>
          <w:tcPr>
            <w:tcW w:w="1706" w:type="dxa"/>
            <w:shd w:val="clear" w:color="auto" w:fill="FFFFFF"/>
            <w:vAlign w:val="center"/>
          </w:tcPr>
          <w:p w14:paraId="6FA95A9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电开水炉</w:t>
            </w:r>
          </w:p>
        </w:tc>
        <w:tc>
          <w:tcPr>
            <w:tcW w:w="3110" w:type="dxa"/>
            <w:shd w:val="clear" w:color="auto" w:fill="FFFFFF"/>
            <w:vAlign w:val="center"/>
          </w:tcPr>
          <w:p w14:paraId="678E6A5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表面无灰尘、污迹，洁净光亮</w:t>
            </w:r>
          </w:p>
        </w:tc>
        <w:tc>
          <w:tcPr>
            <w:tcW w:w="1555" w:type="dxa"/>
            <w:shd w:val="clear" w:color="auto" w:fill="FFFFFF"/>
            <w:vAlign w:val="center"/>
          </w:tcPr>
          <w:p w14:paraId="7EFF41B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173" w:type="dxa"/>
            <w:shd w:val="clear" w:color="auto" w:fill="FFFFFF"/>
            <w:vAlign w:val="center"/>
          </w:tcPr>
          <w:p w14:paraId="5A061B6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防止烫伤、触电</w:t>
            </w:r>
          </w:p>
        </w:tc>
      </w:tr>
      <w:tr w14:paraId="569F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7" w:hRule="exact"/>
          <w:jc w:val="center"/>
        </w:trPr>
        <w:tc>
          <w:tcPr>
            <w:tcW w:w="1706" w:type="dxa"/>
            <w:shd w:val="clear" w:color="auto" w:fill="FFFFFF"/>
            <w:vAlign w:val="center"/>
          </w:tcPr>
          <w:p w14:paraId="0059E9D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屏风</w:t>
            </w:r>
          </w:p>
        </w:tc>
        <w:tc>
          <w:tcPr>
            <w:tcW w:w="3110" w:type="dxa"/>
            <w:shd w:val="clear" w:color="auto" w:fill="FFFFFF"/>
            <w:vAlign w:val="center"/>
          </w:tcPr>
          <w:p w14:paraId="2E51D5A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无灰尘、破损、污迹、变形</w:t>
            </w:r>
          </w:p>
        </w:tc>
        <w:tc>
          <w:tcPr>
            <w:tcW w:w="1555" w:type="dxa"/>
            <w:shd w:val="clear" w:color="auto" w:fill="FFFFFF"/>
            <w:vAlign w:val="center"/>
          </w:tcPr>
          <w:p w14:paraId="340B879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每半月一次</w:t>
            </w:r>
          </w:p>
        </w:tc>
        <w:tc>
          <w:tcPr>
            <w:tcW w:w="2173" w:type="dxa"/>
            <w:shd w:val="clear" w:color="auto" w:fill="FFFFFF"/>
            <w:vAlign w:val="center"/>
          </w:tcPr>
          <w:p w14:paraId="79FCE87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tc>
      </w:tr>
      <w:tr w14:paraId="698A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36" w:hRule="exact"/>
          <w:jc w:val="center"/>
        </w:trPr>
        <w:tc>
          <w:tcPr>
            <w:tcW w:w="1706" w:type="dxa"/>
            <w:shd w:val="clear" w:color="auto" w:fill="FFFFFF"/>
            <w:vAlign w:val="center"/>
          </w:tcPr>
          <w:p w14:paraId="0249EDC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氧气瓶、架表面 清洁</w:t>
            </w:r>
          </w:p>
        </w:tc>
        <w:tc>
          <w:tcPr>
            <w:tcW w:w="3110" w:type="dxa"/>
            <w:shd w:val="clear" w:color="auto" w:fill="FFFFFF"/>
            <w:vAlign w:val="center"/>
          </w:tcPr>
          <w:p w14:paraId="547081E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无灰尘、污迹、漏气，标识清 晰，分区存放，</w:t>
            </w:r>
            <w:r>
              <w:rPr>
                <w:rFonts w:hint="eastAsia" w:ascii="仿宋" w:hAnsi="仿宋" w:eastAsia="仿宋" w:cs="仿宋"/>
                <w:color w:val="auto"/>
                <w:sz w:val="24"/>
                <w:szCs w:val="24"/>
                <w:lang w:val="zh-CN"/>
              </w:rPr>
              <w:t>有“</w:t>
            </w:r>
            <w:r>
              <w:rPr>
                <w:rFonts w:hint="eastAsia" w:ascii="仿宋" w:hAnsi="仿宋" w:eastAsia="仿宋" w:cs="仿宋"/>
                <w:color w:val="auto"/>
                <w:sz w:val="24"/>
                <w:szCs w:val="24"/>
              </w:rPr>
              <w:t>空”、</w:t>
            </w:r>
            <w:r>
              <w:rPr>
                <w:rFonts w:hint="eastAsia" w:ascii="仿宋" w:hAnsi="仿宋" w:eastAsia="仿宋" w:cs="仿宋"/>
                <w:color w:val="auto"/>
                <w:sz w:val="24"/>
                <w:szCs w:val="24"/>
                <w:lang w:val="zh-CN"/>
              </w:rPr>
              <w:t>“满”</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zh-CN"/>
              </w:rPr>
              <w:t>“禁</w:t>
            </w:r>
            <w:r>
              <w:rPr>
                <w:rFonts w:hint="eastAsia" w:ascii="仿宋" w:hAnsi="仿宋" w:eastAsia="仿宋" w:cs="仿宋"/>
                <w:color w:val="auto"/>
                <w:sz w:val="24"/>
                <w:szCs w:val="24"/>
              </w:rPr>
              <w:t>火”警示标识</w:t>
            </w:r>
          </w:p>
        </w:tc>
        <w:tc>
          <w:tcPr>
            <w:tcW w:w="1555" w:type="dxa"/>
            <w:shd w:val="clear" w:color="auto" w:fill="FFFFFF"/>
            <w:vAlign w:val="center"/>
          </w:tcPr>
          <w:p w14:paraId="0439000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每天一次</w:t>
            </w:r>
          </w:p>
        </w:tc>
        <w:tc>
          <w:tcPr>
            <w:tcW w:w="2173" w:type="dxa"/>
            <w:shd w:val="clear" w:color="auto" w:fill="FFFFFF"/>
            <w:vAlign w:val="center"/>
          </w:tcPr>
          <w:p w14:paraId="00D977E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抹布不可沾有油脂</w:t>
            </w:r>
          </w:p>
        </w:tc>
      </w:tr>
      <w:tr w14:paraId="74AE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7" w:hRule="exact"/>
          <w:jc w:val="center"/>
        </w:trPr>
        <w:tc>
          <w:tcPr>
            <w:tcW w:w="1706" w:type="dxa"/>
            <w:shd w:val="clear" w:color="auto" w:fill="FFFFFF"/>
            <w:vAlign w:val="center"/>
          </w:tcPr>
          <w:p w14:paraId="7BB643B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医疗废弃物容器</w:t>
            </w:r>
          </w:p>
        </w:tc>
        <w:tc>
          <w:tcPr>
            <w:tcW w:w="3110" w:type="dxa"/>
            <w:shd w:val="clear" w:color="auto" w:fill="FFFFFF"/>
            <w:vAlign w:val="center"/>
          </w:tcPr>
          <w:p w14:paraId="3700098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外表无污迹、洁净光亮，无异 味，废弃物勿外露</w:t>
            </w:r>
          </w:p>
        </w:tc>
        <w:tc>
          <w:tcPr>
            <w:tcW w:w="1555" w:type="dxa"/>
            <w:shd w:val="clear" w:color="auto" w:fill="FFFFFF"/>
            <w:vAlign w:val="center"/>
          </w:tcPr>
          <w:p w14:paraId="4A0DB14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rPr>
              <w:tab/>
            </w:r>
            <w:r>
              <w:rPr>
                <w:rFonts w:hint="eastAsia" w:ascii="仿宋" w:hAnsi="仿宋" w:eastAsia="仿宋" w:cs="仿宋"/>
                <w:color w:val="auto"/>
                <w:sz w:val="24"/>
                <w:szCs w:val="24"/>
              </w:rPr>
              <w:t>每天一次</w:t>
            </w:r>
          </w:p>
          <w:p w14:paraId="3A5FAB5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ab/>
            </w:r>
            <w:r>
              <w:rPr>
                <w:rFonts w:hint="eastAsia" w:ascii="仿宋" w:hAnsi="仿宋" w:eastAsia="仿宋" w:cs="仿宋"/>
                <w:color w:val="auto"/>
                <w:sz w:val="24"/>
                <w:szCs w:val="24"/>
              </w:rPr>
              <w:t>特殊区域 二次</w:t>
            </w:r>
          </w:p>
        </w:tc>
        <w:tc>
          <w:tcPr>
            <w:tcW w:w="2173" w:type="dxa"/>
            <w:shd w:val="clear" w:color="auto" w:fill="FFFFFF"/>
            <w:vAlign w:val="center"/>
          </w:tcPr>
          <w:p w14:paraId="65F4696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处置时满足院感规 定，周边墙壁不可有 污迹、不可漫溢</w:t>
            </w:r>
          </w:p>
        </w:tc>
      </w:tr>
    </w:tbl>
    <w:p w14:paraId="056E4AEE">
      <w:pPr>
        <w:pageBreakBefore w:val="0"/>
        <w:kinsoku/>
        <w:wordWrap/>
        <w:overflowPunct/>
        <w:topLinePunct w:val="0"/>
        <w:autoSpaceDE/>
        <w:autoSpaceDN/>
        <w:bidi w:val="0"/>
        <w:adjustRightInd/>
        <w:spacing w:line="56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rPr>
        <w:t>10、医院各类材质的地面日常保洁项目要求</w:t>
      </w:r>
    </w:p>
    <w:tbl>
      <w:tblPr>
        <w:tblStyle w:val="47"/>
        <w:tblW w:w="0" w:type="auto"/>
        <w:jc w:val="center"/>
        <w:tblLayout w:type="fixed"/>
        <w:tblCellMar>
          <w:top w:w="0" w:type="dxa"/>
          <w:left w:w="10" w:type="dxa"/>
          <w:bottom w:w="0" w:type="dxa"/>
          <w:right w:w="10" w:type="dxa"/>
        </w:tblCellMar>
      </w:tblPr>
      <w:tblGrid>
        <w:gridCol w:w="1531"/>
        <w:gridCol w:w="3005"/>
        <w:gridCol w:w="3845"/>
      </w:tblGrid>
      <w:tr w14:paraId="698C2BDB">
        <w:tblPrEx>
          <w:tblCellMar>
            <w:top w:w="0" w:type="dxa"/>
            <w:left w:w="10" w:type="dxa"/>
            <w:bottom w:w="0" w:type="dxa"/>
            <w:right w:w="10" w:type="dxa"/>
          </w:tblCellMar>
        </w:tblPrEx>
        <w:trPr>
          <w:trHeight w:val="621" w:hRule="exact"/>
          <w:jc w:val="center"/>
        </w:trPr>
        <w:tc>
          <w:tcPr>
            <w:tcW w:w="1531" w:type="dxa"/>
            <w:tcBorders>
              <w:top w:val="single" w:color="auto" w:sz="4" w:space="0"/>
              <w:left w:val="single" w:color="auto" w:sz="4" w:space="0"/>
            </w:tcBorders>
            <w:shd w:val="clear" w:color="auto" w:fill="FFFFFF"/>
            <w:vAlign w:val="center"/>
          </w:tcPr>
          <w:p w14:paraId="46C3DE93">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项目</w:t>
            </w:r>
          </w:p>
        </w:tc>
        <w:tc>
          <w:tcPr>
            <w:tcW w:w="3005" w:type="dxa"/>
            <w:tcBorders>
              <w:top w:val="single" w:color="auto" w:sz="4" w:space="0"/>
              <w:left w:val="single" w:color="auto" w:sz="4" w:space="0"/>
            </w:tcBorders>
            <w:shd w:val="clear" w:color="auto" w:fill="FFFFFF"/>
            <w:vAlign w:val="center"/>
          </w:tcPr>
          <w:p w14:paraId="435A048C">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标准（质量要求）</w:t>
            </w:r>
          </w:p>
        </w:tc>
        <w:tc>
          <w:tcPr>
            <w:tcW w:w="3845" w:type="dxa"/>
            <w:tcBorders>
              <w:top w:val="single" w:color="auto" w:sz="4" w:space="0"/>
              <w:left w:val="single" w:color="auto" w:sz="4" w:space="0"/>
              <w:right w:val="single" w:color="auto" w:sz="4" w:space="0"/>
            </w:tcBorders>
            <w:shd w:val="clear" w:color="auto" w:fill="FFFFFF"/>
            <w:vAlign w:val="center"/>
          </w:tcPr>
          <w:p w14:paraId="3632ECFC">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频次</w:t>
            </w:r>
          </w:p>
        </w:tc>
      </w:tr>
      <w:tr w14:paraId="7A05F219">
        <w:tblPrEx>
          <w:tblCellMar>
            <w:top w:w="0" w:type="dxa"/>
            <w:left w:w="10" w:type="dxa"/>
            <w:bottom w:w="0" w:type="dxa"/>
            <w:right w:w="10" w:type="dxa"/>
          </w:tblCellMar>
        </w:tblPrEx>
        <w:trPr>
          <w:trHeight w:val="634" w:hRule="exact"/>
          <w:jc w:val="center"/>
        </w:trPr>
        <w:tc>
          <w:tcPr>
            <w:tcW w:w="1531" w:type="dxa"/>
            <w:tcBorders>
              <w:top w:val="single" w:color="auto" w:sz="4" w:space="0"/>
              <w:left w:val="single" w:color="auto" w:sz="4" w:space="0"/>
            </w:tcBorders>
            <w:shd w:val="clear" w:color="auto" w:fill="FFFFFF"/>
            <w:vAlign w:val="center"/>
          </w:tcPr>
          <w:p w14:paraId="438FC8E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大理石地面</w:t>
            </w:r>
          </w:p>
        </w:tc>
        <w:tc>
          <w:tcPr>
            <w:tcW w:w="3005" w:type="dxa"/>
            <w:tcBorders>
              <w:top w:val="single" w:color="auto" w:sz="4" w:space="0"/>
              <w:left w:val="single" w:color="auto" w:sz="4" w:space="0"/>
            </w:tcBorders>
            <w:shd w:val="clear" w:color="auto" w:fill="FFFFFF"/>
            <w:vAlign w:val="center"/>
          </w:tcPr>
          <w:p w14:paraId="2D5C5C6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地面无杂物、沙尘、脚印、斑 迹、水迹，蜡面光亮，无划痕</w:t>
            </w:r>
          </w:p>
        </w:tc>
        <w:tc>
          <w:tcPr>
            <w:tcW w:w="3845" w:type="dxa"/>
            <w:tcBorders>
              <w:top w:val="single" w:color="auto" w:sz="4" w:space="0"/>
              <w:left w:val="single" w:color="auto" w:sz="4" w:space="0"/>
              <w:right w:val="single" w:color="auto" w:sz="4" w:space="0"/>
            </w:tcBorders>
            <w:shd w:val="clear" w:color="auto" w:fill="FFFFFF"/>
            <w:vAlign w:val="center"/>
          </w:tcPr>
          <w:p w14:paraId="2DB39D0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保洁每天1次</w:t>
            </w:r>
          </w:p>
        </w:tc>
      </w:tr>
      <w:tr w14:paraId="5A211866">
        <w:tblPrEx>
          <w:tblCellMar>
            <w:top w:w="0" w:type="dxa"/>
            <w:left w:w="10" w:type="dxa"/>
            <w:bottom w:w="0" w:type="dxa"/>
            <w:right w:w="10" w:type="dxa"/>
          </w:tblCellMar>
        </w:tblPrEx>
        <w:trPr>
          <w:trHeight w:val="562" w:hRule="exact"/>
          <w:jc w:val="center"/>
        </w:trPr>
        <w:tc>
          <w:tcPr>
            <w:tcW w:w="1531" w:type="dxa"/>
            <w:tcBorders>
              <w:top w:val="single" w:color="auto" w:sz="4" w:space="0"/>
              <w:left w:val="single" w:color="auto" w:sz="4" w:space="0"/>
            </w:tcBorders>
            <w:shd w:val="clear" w:color="auto" w:fill="FFFFFF"/>
            <w:vAlign w:val="center"/>
          </w:tcPr>
          <w:p w14:paraId="055D1E8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镜面砖</w:t>
            </w:r>
          </w:p>
        </w:tc>
        <w:tc>
          <w:tcPr>
            <w:tcW w:w="3005" w:type="dxa"/>
            <w:tcBorders>
              <w:top w:val="single" w:color="auto" w:sz="4" w:space="0"/>
              <w:left w:val="single" w:color="auto" w:sz="4" w:space="0"/>
            </w:tcBorders>
            <w:shd w:val="clear" w:color="auto" w:fill="FFFFFF"/>
            <w:vAlign w:val="center"/>
          </w:tcPr>
          <w:p w14:paraId="34273C4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清洁光亮，无尘、无斑迹</w:t>
            </w:r>
          </w:p>
        </w:tc>
        <w:tc>
          <w:tcPr>
            <w:tcW w:w="3845" w:type="dxa"/>
            <w:tcBorders>
              <w:top w:val="single" w:color="auto" w:sz="4" w:space="0"/>
              <w:left w:val="single" w:color="auto" w:sz="4" w:space="0"/>
              <w:right w:val="single" w:color="auto" w:sz="4" w:space="0"/>
            </w:tcBorders>
            <w:shd w:val="clear" w:color="auto" w:fill="FFFFFF"/>
            <w:vAlign w:val="center"/>
          </w:tcPr>
          <w:p w14:paraId="31F7913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每天1次</w:t>
            </w:r>
          </w:p>
        </w:tc>
      </w:tr>
      <w:tr w14:paraId="25CB2EEC">
        <w:tblPrEx>
          <w:tblCellMar>
            <w:top w:w="0" w:type="dxa"/>
            <w:left w:w="10" w:type="dxa"/>
            <w:bottom w:w="0" w:type="dxa"/>
            <w:right w:w="10" w:type="dxa"/>
          </w:tblCellMar>
        </w:tblPrEx>
        <w:trPr>
          <w:trHeight w:val="824" w:hRule="exact"/>
          <w:jc w:val="center"/>
        </w:trPr>
        <w:tc>
          <w:tcPr>
            <w:tcW w:w="1531" w:type="dxa"/>
            <w:tcBorders>
              <w:top w:val="single" w:color="auto" w:sz="4" w:space="0"/>
              <w:left w:val="single" w:color="auto" w:sz="4" w:space="0"/>
              <w:bottom w:val="single" w:color="auto" w:sz="4" w:space="0"/>
            </w:tcBorders>
            <w:shd w:val="clear" w:color="auto" w:fill="FFFFFF"/>
            <w:vAlign w:val="center"/>
          </w:tcPr>
          <w:p w14:paraId="0ACD6C5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花冈石</w:t>
            </w:r>
          </w:p>
        </w:tc>
        <w:tc>
          <w:tcPr>
            <w:tcW w:w="3005" w:type="dxa"/>
            <w:tcBorders>
              <w:top w:val="single" w:color="auto" w:sz="4" w:space="0"/>
              <w:left w:val="single" w:color="auto" w:sz="4" w:space="0"/>
              <w:bottom w:val="single" w:color="auto" w:sz="4" w:space="0"/>
            </w:tcBorders>
            <w:shd w:val="clear" w:color="auto" w:fill="FFFFFF"/>
            <w:vAlign w:val="center"/>
          </w:tcPr>
          <w:p w14:paraId="38E7416A">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无灰尘、污迹、油脂，干净、 清洁</w:t>
            </w:r>
          </w:p>
        </w:tc>
        <w:tc>
          <w:tcPr>
            <w:tcW w:w="3845" w:type="dxa"/>
            <w:tcBorders>
              <w:top w:val="single" w:color="auto" w:sz="4" w:space="0"/>
              <w:left w:val="single" w:color="auto" w:sz="4" w:space="0"/>
              <w:bottom w:val="single" w:color="auto" w:sz="4" w:space="0"/>
              <w:right w:val="single" w:color="auto" w:sz="4" w:space="0"/>
            </w:tcBorders>
            <w:shd w:val="clear" w:color="auto" w:fill="FFFFFF"/>
            <w:vAlign w:val="center"/>
          </w:tcPr>
          <w:p w14:paraId="3F201DE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保洁每天1次</w:t>
            </w:r>
          </w:p>
        </w:tc>
      </w:tr>
      <w:tr w14:paraId="6F38D961">
        <w:tblPrEx>
          <w:tblCellMar>
            <w:top w:w="0" w:type="dxa"/>
            <w:left w:w="10" w:type="dxa"/>
            <w:bottom w:w="0" w:type="dxa"/>
            <w:right w:w="10" w:type="dxa"/>
          </w:tblCellMar>
        </w:tblPrEx>
        <w:trPr>
          <w:trHeight w:val="634" w:hRule="exact"/>
          <w:jc w:val="center"/>
        </w:trPr>
        <w:tc>
          <w:tcPr>
            <w:tcW w:w="1531" w:type="dxa"/>
            <w:tcBorders>
              <w:top w:val="single" w:color="auto" w:sz="4" w:space="0"/>
              <w:left w:val="single" w:color="auto" w:sz="4" w:space="0"/>
              <w:bottom w:val="single" w:color="auto" w:sz="4" w:space="0"/>
            </w:tcBorders>
            <w:shd w:val="clear" w:color="auto" w:fill="FFFFFF"/>
            <w:vAlign w:val="center"/>
          </w:tcPr>
          <w:p w14:paraId="6D9B5F5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eastAsia="en-US"/>
              </w:rPr>
            </w:pPr>
            <w:r>
              <w:rPr>
                <w:rFonts w:hint="eastAsia" w:ascii="仿宋" w:hAnsi="仿宋" w:eastAsia="仿宋" w:cs="仿宋"/>
                <w:color w:val="auto"/>
                <w:sz w:val="24"/>
                <w:szCs w:val="24"/>
              </w:rPr>
              <w:t>实木地板</w:t>
            </w:r>
          </w:p>
        </w:tc>
        <w:tc>
          <w:tcPr>
            <w:tcW w:w="3005" w:type="dxa"/>
            <w:tcBorders>
              <w:top w:val="single" w:color="auto" w:sz="4" w:space="0"/>
              <w:left w:val="single" w:color="auto" w:sz="4" w:space="0"/>
              <w:bottom w:val="single" w:color="auto" w:sz="4" w:space="0"/>
            </w:tcBorders>
            <w:shd w:val="clear" w:color="auto" w:fill="FFFFFF"/>
            <w:vAlign w:val="center"/>
          </w:tcPr>
          <w:p w14:paraId="780F0F5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无灰尘、污迹，干净、清洁</w:t>
            </w:r>
          </w:p>
        </w:tc>
        <w:tc>
          <w:tcPr>
            <w:tcW w:w="3845" w:type="dxa"/>
            <w:tcBorders>
              <w:top w:val="single" w:color="auto" w:sz="4" w:space="0"/>
              <w:left w:val="single" w:color="auto" w:sz="4" w:space="0"/>
              <w:bottom w:val="single" w:color="auto" w:sz="4" w:space="0"/>
              <w:right w:val="single" w:color="auto" w:sz="4" w:space="0"/>
            </w:tcBorders>
            <w:shd w:val="clear" w:color="auto" w:fill="FFFFFF"/>
            <w:vAlign w:val="center"/>
          </w:tcPr>
          <w:p w14:paraId="182225B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每天1次</w:t>
            </w:r>
          </w:p>
        </w:tc>
      </w:tr>
      <w:tr w14:paraId="6F1C22BA">
        <w:tblPrEx>
          <w:tblCellMar>
            <w:top w:w="0" w:type="dxa"/>
            <w:left w:w="10" w:type="dxa"/>
            <w:bottom w:w="0" w:type="dxa"/>
            <w:right w:w="10" w:type="dxa"/>
          </w:tblCellMar>
        </w:tblPrEx>
        <w:trPr>
          <w:trHeight w:val="799" w:hRule="exact"/>
          <w:jc w:val="center"/>
        </w:trPr>
        <w:tc>
          <w:tcPr>
            <w:tcW w:w="1531" w:type="dxa"/>
            <w:tcBorders>
              <w:top w:val="single" w:color="auto" w:sz="4" w:space="0"/>
              <w:left w:val="single" w:color="auto" w:sz="4" w:space="0"/>
              <w:bottom w:val="single" w:color="auto" w:sz="4" w:space="0"/>
            </w:tcBorders>
            <w:shd w:val="clear" w:color="auto" w:fill="FFFFFF"/>
            <w:vAlign w:val="center"/>
          </w:tcPr>
          <w:p w14:paraId="53C4633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eastAsia="en-US"/>
              </w:rPr>
            </w:pPr>
            <w:r>
              <w:rPr>
                <w:rFonts w:hint="eastAsia" w:ascii="仿宋" w:hAnsi="仿宋" w:eastAsia="仿宋" w:cs="仿宋"/>
                <w:color w:val="auto"/>
                <w:sz w:val="24"/>
                <w:szCs w:val="24"/>
              </w:rPr>
              <w:t>复合地板</w:t>
            </w:r>
          </w:p>
        </w:tc>
        <w:tc>
          <w:tcPr>
            <w:tcW w:w="3005" w:type="dxa"/>
            <w:tcBorders>
              <w:top w:val="single" w:color="auto" w:sz="4" w:space="0"/>
              <w:left w:val="single" w:color="auto" w:sz="4" w:space="0"/>
              <w:bottom w:val="single" w:color="auto" w:sz="4" w:space="0"/>
            </w:tcBorders>
            <w:shd w:val="clear" w:color="auto" w:fill="FFFFFF"/>
            <w:vAlign w:val="center"/>
          </w:tcPr>
          <w:p w14:paraId="4D8CB43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无灰尘、斑迹，光亮、洁净</w:t>
            </w:r>
          </w:p>
        </w:tc>
        <w:tc>
          <w:tcPr>
            <w:tcW w:w="3845" w:type="dxa"/>
            <w:tcBorders>
              <w:top w:val="single" w:color="auto" w:sz="4" w:space="0"/>
              <w:left w:val="single" w:color="auto" w:sz="4" w:space="0"/>
              <w:bottom w:val="single" w:color="auto" w:sz="4" w:space="0"/>
              <w:right w:val="single" w:color="auto" w:sz="4" w:space="0"/>
            </w:tcBorders>
            <w:shd w:val="clear" w:color="auto" w:fill="FFFFFF"/>
            <w:vAlign w:val="center"/>
          </w:tcPr>
          <w:p w14:paraId="3E42087C">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每天1次</w:t>
            </w:r>
          </w:p>
        </w:tc>
      </w:tr>
      <w:tr w14:paraId="060F43DF">
        <w:tblPrEx>
          <w:tblCellMar>
            <w:top w:w="0" w:type="dxa"/>
            <w:left w:w="10" w:type="dxa"/>
            <w:bottom w:w="0" w:type="dxa"/>
            <w:right w:w="10" w:type="dxa"/>
          </w:tblCellMar>
        </w:tblPrEx>
        <w:trPr>
          <w:trHeight w:val="797" w:hRule="exact"/>
          <w:jc w:val="center"/>
        </w:trPr>
        <w:tc>
          <w:tcPr>
            <w:tcW w:w="1531" w:type="dxa"/>
            <w:tcBorders>
              <w:top w:val="single" w:color="auto" w:sz="4" w:space="0"/>
              <w:left w:val="single" w:color="auto" w:sz="4" w:space="0"/>
              <w:bottom w:val="single" w:color="auto" w:sz="4" w:space="0"/>
            </w:tcBorders>
            <w:shd w:val="clear" w:color="auto" w:fill="FFFFFF"/>
            <w:vAlign w:val="center"/>
          </w:tcPr>
          <w:p w14:paraId="439B1AB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eastAsia="en-US"/>
              </w:rPr>
            </w:pPr>
            <w:r>
              <w:rPr>
                <w:rFonts w:hint="eastAsia" w:ascii="仿宋" w:hAnsi="仿宋" w:eastAsia="仿宋" w:cs="仿宋"/>
                <w:color w:val="auto"/>
                <w:sz w:val="24"/>
                <w:szCs w:val="24"/>
                <w:lang w:eastAsia="en-US"/>
              </w:rPr>
              <w:t>PVC</w:t>
            </w:r>
            <w:r>
              <w:rPr>
                <w:rFonts w:hint="eastAsia" w:ascii="仿宋" w:hAnsi="仿宋" w:eastAsia="仿宋" w:cs="仿宋"/>
                <w:color w:val="auto"/>
                <w:sz w:val="24"/>
                <w:szCs w:val="24"/>
              </w:rPr>
              <w:t>地板</w:t>
            </w:r>
          </w:p>
        </w:tc>
        <w:tc>
          <w:tcPr>
            <w:tcW w:w="3005" w:type="dxa"/>
            <w:tcBorders>
              <w:top w:val="single" w:color="auto" w:sz="4" w:space="0"/>
              <w:left w:val="single" w:color="auto" w:sz="4" w:space="0"/>
              <w:bottom w:val="single" w:color="auto" w:sz="4" w:space="0"/>
            </w:tcBorders>
            <w:shd w:val="clear" w:color="auto" w:fill="FFFFFF"/>
            <w:vAlign w:val="center"/>
          </w:tcPr>
          <w:p w14:paraId="10F48F1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无灰尘、污迹，干净、清洁</w:t>
            </w:r>
          </w:p>
        </w:tc>
        <w:tc>
          <w:tcPr>
            <w:tcW w:w="3845" w:type="dxa"/>
            <w:tcBorders>
              <w:top w:val="single" w:color="auto" w:sz="4" w:space="0"/>
              <w:left w:val="single" w:color="auto" w:sz="4" w:space="0"/>
              <w:bottom w:val="single" w:color="auto" w:sz="4" w:space="0"/>
              <w:right w:val="single" w:color="auto" w:sz="4" w:space="0"/>
            </w:tcBorders>
            <w:shd w:val="clear" w:color="auto" w:fill="FFFFFF"/>
            <w:vAlign w:val="center"/>
          </w:tcPr>
          <w:p w14:paraId="4570258E">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rPr>
              <w:t>每天二次</w:t>
            </w:r>
          </w:p>
        </w:tc>
      </w:tr>
    </w:tbl>
    <w:p w14:paraId="02B03025">
      <w:pPr>
        <w:pageBreakBefore w:val="0"/>
        <w:kinsoku/>
        <w:wordWrap/>
        <w:overflowPunct/>
        <w:topLinePunct w:val="0"/>
        <w:autoSpaceDE/>
        <w:autoSpaceDN/>
        <w:bidi w:val="0"/>
        <w:adjustRightInd/>
        <w:spacing w:line="560" w:lineRule="exact"/>
        <w:outlineLvl w:val="2"/>
        <w:rPr>
          <w:rFonts w:hint="eastAsia" w:ascii="仿宋" w:hAnsi="仿宋" w:eastAsia="仿宋" w:cs="仿宋"/>
          <w:b/>
          <w:bCs/>
          <w:color w:val="auto"/>
          <w:sz w:val="24"/>
          <w:szCs w:val="24"/>
        </w:rPr>
      </w:pPr>
      <w:r>
        <w:rPr>
          <w:rFonts w:hint="eastAsia" w:ascii="仿宋" w:hAnsi="仿宋" w:eastAsia="仿宋" w:cs="仿宋"/>
          <w:b/>
          <w:bCs/>
          <w:color w:val="auto"/>
          <w:sz w:val="24"/>
          <w:szCs w:val="24"/>
        </w:rPr>
        <w:t>（四）院内感染控制、消毒隔离标准及规范</w:t>
      </w:r>
    </w:p>
    <w:p w14:paraId="554E5497">
      <w:pPr>
        <w:pageBreakBefore w:val="0"/>
        <w:kinsoku/>
        <w:wordWrap/>
        <w:overflowPunct/>
        <w:topLinePunct w:val="0"/>
        <w:autoSpaceDE/>
        <w:autoSpaceDN/>
        <w:bidi w:val="0"/>
        <w:adjustRightInd/>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1、消毒质量标准</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73"/>
        <w:gridCol w:w="4953"/>
        <w:gridCol w:w="886"/>
        <w:gridCol w:w="1305"/>
        <w:gridCol w:w="498"/>
      </w:tblGrid>
      <w:tr w14:paraId="6513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0" w:hRule="exact"/>
          <w:jc w:val="center"/>
        </w:trPr>
        <w:tc>
          <w:tcPr>
            <w:tcW w:w="673" w:type="dxa"/>
            <w:vMerge w:val="restart"/>
            <w:shd w:val="clear" w:color="auto" w:fill="FFFFFF"/>
            <w:vAlign w:val="center"/>
          </w:tcPr>
          <w:p w14:paraId="1967091B">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环境类别</w:t>
            </w:r>
          </w:p>
        </w:tc>
        <w:tc>
          <w:tcPr>
            <w:tcW w:w="4953" w:type="dxa"/>
            <w:vMerge w:val="restart"/>
            <w:shd w:val="clear" w:color="auto" w:fill="FFFFFF"/>
            <w:vAlign w:val="center"/>
          </w:tcPr>
          <w:p w14:paraId="5CF0CD4A">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范围</w:t>
            </w:r>
          </w:p>
        </w:tc>
        <w:tc>
          <w:tcPr>
            <w:tcW w:w="2689" w:type="dxa"/>
            <w:gridSpan w:val="3"/>
            <w:shd w:val="clear" w:color="auto" w:fill="FFFFFF"/>
            <w:vAlign w:val="center"/>
          </w:tcPr>
          <w:p w14:paraId="5BE41302">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w:t>
            </w:r>
            <w:r>
              <w:rPr>
                <w:rFonts w:hint="eastAsia" w:ascii="仿宋" w:hAnsi="仿宋" w:eastAsia="仿宋" w:cs="仿宋"/>
                <w:b/>
                <w:bCs/>
                <w:color w:val="auto"/>
                <w:sz w:val="24"/>
                <w:szCs w:val="24"/>
                <w:lang w:eastAsia="en-US"/>
              </w:rPr>
              <w:t>cfu/m3)</w:t>
            </w:r>
          </w:p>
        </w:tc>
      </w:tr>
      <w:tr w14:paraId="42D1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38" w:hRule="exact"/>
          <w:jc w:val="center"/>
        </w:trPr>
        <w:tc>
          <w:tcPr>
            <w:tcW w:w="673" w:type="dxa"/>
            <w:vMerge w:val="continue"/>
            <w:shd w:val="clear" w:color="auto" w:fill="FFFFFF"/>
            <w:vAlign w:val="center"/>
          </w:tcPr>
          <w:p w14:paraId="2380F5FF">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p>
        </w:tc>
        <w:tc>
          <w:tcPr>
            <w:tcW w:w="4953" w:type="dxa"/>
            <w:vMerge w:val="continue"/>
            <w:shd w:val="clear" w:color="auto" w:fill="FFFFFF"/>
            <w:vAlign w:val="center"/>
          </w:tcPr>
          <w:p w14:paraId="3C8BF618">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p>
        </w:tc>
        <w:tc>
          <w:tcPr>
            <w:tcW w:w="886" w:type="dxa"/>
            <w:shd w:val="clear" w:color="auto" w:fill="FFFFFF"/>
            <w:vAlign w:val="center"/>
          </w:tcPr>
          <w:p w14:paraId="00573A49">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空气</w:t>
            </w:r>
          </w:p>
        </w:tc>
        <w:tc>
          <w:tcPr>
            <w:tcW w:w="1305" w:type="dxa"/>
            <w:shd w:val="clear" w:color="auto" w:fill="FFFFFF"/>
            <w:vAlign w:val="center"/>
          </w:tcPr>
          <w:p w14:paraId="49360574">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val="0"/>
                <w:bCs w:val="0"/>
                <w:color w:val="auto"/>
                <w:sz w:val="24"/>
                <w:szCs w:val="24"/>
              </w:rPr>
              <w:t>物体表面</w:t>
            </w:r>
          </w:p>
        </w:tc>
        <w:tc>
          <w:tcPr>
            <w:tcW w:w="498" w:type="dxa"/>
            <w:shd w:val="clear" w:color="auto" w:fill="FFFFFF"/>
            <w:vAlign w:val="center"/>
          </w:tcPr>
          <w:p w14:paraId="0E3889E9">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工作人</w:t>
            </w:r>
          </w:p>
          <w:p w14:paraId="1178FC7F">
            <w:pPr>
              <w:pageBreakBefore w:val="0"/>
              <w:kinsoku/>
              <w:wordWrap/>
              <w:overflowPunct/>
              <w:topLinePunct w:val="0"/>
              <w:autoSpaceDE/>
              <w:autoSpaceDN/>
              <w:bidi w:val="0"/>
              <w:adjustRightInd/>
              <w:spacing w:line="5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员手</w:t>
            </w:r>
          </w:p>
        </w:tc>
      </w:tr>
      <w:tr w14:paraId="7107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7" w:hRule="exact"/>
          <w:jc w:val="center"/>
        </w:trPr>
        <w:tc>
          <w:tcPr>
            <w:tcW w:w="673" w:type="dxa"/>
            <w:shd w:val="clear" w:color="auto" w:fill="FFFFFF"/>
            <w:vAlign w:val="center"/>
          </w:tcPr>
          <w:p w14:paraId="54B6770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1类</w:t>
            </w:r>
          </w:p>
        </w:tc>
        <w:tc>
          <w:tcPr>
            <w:tcW w:w="4953" w:type="dxa"/>
            <w:shd w:val="clear" w:color="auto" w:fill="FFFFFF"/>
            <w:vAlign w:val="center"/>
          </w:tcPr>
          <w:p w14:paraId="2D6462B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层流洁净手术室、层流洁净病房</w:t>
            </w:r>
          </w:p>
        </w:tc>
        <w:tc>
          <w:tcPr>
            <w:tcW w:w="886" w:type="dxa"/>
            <w:shd w:val="clear" w:color="auto" w:fill="FFFFFF"/>
            <w:vAlign w:val="center"/>
          </w:tcPr>
          <w:p w14:paraId="7DD70F5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en-US"/>
              </w:rPr>
              <w:t>≦10</w:t>
            </w:r>
          </w:p>
        </w:tc>
        <w:tc>
          <w:tcPr>
            <w:tcW w:w="1305" w:type="dxa"/>
            <w:shd w:val="clear" w:color="auto" w:fill="FFFFFF"/>
            <w:vAlign w:val="center"/>
          </w:tcPr>
          <w:p w14:paraId="73E217E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en-US"/>
              </w:rPr>
              <w:t>≦5</w:t>
            </w:r>
          </w:p>
        </w:tc>
        <w:tc>
          <w:tcPr>
            <w:tcW w:w="498" w:type="dxa"/>
            <w:shd w:val="clear" w:color="auto" w:fill="FFFFFF"/>
            <w:vAlign w:val="center"/>
          </w:tcPr>
          <w:p w14:paraId="50858A09">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en-US"/>
              </w:rPr>
              <w:t>≦5</w:t>
            </w:r>
          </w:p>
        </w:tc>
      </w:tr>
      <w:tr w14:paraId="6A39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11" w:hRule="exact"/>
          <w:jc w:val="center"/>
        </w:trPr>
        <w:tc>
          <w:tcPr>
            <w:tcW w:w="673" w:type="dxa"/>
            <w:shd w:val="clear" w:color="auto" w:fill="FFFFFF"/>
            <w:vAlign w:val="center"/>
          </w:tcPr>
          <w:p w14:paraId="5970468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II类</w:t>
            </w:r>
          </w:p>
        </w:tc>
        <w:tc>
          <w:tcPr>
            <w:tcW w:w="4953" w:type="dxa"/>
            <w:shd w:val="clear" w:color="auto" w:fill="FFFFFF"/>
            <w:vAlign w:val="center"/>
          </w:tcPr>
          <w:p w14:paraId="6ACB9AE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普通病房、产房、婴儿室、早产儿室、普通保护性隔</w:t>
            </w:r>
          </w:p>
          <w:p w14:paraId="4AD36F80">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离室、供应无菌室、烧伤病房、重症监护室</w:t>
            </w:r>
          </w:p>
        </w:tc>
        <w:tc>
          <w:tcPr>
            <w:tcW w:w="886" w:type="dxa"/>
            <w:shd w:val="clear" w:color="auto" w:fill="FFFFFF"/>
            <w:vAlign w:val="center"/>
          </w:tcPr>
          <w:p w14:paraId="7A91C61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en-US"/>
              </w:rPr>
              <w:t>≦200</w:t>
            </w:r>
          </w:p>
        </w:tc>
        <w:tc>
          <w:tcPr>
            <w:tcW w:w="1305" w:type="dxa"/>
            <w:shd w:val="clear" w:color="auto" w:fill="FFFFFF"/>
            <w:vAlign w:val="center"/>
          </w:tcPr>
          <w:p w14:paraId="31DEB025">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en-US"/>
              </w:rPr>
              <w:t>≦5</w:t>
            </w:r>
          </w:p>
        </w:tc>
        <w:tc>
          <w:tcPr>
            <w:tcW w:w="498" w:type="dxa"/>
            <w:shd w:val="clear" w:color="auto" w:fill="FFFFFF"/>
            <w:vAlign w:val="center"/>
          </w:tcPr>
          <w:p w14:paraId="0FF6AFD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en-US"/>
              </w:rPr>
              <w:t>≦5</w:t>
            </w:r>
          </w:p>
        </w:tc>
      </w:tr>
      <w:tr w14:paraId="6A4B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53" w:hRule="exact"/>
          <w:jc w:val="center"/>
        </w:trPr>
        <w:tc>
          <w:tcPr>
            <w:tcW w:w="673" w:type="dxa"/>
            <w:shd w:val="clear" w:color="auto" w:fill="FFFFFF"/>
            <w:vAlign w:val="center"/>
          </w:tcPr>
          <w:p w14:paraId="7CF88C1F">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en-US"/>
              </w:rPr>
              <w:t>III</w:t>
            </w:r>
            <w:r>
              <w:rPr>
                <w:rFonts w:hint="eastAsia" w:ascii="仿宋" w:hAnsi="仿宋" w:eastAsia="仿宋" w:cs="仿宋"/>
                <w:color w:val="auto"/>
                <w:sz w:val="24"/>
                <w:szCs w:val="24"/>
              </w:rPr>
              <w:t>类</w:t>
            </w:r>
          </w:p>
        </w:tc>
        <w:tc>
          <w:tcPr>
            <w:tcW w:w="4953" w:type="dxa"/>
            <w:shd w:val="clear" w:color="auto" w:fill="FFFFFF"/>
            <w:vAlign w:val="center"/>
          </w:tcPr>
          <w:p w14:paraId="47C84F61">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儿科病房、妇产科检查室、注射室、换药室、治疗室、 供应室、清洁室、急诊室、化验室、各类普通病房和 房间</w:t>
            </w:r>
          </w:p>
        </w:tc>
        <w:tc>
          <w:tcPr>
            <w:tcW w:w="886" w:type="dxa"/>
            <w:shd w:val="clear" w:color="auto" w:fill="FFFFFF"/>
            <w:vAlign w:val="center"/>
          </w:tcPr>
          <w:p w14:paraId="4735224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en-US"/>
              </w:rPr>
              <w:t>≦500</w:t>
            </w:r>
          </w:p>
        </w:tc>
        <w:tc>
          <w:tcPr>
            <w:tcW w:w="1305" w:type="dxa"/>
            <w:shd w:val="clear" w:color="auto" w:fill="FFFFFF"/>
            <w:vAlign w:val="center"/>
          </w:tcPr>
          <w:p w14:paraId="0BE9451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en-US"/>
              </w:rPr>
              <w:t>≦10</w:t>
            </w:r>
          </w:p>
        </w:tc>
        <w:tc>
          <w:tcPr>
            <w:tcW w:w="498" w:type="dxa"/>
            <w:shd w:val="clear" w:color="auto" w:fill="FFFFFF"/>
            <w:vAlign w:val="center"/>
          </w:tcPr>
          <w:p w14:paraId="57A2E18B">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en-US"/>
              </w:rPr>
              <w:t>≦10</w:t>
            </w:r>
          </w:p>
        </w:tc>
      </w:tr>
      <w:tr w14:paraId="2C73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2" w:hRule="exact"/>
          <w:jc w:val="center"/>
        </w:trPr>
        <w:tc>
          <w:tcPr>
            <w:tcW w:w="673" w:type="dxa"/>
            <w:shd w:val="clear" w:color="auto" w:fill="FFFFFF"/>
            <w:vAlign w:val="center"/>
          </w:tcPr>
          <w:p w14:paraId="284A1848">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IV类</w:t>
            </w:r>
          </w:p>
        </w:tc>
        <w:tc>
          <w:tcPr>
            <w:tcW w:w="4953" w:type="dxa"/>
            <w:shd w:val="clear" w:color="auto" w:fill="FFFFFF"/>
            <w:vAlign w:val="center"/>
          </w:tcPr>
          <w:p w14:paraId="63A58137">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传染科病房</w:t>
            </w:r>
          </w:p>
        </w:tc>
        <w:tc>
          <w:tcPr>
            <w:tcW w:w="886" w:type="dxa"/>
            <w:shd w:val="clear" w:color="auto" w:fill="FFFFFF"/>
            <w:vAlign w:val="center"/>
          </w:tcPr>
          <w:p w14:paraId="12C76433">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305" w:type="dxa"/>
            <w:shd w:val="clear" w:color="auto" w:fill="FFFFFF"/>
            <w:vAlign w:val="center"/>
          </w:tcPr>
          <w:p w14:paraId="6FEF2E46">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en-US"/>
              </w:rPr>
              <w:t>≦15</w:t>
            </w:r>
          </w:p>
        </w:tc>
        <w:tc>
          <w:tcPr>
            <w:tcW w:w="498" w:type="dxa"/>
            <w:shd w:val="clear" w:color="auto" w:fill="FFFFFF"/>
            <w:vAlign w:val="center"/>
          </w:tcPr>
          <w:p w14:paraId="5CF7DCA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en-US"/>
              </w:rPr>
              <w:t>≦15</w:t>
            </w:r>
          </w:p>
        </w:tc>
      </w:tr>
    </w:tbl>
    <w:p w14:paraId="2C4994BC">
      <w:pPr>
        <w:pageBreakBefore w:val="0"/>
        <w:kinsoku/>
        <w:wordWrap/>
        <w:overflowPunct/>
        <w:topLinePunct w:val="0"/>
        <w:autoSpaceDE/>
        <w:autoSpaceDN/>
        <w:bidi w:val="0"/>
        <w:adjustRightInd/>
        <w:spacing w:line="560" w:lineRule="exact"/>
        <w:ind w:firstLine="241" w:firstLineChars="100"/>
        <w:rPr>
          <w:rFonts w:hint="eastAsia" w:ascii="仿宋" w:hAnsi="仿宋" w:eastAsia="仿宋" w:cs="仿宋"/>
          <w:b/>
          <w:bCs/>
          <w:color w:val="auto"/>
          <w:sz w:val="24"/>
          <w:szCs w:val="24"/>
        </w:rPr>
      </w:pPr>
      <w:r>
        <w:rPr>
          <w:rFonts w:hint="eastAsia" w:ascii="仿宋" w:hAnsi="仿宋" w:eastAsia="仿宋" w:cs="仿宋"/>
          <w:b/>
          <w:bCs/>
          <w:color w:val="auto"/>
          <w:sz w:val="24"/>
          <w:szCs w:val="24"/>
        </w:rPr>
        <w:t>2、消毒规范</w:t>
      </w:r>
    </w:p>
    <w:p w14:paraId="6FA16928">
      <w:pPr>
        <w:pageBreakBefore w:val="0"/>
        <w:kinsoku/>
        <w:wordWrap/>
        <w:overflowPunct/>
        <w:topLinePunct w:val="0"/>
        <w:autoSpaceDE/>
        <w:autoSpaceDN/>
        <w:bidi w:val="0"/>
        <w:adjustRightInd/>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（1）操作注意事项</w:t>
      </w:r>
    </w:p>
    <w:p w14:paraId="7790A577">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①操作前后要洗手，尤其不得戴手套触摸己清洁的物品、用具。</w:t>
      </w:r>
    </w:p>
    <w:p w14:paraId="058D9DAF">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②对日常使用的医疗设施，应在每次使用后对其进行擦拭消毒。</w:t>
      </w:r>
    </w:p>
    <w:p w14:paraId="6DDDE4D3">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③在对传染性物品进行擦拭消毒时，应严格执行一人一巾一用一消毒的原则。当院方有要求 时，对相关无传染性的物品也应遵循一人一巾一用消毒的要求对相关物品进行消毒。</w:t>
      </w:r>
    </w:p>
    <w:p w14:paraId="0EF37F6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④在整理相关物品时，应注意将无菌物与污染物分开放置，污物与垃圾分开。</w:t>
      </w:r>
    </w:p>
    <w:p w14:paraId="518735B6">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⑤使用相关含氯消毒剂时，一般情况下应做到现用现配。需要时，应按要求定期配制消毒液， 配制时应做到按比例精确配制。</w:t>
      </w:r>
    </w:p>
    <w:p w14:paraId="6031088F">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消毒作业完毕后，应将其记录在《病区消毒记录表）/《消毒记录表》中。</w:t>
      </w:r>
    </w:p>
    <w:p w14:paraId="749CD8C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⑥凡一次性医疗卫生用品使用后，必须在浸泡消毒后进行毁形和无公害化处理。</w:t>
      </w:r>
    </w:p>
    <w:p w14:paraId="58154948">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⑦对特珠传染病人要严密隔离。</w:t>
      </w:r>
    </w:p>
    <w:p w14:paraId="2446BEA5">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⑧医用垃圾和普通垃圾分开放，生活垃圾用黑色垃圾袋、医用拉圾用黄色垃圾袋、传染性垃 圾用红色境圾袋、损伤性垃圾用绿色垃圾袋。按时放到指定的地点。</w:t>
      </w:r>
    </w:p>
    <w:p w14:paraId="6A0B0F48">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⑨未列出的相关医用科室，均采用500mg / L的含消毒剂对其相关没施和物品进行擦拭消毒。</w:t>
      </w:r>
    </w:p>
    <w:p w14:paraId="65B8B54D">
      <w:pPr>
        <w:pageBreakBefore w:val="0"/>
        <w:kinsoku/>
        <w:wordWrap/>
        <w:overflowPunct/>
        <w:topLinePunct w:val="0"/>
        <w:autoSpaceDE/>
        <w:autoSpaceDN/>
        <w:bidi w:val="0"/>
        <w:adjustRightInd/>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（2）共性消毒规范</w:t>
      </w:r>
    </w:p>
    <w:p w14:paraId="3A0F8DB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①观察室、抢救室、治疗室、重症监护室空气消毒同诊室的消毒，地面湿式清扫，保持清洁， 遇污染时随时清毒。</w:t>
      </w:r>
    </w:p>
    <w:p w14:paraId="1E0913D7">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②床头柜一桌一抹布，用后用有效氯1000mg/L的含氯消毒剂浸泡消毒，每日擦拭2次，即 要求一桌一抹布，一用一消毒，病人出院、转归随时清洁消毒。</w:t>
      </w:r>
    </w:p>
    <w:p w14:paraId="21865779">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③诊察床、诊桌、平车、轮椅每日消毒1 — 2次，被血液、体液污染时及时用有效氯2000mg/L 的含氯消毒液消毒。</w:t>
      </w:r>
    </w:p>
    <w:p w14:paraId="34028FC7">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④卫生洁具分开使用，治疗室、办公室、病房、卫生间分别设置专用拖布，标记明确，分开 清洗，用后消毒，悬挂晾干备用。</w:t>
      </w:r>
    </w:p>
    <w:p w14:paraId="42E64492">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⑤特殊保洁场所要求配备专用清洁工具，即一室一拖把，一桌一抹布，用后立即清洗消毒。</w:t>
      </w:r>
    </w:p>
    <w:p w14:paraId="77B54BE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⑥要有正规的清洁车，避免保洁用品乱放消毒各种清洁用具分区固定使用。</w:t>
      </w:r>
    </w:p>
    <w:p w14:paraId="19357E77">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⑦生活垃圾置黑色塑料袋内，医疗垃圾置黄色垃圾袋运至指定地点。生活医疗垃圾日产日清。</w:t>
      </w:r>
    </w:p>
    <w:p w14:paraId="3490DE5C">
      <w:pPr>
        <w:pageBreakBefore w:val="0"/>
        <w:kinsoku/>
        <w:wordWrap/>
        <w:overflowPunct/>
        <w:topLinePunct w:val="0"/>
        <w:autoSpaceDE/>
        <w:autoSpaceDN/>
        <w:bidi w:val="0"/>
        <w:adjustRightInd/>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（3）门诊消毒隔离规范</w:t>
      </w:r>
    </w:p>
    <w:p w14:paraId="7CEE63F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①门诊候诊室必须保持清洁，地面、门窗、内壁每日进行湿式清擦2次，</w:t>
      </w:r>
    </w:p>
    <w:p w14:paraId="66B5848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②门诊每天进行空气消毒两次。</w:t>
      </w:r>
    </w:p>
    <w:p w14:paraId="532C1C38">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③门诊观察室要保持空气新鲜，经常通风换气，室内要经常进行消毒，如有污染，随即清除 和消毒，对不明高热病人或疑似传染病人，在病人离开后要进行彻底消毒。</w:t>
      </w:r>
    </w:p>
    <w:p w14:paraId="0083A60B">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④卫生间必须保持洁净。每天由卫生员进行两次消毒，卫生间地面及便池内外，不准带有污 染痕迹，如有病人排泄物等，应即消除和消毒。</w:t>
      </w:r>
    </w:p>
    <w:p w14:paraId="5FB298E7">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⑤门诊各科室的污染废料、纱布、棉球等，必须集中放在一起，绝不准乱奶、乱放，更不能 混为一般垃圾处理。</w:t>
      </w:r>
    </w:p>
    <w:p w14:paraId="4F97B0DC">
      <w:pPr>
        <w:pageBreakBefore w:val="0"/>
        <w:kinsoku/>
        <w:wordWrap/>
        <w:overflowPunct/>
        <w:topLinePunct w:val="0"/>
        <w:autoSpaceDE/>
        <w:autoSpaceDN/>
        <w:bidi w:val="0"/>
        <w:adjustRightInd/>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（4）拉圾污物处理消毒隔离规范</w:t>
      </w:r>
    </w:p>
    <w:p w14:paraId="7D6E00CA">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①每日清倒垃圾2次，将垃圾及时送到指定的垃圾桶内，运送时必须将垃圾桶盖盖好，以防 掉撒地上。其中如有污染垃圾，应运到污物桶内。</w:t>
      </w:r>
    </w:p>
    <w:p w14:paraId="1EDB7674">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②院内集中垃圾处理，每日指派专人进行清理和拉运，必须做到日产日清，并每月进行一次到二次杀虫、灭菌消毒，防止蚊、蝇孽生。</w:t>
      </w:r>
    </w:p>
    <w:p w14:paraId="70D4FBBF">
      <w:pPr>
        <w:pageBreakBefore w:val="0"/>
        <w:kinsoku/>
        <w:wordWrap/>
        <w:overflowPunct/>
        <w:topLinePunct w:val="0"/>
        <w:autoSpaceDE/>
        <w:autoSpaceDN/>
        <w:bidi w:val="0"/>
        <w:adjustRightInd/>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（5）医院地面消毒规范</w:t>
      </w:r>
    </w:p>
    <w:p w14:paraId="064D1472">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①当地面无明显污染情况下，采用湿拭清扫，用清水或清洁剂拖地每日2次，清除地面的污秽和部分病原微生物。</w:t>
      </w:r>
    </w:p>
    <w:p w14:paraId="348C1A2D">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②当地面受到病原菌污染时，用500mg/L有效氧消毒液擦洗。</w:t>
      </w:r>
    </w:p>
    <w:p w14:paraId="2782ED7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③对致病性病原菌污染的表面（如：结核杆菌、肝炎病毒、HLV、禽流感病毒等），用2000mg/L 有效氯消毒液擦洗，作用30分钟。</w:t>
      </w:r>
    </w:p>
    <w:p w14:paraId="4F44BA69">
      <w:pPr>
        <w:pageBreakBefore w:val="0"/>
        <w:kinsoku/>
        <w:wordWrap/>
        <w:overflowPunct/>
        <w:topLinePunct w:val="0"/>
        <w:autoSpaceDE/>
        <w:autoSpaceDN/>
        <w:bidi w:val="0"/>
        <w:adjustRightInd/>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（6）各科室的消毒隔离规范</w:t>
      </w:r>
    </w:p>
    <w:p w14:paraId="75FDAEA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①凡生活基础设施及相关用具物品，如无污染则使用清洁抹布擦拭：若有污染则应使用 500mg/L以上含氯消毒剂进行擦拭消毒：对致病性病原菌污染的表面（如：结核杆菌、肝炎病毒、 HIV、禽流感病毒等），用2000mg/L有效氯消毒液擦洗，作用30分钟。</w:t>
      </w:r>
    </w:p>
    <w:p w14:paraId="5215BAD6">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②一般病室在终末消毒时，应釆用500mg / L含氯消毒剂进行消毒擦拭，再用紫外线照射至少 30分钟：传染病室进行终末消毒时，应釆用2000mg/L含氯消毒剂进行消毒擦拭，再用紫外线照 射至少30分钟。在进行紫外线消毒时，应注意其距物体表面应在1米以内。</w:t>
      </w:r>
    </w:p>
    <w:p w14:paraId="1C7D9A1A">
      <w:pPr>
        <w:pageBreakBefore w:val="0"/>
        <w:kinsoku/>
        <w:wordWrap/>
        <w:overflowPunct/>
        <w:topLinePunct w:val="0"/>
        <w:autoSpaceDE/>
        <w:autoSpaceDN/>
        <w:bidi w:val="0"/>
        <w:adjustRightInd/>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（7）手术室消毒隔离规范</w:t>
      </w:r>
    </w:p>
    <w:p w14:paraId="0A25521D">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①凡未沾染血迹的医疗设施，应用清洁湿抹布进行清洁擦拭。</w:t>
      </w:r>
    </w:p>
    <w:p w14:paraId="258B83C4">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②凡生活基础设施及相关用具物品，均使用清洁湿抹布进行清洁擦拭。</w:t>
      </w:r>
    </w:p>
    <w:p w14:paraId="630BF52B">
      <w:pPr>
        <w:pageBreakBefore w:val="0"/>
        <w:kinsoku/>
        <w:wordWrap/>
        <w:overflowPunct/>
        <w:topLinePunct w:val="0"/>
        <w:autoSpaceDE/>
        <w:autoSpaceDN/>
        <w:bidi w:val="0"/>
        <w:adjustRightInd/>
        <w:spacing w:line="560" w:lineRule="exact"/>
        <w:jc w:val="left"/>
        <w:outlineLvl w:val="2"/>
        <w:rPr>
          <w:rFonts w:hint="eastAsia" w:ascii="仿宋" w:hAnsi="仿宋" w:eastAsia="仿宋" w:cs="仿宋"/>
          <w:color w:val="auto"/>
          <w:sz w:val="24"/>
          <w:szCs w:val="24"/>
        </w:rPr>
      </w:pPr>
      <w:r>
        <w:rPr>
          <w:rFonts w:hint="eastAsia" w:ascii="仿宋" w:hAnsi="仿宋" w:eastAsia="仿宋" w:cs="仿宋"/>
          <w:color w:val="auto"/>
          <w:sz w:val="24"/>
          <w:szCs w:val="24"/>
        </w:rPr>
        <w:t>③凡科室外部进入得相关没备物品，均应使用500mg/L含氧消毒剂进行消毒，若相关物在进入之前己经消毒，则只諸将其外包装去除即可。</w:t>
      </w:r>
    </w:p>
    <w:p w14:paraId="51954477">
      <w:pPr>
        <w:pageBreakBefore w:val="0"/>
        <w:kinsoku/>
        <w:wordWrap/>
        <w:overflowPunct/>
        <w:topLinePunct w:val="0"/>
        <w:autoSpaceDE/>
        <w:autoSpaceDN/>
        <w:bidi w:val="0"/>
        <w:adjustRightInd/>
        <w:spacing w:line="560" w:lineRule="exact"/>
        <w:jc w:val="left"/>
        <w:outlineLvl w:val="2"/>
        <w:rPr>
          <w:rFonts w:hint="eastAsia" w:ascii="仿宋" w:hAnsi="仿宋" w:eastAsia="仿宋" w:cs="仿宋"/>
          <w:color w:val="auto"/>
          <w:sz w:val="24"/>
          <w:szCs w:val="24"/>
        </w:rPr>
      </w:pPr>
      <w:r>
        <w:rPr>
          <w:rFonts w:hint="eastAsia" w:ascii="仿宋" w:hAnsi="仿宋" w:eastAsia="仿宋" w:cs="仿宋"/>
          <w:b/>
          <w:bCs/>
          <w:color w:val="auto"/>
          <w:sz w:val="24"/>
          <w:szCs w:val="24"/>
        </w:rPr>
        <w:t>四、 保洁工作程序：</w:t>
      </w:r>
    </w:p>
    <w:p w14:paraId="56E27094">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（一）、大厅保洁</w:t>
      </w:r>
    </w:p>
    <w:p w14:paraId="63A78996">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1.每天分两次重点清理大堂，之间施行流动保洁。 </w:t>
      </w:r>
    </w:p>
    <w:p w14:paraId="53F16CD8">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2.用扫把清扫大堂地面垃圾，用长柄刷沾洗洁精清除掉污渍和香口胶。 </w:t>
      </w:r>
    </w:p>
    <w:p w14:paraId="32D5BB54">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3.清倒不锈钢垃圾筒，洗净后放回原处。 </w:t>
      </w:r>
    </w:p>
    <w:p w14:paraId="0C217864">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4.用尘拖或拖把拖掉大堂地面尘土和污迹后，将垃圾运至室外垃圾筒。 </w:t>
      </w:r>
    </w:p>
    <w:p w14:paraId="2A5FED1D">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5.轻抹大堂内各种不锈钢制品，包括门柱、镶字、宣传栏等。</w:t>
      </w:r>
    </w:p>
    <w:p w14:paraId="44F7A03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6.擦抹大堂门窗框、防火门、消防栓柜、指示牌、内墙面等。 </w:t>
      </w:r>
    </w:p>
    <w:p w14:paraId="4C7AF46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（二）、楼道保洁</w:t>
      </w:r>
    </w:p>
    <w:p w14:paraId="4EA2656A">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1.从底层至顶层自下而上清扫楼道梯级，将果皮、烟头、纸屑收集于胶袋中然后倒入垃圾袋；用胶桶装清水，洗净拖把，拧干拖把上的水，用拖把从顶层往下逐级拖抹梯级，拖抹时，清洗拖把数次。 </w:t>
      </w:r>
    </w:p>
    <w:p w14:paraId="7B300128">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2.自下而上擦抹楼梯扶手及栏杆，擦抹时，清洗抹布数次。 </w:t>
      </w:r>
    </w:p>
    <w:p w14:paraId="53D96C93">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3.用小毛刷清洁踢脚线上灰尘，再用拧干的抹布擦一遍。 </w:t>
      </w:r>
    </w:p>
    <w:p w14:paraId="6493365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4.清洁窗户玻璃：备玻璃刮，清水一桶，干、湿抹布、清洁剂，注意先湿后干。 </w:t>
      </w:r>
    </w:p>
    <w:p w14:paraId="7844D51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（三）、各科室办公室、病房保洁</w:t>
      </w:r>
    </w:p>
    <w:p w14:paraId="7E2F2E0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1.按规定、分类别收集垃圾</w:t>
      </w:r>
      <w:r>
        <w:rPr>
          <w:rFonts w:hint="eastAsia" w:ascii="仿宋" w:hAnsi="仿宋" w:eastAsia="仿宋" w:cs="仿宋"/>
          <w:color w:val="auto"/>
          <w:sz w:val="24"/>
          <w:szCs w:val="24"/>
          <w:lang w:eastAsia="zh-CN"/>
        </w:rPr>
        <w:t>。</w:t>
      </w:r>
    </w:p>
    <w:p w14:paraId="6E26EAA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2.清拖地面，保持清洁</w:t>
      </w:r>
      <w:r>
        <w:rPr>
          <w:rFonts w:hint="eastAsia" w:ascii="仿宋" w:hAnsi="仿宋" w:eastAsia="仿宋" w:cs="仿宋"/>
          <w:color w:val="auto"/>
          <w:sz w:val="24"/>
          <w:szCs w:val="24"/>
          <w:lang w:eastAsia="zh-CN"/>
        </w:rPr>
        <w:t>。</w:t>
      </w:r>
    </w:p>
    <w:p w14:paraId="4387C945">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3.擦抹病床、氧气槽、床头柜、茶几、办公桌等家具</w:t>
      </w:r>
      <w:r>
        <w:rPr>
          <w:rFonts w:hint="eastAsia" w:ascii="仿宋" w:hAnsi="仿宋" w:eastAsia="仿宋" w:cs="仿宋"/>
          <w:color w:val="auto"/>
          <w:sz w:val="24"/>
          <w:szCs w:val="24"/>
          <w:lang w:eastAsia="zh-CN"/>
        </w:rPr>
        <w:t>。</w:t>
      </w:r>
    </w:p>
    <w:p w14:paraId="56638033">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4.对租摆花卉、电话机等摆件进行清洁。</w:t>
      </w:r>
    </w:p>
    <w:p w14:paraId="4ECCE219">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5.如遇大型接待任务，请甲方提早一天通知服务公司进行接待前的准备工作和人员调配，进行重点保洁。</w:t>
      </w:r>
    </w:p>
    <w:p w14:paraId="16FC4C5E">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(四)、公共卫生间保洁</w:t>
      </w:r>
    </w:p>
    <w:p w14:paraId="4999899F">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1.进入卫生间前将清洁告示牌挂在门前，打开门窗通风；</w:t>
      </w:r>
    </w:p>
    <w:p w14:paraId="1E34DED9">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2.先用夹子夹出小便池里的烟头杂物，然后按冲水器用清水冲洗洁具；</w:t>
      </w:r>
    </w:p>
    <w:p w14:paraId="10DE2839">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3.清扫地面垃圾，清倒垃圾篓，换新垃圾袋后放回原位。用布或擦垫加上去污剂、洁厕剂溶液上面擦抹洁具除污，较顽固的污渍加去渍剂反复擦抹干净；</w:t>
      </w:r>
    </w:p>
    <w:p w14:paraId="0A85E5A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4.将洁厕水倒入水勺内，用厕刷沾洁厕水刷洗大、小便器，然后用清水冲净；</w:t>
      </w:r>
    </w:p>
    <w:p w14:paraId="5FA3063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5.用去污剂和布擦抹洁具表面包括水箱、水管、盖板两面基座周围，注意不留卫生死角；</w:t>
      </w:r>
    </w:p>
    <w:p w14:paraId="0A021F7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6.用湿毛巾和洗洁精擦洗面盆，台面，墙面、门窗标牌。镜面和水迹用干布擦抹干净污渍、水印，定期刮洗镜面，然后拖抹干净地面；</w:t>
      </w:r>
    </w:p>
    <w:p w14:paraId="7752F0F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7.用湿拖把拖干净地面，然后用干拖把拖干；</w:t>
      </w:r>
    </w:p>
    <w:p w14:paraId="5C2FCF48">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8.小便斗内放入香球；</w:t>
      </w:r>
    </w:p>
    <w:p w14:paraId="194DEA23">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9.发现污渍进行随机保洁；</w:t>
      </w:r>
    </w:p>
    <w:p w14:paraId="5D3B3D52">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(五)、门窗保洁</w:t>
      </w:r>
    </w:p>
    <w:p w14:paraId="361A44C3">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1.用干毛巾擦拭表面灰尘；</w:t>
      </w:r>
    </w:p>
    <w:p w14:paraId="6D5FFD64">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2.按玻璃清洁剂与清水1∶5的比例兑好玻璃清洁溶液；</w:t>
      </w:r>
    </w:p>
    <w:p w14:paraId="6F7EE849">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3.用毛巾蘸上全能清洁消毒剂擦拭表面；</w:t>
      </w:r>
    </w:p>
    <w:p w14:paraId="6358D5AF">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4.用玻璃刮刀刮去表面水分；</w:t>
      </w:r>
    </w:p>
    <w:p w14:paraId="0B35D5D9">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5.用干毛巾擦拭残留水渍；</w:t>
      </w:r>
    </w:p>
    <w:p w14:paraId="57FF3F35">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6.把浸有玻璃清洁溶液的毛巾裹在玻璃刮上，然后用适当的力量按在玻璃顶端从上往下垂直洗抹；</w:t>
      </w:r>
    </w:p>
    <w:p w14:paraId="0770B9C3">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7.污迹较重的地方重点抹；</w:t>
      </w:r>
    </w:p>
    <w:p w14:paraId="54F4AB2C">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8.一洗一刮连贯进行，当玻璃的位置和地面较接近时，可以把刮作横向移动；</w:t>
      </w:r>
    </w:p>
    <w:p w14:paraId="3FE1C14C">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9.最后用地拖拖抹地面上的污水。</w:t>
      </w:r>
    </w:p>
    <w:p w14:paraId="1E821C1D">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(六)、电梯清洁</w:t>
      </w:r>
    </w:p>
    <w:p w14:paraId="7488734E">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1.为了不妨碍医院方面的正常运作，电梯在进行日常保洁时，一般不停止，并在人少的时候进行。</w:t>
      </w:r>
    </w:p>
    <w:p w14:paraId="759273D8">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2.电梯厢内清扫、吸尘、或撤换地毡，清扫门缝内泥尘、杂物。</w:t>
      </w:r>
    </w:p>
    <w:p w14:paraId="1239E7C9">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3.用干净湿毛巾擦拭门缝、门边，再用干毛巾将污水吸干，用浸泡过的全能水的湿毛巾抹厢内天花、排风口、灯饰、显示屏。</w:t>
      </w:r>
    </w:p>
    <w:p w14:paraId="44EC7A6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4.将适量的全能去渍剂倒在潮毛巾上，均匀地涂在厢内不锈钢上，再用力来回上下反复擦拭。</w:t>
      </w:r>
    </w:p>
    <w:p w14:paraId="6E9A397E">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5.用干净的湿毛巾擦拭不锈钢表面，再用干毛巾擦干不锈钢表面的水迹。</w:t>
      </w:r>
    </w:p>
    <w:p w14:paraId="6DD2C985">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6.将适量的不锈钢保洁剂倒在毛绒布上，均匀地涂在不锈钢表面。</w:t>
      </w:r>
    </w:p>
    <w:p w14:paraId="6DFC7016">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7.用干净毛巾进行抛光处理。</w:t>
      </w:r>
    </w:p>
    <w:p w14:paraId="48DB1F13">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(七)、橱窗及各种标志牌保洁</w:t>
      </w:r>
    </w:p>
    <w:p w14:paraId="39306E7F">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1.橱窗的清洁：用抹布将橱窗里外周边全面擦抹一遍，玻璃用玻璃刮清洁；</w:t>
      </w:r>
    </w:p>
    <w:p w14:paraId="086A5209">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2.标识牌的清洁：有广告纸时，先撕下纸，再用湿抹布从上往下擦抹牌，然后用干抹布抹一次；</w:t>
      </w:r>
    </w:p>
    <w:p w14:paraId="6BDBC54D">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(八)、天花板保洁</w:t>
      </w:r>
    </w:p>
    <w:p w14:paraId="0F301077">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1.将尘扫和伸缩杆连接起来</w:t>
      </w:r>
      <w:r>
        <w:rPr>
          <w:rFonts w:hint="eastAsia" w:ascii="仿宋" w:hAnsi="仿宋" w:eastAsia="仿宋" w:cs="仿宋"/>
          <w:color w:val="auto"/>
          <w:sz w:val="24"/>
          <w:szCs w:val="24"/>
          <w:lang w:eastAsia="zh-CN"/>
        </w:rPr>
        <w:t>；</w:t>
      </w:r>
    </w:p>
    <w:p w14:paraId="1B37C4D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2.按一定顺序左右来回扫尘</w:t>
      </w:r>
      <w:r>
        <w:rPr>
          <w:rFonts w:hint="eastAsia" w:ascii="仿宋" w:hAnsi="仿宋" w:eastAsia="仿宋" w:cs="仿宋"/>
          <w:color w:val="auto"/>
          <w:sz w:val="24"/>
          <w:szCs w:val="24"/>
          <w:lang w:eastAsia="zh-CN"/>
        </w:rPr>
        <w:t>。</w:t>
      </w:r>
    </w:p>
    <w:p w14:paraId="7A783E98">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(九)、ＩＣＵ病房保洁</w:t>
      </w:r>
    </w:p>
    <w:p w14:paraId="4FE7CF22">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1.先里后外，先上后下，先大面后死角。</w:t>
      </w:r>
    </w:p>
    <w:p w14:paraId="73285E29">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2.两人分工，湿拖病房，工作区域，上午下午各拖一次，保持地面清洁。地面用0.1%的施康溶液，特殊感染菌病人或有污染（血迹、分泌物等）时用0.1%的施康溶液。</w:t>
      </w:r>
    </w:p>
    <w:p w14:paraId="2952B2C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3.集中倾倒垃圾后，有垃圾随时倾倒，垃圾不可超过2/3.（疑似传染性用感染医疗废物袋双层包扎，注明科室，时间，名称）包括：感染垃圾，生活垃圾，医疗废物，损伤性废物，空瓶，塑料用物等称重记录。</w:t>
      </w:r>
    </w:p>
    <w:p w14:paraId="63039214">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4.上午，下午各开窗通风一次，时间20-30分钟，不可使病人吹对流风，以防感冒。</w:t>
      </w:r>
    </w:p>
    <w:p w14:paraId="3E46F932">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5.与供应室人员清点预洗（清洁）衣物，被服，物品并做好登记。</w:t>
      </w:r>
    </w:p>
    <w:p w14:paraId="1E6FED5F">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6.擦洗床单元，保持清洁，无死角（尤其是功能柱上方，带有输液架一侧功能柱，床头）。做到一床一抹布，不可混合使用，以防交叉感染。擦各处台面、桌椅、床、墙面无感染用清水，感染用0.1%的施康溶液。</w:t>
      </w:r>
    </w:p>
    <w:p w14:paraId="31DDC308">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7.拖把分类使用并悬挂晾干备用。污染区：红色。厕所：黄色。治疗室：浅蓝色。医务人员通道及办公区：深蓝色</w:t>
      </w:r>
      <w:r>
        <w:rPr>
          <w:rFonts w:hint="eastAsia" w:ascii="仿宋" w:hAnsi="仿宋" w:eastAsia="仿宋" w:cs="仿宋"/>
          <w:color w:val="auto"/>
          <w:sz w:val="24"/>
          <w:szCs w:val="24"/>
          <w:lang w:eastAsia="zh-CN"/>
        </w:rPr>
        <w:t>。</w:t>
      </w:r>
    </w:p>
    <w:p w14:paraId="10052736">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8.洗手池每天用去污粉擦抹，保持清洁、无积垢。开水器台面保持清洁、无污垢、无积灰。</w:t>
      </w:r>
    </w:p>
    <w:p w14:paraId="2BBFFCF2">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9.会议室，餐厅保持整洁明亮。</w:t>
      </w:r>
    </w:p>
    <w:p w14:paraId="185C8D06">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10.垃圾桶、被服桶、消毒桶内物品放置不外露。垃圾桶、被服桶等每周清洗，保持外观清洁无污垢。</w:t>
      </w:r>
    </w:p>
    <w:p w14:paraId="1E2804B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11.隔离病房（未开放）床单元，功能柱，窗台等每周周二，周五清洁，地面每天湿拖一次。保持病房物品，床单元整洁，有序。</w:t>
      </w:r>
    </w:p>
    <w:p w14:paraId="01C8E9D3">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12.定期联系并监督相关人员清洁纱窗，玻璃，房顶等保持清洁，无污垢，无蜘蛛网。</w:t>
      </w:r>
    </w:p>
    <w:p w14:paraId="68421633">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13.每周浸泡清洗输液篮一次。</w:t>
      </w:r>
    </w:p>
    <w:p w14:paraId="3F6FAE56">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14.做好出院，转科患者终末处理。床单位、功能柱终未消毒，彻底擦洗，臭氧机消毒并登记。</w:t>
      </w:r>
    </w:p>
    <w:p w14:paraId="1287D30A">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15.严格掌握含氯消毒液配置及测量方法。</w:t>
      </w:r>
    </w:p>
    <w:p w14:paraId="06FDFE9D">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16.保持污物处理间，被服间整齐，清洁，无异味。</w:t>
      </w:r>
    </w:p>
    <w:p w14:paraId="1B8CB52A">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17.保洁人员按时参加院感相关理论培训，并实施闭卷考核。</w:t>
      </w:r>
    </w:p>
    <w:p w14:paraId="6FE3EDC9">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注：实际工作中在护士长、护士的指导下进行。</w:t>
      </w:r>
    </w:p>
    <w:p w14:paraId="21D26341">
      <w:pPr>
        <w:pageBreakBefore w:val="0"/>
        <w:numPr>
          <w:ilvl w:val="0"/>
          <w:numId w:val="0"/>
        </w:numPr>
        <w:kinsoku/>
        <w:wordWrap/>
        <w:overflowPunct/>
        <w:topLinePunct w:val="0"/>
        <w:autoSpaceDE/>
        <w:autoSpaceDN/>
        <w:bidi w:val="0"/>
        <w:adjustRightInd/>
        <w:spacing w:line="560" w:lineRule="exact"/>
        <w:ind w:leftChars="0"/>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五、洗衣房</w:t>
      </w:r>
      <w:r>
        <w:rPr>
          <w:rFonts w:hint="eastAsia" w:ascii="仿宋" w:hAnsi="仿宋" w:eastAsia="仿宋" w:cs="仿宋"/>
          <w:b/>
          <w:bCs/>
          <w:color w:val="auto"/>
          <w:sz w:val="24"/>
          <w:szCs w:val="24"/>
        </w:rPr>
        <w:t>洗涤</w:t>
      </w:r>
      <w:r>
        <w:rPr>
          <w:rFonts w:hint="eastAsia" w:ascii="仿宋" w:hAnsi="仿宋" w:eastAsia="仿宋" w:cs="仿宋"/>
          <w:b/>
          <w:bCs/>
          <w:color w:val="auto"/>
          <w:sz w:val="24"/>
          <w:szCs w:val="24"/>
          <w:lang w:eastAsia="zh-CN"/>
        </w:rPr>
        <w:t>布草</w:t>
      </w:r>
      <w:r>
        <w:rPr>
          <w:rFonts w:hint="eastAsia" w:ascii="仿宋" w:hAnsi="仿宋" w:eastAsia="仿宋" w:cs="仿宋"/>
          <w:b/>
          <w:bCs/>
          <w:color w:val="auto"/>
          <w:sz w:val="24"/>
          <w:szCs w:val="24"/>
        </w:rPr>
        <w:t>工作程序</w:t>
      </w:r>
    </w:p>
    <w:p w14:paraId="241BC13E">
      <w:pPr>
        <w:pageBreakBefore w:val="0"/>
        <w:numPr>
          <w:ilvl w:val="0"/>
          <w:numId w:val="0"/>
        </w:numPr>
        <w:kinsoku/>
        <w:wordWrap/>
        <w:overflowPunct/>
        <w:topLinePunct w:val="0"/>
        <w:autoSpaceDE/>
        <w:autoSpaceDN/>
        <w:bidi w:val="0"/>
        <w:adjustRightInd/>
        <w:spacing w:line="560" w:lineRule="exact"/>
        <w:ind w:leftChars="0" w:firstLine="240" w:firstLineChars="10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接收洗涤物品归类，逐一清点数目，并与科室做好交接记录</w:t>
      </w:r>
      <w:r>
        <w:rPr>
          <w:rFonts w:hint="eastAsia" w:ascii="仿宋" w:hAnsi="仿宋" w:eastAsia="仿宋" w:cs="仿宋"/>
          <w:color w:val="auto"/>
          <w:sz w:val="24"/>
          <w:szCs w:val="24"/>
          <w:lang w:eastAsia="zh-CN"/>
        </w:rPr>
        <w:t>。</w:t>
      </w:r>
    </w:p>
    <w:p w14:paraId="6ED88E00">
      <w:pPr>
        <w:pageBreakBefore w:val="0"/>
        <w:numPr>
          <w:ilvl w:val="0"/>
          <w:numId w:val="0"/>
        </w:numPr>
        <w:kinsoku/>
        <w:wordWrap/>
        <w:overflowPunct/>
        <w:topLinePunct w:val="0"/>
        <w:autoSpaceDE/>
        <w:autoSpaceDN/>
        <w:bidi w:val="0"/>
        <w:adjustRightInd/>
        <w:spacing w:line="560" w:lineRule="exact"/>
        <w:ind w:leftChars="0" w:firstLine="240" w:firstLineChars="1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每月与科室核对接收发放洗涤物品总数</w:t>
      </w:r>
      <w:r>
        <w:rPr>
          <w:rFonts w:hint="eastAsia" w:ascii="仿宋" w:hAnsi="仿宋" w:eastAsia="仿宋" w:cs="仿宋"/>
          <w:color w:val="auto"/>
          <w:sz w:val="24"/>
          <w:szCs w:val="24"/>
          <w:lang w:eastAsia="zh-CN"/>
        </w:rPr>
        <w:t>。</w:t>
      </w:r>
    </w:p>
    <w:p w14:paraId="1ADFF80D">
      <w:pPr>
        <w:pageBreakBefore w:val="0"/>
        <w:numPr>
          <w:ilvl w:val="0"/>
          <w:numId w:val="0"/>
        </w:numPr>
        <w:kinsoku/>
        <w:wordWrap/>
        <w:overflowPunct/>
        <w:topLinePunct w:val="0"/>
        <w:autoSpaceDE/>
        <w:autoSpaceDN/>
        <w:bidi w:val="0"/>
        <w:adjustRightInd/>
        <w:spacing w:line="560" w:lineRule="exact"/>
        <w:ind w:leftChars="0" w:firstLine="240" w:firstLineChars="1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洗涤物品无残余污渍</w:t>
      </w:r>
      <w:r>
        <w:rPr>
          <w:rFonts w:hint="eastAsia" w:ascii="仿宋" w:hAnsi="仿宋" w:eastAsia="仿宋" w:cs="仿宋"/>
          <w:color w:val="auto"/>
          <w:sz w:val="24"/>
          <w:szCs w:val="24"/>
          <w:lang w:eastAsia="zh-CN"/>
        </w:rPr>
        <w:t>。</w:t>
      </w:r>
    </w:p>
    <w:p w14:paraId="4FE53852">
      <w:pPr>
        <w:pageBreakBefore w:val="0"/>
        <w:numPr>
          <w:ilvl w:val="0"/>
          <w:numId w:val="0"/>
        </w:numPr>
        <w:kinsoku/>
        <w:wordWrap/>
        <w:overflowPunct/>
        <w:topLinePunct w:val="0"/>
        <w:autoSpaceDE/>
        <w:autoSpaceDN/>
        <w:bidi w:val="0"/>
        <w:adjustRightInd/>
        <w:spacing w:line="560" w:lineRule="exact"/>
        <w:ind w:leftChars="0" w:firstLine="240" w:firstLineChars="1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4</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破损洗涤物品，洗涤干净后要修补完整</w:t>
      </w:r>
      <w:r>
        <w:rPr>
          <w:rFonts w:hint="eastAsia" w:ascii="仿宋" w:hAnsi="仿宋" w:eastAsia="仿宋" w:cs="仿宋"/>
          <w:color w:val="auto"/>
          <w:sz w:val="24"/>
          <w:szCs w:val="24"/>
          <w:lang w:eastAsia="zh-CN"/>
        </w:rPr>
        <w:t>。</w:t>
      </w:r>
    </w:p>
    <w:p w14:paraId="0064528E">
      <w:pPr>
        <w:pageBreakBefore w:val="0"/>
        <w:numPr>
          <w:ilvl w:val="0"/>
          <w:numId w:val="0"/>
        </w:numPr>
        <w:kinsoku/>
        <w:wordWrap/>
        <w:overflowPunct/>
        <w:topLinePunct w:val="0"/>
        <w:autoSpaceDE/>
        <w:autoSpaceDN/>
        <w:bidi w:val="0"/>
        <w:adjustRightInd/>
        <w:spacing w:line="560" w:lineRule="exact"/>
        <w:ind w:leftChars="0" w:firstLine="240" w:firstLineChars="1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5</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根据洗涤量对洗衣粉消耗成本核箅</w:t>
      </w:r>
      <w:r>
        <w:rPr>
          <w:rFonts w:hint="eastAsia" w:ascii="仿宋" w:hAnsi="仿宋" w:eastAsia="仿宋" w:cs="仿宋"/>
          <w:color w:val="auto"/>
          <w:sz w:val="24"/>
          <w:szCs w:val="24"/>
          <w:lang w:eastAsia="zh-CN"/>
        </w:rPr>
        <w:t>。</w:t>
      </w:r>
    </w:p>
    <w:p w14:paraId="63D9E479">
      <w:pPr>
        <w:pageBreakBefore w:val="0"/>
        <w:kinsoku/>
        <w:wordWrap/>
        <w:overflowPunct/>
        <w:topLinePunct w:val="0"/>
        <w:autoSpaceDE/>
        <w:autoSpaceDN/>
        <w:bidi w:val="0"/>
        <w:adjustRightInd/>
        <w:spacing w:line="56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六</w:t>
      </w:r>
      <w:r>
        <w:rPr>
          <w:rFonts w:hint="eastAsia" w:ascii="仿宋" w:hAnsi="仿宋" w:eastAsia="仿宋" w:cs="仿宋"/>
          <w:b/>
          <w:bCs/>
          <w:color w:val="auto"/>
          <w:sz w:val="24"/>
          <w:szCs w:val="24"/>
        </w:rPr>
        <w:t>、</w:t>
      </w:r>
      <w:r>
        <w:rPr>
          <w:rFonts w:hint="eastAsia" w:ascii="仿宋" w:hAnsi="仿宋" w:eastAsia="仿宋" w:cs="仿宋"/>
          <w:b/>
          <w:bCs/>
          <w:color w:val="auto"/>
          <w:sz w:val="24"/>
          <w:szCs w:val="24"/>
          <w:lang w:eastAsia="zh-CN"/>
        </w:rPr>
        <w:t>保洁、洗涤</w:t>
      </w:r>
      <w:r>
        <w:rPr>
          <w:rFonts w:hint="eastAsia" w:ascii="仿宋" w:hAnsi="仿宋" w:eastAsia="仿宋" w:cs="仿宋"/>
          <w:b/>
          <w:bCs/>
          <w:color w:val="auto"/>
          <w:sz w:val="24"/>
          <w:szCs w:val="24"/>
        </w:rPr>
        <w:t>工作质量检查、考核及奖惩</w:t>
      </w:r>
    </w:p>
    <w:p w14:paraId="031FBEE2">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b w:val="0"/>
          <w:bCs w:val="0"/>
          <w:color w:val="auto"/>
          <w:sz w:val="24"/>
          <w:szCs w:val="24"/>
        </w:rPr>
        <w:t>承包单位</w:t>
      </w:r>
      <w:r>
        <w:rPr>
          <w:rFonts w:hint="eastAsia" w:ascii="仿宋" w:hAnsi="仿宋" w:eastAsia="仿宋" w:cs="仿宋"/>
          <w:color w:val="auto"/>
          <w:sz w:val="24"/>
          <w:szCs w:val="24"/>
        </w:rPr>
        <w:t>内部质量监控体系</w:t>
      </w:r>
    </w:p>
    <w:p w14:paraId="70FD8AC5">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建立健全的质量监控体系，每时、每天、每周、每月都有专人或专门部门进行检查，确保清洁保洁达到既定标准；清洁作业按计划顺利完成，质量记录完整。</w:t>
      </w:r>
    </w:p>
    <w:p w14:paraId="35C323B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（1）员工自查：清洁工对各自的负责区域循环保沽、检查。</w:t>
      </w:r>
    </w:p>
    <w:p w14:paraId="7062407D">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（2）项目主管、保洁领班巡查：领班对辖区内的区域、岗位进行巡查或抽查，井结合巡查所发现的问题检验纠正后的效果，把检查结果和未能解决的问题上报管理处经理，并做好记录。</w:t>
      </w:r>
    </w:p>
    <w:p w14:paraId="689E2586">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（3）公司品质部抽查：不定期进行抽查，及时解决问题。</w:t>
      </w:r>
    </w:p>
    <w:p w14:paraId="704F90D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2、严格的考核制度</w:t>
      </w:r>
    </w:p>
    <w:p w14:paraId="38041547">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（1）每月对员工专业操作技能、工作业绩进行考核，每半年进行一次专业基础知识考试，结合日常工作业绩，实行末尾淘汰。</w:t>
      </w:r>
    </w:p>
    <w:p w14:paraId="459462F5">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b w:val="0"/>
          <w:bCs w:val="0"/>
          <w:color w:val="auto"/>
          <w:sz w:val="24"/>
          <w:szCs w:val="24"/>
        </w:rPr>
        <w:t>承包单位</w:t>
      </w:r>
      <w:r>
        <w:rPr>
          <w:rFonts w:hint="eastAsia" w:ascii="仿宋" w:hAnsi="仿宋" w:eastAsia="仿宋" w:cs="仿宋"/>
          <w:color w:val="auto"/>
          <w:sz w:val="24"/>
          <w:szCs w:val="24"/>
        </w:rPr>
        <w:t>在投标文件中要提供各类人员的管理和质量考核方案和相关的表格，以证明该单位的管理水平能力。</w:t>
      </w:r>
    </w:p>
    <w:p w14:paraId="783D15EB">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3、清洁作业改进</w:t>
      </w:r>
    </w:p>
    <w:p w14:paraId="32FDFE64">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（1）检查出的问题及时改进。</w:t>
      </w:r>
    </w:p>
    <w:p w14:paraId="7CE35907">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（2）加强员工的培</w:t>
      </w:r>
      <w:r>
        <w:rPr>
          <w:rFonts w:hint="eastAsia" w:ascii="仿宋" w:hAnsi="仿宋" w:eastAsia="仿宋" w:cs="仿宋"/>
          <w:color w:val="auto"/>
          <w:sz w:val="24"/>
          <w:szCs w:val="24"/>
          <w:lang w:eastAsia="zh-CN"/>
        </w:rPr>
        <w:t>训</w:t>
      </w:r>
      <w:r>
        <w:rPr>
          <w:rFonts w:hint="eastAsia" w:ascii="仿宋" w:hAnsi="仿宋" w:eastAsia="仿宋" w:cs="仿宋"/>
          <w:color w:val="auto"/>
          <w:sz w:val="24"/>
          <w:szCs w:val="24"/>
        </w:rPr>
        <w:t>。理论与实际相结合，请专业人士定点、定时进行言传身教，以使每个员工达到各项工作标准要求。每位员工都做“一熟、二勤、三快”：一熟，即对各项工作标准熟悉，明白自己所做的工作细则；二勤，脑勤、手勤；三快，在保证清洁质量的前提下，正硫判断问题快，应变能力快，处理问题快，工作效率高。</w:t>
      </w:r>
    </w:p>
    <w:p w14:paraId="4A1D539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（3）鼓励员工多提合理化建议，以不断改进工作。</w:t>
      </w:r>
    </w:p>
    <w:p w14:paraId="5D170C7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4、考核标准及奖罚办法</w:t>
      </w:r>
    </w:p>
    <w:p w14:paraId="1204E3B7">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（1）考核标准</w:t>
      </w:r>
    </w:p>
    <w:tbl>
      <w:tblPr>
        <w:tblStyle w:val="47"/>
        <w:tblW w:w="102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6"/>
        <w:gridCol w:w="4174"/>
        <w:gridCol w:w="551"/>
        <w:gridCol w:w="2400"/>
        <w:gridCol w:w="750"/>
        <w:gridCol w:w="1725"/>
      </w:tblGrid>
      <w:tr w14:paraId="6B858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206" w:type="dxa"/>
            <w:gridSpan w:val="6"/>
            <w:tcBorders>
              <w:top w:val="single" w:color="000000" w:sz="4" w:space="0"/>
              <w:left w:val="single" w:color="000000" w:sz="4" w:space="0"/>
              <w:bottom w:val="single" w:color="000000" w:sz="4" w:space="0"/>
              <w:right w:val="single" w:color="000000" w:sz="4" w:space="0"/>
            </w:tcBorders>
            <w:noWrap w:val="0"/>
            <w:vAlign w:val="center"/>
          </w:tcPr>
          <w:p w14:paraId="7D049E0A">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bCs/>
                <w:color w:val="auto"/>
                <w:sz w:val="24"/>
                <w:szCs w:val="24"/>
                <w:lang w:eastAsia="zh-CN"/>
              </w:rPr>
              <w:t>天峨县人民医院保洁、洗涤工作日常</w:t>
            </w:r>
            <w:r>
              <w:rPr>
                <w:rFonts w:hint="eastAsia" w:ascii="仿宋" w:hAnsi="仿宋" w:eastAsia="仿宋" w:cs="仿宋"/>
                <w:b/>
                <w:bCs/>
                <w:i w:val="0"/>
                <w:snapToGrid/>
                <w:color w:val="auto"/>
                <w:sz w:val="24"/>
                <w:szCs w:val="24"/>
                <w:u w:val="none"/>
                <w:lang w:val="en-US" w:eastAsia="zh-CN"/>
              </w:rPr>
              <w:t>考核量化标准</w:t>
            </w:r>
          </w:p>
        </w:tc>
      </w:tr>
      <w:tr w14:paraId="4429C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33AD4A31">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eastAsia="zh-CN"/>
              </w:rPr>
              <w:t>序号</w:t>
            </w:r>
          </w:p>
        </w:tc>
        <w:tc>
          <w:tcPr>
            <w:tcW w:w="4174" w:type="dxa"/>
            <w:tcBorders>
              <w:top w:val="single" w:color="000000" w:sz="4" w:space="0"/>
              <w:left w:val="single" w:color="000000" w:sz="4" w:space="0"/>
              <w:bottom w:val="single" w:color="000000" w:sz="4" w:space="0"/>
              <w:right w:val="single" w:color="000000" w:sz="4" w:space="0"/>
            </w:tcBorders>
            <w:noWrap w:val="0"/>
            <w:vAlign w:val="center"/>
          </w:tcPr>
          <w:p w14:paraId="6F573C95">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eastAsia="zh-CN"/>
              </w:rPr>
              <w:t>工 作 要 求</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2A318A4C">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eastAsia="zh-CN"/>
              </w:rPr>
              <w:t>规定分值</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9703B23">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eastAsia="zh-CN"/>
              </w:rPr>
              <w:t>考 核 标 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D710285">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eastAsia="zh-CN"/>
              </w:rPr>
              <w:t>考评分值</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65A03C7B">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eastAsia="zh-CN"/>
              </w:rPr>
              <w:t>备注</w:t>
            </w:r>
          </w:p>
        </w:tc>
      </w:tr>
      <w:tr w14:paraId="61EC2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31210DBA">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eastAsia="zh-CN"/>
              </w:rPr>
              <w:t>1</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6CD4A272">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定人（人员配备）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定岗（责任范围）</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定时（完成时间）</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定项（工作项目），人员排班和工作安排合理，服务状态良好。</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1D61667F">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4</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650BCAC">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一项不明确或不符要求扣1分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97773D">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60798465">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68787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78F88B53">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val="en-US" w:eastAsia="zh-CN"/>
              </w:rPr>
              <w:t>2</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09906829">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各区域保洁按相应流程规范操作</w:t>
            </w:r>
            <w:r>
              <w:rPr>
                <w:rFonts w:hint="eastAsia" w:ascii="仿宋" w:hAnsi="仿宋" w:eastAsia="仿宋" w:cs="仿宋"/>
                <w:color w:val="auto"/>
                <w:sz w:val="24"/>
                <w:szCs w:val="24"/>
                <w:lang w:eastAsia="zh-CN"/>
              </w:rPr>
              <w:t>，</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55C59DC8">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,2</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62CE7BA">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未按流程操作，一例次扣1分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7AED59C">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371E1E10">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3E2F8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076D54DF">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val="en-US" w:eastAsia="zh-CN"/>
              </w:rPr>
              <w:t>3</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3E004A06">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在规定时间完成保洁</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54E0B99E">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val="en-US" w:eastAsia="zh-CN"/>
              </w:rPr>
              <w:t>2</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231E6C2">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不符合规定要求，一例次扣1分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09D0B5B">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38539ADB">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18C27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602CF54A">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val="en-US" w:eastAsia="zh-CN"/>
              </w:rPr>
              <w:t>4</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306B0976">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保洁工具、用品配备符合要求；保洁工具摆放规范、清洗干净；保洁工具及用品使用、清洗、消毒、存放符合分类要求；无乱丢乱放保洁工具，不得使用有可能损伤、污染保洁对象的工具和试剂材料。</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617417E6">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5</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7BE6EAA">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不符合要求，一项或一次扣1分；造成地面、家具及其他设施设备损伤，一次扣2分，并予以赔偿或修复</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E3BA933">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2D3CAB6C">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471D4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1AAFF1B1">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val="en-US" w:eastAsia="zh-CN"/>
              </w:rPr>
              <w:t>5</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6FFEDAB9">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室内地面保洁标准：</w:t>
            </w:r>
          </w:p>
          <w:p w14:paraId="5944DF71">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干净、干燥，无垃圾废物，无烟蒂纸屑，无灰尘泥土，无痰迹，无其他可擦洗污迹，墙角、沟、边保洁到位，走动式维护，每小时至少巡扫一次。</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3E08334F">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3</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1A0C514">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地面不洁或其他不符合要求，一处扣1分。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3AAAD99">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73DF7CED">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49DCB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8"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7B96A06E">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val="en-US" w:eastAsia="zh-CN"/>
              </w:rPr>
              <w:t>6</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46F8CF5F">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墙壁、天蓬保洁标准：</w:t>
            </w:r>
          </w:p>
          <w:p w14:paraId="24DF4FF3">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目视干净无尘，无蛛网，无可擦洗污迹，无牛皮癣， 保洁工具、材料适合相应墙体材质，不得损伤、污染墙体。</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41D0C3D1">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3</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3A1FEA1">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不符合标准一处扣1分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960BD5D">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00D51AA4">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65B13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49D10DAC">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val="en-US" w:eastAsia="zh-CN"/>
              </w:rPr>
              <w:t>7</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56703D6C">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墙壁、天蓬附着物保洁标准：</w:t>
            </w:r>
          </w:p>
          <w:p w14:paraId="6AD1C55E">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设备带、开关插座、电扇、消防箱、消毒箱、钩、框及其他外凸物、附属设备目视干净端正，手摸无灰尘。</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3EA1897E">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3</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E496EF9">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不符合标准一处扣1分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939491">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6697CA02">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7CE97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64E3EED2">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8</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47477EB5">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门、窗、洞、台保洁标准：</w:t>
            </w:r>
          </w:p>
          <w:p w14:paraId="1516DB78">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目视干净整洁，无可擦洗污迹，门窗手摸无灰尘，其他无积灰，无蛛网，无隐藏垃圾、废物、烟蒂等。</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52728E21">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3</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BFBC7EB">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不符合标准一处扣1分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80F8B7C">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2E148430">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61B3F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013C4F28">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9</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241DA6BC">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病房家具保洁标准：</w:t>
            </w:r>
          </w:p>
          <w:p w14:paraId="6795D3EC">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color w:val="auto"/>
                <w:sz w:val="24"/>
                <w:szCs w:val="24"/>
              </w:rPr>
              <w:t>清洁无结垢、无灰尘，如有污染，及时清洁消毒，保证一房一巾，目视干净，摆放整齐，手摸无灰尘，不得使用有可能损伤家具的工具和材料。</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297BFCCF">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val="en-US" w:eastAsia="zh-CN"/>
              </w:rPr>
              <w:t>5</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67ECC0F">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不符合标准一处扣1分。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65BEA7B">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6361D53A">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097BB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1F80D101">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10</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2FBF55E9">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病房床单元保洁标准：</w:t>
            </w:r>
          </w:p>
          <w:p w14:paraId="09E040E9">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shd w:val="clear" w:color="auto" w:fill="FFFFFF"/>
                <w:lang w:val="en-US" w:eastAsia="zh-CN"/>
              </w:rPr>
            </w:pPr>
            <w:r>
              <w:rPr>
                <w:rFonts w:hint="eastAsia" w:ascii="仿宋" w:hAnsi="仿宋" w:eastAsia="仿宋" w:cs="仿宋"/>
                <w:color w:val="auto"/>
                <w:sz w:val="24"/>
                <w:szCs w:val="24"/>
              </w:rPr>
              <w:t>清洁无结垢、无灰尘，如有污染，及时清洁消毒，保证一床一巾，目视干净，无可擦洗污迹，手摸无灰尘。</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59F0DEA5">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5</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846BE60">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不符合标准一处扣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56F1C4C">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31D11046">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182D1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28FDDF89">
            <w:pPr>
              <w:numPr>
                <w:ilvl w:val="0"/>
                <w:numId w:val="0"/>
              </w:num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11</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669B7751">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病房卫生洁具保洁标准：</w:t>
            </w:r>
          </w:p>
          <w:p w14:paraId="57FB1022">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shd w:val="clear" w:color="auto" w:fill="FFFFFF"/>
                <w:lang w:val="en-US" w:eastAsia="zh-CN"/>
              </w:rPr>
            </w:pPr>
            <w:r>
              <w:rPr>
                <w:rFonts w:hint="eastAsia" w:ascii="仿宋" w:hAnsi="仿宋" w:eastAsia="仿宋" w:cs="仿宋"/>
                <w:color w:val="auto"/>
                <w:sz w:val="24"/>
                <w:szCs w:val="24"/>
              </w:rPr>
              <w:t>面盆、水池、水龙头、便器及其他洗浴清洁设备每日清洁，便器每日消毒，目视干净整洁，无污垢，台面等无积水，保持通风正常、排水通畅，无异味</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3A611636">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5</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C0BE6E5">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不符合标准一处扣2分。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589EE2">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477353D4">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30591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5BEC8DC8">
            <w:pPr>
              <w:numPr>
                <w:ilvl w:val="0"/>
                <w:numId w:val="0"/>
              </w:num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val="en-US" w:eastAsia="zh-CN"/>
              </w:rPr>
              <w:t>12</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3FC58D23">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公共卫生间洁具保洁标准：</w:t>
            </w:r>
          </w:p>
          <w:p w14:paraId="52F5E1DB">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 xml:space="preserve">每日保洁、消毒，专人负责，至少每半小时巡查一次，目视干净整洁，无污垢，台面等无积水，保持通风正常、排水通畅，无异味，按规定投放卫生球等除味材料。 </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688DBD53">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eastAsia="zh-CN"/>
              </w:rPr>
              <w:t>5</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6278D8E">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不符合标准一处扣2分。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465850B">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4B86D99D">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1AA1E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3E185A83">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eastAsia="zh-CN"/>
              </w:rPr>
              <w:t>1</w:t>
            </w:r>
            <w:r>
              <w:rPr>
                <w:rFonts w:hint="eastAsia" w:ascii="仿宋" w:hAnsi="仿宋" w:eastAsia="仿宋" w:cs="仿宋"/>
                <w:b w:val="0"/>
                <w:i w:val="0"/>
                <w:snapToGrid/>
                <w:color w:val="auto"/>
                <w:sz w:val="24"/>
                <w:szCs w:val="24"/>
                <w:u w:val="none"/>
                <w:lang w:val="en-US" w:eastAsia="zh-CN"/>
              </w:rPr>
              <w:t>3</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47EFB7EA">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玻璃、镜子保洁标准：</w:t>
            </w:r>
          </w:p>
          <w:p w14:paraId="2639B74A">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color w:val="auto"/>
                <w:sz w:val="24"/>
                <w:szCs w:val="24"/>
              </w:rPr>
              <w:t>每日擦洗，使用专用清洁试剂，保持干净明亮，目视无灰尘，无污迹，无水渍，手摸边框无灰尘。</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438FDD84">
            <w:pPr>
              <w:numPr>
                <w:ilvl w:val="0"/>
                <w:numId w:val="0"/>
              </w:numPr>
              <w:kinsoku/>
              <w:autoSpaceDE/>
              <w:autoSpaceDN w:val="0"/>
              <w:ind w:leftChars="0" w:right="0" w:rightChars="0"/>
              <w:jc w:val="left"/>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5</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AAD049F">
            <w:pPr>
              <w:numPr>
                <w:ilvl w:val="0"/>
                <w:numId w:val="0"/>
              </w:numPr>
              <w:kinsoku/>
              <w:autoSpaceDE/>
              <w:autoSpaceDN w:val="0"/>
              <w:ind w:leftChars="0" w:right="0" w:rightChars="0"/>
              <w:jc w:val="left"/>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color w:val="auto"/>
                <w:sz w:val="24"/>
                <w:szCs w:val="24"/>
              </w:rPr>
              <w:t>不符合标准每次扣1分。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27F60C2">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val="en-US"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3E9204E2">
            <w:pPr>
              <w:numPr>
                <w:ilvl w:val="0"/>
                <w:numId w:val="0"/>
              </w:numPr>
              <w:kinsoku/>
              <w:autoSpaceDE/>
              <w:autoSpaceDN w:val="0"/>
              <w:ind w:leftChars="0" w:right="0" w:rightChars="0"/>
              <w:jc w:val="left"/>
              <w:textAlignment w:val="center"/>
              <w:rPr>
                <w:rFonts w:hint="eastAsia" w:ascii="仿宋" w:hAnsi="仿宋" w:eastAsia="仿宋" w:cs="仿宋"/>
                <w:b w:val="0"/>
                <w:i w:val="0"/>
                <w:snapToGrid/>
                <w:color w:val="auto"/>
                <w:sz w:val="24"/>
                <w:szCs w:val="24"/>
                <w:u w:val="none"/>
                <w:lang w:val="en-US" w:eastAsia="zh-CN"/>
              </w:rPr>
            </w:pPr>
          </w:p>
        </w:tc>
      </w:tr>
      <w:tr w14:paraId="59681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60EF6A76">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eastAsia="zh-CN"/>
              </w:rPr>
              <w:t>1</w:t>
            </w:r>
            <w:r>
              <w:rPr>
                <w:rFonts w:hint="eastAsia" w:ascii="仿宋" w:hAnsi="仿宋" w:eastAsia="仿宋" w:cs="仿宋"/>
                <w:b w:val="0"/>
                <w:i w:val="0"/>
                <w:snapToGrid/>
                <w:color w:val="auto"/>
                <w:sz w:val="24"/>
                <w:szCs w:val="24"/>
                <w:u w:val="none"/>
                <w:lang w:val="en-US" w:eastAsia="zh-CN"/>
              </w:rPr>
              <w:t>4</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44B01D75">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治疗室、处置室及其他特殊医疗用房保洁标准：垃圾按规定分类存放收集，台面、污染墙壁每日擦洗消毒，无蚊蝇，无污迹，无积水。</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60E8A53B">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5</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DB3629D">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不符合标准一处扣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18871E5">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1323F6F9">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132AF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667A2F58">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eastAsia="zh-CN"/>
              </w:rPr>
              <w:t>1</w:t>
            </w:r>
            <w:r>
              <w:rPr>
                <w:rFonts w:hint="eastAsia" w:ascii="仿宋" w:hAnsi="仿宋" w:eastAsia="仿宋" w:cs="仿宋"/>
                <w:b w:val="0"/>
                <w:i w:val="0"/>
                <w:snapToGrid/>
                <w:color w:val="auto"/>
                <w:sz w:val="24"/>
                <w:szCs w:val="24"/>
                <w:u w:val="none"/>
                <w:lang w:val="en-US" w:eastAsia="zh-CN"/>
              </w:rPr>
              <w:t>5</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30D28A9B">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手术室、ICU、</w:t>
            </w:r>
            <w:r>
              <w:rPr>
                <w:rFonts w:hint="eastAsia" w:ascii="仿宋" w:hAnsi="仿宋" w:eastAsia="仿宋" w:cs="仿宋"/>
                <w:color w:val="auto"/>
                <w:sz w:val="24"/>
                <w:szCs w:val="24"/>
                <w:lang w:eastAsia="zh-CN"/>
              </w:rPr>
              <w:t>血透室、新生儿</w:t>
            </w:r>
            <w:r>
              <w:rPr>
                <w:rFonts w:hint="eastAsia" w:ascii="仿宋" w:hAnsi="仿宋" w:eastAsia="仿宋" w:cs="仿宋"/>
                <w:color w:val="auto"/>
                <w:sz w:val="24"/>
                <w:szCs w:val="24"/>
              </w:rPr>
              <w:t>病房执行卫计委《消毒技术规范》进行，手术间地、墙无灰尘，无污迹，无蛛网等。</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45D47C7B">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val="en-US" w:eastAsia="zh-CN"/>
              </w:rPr>
              <w:t>5</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AECA573">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不符合标准一处扣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00B7B56">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7FC1DC90">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3210B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2870B4FB">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16</w:t>
            </w:r>
          </w:p>
        </w:tc>
        <w:tc>
          <w:tcPr>
            <w:tcW w:w="4174" w:type="dxa"/>
            <w:tcBorders>
              <w:top w:val="single" w:color="000000" w:sz="4" w:space="0"/>
              <w:left w:val="single" w:color="000000" w:sz="4" w:space="0"/>
              <w:bottom w:val="single" w:color="000000" w:sz="4" w:space="0"/>
              <w:right w:val="single" w:color="000000" w:sz="4" w:space="0"/>
            </w:tcBorders>
            <w:noWrap w:val="0"/>
            <w:vAlign w:val="top"/>
          </w:tcPr>
          <w:p w14:paraId="78174DFA">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卫生（废物）桶保洁标准：</w:t>
            </w:r>
          </w:p>
          <w:p w14:paraId="2CD77054">
            <w:pPr>
              <w:pageBreakBefore w:val="0"/>
              <w:kinsoku/>
              <w:wordWrap/>
              <w:overflowPunct/>
              <w:topLinePunct w:val="0"/>
              <w:autoSpaceDE/>
              <w:autoSpaceDN/>
              <w:bidi w:val="0"/>
              <w:adjustRightInd/>
              <w:spacing w:line="560" w:lineRule="exact"/>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专用垃圾袋完好，铺放整齐符合要求，及时回收更换，保证内容物不超容积2/3，有污秽物时及时清理更换，每日对桶体定时清洁，无污迹，无积灰，无异味，无溢满。</w:t>
            </w:r>
          </w:p>
        </w:tc>
        <w:tc>
          <w:tcPr>
            <w:tcW w:w="551" w:type="dxa"/>
            <w:tcBorders>
              <w:top w:val="single" w:color="000000" w:sz="4" w:space="0"/>
              <w:left w:val="single" w:color="000000" w:sz="4" w:space="0"/>
              <w:bottom w:val="single" w:color="000000" w:sz="4" w:space="0"/>
              <w:right w:val="single" w:color="000000" w:sz="4" w:space="0"/>
            </w:tcBorders>
            <w:noWrap w:val="0"/>
            <w:vAlign w:val="center"/>
          </w:tcPr>
          <w:p w14:paraId="421979E8">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val="en-US" w:eastAsia="zh-CN"/>
              </w:rPr>
              <w:t>5</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338813F">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color w:val="auto"/>
                <w:sz w:val="24"/>
                <w:szCs w:val="24"/>
              </w:rPr>
              <w:t>不符合标准一处扣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2F7CFE9">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2C3F64EE">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4C16D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156ED01E">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17</w:t>
            </w:r>
          </w:p>
        </w:tc>
        <w:tc>
          <w:tcPr>
            <w:tcW w:w="4174"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FBB38F4">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大厅、走廊、楼梯有人走动维护，每15—30分钟完成一个巡回；保洁区域干净明亮，地面无纸屑、果皮、烟头等丢弃物，无污迹；雨天，地面有防滑、干燥措施并摆放防滑告示牌；门柱、扶手每日擦拭，墙角及可擦洗墙壁每周全面擦洗两次，保持干净整洁，无张贴，无污渍，无蛛网，无积尘。</w:t>
            </w:r>
          </w:p>
        </w:tc>
        <w:tc>
          <w:tcPr>
            <w:tcW w:w="5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E4A838">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8EDBCD">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不符合标准一处扣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C818271">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2CECAB62">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6B10B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545947D9">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18</w:t>
            </w:r>
          </w:p>
        </w:tc>
        <w:tc>
          <w:tcPr>
            <w:tcW w:w="4174"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EA0B680">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开水间：开水间清洁整齐，无杂物，无晾挂；地面清洁，无污迹，无积水，无异味；开水炉清洁干净。按院方规定时间开放开水间，住院病人开水送至床前每日2次，非供水时间开水间应锁门，确保供水安全。</w:t>
            </w:r>
          </w:p>
        </w:tc>
        <w:tc>
          <w:tcPr>
            <w:tcW w:w="5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E7B938">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E5B11">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不符合标准一处扣1分。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88BA5B1">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4B487C47">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5B8BD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7631524F">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19</w:t>
            </w:r>
          </w:p>
        </w:tc>
        <w:tc>
          <w:tcPr>
            <w:tcW w:w="4174"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BF11D70">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PVC、花岗岩地面保养标准：每天对楼宇内公共区域的PVC、地砖、花岗岩等地面清洗；地面按规定频率保养，保持地面光泽、亮度。PVC清洗保养制剂使用以不损伤釉面为宜；</w:t>
            </w:r>
          </w:p>
        </w:tc>
        <w:tc>
          <w:tcPr>
            <w:tcW w:w="5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74606">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D0B81">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不符合标准一处扣1分。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0E423F8">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0E049845">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1E687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46E2EA71">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20</w:t>
            </w:r>
          </w:p>
        </w:tc>
        <w:tc>
          <w:tcPr>
            <w:tcW w:w="4174"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D72118C">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生活垃圾运送规范：</w:t>
            </w:r>
          </w:p>
          <w:p w14:paraId="0F6A1C54">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（1）每日6：00～7:30、11:00～12:30、17:00～18:30到达所有部门/科室暂存点回收；</w:t>
            </w:r>
          </w:p>
          <w:p w14:paraId="7CB73EA7">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（2）按指定或专用路线运输，车辆不得与物体、墙壁、行人发生碰撞；</w:t>
            </w:r>
          </w:p>
          <w:p w14:paraId="3475F665">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（3）运输车辆须加盖，垃圾不得高出车箱体，运输途中无污物污水撒漏、丢弃等；</w:t>
            </w:r>
          </w:p>
          <w:p w14:paraId="51545122">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（4）垃圾及时装车压缩，每日清运；</w:t>
            </w:r>
          </w:p>
          <w:p w14:paraId="756F08D7">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（5）垃圾站每日冲刷、消毒不少于三次，保持站点清洁，无明显异味；</w:t>
            </w:r>
          </w:p>
        </w:tc>
        <w:tc>
          <w:tcPr>
            <w:tcW w:w="5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A0C5E">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29AAE">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不符合标准一处扣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72545B7">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663D90DA">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03F6E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4B660CD9">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21</w:t>
            </w:r>
          </w:p>
        </w:tc>
        <w:tc>
          <w:tcPr>
            <w:tcW w:w="4174"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B217EA5">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保洁服务时注意节约用水用电：</w:t>
            </w:r>
          </w:p>
          <w:p w14:paraId="4DE05DDE">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（1）保洁活动时避免耗水量大的冲洗法，如必须使用冲洗时，应采用间断冲洗，并使用节水型喷头，做到人走水关，杜绝长流水；</w:t>
            </w:r>
          </w:p>
          <w:p w14:paraId="4A30E674">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（2）做好病区、科室公共区域照明灯管理，无长明灯现象。</w:t>
            </w:r>
          </w:p>
        </w:tc>
        <w:tc>
          <w:tcPr>
            <w:tcW w:w="5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23DF3">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C692E">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不符合要求一次扣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ED70B59">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0C9EC5D8">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441AE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68477143">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22</w:t>
            </w:r>
          </w:p>
        </w:tc>
        <w:tc>
          <w:tcPr>
            <w:tcW w:w="4174"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792B0FF">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医疗废物运送规范：</w:t>
            </w:r>
          </w:p>
          <w:p w14:paraId="4CCCF34F">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（1）包装袋符合《医疗废物专用包装物、容器标准和警示标识规定》要求；</w:t>
            </w:r>
          </w:p>
          <w:p w14:paraId="28CA6D6B">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（2）每日早7：30前、中午12：00～2：30分到各科室清点、回收各类医疗废物；手术室除按规定时间收集外，应根据废物量随时收集；按指定或专用路线运输，车辆不得与物体、墙壁、行人发生碰撞；</w:t>
            </w:r>
          </w:p>
          <w:p w14:paraId="028F3D3B">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（3）医疗废物回收时须双人称重签名，封口，交接联单填写齐全；</w:t>
            </w:r>
          </w:p>
          <w:p w14:paraId="25D17395">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（4）运送车辆须加盖，运输途中保持车厢密闭，无撒漏、丢弃等；</w:t>
            </w:r>
          </w:p>
          <w:p w14:paraId="48FDDA26">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（5）医疗废物按分类码放整齐等待清运，严禁其他一切非医疗废物进入医疗废物储存间；医疗废物储存时间不得超过48小时；</w:t>
            </w:r>
          </w:p>
          <w:p w14:paraId="5FC3EC4A">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（6）医疗废物储存间防蚊、防蝇、防鼠、防盗等安全设施完好；</w:t>
            </w:r>
          </w:p>
          <w:p w14:paraId="7F4A7906">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（7）医疗废物储存间地面随时清洁，每日进行地面和墙壁终末消毒处理；</w:t>
            </w:r>
          </w:p>
          <w:p w14:paraId="0AB5FB24">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（8）员工工服、防护用品每日集中清洗消毒；</w:t>
            </w:r>
          </w:p>
          <w:p w14:paraId="528DF1E1">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（9）每日统计交接联单，发现医疗废物数量明显异常，立即追查，并报告监管部门；</w:t>
            </w:r>
          </w:p>
          <w:p w14:paraId="66A7CE50">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（10）发生医疗废物撒漏、丢失时，立即启动医疗废物撒漏、丢失应急预案。</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医疗废物</w:t>
            </w:r>
            <w:r>
              <w:rPr>
                <w:rFonts w:hint="eastAsia" w:ascii="仿宋" w:hAnsi="仿宋" w:eastAsia="仿宋" w:cs="仿宋"/>
                <w:color w:val="auto"/>
                <w:sz w:val="24"/>
                <w:szCs w:val="24"/>
                <w:lang w:eastAsia="zh-CN"/>
              </w:rPr>
              <w:t>收集人员每年健康体检</w:t>
            </w:r>
            <w:r>
              <w:rPr>
                <w:rFonts w:hint="eastAsia" w:ascii="仿宋" w:hAnsi="仿宋" w:eastAsia="仿宋" w:cs="仿宋"/>
                <w:color w:val="auto"/>
                <w:sz w:val="24"/>
                <w:szCs w:val="24"/>
                <w:lang w:val="en-US" w:eastAsia="zh-CN"/>
              </w:rPr>
              <w:t>2次。</w:t>
            </w:r>
          </w:p>
        </w:tc>
        <w:tc>
          <w:tcPr>
            <w:tcW w:w="5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BC8B2">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CD568">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不符合要求一次扣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B90B41F">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13077A55">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0048C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tcBorders>
              <w:top w:val="single" w:color="000000" w:sz="4" w:space="0"/>
              <w:left w:val="single" w:color="000000" w:sz="4" w:space="0"/>
              <w:bottom w:val="single" w:color="000000" w:sz="4" w:space="0"/>
              <w:right w:val="single" w:color="000000" w:sz="4" w:space="0"/>
            </w:tcBorders>
            <w:noWrap w:val="0"/>
            <w:vAlign w:val="center"/>
          </w:tcPr>
          <w:p w14:paraId="768867C7">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b w:val="0"/>
                <w:i w:val="0"/>
                <w:snapToGrid/>
                <w:color w:val="auto"/>
                <w:sz w:val="24"/>
                <w:szCs w:val="24"/>
                <w:u w:val="none"/>
                <w:lang w:val="en-US" w:eastAsia="zh-CN"/>
              </w:rPr>
              <w:t>23</w:t>
            </w:r>
          </w:p>
        </w:tc>
        <w:tc>
          <w:tcPr>
            <w:tcW w:w="4174"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D249B7A">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洗衣房：1.</w:t>
            </w:r>
            <w:r>
              <w:rPr>
                <w:rFonts w:hint="eastAsia" w:ascii="仿宋" w:hAnsi="仿宋" w:eastAsia="仿宋" w:cs="仿宋"/>
                <w:color w:val="auto"/>
                <w:sz w:val="24"/>
                <w:szCs w:val="24"/>
              </w:rPr>
              <w:t>接收洗涤物品归类，逐一清点数目，并与科室做好交接记录</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每月与科室核对接收发放洗涤物品总数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洗涤物品无残余污渍</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4</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破损洗涤物品，洗涤干净后要修补完整</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5</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根据洗涤量对洗衣粉消耗成本核箅</w:t>
            </w:r>
            <w:r>
              <w:rPr>
                <w:rFonts w:hint="eastAsia" w:ascii="仿宋" w:hAnsi="仿宋" w:eastAsia="仿宋" w:cs="仿宋"/>
                <w:color w:val="auto"/>
                <w:sz w:val="24"/>
                <w:szCs w:val="24"/>
                <w:lang w:eastAsia="zh-CN"/>
              </w:rPr>
              <w:t>。</w:t>
            </w:r>
          </w:p>
        </w:tc>
        <w:tc>
          <w:tcPr>
            <w:tcW w:w="5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C1D7D">
            <w:pPr>
              <w:pageBreakBefore w:val="0"/>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6214B">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不符合要求一次扣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E4C0A4E">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09A37565">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1E2DA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206" w:type="dxa"/>
            <w:gridSpan w:val="6"/>
            <w:tcBorders>
              <w:top w:val="single" w:color="000000" w:sz="4" w:space="0"/>
              <w:left w:val="single" w:color="000000" w:sz="4" w:space="0"/>
              <w:bottom w:val="single" w:color="000000" w:sz="4" w:space="0"/>
              <w:right w:val="single" w:color="000000" w:sz="4" w:space="0"/>
            </w:tcBorders>
            <w:noWrap w:val="0"/>
            <w:vAlign w:val="center"/>
          </w:tcPr>
          <w:p w14:paraId="1E855A15">
            <w:pPr>
              <w:kinsoku/>
              <w:autoSpaceDE/>
              <w:autoSpaceDN w:val="0"/>
              <w:ind w:left="0" w:leftChars="0" w:right="0" w:rightChars="0" w:firstLine="4080" w:firstLineChars="1700"/>
              <w:jc w:val="left"/>
              <w:textAlignment w:val="center"/>
              <w:rPr>
                <w:rFonts w:hint="eastAsia" w:ascii="仿宋" w:hAnsi="仿宋" w:eastAsia="仿宋" w:cs="仿宋"/>
                <w:b w:val="0"/>
                <w:i w:val="0"/>
                <w:snapToGrid/>
                <w:color w:val="auto"/>
                <w:sz w:val="24"/>
                <w:szCs w:val="24"/>
                <w:u w:val="none"/>
                <w:lang w:eastAsia="zh-CN"/>
              </w:rPr>
            </w:pPr>
            <w:r>
              <w:rPr>
                <w:rFonts w:hint="eastAsia" w:ascii="仿宋" w:hAnsi="仿宋" w:eastAsia="仿宋" w:cs="仿宋"/>
                <w:b w:val="0"/>
                <w:i w:val="0"/>
                <w:snapToGrid/>
                <w:color w:val="auto"/>
                <w:sz w:val="24"/>
                <w:szCs w:val="24"/>
                <w:u w:val="none"/>
                <w:lang w:eastAsia="zh-CN"/>
              </w:rPr>
              <w:t>总  分  值  100分</w:t>
            </w:r>
          </w:p>
        </w:tc>
      </w:tr>
      <w:tr w14:paraId="63079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206" w:type="dxa"/>
            <w:gridSpan w:val="6"/>
            <w:tcBorders>
              <w:top w:val="single" w:color="000000" w:sz="4" w:space="0"/>
              <w:left w:val="single" w:color="000000" w:sz="4" w:space="0"/>
              <w:bottom w:val="single" w:color="000000" w:sz="4" w:space="0"/>
              <w:right w:val="single" w:color="000000" w:sz="4" w:space="0"/>
            </w:tcBorders>
            <w:noWrap w:val="0"/>
            <w:vAlign w:val="center"/>
          </w:tcPr>
          <w:p w14:paraId="77598DA1">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03BC2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vMerge w:val="restart"/>
            <w:tcBorders>
              <w:top w:val="single" w:color="000000" w:sz="4" w:space="0"/>
              <w:left w:val="single" w:color="000000" w:sz="4" w:space="0"/>
              <w:right w:val="single" w:color="000000" w:sz="4" w:space="0"/>
            </w:tcBorders>
            <w:noWrap w:val="0"/>
            <w:vAlign w:val="center"/>
          </w:tcPr>
          <w:p w14:paraId="0A6ED302">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r>
              <w:rPr>
                <w:rFonts w:hint="eastAsia" w:ascii="仿宋" w:hAnsi="仿宋" w:eastAsia="仿宋" w:cs="仿宋"/>
                <w:color w:val="auto"/>
                <w:sz w:val="24"/>
                <w:szCs w:val="24"/>
              </w:rPr>
              <w:t>奖励</w:t>
            </w:r>
          </w:p>
        </w:tc>
        <w:tc>
          <w:tcPr>
            <w:tcW w:w="4174"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6C7A4B6">
            <w:pPr>
              <w:pageBreakBefore w:val="0"/>
              <w:widowControl/>
              <w:numPr>
                <w:ilvl w:val="0"/>
                <w:numId w:val="0"/>
              </w:numPr>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受到患者表扬（医院收到表扬信</w:t>
            </w:r>
          </w:p>
        </w:tc>
        <w:tc>
          <w:tcPr>
            <w:tcW w:w="29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EC48D">
            <w:pPr>
              <w:widowControl/>
              <w:spacing w:line="460" w:lineRule="exact"/>
              <w:rPr>
                <w:rFonts w:hint="eastAsia" w:ascii="仿宋" w:hAnsi="仿宋" w:eastAsia="仿宋" w:cs="仿宋"/>
                <w:color w:val="auto"/>
                <w:sz w:val="24"/>
                <w:szCs w:val="24"/>
              </w:rPr>
            </w:pPr>
            <w:r>
              <w:rPr>
                <w:rFonts w:hint="eastAsia" w:ascii="仿宋" w:hAnsi="仿宋" w:eastAsia="仿宋" w:cs="仿宋"/>
                <w:color w:val="auto"/>
                <w:sz w:val="24"/>
                <w:szCs w:val="24"/>
              </w:rPr>
              <w:t>经核实奖1分/次</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1085EB">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7A585AA9">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27CF3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vMerge w:val="continue"/>
            <w:tcBorders>
              <w:left w:val="single" w:color="000000" w:sz="4" w:space="0"/>
              <w:right w:val="single" w:color="000000" w:sz="4" w:space="0"/>
            </w:tcBorders>
            <w:noWrap w:val="0"/>
            <w:vAlign w:val="center"/>
          </w:tcPr>
          <w:p w14:paraId="7570A11B">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p>
        </w:tc>
        <w:tc>
          <w:tcPr>
            <w:tcW w:w="41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B10AA">
            <w:pPr>
              <w:pageBreakBefore w:val="0"/>
              <w:widowControl/>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配合医院完成上级各项检查任务和各项应急工作，并取得显著成绩的（获奖等）</w:t>
            </w:r>
          </w:p>
        </w:tc>
        <w:tc>
          <w:tcPr>
            <w:tcW w:w="29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B0E00">
            <w:pPr>
              <w:widowControl/>
              <w:spacing w:line="4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奖2-5分/次</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E8BAFD2">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1070E342">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4B24E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vMerge w:val="continue"/>
            <w:tcBorders>
              <w:left w:val="single" w:color="000000" w:sz="4" w:space="0"/>
              <w:right w:val="single" w:color="000000" w:sz="4" w:space="0"/>
            </w:tcBorders>
            <w:noWrap w:val="0"/>
            <w:vAlign w:val="center"/>
          </w:tcPr>
          <w:p w14:paraId="34A0D682">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p>
        </w:tc>
        <w:tc>
          <w:tcPr>
            <w:tcW w:w="41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73D7C">
            <w:pPr>
              <w:pageBreakBefore w:val="0"/>
              <w:widowControl/>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提出合理化建议或排除隐患，使医院免受重大损失的</w:t>
            </w:r>
          </w:p>
        </w:tc>
        <w:tc>
          <w:tcPr>
            <w:tcW w:w="29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EB900">
            <w:pPr>
              <w:widowControl/>
              <w:spacing w:line="4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奖2-5分/次</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14E20BA">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1044D5E2">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5440D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vMerge w:val="continue"/>
            <w:tcBorders>
              <w:left w:val="single" w:color="000000" w:sz="4" w:space="0"/>
              <w:right w:val="single" w:color="000000" w:sz="4" w:space="0"/>
            </w:tcBorders>
            <w:noWrap w:val="0"/>
            <w:vAlign w:val="center"/>
          </w:tcPr>
          <w:p w14:paraId="087E6719">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p>
        </w:tc>
        <w:tc>
          <w:tcPr>
            <w:tcW w:w="41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F0753">
            <w:pPr>
              <w:pageBreakBefore w:val="0"/>
              <w:widowControl/>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拾到钱包、手机等有价物品并上交医院保卫科,必须有照片、有资料。</w:t>
            </w:r>
          </w:p>
        </w:tc>
        <w:tc>
          <w:tcPr>
            <w:tcW w:w="29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4F67C">
            <w:pPr>
              <w:widowControl/>
              <w:spacing w:line="4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每起奖励1分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8095114">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495BBA6A">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r w14:paraId="08DE5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06" w:type="dxa"/>
            <w:vMerge w:val="continue"/>
            <w:tcBorders>
              <w:left w:val="single" w:color="000000" w:sz="4" w:space="0"/>
              <w:bottom w:val="single" w:color="000000" w:sz="4" w:space="0"/>
              <w:right w:val="single" w:color="000000" w:sz="4" w:space="0"/>
            </w:tcBorders>
            <w:noWrap w:val="0"/>
            <w:vAlign w:val="center"/>
          </w:tcPr>
          <w:p w14:paraId="25B44E87">
            <w:pPr>
              <w:kinsoku/>
              <w:autoSpaceDE/>
              <w:autoSpaceDN w:val="0"/>
              <w:ind w:left="0" w:leftChars="0" w:right="0" w:rightChars="0" w:firstLine="0" w:firstLineChars="0"/>
              <w:jc w:val="center"/>
              <w:textAlignment w:val="center"/>
              <w:rPr>
                <w:rFonts w:hint="eastAsia" w:ascii="仿宋" w:hAnsi="仿宋" w:eastAsia="仿宋" w:cs="仿宋"/>
                <w:b w:val="0"/>
                <w:i w:val="0"/>
                <w:snapToGrid/>
                <w:color w:val="auto"/>
                <w:sz w:val="24"/>
                <w:szCs w:val="24"/>
                <w:u w:val="none"/>
                <w:lang w:val="en-US" w:eastAsia="zh-CN"/>
              </w:rPr>
            </w:pPr>
          </w:p>
        </w:tc>
        <w:tc>
          <w:tcPr>
            <w:tcW w:w="41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48A19">
            <w:pPr>
              <w:pageBreakBefore w:val="0"/>
              <w:widowControl/>
              <w:kinsoku/>
              <w:wordWrap/>
              <w:overflowPunct/>
              <w:topLinePunct w:val="0"/>
              <w:autoSpaceDE/>
              <w:autoSpaceDN/>
              <w:bidi w:val="0"/>
              <w:adjustRightInd/>
              <w:spacing w:line="5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有切实有效的节能措施或建议，被医院采用并节能15%以上。</w:t>
            </w:r>
          </w:p>
        </w:tc>
        <w:tc>
          <w:tcPr>
            <w:tcW w:w="295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FFB6C">
            <w:pPr>
              <w:widowControl/>
              <w:spacing w:line="46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每项奖励5分</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40E6B9D">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6E614269">
            <w:pPr>
              <w:kinsoku/>
              <w:autoSpaceDE/>
              <w:autoSpaceDN w:val="0"/>
              <w:ind w:left="0" w:leftChars="0" w:right="0" w:rightChars="0" w:firstLine="0" w:firstLineChars="0"/>
              <w:jc w:val="left"/>
              <w:textAlignment w:val="center"/>
              <w:rPr>
                <w:rFonts w:hint="eastAsia" w:ascii="仿宋" w:hAnsi="仿宋" w:eastAsia="仿宋" w:cs="仿宋"/>
                <w:b w:val="0"/>
                <w:i w:val="0"/>
                <w:snapToGrid/>
                <w:color w:val="auto"/>
                <w:sz w:val="24"/>
                <w:szCs w:val="24"/>
                <w:u w:val="none"/>
                <w:lang w:eastAsia="zh-CN"/>
              </w:rPr>
            </w:pPr>
          </w:p>
        </w:tc>
      </w:tr>
    </w:tbl>
    <w:p w14:paraId="788C21F2">
      <w:pPr>
        <w:pStyle w:val="5"/>
        <w:pageBreakBefore w:val="0"/>
        <w:kinsoku/>
        <w:wordWrap/>
        <w:overflowPunct/>
        <w:topLinePunct w:val="0"/>
        <w:autoSpaceDE/>
        <w:autoSpaceDN/>
        <w:bidi w:val="0"/>
        <w:adjustRightInd/>
        <w:spacing w:line="560" w:lineRule="exact"/>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备注：</w:t>
      </w:r>
      <w:r>
        <w:rPr>
          <w:rFonts w:hint="eastAsia" w:ascii="仿宋" w:hAnsi="仿宋" w:eastAsia="仿宋" w:cs="仿宋"/>
          <w:b w:val="0"/>
          <w:bCs w:val="0"/>
          <w:color w:val="auto"/>
          <w:sz w:val="24"/>
          <w:szCs w:val="24"/>
        </w:rPr>
        <w:t>每月由</w:t>
      </w:r>
      <w:r>
        <w:rPr>
          <w:rFonts w:hint="eastAsia" w:ascii="仿宋" w:hAnsi="仿宋" w:eastAsia="仿宋" w:cs="仿宋"/>
          <w:b w:val="0"/>
          <w:bCs w:val="0"/>
          <w:color w:val="auto"/>
          <w:sz w:val="24"/>
          <w:szCs w:val="24"/>
          <w:lang w:eastAsia="zh-CN"/>
        </w:rPr>
        <w:t>医院</w:t>
      </w:r>
      <w:r>
        <w:rPr>
          <w:rFonts w:hint="eastAsia" w:ascii="仿宋" w:hAnsi="仿宋" w:eastAsia="仿宋" w:cs="仿宋"/>
          <w:b w:val="0"/>
          <w:bCs w:val="0"/>
          <w:color w:val="auto"/>
          <w:sz w:val="24"/>
          <w:szCs w:val="24"/>
        </w:rPr>
        <w:t>组织人员与承包单位共同对的</w:t>
      </w:r>
      <w:r>
        <w:rPr>
          <w:rFonts w:hint="eastAsia" w:ascii="仿宋" w:hAnsi="仿宋" w:eastAsia="仿宋" w:cs="仿宋"/>
          <w:b w:val="0"/>
          <w:bCs w:val="0"/>
          <w:color w:val="auto"/>
          <w:sz w:val="24"/>
          <w:szCs w:val="24"/>
          <w:lang w:eastAsia="zh-CN"/>
        </w:rPr>
        <w:t>保洁、洗涤服务</w:t>
      </w:r>
      <w:r>
        <w:rPr>
          <w:rFonts w:hint="eastAsia" w:ascii="仿宋" w:hAnsi="仿宋" w:eastAsia="仿宋" w:cs="仿宋"/>
          <w:b w:val="0"/>
          <w:bCs w:val="0"/>
          <w:color w:val="auto"/>
          <w:sz w:val="24"/>
          <w:szCs w:val="24"/>
        </w:rPr>
        <w:t>进行检查、评分</w:t>
      </w:r>
      <w:r>
        <w:rPr>
          <w:rFonts w:hint="eastAsia" w:ascii="仿宋" w:hAnsi="仿宋" w:eastAsia="仿宋" w:cs="仿宋"/>
          <w:b w:val="0"/>
          <w:bCs w:val="0"/>
          <w:color w:val="auto"/>
          <w:sz w:val="24"/>
          <w:szCs w:val="24"/>
          <w:lang w:eastAsia="zh-CN"/>
        </w:rPr>
        <w:t>。</w:t>
      </w:r>
    </w:p>
    <w:p w14:paraId="73B6D25D">
      <w:pPr>
        <w:pageBreakBefore w:val="0"/>
        <w:numPr>
          <w:ilvl w:val="0"/>
          <w:numId w:val="4"/>
        </w:numPr>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奖罚标准</w:t>
      </w:r>
    </w:p>
    <w:tbl>
      <w:tblPr>
        <w:tblStyle w:val="47"/>
        <w:tblW w:w="907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4833"/>
        <w:gridCol w:w="2550"/>
      </w:tblGrid>
      <w:tr w14:paraId="0CED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0E67580B">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每月得分</w:t>
            </w:r>
          </w:p>
        </w:tc>
        <w:tc>
          <w:tcPr>
            <w:tcW w:w="4833" w:type="dxa"/>
          </w:tcPr>
          <w:p w14:paraId="6F3903C3">
            <w:pPr>
              <w:pageBreakBefore w:val="0"/>
              <w:kinsoku/>
              <w:wordWrap/>
              <w:overflowPunct/>
              <w:topLinePunct w:val="0"/>
              <w:autoSpaceDE/>
              <w:autoSpaceDN/>
              <w:bidi w:val="0"/>
              <w:adjustRightInd/>
              <w:spacing w:line="5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奖罚标准</w:t>
            </w:r>
          </w:p>
        </w:tc>
        <w:tc>
          <w:tcPr>
            <w:tcW w:w="2550" w:type="dxa"/>
          </w:tcPr>
          <w:p w14:paraId="51B7A648">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备注</w:t>
            </w:r>
          </w:p>
        </w:tc>
      </w:tr>
      <w:tr w14:paraId="2133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0A7234C7">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80分以上</w:t>
            </w:r>
          </w:p>
        </w:tc>
        <w:tc>
          <w:tcPr>
            <w:tcW w:w="4833" w:type="dxa"/>
          </w:tcPr>
          <w:p w14:paraId="11BC5419">
            <w:pPr>
              <w:pageBreakBefore w:val="0"/>
              <w:kinsoku/>
              <w:wordWrap/>
              <w:overflowPunct/>
              <w:topLinePunct w:val="0"/>
              <w:autoSpaceDE/>
              <w:autoSpaceDN/>
              <w:bidi w:val="0"/>
              <w:adjustRightInd/>
              <w:spacing w:line="5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不奖不罚</w:t>
            </w:r>
          </w:p>
        </w:tc>
        <w:tc>
          <w:tcPr>
            <w:tcW w:w="2550" w:type="dxa"/>
            <w:vMerge w:val="restart"/>
          </w:tcPr>
          <w:p w14:paraId="1AF6D315">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p>
        </w:tc>
      </w:tr>
      <w:tr w14:paraId="1EC1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2EA23E3D">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75-79分</w:t>
            </w:r>
          </w:p>
        </w:tc>
        <w:tc>
          <w:tcPr>
            <w:tcW w:w="4833" w:type="dxa"/>
          </w:tcPr>
          <w:p w14:paraId="1C964E3C">
            <w:pPr>
              <w:pageBreakBefore w:val="0"/>
              <w:kinsoku/>
              <w:wordWrap/>
              <w:overflowPunct/>
              <w:topLinePunct w:val="0"/>
              <w:autoSpaceDE/>
              <w:autoSpaceDN/>
              <w:bidi w:val="0"/>
              <w:adjustRightInd/>
              <w:spacing w:line="5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扣罚当月应付金额的2%</w:t>
            </w:r>
          </w:p>
        </w:tc>
        <w:tc>
          <w:tcPr>
            <w:tcW w:w="2550" w:type="dxa"/>
            <w:vMerge w:val="continue"/>
          </w:tcPr>
          <w:p w14:paraId="508441BF">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p>
        </w:tc>
      </w:tr>
      <w:tr w14:paraId="7B4E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33CEB1F5">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71-74分</w:t>
            </w:r>
          </w:p>
        </w:tc>
        <w:tc>
          <w:tcPr>
            <w:tcW w:w="4833" w:type="dxa"/>
          </w:tcPr>
          <w:p w14:paraId="790C94C7">
            <w:pPr>
              <w:pageBreakBefore w:val="0"/>
              <w:kinsoku/>
              <w:wordWrap/>
              <w:overflowPunct/>
              <w:topLinePunct w:val="0"/>
              <w:autoSpaceDE/>
              <w:autoSpaceDN/>
              <w:bidi w:val="0"/>
              <w:adjustRightInd/>
              <w:spacing w:line="5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扣罚当月应付金额的5%</w:t>
            </w:r>
          </w:p>
        </w:tc>
        <w:tc>
          <w:tcPr>
            <w:tcW w:w="2550" w:type="dxa"/>
            <w:vMerge w:val="continue"/>
          </w:tcPr>
          <w:p w14:paraId="3EE5B52A">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p>
        </w:tc>
      </w:tr>
      <w:tr w14:paraId="7729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vAlign w:val="center"/>
          </w:tcPr>
          <w:p w14:paraId="15D92D4C">
            <w:pPr>
              <w:pageBreakBefore w:val="0"/>
              <w:kinsoku/>
              <w:wordWrap/>
              <w:overflowPunct/>
              <w:topLinePunct w:val="0"/>
              <w:autoSpaceDE/>
              <w:autoSpaceDN/>
              <w:bidi w:val="0"/>
              <w:adjustRightInd/>
              <w:spacing w:line="5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70分以下</w:t>
            </w:r>
          </w:p>
        </w:tc>
        <w:tc>
          <w:tcPr>
            <w:tcW w:w="4833" w:type="dxa"/>
          </w:tcPr>
          <w:p w14:paraId="7836210C">
            <w:pPr>
              <w:pageBreakBefore w:val="0"/>
              <w:kinsoku/>
              <w:wordWrap/>
              <w:overflowPunct/>
              <w:topLinePunct w:val="0"/>
              <w:autoSpaceDE/>
              <w:autoSpaceDN/>
              <w:bidi w:val="0"/>
              <w:adjustRightInd/>
              <w:spacing w:line="5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扣罚当月应付金额的10%；第一次口头警告，并及时整改；第二次书面通知整改；第三次甲方有权单方面解除合同。</w:t>
            </w:r>
          </w:p>
        </w:tc>
        <w:tc>
          <w:tcPr>
            <w:tcW w:w="2550" w:type="dxa"/>
            <w:vMerge w:val="continue"/>
          </w:tcPr>
          <w:p w14:paraId="79230409">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p>
        </w:tc>
      </w:tr>
    </w:tbl>
    <w:p w14:paraId="1C44134B">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p>
    <w:p w14:paraId="642D531A">
      <w:pPr>
        <w:pageBreakBefore w:val="0"/>
        <w:kinsoku/>
        <w:wordWrap/>
        <w:overflowPunct/>
        <w:topLinePunct w:val="0"/>
        <w:autoSpaceDE/>
        <w:autoSpaceDN/>
        <w:bidi w:val="0"/>
        <w:adjustRightInd/>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七</w:t>
      </w:r>
      <w:r>
        <w:rPr>
          <w:rFonts w:hint="eastAsia" w:ascii="仿宋" w:hAnsi="仿宋" w:eastAsia="仿宋" w:cs="仿宋"/>
          <w:b/>
          <w:bCs/>
          <w:color w:val="auto"/>
          <w:sz w:val="24"/>
          <w:szCs w:val="24"/>
        </w:rPr>
        <w:t>、相关说明及要求</w:t>
      </w:r>
    </w:p>
    <w:p w14:paraId="48A3FCBB">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1、勤杂事务：包括各病区一次性输液管及消毒，应急搬加床，医院应急事务（服从医院调整）等与医院工作相关的勤杂事务。</w:t>
      </w:r>
    </w:p>
    <w:p w14:paraId="407BA05E">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2、管理空调、电风扇、电灯、水龙头等开与关，以及在合理时间给病房通风。</w:t>
      </w:r>
    </w:p>
    <w:p w14:paraId="478EE31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3、在台风或大雨季节，如要加强抗台抗灾时及突发情况时，承包单位要无条件听从院方指挥，并安排值班，费用已包括在投标报价内</w:t>
      </w:r>
      <w:r>
        <w:rPr>
          <w:rFonts w:hint="eastAsia" w:ascii="仿宋" w:hAnsi="仿宋" w:eastAsia="仿宋" w:cs="仿宋"/>
          <w:color w:val="auto"/>
          <w:sz w:val="24"/>
          <w:szCs w:val="24"/>
          <w:lang w:eastAsia="zh-CN"/>
        </w:rPr>
        <w:t>。</w:t>
      </w:r>
    </w:p>
    <w:p w14:paraId="39E7EFBD">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4、协助院方管理责任区域内的消防和防盗。</w:t>
      </w:r>
    </w:p>
    <w:p w14:paraId="32CFB9EC">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5、员工服从科室安排与保证员工的稳定性，特别是医技科室、</w:t>
      </w:r>
      <w:r>
        <w:rPr>
          <w:rFonts w:hint="eastAsia" w:ascii="仿宋" w:hAnsi="仿宋" w:eastAsia="仿宋" w:cs="仿宋"/>
          <w:color w:val="auto"/>
          <w:sz w:val="24"/>
          <w:szCs w:val="24"/>
          <w:lang w:eastAsia="zh-CN"/>
        </w:rPr>
        <w:t>重症</w:t>
      </w:r>
      <w:r>
        <w:rPr>
          <w:rFonts w:hint="eastAsia" w:ascii="仿宋" w:hAnsi="仿宋" w:eastAsia="仿宋" w:cs="仿宋"/>
          <w:color w:val="auto"/>
          <w:sz w:val="24"/>
          <w:szCs w:val="24"/>
        </w:rPr>
        <w:t>病房及病区，不能因员工变动影响工作。</w:t>
      </w:r>
    </w:p>
    <w:p w14:paraId="2C745C2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6、协助图院劝烟。</w:t>
      </w:r>
    </w:p>
    <w:p w14:paraId="388F23DF">
      <w:pPr>
        <w:pageBreakBefore w:val="0"/>
        <w:kinsoku/>
        <w:wordWrap/>
        <w:overflowPunct/>
        <w:topLinePunct w:val="0"/>
        <w:autoSpaceDE/>
        <w:autoSpaceDN/>
        <w:bidi w:val="0"/>
        <w:adjustRightInd/>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八</w:t>
      </w:r>
      <w:r>
        <w:rPr>
          <w:rFonts w:hint="eastAsia" w:ascii="仿宋" w:hAnsi="仿宋" w:eastAsia="仿宋" w:cs="仿宋"/>
          <w:b/>
          <w:bCs/>
          <w:color w:val="auto"/>
          <w:sz w:val="24"/>
          <w:szCs w:val="24"/>
        </w:rPr>
        <w:t>、其他要求及说明</w:t>
      </w:r>
    </w:p>
    <w:p w14:paraId="51E469E6">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1、服务质量标准要求按宾馆星级标准服务规程。承包单位应制定具体的质量保证措施及相关服务的承诺。如因质量未达到目标，承包单位应因此承担责任和经济赔偿。</w:t>
      </w:r>
    </w:p>
    <w:p w14:paraId="00557BFD">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2、承包单位必聘请（或指定）一位经理（项目负责人），全权代表其负责管理承包服务工作、并与</w:t>
      </w:r>
      <w:r>
        <w:rPr>
          <w:rFonts w:hint="eastAsia" w:ascii="仿宋" w:hAnsi="仿宋" w:eastAsia="仿宋" w:cs="仿宋"/>
          <w:color w:val="auto"/>
          <w:sz w:val="24"/>
          <w:szCs w:val="24"/>
          <w:lang w:eastAsia="zh-CN"/>
        </w:rPr>
        <w:t>院方</w:t>
      </w:r>
      <w:r>
        <w:rPr>
          <w:rFonts w:hint="eastAsia" w:ascii="仿宋" w:hAnsi="仿宋" w:eastAsia="仿宋" w:cs="仿宋"/>
          <w:color w:val="auto"/>
          <w:sz w:val="24"/>
          <w:szCs w:val="24"/>
        </w:rPr>
        <w:t>保持密切联系。项目经理具备有二年以上从事医院后勤服务管理的经验和曾担任过一年以上医院后勤服务管理负责人的经历。</w:t>
      </w:r>
    </w:p>
    <w:p w14:paraId="07A55876">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3、根据</w:t>
      </w:r>
      <w:r>
        <w:rPr>
          <w:rFonts w:hint="eastAsia" w:ascii="仿宋" w:hAnsi="仿宋" w:eastAsia="仿宋" w:cs="仿宋"/>
          <w:color w:val="auto"/>
          <w:sz w:val="24"/>
          <w:szCs w:val="24"/>
          <w:lang w:eastAsia="zh-CN"/>
        </w:rPr>
        <w:t>院方</w:t>
      </w:r>
      <w:r>
        <w:rPr>
          <w:rFonts w:hint="eastAsia" w:ascii="仿宋" w:hAnsi="仿宋" w:eastAsia="仿宋" w:cs="仿宋"/>
          <w:color w:val="auto"/>
          <w:sz w:val="24"/>
          <w:szCs w:val="24"/>
        </w:rPr>
        <w:t>的要求，承包单位应为本项目服务区域内各项服务工作配备足够人员。岗位人员按科室实际工作量安排。</w:t>
      </w:r>
    </w:p>
    <w:p w14:paraId="3F693DD4">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4、所聘人员必须符合劳动部门有关用工规定。</w:t>
      </w:r>
    </w:p>
    <w:p w14:paraId="0DFDA39B">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5、员工需聘用与医院后勤服务相适应的人员，具体标准：</w:t>
      </w:r>
    </w:p>
    <w:p w14:paraId="3C1F6A5F">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（1）管理人员：身体健康，有丰富的管理经验和专业的操作技能，责任心强，沟通能力强</w:t>
      </w:r>
    </w:p>
    <w:p w14:paraId="101B28B5">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（2）保洁员：身体健康、胜任工作，能吃苦劳，责任心强。</w:t>
      </w:r>
    </w:p>
    <w:p w14:paraId="33442F76">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（3）承包单位应保证在保洁合同服务期间内不违反国家相关政策规定。</w:t>
      </w:r>
    </w:p>
    <w:p w14:paraId="743EFBD3">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（4）社会保险（除必须的养老保险外，还应包括承包单位应为其员工投保人身意外险，以保证</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方在承包单位工作人员索偿时不受任何责任的约束）</w:t>
      </w:r>
      <w:r>
        <w:rPr>
          <w:rFonts w:hint="eastAsia" w:ascii="仿宋" w:hAnsi="仿宋" w:eastAsia="仿宋" w:cs="仿宋"/>
          <w:color w:val="auto"/>
          <w:sz w:val="24"/>
          <w:szCs w:val="24"/>
          <w:lang w:eastAsia="zh-CN"/>
        </w:rPr>
        <w:t>。</w:t>
      </w:r>
    </w:p>
    <w:p w14:paraId="0A90DDEB">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（5）保洁员最低工资不得低于当地最低工资标准</w:t>
      </w:r>
      <w:r>
        <w:rPr>
          <w:rFonts w:hint="eastAsia" w:ascii="仿宋" w:hAnsi="仿宋" w:eastAsia="仿宋" w:cs="仿宋"/>
          <w:color w:val="auto"/>
          <w:sz w:val="24"/>
          <w:szCs w:val="24"/>
          <w:lang w:eastAsia="zh-CN"/>
        </w:rPr>
        <w:t>。</w:t>
      </w:r>
    </w:p>
    <w:p w14:paraId="7F4A980A">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方将提供承包单位存放工具、换衣场所，具体面积及数量由承包单位提出与</w:t>
      </w:r>
      <w:r>
        <w:rPr>
          <w:rFonts w:hint="eastAsia" w:ascii="仿宋" w:hAnsi="仿宋" w:eastAsia="仿宋" w:cs="仿宋"/>
          <w:color w:val="auto"/>
          <w:sz w:val="24"/>
          <w:szCs w:val="24"/>
          <w:lang w:eastAsia="zh-CN"/>
        </w:rPr>
        <w:t>院方</w:t>
      </w:r>
      <w:r>
        <w:rPr>
          <w:rFonts w:hint="eastAsia" w:ascii="仿宋" w:hAnsi="仿宋" w:eastAsia="仿宋" w:cs="仿宋"/>
          <w:color w:val="auto"/>
          <w:sz w:val="24"/>
          <w:szCs w:val="24"/>
        </w:rPr>
        <w:t>协商确定，此类场所不计租金与水电、管理费。</w:t>
      </w:r>
    </w:p>
    <w:p w14:paraId="5AE2968C">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（7）承包单位及其员工必须遵守医院的一切行政管理、消防安全，病区等规定和制度。</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方有权对承包单位员工的工作行为进行监督，如发现承包单位员工有违反医院的规定和制度的行为，</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方将要求其改正，态度恶劣拒不改正的，</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方有权要求承包单位子以辞</w:t>
      </w:r>
      <w:r>
        <w:rPr>
          <w:rFonts w:hint="eastAsia" w:ascii="仿宋" w:hAnsi="仿宋" w:eastAsia="仿宋" w:cs="仿宋"/>
          <w:color w:val="auto"/>
          <w:sz w:val="24"/>
          <w:szCs w:val="24"/>
          <w:lang w:eastAsia="zh-CN"/>
        </w:rPr>
        <w:t>调</w:t>
      </w:r>
      <w:r>
        <w:rPr>
          <w:rFonts w:hint="eastAsia" w:ascii="仿宋" w:hAnsi="仿宋" w:eastAsia="仿宋" w:cs="仿宋"/>
          <w:color w:val="auto"/>
          <w:sz w:val="24"/>
          <w:szCs w:val="24"/>
        </w:rPr>
        <w:t>，承包单位必无条件接受。</w:t>
      </w:r>
    </w:p>
    <w:p w14:paraId="3F33032B">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（8）承包单位需自行解决其员工住宿、就餐、交通等问题。</w:t>
      </w:r>
    </w:p>
    <w:p w14:paraId="7E605125">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（9）在适当情况下，承包单位应允许</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方或其授权的人员对服务区域内各项服务</w:t>
      </w:r>
      <w:r>
        <w:rPr>
          <w:rFonts w:hint="eastAsia" w:ascii="仿宋" w:hAnsi="仿宋" w:eastAsia="仿宋" w:cs="仿宋"/>
          <w:color w:val="auto"/>
          <w:sz w:val="24"/>
          <w:szCs w:val="24"/>
          <w:highlight w:val="none"/>
        </w:rPr>
        <w:t>质量进行</w:t>
      </w:r>
      <w:r>
        <w:rPr>
          <w:rFonts w:hint="eastAsia" w:ascii="仿宋" w:hAnsi="仿宋" w:eastAsia="仿宋" w:cs="仿宋"/>
          <w:color w:val="auto"/>
          <w:sz w:val="24"/>
          <w:szCs w:val="24"/>
        </w:rPr>
        <w:t>检查</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p>
    <w:p w14:paraId="32376C08">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（10）遇突发事件或安全检查时，承包单位必须配合有关部门执行任务，并指定专职人员协助工作，直至完成。</w:t>
      </w:r>
    </w:p>
    <w:p w14:paraId="5C824F23">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（11）承包单位不得以任何理由向</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方工作人员支付小费或赠送礼物，不得在服务区域住宿或从事非法活动或有损</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方利益的活动。</w:t>
      </w:r>
    </w:p>
    <w:p w14:paraId="7A75F84D">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（12）承包单位不以任何形式转租、转让、抵押服务区域的服务项目，在服务区域只能从事</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方认可的服务工作。</w:t>
      </w:r>
    </w:p>
    <w:p w14:paraId="3613F9B6">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（13）服务区域的各项服务工作时间必须符合及满足</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方的要求，包括星期天及公众假期，都不得停止工作。</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方认为应向病人提供或提高服务质量时，可要求承包单位调整工作时回直至全天二十四小时工作。增加的工作量，按零星工作量计费标准。如因服务范围内容变动需调整合同，由双方协商确定。</w:t>
      </w:r>
    </w:p>
    <w:p w14:paraId="71F58EA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（14）对于额外的零星工作，具体由双方协商确定。</w:t>
      </w:r>
    </w:p>
    <w:p w14:paraId="0FD1FE2A">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（15）服务区内垃圾袋装集，存放在指定地点。清卫、保洁及生活服务的工作质量按国家卫生城市和医院管理的有关标准严格验收。</w:t>
      </w:r>
    </w:p>
    <w:p w14:paraId="7E78BF9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（16）面积由承包单位自行实地查勘确定。</w:t>
      </w:r>
    </w:p>
    <w:p w14:paraId="130C1109">
      <w:pPr>
        <w:pageBreakBefore w:val="0"/>
        <w:kinsoku/>
        <w:wordWrap/>
        <w:overflowPunct/>
        <w:topLinePunct w:val="0"/>
        <w:autoSpaceDE/>
        <w:autoSpaceDN/>
        <w:bidi w:val="0"/>
        <w:adjustRightInd/>
        <w:spacing w:line="560" w:lineRule="exact"/>
        <w:ind w:firstLine="480" w:firstLineChars="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（17）保洁用具、</w:t>
      </w:r>
      <w:r>
        <w:rPr>
          <w:rFonts w:hint="eastAsia" w:ascii="仿宋" w:hAnsi="仿宋" w:eastAsia="仿宋" w:cs="仿宋"/>
          <w:color w:val="auto"/>
          <w:sz w:val="24"/>
          <w:szCs w:val="24"/>
          <w:lang w:eastAsia="zh-CN"/>
        </w:rPr>
        <w:t>工作服、</w:t>
      </w:r>
      <w:r>
        <w:rPr>
          <w:rFonts w:hint="eastAsia" w:ascii="仿宋" w:hAnsi="仿宋" w:eastAsia="仿宋" w:cs="仿宋"/>
          <w:color w:val="auto"/>
          <w:sz w:val="24"/>
          <w:szCs w:val="24"/>
        </w:rPr>
        <w:t>生活垃圾袋、消毒药剂</w:t>
      </w:r>
      <w:r>
        <w:rPr>
          <w:rFonts w:hint="eastAsia" w:ascii="仿宋" w:hAnsi="仿宋" w:eastAsia="仿宋" w:cs="仿宋"/>
          <w:color w:val="auto"/>
          <w:sz w:val="24"/>
          <w:szCs w:val="24"/>
          <w:lang w:eastAsia="zh-CN"/>
        </w:rPr>
        <w:t>、杀虫剂、</w:t>
      </w:r>
      <w:r>
        <w:rPr>
          <w:rFonts w:hint="eastAsia" w:ascii="仿宋" w:hAnsi="仿宋" w:eastAsia="仿宋" w:cs="仿宋"/>
          <w:b w:val="0"/>
          <w:bCs w:val="0"/>
          <w:i w:val="0"/>
          <w:iCs w:val="0"/>
          <w:color w:val="auto"/>
          <w:sz w:val="24"/>
          <w:szCs w:val="24"/>
          <w:u w:val="none"/>
          <w:lang w:eastAsia="zh-CN"/>
        </w:rPr>
        <w:t>消毒洗</w:t>
      </w:r>
      <w:r>
        <w:rPr>
          <w:rFonts w:hint="eastAsia" w:ascii="仿宋" w:hAnsi="仿宋" w:eastAsia="仿宋" w:cs="仿宋"/>
          <w:b w:val="0"/>
          <w:bCs w:val="0"/>
          <w:i w:val="0"/>
          <w:iCs w:val="0"/>
          <w:color w:val="auto"/>
          <w:kern w:val="0"/>
          <w:sz w:val="24"/>
          <w:szCs w:val="24"/>
          <w:u w:val="none"/>
          <w:lang w:val="en-US" w:eastAsia="zh-CN" w:bidi="ar"/>
        </w:rPr>
        <w:t>涤剂</w:t>
      </w:r>
      <w:r>
        <w:rPr>
          <w:rFonts w:hint="eastAsia" w:ascii="仿宋" w:hAnsi="仿宋" w:eastAsia="仿宋" w:cs="仿宋"/>
          <w:color w:val="auto"/>
          <w:sz w:val="24"/>
          <w:szCs w:val="24"/>
          <w:lang w:eastAsia="zh-CN"/>
        </w:rPr>
        <w:t>、防锈剂等</w:t>
      </w:r>
      <w:r>
        <w:rPr>
          <w:rFonts w:hint="eastAsia" w:ascii="仿宋" w:hAnsi="仿宋" w:eastAsia="仿宋" w:cs="仿宋"/>
          <w:color w:val="auto"/>
          <w:sz w:val="24"/>
          <w:szCs w:val="24"/>
          <w:lang w:val="en-US" w:eastAsia="zh-CN"/>
        </w:rPr>
        <w:t>保洁、洗涤日常消耗的物料</w:t>
      </w:r>
      <w:r>
        <w:rPr>
          <w:rFonts w:hint="eastAsia" w:ascii="仿宋" w:hAnsi="仿宋" w:eastAsia="仿宋" w:cs="仿宋"/>
          <w:color w:val="auto"/>
          <w:sz w:val="24"/>
          <w:szCs w:val="24"/>
        </w:rPr>
        <w:t>由承包单位</w:t>
      </w:r>
      <w:r>
        <w:rPr>
          <w:rFonts w:hint="eastAsia" w:ascii="仿宋" w:hAnsi="仿宋" w:eastAsia="仿宋" w:cs="仿宋"/>
          <w:color w:val="auto"/>
          <w:sz w:val="24"/>
          <w:szCs w:val="24"/>
          <w:lang w:eastAsia="zh-CN"/>
        </w:rPr>
        <w:t>负责（详见</w:t>
      </w:r>
      <w:r>
        <w:rPr>
          <w:rFonts w:hint="eastAsia" w:ascii="仿宋" w:hAnsi="仿宋" w:eastAsia="仿宋" w:cs="仿宋"/>
          <w:color w:val="auto"/>
          <w:sz w:val="24"/>
          <w:szCs w:val="24"/>
          <w:lang w:val="en-US" w:eastAsia="zh-CN"/>
        </w:rPr>
        <w:t>附件：保洁、洗涤日常消耗的物料清单</w:t>
      </w:r>
      <w:r>
        <w:rPr>
          <w:rFonts w:hint="eastAsia" w:ascii="仿宋" w:hAnsi="仿宋" w:eastAsia="仿宋" w:cs="仿宋"/>
          <w:color w:val="auto"/>
          <w:sz w:val="24"/>
          <w:szCs w:val="24"/>
          <w:lang w:eastAsia="zh-CN"/>
        </w:rPr>
        <w:t>）。</w:t>
      </w:r>
    </w:p>
    <w:p w14:paraId="0B19D7D6">
      <w:pPr>
        <w:pageBreakBefore w:val="0"/>
        <w:kinsoku/>
        <w:wordWrap/>
        <w:overflowPunct/>
        <w:topLinePunct w:val="0"/>
        <w:autoSpaceDE/>
        <w:autoSpaceDN/>
        <w:bidi w:val="0"/>
        <w:adjustRightInd/>
        <w:spacing w:line="5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lang w:eastAsia="zh-CN"/>
        </w:rPr>
        <w:t>）洗衣房洗涤布草所产生的水电费</w:t>
      </w:r>
      <w:r>
        <w:rPr>
          <w:rFonts w:hint="eastAsia" w:ascii="仿宋" w:hAnsi="仿宋" w:eastAsia="仿宋" w:cs="仿宋"/>
          <w:color w:val="auto"/>
          <w:sz w:val="24"/>
          <w:szCs w:val="24"/>
        </w:rPr>
        <w:t>由承包单位</w:t>
      </w:r>
      <w:r>
        <w:rPr>
          <w:rFonts w:hint="eastAsia" w:ascii="仿宋" w:hAnsi="仿宋" w:eastAsia="仿宋" w:cs="仿宋"/>
          <w:color w:val="auto"/>
          <w:sz w:val="24"/>
          <w:szCs w:val="24"/>
          <w:lang w:eastAsia="zh-CN"/>
        </w:rPr>
        <w:t>负责，并每月按时缴纳水电费。</w:t>
      </w:r>
    </w:p>
    <w:p w14:paraId="24148390">
      <w:pPr>
        <w:pageBreakBefore w:val="0"/>
        <w:kinsoku/>
        <w:wordWrap/>
        <w:overflowPunct/>
        <w:topLinePunct w:val="0"/>
        <w:autoSpaceDE/>
        <w:autoSpaceDN/>
        <w:bidi w:val="0"/>
        <w:adjustRightInd/>
        <w:spacing w:line="560" w:lineRule="exact"/>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）承包单位达不到</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方要求及承包单位各项服务承诺，</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方有权要求其整改、直至扣款或终止合同。</w:t>
      </w:r>
    </w:p>
    <w:p w14:paraId="01B9C0AB">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）如今后病区或保洁范围増加，院方将按中标单价另行签订补充协议。</w:t>
      </w:r>
    </w:p>
    <w:p w14:paraId="49F3B20A">
      <w:pPr>
        <w:pageBreakBefore w:val="0"/>
        <w:kinsoku/>
        <w:wordWrap/>
        <w:overflowPunct/>
        <w:topLinePunct w:val="0"/>
        <w:autoSpaceDE/>
        <w:autoSpaceDN/>
        <w:bidi w:val="0"/>
        <w:adjustRightInd/>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九、</w:t>
      </w:r>
      <w:r>
        <w:rPr>
          <w:rFonts w:hint="eastAsia" w:ascii="仿宋" w:hAnsi="仿宋" w:eastAsia="仿宋" w:cs="仿宋"/>
          <w:b/>
          <w:bCs/>
          <w:color w:val="auto"/>
          <w:sz w:val="24"/>
          <w:szCs w:val="24"/>
        </w:rPr>
        <w:t>保洁员工作职责</w:t>
      </w:r>
    </w:p>
    <w:p w14:paraId="519260E5">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1、在护士长、科主任的指导下工作，遵守医院的各项规章制度，不退到、不早退、不脱岗。</w:t>
      </w:r>
    </w:p>
    <w:p w14:paraId="1CE8303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2、随时保持地面、墙面、水池、厕所、扶手、内外走廊门、窗、玻璃、诊查床的清洁、干净、无污迹，无灰尘、无积水、无蜘蛛网。</w:t>
      </w:r>
    </w:p>
    <w:p w14:paraId="077D6509">
      <w:pPr>
        <w:pageBreakBefore w:val="0"/>
        <w:numPr>
          <w:ilvl w:val="0"/>
          <w:numId w:val="5"/>
        </w:numPr>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做好出院病人床位的清洁消毒工作，并铺好备用床。</w:t>
      </w:r>
    </w:p>
    <w:p w14:paraId="06E23625">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4，做好病人病床、床头柜、治疗带的清洁消毒，保证无积灰。床头柜每天用消毒毛巾擦拭2次并保持整洁。</w:t>
      </w:r>
    </w:p>
    <w:p w14:paraId="622E1207">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5、垃圾袋更换及时，垃圾桶保持清洁，外表无污垢。</w:t>
      </w:r>
    </w:p>
    <w:p w14:paraId="1CACDD59">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6、在护士长、医生指导下，按要求配制有关浸泡消毒液和医疗器械的清洗、打包，并送到供应室进行消毒及调换。</w:t>
      </w:r>
    </w:p>
    <w:p w14:paraId="3B5716B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7、每日做好污物的处理工作，进行垃圾分类并将其运送到指定地点。</w:t>
      </w:r>
    </w:p>
    <w:p w14:paraId="77468587">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8、做好开水供应工作，送开水到病区床边。</w:t>
      </w:r>
    </w:p>
    <w:p w14:paraId="208AB9A6">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9、完成护上长布置的临时工作任务，临时外出或离开病区时要报告护土站。</w:t>
      </w:r>
    </w:p>
    <w:p w14:paraId="43DC076B">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10、按院感要求悬挂拖把，并分类使用。</w:t>
      </w:r>
    </w:p>
    <w:p w14:paraId="001519E4">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1、及时察理仓库，保持仓库整洁。</w:t>
      </w:r>
    </w:p>
    <w:p w14:paraId="77482643">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12、病区窗帘每季度送洗衣房清洗一次。</w:t>
      </w:r>
    </w:p>
    <w:p w14:paraId="506E947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13、按要求毎天清理、存放病区的空瓶、纸板箱。保持整洁。（注：保洁员不得白行回空瓶、</w:t>
      </w:r>
    </w:p>
    <w:p w14:paraId="71ACA0E3">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板箱等医疗废品）</w:t>
      </w:r>
    </w:p>
    <w:p w14:paraId="0751C758">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14、管好病区内门、锁、水龙头等设施，有损坏及时告知护土站修理。</w:t>
      </w:r>
    </w:p>
    <w:p w14:paraId="3DE7A5F1">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15、认真做好本职工作，同事之间团结协作，文明用语，善特病人，妥善处理病人遗失的物品（交护士站）。</w:t>
      </w:r>
    </w:p>
    <w:p w14:paraId="139F2000">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16、倾倒清洗便器并归位，收起陪客躺椅，归位放置。</w:t>
      </w:r>
    </w:p>
    <w:p w14:paraId="6E9C3709">
      <w:pPr>
        <w:pageBreakBefore w:val="0"/>
        <w:kinsoku/>
        <w:wordWrap/>
        <w:overflowPunct/>
        <w:topLinePunct w:val="0"/>
        <w:autoSpaceDE/>
        <w:autoSpaceDN/>
        <w:bidi w:val="0"/>
        <w:adjustRightInd/>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十</w:t>
      </w:r>
      <w:r>
        <w:rPr>
          <w:rFonts w:hint="eastAsia" w:ascii="仿宋" w:hAnsi="仿宋" w:eastAsia="仿宋" w:cs="仿宋"/>
          <w:b/>
          <w:bCs/>
          <w:color w:val="auto"/>
          <w:sz w:val="24"/>
          <w:szCs w:val="24"/>
        </w:rPr>
        <w:t>、管理要求</w:t>
      </w:r>
    </w:p>
    <w:p w14:paraId="6CBA06E8">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1、有固定专职的管理人、有完善的规章制度.</w:t>
      </w:r>
    </w:p>
    <w:p w14:paraId="66BE65E7">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2、有设备投入方案（详细设备型号数量）。</w:t>
      </w:r>
    </w:p>
    <w:p w14:paraId="367715FD">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3、应急情况的处理方案</w:t>
      </w:r>
    </w:p>
    <w:p w14:paraId="345BD81B">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4．有应急情况的处理方案。</w:t>
      </w:r>
    </w:p>
    <w:p w14:paraId="266D1FD7">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5、有提高服务质量、保证优质服务的措施。</w:t>
      </w:r>
    </w:p>
    <w:p w14:paraId="257E7715">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6、有服务期内的安全、文明服务措施保证承诺。</w:t>
      </w:r>
    </w:p>
    <w:p w14:paraId="5D9A43FB">
      <w:pPr>
        <w:pageBreakBefore w:val="0"/>
        <w:kinsoku/>
        <w:wordWrap/>
        <w:overflowPunct/>
        <w:topLinePunct w:val="0"/>
        <w:autoSpaceDE/>
        <w:autoSpaceDN/>
        <w:bidi w:val="0"/>
        <w:adjustRightInd/>
        <w:spacing w:line="560" w:lineRule="exact"/>
        <w:ind w:firstLine="240" w:firstLineChars="100"/>
        <w:jc w:val="both"/>
        <w:rPr>
          <w:rFonts w:hint="eastAsia" w:ascii="仿宋" w:hAnsi="仿宋" w:eastAsia="仿宋" w:cs="仿宋"/>
          <w:color w:val="auto"/>
          <w:sz w:val="24"/>
          <w:szCs w:val="24"/>
        </w:rPr>
      </w:pPr>
      <w:r>
        <w:rPr>
          <w:rFonts w:hint="eastAsia" w:ascii="仿宋" w:hAnsi="仿宋" w:eastAsia="仿宋" w:cs="仿宋"/>
          <w:color w:val="auto"/>
          <w:sz w:val="24"/>
          <w:szCs w:val="24"/>
        </w:rPr>
        <w:t>7、各岗位人员配置方案、各岗位质量考核方案。</w:t>
      </w:r>
    </w:p>
    <w:p w14:paraId="5C6C221B">
      <w:pPr>
        <w:pageBreakBefore w:val="0"/>
        <w:kinsoku/>
        <w:wordWrap/>
        <w:overflowPunct/>
        <w:topLinePunct w:val="0"/>
        <w:autoSpaceDE/>
        <w:autoSpaceDN/>
        <w:bidi w:val="0"/>
        <w:adjustRightInd/>
        <w:spacing w:line="560" w:lineRule="exact"/>
        <w:ind w:firstLine="482" w:firstLineChars="200"/>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十一、服</w:t>
      </w:r>
      <w:r>
        <w:rPr>
          <w:rFonts w:hint="eastAsia" w:ascii="仿宋" w:hAnsi="仿宋" w:eastAsia="仿宋" w:cs="仿宋"/>
          <w:b/>
          <w:bCs/>
          <w:color w:val="auto"/>
          <w:sz w:val="24"/>
          <w:szCs w:val="24"/>
        </w:rPr>
        <w:t>务条款</w:t>
      </w:r>
    </w:p>
    <w:tbl>
      <w:tblPr>
        <w:tblStyle w:val="47"/>
        <w:tblW w:w="102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4"/>
        <w:gridCol w:w="9759"/>
      </w:tblGrid>
      <w:tr w14:paraId="57326E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jc w:val="center"/>
        </w:trPr>
        <w:tc>
          <w:tcPr>
            <w:tcW w:w="504" w:type="dxa"/>
            <w:tcBorders>
              <w:top w:val="single" w:color="auto" w:sz="4" w:space="0"/>
              <w:left w:val="single" w:color="auto" w:sz="4" w:space="0"/>
              <w:bottom w:val="single" w:color="auto" w:sz="4" w:space="0"/>
              <w:right w:val="single" w:color="auto" w:sz="4" w:space="0"/>
            </w:tcBorders>
          </w:tcPr>
          <w:p w14:paraId="1220F6F4">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p w14:paraId="3912287D">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p>
          <w:p w14:paraId="5CCF8262">
            <w:pPr>
              <w:pageBreakBefore w:val="0"/>
              <w:kinsoku/>
              <w:wordWrap/>
              <w:overflowPunct/>
              <w:topLinePunct w:val="0"/>
              <w:autoSpaceDE/>
              <w:autoSpaceDN/>
              <w:bidi w:val="0"/>
              <w:adjustRightInd/>
              <w:spacing w:line="56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服</w:t>
            </w:r>
            <w:r>
              <w:rPr>
                <w:rFonts w:hint="eastAsia" w:ascii="仿宋" w:hAnsi="仿宋" w:eastAsia="仿宋" w:cs="仿宋"/>
                <w:b/>
                <w:bCs/>
                <w:color w:val="auto"/>
                <w:sz w:val="24"/>
                <w:szCs w:val="24"/>
              </w:rPr>
              <w:t>务条款</w:t>
            </w:r>
          </w:p>
        </w:tc>
        <w:tc>
          <w:tcPr>
            <w:tcW w:w="9759" w:type="dxa"/>
            <w:tcBorders>
              <w:top w:val="single" w:color="auto" w:sz="4" w:space="0"/>
              <w:left w:val="single" w:color="auto" w:sz="4" w:space="0"/>
              <w:bottom w:val="single" w:color="auto" w:sz="4" w:space="0"/>
              <w:right w:val="single" w:color="auto" w:sz="4" w:space="0"/>
            </w:tcBorders>
          </w:tcPr>
          <w:p w14:paraId="53B14902">
            <w:pPr>
              <w:pageBreakBefore w:val="0"/>
              <w:widowControl/>
              <w:shd w:val="clear" w:color="auto" w:fill="FFFFFF"/>
              <w:kinsoku/>
              <w:wordWrap/>
              <w:overflowPunct/>
              <w:topLinePunct w:val="0"/>
              <w:autoSpaceDE/>
              <w:autoSpaceDN/>
              <w:bidi w:val="0"/>
              <w:adjustRightInd/>
              <w:spacing w:line="560" w:lineRule="exact"/>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sz w:val="24"/>
                <w:szCs w:val="24"/>
              </w:rPr>
              <w:t>▲</w:t>
            </w:r>
            <w:r>
              <w:rPr>
                <w:rFonts w:hint="eastAsia" w:ascii="仿宋" w:hAnsi="仿宋" w:eastAsia="仿宋" w:cs="仿宋"/>
                <w:color w:val="auto"/>
                <w:kern w:val="0"/>
                <w:sz w:val="24"/>
                <w:szCs w:val="24"/>
              </w:rPr>
              <w:t>一、合同签订期：</w:t>
            </w:r>
            <w:r>
              <w:rPr>
                <w:rFonts w:hint="eastAsia" w:ascii="仿宋" w:hAnsi="仿宋" w:eastAsia="仿宋" w:cs="仿宋"/>
                <w:color w:val="auto"/>
                <w:sz w:val="24"/>
                <w:szCs w:val="24"/>
              </w:rPr>
              <w:t>自中标通知书发出之日起</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5日内</w:t>
            </w:r>
            <w:r>
              <w:rPr>
                <w:rFonts w:hint="eastAsia" w:ascii="仿宋" w:hAnsi="仿宋" w:eastAsia="仿宋" w:cs="仿宋"/>
                <w:color w:val="auto"/>
                <w:kern w:val="0"/>
                <w:sz w:val="24"/>
                <w:szCs w:val="24"/>
              </w:rPr>
              <w:t>，合同签订完之日起必须安排人员进场。</w:t>
            </w:r>
          </w:p>
          <w:p w14:paraId="3F07D55C">
            <w:pPr>
              <w:pageBreakBefore w:val="0"/>
              <w:widowControl/>
              <w:shd w:val="clear" w:color="auto" w:fill="FFFFFF"/>
              <w:kinsoku/>
              <w:wordWrap/>
              <w:overflowPunct/>
              <w:topLinePunct w:val="0"/>
              <w:autoSpaceDE/>
              <w:autoSpaceDN/>
              <w:bidi w:val="0"/>
              <w:adjustRightInd/>
              <w:spacing w:line="560" w:lineRule="exact"/>
              <w:ind w:firstLine="480" w:firstLineChars="200"/>
              <w:jc w:val="left"/>
              <w:rPr>
                <w:rFonts w:hint="eastAsia" w:ascii="仿宋" w:hAnsi="仿宋" w:eastAsia="仿宋" w:cs="仿宋"/>
                <w:color w:val="auto"/>
                <w:kern w:val="0"/>
                <w:sz w:val="24"/>
                <w:szCs w:val="24"/>
                <w:u w:val="single"/>
              </w:rPr>
            </w:pPr>
            <w:r>
              <w:rPr>
                <w:rFonts w:hint="eastAsia" w:ascii="仿宋" w:hAnsi="仿宋" w:eastAsia="仿宋" w:cs="仿宋"/>
                <w:color w:val="auto"/>
                <w:sz w:val="24"/>
                <w:szCs w:val="24"/>
              </w:rPr>
              <w:t>▲</w:t>
            </w:r>
            <w:r>
              <w:rPr>
                <w:rFonts w:hint="eastAsia" w:ascii="仿宋" w:hAnsi="仿宋" w:eastAsia="仿宋" w:cs="仿宋"/>
                <w:color w:val="auto"/>
                <w:kern w:val="0"/>
                <w:sz w:val="24"/>
                <w:szCs w:val="24"/>
              </w:rPr>
              <w:t>二、提交服务成果时间：</w:t>
            </w:r>
            <w:r>
              <w:rPr>
                <w:rFonts w:hint="eastAsia" w:ascii="仿宋" w:hAnsi="仿宋" w:eastAsia="仿宋" w:cs="仿宋"/>
                <w:color w:val="auto"/>
                <w:kern w:val="0"/>
                <w:sz w:val="24"/>
                <w:szCs w:val="24"/>
                <w:u w:val="single"/>
              </w:rPr>
              <w:t xml:space="preserve">   自合同签订之日起</w:t>
            </w:r>
            <w:r>
              <w:rPr>
                <w:rFonts w:hint="eastAsia" w:ascii="仿宋" w:hAnsi="仿宋" w:eastAsia="仿宋" w:cs="仿宋"/>
                <w:color w:val="auto"/>
                <w:kern w:val="0"/>
                <w:sz w:val="24"/>
                <w:szCs w:val="24"/>
                <w:u w:val="single"/>
                <w:lang w:eastAsia="zh-CN"/>
              </w:rPr>
              <w:t>约定</w:t>
            </w:r>
            <w:r>
              <w:rPr>
                <w:rFonts w:hint="eastAsia" w:ascii="仿宋" w:hAnsi="仿宋" w:eastAsia="仿宋" w:cs="仿宋"/>
                <w:color w:val="auto"/>
                <w:kern w:val="0"/>
                <w:sz w:val="24"/>
                <w:szCs w:val="24"/>
                <w:u w:val="single"/>
              </w:rPr>
              <w:t>服务期为</w:t>
            </w:r>
            <w:r>
              <w:rPr>
                <w:rFonts w:hint="eastAsia" w:ascii="仿宋" w:hAnsi="仿宋" w:eastAsia="仿宋" w:cs="仿宋"/>
                <w:color w:val="auto"/>
                <w:kern w:val="0"/>
                <w:sz w:val="24"/>
                <w:szCs w:val="24"/>
                <w:u w:val="single"/>
                <w:lang w:val="en-US" w:eastAsia="zh-CN"/>
              </w:rPr>
              <w:t>2</w:t>
            </w:r>
            <w:r>
              <w:rPr>
                <w:rFonts w:hint="eastAsia" w:ascii="仿宋" w:hAnsi="仿宋" w:eastAsia="仿宋" w:cs="仿宋"/>
                <w:color w:val="auto"/>
                <w:kern w:val="0"/>
                <w:sz w:val="24"/>
                <w:szCs w:val="24"/>
                <w:u w:val="single"/>
              </w:rPr>
              <w:t xml:space="preserve">年 </w:t>
            </w:r>
          </w:p>
          <w:p w14:paraId="38E2A737">
            <w:pPr>
              <w:pageBreakBefore w:val="0"/>
              <w:widowControl/>
              <w:shd w:val="clear" w:color="auto" w:fill="FFFFFF"/>
              <w:kinsoku/>
              <w:wordWrap/>
              <w:overflowPunct/>
              <w:topLinePunct w:val="0"/>
              <w:autoSpaceDE/>
              <w:autoSpaceDN/>
              <w:bidi w:val="0"/>
              <w:adjustRightInd/>
              <w:spacing w:line="560" w:lineRule="exact"/>
              <w:ind w:left="420" w:leftChars="200"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三、</w:t>
            </w:r>
            <w:r>
              <w:rPr>
                <w:rFonts w:hint="eastAsia" w:ascii="仿宋" w:hAnsi="仿宋" w:eastAsia="仿宋" w:cs="仿宋"/>
                <w:color w:val="auto"/>
                <w:sz w:val="24"/>
                <w:szCs w:val="24"/>
              </w:rPr>
              <w:t>在合同期内如遇国家政府政策性调升最低工资标准，</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方</w:t>
            </w:r>
            <w:r>
              <w:rPr>
                <w:rFonts w:hint="eastAsia" w:ascii="仿宋" w:hAnsi="仿宋" w:eastAsia="仿宋" w:cs="仿宋"/>
                <w:color w:val="auto"/>
                <w:sz w:val="24"/>
                <w:szCs w:val="24"/>
                <w:lang w:eastAsia="zh-CN"/>
              </w:rPr>
              <w:t>不再</w:t>
            </w:r>
            <w:r>
              <w:rPr>
                <w:rFonts w:hint="eastAsia" w:ascii="仿宋" w:hAnsi="仿宋" w:eastAsia="仿宋" w:cs="仿宋"/>
                <w:color w:val="auto"/>
                <w:sz w:val="24"/>
                <w:szCs w:val="24"/>
              </w:rPr>
              <w:t>给予承包单位增加服务费用。</w:t>
            </w:r>
          </w:p>
          <w:p w14:paraId="64936F91">
            <w:pPr>
              <w:pageBreakBefore w:val="0"/>
              <w:widowControl/>
              <w:shd w:val="clear" w:color="auto" w:fill="FFFFFF"/>
              <w:kinsoku/>
              <w:wordWrap/>
              <w:overflowPunct/>
              <w:topLinePunct w:val="0"/>
              <w:autoSpaceDE/>
              <w:autoSpaceDN/>
              <w:bidi w:val="0"/>
              <w:adjustRightInd/>
              <w:spacing w:line="560" w:lineRule="exact"/>
              <w:ind w:left="420" w:leftChars="200" w:firstLine="0" w:firstLineChars="0"/>
              <w:jc w:val="left"/>
              <w:rPr>
                <w:rFonts w:hint="eastAsia" w:ascii="仿宋" w:hAnsi="仿宋" w:eastAsia="仿宋" w:cs="仿宋"/>
                <w:b/>
                <w:bCs/>
                <w:color w:val="auto"/>
                <w:kern w:val="0"/>
                <w:sz w:val="24"/>
                <w:szCs w:val="24"/>
                <w:u w:val="single"/>
                <w:lang w:eastAsia="zh-CN"/>
              </w:rPr>
            </w:pPr>
            <w:r>
              <w:rPr>
                <w:rFonts w:hint="eastAsia" w:ascii="仿宋" w:hAnsi="仿宋" w:eastAsia="仿宋" w:cs="仿宋"/>
                <w:color w:val="auto"/>
                <w:sz w:val="24"/>
                <w:szCs w:val="24"/>
              </w:rPr>
              <w:t>▲</w:t>
            </w:r>
            <w:r>
              <w:rPr>
                <w:rFonts w:hint="eastAsia" w:ascii="仿宋" w:hAnsi="仿宋" w:eastAsia="仿宋" w:cs="仿宋"/>
                <w:color w:val="auto"/>
                <w:kern w:val="0"/>
                <w:sz w:val="24"/>
                <w:szCs w:val="24"/>
              </w:rPr>
              <w:t>四</w:t>
            </w:r>
            <w:r>
              <w:rPr>
                <w:rFonts w:hint="eastAsia" w:ascii="仿宋" w:hAnsi="仿宋" w:eastAsia="仿宋" w:cs="仿宋"/>
                <w:color w:val="auto"/>
                <w:kern w:val="0"/>
                <w:sz w:val="24"/>
                <w:szCs w:val="24"/>
                <w:lang w:eastAsia="zh-CN"/>
              </w:rPr>
              <w:t>、</w:t>
            </w:r>
            <w:r>
              <w:rPr>
                <w:rFonts w:hint="eastAsia" w:ascii="仿宋" w:hAnsi="仿宋" w:eastAsia="仿宋" w:cs="仿宋"/>
                <w:color w:val="auto"/>
                <w:sz w:val="24"/>
                <w:szCs w:val="24"/>
              </w:rPr>
              <w:t>项目的</w:t>
            </w:r>
            <w:r>
              <w:rPr>
                <w:rFonts w:hint="eastAsia" w:ascii="仿宋" w:hAnsi="仿宋" w:eastAsia="仿宋" w:cs="仿宋"/>
                <w:color w:val="auto"/>
                <w:sz w:val="24"/>
                <w:szCs w:val="24"/>
                <w:lang w:eastAsia="zh-CN"/>
              </w:rPr>
              <w:t>合同</w:t>
            </w:r>
            <w:r>
              <w:rPr>
                <w:rFonts w:hint="eastAsia" w:ascii="仿宋" w:hAnsi="仿宋" w:eastAsia="仿宋" w:cs="仿宋"/>
                <w:color w:val="auto"/>
                <w:sz w:val="24"/>
                <w:szCs w:val="24"/>
              </w:rPr>
              <w:t>价款是</w:t>
            </w:r>
            <w:r>
              <w:rPr>
                <w:rFonts w:hint="eastAsia" w:ascii="仿宋" w:hAnsi="仿宋" w:eastAsia="仿宋" w:cs="仿宋"/>
                <w:color w:val="auto"/>
                <w:sz w:val="24"/>
                <w:szCs w:val="24"/>
                <w:lang w:eastAsia="zh-CN"/>
              </w:rPr>
              <w:t>二</w:t>
            </w:r>
            <w:r>
              <w:rPr>
                <w:rFonts w:hint="eastAsia" w:ascii="仿宋" w:hAnsi="仿宋" w:eastAsia="仿宋" w:cs="仿宋"/>
                <w:color w:val="auto"/>
                <w:sz w:val="24"/>
                <w:szCs w:val="24"/>
              </w:rPr>
              <w:t>年的总承包费用，包括各种保洁设备、消毒药品、各类相关的保洁</w:t>
            </w:r>
            <w:r>
              <w:rPr>
                <w:rFonts w:hint="eastAsia" w:ascii="仿宋" w:hAnsi="仿宋" w:eastAsia="仿宋" w:cs="仿宋"/>
                <w:color w:val="auto"/>
                <w:sz w:val="24"/>
                <w:szCs w:val="24"/>
                <w:lang w:eastAsia="zh-CN"/>
              </w:rPr>
              <w:t>、洗涤</w:t>
            </w:r>
            <w:r>
              <w:rPr>
                <w:rFonts w:hint="eastAsia" w:ascii="仿宋" w:hAnsi="仿宋" w:eastAsia="仿宋" w:cs="仿宋"/>
                <w:color w:val="auto"/>
                <w:sz w:val="24"/>
                <w:szCs w:val="24"/>
              </w:rPr>
              <w:t>耗材、</w:t>
            </w:r>
            <w:r>
              <w:rPr>
                <w:rFonts w:hint="eastAsia" w:ascii="仿宋" w:hAnsi="仿宋" w:eastAsia="仿宋" w:cs="仿宋"/>
                <w:color w:val="auto"/>
                <w:sz w:val="24"/>
                <w:szCs w:val="24"/>
                <w:lang w:eastAsia="zh-CN"/>
              </w:rPr>
              <w:t>洗衣房洗涤布草产生的水电费、</w:t>
            </w:r>
            <w:r>
              <w:rPr>
                <w:rFonts w:hint="eastAsia" w:ascii="仿宋" w:hAnsi="仿宋" w:eastAsia="仿宋" w:cs="仿宋"/>
                <w:color w:val="auto"/>
                <w:sz w:val="24"/>
                <w:szCs w:val="24"/>
              </w:rPr>
              <w:t>各项管理费用、利润、人员工资、社会保险、教育培训、工伤及各种津补贴及税费等一切费用。</w:t>
            </w:r>
            <w:r>
              <w:rPr>
                <w:rFonts w:hint="eastAsia" w:ascii="仿宋" w:hAnsi="仿宋" w:eastAsia="仿宋" w:cs="仿宋"/>
                <w:b/>
                <w:bCs/>
                <w:color w:val="auto"/>
                <w:sz w:val="24"/>
                <w:szCs w:val="24"/>
                <w:lang w:eastAsia="zh-CN"/>
              </w:rPr>
              <w:t>洗涤场地及设备由采购人按现状提供，洗涤设备维护由采购人负责，并承担维护费，洗涤场地及设备产权归属采购人。</w:t>
            </w:r>
          </w:p>
          <w:p w14:paraId="73F7BA4E">
            <w:pPr>
              <w:pageBreakBefore w:val="0"/>
              <w:widowControl/>
              <w:shd w:val="clear" w:color="auto" w:fill="FFFFFF"/>
              <w:kinsoku/>
              <w:wordWrap/>
              <w:overflowPunct/>
              <w:topLinePunct w:val="0"/>
              <w:autoSpaceDE/>
              <w:autoSpaceDN/>
              <w:bidi w:val="0"/>
              <w:adjustRightInd/>
              <w:spacing w:line="560" w:lineRule="exact"/>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五</w:t>
            </w:r>
            <w:r>
              <w:rPr>
                <w:rFonts w:hint="eastAsia" w:ascii="仿宋" w:hAnsi="仿宋" w:eastAsia="仿宋" w:cs="仿宋"/>
                <w:color w:val="auto"/>
                <w:kern w:val="0"/>
                <w:sz w:val="24"/>
                <w:szCs w:val="24"/>
              </w:rPr>
              <w:t>、售后服务要求：.</w:t>
            </w:r>
            <w:r>
              <w:rPr>
                <w:rFonts w:hint="eastAsia" w:ascii="仿宋" w:hAnsi="仿宋" w:eastAsia="仿宋" w:cs="仿宋"/>
                <w:color w:val="auto"/>
                <w:kern w:val="0"/>
                <w:sz w:val="24"/>
                <w:szCs w:val="24"/>
                <w:lang w:eastAsia="zh-CN"/>
              </w:rPr>
              <w:t>服务</w:t>
            </w:r>
            <w:r>
              <w:rPr>
                <w:rFonts w:hint="eastAsia" w:ascii="仿宋" w:hAnsi="仿宋" w:eastAsia="仿宋" w:cs="仿宋"/>
                <w:color w:val="auto"/>
                <w:kern w:val="0"/>
                <w:sz w:val="24"/>
                <w:szCs w:val="24"/>
              </w:rPr>
              <w:t>期</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lang w:val="en-US" w:eastAsia="zh-CN"/>
              </w:rPr>
              <w:t>2</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年（</w:t>
            </w:r>
            <w:r>
              <w:rPr>
                <w:rFonts w:hint="eastAsia" w:ascii="仿宋" w:hAnsi="仿宋" w:eastAsia="仿宋" w:cs="仿宋"/>
                <w:b w:val="0"/>
                <w:bCs w:val="0"/>
                <w:color w:val="auto"/>
                <w:sz w:val="24"/>
                <w:szCs w:val="24"/>
                <w:lang w:eastAsia="zh-CN"/>
              </w:rPr>
              <w:t>从</w:t>
            </w:r>
            <w:r>
              <w:rPr>
                <w:rFonts w:hint="eastAsia" w:ascii="仿宋" w:hAnsi="仿宋" w:eastAsia="仿宋" w:cs="仿宋"/>
                <w:b w:val="0"/>
                <w:bCs w:val="0"/>
                <w:color w:val="auto"/>
                <w:sz w:val="24"/>
                <w:szCs w:val="24"/>
                <w:lang w:val="en-US" w:eastAsia="zh-CN"/>
              </w:rPr>
              <w:t>2026年2月1日起至2028年1月31日止）</w:t>
            </w:r>
            <w:r>
              <w:rPr>
                <w:rFonts w:hint="eastAsia" w:ascii="仿宋" w:hAnsi="仿宋" w:eastAsia="仿宋" w:cs="仿宋"/>
                <w:color w:val="auto"/>
                <w:sz w:val="24"/>
                <w:szCs w:val="24"/>
                <w:lang w:eastAsia="zh-CN"/>
              </w:rPr>
              <w:t>保洁、洗涤服务。</w:t>
            </w:r>
          </w:p>
          <w:p w14:paraId="5BEBB89E">
            <w:pPr>
              <w:pageBreakBefore w:val="0"/>
              <w:kinsoku/>
              <w:wordWrap/>
              <w:overflowPunct/>
              <w:topLinePunct w:val="0"/>
              <w:autoSpaceDE/>
              <w:autoSpaceDN/>
              <w:bidi w:val="0"/>
              <w:adjustRightInd/>
              <w:spacing w:line="560" w:lineRule="exact"/>
              <w:ind w:firstLine="480" w:firstLineChars="200"/>
              <w:rPr>
                <w:rFonts w:hint="eastAsia" w:ascii="仿宋" w:hAnsi="仿宋" w:eastAsia="仿宋" w:cs="仿宋"/>
                <w:color w:val="auto"/>
                <w:sz w:val="24"/>
                <w:szCs w:val="24"/>
              </w:rPr>
            </w:pPr>
          </w:p>
        </w:tc>
      </w:tr>
    </w:tbl>
    <w:p w14:paraId="60558C8C">
      <w:pPr>
        <w:pStyle w:val="30"/>
        <w:jc w:val="center"/>
        <w:rPr>
          <w:rFonts w:hint="eastAsia" w:ascii="仿宋" w:hAnsi="仿宋" w:eastAsia="仿宋" w:cs="仿宋"/>
          <w:b/>
          <w:bCs/>
          <w:color w:val="auto"/>
          <w:sz w:val="32"/>
          <w:szCs w:val="32"/>
        </w:rPr>
      </w:pPr>
    </w:p>
    <w:p w14:paraId="4B071C0D">
      <w:pPr>
        <w:pStyle w:val="30"/>
        <w:jc w:val="cente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rPr>
        <w:t>天峨县人民医院2026年、2027年保洁、洗涤项目人员</w:t>
      </w:r>
      <w:r>
        <w:rPr>
          <w:rFonts w:hint="eastAsia" w:ascii="仿宋" w:hAnsi="仿宋" w:eastAsia="仿宋" w:cs="仿宋"/>
          <w:b/>
          <w:bCs/>
          <w:color w:val="auto"/>
          <w:sz w:val="32"/>
          <w:szCs w:val="32"/>
          <w:lang w:val="en-US" w:eastAsia="zh-CN"/>
        </w:rPr>
        <w:t>配备要求表</w:t>
      </w:r>
    </w:p>
    <w:p w14:paraId="1410E8EE">
      <w:pPr>
        <w:pStyle w:val="30"/>
        <w:jc w:val="center"/>
        <w:rPr>
          <w:rFonts w:hint="default" w:ascii="仿宋" w:hAnsi="仿宋" w:eastAsia="仿宋" w:cs="仿宋"/>
          <w:b/>
          <w:bCs/>
          <w:color w:val="auto"/>
          <w:sz w:val="32"/>
          <w:szCs w:val="32"/>
          <w:lang w:val="en-US" w:eastAsia="zh-CN"/>
        </w:rPr>
      </w:pPr>
    </w:p>
    <w:tbl>
      <w:tblPr>
        <w:tblStyle w:val="47"/>
        <w:tblW w:w="503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8"/>
        <w:gridCol w:w="616"/>
        <w:gridCol w:w="575"/>
        <w:gridCol w:w="1450"/>
        <w:gridCol w:w="1237"/>
        <w:gridCol w:w="1386"/>
        <w:gridCol w:w="3226"/>
        <w:gridCol w:w="813"/>
      </w:tblGrid>
      <w:tr w14:paraId="1BB5A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914DA">
            <w:pPr>
              <w:keepNext w:val="0"/>
              <w:keepLines w:val="0"/>
              <w:widowControl/>
              <w:suppressLineNumbers w:val="0"/>
              <w:jc w:val="center"/>
              <w:textAlignment w:val="center"/>
              <w:rPr>
                <w:rFonts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序号</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8FFCB">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部门</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03D52">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服务地点</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29423">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配置人数</w:t>
            </w:r>
            <w:r>
              <w:rPr>
                <w:rFonts w:hint="eastAsia" w:ascii="仿宋" w:hAnsi="仿宋" w:eastAsia="仿宋" w:cs="仿宋"/>
                <w:b/>
                <w:bCs/>
                <w:i w:val="0"/>
                <w:iCs w:val="0"/>
                <w:color w:val="auto"/>
                <w:kern w:val="0"/>
                <w:sz w:val="21"/>
                <w:szCs w:val="21"/>
                <w:u w:val="none"/>
                <w:lang w:val="en-US" w:eastAsia="zh-CN" w:bidi="ar"/>
              </w:rPr>
              <w:br w:type="textWrapping"/>
            </w:r>
            <w:r>
              <w:rPr>
                <w:rFonts w:hint="eastAsia" w:ascii="仿宋" w:hAnsi="仿宋" w:eastAsia="仿宋" w:cs="仿宋"/>
                <w:b/>
                <w:bCs/>
                <w:i w:val="0"/>
                <w:iCs w:val="0"/>
                <w:color w:val="auto"/>
                <w:kern w:val="0"/>
                <w:sz w:val="21"/>
                <w:szCs w:val="21"/>
                <w:u w:val="none"/>
                <w:lang w:val="en-US" w:eastAsia="zh-CN" w:bidi="ar"/>
              </w:rPr>
              <w:t>（2026年）</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F555A">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配置人数</w:t>
            </w:r>
            <w:r>
              <w:rPr>
                <w:rFonts w:hint="eastAsia" w:ascii="仿宋" w:hAnsi="仿宋" w:eastAsia="仿宋" w:cs="仿宋"/>
                <w:b/>
                <w:bCs/>
                <w:i w:val="0"/>
                <w:iCs w:val="0"/>
                <w:color w:val="auto"/>
                <w:kern w:val="0"/>
                <w:sz w:val="21"/>
                <w:szCs w:val="21"/>
                <w:u w:val="none"/>
                <w:lang w:val="en-US" w:eastAsia="zh-CN" w:bidi="ar"/>
              </w:rPr>
              <w:br w:type="textWrapping"/>
            </w:r>
            <w:r>
              <w:rPr>
                <w:rFonts w:hint="eastAsia" w:ascii="仿宋" w:hAnsi="仿宋" w:eastAsia="仿宋" w:cs="仿宋"/>
                <w:b/>
                <w:bCs/>
                <w:i w:val="0"/>
                <w:iCs w:val="0"/>
                <w:color w:val="auto"/>
                <w:kern w:val="0"/>
                <w:sz w:val="21"/>
                <w:szCs w:val="21"/>
                <w:u w:val="none"/>
                <w:lang w:val="en-US" w:eastAsia="zh-CN" w:bidi="ar"/>
              </w:rPr>
              <w:t>（2027年）</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7D2F8">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工作区域</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7D49C">
            <w:pPr>
              <w:keepNext w:val="0"/>
              <w:keepLines w:val="0"/>
              <w:widowControl/>
              <w:suppressLineNumbers w:val="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备注</w:t>
            </w:r>
          </w:p>
        </w:tc>
      </w:tr>
      <w:tr w14:paraId="74A42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1A31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D405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保洁主管</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55CA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全院所有保洁、洗涤的</w:t>
            </w:r>
            <w:r>
              <w:rPr>
                <w:rFonts w:hint="eastAsia" w:ascii="仿宋" w:hAnsi="仿宋" w:eastAsia="仿宋" w:cs="仿宋"/>
                <w:i w:val="0"/>
                <w:iCs w:val="0"/>
                <w:color w:val="auto"/>
                <w:kern w:val="0"/>
                <w:sz w:val="21"/>
                <w:szCs w:val="21"/>
                <w:u w:val="none"/>
                <w:lang w:val="en-US" w:eastAsia="zh-CN" w:bidi="ar"/>
              </w:rPr>
              <w:br w:type="textWrapping"/>
            </w:r>
            <w:r>
              <w:rPr>
                <w:rFonts w:hint="eastAsia" w:ascii="仿宋" w:hAnsi="仿宋" w:eastAsia="仿宋" w:cs="仿宋"/>
                <w:i w:val="0"/>
                <w:iCs w:val="0"/>
                <w:color w:val="auto"/>
                <w:kern w:val="0"/>
                <w:sz w:val="21"/>
                <w:szCs w:val="21"/>
                <w:u w:val="none"/>
                <w:lang w:val="en-US" w:eastAsia="zh-CN" w:bidi="ar"/>
              </w:rPr>
              <w:t>工作区域</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4EC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2717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EB0AC">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承包单位必聘请（或指定）一位经理（项目负责人），全权代表其负责管理承包服务工作、并与院方保持密切联系。项目经理具备有二年以上从事医院后勤服务管理的经验和曾担任过一年以上医院后勤服务管理负责人的经历。</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59983">
            <w:pPr>
              <w:jc w:val="center"/>
              <w:rPr>
                <w:rFonts w:hint="eastAsia" w:ascii="仿宋" w:hAnsi="仿宋" w:eastAsia="仿宋" w:cs="仿宋"/>
                <w:i w:val="0"/>
                <w:iCs w:val="0"/>
                <w:color w:val="auto"/>
                <w:sz w:val="21"/>
                <w:szCs w:val="21"/>
                <w:u w:val="none"/>
              </w:rPr>
            </w:pPr>
          </w:p>
        </w:tc>
      </w:tr>
      <w:tr w14:paraId="1A25F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5F74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E0E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供应室</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06C5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住院部一楼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D975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D9EE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A84AF">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负责器械清洗、下收上送、叠手术室衣服、敷料并打包及卫生责任区的全面清洁、垃圾清理回收等工作。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F5B68">
            <w:pPr>
              <w:jc w:val="center"/>
              <w:rPr>
                <w:rFonts w:hint="eastAsia" w:ascii="仿宋" w:hAnsi="仿宋" w:eastAsia="仿宋" w:cs="仿宋"/>
                <w:i w:val="0"/>
                <w:iCs w:val="0"/>
                <w:color w:val="auto"/>
                <w:sz w:val="21"/>
                <w:szCs w:val="21"/>
                <w:u w:val="none"/>
              </w:rPr>
            </w:pPr>
          </w:p>
        </w:tc>
      </w:tr>
      <w:tr w14:paraId="0E3AD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F7F7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DED1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内科一病区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E267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住院部二楼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DCCC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0BF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2755A">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负责卫生责任区全面清洁、垃圾清理回收、打开水、打饮用水等工作。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4D767">
            <w:pPr>
              <w:jc w:val="center"/>
              <w:rPr>
                <w:rFonts w:hint="eastAsia" w:ascii="仿宋" w:hAnsi="仿宋" w:eastAsia="仿宋" w:cs="仿宋"/>
                <w:i w:val="0"/>
                <w:iCs w:val="0"/>
                <w:color w:val="auto"/>
                <w:sz w:val="21"/>
                <w:szCs w:val="21"/>
                <w:u w:val="none"/>
              </w:rPr>
            </w:pPr>
          </w:p>
        </w:tc>
      </w:tr>
      <w:tr w14:paraId="34B88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A06C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A2B13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妇产科</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543B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住院部三楼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2AE4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17D6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0D6EA">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负责卫生责任区全面清洁、垃圾清理回收、打开水、打饮用水等工作。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75C08">
            <w:pPr>
              <w:jc w:val="center"/>
              <w:rPr>
                <w:rFonts w:hint="eastAsia" w:ascii="仿宋" w:hAnsi="仿宋" w:eastAsia="仿宋" w:cs="仿宋"/>
                <w:i w:val="0"/>
                <w:iCs w:val="0"/>
                <w:color w:val="auto"/>
                <w:sz w:val="21"/>
                <w:szCs w:val="21"/>
                <w:u w:val="none"/>
              </w:rPr>
            </w:pPr>
          </w:p>
        </w:tc>
      </w:tr>
      <w:tr w14:paraId="5BE57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0023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35417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外科一病区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1254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住院部四楼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9362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9614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927AE">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负责卫生责任区全面清洁、垃圾清理回收、打开水、打饮用水等工作。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2FEF7">
            <w:pPr>
              <w:jc w:val="center"/>
              <w:rPr>
                <w:rFonts w:hint="eastAsia" w:ascii="仿宋" w:hAnsi="仿宋" w:eastAsia="仿宋" w:cs="仿宋"/>
                <w:i w:val="0"/>
                <w:iCs w:val="0"/>
                <w:color w:val="auto"/>
                <w:sz w:val="21"/>
                <w:szCs w:val="21"/>
                <w:u w:val="none"/>
              </w:rPr>
            </w:pPr>
          </w:p>
        </w:tc>
      </w:tr>
      <w:tr w14:paraId="7A6FA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E4C6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7FB9D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外科二病区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7C2F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住院部五楼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9A16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2CB8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93454">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负责卫生责任区全面清洁、垃圾清理回收、打开水、打饮用水等工作。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D3BC5">
            <w:pPr>
              <w:jc w:val="center"/>
              <w:rPr>
                <w:rFonts w:hint="eastAsia" w:ascii="仿宋" w:hAnsi="仿宋" w:eastAsia="仿宋" w:cs="仿宋"/>
                <w:i w:val="0"/>
                <w:iCs w:val="0"/>
                <w:color w:val="auto"/>
                <w:sz w:val="21"/>
                <w:szCs w:val="21"/>
                <w:u w:val="none"/>
              </w:rPr>
            </w:pPr>
          </w:p>
        </w:tc>
      </w:tr>
      <w:tr w14:paraId="3811D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6A05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4114B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手术室</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AD97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住院部六楼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263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84F7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6E2D3">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负责领药品、耗材、办公材料、送标本、消毒并叠洗手巾、洗鞋并消毒、打饮用水、擦仪器及卫生责任区全面清洁、垃圾清理回收等工作。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1637B">
            <w:pPr>
              <w:jc w:val="center"/>
              <w:rPr>
                <w:rFonts w:hint="eastAsia" w:ascii="仿宋" w:hAnsi="仿宋" w:eastAsia="仿宋" w:cs="仿宋"/>
                <w:i w:val="0"/>
                <w:iCs w:val="0"/>
                <w:color w:val="auto"/>
                <w:sz w:val="21"/>
                <w:szCs w:val="21"/>
                <w:u w:val="none"/>
              </w:rPr>
            </w:pPr>
          </w:p>
        </w:tc>
      </w:tr>
      <w:tr w14:paraId="5853D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BE05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FCBF7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胃镜室、放射科、超声科、心电科、医技楼三楼、医技楼七楼</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EE8D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医技楼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7D1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CEFE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88A4F">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负责卫生责任区全面清洁、垃圾清理回收、打饮用水等工作。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5288D">
            <w:pPr>
              <w:jc w:val="center"/>
              <w:rPr>
                <w:rFonts w:hint="eastAsia" w:ascii="仿宋" w:hAnsi="仿宋" w:eastAsia="仿宋" w:cs="仿宋"/>
                <w:i w:val="0"/>
                <w:iCs w:val="0"/>
                <w:color w:val="auto"/>
                <w:sz w:val="21"/>
                <w:szCs w:val="21"/>
                <w:u w:val="none"/>
              </w:rPr>
            </w:pPr>
          </w:p>
        </w:tc>
      </w:tr>
      <w:tr w14:paraId="1BEF5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A1A9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9C373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检验科、血库、病理科</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5B17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医技楼四楼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6323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EFD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6353">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擦仪器、洗涤洗血型板、大小便接放盘子、竹签、玻璃片、血库交叉配血的玻璃管、微生物用的培养板子、玻璃管子、塞子并消毒、浸泡、煮、再次洗涤后高压；高生化室用的吸嘴、生化杯、大小子弹头，洗好并烤干；各科室送上来的输血袋要跟护工交接签字；高压全院病人的标本、领耗材、打饮用水、接生化室用来做化验的两大桶纯净水及卫生责任区全面清洁、垃圾清理回收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F8216">
            <w:pPr>
              <w:jc w:val="center"/>
              <w:rPr>
                <w:rFonts w:hint="eastAsia" w:ascii="仿宋" w:hAnsi="仿宋" w:eastAsia="仿宋" w:cs="仿宋"/>
                <w:i w:val="0"/>
                <w:iCs w:val="0"/>
                <w:color w:val="auto"/>
                <w:sz w:val="21"/>
                <w:szCs w:val="21"/>
                <w:u w:val="none"/>
              </w:rPr>
            </w:pPr>
          </w:p>
        </w:tc>
      </w:tr>
      <w:tr w14:paraId="48ADB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355F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6D54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门诊楼、结核门诊</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56D57">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门诊楼1楼公共部分、2楼、3楼、5楼、6楼、感染性疾病科综合2楼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5C6D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902D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92D54">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负责领耗材及卫生责任区全面清洁、垃圾清理回收、打饮用水等工作。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7D124">
            <w:pPr>
              <w:jc w:val="center"/>
              <w:rPr>
                <w:rFonts w:hint="eastAsia" w:ascii="仿宋" w:hAnsi="仿宋" w:eastAsia="仿宋" w:cs="仿宋"/>
                <w:i w:val="0"/>
                <w:iCs w:val="0"/>
                <w:color w:val="auto"/>
                <w:sz w:val="21"/>
                <w:szCs w:val="21"/>
                <w:u w:val="none"/>
              </w:rPr>
            </w:pPr>
          </w:p>
        </w:tc>
      </w:tr>
      <w:tr w14:paraId="730B3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F17E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F36B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儿康、康复医学科</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C17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复住院楼、急救综合楼负1楼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00B2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1054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8385B">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负责卫生责任区全面清洁、垃圾清理回收、打开水、打饮用水等工作。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F4649">
            <w:pPr>
              <w:jc w:val="center"/>
              <w:rPr>
                <w:rFonts w:hint="eastAsia" w:ascii="仿宋" w:hAnsi="仿宋" w:eastAsia="仿宋" w:cs="仿宋"/>
                <w:i w:val="0"/>
                <w:iCs w:val="0"/>
                <w:color w:val="auto"/>
                <w:sz w:val="21"/>
                <w:szCs w:val="21"/>
                <w:u w:val="none"/>
              </w:rPr>
            </w:pPr>
          </w:p>
        </w:tc>
      </w:tr>
      <w:tr w14:paraId="22DF5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E825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12</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5188D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急诊科、注射室、急救</w:t>
            </w:r>
            <w:r>
              <w:rPr>
                <w:rFonts w:hint="eastAsia" w:ascii="仿宋" w:hAnsi="仿宋" w:eastAsia="仿宋" w:cs="仿宋"/>
                <w:i w:val="0"/>
                <w:iCs w:val="0"/>
                <w:color w:val="auto"/>
                <w:kern w:val="0"/>
                <w:sz w:val="21"/>
                <w:szCs w:val="21"/>
                <w:u w:val="none"/>
                <w:lang w:val="en-US" w:eastAsia="zh-CN" w:bidi="ar"/>
              </w:rPr>
              <w:br w:type="textWrapping"/>
            </w:r>
            <w:r>
              <w:rPr>
                <w:rFonts w:hint="eastAsia" w:ascii="仿宋" w:hAnsi="仿宋" w:eastAsia="仿宋" w:cs="仿宋"/>
                <w:i w:val="0"/>
                <w:iCs w:val="0"/>
                <w:color w:val="auto"/>
                <w:kern w:val="0"/>
                <w:sz w:val="21"/>
                <w:szCs w:val="21"/>
                <w:u w:val="none"/>
                <w:lang w:val="en-US" w:eastAsia="zh-CN" w:bidi="ar"/>
              </w:rPr>
              <w:t>综合楼2楼碎石科等</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C76CE">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急救综合楼1楼、急救综合</w:t>
            </w:r>
            <w:r>
              <w:rPr>
                <w:rFonts w:hint="eastAsia" w:ascii="仿宋" w:hAnsi="仿宋" w:eastAsia="仿宋" w:cs="仿宋"/>
                <w:i w:val="0"/>
                <w:iCs w:val="0"/>
                <w:color w:val="auto"/>
                <w:kern w:val="0"/>
                <w:sz w:val="21"/>
                <w:szCs w:val="21"/>
                <w:u w:val="none"/>
                <w:lang w:val="en-US" w:eastAsia="zh-CN" w:bidi="ar"/>
              </w:rPr>
              <w:br w:type="textWrapping"/>
            </w:r>
            <w:r>
              <w:rPr>
                <w:rFonts w:hint="eastAsia" w:ascii="仿宋" w:hAnsi="仿宋" w:eastAsia="仿宋" w:cs="仿宋"/>
                <w:i w:val="0"/>
                <w:iCs w:val="0"/>
                <w:color w:val="auto"/>
                <w:kern w:val="0"/>
                <w:sz w:val="21"/>
                <w:szCs w:val="21"/>
                <w:u w:val="none"/>
                <w:lang w:val="en-US" w:eastAsia="zh-CN" w:bidi="ar"/>
              </w:rPr>
              <w:t>楼2楼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9DC2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239A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BEB77">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负责领耗材、打饮用水、找平车、轮椅、担架及卫生责任区全面清洁、垃圾清理回收、打饮用水等工作。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67D05">
            <w:pPr>
              <w:jc w:val="center"/>
              <w:rPr>
                <w:rFonts w:hint="eastAsia" w:ascii="仿宋" w:hAnsi="仿宋" w:eastAsia="仿宋" w:cs="仿宋"/>
                <w:i w:val="0"/>
                <w:iCs w:val="0"/>
                <w:color w:val="auto"/>
                <w:sz w:val="21"/>
                <w:szCs w:val="21"/>
                <w:u w:val="none"/>
              </w:rPr>
            </w:pPr>
          </w:p>
        </w:tc>
      </w:tr>
      <w:tr w14:paraId="2CC0B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60B4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13</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AD43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儿科</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B52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急救综合楼3楼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F814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E2A8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D3F10">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负责卫生责任区全面清洁、垃圾清理回收、打开水、打饮用水等工作。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32ADE">
            <w:pPr>
              <w:jc w:val="center"/>
              <w:rPr>
                <w:rFonts w:hint="eastAsia" w:ascii="仿宋" w:hAnsi="仿宋" w:eastAsia="仿宋" w:cs="仿宋"/>
                <w:i w:val="0"/>
                <w:iCs w:val="0"/>
                <w:color w:val="auto"/>
                <w:sz w:val="21"/>
                <w:szCs w:val="21"/>
                <w:u w:val="none"/>
              </w:rPr>
            </w:pPr>
          </w:p>
        </w:tc>
      </w:tr>
      <w:tr w14:paraId="47601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420F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14</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6323C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眼耳鼻喉咽喉科、</w:t>
            </w:r>
            <w:r>
              <w:rPr>
                <w:rFonts w:hint="eastAsia" w:ascii="仿宋" w:hAnsi="仿宋" w:eastAsia="仿宋" w:cs="仿宋"/>
                <w:i w:val="0"/>
                <w:iCs w:val="0"/>
                <w:color w:val="auto"/>
                <w:kern w:val="0"/>
                <w:sz w:val="21"/>
                <w:szCs w:val="21"/>
                <w:u w:val="none"/>
                <w:lang w:val="en-US" w:eastAsia="zh-CN" w:bidi="ar"/>
              </w:rPr>
              <w:br w:type="textWrapping"/>
            </w:r>
            <w:r>
              <w:rPr>
                <w:rFonts w:hint="eastAsia" w:ascii="仿宋" w:hAnsi="仿宋" w:eastAsia="仿宋" w:cs="仿宋"/>
                <w:i w:val="0"/>
                <w:iCs w:val="0"/>
                <w:color w:val="auto"/>
                <w:kern w:val="0"/>
                <w:sz w:val="21"/>
                <w:szCs w:val="21"/>
                <w:u w:val="none"/>
                <w:lang w:val="en-US" w:eastAsia="zh-CN" w:bidi="ar"/>
              </w:rPr>
              <w:t>口腔科</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85CF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急救综合楼4楼、</w:t>
            </w:r>
            <w:r>
              <w:rPr>
                <w:rFonts w:hint="eastAsia" w:ascii="仿宋" w:hAnsi="仿宋" w:eastAsia="仿宋" w:cs="仿宋"/>
                <w:i w:val="0"/>
                <w:iCs w:val="0"/>
                <w:color w:val="auto"/>
                <w:kern w:val="0"/>
                <w:sz w:val="21"/>
                <w:szCs w:val="21"/>
                <w:u w:val="none"/>
                <w:lang w:val="en-US" w:eastAsia="zh-CN" w:bidi="ar"/>
              </w:rPr>
              <w:br w:type="textWrapping"/>
            </w:r>
            <w:r>
              <w:rPr>
                <w:rFonts w:hint="eastAsia" w:ascii="仿宋" w:hAnsi="仿宋" w:eastAsia="仿宋" w:cs="仿宋"/>
                <w:i w:val="0"/>
                <w:iCs w:val="0"/>
                <w:color w:val="auto"/>
                <w:kern w:val="0"/>
                <w:sz w:val="21"/>
                <w:szCs w:val="21"/>
                <w:u w:val="none"/>
                <w:lang w:val="en-US" w:eastAsia="zh-CN" w:bidi="ar"/>
              </w:rPr>
              <w:t>门诊楼4楼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B26F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F11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5D825">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负责铺床、擦床、送标本、领耗材、领药品及负责卫生责任区全面清洁、垃圾清理回收、打开水、打饮用水等工作。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5E17E">
            <w:pPr>
              <w:jc w:val="center"/>
              <w:rPr>
                <w:rFonts w:hint="eastAsia" w:ascii="仿宋" w:hAnsi="仿宋" w:eastAsia="仿宋" w:cs="仿宋"/>
                <w:i w:val="0"/>
                <w:iCs w:val="0"/>
                <w:color w:val="auto"/>
                <w:sz w:val="21"/>
                <w:szCs w:val="21"/>
                <w:u w:val="none"/>
              </w:rPr>
            </w:pPr>
          </w:p>
        </w:tc>
      </w:tr>
      <w:tr w14:paraId="66DF1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76E7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15</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E74D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血透室、ICU、体检科</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0B51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急救综合楼5楼、6楼、7楼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1D7F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2935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4DCCB">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负责卫生责任区全面清洁、垃圾清理回收、打饮</w:t>
            </w:r>
            <w:r>
              <w:rPr>
                <w:rFonts w:hint="eastAsia" w:ascii="仿宋" w:hAnsi="仿宋" w:eastAsia="仿宋" w:cs="仿宋"/>
                <w:i w:val="0"/>
                <w:iCs w:val="0"/>
                <w:color w:val="auto"/>
                <w:kern w:val="0"/>
                <w:sz w:val="21"/>
                <w:szCs w:val="21"/>
                <w:u w:val="none"/>
                <w:lang w:val="en-US" w:eastAsia="zh-CN" w:bidi="ar"/>
              </w:rPr>
              <w:br w:type="textWrapping"/>
            </w:r>
            <w:r>
              <w:rPr>
                <w:rFonts w:hint="eastAsia" w:ascii="仿宋" w:hAnsi="仿宋" w:eastAsia="仿宋" w:cs="仿宋"/>
                <w:i w:val="0"/>
                <w:iCs w:val="0"/>
                <w:color w:val="auto"/>
                <w:kern w:val="0"/>
                <w:sz w:val="21"/>
                <w:szCs w:val="21"/>
                <w:u w:val="none"/>
                <w:lang w:val="en-US" w:eastAsia="zh-CN" w:bidi="ar"/>
              </w:rPr>
              <w:t>用水等工作。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DA084">
            <w:pPr>
              <w:jc w:val="center"/>
              <w:rPr>
                <w:rFonts w:hint="eastAsia" w:ascii="仿宋" w:hAnsi="仿宋" w:eastAsia="仿宋" w:cs="仿宋"/>
                <w:i w:val="0"/>
                <w:iCs w:val="0"/>
                <w:color w:val="auto"/>
                <w:sz w:val="21"/>
                <w:szCs w:val="21"/>
                <w:u w:val="none"/>
              </w:rPr>
            </w:pPr>
          </w:p>
        </w:tc>
      </w:tr>
      <w:tr w14:paraId="05D4F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BEEB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16</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CDA3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内科二病区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EEC7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感染性疾病科综合1、4、5、6楼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81E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8EEB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26B4C">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负责卫生责任区全面清洁、垃圾清理回收、打开水、打饮用水等工作。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99F89">
            <w:pPr>
              <w:jc w:val="center"/>
              <w:rPr>
                <w:rFonts w:hint="eastAsia" w:ascii="仿宋" w:hAnsi="仿宋" w:eastAsia="仿宋" w:cs="仿宋"/>
                <w:i w:val="0"/>
                <w:iCs w:val="0"/>
                <w:color w:val="auto"/>
                <w:sz w:val="21"/>
                <w:szCs w:val="21"/>
                <w:u w:val="none"/>
              </w:rPr>
            </w:pPr>
          </w:p>
        </w:tc>
      </w:tr>
      <w:tr w14:paraId="2F658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128D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17</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F80F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西药房</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4F3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门诊楼1楼</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8728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AD33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5682C">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负责各科室药品运送及科内保洁等工作。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CF935">
            <w:pPr>
              <w:jc w:val="center"/>
              <w:rPr>
                <w:rFonts w:hint="eastAsia" w:ascii="仿宋" w:hAnsi="仿宋" w:eastAsia="仿宋" w:cs="仿宋"/>
                <w:i w:val="0"/>
                <w:iCs w:val="0"/>
                <w:color w:val="auto"/>
                <w:sz w:val="21"/>
                <w:szCs w:val="21"/>
                <w:u w:val="none"/>
              </w:rPr>
            </w:pPr>
          </w:p>
        </w:tc>
      </w:tr>
      <w:tr w14:paraId="4DF2B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12BD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18</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E9DD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外围保洁、机动</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A15B0">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停车场（含门诊楼停车区、急救综合楼负1楼停车区、住院楼停车区）、职工住宿区外围、医院城区卫生责任区、医院办公区及病房楼楼顶、绿化带护养、剪草、医院公共部分等</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F7F6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CFB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4E4C7">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负责卫生责任区全面清洁、垃圾清理回收、绿化带护养、剪草等工作。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090DF">
            <w:pPr>
              <w:jc w:val="center"/>
              <w:rPr>
                <w:rFonts w:hint="eastAsia" w:ascii="仿宋" w:hAnsi="仿宋" w:eastAsia="仿宋" w:cs="仿宋"/>
                <w:i w:val="0"/>
                <w:iCs w:val="0"/>
                <w:color w:val="auto"/>
                <w:sz w:val="21"/>
                <w:szCs w:val="21"/>
                <w:u w:val="none"/>
              </w:rPr>
            </w:pPr>
          </w:p>
        </w:tc>
      </w:tr>
      <w:tr w14:paraId="43151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2"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CCA7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19</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4790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开水房、电梯轿箱</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565C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全院</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7877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FC46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AA1CE">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负责全院的开水、热水供应、清理锅炉、10台电梯轿箱全面清洁、保养、垃圾清理回收等工作。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AE125">
            <w:pPr>
              <w:jc w:val="center"/>
              <w:rPr>
                <w:rFonts w:hint="eastAsia" w:ascii="仿宋" w:hAnsi="仿宋" w:eastAsia="仿宋" w:cs="仿宋"/>
                <w:i w:val="0"/>
                <w:iCs w:val="0"/>
                <w:color w:val="auto"/>
                <w:sz w:val="21"/>
                <w:szCs w:val="21"/>
                <w:u w:val="none"/>
              </w:rPr>
            </w:pPr>
          </w:p>
        </w:tc>
      </w:tr>
      <w:tr w14:paraId="30151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DD47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93E5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医疗废物</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CE86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全院</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757F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98B3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FAC6E">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负责全院医疗垃圾收集到指定点，并与医院外包第三方对接清运医疗垃圾、生活垃圾、可回收塑料瓶、玻璃瓶，并做好各类台账记录、归档，保存及卫生责任区全面清洁、消毒暂存室、垃圾清理回收等工作。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CD9B5">
            <w:pPr>
              <w:jc w:val="center"/>
              <w:rPr>
                <w:rFonts w:hint="eastAsia" w:ascii="仿宋" w:hAnsi="仿宋" w:eastAsia="仿宋" w:cs="仿宋"/>
                <w:i w:val="0"/>
                <w:iCs w:val="0"/>
                <w:color w:val="auto"/>
                <w:sz w:val="21"/>
                <w:szCs w:val="21"/>
                <w:u w:val="none"/>
              </w:rPr>
            </w:pPr>
          </w:p>
        </w:tc>
      </w:tr>
      <w:tr w14:paraId="33568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B697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21</w:t>
            </w:r>
          </w:p>
        </w:tc>
        <w:tc>
          <w:tcPr>
            <w:tcW w:w="305" w:type="pct"/>
            <w:vMerge w:val="restart"/>
            <w:tcBorders>
              <w:top w:val="single" w:color="000000" w:sz="4" w:space="0"/>
              <w:left w:val="single" w:color="000000" w:sz="4" w:space="0"/>
              <w:right w:val="single" w:color="auto" w:sz="4" w:space="0"/>
            </w:tcBorders>
            <w:shd w:val="clear" w:color="auto" w:fill="auto"/>
            <w:noWrap/>
            <w:vAlign w:val="center"/>
          </w:tcPr>
          <w:p w14:paraId="57988CB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洗衣房</w:t>
            </w:r>
          </w:p>
        </w:tc>
        <w:tc>
          <w:tcPr>
            <w:tcW w:w="285" w:type="pct"/>
            <w:tcBorders>
              <w:top w:val="single" w:color="000000" w:sz="4" w:space="0"/>
              <w:left w:val="single" w:color="auto" w:sz="4" w:space="0"/>
              <w:bottom w:val="single" w:color="000000" w:sz="4" w:space="0"/>
              <w:right w:val="single" w:color="000000" w:sz="4" w:space="0"/>
            </w:tcBorders>
            <w:shd w:val="clear" w:color="auto" w:fill="auto"/>
            <w:noWrap/>
            <w:vAlign w:val="center"/>
          </w:tcPr>
          <w:p w14:paraId="78BAC75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布草</w:t>
            </w:r>
          </w:p>
        </w:tc>
        <w:tc>
          <w:tcPr>
            <w:tcW w:w="719" w:type="pct"/>
            <w:vMerge w:val="restart"/>
            <w:tcBorders>
              <w:top w:val="single" w:color="000000" w:sz="4" w:space="0"/>
              <w:left w:val="single" w:color="000000" w:sz="4" w:space="0"/>
              <w:right w:val="single" w:color="000000" w:sz="4" w:space="0"/>
            </w:tcBorders>
            <w:shd w:val="clear" w:color="auto" w:fill="auto"/>
            <w:noWrap/>
            <w:vAlign w:val="center"/>
          </w:tcPr>
          <w:p w14:paraId="4ABDB10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全院</w:t>
            </w:r>
          </w:p>
        </w:tc>
        <w:tc>
          <w:tcPr>
            <w:tcW w:w="614" w:type="pct"/>
            <w:vMerge w:val="restart"/>
            <w:tcBorders>
              <w:top w:val="single" w:color="000000" w:sz="4" w:space="0"/>
              <w:left w:val="single" w:color="000000" w:sz="4" w:space="0"/>
              <w:right w:val="single" w:color="000000" w:sz="4" w:space="0"/>
            </w:tcBorders>
            <w:shd w:val="clear" w:color="auto" w:fill="auto"/>
            <w:noWrap/>
            <w:vAlign w:val="center"/>
          </w:tcPr>
          <w:p w14:paraId="7A90A31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688" w:type="pct"/>
            <w:vMerge w:val="restart"/>
            <w:tcBorders>
              <w:top w:val="single" w:color="000000" w:sz="4" w:space="0"/>
              <w:left w:val="single" w:color="000000" w:sz="4" w:space="0"/>
              <w:right w:val="single" w:color="000000" w:sz="4" w:space="0"/>
            </w:tcBorders>
            <w:shd w:val="clear" w:color="auto" w:fill="auto"/>
            <w:noWrap/>
            <w:vAlign w:val="center"/>
          </w:tcPr>
          <w:p w14:paraId="159226E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69D66">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负责全院手术衣、工作服、被服类等布草洗涤、下收上送及卫生责任区全面清洁、垃圾清理回收等工作。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8D3E2">
            <w:pPr>
              <w:jc w:val="center"/>
              <w:rPr>
                <w:rFonts w:hint="eastAsia" w:ascii="仿宋" w:hAnsi="仿宋" w:eastAsia="仿宋" w:cs="仿宋"/>
                <w:i w:val="0"/>
                <w:iCs w:val="0"/>
                <w:color w:val="auto"/>
                <w:sz w:val="21"/>
                <w:szCs w:val="21"/>
                <w:u w:val="none"/>
              </w:rPr>
            </w:pPr>
          </w:p>
        </w:tc>
      </w:tr>
      <w:tr w14:paraId="75164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D399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22</w:t>
            </w:r>
          </w:p>
        </w:tc>
        <w:tc>
          <w:tcPr>
            <w:tcW w:w="305" w:type="pct"/>
            <w:vMerge w:val="continue"/>
            <w:tcBorders>
              <w:left w:val="single" w:color="000000" w:sz="4" w:space="0"/>
              <w:bottom w:val="single" w:color="000000" w:sz="4" w:space="0"/>
              <w:right w:val="single" w:color="auto" w:sz="4" w:space="0"/>
            </w:tcBorders>
            <w:shd w:val="clear" w:color="auto" w:fill="auto"/>
            <w:noWrap/>
            <w:vAlign w:val="center"/>
          </w:tcPr>
          <w:p w14:paraId="61B952F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285" w:type="pct"/>
            <w:tcBorders>
              <w:top w:val="single" w:color="000000" w:sz="4" w:space="0"/>
              <w:left w:val="single" w:color="auto" w:sz="4" w:space="0"/>
              <w:bottom w:val="single" w:color="000000" w:sz="4" w:space="0"/>
              <w:right w:val="single" w:color="000000" w:sz="4" w:space="0"/>
            </w:tcBorders>
            <w:shd w:val="clear" w:color="auto" w:fill="auto"/>
            <w:noWrap/>
            <w:vAlign w:val="center"/>
          </w:tcPr>
          <w:p w14:paraId="0255573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缝补</w:t>
            </w:r>
          </w:p>
        </w:tc>
        <w:tc>
          <w:tcPr>
            <w:tcW w:w="719" w:type="pct"/>
            <w:vMerge w:val="continue"/>
            <w:tcBorders>
              <w:left w:val="single" w:color="000000" w:sz="4" w:space="0"/>
              <w:bottom w:val="single" w:color="000000" w:sz="4" w:space="0"/>
              <w:right w:val="single" w:color="000000" w:sz="4" w:space="0"/>
            </w:tcBorders>
            <w:shd w:val="clear" w:color="auto" w:fill="auto"/>
            <w:noWrap/>
            <w:vAlign w:val="center"/>
          </w:tcPr>
          <w:p w14:paraId="1329602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614" w:type="pct"/>
            <w:vMerge w:val="continue"/>
            <w:tcBorders>
              <w:left w:val="single" w:color="000000" w:sz="4" w:space="0"/>
              <w:bottom w:val="single" w:color="000000" w:sz="4" w:space="0"/>
              <w:right w:val="single" w:color="000000" w:sz="4" w:space="0"/>
            </w:tcBorders>
            <w:shd w:val="clear" w:color="auto" w:fill="auto"/>
            <w:noWrap/>
            <w:vAlign w:val="center"/>
          </w:tcPr>
          <w:p w14:paraId="1E0A040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688" w:type="pct"/>
            <w:vMerge w:val="continue"/>
            <w:tcBorders>
              <w:left w:val="single" w:color="000000" w:sz="4" w:space="0"/>
              <w:bottom w:val="single" w:color="000000" w:sz="4" w:space="0"/>
              <w:right w:val="single" w:color="000000" w:sz="4" w:space="0"/>
            </w:tcBorders>
            <w:shd w:val="clear" w:color="auto" w:fill="auto"/>
            <w:noWrap/>
            <w:vAlign w:val="center"/>
          </w:tcPr>
          <w:p w14:paraId="043FE51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A126B">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负责全院手术衣、工作服、被服类等布草缝补及卫生责任区全面清洁、垃圾清理回收等工作。</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A03D0">
            <w:pPr>
              <w:jc w:val="center"/>
              <w:rPr>
                <w:rFonts w:hint="eastAsia" w:ascii="仿宋" w:hAnsi="仿宋" w:eastAsia="仿宋" w:cs="仿宋"/>
                <w:i w:val="0"/>
                <w:iCs w:val="0"/>
                <w:color w:val="auto"/>
                <w:sz w:val="21"/>
                <w:szCs w:val="21"/>
                <w:u w:val="none"/>
              </w:rPr>
            </w:pPr>
          </w:p>
        </w:tc>
      </w:tr>
      <w:tr w14:paraId="11C8E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B11E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合计</w:t>
            </w:r>
          </w:p>
        </w:tc>
        <w:tc>
          <w:tcPr>
            <w:tcW w:w="4618"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07B71C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  41人/每年</w:t>
            </w:r>
          </w:p>
        </w:tc>
      </w:tr>
      <w:tr w14:paraId="57924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000" w:type="pct"/>
            <w:gridSpan w:val="8"/>
            <w:tcBorders>
              <w:top w:val="nil"/>
              <w:left w:val="single" w:color="000000" w:sz="4" w:space="0"/>
              <w:bottom w:val="single" w:color="000000" w:sz="4" w:space="0"/>
              <w:right w:val="single" w:color="000000" w:sz="4" w:space="0"/>
            </w:tcBorders>
            <w:shd w:val="clear" w:color="auto" w:fill="auto"/>
            <w:vAlign w:val="center"/>
          </w:tcPr>
          <w:p w14:paraId="4AD79809">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备注：1、保洁人员不含职能办公室、病案室、保管室、配电房、药品及耗材库房。</w:t>
            </w:r>
            <w:r>
              <w:rPr>
                <w:rFonts w:hint="eastAsia" w:ascii="仿宋" w:hAnsi="仿宋" w:eastAsia="仿宋" w:cs="仿宋"/>
                <w:i w:val="0"/>
                <w:iCs w:val="0"/>
                <w:color w:val="auto"/>
                <w:kern w:val="0"/>
                <w:sz w:val="21"/>
                <w:szCs w:val="21"/>
                <w:u w:val="none"/>
                <w:lang w:val="en-US" w:eastAsia="zh-CN" w:bidi="ar"/>
              </w:rPr>
              <w:br w:type="textWrapping"/>
            </w:r>
            <w:r>
              <w:rPr>
                <w:rFonts w:hint="eastAsia" w:ascii="仿宋" w:hAnsi="仿宋" w:eastAsia="仿宋" w:cs="仿宋"/>
                <w:i w:val="0"/>
                <w:iCs w:val="0"/>
                <w:color w:val="auto"/>
                <w:kern w:val="0"/>
                <w:sz w:val="21"/>
                <w:szCs w:val="21"/>
                <w:u w:val="none"/>
                <w:lang w:val="en-US" w:eastAsia="zh-CN" w:bidi="ar"/>
              </w:rPr>
              <w:t xml:space="preserve">      2、感染性疾病科综合3楼（隔离病房）、感染性疾病科综合7楼、原康复科病房（住院部一楼）、发热门诊目前未投入使用，待投入使用后再根据实际情况配置人员及增加费用。</w:t>
            </w:r>
          </w:p>
        </w:tc>
      </w:tr>
    </w:tbl>
    <w:p w14:paraId="43241323">
      <w:pPr>
        <w:pStyle w:val="30"/>
        <w:jc w:val="center"/>
        <w:rPr>
          <w:rFonts w:hint="eastAsia" w:ascii="仿宋" w:hAnsi="仿宋" w:eastAsia="仿宋" w:cs="仿宋"/>
          <w:color w:val="auto"/>
        </w:rPr>
      </w:pPr>
      <w:r>
        <w:rPr>
          <w:rFonts w:hint="eastAsia" w:ascii="仿宋" w:hAnsi="仿宋" w:eastAsia="仿宋" w:cs="仿宋"/>
          <w:color w:val="auto"/>
        </w:rPr>
        <w:br w:type="page"/>
      </w:r>
    </w:p>
    <w:p w14:paraId="16ED9051">
      <w:pPr>
        <w:pStyle w:val="30"/>
        <w:rPr>
          <w:rFonts w:hint="eastAsia" w:ascii="仿宋" w:hAnsi="仿宋" w:eastAsia="仿宋" w:cs="仿宋"/>
          <w:color w:val="auto"/>
          <w:sz w:val="32"/>
          <w:szCs w:val="32"/>
        </w:rPr>
      </w:pPr>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p>
    <w:p w14:paraId="60F37845">
      <w:pPr>
        <w:spacing w:line="528" w:lineRule="exact"/>
        <w:jc w:val="center"/>
        <w:rPr>
          <w:rFonts w:hint="eastAsia" w:ascii="仿宋" w:hAnsi="仿宋" w:eastAsia="仿宋" w:cs="仿宋"/>
          <w:color w:val="auto"/>
          <w:sz w:val="40"/>
          <w:szCs w:val="40"/>
        </w:rPr>
      </w:pPr>
      <w:r>
        <w:rPr>
          <w:rFonts w:hint="eastAsia" w:ascii="仿宋" w:hAnsi="仿宋" w:eastAsia="仿宋" w:cs="仿宋"/>
          <w:color w:val="auto"/>
          <w:sz w:val="40"/>
          <w:szCs w:val="40"/>
        </w:rPr>
        <w:t>中小微企业划型标准</w:t>
      </w:r>
    </w:p>
    <w:tbl>
      <w:tblPr>
        <w:tblStyle w:val="47"/>
        <w:tblW w:w="0" w:type="auto"/>
        <w:jc w:val="center"/>
        <w:tblLayout w:type="fixed"/>
        <w:tblCellMar>
          <w:top w:w="0" w:type="dxa"/>
          <w:left w:w="108" w:type="dxa"/>
          <w:bottom w:w="0" w:type="dxa"/>
          <w:right w:w="108" w:type="dxa"/>
        </w:tblCellMar>
      </w:tblPr>
      <w:tblGrid>
        <w:gridCol w:w="1739"/>
        <w:gridCol w:w="1414"/>
        <w:gridCol w:w="933"/>
        <w:gridCol w:w="1655"/>
        <w:gridCol w:w="1472"/>
        <w:gridCol w:w="945"/>
      </w:tblGrid>
      <w:tr w14:paraId="6BD1D510">
        <w:tblPrEx>
          <w:tblCellMar>
            <w:top w:w="0" w:type="dxa"/>
            <w:left w:w="108" w:type="dxa"/>
            <w:bottom w:w="0" w:type="dxa"/>
            <w:right w:w="108" w:type="dxa"/>
          </w:tblCellMar>
        </w:tblPrEx>
        <w:trPr>
          <w:trHeight w:val="848" w:hRule="atLeast"/>
          <w:jc w:val="center"/>
        </w:trPr>
        <w:tc>
          <w:tcPr>
            <w:tcW w:w="1739" w:type="dxa"/>
            <w:tcBorders>
              <w:top w:val="single" w:color="auto" w:sz="4" w:space="0"/>
              <w:left w:val="single" w:color="auto" w:sz="4" w:space="0"/>
              <w:bottom w:val="single" w:color="auto" w:sz="4" w:space="0"/>
              <w:right w:val="single" w:color="auto" w:sz="4" w:space="0"/>
            </w:tcBorders>
            <w:vAlign w:val="center"/>
          </w:tcPr>
          <w:p w14:paraId="0DD06629">
            <w:pPr>
              <w:widowControl/>
              <w:jc w:val="left"/>
              <w:rPr>
                <w:rFonts w:hint="eastAsia" w:ascii="仿宋" w:hAnsi="仿宋" w:eastAsia="仿宋" w:cs="仿宋"/>
                <w:b/>
                <w:color w:val="auto"/>
                <w:kern w:val="0"/>
                <w:sz w:val="24"/>
              </w:rPr>
            </w:pPr>
            <w:r>
              <w:rPr>
                <w:rFonts w:hint="eastAsia" w:ascii="仿宋" w:hAnsi="仿宋" w:eastAsia="仿宋" w:cs="仿宋"/>
                <w:b/>
                <w:color w:val="auto"/>
                <w:kern w:val="0"/>
                <w:sz w:val="24"/>
              </w:rPr>
              <w:t>行业名称</w:t>
            </w:r>
          </w:p>
        </w:tc>
        <w:tc>
          <w:tcPr>
            <w:tcW w:w="1414" w:type="dxa"/>
            <w:tcBorders>
              <w:top w:val="single" w:color="auto" w:sz="4" w:space="0"/>
              <w:left w:val="nil"/>
              <w:bottom w:val="single" w:color="auto" w:sz="4" w:space="0"/>
              <w:right w:val="single" w:color="auto" w:sz="4" w:space="0"/>
            </w:tcBorders>
            <w:vAlign w:val="center"/>
          </w:tcPr>
          <w:p w14:paraId="1AC145F1">
            <w:pPr>
              <w:widowControl/>
              <w:jc w:val="left"/>
              <w:rPr>
                <w:rFonts w:hint="eastAsia" w:ascii="仿宋" w:hAnsi="仿宋" w:eastAsia="仿宋" w:cs="仿宋"/>
                <w:b/>
                <w:color w:val="auto"/>
                <w:kern w:val="0"/>
                <w:sz w:val="24"/>
              </w:rPr>
            </w:pPr>
            <w:r>
              <w:rPr>
                <w:rFonts w:hint="eastAsia" w:ascii="仿宋" w:hAnsi="仿宋" w:eastAsia="仿宋" w:cs="仿宋"/>
                <w:b/>
                <w:color w:val="auto"/>
                <w:kern w:val="0"/>
                <w:sz w:val="24"/>
              </w:rPr>
              <w:t>指标名称</w:t>
            </w:r>
          </w:p>
        </w:tc>
        <w:tc>
          <w:tcPr>
            <w:tcW w:w="933" w:type="dxa"/>
            <w:tcBorders>
              <w:top w:val="single" w:color="auto" w:sz="4" w:space="0"/>
              <w:left w:val="nil"/>
              <w:bottom w:val="single" w:color="auto" w:sz="4" w:space="0"/>
              <w:right w:val="single" w:color="auto" w:sz="4" w:space="0"/>
            </w:tcBorders>
            <w:vAlign w:val="center"/>
          </w:tcPr>
          <w:p w14:paraId="0052EAA4">
            <w:pPr>
              <w:widowControl/>
              <w:jc w:val="left"/>
              <w:rPr>
                <w:rFonts w:hint="eastAsia" w:ascii="仿宋" w:hAnsi="仿宋" w:eastAsia="仿宋" w:cs="仿宋"/>
                <w:b/>
                <w:color w:val="auto"/>
                <w:kern w:val="0"/>
                <w:sz w:val="24"/>
              </w:rPr>
            </w:pPr>
            <w:r>
              <w:rPr>
                <w:rFonts w:hint="eastAsia" w:ascii="仿宋" w:hAnsi="仿宋" w:eastAsia="仿宋" w:cs="仿宋"/>
                <w:b/>
                <w:color w:val="auto"/>
                <w:kern w:val="0"/>
                <w:sz w:val="24"/>
              </w:rPr>
              <w:t>计量单位</w:t>
            </w:r>
          </w:p>
        </w:tc>
        <w:tc>
          <w:tcPr>
            <w:tcW w:w="1655" w:type="dxa"/>
            <w:tcBorders>
              <w:top w:val="single" w:color="auto" w:sz="4" w:space="0"/>
              <w:left w:val="nil"/>
              <w:bottom w:val="single" w:color="auto" w:sz="4" w:space="0"/>
              <w:right w:val="single" w:color="auto" w:sz="4" w:space="0"/>
            </w:tcBorders>
            <w:vAlign w:val="center"/>
          </w:tcPr>
          <w:p w14:paraId="41C772E6">
            <w:pPr>
              <w:widowControl/>
              <w:jc w:val="left"/>
              <w:rPr>
                <w:rFonts w:hint="eastAsia" w:ascii="仿宋" w:hAnsi="仿宋" w:eastAsia="仿宋" w:cs="仿宋"/>
                <w:b/>
                <w:color w:val="auto"/>
                <w:kern w:val="0"/>
                <w:sz w:val="24"/>
              </w:rPr>
            </w:pPr>
            <w:r>
              <w:rPr>
                <w:rFonts w:hint="eastAsia" w:ascii="仿宋" w:hAnsi="仿宋" w:eastAsia="仿宋" w:cs="仿宋"/>
                <w:b/>
                <w:color w:val="auto"/>
                <w:kern w:val="0"/>
                <w:sz w:val="24"/>
              </w:rPr>
              <w:t>中型</w:t>
            </w:r>
          </w:p>
        </w:tc>
        <w:tc>
          <w:tcPr>
            <w:tcW w:w="1472" w:type="dxa"/>
            <w:tcBorders>
              <w:top w:val="single" w:color="auto" w:sz="4" w:space="0"/>
              <w:left w:val="nil"/>
              <w:bottom w:val="single" w:color="auto" w:sz="4" w:space="0"/>
              <w:right w:val="single" w:color="auto" w:sz="4" w:space="0"/>
            </w:tcBorders>
            <w:vAlign w:val="center"/>
          </w:tcPr>
          <w:p w14:paraId="7149D7B5">
            <w:pPr>
              <w:widowControl/>
              <w:jc w:val="left"/>
              <w:rPr>
                <w:rFonts w:hint="eastAsia" w:ascii="仿宋" w:hAnsi="仿宋" w:eastAsia="仿宋" w:cs="仿宋"/>
                <w:b/>
                <w:color w:val="auto"/>
                <w:kern w:val="0"/>
                <w:sz w:val="24"/>
              </w:rPr>
            </w:pPr>
            <w:r>
              <w:rPr>
                <w:rFonts w:hint="eastAsia" w:ascii="仿宋" w:hAnsi="仿宋" w:eastAsia="仿宋" w:cs="仿宋"/>
                <w:b/>
                <w:color w:val="auto"/>
                <w:kern w:val="0"/>
                <w:sz w:val="24"/>
              </w:rPr>
              <w:t>小型</w:t>
            </w:r>
          </w:p>
        </w:tc>
        <w:tc>
          <w:tcPr>
            <w:tcW w:w="945" w:type="dxa"/>
            <w:tcBorders>
              <w:top w:val="single" w:color="auto" w:sz="4" w:space="0"/>
              <w:left w:val="nil"/>
              <w:bottom w:val="single" w:color="auto" w:sz="4" w:space="0"/>
              <w:right w:val="single" w:color="auto" w:sz="4" w:space="0"/>
            </w:tcBorders>
            <w:vAlign w:val="center"/>
          </w:tcPr>
          <w:p w14:paraId="0B19ECA5">
            <w:pPr>
              <w:widowControl/>
              <w:jc w:val="left"/>
              <w:rPr>
                <w:rFonts w:hint="eastAsia" w:ascii="仿宋" w:hAnsi="仿宋" w:eastAsia="仿宋" w:cs="仿宋"/>
                <w:b/>
                <w:color w:val="auto"/>
                <w:kern w:val="0"/>
                <w:sz w:val="24"/>
              </w:rPr>
            </w:pPr>
            <w:r>
              <w:rPr>
                <w:rFonts w:hint="eastAsia" w:ascii="仿宋" w:hAnsi="仿宋" w:eastAsia="仿宋" w:cs="仿宋"/>
                <w:b/>
                <w:color w:val="auto"/>
                <w:kern w:val="0"/>
                <w:sz w:val="24"/>
              </w:rPr>
              <w:t>微型</w:t>
            </w:r>
          </w:p>
        </w:tc>
      </w:tr>
      <w:tr w14:paraId="6418C5B6">
        <w:tblPrEx>
          <w:tblCellMar>
            <w:top w:w="0" w:type="dxa"/>
            <w:left w:w="108" w:type="dxa"/>
            <w:bottom w:w="0" w:type="dxa"/>
            <w:right w:w="108" w:type="dxa"/>
          </w:tblCellMar>
        </w:tblPrEx>
        <w:trPr>
          <w:trHeight w:val="333" w:hRule="atLeast"/>
          <w:jc w:val="center"/>
        </w:trPr>
        <w:tc>
          <w:tcPr>
            <w:tcW w:w="1739" w:type="dxa"/>
            <w:tcBorders>
              <w:top w:val="nil"/>
              <w:left w:val="single" w:color="auto" w:sz="4" w:space="0"/>
              <w:bottom w:val="single" w:color="auto" w:sz="4" w:space="0"/>
              <w:right w:val="single" w:color="auto" w:sz="4" w:space="0"/>
            </w:tcBorders>
            <w:vAlign w:val="bottom"/>
          </w:tcPr>
          <w:p w14:paraId="76C95883">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农、林、牧、渔</w:t>
            </w:r>
          </w:p>
        </w:tc>
        <w:tc>
          <w:tcPr>
            <w:tcW w:w="1414" w:type="dxa"/>
            <w:tcBorders>
              <w:top w:val="nil"/>
              <w:left w:val="nil"/>
              <w:bottom w:val="single" w:color="auto" w:sz="4" w:space="0"/>
              <w:right w:val="single" w:color="auto" w:sz="4" w:space="0"/>
            </w:tcBorders>
            <w:vAlign w:val="center"/>
          </w:tcPr>
          <w:p w14:paraId="0FB392B8">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1D6A9391">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7EB56126">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500≤Y＜20000</w:t>
            </w:r>
          </w:p>
        </w:tc>
        <w:tc>
          <w:tcPr>
            <w:tcW w:w="1472" w:type="dxa"/>
            <w:tcBorders>
              <w:top w:val="nil"/>
              <w:left w:val="nil"/>
              <w:bottom w:val="single" w:color="auto" w:sz="4" w:space="0"/>
              <w:right w:val="single" w:color="auto" w:sz="4" w:space="0"/>
            </w:tcBorders>
            <w:vAlign w:val="center"/>
          </w:tcPr>
          <w:p w14:paraId="73007338">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50≤Y＜500</w:t>
            </w:r>
          </w:p>
        </w:tc>
        <w:tc>
          <w:tcPr>
            <w:tcW w:w="945" w:type="dxa"/>
            <w:tcBorders>
              <w:top w:val="nil"/>
              <w:left w:val="nil"/>
              <w:bottom w:val="single" w:color="auto" w:sz="4" w:space="0"/>
              <w:right w:val="single" w:color="auto" w:sz="4" w:space="0"/>
            </w:tcBorders>
            <w:vAlign w:val="center"/>
          </w:tcPr>
          <w:p w14:paraId="0E21A578">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Y＜50</w:t>
            </w:r>
          </w:p>
        </w:tc>
      </w:tr>
      <w:tr w14:paraId="4DC6A1BE">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5DC0E3E3">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工业</w:t>
            </w:r>
          </w:p>
        </w:tc>
        <w:tc>
          <w:tcPr>
            <w:tcW w:w="1414" w:type="dxa"/>
            <w:tcBorders>
              <w:top w:val="nil"/>
              <w:left w:val="nil"/>
              <w:bottom w:val="single" w:color="auto" w:sz="4" w:space="0"/>
              <w:right w:val="single" w:color="auto" w:sz="4" w:space="0"/>
            </w:tcBorders>
            <w:vAlign w:val="center"/>
          </w:tcPr>
          <w:p w14:paraId="583E9FFC">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从业人员（X）</w:t>
            </w:r>
          </w:p>
        </w:tc>
        <w:tc>
          <w:tcPr>
            <w:tcW w:w="933" w:type="dxa"/>
            <w:tcBorders>
              <w:top w:val="nil"/>
              <w:left w:val="nil"/>
              <w:bottom w:val="single" w:color="auto" w:sz="4" w:space="0"/>
              <w:right w:val="single" w:color="auto" w:sz="4" w:space="0"/>
            </w:tcBorders>
            <w:vAlign w:val="center"/>
          </w:tcPr>
          <w:p w14:paraId="6EF73F6F">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人</w:t>
            </w:r>
          </w:p>
        </w:tc>
        <w:tc>
          <w:tcPr>
            <w:tcW w:w="1655" w:type="dxa"/>
            <w:tcBorders>
              <w:top w:val="nil"/>
              <w:left w:val="nil"/>
              <w:bottom w:val="single" w:color="auto" w:sz="4" w:space="0"/>
              <w:right w:val="single" w:color="auto" w:sz="4" w:space="0"/>
            </w:tcBorders>
            <w:vAlign w:val="center"/>
          </w:tcPr>
          <w:p w14:paraId="687CDD49">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300≤X＜1000</w:t>
            </w:r>
          </w:p>
        </w:tc>
        <w:tc>
          <w:tcPr>
            <w:tcW w:w="1472" w:type="dxa"/>
            <w:tcBorders>
              <w:top w:val="nil"/>
              <w:left w:val="nil"/>
              <w:bottom w:val="single" w:color="auto" w:sz="4" w:space="0"/>
              <w:right w:val="single" w:color="auto" w:sz="4" w:space="0"/>
            </w:tcBorders>
            <w:vAlign w:val="center"/>
          </w:tcPr>
          <w:p w14:paraId="32710F5F">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20≤X＜300</w:t>
            </w:r>
          </w:p>
        </w:tc>
        <w:tc>
          <w:tcPr>
            <w:tcW w:w="945" w:type="dxa"/>
            <w:tcBorders>
              <w:top w:val="nil"/>
              <w:left w:val="nil"/>
              <w:bottom w:val="single" w:color="auto" w:sz="4" w:space="0"/>
              <w:right w:val="single" w:color="auto" w:sz="4" w:space="0"/>
            </w:tcBorders>
            <w:vAlign w:val="center"/>
          </w:tcPr>
          <w:p w14:paraId="7EAE718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X＜20</w:t>
            </w:r>
          </w:p>
        </w:tc>
      </w:tr>
      <w:tr w14:paraId="22F91A77">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0836A01C">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4F4498E6">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700DF811">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079A8700">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2000≤Y＜40000</w:t>
            </w:r>
          </w:p>
        </w:tc>
        <w:tc>
          <w:tcPr>
            <w:tcW w:w="1472" w:type="dxa"/>
            <w:tcBorders>
              <w:top w:val="nil"/>
              <w:left w:val="nil"/>
              <w:bottom w:val="single" w:color="auto" w:sz="4" w:space="0"/>
              <w:right w:val="single" w:color="auto" w:sz="4" w:space="0"/>
            </w:tcBorders>
            <w:vAlign w:val="center"/>
          </w:tcPr>
          <w:p w14:paraId="3F65AD46">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300≤Y＜2000</w:t>
            </w:r>
          </w:p>
        </w:tc>
        <w:tc>
          <w:tcPr>
            <w:tcW w:w="945" w:type="dxa"/>
            <w:tcBorders>
              <w:top w:val="nil"/>
              <w:left w:val="nil"/>
              <w:bottom w:val="single" w:color="auto" w:sz="4" w:space="0"/>
              <w:right w:val="single" w:color="auto" w:sz="4" w:space="0"/>
            </w:tcBorders>
            <w:vAlign w:val="center"/>
          </w:tcPr>
          <w:p w14:paraId="51A991AA">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Y＜300</w:t>
            </w:r>
          </w:p>
        </w:tc>
      </w:tr>
      <w:tr w14:paraId="70BA4458">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025DE40A">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建筑业</w:t>
            </w:r>
          </w:p>
        </w:tc>
        <w:tc>
          <w:tcPr>
            <w:tcW w:w="1414" w:type="dxa"/>
            <w:tcBorders>
              <w:top w:val="nil"/>
              <w:left w:val="nil"/>
              <w:bottom w:val="single" w:color="auto" w:sz="4" w:space="0"/>
              <w:right w:val="single" w:color="auto" w:sz="4" w:space="0"/>
            </w:tcBorders>
            <w:vAlign w:val="center"/>
          </w:tcPr>
          <w:p w14:paraId="5B3F70F3">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35C43B47">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0F82C6FD">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6000≤Y＜80000</w:t>
            </w:r>
          </w:p>
        </w:tc>
        <w:tc>
          <w:tcPr>
            <w:tcW w:w="1472" w:type="dxa"/>
            <w:tcBorders>
              <w:top w:val="nil"/>
              <w:left w:val="nil"/>
              <w:bottom w:val="single" w:color="auto" w:sz="4" w:space="0"/>
              <w:right w:val="single" w:color="auto" w:sz="4" w:space="0"/>
            </w:tcBorders>
            <w:vAlign w:val="center"/>
          </w:tcPr>
          <w:p w14:paraId="620228D9">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300≤Y＜6000</w:t>
            </w:r>
          </w:p>
        </w:tc>
        <w:tc>
          <w:tcPr>
            <w:tcW w:w="945" w:type="dxa"/>
            <w:tcBorders>
              <w:top w:val="nil"/>
              <w:left w:val="nil"/>
              <w:bottom w:val="single" w:color="auto" w:sz="4" w:space="0"/>
              <w:right w:val="single" w:color="auto" w:sz="4" w:space="0"/>
            </w:tcBorders>
            <w:vAlign w:val="center"/>
          </w:tcPr>
          <w:p w14:paraId="134F5289">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Y＜300</w:t>
            </w:r>
          </w:p>
        </w:tc>
      </w:tr>
      <w:tr w14:paraId="55B63AD0">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3C5C2C8E">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62E23030">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资产总额（Z）</w:t>
            </w:r>
          </w:p>
        </w:tc>
        <w:tc>
          <w:tcPr>
            <w:tcW w:w="933" w:type="dxa"/>
            <w:tcBorders>
              <w:top w:val="nil"/>
              <w:left w:val="nil"/>
              <w:bottom w:val="single" w:color="auto" w:sz="4" w:space="0"/>
              <w:right w:val="single" w:color="auto" w:sz="4" w:space="0"/>
            </w:tcBorders>
            <w:vAlign w:val="center"/>
          </w:tcPr>
          <w:p w14:paraId="5ECAF91D">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56AAB43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5000≤Z＜80000</w:t>
            </w:r>
          </w:p>
        </w:tc>
        <w:tc>
          <w:tcPr>
            <w:tcW w:w="1472" w:type="dxa"/>
            <w:tcBorders>
              <w:top w:val="nil"/>
              <w:left w:val="nil"/>
              <w:bottom w:val="single" w:color="auto" w:sz="4" w:space="0"/>
              <w:right w:val="single" w:color="auto" w:sz="4" w:space="0"/>
            </w:tcBorders>
            <w:vAlign w:val="center"/>
          </w:tcPr>
          <w:p w14:paraId="1CB81929">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300≤Z＜5000</w:t>
            </w:r>
          </w:p>
        </w:tc>
        <w:tc>
          <w:tcPr>
            <w:tcW w:w="945" w:type="dxa"/>
            <w:tcBorders>
              <w:top w:val="nil"/>
              <w:left w:val="nil"/>
              <w:bottom w:val="single" w:color="auto" w:sz="4" w:space="0"/>
              <w:right w:val="single" w:color="auto" w:sz="4" w:space="0"/>
            </w:tcBorders>
            <w:vAlign w:val="center"/>
          </w:tcPr>
          <w:p w14:paraId="4FF4F7C6">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Z＜300</w:t>
            </w:r>
          </w:p>
        </w:tc>
      </w:tr>
      <w:tr w14:paraId="5A2E394E">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15C7702B">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批发业</w:t>
            </w:r>
          </w:p>
        </w:tc>
        <w:tc>
          <w:tcPr>
            <w:tcW w:w="1414" w:type="dxa"/>
            <w:tcBorders>
              <w:top w:val="nil"/>
              <w:left w:val="nil"/>
              <w:bottom w:val="single" w:color="auto" w:sz="4" w:space="0"/>
              <w:right w:val="single" w:color="auto" w:sz="4" w:space="0"/>
            </w:tcBorders>
            <w:vAlign w:val="center"/>
          </w:tcPr>
          <w:p w14:paraId="52A4612A">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从业人员（X）</w:t>
            </w:r>
          </w:p>
        </w:tc>
        <w:tc>
          <w:tcPr>
            <w:tcW w:w="933" w:type="dxa"/>
            <w:tcBorders>
              <w:top w:val="nil"/>
              <w:left w:val="nil"/>
              <w:bottom w:val="single" w:color="auto" w:sz="4" w:space="0"/>
              <w:right w:val="single" w:color="auto" w:sz="4" w:space="0"/>
            </w:tcBorders>
            <w:vAlign w:val="center"/>
          </w:tcPr>
          <w:p w14:paraId="46E0D703">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人</w:t>
            </w:r>
          </w:p>
        </w:tc>
        <w:tc>
          <w:tcPr>
            <w:tcW w:w="1655" w:type="dxa"/>
            <w:tcBorders>
              <w:top w:val="nil"/>
              <w:left w:val="nil"/>
              <w:bottom w:val="single" w:color="auto" w:sz="4" w:space="0"/>
              <w:right w:val="single" w:color="auto" w:sz="4" w:space="0"/>
            </w:tcBorders>
            <w:vAlign w:val="center"/>
          </w:tcPr>
          <w:p w14:paraId="1CBAB1A4">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20≤X＜200</w:t>
            </w:r>
          </w:p>
        </w:tc>
        <w:tc>
          <w:tcPr>
            <w:tcW w:w="1472" w:type="dxa"/>
            <w:tcBorders>
              <w:top w:val="nil"/>
              <w:left w:val="nil"/>
              <w:bottom w:val="single" w:color="auto" w:sz="4" w:space="0"/>
              <w:right w:val="single" w:color="auto" w:sz="4" w:space="0"/>
            </w:tcBorders>
            <w:vAlign w:val="center"/>
          </w:tcPr>
          <w:p w14:paraId="775B1FFA">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5≤X＜20</w:t>
            </w:r>
          </w:p>
        </w:tc>
        <w:tc>
          <w:tcPr>
            <w:tcW w:w="945" w:type="dxa"/>
            <w:tcBorders>
              <w:top w:val="nil"/>
              <w:left w:val="nil"/>
              <w:bottom w:val="single" w:color="auto" w:sz="4" w:space="0"/>
              <w:right w:val="single" w:color="auto" w:sz="4" w:space="0"/>
            </w:tcBorders>
            <w:vAlign w:val="center"/>
          </w:tcPr>
          <w:p w14:paraId="3BE83C56">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X＜5</w:t>
            </w:r>
          </w:p>
        </w:tc>
      </w:tr>
      <w:tr w14:paraId="330689F7">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1B0A4964">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739982F1">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640D8C60">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0B9C85AF">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5000≤Y＜40000</w:t>
            </w:r>
          </w:p>
        </w:tc>
        <w:tc>
          <w:tcPr>
            <w:tcW w:w="1472" w:type="dxa"/>
            <w:tcBorders>
              <w:top w:val="nil"/>
              <w:left w:val="nil"/>
              <w:bottom w:val="single" w:color="auto" w:sz="4" w:space="0"/>
              <w:right w:val="single" w:color="auto" w:sz="4" w:space="0"/>
            </w:tcBorders>
            <w:vAlign w:val="center"/>
          </w:tcPr>
          <w:p w14:paraId="0007E347">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1000≤Y＜5000</w:t>
            </w:r>
          </w:p>
        </w:tc>
        <w:tc>
          <w:tcPr>
            <w:tcW w:w="945" w:type="dxa"/>
            <w:tcBorders>
              <w:top w:val="nil"/>
              <w:left w:val="nil"/>
              <w:bottom w:val="single" w:color="auto" w:sz="4" w:space="0"/>
              <w:right w:val="single" w:color="auto" w:sz="4" w:space="0"/>
            </w:tcBorders>
            <w:vAlign w:val="center"/>
          </w:tcPr>
          <w:p w14:paraId="5724606A">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Y＜1000</w:t>
            </w:r>
          </w:p>
        </w:tc>
      </w:tr>
      <w:tr w14:paraId="3FA6318B">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50714720">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零售业</w:t>
            </w:r>
          </w:p>
        </w:tc>
        <w:tc>
          <w:tcPr>
            <w:tcW w:w="1414" w:type="dxa"/>
            <w:tcBorders>
              <w:top w:val="nil"/>
              <w:left w:val="nil"/>
              <w:bottom w:val="single" w:color="auto" w:sz="4" w:space="0"/>
              <w:right w:val="single" w:color="auto" w:sz="4" w:space="0"/>
            </w:tcBorders>
            <w:vAlign w:val="center"/>
          </w:tcPr>
          <w:p w14:paraId="4F13C4E7">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从业人员（X）</w:t>
            </w:r>
          </w:p>
        </w:tc>
        <w:tc>
          <w:tcPr>
            <w:tcW w:w="933" w:type="dxa"/>
            <w:tcBorders>
              <w:top w:val="nil"/>
              <w:left w:val="nil"/>
              <w:bottom w:val="single" w:color="auto" w:sz="4" w:space="0"/>
              <w:right w:val="single" w:color="auto" w:sz="4" w:space="0"/>
            </w:tcBorders>
            <w:vAlign w:val="center"/>
          </w:tcPr>
          <w:p w14:paraId="4A5018DA">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人</w:t>
            </w:r>
          </w:p>
        </w:tc>
        <w:tc>
          <w:tcPr>
            <w:tcW w:w="1655" w:type="dxa"/>
            <w:tcBorders>
              <w:top w:val="nil"/>
              <w:left w:val="nil"/>
              <w:bottom w:val="single" w:color="auto" w:sz="4" w:space="0"/>
              <w:right w:val="single" w:color="auto" w:sz="4" w:space="0"/>
            </w:tcBorders>
            <w:vAlign w:val="center"/>
          </w:tcPr>
          <w:p w14:paraId="674ABBA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50≤X＜300</w:t>
            </w:r>
          </w:p>
        </w:tc>
        <w:tc>
          <w:tcPr>
            <w:tcW w:w="1472" w:type="dxa"/>
            <w:tcBorders>
              <w:top w:val="nil"/>
              <w:left w:val="nil"/>
              <w:bottom w:val="single" w:color="auto" w:sz="4" w:space="0"/>
              <w:right w:val="single" w:color="auto" w:sz="4" w:space="0"/>
            </w:tcBorders>
            <w:vAlign w:val="center"/>
          </w:tcPr>
          <w:p w14:paraId="31843D88">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10≤X＜50</w:t>
            </w:r>
          </w:p>
        </w:tc>
        <w:tc>
          <w:tcPr>
            <w:tcW w:w="945" w:type="dxa"/>
            <w:tcBorders>
              <w:top w:val="nil"/>
              <w:left w:val="nil"/>
              <w:bottom w:val="single" w:color="auto" w:sz="4" w:space="0"/>
              <w:right w:val="single" w:color="auto" w:sz="4" w:space="0"/>
            </w:tcBorders>
            <w:vAlign w:val="center"/>
          </w:tcPr>
          <w:p w14:paraId="76694CD8">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X＜10</w:t>
            </w:r>
          </w:p>
        </w:tc>
      </w:tr>
      <w:tr w14:paraId="35312B05">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1F77D2C1">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54130DC9">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1BC29DD6">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3705F5B0">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500≤Y＜20000</w:t>
            </w:r>
          </w:p>
        </w:tc>
        <w:tc>
          <w:tcPr>
            <w:tcW w:w="1472" w:type="dxa"/>
            <w:tcBorders>
              <w:top w:val="nil"/>
              <w:left w:val="nil"/>
              <w:bottom w:val="single" w:color="auto" w:sz="4" w:space="0"/>
              <w:right w:val="single" w:color="auto" w:sz="4" w:space="0"/>
            </w:tcBorders>
            <w:vAlign w:val="center"/>
          </w:tcPr>
          <w:p w14:paraId="5A027C52">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100≤Y＜500</w:t>
            </w:r>
          </w:p>
        </w:tc>
        <w:tc>
          <w:tcPr>
            <w:tcW w:w="945" w:type="dxa"/>
            <w:tcBorders>
              <w:top w:val="nil"/>
              <w:left w:val="nil"/>
              <w:bottom w:val="single" w:color="auto" w:sz="4" w:space="0"/>
              <w:right w:val="single" w:color="auto" w:sz="4" w:space="0"/>
            </w:tcBorders>
            <w:vAlign w:val="center"/>
          </w:tcPr>
          <w:p w14:paraId="1DBDDD25">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Y＜100</w:t>
            </w:r>
          </w:p>
        </w:tc>
      </w:tr>
      <w:tr w14:paraId="2BA10455">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1C6C87AF">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交通运输业</w:t>
            </w:r>
          </w:p>
        </w:tc>
        <w:tc>
          <w:tcPr>
            <w:tcW w:w="1414" w:type="dxa"/>
            <w:tcBorders>
              <w:top w:val="nil"/>
              <w:left w:val="nil"/>
              <w:bottom w:val="single" w:color="auto" w:sz="4" w:space="0"/>
              <w:right w:val="single" w:color="auto" w:sz="4" w:space="0"/>
            </w:tcBorders>
            <w:vAlign w:val="center"/>
          </w:tcPr>
          <w:p w14:paraId="15FE5A8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从业人员（X）</w:t>
            </w:r>
          </w:p>
        </w:tc>
        <w:tc>
          <w:tcPr>
            <w:tcW w:w="933" w:type="dxa"/>
            <w:tcBorders>
              <w:top w:val="nil"/>
              <w:left w:val="nil"/>
              <w:bottom w:val="single" w:color="auto" w:sz="4" w:space="0"/>
              <w:right w:val="single" w:color="auto" w:sz="4" w:space="0"/>
            </w:tcBorders>
            <w:vAlign w:val="center"/>
          </w:tcPr>
          <w:p w14:paraId="626551EB">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人</w:t>
            </w:r>
          </w:p>
        </w:tc>
        <w:tc>
          <w:tcPr>
            <w:tcW w:w="1655" w:type="dxa"/>
            <w:tcBorders>
              <w:top w:val="nil"/>
              <w:left w:val="nil"/>
              <w:bottom w:val="single" w:color="auto" w:sz="4" w:space="0"/>
              <w:right w:val="single" w:color="auto" w:sz="4" w:space="0"/>
            </w:tcBorders>
            <w:vAlign w:val="center"/>
          </w:tcPr>
          <w:p w14:paraId="03F1620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300≤X＜1000</w:t>
            </w:r>
          </w:p>
        </w:tc>
        <w:tc>
          <w:tcPr>
            <w:tcW w:w="1472" w:type="dxa"/>
            <w:tcBorders>
              <w:top w:val="nil"/>
              <w:left w:val="nil"/>
              <w:bottom w:val="single" w:color="auto" w:sz="4" w:space="0"/>
              <w:right w:val="single" w:color="auto" w:sz="4" w:space="0"/>
            </w:tcBorders>
            <w:vAlign w:val="center"/>
          </w:tcPr>
          <w:p w14:paraId="4F8746EC">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20≤X＜300</w:t>
            </w:r>
          </w:p>
        </w:tc>
        <w:tc>
          <w:tcPr>
            <w:tcW w:w="945" w:type="dxa"/>
            <w:tcBorders>
              <w:top w:val="nil"/>
              <w:left w:val="nil"/>
              <w:bottom w:val="single" w:color="auto" w:sz="4" w:space="0"/>
              <w:right w:val="single" w:color="auto" w:sz="4" w:space="0"/>
            </w:tcBorders>
            <w:vAlign w:val="center"/>
          </w:tcPr>
          <w:p w14:paraId="0F32488C">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X＜20</w:t>
            </w:r>
          </w:p>
        </w:tc>
      </w:tr>
      <w:tr w14:paraId="0C63C46C">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4F6751B9">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44F7A72B">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2E468EDD">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16688EA0">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3000≤Y＜30000</w:t>
            </w:r>
          </w:p>
        </w:tc>
        <w:tc>
          <w:tcPr>
            <w:tcW w:w="1472" w:type="dxa"/>
            <w:tcBorders>
              <w:top w:val="nil"/>
              <w:left w:val="nil"/>
              <w:bottom w:val="single" w:color="auto" w:sz="4" w:space="0"/>
              <w:right w:val="single" w:color="auto" w:sz="4" w:space="0"/>
            </w:tcBorders>
            <w:vAlign w:val="center"/>
          </w:tcPr>
          <w:p w14:paraId="1E3069B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200≤Y＜3000</w:t>
            </w:r>
          </w:p>
        </w:tc>
        <w:tc>
          <w:tcPr>
            <w:tcW w:w="945" w:type="dxa"/>
            <w:tcBorders>
              <w:top w:val="nil"/>
              <w:left w:val="nil"/>
              <w:bottom w:val="single" w:color="auto" w:sz="4" w:space="0"/>
              <w:right w:val="single" w:color="auto" w:sz="4" w:space="0"/>
            </w:tcBorders>
            <w:vAlign w:val="center"/>
          </w:tcPr>
          <w:p w14:paraId="41FDE29F">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Y＜200</w:t>
            </w:r>
          </w:p>
        </w:tc>
      </w:tr>
      <w:tr w14:paraId="35C0392D">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45A37610">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仓储业</w:t>
            </w:r>
          </w:p>
        </w:tc>
        <w:tc>
          <w:tcPr>
            <w:tcW w:w="1414" w:type="dxa"/>
            <w:tcBorders>
              <w:top w:val="nil"/>
              <w:left w:val="nil"/>
              <w:bottom w:val="single" w:color="auto" w:sz="4" w:space="0"/>
              <w:right w:val="single" w:color="auto" w:sz="4" w:space="0"/>
            </w:tcBorders>
            <w:vAlign w:val="center"/>
          </w:tcPr>
          <w:p w14:paraId="0046E949">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从业人员（X）</w:t>
            </w:r>
          </w:p>
        </w:tc>
        <w:tc>
          <w:tcPr>
            <w:tcW w:w="933" w:type="dxa"/>
            <w:tcBorders>
              <w:top w:val="nil"/>
              <w:left w:val="nil"/>
              <w:bottom w:val="single" w:color="auto" w:sz="4" w:space="0"/>
              <w:right w:val="single" w:color="auto" w:sz="4" w:space="0"/>
            </w:tcBorders>
            <w:vAlign w:val="center"/>
          </w:tcPr>
          <w:p w14:paraId="7DCF3B52">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人</w:t>
            </w:r>
          </w:p>
        </w:tc>
        <w:tc>
          <w:tcPr>
            <w:tcW w:w="1655" w:type="dxa"/>
            <w:tcBorders>
              <w:top w:val="nil"/>
              <w:left w:val="nil"/>
              <w:bottom w:val="single" w:color="auto" w:sz="4" w:space="0"/>
              <w:right w:val="single" w:color="auto" w:sz="4" w:space="0"/>
            </w:tcBorders>
            <w:vAlign w:val="center"/>
          </w:tcPr>
          <w:p w14:paraId="08893392">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100≤X＜200</w:t>
            </w:r>
          </w:p>
        </w:tc>
        <w:tc>
          <w:tcPr>
            <w:tcW w:w="1472" w:type="dxa"/>
            <w:tcBorders>
              <w:top w:val="nil"/>
              <w:left w:val="nil"/>
              <w:bottom w:val="single" w:color="auto" w:sz="4" w:space="0"/>
              <w:right w:val="single" w:color="auto" w:sz="4" w:space="0"/>
            </w:tcBorders>
            <w:vAlign w:val="center"/>
          </w:tcPr>
          <w:p w14:paraId="4177E07A">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20≤X＜100</w:t>
            </w:r>
          </w:p>
        </w:tc>
        <w:tc>
          <w:tcPr>
            <w:tcW w:w="945" w:type="dxa"/>
            <w:tcBorders>
              <w:top w:val="nil"/>
              <w:left w:val="nil"/>
              <w:bottom w:val="single" w:color="auto" w:sz="4" w:space="0"/>
              <w:right w:val="single" w:color="auto" w:sz="4" w:space="0"/>
            </w:tcBorders>
            <w:vAlign w:val="center"/>
          </w:tcPr>
          <w:p w14:paraId="4B3D5EF1">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X＜20</w:t>
            </w:r>
          </w:p>
        </w:tc>
      </w:tr>
      <w:tr w14:paraId="592360E5">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582FBFD4">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10B853FD">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4F64542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0BEED615">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1000≤Y＜30000</w:t>
            </w:r>
          </w:p>
        </w:tc>
        <w:tc>
          <w:tcPr>
            <w:tcW w:w="1472" w:type="dxa"/>
            <w:tcBorders>
              <w:top w:val="nil"/>
              <w:left w:val="nil"/>
              <w:bottom w:val="single" w:color="auto" w:sz="4" w:space="0"/>
              <w:right w:val="single" w:color="auto" w:sz="4" w:space="0"/>
            </w:tcBorders>
            <w:vAlign w:val="center"/>
          </w:tcPr>
          <w:p w14:paraId="0C9EE73A">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100≤Y＜1000</w:t>
            </w:r>
          </w:p>
        </w:tc>
        <w:tc>
          <w:tcPr>
            <w:tcW w:w="945" w:type="dxa"/>
            <w:tcBorders>
              <w:top w:val="nil"/>
              <w:left w:val="nil"/>
              <w:bottom w:val="single" w:color="auto" w:sz="4" w:space="0"/>
              <w:right w:val="single" w:color="auto" w:sz="4" w:space="0"/>
            </w:tcBorders>
            <w:vAlign w:val="center"/>
          </w:tcPr>
          <w:p w14:paraId="52B13CA2">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Y＜100</w:t>
            </w:r>
          </w:p>
        </w:tc>
      </w:tr>
      <w:tr w14:paraId="0A5DF781">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7C5A38E0">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邮政业</w:t>
            </w:r>
          </w:p>
        </w:tc>
        <w:tc>
          <w:tcPr>
            <w:tcW w:w="1414" w:type="dxa"/>
            <w:tcBorders>
              <w:top w:val="nil"/>
              <w:left w:val="nil"/>
              <w:bottom w:val="single" w:color="auto" w:sz="4" w:space="0"/>
              <w:right w:val="single" w:color="auto" w:sz="4" w:space="0"/>
            </w:tcBorders>
            <w:vAlign w:val="center"/>
          </w:tcPr>
          <w:p w14:paraId="0D62480C">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从业人员（X）</w:t>
            </w:r>
          </w:p>
        </w:tc>
        <w:tc>
          <w:tcPr>
            <w:tcW w:w="933" w:type="dxa"/>
            <w:tcBorders>
              <w:top w:val="nil"/>
              <w:left w:val="nil"/>
              <w:bottom w:val="single" w:color="auto" w:sz="4" w:space="0"/>
              <w:right w:val="single" w:color="auto" w:sz="4" w:space="0"/>
            </w:tcBorders>
            <w:vAlign w:val="center"/>
          </w:tcPr>
          <w:p w14:paraId="4E62C714">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人</w:t>
            </w:r>
          </w:p>
        </w:tc>
        <w:tc>
          <w:tcPr>
            <w:tcW w:w="1655" w:type="dxa"/>
            <w:tcBorders>
              <w:top w:val="nil"/>
              <w:left w:val="nil"/>
              <w:bottom w:val="single" w:color="auto" w:sz="4" w:space="0"/>
              <w:right w:val="single" w:color="auto" w:sz="4" w:space="0"/>
            </w:tcBorders>
            <w:vAlign w:val="center"/>
          </w:tcPr>
          <w:p w14:paraId="48DDE190">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300≤X＜1000</w:t>
            </w:r>
          </w:p>
        </w:tc>
        <w:tc>
          <w:tcPr>
            <w:tcW w:w="1472" w:type="dxa"/>
            <w:tcBorders>
              <w:top w:val="nil"/>
              <w:left w:val="nil"/>
              <w:bottom w:val="single" w:color="auto" w:sz="4" w:space="0"/>
              <w:right w:val="single" w:color="auto" w:sz="4" w:space="0"/>
            </w:tcBorders>
            <w:vAlign w:val="center"/>
          </w:tcPr>
          <w:p w14:paraId="50E31CD4">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20≤X＜300</w:t>
            </w:r>
          </w:p>
        </w:tc>
        <w:tc>
          <w:tcPr>
            <w:tcW w:w="945" w:type="dxa"/>
            <w:tcBorders>
              <w:top w:val="nil"/>
              <w:left w:val="nil"/>
              <w:bottom w:val="single" w:color="auto" w:sz="4" w:space="0"/>
              <w:right w:val="single" w:color="auto" w:sz="4" w:space="0"/>
            </w:tcBorders>
            <w:vAlign w:val="center"/>
          </w:tcPr>
          <w:p w14:paraId="295677F0">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X＜20</w:t>
            </w:r>
          </w:p>
        </w:tc>
      </w:tr>
      <w:tr w14:paraId="62F48C20">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0D994506">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570E322A">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20805AAC">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2872706C">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2000≤Y＜30000</w:t>
            </w:r>
          </w:p>
        </w:tc>
        <w:tc>
          <w:tcPr>
            <w:tcW w:w="1472" w:type="dxa"/>
            <w:tcBorders>
              <w:top w:val="nil"/>
              <w:left w:val="nil"/>
              <w:bottom w:val="single" w:color="auto" w:sz="4" w:space="0"/>
              <w:right w:val="single" w:color="auto" w:sz="4" w:space="0"/>
            </w:tcBorders>
            <w:vAlign w:val="center"/>
          </w:tcPr>
          <w:p w14:paraId="4C67191C">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100≤Y＜2000</w:t>
            </w:r>
          </w:p>
        </w:tc>
        <w:tc>
          <w:tcPr>
            <w:tcW w:w="945" w:type="dxa"/>
            <w:tcBorders>
              <w:top w:val="nil"/>
              <w:left w:val="nil"/>
              <w:bottom w:val="single" w:color="auto" w:sz="4" w:space="0"/>
              <w:right w:val="single" w:color="auto" w:sz="4" w:space="0"/>
            </w:tcBorders>
            <w:vAlign w:val="center"/>
          </w:tcPr>
          <w:p w14:paraId="28EDA8D2">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Y＜100</w:t>
            </w:r>
          </w:p>
        </w:tc>
      </w:tr>
      <w:tr w14:paraId="1829A1CF">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0894BB0A">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住宿业</w:t>
            </w:r>
          </w:p>
        </w:tc>
        <w:tc>
          <w:tcPr>
            <w:tcW w:w="1414" w:type="dxa"/>
            <w:tcBorders>
              <w:top w:val="nil"/>
              <w:left w:val="nil"/>
              <w:bottom w:val="single" w:color="auto" w:sz="4" w:space="0"/>
              <w:right w:val="single" w:color="auto" w:sz="4" w:space="0"/>
            </w:tcBorders>
            <w:vAlign w:val="center"/>
          </w:tcPr>
          <w:p w14:paraId="5EBECEE3">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从业人员（X）</w:t>
            </w:r>
          </w:p>
        </w:tc>
        <w:tc>
          <w:tcPr>
            <w:tcW w:w="933" w:type="dxa"/>
            <w:tcBorders>
              <w:top w:val="nil"/>
              <w:left w:val="nil"/>
              <w:bottom w:val="single" w:color="auto" w:sz="4" w:space="0"/>
              <w:right w:val="single" w:color="auto" w:sz="4" w:space="0"/>
            </w:tcBorders>
            <w:vAlign w:val="center"/>
          </w:tcPr>
          <w:p w14:paraId="2775AEDA">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人</w:t>
            </w:r>
          </w:p>
        </w:tc>
        <w:tc>
          <w:tcPr>
            <w:tcW w:w="1655" w:type="dxa"/>
            <w:tcBorders>
              <w:top w:val="nil"/>
              <w:left w:val="nil"/>
              <w:bottom w:val="single" w:color="auto" w:sz="4" w:space="0"/>
              <w:right w:val="single" w:color="auto" w:sz="4" w:space="0"/>
            </w:tcBorders>
            <w:vAlign w:val="center"/>
          </w:tcPr>
          <w:p w14:paraId="17D2C769">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100≤X＜300</w:t>
            </w:r>
          </w:p>
        </w:tc>
        <w:tc>
          <w:tcPr>
            <w:tcW w:w="1472" w:type="dxa"/>
            <w:tcBorders>
              <w:top w:val="nil"/>
              <w:left w:val="nil"/>
              <w:bottom w:val="single" w:color="auto" w:sz="4" w:space="0"/>
              <w:right w:val="single" w:color="auto" w:sz="4" w:space="0"/>
            </w:tcBorders>
            <w:vAlign w:val="center"/>
          </w:tcPr>
          <w:p w14:paraId="0997CAE7">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10≤X＜100</w:t>
            </w:r>
          </w:p>
        </w:tc>
        <w:tc>
          <w:tcPr>
            <w:tcW w:w="945" w:type="dxa"/>
            <w:tcBorders>
              <w:top w:val="nil"/>
              <w:left w:val="nil"/>
              <w:bottom w:val="single" w:color="auto" w:sz="4" w:space="0"/>
              <w:right w:val="single" w:color="auto" w:sz="4" w:space="0"/>
            </w:tcBorders>
            <w:vAlign w:val="center"/>
          </w:tcPr>
          <w:p w14:paraId="1F7BEBB8">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X＜10</w:t>
            </w:r>
          </w:p>
        </w:tc>
      </w:tr>
      <w:tr w14:paraId="2735D456">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657951A1">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44B87EE4">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599EDB12">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62295154">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2000≤Y＜10000</w:t>
            </w:r>
          </w:p>
        </w:tc>
        <w:tc>
          <w:tcPr>
            <w:tcW w:w="1472" w:type="dxa"/>
            <w:tcBorders>
              <w:top w:val="nil"/>
              <w:left w:val="nil"/>
              <w:bottom w:val="single" w:color="auto" w:sz="4" w:space="0"/>
              <w:right w:val="single" w:color="auto" w:sz="4" w:space="0"/>
            </w:tcBorders>
            <w:vAlign w:val="center"/>
          </w:tcPr>
          <w:p w14:paraId="1D82F6D7">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100≤Y＜2000</w:t>
            </w:r>
          </w:p>
        </w:tc>
        <w:tc>
          <w:tcPr>
            <w:tcW w:w="945" w:type="dxa"/>
            <w:tcBorders>
              <w:top w:val="nil"/>
              <w:left w:val="nil"/>
              <w:bottom w:val="single" w:color="auto" w:sz="4" w:space="0"/>
              <w:right w:val="single" w:color="auto" w:sz="4" w:space="0"/>
            </w:tcBorders>
            <w:vAlign w:val="center"/>
          </w:tcPr>
          <w:p w14:paraId="42963570">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Y＜100</w:t>
            </w:r>
          </w:p>
        </w:tc>
      </w:tr>
      <w:tr w14:paraId="398D79FF">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2260C342">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餐饮业</w:t>
            </w:r>
          </w:p>
        </w:tc>
        <w:tc>
          <w:tcPr>
            <w:tcW w:w="1414" w:type="dxa"/>
            <w:tcBorders>
              <w:top w:val="nil"/>
              <w:left w:val="nil"/>
              <w:bottom w:val="single" w:color="auto" w:sz="4" w:space="0"/>
              <w:right w:val="single" w:color="auto" w:sz="4" w:space="0"/>
            </w:tcBorders>
            <w:vAlign w:val="center"/>
          </w:tcPr>
          <w:p w14:paraId="0442DE2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从业人员（X）</w:t>
            </w:r>
          </w:p>
        </w:tc>
        <w:tc>
          <w:tcPr>
            <w:tcW w:w="933" w:type="dxa"/>
            <w:tcBorders>
              <w:top w:val="nil"/>
              <w:left w:val="nil"/>
              <w:bottom w:val="single" w:color="auto" w:sz="4" w:space="0"/>
              <w:right w:val="single" w:color="auto" w:sz="4" w:space="0"/>
            </w:tcBorders>
            <w:vAlign w:val="center"/>
          </w:tcPr>
          <w:p w14:paraId="34D37DD3">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人</w:t>
            </w:r>
          </w:p>
        </w:tc>
        <w:tc>
          <w:tcPr>
            <w:tcW w:w="1655" w:type="dxa"/>
            <w:tcBorders>
              <w:top w:val="nil"/>
              <w:left w:val="nil"/>
              <w:bottom w:val="single" w:color="auto" w:sz="4" w:space="0"/>
              <w:right w:val="single" w:color="auto" w:sz="4" w:space="0"/>
            </w:tcBorders>
            <w:vAlign w:val="center"/>
          </w:tcPr>
          <w:p w14:paraId="51686330">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100≤X＜300</w:t>
            </w:r>
          </w:p>
        </w:tc>
        <w:tc>
          <w:tcPr>
            <w:tcW w:w="1472" w:type="dxa"/>
            <w:tcBorders>
              <w:top w:val="nil"/>
              <w:left w:val="nil"/>
              <w:bottom w:val="single" w:color="auto" w:sz="4" w:space="0"/>
              <w:right w:val="single" w:color="auto" w:sz="4" w:space="0"/>
            </w:tcBorders>
            <w:vAlign w:val="center"/>
          </w:tcPr>
          <w:p w14:paraId="0553C1AD">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10≤X＜100</w:t>
            </w:r>
          </w:p>
        </w:tc>
        <w:tc>
          <w:tcPr>
            <w:tcW w:w="945" w:type="dxa"/>
            <w:tcBorders>
              <w:top w:val="nil"/>
              <w:left w:val="nil"/>
              <w:bottom w:val="single" w:color="auto" w:sz="4" w:space="0"/>
              <w:right w:val="single" w:color="auto" w:sz="4" w:space="0"/>
            </w:tcBorders>
            <w:vAlign w:val="center"/>
          </w:tcPr>
          <w:p w14:paraId="393EF042">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X＜10</w:t>
            </w:r>
          </w:p>
        </w:tc>
      </w:tr>
      <w:tr w14:paraId="25A39DBD">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16CE8AD3">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05584413">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594FF0AA">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0C871D28">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2000≤Y＜10000</w:t>
            </w:r>
          </w:p>
        </w:tc>
        <w:tc>
          <w:tcPr>
            <w:tcW w:w="1472" w:type="dxa"/>
            <w:tcBorders>
              <w:top w:val="nil"/>
              <w:left w:val="nil"/>
              <w:bottom w:val="single" w:color="auto" w:sz="4" w:space="0"/>
              <w:right w:val="single" w:color="auto" w:sz="4" w:space="0"/>
            </w:tcBorders>
            <w:vAlign w:val="center"/>
          </w:tcPr>
          <w:p w14:paraId="0C7391D3">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100≤Y＜2000</w:t>
            </w:r>
          </w:p>
        </w:tc>
        <w:tc>
          <w:tcPr>
            <w:tcW w:w="945" w:type="dxa"/>
            <w:tcBorders>
              <w:top w:val="nil"/>
              <w:left w:val="nil"/>
              <w:bottom w:val="single" w:color="auto" w:sz="4" w:space="0"/>
              <w:right w:val="single" w:color="auto" w:sz="4" w:space="0"/>
            </w:tcBorders>
            <w:vAlign w:val="center"/>
          </w:tcPr>
          <w:p w14:paraId="4AE13CE6">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Y＜100</w:t>
            </w:r>
          </w:p>
        </w:tc>
      </w:tr>
      <w:tr w14:paraId="001D2AD8">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088456CE">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信息传输业</w:t>
            </w:r>
          </w:p>
        </w:tc>
        <w:tc>
          <w:tcPr>
            <w:tcW w:w="1414" w:type="dxa"/>
            <w:tcBorders>
              <w:top w:val="nil"/>
              <w:left w:val="nil"/>
              <w:bottom w:val="single" w:color="auto" w:sz="4" w:space="0"/>
              <w:right w:val="single" w:color="auto" w:sz="4" w:space="0"/>
            </w:tcBorders>
            <w:vAlign w:val="center"/>
          </w:tcPr>
          <w:p w14:paraId="3C01018F">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从业人员（X）</w:t>
            </w:r>
          </w:p>
        </w:tc>
        <w:tc>
          <w:tcPr>
            <w:tcW w:w="933" w:type="dxa"/>
            <w:tcBorders>
              <w:top w:val="nil"/>
              <w:left w:val="nil"/>
              <w:bottom w:val="single" w:color="auto" w:sz="4" w:space="0"/>
              <w:right w:val="single" w:color="auto" w:sz="4" w:space="0"/>
            </w:tcBorders>
            <w:vAlign w:val="center"/>
          </w:tcPr>
          <w:p w14:paraId="5FAE48C0">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人</w:t>
            </w:r>
          </w:p>
        </w:tc>
        <w:tc>
          <w:tcPr>
            <w:tcW w:w="1655" w:type="dxa"/>
            <w:tcBorders>
              <w:top w:val="nil"/>
              <w:left w:val="nil"/>
              <w:bottom w:val="single" w:color="auto" w:sz="4" w:space="0"/>
              <w:right w:val="single" w:color="auto" w:sz="4" w:space="0"/>
            </w:tcBorders>
            <w:vAlign w:val="center"/>
          </w:tcPr>
          <w:p w14:paraId="7E355073">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100≤X＜2000</w:t>
            </w:r>
          </w:p>
        </w:tc>
        <w:tc>
          <w:tcPr>
            <w:tcW w:w="1472" w:type="dxa"/>
            <w:tcBorders>
              <w:top w:val="nil"/>
              <w:left w:val="nil"/>
              <w:bottom w:val="single" w:color="auto" w:sz="4" w:space="0"/>
              <w:right w:val="single" w:color="auto" w:sz="4" w:space="0"/>
            </w:tcBorders>
            <w:vAlign w:val="center"/>
          </w:tcPr>
          <w:p w14:paraId="6A3623F1">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10≤X＜100</w:t>
            </w:r>
          </w:p>
        </w:tc>
        <w:tc>
          <w:tcPr>
            <w:tcW w:w="945" w:type="dxa"/>
            <w:tcBorders>
              <w:top w:val="nil"/>
              <w:left w:val="nil"/>
              <w:bottom w:val="single" w:color="auto" w:sz="4" w:space="0"/>
              <w:right w:val="single" w:color="auto" w:sz="4" w:space="0"/>
            </w:tcBorders>
            <w:vAlign w:val="center"/>
          </w:tcPr>
          <w:p w14:paraId="4087E00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X＜10</w:t>
            </w:r>
          </w:p>
        </w:tc>
      </w:tr>
      <w:tr w14:paraId="649A696B">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494CB401">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46F43455">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09CD7A7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45E45D16">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1000≤Y＜100000</w:t>
            </w:r>
          </w:p>
        </w:tc>
        <w:tc>
          <w:tcPr>
            <w:tcW w:w="1472" w:type="dxa"/>
            <w:tcBorders>
              <w:top w:val="nil"/>
              <w:left w:val="nil"/>
              <w:bottom w:val="single" w:color="auto" w:sz="4" w:space="0"/>
              <w:right w:val="single" w:color="auto" w:sz="4" w:space="0"/>
            </w:tcBorders>
            <w:vAlign w:val="center"/>
          </w:tcPr>
          <w:p w14:paraId="651F66A1">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100≤Y＜1000</w:t>
            </w:r>
          </w:p>
        </w:tc>
        <w:tc>
          <w:tcPr>
            <w:tcW w:w="945" w:type="dxa"/>
            <w:tcBorders>
              <w:top w:val="nil"/>
              <w:left w:val="nil"/>
              <w:bottom w:val="single" w:color="auto" w:sz="4" w:space="0"/>
              <w:right w:val="single" w:color="auto" w:sz="4" w:space="0"/>
            </w:tcBorders>
            <w:vAlign w:val="center"/>
          </w:tcPr>
          <w:p w14:paraId="53159554">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Y＜100</w:t>
            </w:r>
          </w:p>
        </w:tc>
      </w:tr>
      <w:tr w14:paraId="6035D7B1">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1D2FE7A3">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软件和信息技术服务业</w:t>
            </w:r>
          </w:p>
        </w:tc>
        <w:tc>
          <w:tcPr>
            <w:tcW w:w="1414" w:type="dxa"/>
            <w:tcBorders>
              <w:top w:val="nil"/>
              <w:left w:val="nil"/>
              <w:bottom w:val="single" w:color="auto" w:sz="4" w:space="0"/>
              <w:right w:val="single" w:color="auto" w:sz="4" w:space="0"/>
            </w:tcBorders>
            <w:vAlign w:val="center"/>
          </w:tcPr>
          <w:p w14:paraId="4EA52532">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从业人员（X）</w:t>
            </w:r>
          </w:p>
        </w:tc>
        <w:tc>
          <w:tcPr>
            <w:tcW w:w="933" w:type="dxa"/>
            <w:tcBorders>
              <w:top w:val="nil"/>
              <w:left w:val="nil"/>
              <w:bottom w:val="single" w:color="auto" w:sz="4" w:space="0"/>
              <w:right w:val="single" w:color="auto" w:sz="4" w:space="0"/>
            </w:tcBorders>
            <w:vAlign w:val="center"/>
          </w:tcPr>
          <w:p w14:paraId="5E724694">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人</w:t>
            </w:r>
          </w:p>
        </w:tc>
        <w:tc>
          <w:tcPr>
            <w:tcW w:w="1655" w:type="dxa"/>
            <w:tcBorders>
              <w:top w:val="nil"/>
              <w:left w:val="nil"/>
              <w:bottom w:val="single" w:color="auto" w:sz="4" w:space="0"/>
              <w:right w:val="single" w:color="auto" w:sz="4" w:space="0"/>
            </w:tcBorders>
            <w:vAlign w:val="center"/>
          </w:tcPr>
          <w:p w14:paraId="4E7AFF95">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100≤X＜300</w:t>
            </w:r>
          </w:p>
        </w:tc>
        <w:tc>
          <w:tcPr>
            <w:tcW w:w="1472" w:type="dxa"/>
            <w:tcBorders>
              <w:top w:val="nil"/>
              <w:left w:val="nil"/>
              <w:bottom w:val="single" w:color="auto" w:sz="4" w:space="0"/>
              <w:right w:val="single" w:color="auto" w:sz="4" w:space="0"/>
            </w:tcBorders>
            <w:vAlign w:val="center"/>
          </w:tcPr>
          <w:p w14:paraId="65346950">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10≤X＜100</w:t>
            </w:r>
          </w:p>
        </w:tc>
        <w:tc>
          <w:tcPr>
            <w:tcW w:w="945" w:type="dxa"/>
            <w:tcBorders>
              <w:top w:val="nil"/>
              <w:left w:val="nil"/>
              <w:bottom w:val="single" w:color="auto" w:sz="4" w:space="0"/>
              <w:right w:val="single" w:color="auto" w:sz="4" w:space="0"/>
            </w:tcBorders>
            <w:vAlign w:val="center"/>
          </w:tcPr>
          <w:p w14:paraId="24B4E36A">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X＜10</w:t>
            </w:r>
          </w:p>
        </w:tc>
      </w:tr>
      <w:tr w14:paraId="0403EDEE">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2861687F">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53368CAD">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30E59833">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321BBE02">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1000≤Y＜10000</w:t>
            </w:r>
          </w:p>
        </w:tc>
        <w:tc>
          <w:tcPr>
            <w:tcW w:w="1472" w:type="dxa"/>
            <w:tcBorders>
              <w:top w:val="nil"/>
              <w:left w:val="nil"/>
              <w:bottom w:val="single" w:color="auto" w:sz="4" w:space="0"/>
              <w:right w:val="single" w:color="auto" w:sz="4" w:space="0"/>
            </w:tcBorders>
            <w:vAlign w:val="center"/>
          </w:tcPr>
          <w:p w14:paraId="6A7A7F8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50≤Y＜1000</w:t>
            </w:r>
          </w:p>
        </w:tc>
        <w:tc>
          <w:tcPr>
            <w:tcW w:w="945" w:type="dxa"/>
            <w:tcBorders>
              <w:top w:val="nil"/>
              <w:left w:val="nil"/>
              <w:bottom w:val="single" w:color="auto" w:sz="4" w:space="0"/>
              <w:right w:val="single" w:color="auto" w:sz="4" w:space="0"/>
            </w:tcBorders>
            <w:vAlign w:val="center"/>
          </w:tcPr>
          <w:p w14:paraId="4A05669C">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Y＜50</w:t>
            </w:r>
          </w:p>
        </w:tc>
      </w:tr>
      <w:tr w14:paraId="17C1E847">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4B4271D3">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房地产开发经营</w:t>
            </w:r>
          </w:p>
        </w:tc>
        <w:tc>
          <w:tcPr>
            <w:tcW w:w="1414" w:type="dxa"/>
            <w:tcBorders>
              <w:top w:val="nil"/>
              <w:left w:val="nil"/>
              <w:bottom w:val="single" w:color="auto" w:sz="4" w:space="0"/>
              <w:right w:val="single" w:color="auto" w:sz="4" w:space="0"/>
            </w:tcBorders>
            <w:vAlign w:val="center"/>
          </w:tcPr>
          <w:p w14:paraId="7990AAD7">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441FD789">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5B6BABF4">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1000≤Y＜200000</w:t>
            </w:r>
          </w:p>
        </w:tc>
        <w:tc>
          <w:tcPr>
            <w:tcW w:w="1472" w:type="dxa"/>
            <w:tcBorders>
              <w:top w:val="nil"/>
              <w:left w:val="nil"/>
              <w:bottom w:val="single" w:color="auto" w:sz="4" w:space="0"/>
              <w:right w:val="single" w:color="auto" w:sz="4" w:space="0"/>
            </w:tcBorders>
            <w:vAlign w:val="center"/>
          </w:tcPr>
          <w:p w14:paraId="2DDDB5B3">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100≤X＜1000</w:t>
            </w:r>
          </w:p>
        </w:tc>
        <w:tc>
          <w:tcPr>
            <w:tcW w:w="945" w:type="dxa"/>
            <w:tcBorders>
              <w:top w:val="nil"/>
              <w:left w:val="nil"/>
              <w:bottom w:val="single" w:color="auto" w:sz="4" w:space="0"/>
              <w:right w:val="single" w:color="auto" w:sz="4" w:space="0"/>
            </w:tcBorders>
            <w:vAlign w:val="center"/>
          </w:tcPr>
          <w:p w14:paraId="79673DFB">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X＜100</w:t>
            </w:r>
          </w:p>
        </w:tc>
      </w:tr>
      <w:tr w14:paraId="7D1AA95E">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703B9425">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5E7D3EA4">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资产总额（Z）</w:t>
            </w:r>
          </w:p>
        </w:tc>
        <w:tc>
          <w:tcPr>
            <w:tcW w:w="933" w:type="dxa"/>
            <w:tcBorders>
              <w:top w:val="nil"/>
              <w:left w:val="nil"/>
              <w:bottom w:val="single" w:color="auto" w:sz="4" w:space="0"/>
              <w:right w:val="single" w:color="auto" w:sz="4" w:space="0"/>
            </w:tcBorders>
            <w:vAlign w:val="center"/>
          </w:tcPr>
          <w:p w14:paraId="5ABF7D0C">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79CD246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5000≤Z＜10000</w:t>
            </w:r>
          </w:p>
        </w:tc>
        <w:tc>
          <w:tcPr>
            <w:tcW w:w="1472" w:type="dxa"/>
            <w:tcBorders>
              <w:top w:val="nil"/>
              <w:left w:val="nil"/>
              <w:bottom w:val="single" w:color="auto" w:sz="4" w:space="0"/>
              <w:right w:val="single" w:color="auto" w:sz="4" w:space="0"/>
            </w:tcBorders>
            <w:vAlign w:val="center"/>
          </w:tcPr>
          <w:p w14:paraId="394E7A9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2000≤Y＜5000</w:t>
            </w:r>
          </w:p>
        </w:tc>
        <w:tc>
          <w:tcPr>
            <w:tcW w:w="945" w:type="dxa"/>
            <w:tcBorders>
              <w:top w:val="nil"/>
              <w:left w:val="nil"/>
              <w:bottom w:val="single" w:color="auto" w:sz="4" w:space="0"/>
              <w:right w:val="single" w:color="auto" w:sz="4" w:space="0"/>
            </w:tcBorders>
            <w:vAlign w:val="center"/>
          </w:tcPr>
          <w:p w14:paraId="74EFCED3">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Y＜2000</w:t>
            </w:r>
          </w:p>
        </w:tc>
      </w:tr>
      <w:tr w14:paraId="46A1BB36">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03D69D50">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物业管理</w:t>
            </w:r>
          </w:p>
        </w:tc>
        <w:tc>
          <w:tcPr>
            <w:tcW w:w="1414" w:type="dxa"/>
            <w:tcBorders>
              <w:top w:val="nil"/>
              <w:left w:val="nil"/>
              <w:bottom w:val="single" w:color="auto" w:sz="4" w:space="0"/>
              <w:right w:val="single" w:color="auto" w:sz="4" w:space="0"/>
            </w:tcBorders>
            <w:vAlign w:val="center"/>
          </w:tcPr>
          <w:p w14:paraId="006331CF">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从业人员（X）</w:t>
            </w:r>
          </w:p>
        </w:tc>
        <w:tc>
          <w:tcPr>
            <w:tcW w:w="933" w:type="dxa"/>
            <w:tcBorders>
              <w:top w:val="nil"/>
              <w:left w:val="nil"/>
              <w:bottom w:val="single" w:color="auto" w:sz="4" w:space="0"/>
              <w:right w:val="single" w:color="auto" w:sz="4" w:space="0"/>
            </w:tcBorders>
            <w:vAlign w:val="center"/>
          </w:tcPr>
          <w:p w14:paraId="4E98AF40">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人</w:t>
            </w:r>
          </w:p>
        </w:tc>
        <w:tc>
          <w:tcPr>
            <w:tcW w:w="1655" w:type="dxa"/>
            <w:tcBorders>
              <w:top w:val="nil"/>
              <w:left w:val="nil"/>
              <w:bottom w:val="single" w:color="auto" w:sz="4" w:space="0"/>
              <w:right w:val="single" w:color="auto" w:sz="4" w:space="0"/>
            </w:tcBorders>
            <w:vAlign w:val="center"/>
          </w:tcPr>
          <w:p w14:paraId="457E383F">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300≤X＜1000</w:t>
            </w:r>
          </w:p>
        </w:tc>
        <w:tc>
          <w:tcPr>
            <w:tcW w:w="1472" w:type="dxa"/>
            <w:tcBorders>
              <w:top w:val="nil"/>
              <w:left w:val="nil"/>
              <w:bottom w:val="single" w:color="auto" w:sz="4" w:space="0"/>
              <w:right w:val="single" w:color="auto" w:sz="4" w:space="0"/>
            </w:tcBorders>
            <w:vAlign w:val="center"/>
          </w:tcPr>
          <w:p w14:paraId="67154F97">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100≤X＜300</w:t>
            </w:r>
          </w:p>
        </w:tc>
        <w:tc>
          <w:tcPr>
            <w:tcW w:w="945" w:type="dxa"/>
            <w:tcBorders>
              <w:top w:val="nil"/>
              <w:left w:val="nil"/>
              <w:bottom w:val="single" w:color="auto" w:sz="4" w:space="0"/>
              <w:right w:val="single" w:color="auto" w:sz="4" w:space="0"/>
            </w:tcBorders>
            <w:vAlign w:val="center"/>
          </w:tcPr>
          <w:p w14:paraId="7035B428">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X＜100</w:t>
            </w:r>
          </w:p>
        </w:tc>
      </w:tr>
      <w:tr w14:paraId="3659546E">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720D0828">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769AD76C">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营业收入（Y）</w:t>
            </w:r>
          </w:p>
        </w:tc>
        <w:tc>
          <w:tcPr>
            <w:tcW w:w="933" w:type="dxa"/>
            <w:tcBorders>
              <w:top w:val="nil"/>
              <w:left w:val="nil"/>
              <w:bottom w:val="single" w:color="auto" w:sz="4" w:space="0"/>
              <w:right w:val="single" w:color="auto" w:sz="4" w:space="0"/>
            </w:tcBorders>
            <w:vAlign w:val="center"/>
          </w:tcPr>
          <w:p w14:paraId="790659F5">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7DC7B664">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1000≤Y＜5000</w:t>
            </w:r>
          </w:p>
        </w:tc>
        <w:tc>
          <w:tcPr>
            <w:tcW w:w="1472" w:type="dxa"/>
            <w:tcBorders>
              <w:top w:val="nil"/>
              <w:left w:val="nil"/>
              <w:bottom w:val="single" w:color="auto" w:sz="4" w:space="0"/>
              <w:right w:val="single" w:color="auto" w:sz="4" w:space="0"/>
            </w:tcBorders>
            <w:vAlign w:val="center"/>
          </w:tcPr>
          <w:p w14:paraId="600358F8">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500≤Y＜1000</w:t>
            </w:r>
          </w:p>
        </w:tc>
        <w:tc>
          <w:tcPr>
            <w:tcW w:w="945" w:type="dxa"/>
            <w:tcBorders>
              <w:top w:val="nil"/>
              <w:left w:val="nil"/>
              <w:bottom w:val="single" w:color="auto" w:sz="4" w:space="0"/>
              <w:right w:val="single" w:color="auto" w:sz="4" w:space="0"/>
            </w:tcBorders>
            <w:vAlign w:val="center"/>
          </w:tcPr>
          <w:p w14:paraId="1C682067">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Y＜500</w:t>
            </w:r>
          </w:p>
        </w:tc>
      </w:tr>
      <w:tr w14:paraId="7852625C">
        <w:tblPrEx>
          <w:tblCellMar>
            <w:top w:w="0" w:type="dxa"/>
            <w:left w:w="108" w:type="dxa"/>
            <w:bottom w:w="0" w:type="dxa"/>
            <w:right w:w="108" w:type="dxa"/>
          </w:tblCellMar>
        </w:tblPrEx>
        <w:trPr>
          <w:trHeight w:val="333" w:hRule="atLeast"/>
          <w:jc w:val="center"/>
        </w:trPr>
        <w:tc>
          <w:tcPr>
            <w:tcW w:w="1739" w:type="dxa"/>
            <w:vMerge w:val="restart"/>
            <w:tcBorders>
              <w:top w:val="nil"/>
              <w:left w:val="single" w:color="auto" w:sz="4" w:space="0"/>
              <w:bottom w:val="single" w:color="auto" w:sz="4" w:space="0"/>
              <w:right w:val="single" w:color="auto" w:sz="4" w:space="0"/>
            </w:tcBorders>
            <w:vAlign w:val="center"/>
          </w:tcPr>
          <w:p w14:paraId="0BAEB06E">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租赁和商务服务业</w:t>
            </w:r>
          </w:p>
        </w:tc>
        <w:tc>
          <w:tcPr>
            <w:tcW w:w="1414" w:type="dxa"/>
            <w:tcBorders>
              <w:top w:val="nil"/>
              <w:left w:val="nil"/>
              <w:bottom w:val="single" w:color="auto" w:sz="4" w:space="0"/>
              <w:right w:val="single" w:color="auto" w:sz="4" w:space="0"/>
            </w:tcBorders>
            <w:vAlign w:val="center"/>
          </w:tcPr>
          <w:p w14:paraId="7A64D7A8">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从业人员（X）</w:t>
            </w:r>
          </w:p>
        </w:tc>
        <w:tc>
          <w:tcPr>
            <w:tcW w:w="933" w:type="dxa"/>
            <w:tcBorders>
              <w:top w:val="nil"/>
              <w:left w:val="nil"/>
              <w:bottom w:val="single" w:color="auto" w:sz="4" w:space="0"/>
              <w:right w:val="single" w:color="auto" w:sz="4" w:space="0"/>
            </w:tcBorders>
            <w:vAlign w:val="center"/>
          </w:tcPr>
          <w:p w14:paraId="07C19D6D">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人</w:t>
            </w:r>
          </w:p>
        </w:tc>
        <w:tc>
          <w:tcPr>
            <w:tcW w:w="1655" w:type="dxa"/>
            <w:tcBorders>
              <w:top w:val="nil"/>
              <w:left w:val="nil"/>
              <w:bottom w:val="single" w:color="auto" w:sz="4" w:space="0"/>
              <w:right w:val="single" w:color="auto" w:sz="4" w:space="0"/>
            </w:tcBorders>
            <w:vAlign w:val="center"/>
          </w:tcPr>
          <w:p w14:paraId="37448CAC">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100≤X＜300</w:t>
            </w:r>
          </w:p>
        </w:tc>
        <w:tc>
          <w:tcPr>
            <w:tcW w:w="1472" w:type="dxa"/>
            <w:tcBorders>
              <w:top w:val="nil"/>
              <w:left w:val="nil"/>
              <w:bottom w:val="single" w:color="auto" w:sz="4" w:space="0"/>
              <w:right w:val="single" w:color="auto" w:sz="4" w:space="0"/>
            </w:tcBorders>
            <w:vAlign w:val="center"/>
          </w:tcPr>
          <w:p w14:paraId="5F2A393B">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10≤X＜100</w:t>
            </w:r>
          </w:p>
        </w:tc>
        <w:tc>
          <w:tcPr>
            <w:tcW w:w="945" w:type="dxa"/>
            <w:tcBorders>
              <w:top w:val="nil"/>
              <w:left w:val="nil"/>
              <w:bottom w:val="single" w:color="auto" w:sz="4" w:space="0"/>
              <w:right w:val="single" w:color="auto" w:sz="4" w:space="0"/>
            </w:tcBorders>
            <w:vAlign w:val="center"/>
          </w:tcPr>
          <w:p w14:paraId="2300D6F8">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X＜10</w:t>
            </w:r>
          </w:p>
        </w:tc>
      </w:tr>
      <w:tr w14:paraId="247A79BC">
        <w:tblPrEx>
          <w:tblCellMar>
            <w:top w:w="0" w:type="dxa"/>
            <w:left w:w="108" w:type="dxa"/>
            <w:bottom w:w="0" w:type="dxa"/>
            <w:right w:w="108" w:type="dxa"/>
          </w:tblCellMar>
        </w:tblPrEx>
        <w:trPr>
          <w:trHeight w:val="333" w:hRule="atLeast"/>
          <w:jc w:val="center"/>
        </w:trPr>
        <w:tc>
          <w:tcPr>
            <w:tcW w:w="1739" w:type="dxa"/>
            <w:vMerge w:val="continue"/>
            <w:tcBorders>
              <w:top w:val="nil"/>
              <w:left w:val="single" w:color="auto" w:sz="4" w:space="0"/>
              <w:bottom w:val="single" w:color="auto" w:sz="4" w:space="0"/>
              <w:right w:val="single" w:color="auto" w:sz="4" w:space="0"/>
            </w:tcBorders>
            <w:vAlign w:val="center"/>
          </w:tcPr>
          <w:p w14:paraId="7FC21B1D">
            <w:pPr>
              <w:widowControl/>
              <w:jc w:val="center"/>
              <w:rPr>
                <w:rFonts w:hint="eastAsia" w:ascii="仿宋" w:hAnsi="仿宋" w:eastAsia="仿宋" w:cs="仿宋"/>
                <w:b/>
                <w:bCs/>
                <w:color w:val="auto"/>
                <w:kern w:val="0"/>
                <w:sz w:val="18"/>
                <w:szCs w:val="18"/>
              </w:rPr>
            </w:pPr>
          </w:p>
        </w:tc>
        <w:tc>
          <w:tcPr>
            <w:tcW w:w="1414" w:type="dxa"/>
            <w:tcBorders>
              <w:top w:val="nil"/>
              <w:left w:val="nil"/>
              <w:bottom w:val="single" w:color="auto" w:sz="4" w:space="0"/>
              <w:right w:val="single" w:color="auto" w:sz="4" w:space="0"/>
            </w:tcBorders>
            <w:vAlign w:val="center"/>
          </w:tcPr>
          <w:p w14:paraId="7ED5F3C8">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资产总额（Z）</w:t>
            </w:r>
          </w:p>
        </w:tc>
        <w:tc>
          <w:tcPr>
            <w:tcW w:w="933" w:type="dxa"/>
            <w:tcBorders>
              <w:top w:val="nil"/>
              <w:left w:val="nil"/>
              <w:bottom w:val="single" w:color="auto" w:sz="4" w:space="0"/>
              <w:right w:val="single" w:color="auto" w:sz="4" w:space="0"/>
            </w:tcBorders>
            <w:vAlign w:val="center"/>
          </w:tcPr>
          <w:p w14:paraId="21A0BB44">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万元</w:t>
            </w:r>
          </w:p>
        </w:tc>
        <w:tc>
          <w:tcPr>
            <w:tcW w:w="1655" w:type="dxa"/>
            <w:tcBorders>
              <w:top w:val="nil"/>
              <w:left w:val="nil"/>
              <w:bottom w:val="single" w:color="auto" w:sz="4" w:space="0"/>
              <w:right w:val="single" w:color="auto" w:sz="4" w:space="0"/>
            </w:tcBorders>
            <w:vAlign w:val="center"/>
          </w:tcPr>
          <w:p w14:paraId="1C64DB4E">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8000≤Z＜120000</w:t>
            </w:r>
          </w:p>
        </w:tc>
        <w:tc>
          <w:tcPr>
            <w:tcW w:w="1472" w:type="dxa"/>
            <w:tcBorders>
              <w:top w:val="nil"/>
              <w:left w:val="nil"/>
              <w:bottom w:val="single" w:color="auto" w:sz="4" w:space="0"/>
              <w:right w:val="single" w:color="auto" w:sz="4" w:space="0"/>
            </w:tcBorders>
            <w:vAlign w:val="center"/>
          </w:tcPr>
          <w:p w14:paraId="71A7F2D4">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100≤Z＜8000</w:t>
            </w:r>
          </w:p>
        </w:tc>
        <w:tc>
          <w:tcPr>
            <w:tcW w:w="945" w:type="dxa"/>
            <w:tcBorders>
              <w:top w:val="nil"/>
              <w:left w:val="nil"/>
              <w:bottom w:val="single" w:color="auto" w:sz="4" w:space="0"/>
              <w:right w:val="single" w:color="auto" w:sz="4" w:space="0"/>
            </w:tcBorders>
            <w:vAlign w:val="center"/>
          </w:tcPr>
          <w:p w14:paraId="760D93F7">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Y＜100</w:t>
            </w:r>
          </w:p>
        </w:tc>
      </w:tr>
      <w:tr w14:paraId="28EF19CA">
        <w:tblPrEx>
          <w:tblCellMar>
            <w:top w:w="0" w:type="dxa"/>
            <w:left w:w="108" w:type="dxa"/>
            <w:bottom w:w="0" w:type="dxa"/>
            <w:right w:w="108" w:type="dxa"/>
          </w:tblCellMar>
        </w:tblPrEx>
        <w:trPr>
          <w:trHeight w:val="358" w:hRule="atLeast"/>
          <w:jc w:val="center"/>
        </w:trPr>
        <w:tc>
          <w:tcPr>
            <w:tcW w:w="1739" w:type="dxa"/>
            <w:tcBorders>
              <w:top w:val="nil"/>
              <w:left w:val="single" w:color="auto" w:sz="4" w:space="0"/>
              <w:bottom w:val="single" w:color="auto" w:sz="4" w:space="0"/>
              <w:right w:val="single" w:color="auto" w:sz="4" w:space="0"/>
            </w:tcBorders>
            <w:vAlign w:val="center"/>
          </w:tcPr>
          <w:p w14:paraId="6E436CA8">
            <w:pPr>
              <w:widowControl/>
              <w:jc w:val="center"/>
              <w:rPr>
                <w:rFonts w:hint="eastAsia" w:ascii="仿宋" w:hAnsi="仿宋" w:eastAsia="仿宋" w:cs="仿宋"/>
                <w:b/>
                <w:bCs/>
                <w:color w:val="auto"/>
                <w:kern w:val="0"/>
                <w:sz w:val="18"/>
                <w:szCs w:val="18"/>
              </w:rPr>
            </w:pPr>
            <w:r>
              <w:rPr>
                <w:rFonts w:hint="eastAsia" w:ascii="仿宋" w:hAnsi="仿宋" w:eastAsia="仿宋" w:cs="仿宋"/>
                <w:b/>
                <w:bCs/>
                <w:color w:val="auto"/>
                <w:kern w:val="0"/>
                <w:sz w:val="18"/>
                <w:szCs w:val="18"/>
              </w:rPr>
              <w:t>其他未列明行业</w:t>
            </w:r>
          </w:p>
        </w:tc>
        <w:tc>
          <w:tcPr>
            <w:tcW w:w="1414" w:type="dxa"/>
            <w:tcBorders>
              <w:top w:val="nil"/>
              <w:left w:val="nil"/>
              <w:bottom w:val="single" w:color="auto" w:sz="4" w:space="0"/>
              <w:right w:val="single" w:color="auto" w:sz="4" w:space="0"/>
            </w:tcBorders>
            <w:vAlign w:val="center"/>
          </w:tcPr>
          <w:p w14:paraId="190E3321">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从业人员（X）</w:t>
            </w:r>
          </w:p>
        </w:tc>
        <w:tc>
          <w:tcPr>
            <w:tcW w:w="933" w:type="dxa"/>
            <w:tcBorders>
              <w:top w:val="nil"/>
              <w:left w:val="nil"/>
              <w:bottom w:val="single" w:color="auto" w:sz="4" w:space="0"/>
              <w:right w:val="single" w:color="auto" w:sz="4" w:space="0"/>
            </w:tcBorders>
            <w:vAlign w:val="center"/>
          </w:tcPr>
          <w:p w14:paraId="776310EF">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人</w:t>
            </w:r>
          </w:p>
        </w:tc>
        <w:tc>
          <w:tcPr>
            <w:tcW w:w="1655" w:type="dxa"/>
            <w:tcBorders>
              <w:top w:val="nil"/>
              <w:left w:val="nil"/>
              <w:bottom w:val="single" w:color="auto" w:sz="4" w:space="0"/>
              <w:right w:val="single" w:color="auto" w:sz="4" w:space="0"/>
            </w:tcBorders>
            <w:vAlign w:val="center"/>
          </w:tcPr>
          <w:p w14:paraId="317BAC80">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100≤X＜300</w:t>
            </w:r>
          </w:p>
        </w:tc>
        <w:tc>
          <w:tcPr>
            <w:tcW w:w="1472" w:type="dxa"/>
            <w:tcBorders>
              <w:top w:val="nil"/>
              <w:left w:val="nil"/>
              <w:bottom w:val="single" w:color="auto" w:sz="4" w:space="0"/>
              <w:right w:val="single" w:color="auto" w:sz="4" w:space="0"/>
            </w:tcBorders>
            <w:vAlign w:val="center"/>
          </w:tcPr>
          <w:p w14:paraId="4BE3E595">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10≤X＜100</w:t>
            </w:r>
          </w:p>
        </w:tc>
        <w:tc>
          <w:tcPr>
            <w:tcW w:w="945" w:type="dxa"/>
            <w:tcBorders>
              <w:top w:val="nil"/>
              <w:left w:val="nil"/>
              <w:bottom w:val="single" w:color="auto" w:sz="4" w:space="0"/>
              <w:right w:val="single" w:color="auto" w:sz="4" w:space="0"/>
            </w:tcBorders>
            <w:vAlign w:val="center"/>
          </w:tcPr>
          <w:p w14:paraId="0D3B6EA9">
            <w:pPr>
              <w:widowControl/>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X＜10</w:t>
            </w:r>
          </w:p>
        </w:tc>
      </w:tr>
    </w:tbl>
    <w:p w14:paraId="4CC25CC9">
      <w:pPr>
        <w:spacing w:line="360" w:lineRule="auto"/>
        <w:ind w:firstLine="525" w:firstLineChars="250"/>
        <w:rPr>
          <w:rFonts w:hint="eastAsia" w:ascii="仿宋" w:hAnsi="仿宋" w:eastAsia="仿宋" w:cs="仿宋"/>
          <w:color w:val="auto"/>
          <w:szCs w:val="21"/>
        </w:rPr>
      </w:pPr>
      <w:r>
        <w:rPr>
          <w:rFonts w:hint="eastAsia" w:ascii="仿宋" w:hAnsi="仿宋" w:eastAsia="仿宋" w:cs="仿宋"/>
          <w:color w:val="auto"/>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1D45A352">
      <w:pPr>
        <w:spacing w:line="360" w:lineRule="auto"/>
        <w:ind w:firstLine="308" w:firstLineChars="147"/>
        <w:jc w:val="left"/>
        <w:rPr>
          <w:rFonts w:ascii="仿宋" w:hAnsi="仿宋" w:eastAsia="仿宋" w:cs="Arial"/>
          <w:bCs/>
          <w:color w:val="auto"/>
          <w:szCs w:val="21"/>
          <w:u w:val="single"/>
        </w:rPr>
      </w:pPr>
    </w:p>
    <w:p w14:paraId="05B94BCC">
      <w:pPr>
        <w:spacing w:line="360" w:lineRule="auto"/>
        <w:ind w:firstLine="308" w:firstLineChars="147"/>
        <w:jc w:val="left"/>
        <w:rPr>
          <w:rFonts w:ascii="仿宋" w:hAnsi="仿宋" w:eastAsia="仿宋" w:cs="Arial"/>
          <w:bCs/>
          <w:color w:val="auto"/>
          <w:szCs w:val="21"/>
          <w:u w:val="single"/>
        </w:rPr>
      </w:pPr>
    </w:p>
    <w:p w14:paraId="3C9ED8A5">
      <w:pPr>
        <w:spacing w:line="360" w:lineRule="auto"/>
        <w:ind w:firstLine="308" w:firstLineChars="147"/>
        <w:jc w:val="left"/>
        <w:rPr>
          <w:rFonts w:ascii="仿宋" w:hAnsi="仿宋" w:eastAsia="仿宋" w:cs="Arial"/>
          <w:bCs/>
          <w:color w:val="auto"/>
          <w:szCs w:val="21"/>
          <w:u w:val="single"/>
        </w:rPr>
      </w:pPr>
    </w:p>
    <w:p w14:paraId="20C8C4D2">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color w:val="auto"/>
        </w:rPr>
      </w:pPr>
      <w:r>
        <w:rPr>
          <w:rFonts w:ascii="仿宋" w:hAnsi="仿宋" w:eastAsia="仿宋"/>
          <w:color w:val="auto"/>
        </w:rPr>
        <w:br w:type="page"/>
      </w:r>
      <w:bookmarkStart w:id="34" w:name="_Toc74320802"/>
      <w:bookmarkStart w:id="35" w:name="_Toc18148"/>
      <w:r>
        <w:rPr>
          <w:rFonts w:hint="eastAsia" w:ascii="仿宋" w:hAnsi="仿宋" w:eastAsia="仿宋" w:cs="仿宋"/>
          <w:color w:val="auto"/>
        </w:rPr>
        <w:t>第三章  投标人须知</w:t>
      </w:r>
      <w:bookmarkEnd w:id="34"/>
      <w:bookmarkEnd w:id="35"/>
    </w:p>
    <w:p w14:paraId="495CED25">
      <w:pPr>
        <w:jc w:val="center"/>
        <w:rPr>
          <w:rFonts w:hint="eastAsia" w:ascii="仿宋" w:hAnsi="仿宋" w:eastAsia="仿宋"/>
          <w:color w:val="auto"/>
          <w:sz w:val="36"/>
          <w:szCs w:val="36"/>
        </w:rPr>
      </w:pPr>
      <w:bookmarkStart w:id="36" w:name="_Toc254970526"/>
      <w:bookmarkStart w:id="37" w:name="_Toc254970667"/>
      <w:r>
        <w:rPr>
          <w:rFonts w:hint="eastAsia" w:ascii="仿宋" w:hAnsi="仿宋" w:eastAsia="仿宋"/>
          <w:color w:val="auto"/>
          <w:sz w:val="36"/>
          <w:szCs w:val="36"/>
        </w:rPr>
        <w:t>投标人须知前附表</w:t>
      </w:r>
      <w:bookmarkEnd w:id="36"/>
      <w:bookmarkEnd w:id="37"/>
    </w:p>
    <w:p w14:paraId="685846A4">
      <w:pPr>
        <w:jc w:val="center"/>
        <w:rPr>
          <w:rFonts w:hint="eastAsia" w:ascii="仿宋" w:hAnsi="仿宋" w:eastAsia="仿宋"/>
          <w:color w:val="auto"/>
          <w:sz w:val="36"/>
          <w:szCs w:val="36"/>
        </w:rPr>
      </w:pPr>
    </w:p>
    <w:tbl>
      <w:tblPr>
        <w:tblStyle w:val="47"/>
        <w:tblW w:w="96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708"/>
      </w:tblGrid>
      <w:tr w14:paraId="0F89D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10767783">
            <w:pPr>
              <w:snapToGrid w:val="0"/>
              <w:spacing w:line="400" w:lineRule="exact"/>
              <w:jc w:val="left"/>
              <w:rPr>
                <w:rFonts w:hint="eastAsia" w:ascii="仿宋" w:hAnsi="仿宋" w:eastAsia="仿宋"/>
                <w:color w:val="auto"/>
                <w:szCs w:val="21"/>
              </w:rPr>
            </w:pPr>
            <w:r>
              <w:rPr>
                <w:rFonts w:hint="eastAsia" w:ascii="仿宋" w:hAnsi="仿宋" w:eastAsia="仿宋"/>
                <w:color w:val="auto"/>
                <w:szCs w:val="21"/>
              </w:rPr>
              <w:t>条款号</w:t>
            </w:r>
          </w:p>
        </w:tc>
        <w:tc>
          <w:tcPr>
            <w:tcW w:w="8708" w:type="dxa"/>
            <w:tcBorders>
              <w:top w:val="single" w:color="auto" w:sz="4" w:space="0"/>
              <w:left w:val="single" w:color="auto" w:sz="4" w:space="0"/>
              <w:bottom w:val="single" w:color="auto" w:sz="4" w:space="0"/>
              <w:right w:val="single" w:color="auto" w:sz="4" w:space="0"/>
            </w:tcBorders>
            <w:vAlign w:val="center"/>
          </w:tcPr>
          <w:p w14:paraId="0F9E9D5C">
            <w:pPr>
              <w:snapToGrid w:val="0"/>
              <w:spacing w:line="400" w:lineRule="exact"/>
              <w:jc w:val="center"/>
              <w:rPr>
                <w:rFonts w:hint="eastAsia" w:ascii="仿宋" w:hAnsi="仿宋" w:eastAsia="仿宋"/>
                <w:color w:val="auto"/>
                <w:szCs w:val="21"/>
              </w:rPr>
            </w:pPr>
            <w:r>
              <w:rPr>
                <w:rFonts w:hint="eastAsia" w:ascii="仿宋" w:hAnsi="仿宋" w:eastAsia="仿宋"/>
                <w:color w:val="auto"/>
                <w:szCs w:val="21"/>
              </w:rPr>
              <w:t>编列内容</w:t>
            </w:r>
          </w:p>
        </w:tc>
      </w:tr>
      <w:tr w14:paraId="3EF14D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041DC01">
            <w:pPr>
              <w:spacing w:line="400" w:lineRule="exact"/>
              <w:jc w:val="center"/>
              <w:rPr>
                <w:rFonts w:hint="eastAsia" w:ascii="仿宋" w:hAnsi="仿宋" w:eastAsia="仿宋"/>
                <w:color w:val="auto"/>
                <w:szCs w:val="21"/>
              </w:rPr>
            </w:pPr>
            <w:r>
              <w:rPr>
                <w:rFonts w:hint="eastAsia" w:ascii="仿宋" w:hAnsi="仿宋" w:eastAsia="仿宋"/>
                <w:color w:val="auto"/>
                <w:szCs w:val="21"/>
              </w:rPr>
              <w:t>3</w:t>
            </w:r>
          </w:p>
        </w:tc>
        <w:tc>
          <w:tcPr>
            <w:tcW w:w="8708" w:type="dxa"/>
            <w:tcBorders>
              <w:top w:val="single" w:color="auto" w:sz="4" w:space="0"/>
              <w:left w:val="single" w:color="auto" w:sz="4" w:space="0"/>
              <w:bottom w:val="single" w:color="auto" w:sz="4" w:space="0"/>
              <w:right w:val="single" w:color="auto" w:sz="4" w:space="0"/>
            </w:tcBorders>
            <w:vAlign w:val="center"/>
          </w:tcPr>
          <w:p w14:paraId="7505F36F">
            <w:pPr>
              <w:snapToGrid w:val="0"/>
              <w:spacing w:line="400" w:lineRule="exact"/>
              <w:jc w:val="left"/>
              <w:rPr>
                <w:rFonts w:hint="eastAsia" w:ascii="仿宋" w:hAnsi="仿宋" w:eastAsia="仿宋"/>
                <w:color w:val="auto"/>
                <w:szCs w:val="21"/>
              </w:rPr>
            </w:pPr>
            <w:r>
              <w:rPr>
                <w:rFonts w:hint="eastAsia" w:ascii="仿宋" w:hAnsi="仿宋" w:eastAsia="仿宋"/>
                <w:color w:val="auto"/>
                <w:szCs w:val="21"/>
              </w:rPr>
              <w:t>投标人的资格要求：详见招标公告。</w:t>
            </w:r>
          </w:p>
        </w:tc>
      </w:tr>
      <w:tr w14:paraId="552E5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2EA184CF">
            <w:pPr>
              <w:spacing w:line="400" w:lineRule="exact"/>
              <w:jc w:val="center"/>
              <w:rPr>
                <w:rFonts w:ascii="仿宋" w:hAnsi="仿宋" w:eastAsia="仿宋"/>
                <w:color w:val="auto"/>
                <w:szCs w:val="21"/>
              </w:rPr>
            </w:pPr>
            <w:bookmarkStart w:id="38" w:name="_9.2"/>
            <w:bookmarkEnd w:id="38"/>
            <w:bookmarkStart w:id="39" w:name="_5"/>
            <w:bookmarkEnd w:id="39"/>
            <w:bookmarkStart w:id="40" w:name="_8.1"/>
            <w:bookmarkEnd w:id="40"/>
            <w:r>
              <w:rPr>
                <w:rFonts w:hint="eastAsia" w:ascii="仿宋" w:hAnsi="仿宋" w:eastAsia="仿宋"/>
                <w:color w:val="auto"/>
                <w:szCs w:val="21"/>
              </w:rPr>
              <w:t>6.1</w:t>
            </w:r>
          </w:p>
        </w:tc>
        <w:tc>
          <w:tcPr>
            <w:tcW w:w="8708" w:type="dxa"/>
            <w:tcBorders>
              <w:top w:val="single" w:color="auto" w:sz="4" w:space="0"/>
              <w:left w:val="single" w:color="auto" w:sz="4" w:space="0"/>
              <w:bottom w:val="single" w:color="auto" w:sz="4" w:space="0"/>
              <w:right w:val="single" w:color="auto" w:sz="4" w:space="0"/>
            </w:tcBorders>
            <w:vAlign w:val="center"/>
          </w:tcPr>
          <w:p w14:paraId="2A177784">
            <w:pPr>
              <w:pStyle w:val="16"/>
              <w:spacing w:line="400" w:lineRule="exact"/>
              <w:rPr>
                <w:rFonts w:hint="eastAsia" w:ascii="仿宋" w:hAnsi="仿宋" w:eastAsia="仿宋"/>
                <w:color w:val="auto"/>
                <w:szCs w:val="21"/>
                <w:lang w:val="en-US" w:eastAsia="zh-CN"/>
              </w:rPr>
            </w:pPr>
            <w:r>
              <w:rPr>
                <w:rFonts w:hint="eastAsia" w:ascii="仿宋" w:hAnsi="仿宋" w:eastAsia="仿宋"/>
                <w:color w:val="auto"/>
                <w:szCs w:val="21"/>
                <w:lang w:val="en-US" w:eastAsia="zh-CN"/>
              </w:rPr>
              <w:t>本项目是否接受联合体投标：详见招标公告。</w:t>
            </w:r>
          </w:p>
        </w:tc>
      </w:tr>
      <w:tr w14:paraId="694165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4B09943B">
            <w:pPr>
              <w:spacing w:line="400" w:lineRule="exact"/>
              <w:jc w:val="center"/>
              <w:rPr>
                <w:rFonts w:hint="eastAsia" w:ascii="仿宋" w:hAnsi="仿宋" w:eastAsia="仿宋"/>
                <w:color w:val="auto"/>
                <w:szCs w:val="21"/>
              </w:rPr>
            </w:pPr>
            <w:r>
              <w:rPr>
                <w:rFonts w:ascii="仿宋" w:hAnsi="仿宋" w:eastAsia="仿宋"/>
                <w:color w:val="auto"/>
                <w:szCs w:val="21"/>
              </w:rPr>
              <w:t>6.2</w:t>
            </w:r>
          </w:p>
        </w:tc>
        <w:tc>
          <w:tcPr>
            <w:tcW w:w="8708" w:type="dxa"/>
            <w:tcBorders>
              <w:top w:val="single" w:color="auto" w:sz="4" w:space="0"/>
              <w:left w:val="single" w:color="auto" w:sz="4" w:space="0"/>
              <w:bottom w:val="single" w:color="auto" w:sz="4" w:space="0"/>
              <w:right w:val="single" w:color="auto" w:sz="4" w:space="0"/>
            </w:tcBorders>
            <w:vAlign w:val="center"/>
          </w:tcPr>
          <w:p w14:paraId="51032BA5">
            <w:pPr>
              <w:autoSpaceDE w:val="0"/>
              <w:autoSpaceDN w:val="0"/>
              <w:snapToGrid w:val="0"/>
              <w:spacing w:line="400" w:lineRule="exact"/>
              <w:textAlignment w:val="bottom"/>
              <w:rPr>
                <w:rFonts w:hint="eastAsia" w:ascii="仿宋" w:hAnsi="仿宋" w:eastAsia="仿宋"/>
                <w:color w:val="auto"/>
                <w:szCs w:val="21"/>
              </w:rPr>
            </w:pPr>
            <w:bookmarkStart w:id="41" w:name="_Hlk54105293"/>
            <w:r>
              <w:rPr>
                <w:rFonts w:hint="eastAsia" w:ascii="仿宋" w:hAnsi="仿宋" w:eastAsia="仿宋"/>
                <w:color w:val="auto"/>
                <w:szCs w:val="21"/>
              </w:rPr>
              <w:t>如接受联合体投标，</w:t>
            </w:r>
            <w:bookmarkEnd w:id="41"/>
            <w:r>
              <w:rPr>
                <w:rFonts w:hint="eastAsia" w:ascii="仿宋" w:hAnsi="仿宋" w:eastAsia="仿宋"/>
                <w:color w:val="auto"/>
                <w:szCs w:val="21"/>
              </w:rPr>
              <w:t>联合体投标要求如下：</w:t>
            </w:r>
          </w:p>
          <w:p w14:paraId="7A1F4153">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1、两个以上投标人可以组成一个投标联合体，以一个投标人的身份共同参加投标，联合体投标人的名称应统一按“XXX 公司与 XXX 公司的联合体”的规则填写。</w:t>
            </w:r>
          </w:p>
          <w:p w14:paraId="371BD34A">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 “3、本项目的特定资格要求”的要求。</w:t>
            </w:r>
          </w:p>
          <w:p w14:paraId="5A6B58AA">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35A5D0D8">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4、以联合体形式参加政府采购活动的，联合体各方不得再单独参加或者与其他投标人另外组成联合体参加同一合同项下的政府采购活动，否则与之相关的投标文件作废。</w:t>
            </w:r>
          </w:p>
          <w:p w14:paraId="63E08B15">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5、联合体中有同类资质的投标人按照联合体分工承担相同工作的，应当按照资质等级较低的投标人确定资质等级。</w:t>
            </w:r>
          </w:p>
          <w:p w14:paraId="2904196D">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6、联合体投标业绩、履约能力按照联合体各方其中较高的一方认定并计算（招标文件另有规定的除外）。</w:t>
            </w:r>
          </w:p>
          <w:p w14:paraId="377BFA89">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7、联合体各方均应按照招标文件的规定提交资格证明文件。</w:t>
            </w:r>
          </w:p>
        </w:tc>
      </w:tr>
      <w:tr w14:paraId="24DDF9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26DEF42D">
            <w:pPr>
              <w:spacing w:line="400" w:lineRule="exact"/>
              <w:jc w:val="center"/>
              <w:rPr>
                <w:rFonts w:ascii="仿宋" w:hAnsi="仿宋" w:eastAsia="仿宋"/>
                <w:color w:val="auto"/>
                <w:szCs w:val="21"/>
              </w:rPr>
            </w:pPr>
            <w:r>
              <w:rPr>
                <w:rFonts w:hint="eastAsia" w:ascii="仿宋" w:hAnsi="仿宋" w:eastAsia="仿宋"/>
                <w:color w:val="auto"/>
                <w:szCs w:val="21"/>
              </w:rPr>
              <w:t>7.2</w:t>
            </w:r>
          </w:p>
        </w:tc>
        <w:tc>
          <w:tcPr>
            <w:tcW w:w="8708" w:type="dxa"/>
            <w:tcBorders>
              <w:top w:val="single" w:color="auto" w:sz="4" w:space="0"/>
              <w:left w:val="single" w:color="auto" w:sz="4" w:space="0"/>
              <w:bottom w:val="single" w:color="auto" w:sz="4" w:space="0"/>
              <w:right w:val="single" w:color="auto" w:sz="4" w:space="0"/>
            </w:tcBorders>
            <w:vAlign w:val="center"/>
          </w:tcPr>
          <w:p w14:paraId="0E00024B">
            <w:pPr>
              <w:pStyle w:val="16"/>
              <w:spacing w:line="400" w:lineRule="exact"/>
              <w:rPr>
                <w:rFonts w:hint="eastAsia" w:ascii="仿宋" w:hAnsi="仿宋" w:eastAsia="仿宋"/>
                <w:color w:val="auto"/>
                <w:szCs w:val="21"/>
                <w:lang w:val="en-US" w:eastAsia="zh-CN"/>
              </w:rPr>
            </w:pPr>
            <w:r>
              <w:rPr>
                <w:rFonts w:hint="eastAsia" w:ascii="宋体" w:hAnsi="宋体"/>
                <w:color w:val="auto"/>
                <w:szCs w:val="21"/>
                <w:lang w:val="en-US" w:eastAsia="zh-CN"/>
              </w:rPr>
              <w:t>☑</w:t>
            </w:r>
            <w:r>
              <w:rPr>
                <w:rFonts w:hint="eastAsia" w:ascii="仿宋" w:hAnsi="仿宋" w:eastAsia="仿宋"/>
                <w:color w:val="auto"/>
                <w:szCs w:val="21"/>
                <w:lang w:val="en-US" w:eastAsia="zh-CN"/>
              </w:rPr>
              <w:t>本项目不允许分包。</w:t>
            </w:r>
          </w:p>
          <w:p w14:paraId="0162A2ED">
            <w:pPr>
              <w:pStyle w:val="16"/>
              <w:spacing w:line="400" w:lineRule="exact"/>
              <w:rPr>
                <w:rFonts w:hint="eastAsia" w:ascii="仿宋" w:hAnsi="仿宋" w:eastAsia="仿宋"/>
                <w:color w:val="auto"/>
                <w:szCs w:val="21"/>
                <w:lang w:val="en-US" w:eastAsia="zh-CN"/>
              </w:rPr>
            </w:pPr>
            <w:r>
              <w:rPr>
                <w:rFonts w:hint="eastAsia" w:ascii="宋体" w:hAnsi="宋体"/>
                <w:color w:val="auto"/>
                <w:szCs w:val="21"/>
                <w:lang w:val="en-US" w:eastAsia="zh-CN"/>
              </w:rPr>
              <w:t>□</w:t>
            </w:r>
            <w:r>
              <w:rPr>
                <w:rFonts w:hint="eastAsia" w:ascii="仿宋" w:hAnsi="仿宋" w:eastAsia="仿宋"/>
                <w:color w:val="auto"/>
                <w:szCs w:val="21"/>
                <w:lang w:val="en-US" w:eastAsia="zh-CN"/>
              </w:rPr>
              <w:t>本项目允许分包：</w:t>
            </w:r>
          </w:p>
          <w:p w14:paraId="1FB2FA5B">
            <w:pPr>
              <w:pStyle w:val="16"/>
              <w:spacing w:line="400" w:lineRule="exact"/>
              <w:rPr>
                <w:rFonts w:ascii="仿宋" w:hAnsi="仿宋" w:eastAsia="仿宋"/>
                <w:color w:val="auto"/>
                <w:szCs w:val="21"/>
                <w:u w:val="single"/>
                <w:lang w:val="en-US" w:eastAsia="zh-CN"/>
              </w:rPr>
            </w:pPr>
            <w:r>
              <w:rPr>
                <w:rFonts w:hint="eastAsia" w:ascii="仿宋" w:hAnsi="仿宋" w:eastAsia="仿宋"/>
                <w:color w:val="auto"/>
                <w:szCs w:val="21"/>
                <w:lang w:val="en-US" w:eastAsia="zh-CN"/>
              </w:rPr>
              <w:t>分包内容：</w:t>
            </w:r>
            <w:r>
              <w:rPr>
                <w:rFonts w:hint="eastAsia" w:ascii="仿宋" w:hAnsi="仿宋" w:eastAsia="仿宋"/>
                <w:color w:val="auto"/>
                <w:szCs w:val="21"/>
                <w:u w:val="single"/>
                <w:lang w:val="en-US" w:eastAsia="zh-CN"/>
              </w:rPr>
              <w:t xml:space="preserve">                      </w:t>
            </w:r>
          </w:p>
          <w:p w14:paraId="0935CF28">
            <w:pPr>
              <w:pStyle w:val="16"/>
              <w:spacing w:line="400" w:lineRule="exact"/>
              <w:jc w:val="both"/>
              <w:rPr>
                <w:rFonts w:ascii="仿宋" w:hAnsi="仿宋" w:eastAsia="仿宋"/>
                <w:color w:val="auto"/>
                <w:szCs w:val="21"/>
                <w:u w:val="single"/>
                <w:lang w:val="en-US" w:eastAsia="zh-CN"/>
              </w:rPr>
            </w:pPr>
            <w:r>
              <w:rPr>
                <w:rFonts w:hint="eastAsia" w:ascii="仿宋" w:hAnsi="仿宋" w:eastAsia="仿宋"/>
                <w:color w:val="auto"/>
                <w:szCs w:val="21"/>
                <w:lang w:val="en-US" w:eastAsia="zh-CN"/>
              </w:rPr>
              <w:t>分包金额或者比例：</w:t>
            </w:r>
            <w:r>
              <w:rPr>
                <w:rFonts w:hint="eastAsia" w:ascii="仿宋" w:hAnsi="仿宋" w:eastAsia="仿宋"/>
                <w:color w:val="auto"/>
                <w:szCs w:val="21"/>
                <w:u w:val="single"/>
                <w:lang w:val="en-US" w:eastAsia="zh-CN"/>
              </w:rPr>
              <w:t xml:space="preserve">              </w:t>
            </w:r>
          </w:p>
        </w:tc>
      </w:tr>
      <w:tr w14:paraId="04B03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7E4DA293">
            <w:pPr>
              <w:spacing w:line="400" w:lineRule="exact"/>
              <w:jc w:val="center"/>
              <w:rPr>
                <w:rFonts w:hint="eastAsia" w:ascii="仿宋" w:hAnsi="仿宋" w:eastAsia="仿宋"/>
                <w:color w:val="auto"/>
                <w:szCs w:val="21"/>
              </w:rPr>
            </w:pPr>
            <w:r>
              <w:rPr>
                <w:rFonts w:hint="eastAsia" w:ascii="仿宋" w:hAnsi="仿宋" w:eastAsia="仿宋"/>
                <w:color w:val="auto"/>
                <w:szCs w:val="21"/>
              </w:rPr>
              <w:t>8.1</w:t>
            </w:r>
          </w:p>
        </w:tc>
        <w:tc>
          <w:tcPr>
            <w:tcW w:w="8708" w:type="dxa"/>
            <w:tcBorders>
              <w:top w:val="single" w:color="auto" w:sz="4" w:space="0"/>
              <w:left w:val="single" w:color="auto" w:sz="4" w:space="0"/>
              <w:bottom w:val="single" w:color="auto" w:sz="4" w:space="0"/>
              <w:right w:val="single" w:color="auto" w:sz="4" w:space="0"/>
            </w:tcBorders>
            <w:vAlign w:val="center"/>
          </w:tcPr>
          <w:p w14:paraId="2B7C05BC">
            <w:pPr>
              <w:autoSpaceDE w:val="0"/>
              <w:autoSpaceDN w:val="0"/>
              <w:snapToGrid w:val="0"/>
              <w:spacing w:line="400" w:lineRule="exact"/>
              <w:textAlignment w:val="bottom"/>
              <w:rPr>
                <w:rFonts w:ascii="仿宋" w:hAnsi="仿宋" w:eastAsia="仿宋"/>
                <w:color w:val="auto"/>
                <w:szCs w:val="21"/>
              </w:rPr>
            </w:pPr>
            <w:r>
              <w:rPr>
                <w:rFonts w:hint="eastAsia" w:ascii="仿宋" w:hAnsi="仿宋" w:eastAsia="仿宋"/>
                <w:color w:val="auto"/>
                <w:szCs w:val="21"/>
              </w:rPr>
              <w:sym w:font="Wingdings" w:char="00A8"/>
            </w:r>
            <w:r>
              <w:rPr>
                <w:rFonts w:hint="eastAsia" w:ascii="仿宋" w:hAnsi="仿宋" w:eastAsia="仿宋"/>
                <w:color w:val="auto"/>
                <w:szCs w:val="21"/>
              </w:rPr>
              <w:t>1、采用最低评标价法的采购项目，提供相同品牌的不同投标人评标价相同时，按照下列方式确定一个投标人获得中标人推荐资格：评标委员会随机抽取/按</w:t>
            </w:r>
            <w:r>
              <w:rPr>
                <w:rFonts w:ascii="仿宋" w:hAnsi="仿宋" w:eastAsia="仿宋"/>
                <w:color w:val="auto"/>
                <w:szCs w:val="21"/>
              </w:rPr>
              <w:t>投标报价低</w:t>
            </w:r>
            <w:r>
              <w:rPr>
                <w:rFonts w:hint="eastAsia" w:ascii="仿宋" w:hAnsi="仿宋" w:eastAsia="仿宋"/>
                <w:color w:val="auto"/>
                <w:szCs w:val="21"/>
              </w:rPr>
              <w:t>的原则确定，</w:t>
            </w:r>
            <w:r>
              <w:rPr>
                <w:rFonts w:ascii="仿宋" w:hAnsi="仿宋" w:eastAsia="仿宋"/>
                <w:color w:val="auto"/>
                <w:szCs w:val="21"/>
              </w:rPr>
              <w:t>投标报价相同的</w:t>
            </w:r>
            <w:r>
              <w:rPr>
                <w:rFonts w:hint="eastAsia" w:ascii="仿宋" w:hAnsi="仿宋" w:eastAsia="仿宋" w:cs="宋体"/>
                <w:color w:val="auto"/>
                <w:szCs w:val="21"/>
              </w:rPr>
              <w:t>按</w:t>
            </w:r>
            <w:r>
              <w:rPr>
                <w:rFonts w:ascii="仿宋" w:hAnsi="仿宋" w:eastAsia="仿宋"/>
                <w:color w:val="auto"/>
                <w:szCs w:val="21"/>
              </w:rPr>
              <w:t>节能环保优先、技术指标高优先、质保期长优先、交货期短优先、故障响应时间短优先的</w:t>
            </w:r>
            <w:r>
              <w:rPr>
                <w:rFonts w:hint="eastAsia" w:ascii="仿宋" w:hAnsi="仿宋" w:eastAsia="仿宋" w:cs="宋体"/>
                <w:color w:val="auto"/>
                <w:szCs w:val="21"/>
              </w:rPr>
              <w:t>顺序依次确定。</w:t>
            </w:r>
          </w:p>
          <w:p w14:paraId="1963650C">
            <w:pPr>
              <w:autoSpaceDE w:val="0"/>
              <w:autoSpaceDN w:val="0"/>
              <w:snapToGrid w:val="0"/>
              <w:spacing w:line="400" w:lineRule="exact"/>
              <w:textAlignment w:val="bottom"/>
              <w:rPr>
                <w:rFonts w:hint="eastAsia" w:ascii="仿宋" w:hAnsi="仿宋" w:eastAsia="仿宋"/>
                <w:color w:val="auto"/>
                <w:szCs w:val="21"/>
              </w:rPr>
            </w:pPr>
            <w:r>
              <w:rPr>
                <w:rFonts w:hint="eastAsia" w:ascii="宋体" w:hAnsi="宋体"/>
                <w:color w:val="auto"/>
                <w:szCs w:val="21"/>
              </w:rPr>
              <w:t>☑</w:t>
            </w:r>
            <w:r>
              <w:rPr>
                <w:rFonts w:hint="eastAsia" w:ascii="仿宋" w:hAnsi="仿宋" w:eastAsia="仿宋"/>
                <w:color w:val="auto"/>
                <w:szCs w:val="21"/>
              </w:rPr>
              <w:t>2、采用综合评分法的采购项目，提供相同品牌的不同投标人评审得分相同时，按照下列方式确定一个投标人获得中标人推荐资格：评标委员会随机抽取/按</w:t>
            </w:r>
            <w:r>
              <w:rPr>
                <w:rFonts w:ascii="仿宋" w:hAnsi="仿宋" w:eastAsia="仿宋"/>
                <w:color w:val="auto"/>
                <w:szCs w:val="21"/>
              </w:rPr>
              <w:t>投标报价低</w:t>
            </w:r>
            <w:r>
              <w:rPr>
                <w:rFonts w:hint="eastAsia" w:ascii="仿宋" w:hAnsi="仿宋" w:eastAsia="仿宋"/>
                <w:color w:val="auto"/>
                <w:szCs w:val="21"/>
              </w:rPr>
              <w:t>的原则确定，</w:t>
            </w:r>
            <w:r>
              <w:rPr>
                <w:rFonts w:ascii="仿宋" w:hAnsi="仿宋" w:eastAsia="仿宋"/>
                <w:color w:val="auto"/>
                <w:szCs w:val="21"/>
              </w:rPr>
              <w:t>投标报价相同的</w:t>
            </w:r>
            <w:r>
              <w:rPr>
                <w:rFonts w:hint="eastAsia" w:ascii="仿宋" w:hAnsi="仿宋" w:eastAsia="仿宋"/>
                <w:color w:val="auto"/>
                <w:szCs w:val="21"/>
              </w:rPr>
              <w:t>按综合评分中技术水平、售后服务、履约能力、政策功能得分高低依次确定。</w:t>
            </w:r>
          </w:p>
        </w:tc>
      </w:tr>
      <w:tr w14:paraId="240E6F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895" w:type="dxa"/>
            <w:vMerge w:val="restart"/>
            <w:tcBorders>
              <w:top w:val="single" w:color="auto" w:sz="4" w:space="0"/>
              <w:left w:val="single" w:color="auto" w:sz="4" w:space="0"/>
              <w:right w:val="single" w:color="auto" w:sz="4" w:space="0"/>
            </w:tcBorders>
            <w:vAlign w:val="center"/>
          </w:tcPr>
          <w:p w14:paraId="3AA1918A">
            <w:pPr>
              <w:spacing w:line="400" w:lineRule="exact"/>
              <w:jc w:val="center"/>
              <w:rPr>
                <w:rFonts w:hint="eastAsia" w:ascii="仿宋" w:hAnsi="仿宋" w:eastAsia="仿宋"/>
                <w:color w:val="auto"/>
                <w:szCs w:val="21"/>
              </w:rPr>
            </w:pPr>
            <w:r>
              <w:rPr>
                <w:rFonts w:hint="eastAsia" w:ascii="仿宋" w:hAnsi="仿宋" w:eastAsia="仿宋"/>
                <w:color w:val="auto"/>
                <w:szCs w:val="21"/>
              </w:rPr>
              <w:t>1</w:t>
            </w:r>
            <w:r>
              <w:rPr>
                <w:rFonts w:ascii="仿宋" w:hAnsi="仿宋" w:eastAsia="仿宋"/>
                <w:color w:val="auto"/>
                <w:szCs w:val="21"/>
              </w:rPr>
              <w:t>1.</w:t>
            </w:r>
            <w:r>
              <w:rPr>
                <w:rFonts w:hint="eastAsia" w:ascii="仿宋" w:hAnsi="仿宋" w:eastAsia="仿宋"/>
                <w:color w:val="auto"/>
                <w:szCs w:val="21"/>
              </w:rPr>
              <w:t>5</w:t>
            </w:r>
          </w:p>
        </w:tc>
        <w:tc>
          <w:tcPr>
            <w:tcW w:w="8708" w:type="dxa"/>
            <w:tcBorders>
              <w:top w:val="single" w:color="auto" w:sz="4" w:space="0"/>
              <w:left w:val="single" w:color="auto" w:sz="4" w:space="0"/>
              <w:bottom w:val="single" w:color="auto" w:sz="4" w:space="0"/>
              <w:right w:val="single" w:color="auto" w:sz="4" w:space="0"/>
            </w:tcBorders>
            <w:vAlign w:val="center"/>
          </w:tcPr>
          <w:p w14:paraId="35EAF7C7">
            <w:pPr>
              <w:snapToGrid w:val="0"/>
              <w:spacing w:line="400" w:lineRule="exact"/>
              <w:rPr>
                <w:rFonts w:hint="eastAsia" w:ascii="仿宋" w:hAnsi="仿宋" w:eastAsia="仿宋"/>
                <w:color w:val="auto"/>
                <w:szCs w:val="21"/>
              </w:rPr>
            </w:pPr>
            <w:r>
              <w:rPr>
                <w:rFonts w:hint="eastAsia" w:ascii="宋体" w:hAnsi="宋体"/>
                <w:color w:val="auto"/>
                <w:szCs w:val="21"/>
              </w:rPr>
              <w:t>☑</w:t>
            </w:r>
            <w:r>
              <w:rPr>
                <w:rFonts w:hint="eastAsia" w:ascii="仿宋" w:hAnsi="仿宋" w:eastAsia="仿宋"/>
                <w:color w:val="auto"/>
                <w:szCs w:val="21"/>
              </w:rPr>
              <w:t>本项目不组织现场考察。</w:t>
            </w:r>
          </w:p>
          <w:p w14:paraId="641E7382">
            <w:pPr>
              <w:snapToGrid w:val="0"/>
              <w:spacing w:line="400" w:lineRule="exact"/>
              <w:rPr>
                <w:rFonts w:ascii="仿宋" w:hAnsi="仿宋" w:eastAsia="仿宋"/>
                <w:color w:val="auto"/>
                <w:szCs w:val="21"/>
              </w:rPr>
            </w:pPr>
            <w:r>
              <w:rPr>
                <w:rFonts w:hint="eastAsia" w:ascii="仿宋" w:hAnsi="仿宋" w:eastAsia="仿宋"/>
                <w:color w:val="auto"/>
                <w:szCs w:val="21"/>
              </w:rPr>
              <w:t>本项目组织现场考察：</w:t>
            </w:r>
          </w:p>
          <w:p w14:paraId="2C03D637">
            <w:pPr>
              <w:snapToGrid w:val="0"/>
              <w:spacing w:line="400" w:lineRule="exact"/>
              <w:rPr>
                <w:rFonts w:ascii="仿宋" w:hAnsi="仿宋" w:eastAsia="仿宋"/>
                <w:color w:val="auto"/>
                <w:szCs w:val="21"/>
                <w:u w:val="single"/>
              </w:rPr>
            </w:pPr>
            <w:r>
              <w:rPr>
                <w:rFonts w:hint="eastAsia" w:ascii="仿宋" w:hAnsi="仿宋" w:eastAsia="仿宋"/>
                <w:color w:val="auto"/>
                <w:szCs w:val="21"/>
              </w:rPr>
              <w:t>集中时间：</w:t>
            </w:r>
            <w:r>
              <w:rPr>
                <w:rFonts w:hint="eastAsia" w:ascii="仿宋" w:hAnsi="仿宋" w:eastAsia="仿宋"/>
                <w:color w:val="auto"/>
                <w:szCs w:val="21"/>
                <w:u w:val="single"/>
              </w:rPr>
              <w:t xml:space="preserve">   </w:t>
            </w:r>
            <w:r>
              <w:rPr>
                <w:rFonts w:hint="eastAsia" w:ascii="仿宋" w:hAnsi="仿宋" w:eastAsia="仿宋"/>
                <w:color w:val="auto"/>
                <w:szCs w:val="21"/>
              </w:rPr>
              <w:t>年</w:t>
            </w:r>
            <w:r>
              <w:rPr>
                <w:rFonts w:hint="eastAsia" w:ascii="仿宋" w:hAnsi="仿宋" w:eastAsia="仿宋"/>
                <w:color w:val="auto"/>
                <w:szCs w:val="21"/>
                <w:u w:val="single"/>
              </w:rPr>
              <w:t xml:space="preserve">  </w:t>
            </w:r>
            <w:r>
              <w:rPr>
                <w:rFonts w:hint="eastAsia" w:ascii="仿宋" w:hAnsi="仿宋" w:eastAsia="仿宋"/>
                <w:color w:val="auto"/>
                <w:szCs w:val="21"/>
              </w:rPr>
              <w:t>月</w:t>
            </w:r>
            <w:r>
              <w:rPr>
                <w:rFonts w:hint="eastAsia" w:ascii="仿宋" w:hAnsi="仿宋" w:eastAsia="仿宋"/>
                <w:color w:val="auto"/>
                <w:szCs w:val="21"/>
                <w:u w:val="single"/>
              </w:rPr>
              <w:t xml:space="preserve">  </w:t>
            </w:r>
            <w:r>
              <w:rPr>
                <w:rFonts w:hint="eastAsia" w:ascii="仿宋" w:hAnsi="仿宋" w:eastAsia="仿宋"/>
                <w:color w:val="auto"/>
                <w:szCs w:val="21"/>
              </w:rPr>
              <w:t xml:space="preserve">日 </w:t>
            </w:r>
            <w:r>
              <w:rPr>
                <w:rFonts w:hint="eastAsia" w:ascii="仿宋" w:hAnsi="仿宋" w:eastAsia="仿宋"/>
                <w:color w:val="auto"/>
                <w:szCs w:val="21"/>
                <w:u w:val="single"/>
              </w:rPr>
              <w:t xml:space="preserve">  </w:t>
            </w:r>
            <w:r>
              <w:rPr>
                <w:rFonts w:hint="eastAsia" w:ascii="仿宋" w:hAnsi="仿宋" w:eastAsia="仿宋"/>
                <w:color w:val="auto"/>
                <w:szCs w:val="21"/>
              </w:rPr>
              <w:t>时</w:t>
            </w:r>
            <w:r>
              <w:rPr>
                <w:rFonts w:hint="eastAsia" w:ascii="仿宋" w:hAnsi="仿宋" w:eastAsia="仿宋"/>
                <w:color w:val="auto"/>
                <w:szCs w:val="21"/>
                <w:u w:val="single"/>
              </w:rPr>
              <w:t xml:space="preserve">  分</w:t>
            </w:r>
            <w:r>
              <w:rPr>
                <w:rFonts w:hint="eastAsia" w:ascii="仿宋" w:hAnsi="仿宋" w:eastAsia="仿宋"/>
                <w:color w:val="auto"/>
                <w:szCs w:val="21"/>
              </w:rPr>
              <w:t>，逾期后果自负。集中地点：</w:t>
            </w:r>
            <w:r>
              <w:rPr>
                <w:rFonts w:hint="eastAsia" w:ascii="仿宋" w:hAnsi="仿宋" w:eastAsia="仿宋"/>
                <w:color w:val="auto"/>
                <w:szCs w:val="21"/>
                <w:u w:val="single"/>
              </w:rPr>
              <w:t xml:space="preserve"> </w:t>
            </w:r>
            <w:r>
              <w:rPr>
                <w:rFonts w:ascii="仿宋" w:hAnsi="仿宋" w:eastAsia="仿宋"/>
                <w:color w:val="auto"/>
                <w:szCs w:val="21"/>
                <w:u w:val="single"/>
              </w:rPr>
              <w:t xml:space="preserve">             </w:t>
            </w:r>
          </w:p>
          <w:p w14:paraId="3EC989DB">
            <w:pPr>
              <w:snapToGrid w:val="0"/>
              <w:spacing w:line="400" w:lineRule="exact"/>
              <w:rPr>
                <w:rFonts w:hint="eastAsia" w:ascii="仿宋" w:hAnsi="仿宋" w:eastAsia="仿宋"/>
                <w:color w:val="auto"/>
                <w:szCs w:val="21"/>
              </w:rPr>
            </w:pPr>
            <w:r>
              <w:rPr>
                <w:rFonts w:hint="eastAsia" w:ascii="仿宋" w:hAnsi="仿宋" w:eastAsia="仿宋"/>
                <w:color w:val="auto"/>
                <w:szCs w:val="21"/>
              </w:rPr>
              <w:t>联系人：</w:t>
            </w:r>
            <w:r>
              <w:rPr>
                <w:rFonts w:hint="eastAsia" w:ascii="仿宋" w:hAnsi="仿宋" w:eastAsia="仿宋"/>
                <w:color w:val="auto"/>
                <w:szCs w:val="21"/>
                <w:u w:val="single"/>
              </w:rPr>
              <w:t xml:space="preserve"> </w:t>
            </w:r>
            <w:r>
              <w:rPr>
                <w:rFonts w:ascii="仿宋" w:hAnsi="仿宋" w:eastAsia="仿宋"/>
                <w:color w:val="auto"/>
                <w:szCs w:val="21"/>
                <w:u w:val="single"/>
              </w:rPr>
              <w:t xml:space="preserve">              </w:t>
            </w:r>
            <w:r>
              <w:rPr>
                <w:rFonts w:hint="eastAsia" w:ascii="仿宋" w:hAnsi="仿宋" w:eastAsia="仿宋"/>
                <w:color w:val="auto"/>
                <w:szCs w:val="21"/>
              </w:rPr>
              <w:t>；联系电话：</w:t>
            </w:r>
            <w:r>
              <w:rPr>
                <w:rFonts w:ascii="仿宋" w:hAnsi="仿宋" w:eastAsia="仿宋"/>
                <w:color w:val="auto"/>
                <w:szCs w:val="21"/>
                <w:u w:val="single"/>
              </w:rPr>
              <w:t xml:space="preserve">                </w:t>
            </w:r>
          </w:p>
        </w:tc>
      </w:tr>
      <w:tr w14:paraId="752F6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895" w:type="dxa"/>
            <w:vMerge w:val="continue"/>
            <w:tcBorders>
              <w:left w:val="single" w:color="auto" w:sz="4" w:space="0"/>
              <w:bottom w:val="single" w:color="auto" w:sz="4" w:space="0"/>
              <w:right w:val="single" w:color="auto" w:sz="4" w:space="0"/>
            </w:tcBorders>
            <w:vAlign w:val="center"/>
          </w:tcPr>
          <w:p w14:paraId="621FC449">
            <w:pPr>
              <w:spacing w:line="400" w:lineRule="exact"/>
              <w:jc w:val="center"/>
              <w:rPr>
                <w:rFonts w:hint="eastAsia" w:ascii="仿宋" w:hAnsi="仿宋" w:eastAsia="仿宋"/>
                <w:color w:val="auto"/>
                <w:szCs w:val="21"/>
              </w:rPr>
            </w:pPr>
          </w:p>
        </w:tc>
        <w:tc>
          <w:tcPr>
            <w:tcW w:w="8708" w:type="dxa"/>
            <w:tcBorders>
              <w:top w:val="single" w:color="auto" w:sz="4" w:space="0"/>
              <w:left w:val="single" w:color="auto" w:sz="4" w:space="0"/>
              <w:bottom w:val="single" w:color="auto" w:sz="4" w:space="0"/>
              <w:right w:val="single" w:color="auto" w:sz="4" w:space="0"/>
            </w:tcBorders>
            <w:vAlign w:val="center"/>
          </w:tcPr>
          <w:p w14:paraId="640C2034">
            <w:pPr>
              <w:snapToGrid w:val="0"/>
              <w:spacing w:line="400" w:lineRule="exact"/>
              <w:rPr>
                <w:rFonts w:ascii="仿宋" w:hAnsi="仿宋" w:eastAsia="仿宋"/>
                <w:color w:val="auto"/>
                <w:szCs w:val="21"/>
              </w:rPr>
            </w:pPr>
            <w:r>
              <w:rPr>
                <w:rFonts w:hint="eastAsia" w:ascii="宋体" w:hAnsi="宋体"/>
                <w:color w:val="auto"/>
                <w:szCs w:val="21"/>
              </w:rPr>
              <w:t>☑</w:t>
            </w:r>
            <w:r>
              <w:rPr>
                <w:rFonts w:hint="eastAsia" w:ascii="仿宋" w:hAnsi="仿宋" w:eastAsia="仿宋"/>
                <w:color w:val="auto"/>
                <w:szCs w:val="21"/>
              </w:rPr>
              <w:t>本项目不组织召开开标前答疑会/组织召开开标前答疑会</w:t>
            </w:r>
          </w:p>
          <w:p w14:paraId="7AC2E0D4">
            <w:pPr>
              <w:snapToGrid w:val="0"/>
              <w:spacing w:line="400" w:lineRule="exact"/>
              <w:rPr>
                <w:rFonts w:hint="eastAsia" w:ascii="仿宋" w:hAnsi="仿宋" w:eastAsia="仿宋"/>
                <w:color w:val="auto"/>
                <w:szCs w:val="21"/>
                <w:u w:val="single"/>
              </w:rPr>
            </w:pPr>
            <w:r>
              <w:rPr>
                <w:rFonts w:hint="eastAsia" w:ascii="仿宋" w:hAnsi="仿宋" w:eastAsia="仿宋"/>
                <w:color w:val="auto"/>
                <w:szCs w:val="21"/>
              </w:rPr>
              <w:t>会议开始时间：</w:t>
            </w:r>
            <w:r>
              <w:rPr>
                <w:rFonts w:hint="eastAsia" w:ascii="仿宋" w:hAnsi="仿宋" w:eastAsia="仿宋"/>
                <w:color w:val="auto"/>
                <w:szCs w:val="21"/>
                <w:u w:val="single"/>
              </w:rPr>
              <w:t xml:space="preserve">   </w:t>
            </w:r>
            <w:r>
              <w:rPr>
                <w:rFonts w:hint="eastAsia" w:ascii="仿宋" w:hAnsi="仿宋" w:eastAsia="仿宋"/>
                <w:color w:val="auto"/>
                <w:szCs w:val="21"/>
              </w:rPr>
              <w:t>年</w:t>
            </w:r>
            <w:r>
              <w:rPr>
                <w:rFonts w:hint="eastAsia" w:ascii="仿宋" w:hAnsi="仿宋" w:eastAsia="仿宋"/>
                <w:color w:val="auto"/>
                <w:szCs w:val="21"/>
                <w:u w:val="single"/>
              </w:rPr>
              <w:t xml:space="preserve">  </w:t>
            </w:r>
            <w:r>
              <w:rPr>
                <w:rFonts w:hint="eastAsia" w:ascii="仿宋" w:hAnsi="仿宋" w:eastAsia="仿宋"/>
                <w:color w:val="auto"/>
                <w:szCs w:val="21"/>
              </w:rPr>
              <w:t>月</w:t>
            </w:r>
            <w:r>
              <w:rPr>
                <w:rFonts w:hint="eastAsia" w:ascii="仿宋" w:hAnsi="仿宋" w:eastAsia="仿宋"/>
                <w:color w:val="auto"/>
                <w:szCs w:val="21"/>
                <w:u w:val="single"/>
              </w:rPr>
              <w:t xml:space="preserve">  </w:t>
            </w:r>
            <w:r>
              <w:rPr>
                <w:rFonts w:hint="eastAsia" w:ascii="仿宋" w:hAnsi="仿宋" w:eastAsia="仿宋"/>
                <w:color w:val="auto"/>
                <w:szCs w:val="21"/>
              </w:rPr>
              <w:t xml:space="preserve">日 </w:t>
            </w:r>
            <w:r>
              <w:rPr>
                <w:rFonts w:hint="eastAsia" w:ascii="仿宋" w:hAnsi="仿宋" w:eastAsia="仿宋"/>
                <w:color w:val="auto"/>
                <w:szCs w:val="21"/>
                <w:u w:val="single"/>
              </w:rPr>
              <w:t xml:space="preserve">  </w:t>
            </w:r>
            <w:r>
              <w:rPr>
                <w:rFonts w:hint="eastAsia" w:ascii="仿宋" w:hAnsi="仿宋" w:eastAsia="仿宋"/>
                <w:color w:val="auto"/>
                <w:szCs w:val="21"/>
              </w:rPr>
              <w:t>时</w:t>
            </w:r>
            <w:r>
              <w:rPr>
                <w:rFonts w:hint="eastAsia" w:ascii="仿宋" w:hAnsi="仿宋" w:eastAsia="仿宋"/>
                <w:color w:val="auto"/>
                <w:szCs w:val="21"/>
                <w:u w:val="single"/>
              </w:rPr>
              <w:t xml:space="preserve">  分</w:t>
            </w:r>
            <w:r>
              <w:rPr>
                <w:rFonts w:hint="eastAsia" w:ascii="仿宋" w:hAnsi="仿宋" w:eastAsia="仿宋"/>
                <w:color w:val="auto"/>
                <w:szCs w:val="21"/>
              </w:rPr>
              <w:t>，逾期后果自负。会议地点：</w:t>
            </w:r>
            <w:r>
              <w:rPr>
                <w:rFonts w:hint="eastAsia" w:ascii="仿宋" w:hAnsi="仿宋" w:eastAsia="仿宋"/>
                <w:color w:val="auto"/>
                <w:szCs w:val="21"/>
                <w:u w:val="single"/>
              </w:rPr>
              <w:t xml:space="preserve"> </w:t>
            </w:r>
            <w:r>
              <w:rPr>
                <w:rFonts w:ascii="仿宋" w:hAnsi="仿宋" w:eastAsia="仿宋"/>
                <w:color w:val="auto"/>
                <w:szCs w:val="21"/>
                <w:u w:val="single"/>
              </w:rPr>
              <w:t xml:space="preserve">             </w:t>
            </w:r>
          </w:p>
          <w:p w14:paraId="148C2A70">
            <w:pPr>
              <w:snapToGrid w:val="0"/>
              <w:spacing w:line="400" w:lineRule="exact"/>
              <w:rPr>
                <w:rFonts w:hint="eastAsia" w:ascii="仿宋" w:hAnsi="仿宋" w:eastAsia="仿宋"/>
                <w:color w:val="auto"/>
                <w:szCs w:val="21"/>
              </w:rPr>
            </w:pPr>
            <w:r>
              <w:rPr>
                <w:rFonts w:hint="eastAsia" w:ascii="仿宋" w:hAnsi="仿宋" w:eastAsia="仿宋"/>
                <w:color w:val="auto"/>
                <w:szCs w:val="21"/>
              </w:rPr>
              <w:t>联系人：</w:t>
            </w:r>
            <w:r>
              <w:rPr>
                <w:rFonts w:hint="eastAsia" w:ascii="仿宋" w:hAnsi="仿宋" w:eastAsia="仿宋"/>
                <w:color w:val="auto"/>
                <w:szCs w:val="21"/>
                <w:u w:val="single"/>
              </w:rPr>
              <w:t xml:space="preserve"> </w:t>
            </w:r>
            <w:r>
              <w:rPr>
                <w:rFonts w:ascii="仿宋" w:hAnsi="仿宋" w:eastAsia="仿宋"/>
                <w:color w:val="auto"/>
                <w:szCs w:val="21"/>
                <w:u w:val="single"/>
              </w:rPr>
              <w:t xml:space="preserve">              </w:t>
            </w:r>
            <w:r>
              <w:rPr>
                <w:rFonts w:hint="eastAsia" w:ascii="仿宋" w:hAnsi="仿宋" w:eastAsia="仿宋"/>
                <w:color w:val="auto"/>
                <w:szCs w:val="21"/>
              </w:rPr>
              <w:t>；联系电话：</w:t>
            </w:r>
            <w:r>
              <w:rPr>
                <w:rFonts w:ascii="仿宋" w:hAnsi="仿宋" w:eastAsia="仿宋"/>
                <w:color w:val="auto"/>
                <w:szCs w:val="21"/>
                <w:u w:val="single"/>
              </w:rPr>
              <w:t xml:space="preserve">                </w:t>
            </w:r>
          </w:p>
        </w:tc>
      </w:tr>
      <w:tr w14:paraId="01DEF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restart"/>
            <w:tcBorders>
              <w:top w:val="single" w:color="auto" w:sz="4" w:space="0"/>
              <w:left w:val="single" w:color="auto" w:sz="4" w:space="0"/>
              <w:right w:val="single" w:color="auto" w:sz="4" w:space="0"/>
            </w:tcBorders>
            <w:vAlign w:val="center"/>
          </w:tcPr>
          <w:p w14:paraId="0658BC8E">
            <w:pPr>
              <w:spacing w:line="400" w:lineRule="exact"/>
              <w:jc w:val="center"/>
              <w:rPr>
                <w:rFonts w:hint="eastAsia" w:ascii="仿宋" w:hAnsi="仿宋" w:eastAsia="仿宋"/>
                <w:color w:val="auto"/>
                <w:szCs w:val="21"/>
              </w:rPr>
            </w:pPr>
            <w:bookmarkStart w:id="42" w:name="_13.1"/>
            <w:bookmarkEnd w:id="42"/>
            <w:r>
              <w:rPr>
                <w:rFonts w:hint="eastAsia" w:ascii="仿宋" w:hAnsi="仿宋" w:eastAsia="仿宋"/>
                <w:color w:val="auto"/>
                <w:szCs w:val="21"/>
              </w:rPr>
              <w:t>13.</w:t>
            </w:r>
            <w:bookmarkStart w:id="43" w:name="_Hlt19632543"/>
            <w:r>
              <w:rPr>
                <w:rFonts w:hint="eastAsia" w:ascii="仿宋" w:hAnsi="仿宋" w:eastAsia="仿宋"/>
                <w:color w:val="auto"/>
                <w:szCs w:val="21"/>
              </w:rPr>
              <w:t>1</w:t>
            </w:r>
            <w:bookmarkEnd w:id="43"/>
          </w:p>
        </w:tc>
        <w:tc>
          <w:tcPr>
            <w:tcW w:w="8708" w:type="dxa"/>
            <w:tcBorders>
              <w:top w:val="single" w:color="auto" w:sz="4" w:space="0"/>
              <w:left w:val="single" w:color="auto" w:sz="4" w:space="0"/>
              <w:bottom w:val="single" w:color="auto" w:sz="4" w:space="0"/>
              <w:right w:val="single" w:color="auto" w:sz="4" w:space="0"/>
            </w:tcBorders>
            <w:vAlign w:val="center"/>
          </w:tcPr>
          <w:p w14:paraId="65D35603">
            <w:pPr>
              <w:snapToGrid w:val="0"/>
              <w:spacing w:line="400" w:lineRule="exact"/>
              <w:jc w:val="left"/>
              <w:rPr>
                <w:rFonts w:hint="eastAsia" w:ascii="仿宋" w:hAnsi="仿宋" w:eastAsia="仿宋" w:cs="Courier New"/>
                <w:b/>
                <w:color w:val="auto"/>
                <w:szCs w:val="21"/>
              </w:rPr>
            </w:pPr>
            <w:r>
              <w:rPr>
                <w:rFonts w:hint="eastAsia" w:ascii="仿宋" w:hAnsi="仿宋" w:eastAsia="仿宋" w:cs="Courier New"/>
                <w:b/>
                <w:color w:val="auto"/>
                <w:szCs w:val="21"/>
              </w:rPr>
              <w:t xml:space="preserve">报价文件: </w:t>
            </w:r>
          </w:p>
          <w:p w14:paraId="48D10B52">
            <w:pPr>
              <w:tabs>
                <w:tab w:val="left" w:pos="459"/>
              </w:tabs>
              <w:snapToGrid w:val="0"/>
              <w:spacing w:line="400" w:lineRule="exact"/>
              <w:jc w:val="left"/>
              <w:rPr>
                <w:rFonts w:hint="eastAsia" w:ascii="仿宋" w:hAnsi="仿宋" w:eastAsia="仿宋"/>
                <w:color w:val="auto"/>
                <w:szCs w:val="21"/>
              </w:rPr>
            </w:pPr>
            <w:r>
              <w:rPr>
                <w:rFonts w:hint="eastAsia" w:ascii="仿宋" w:hAnsi="仿宋" w:eastAsia="仿宋"/>
                <w:color w:val="auto"/>
                <w:szCs w:val="21"/>
              </w:rPr>
              <w:t>1、投标函（格式后附）；</w:t>
            </w:r>
            <w:r>
              <w:rPr>
                <w:rFonts w:hint="eastAsia" w:ascii="仿宋" w:hAnsi="仿宋" w:eastAsia="仿宋"/>
                <w:b/>
                <w:color w:val="auto"/>
                <w:szCs w:val="21"/>
              </w:rPr>
              <w:t>（必须提供，否则按无效投标处理）</w:t>
            </w:r>
          </w:p>
          <w:p w14:paraId="3AFE2214">
            <w:pPr>
              <w:tabs>
                <w:tab w:val="left" w:pos="459"/>
              </w:tabs>
              <w:snapToGrid w:val="0"/>
              <w:spacing w:line="400" w:lineRule="exact"/>
              <w:jc w:val="left"/>
              <w:rPr>
                <w:rFonts w:hint="eastAsia" w:ascii="仿宋" w:hAnsi="仿宋" w:eastAsia="仿宋"/>
                <w:color w:val="auto"/>
                <w:szCs w:val="21"/>
              </w:rPr>
            </w:pPr>
            <w:bookmarkStart w:id="44" w:name="_Hlk71299233"/>
            <w:r>
              <w:rPr>
                <w:rFonts w:hint="eastAsia" w:ascii="仿宋" w:hAnsi="仿宋" w:eastAsia="仿宋"/>
                <w:color w:val="auto"/>
                <w:szCs w:val="21"/>
              </w:rPr>
              <w:t>2、开标一览表</w:t>
            </w:r>
            <w:bookmarkEnd w:id="44"/>
            <w:r>
              <w:rPr>
                <w:rFonts w:hint="eastAsia" w:ascii="仿宋" w:hAnsi="仿宋" w:eastAsia="仿宋"/>
                <w:color w:val="auto"/>
                <w:szCs w:val="21"/>
              </w:rPr>
              <w:t>（格式后附）； （</w:t>
            </w:r>
            <w:r>
              <w:rPr>
                <w:rFonts w:hint="eastAsia" w:ascii="仿宋" w:hAnsi="仿宋" w:eastAsia="仿宋"/>
                <w:b/>
                <w:color w:val="auto"/>
                <w:szCs w:val="21"/>
              </w:rPr>
              <w:t>必须提供，否则按无效投标处理</w:t>
            </w:r>
            <w:r>
              <w:rPr>
                <w:rFonts w:hint="eastAsia" w:ascii="仿宋" w:hAnsi="仿宋" w:eastAsia="仿宋"/>
                <w:color w:val="auto"/>
                <w:szCs w:val="21"/>
              </w:rPr>
              <w:t>）</w:t>
            </w:r>
          </w:p>
          <w:p w14:paraId="63A96F2C">
            <w:pPr>
              <w:tabs>
                <w:tab w:val="left" w:pos="459"/>
              </w:tabs>
              <w:snapToGrid w:val="0"/>
              <w:spacing w:line="400" w:lineRule="exact"/>
              <w:jc w:val="left"/>
              <w:rPr>
                <w:rFonts w:hint="eastAsia" w:ascii="仿宋" w:hAnsi="仿宋" w:eastAsia="仿宋"/>
                <w:color w:val="auto"/>
                <w:szCs w:val="21"/>
              </w:rPr>
            </w:pPr>
            <w:r>
              <w:rPr>
                <w:rFonts w:hint="eastAsia" w:ascii="仿宋" w:hAnsi="仿宋" w:eastAsia="仿宋"/>
                <w:color w:val="auto"/>
                <w:szCs w:val="21"/>
                <w:lang w:val="en-US" w:eastAsia="zh-CN"/>
              </w:rPr>
              <w:t>3</w:t>
            </w:r>
            <w:r>
              <w:rPr>
                <w:rFonts w:hint="eastAsia" w:ascii="仿宋" w:hAnsi="仿宋" w:eastAsia="仿宋"/>
                <w:color w:val="auto"/>
                <w:szCs w:val="21"/>
              </w:rPr>
              <w:t>、投标人针对报价需要说明的其他文件和说明（格式自拟）。</w:t>
            </w:r>
          </w:p>
          <w:p w14:paraId="3FF79509">
            <w:pPr>
              <w:snapToGrid w:val="0"/>
              <w:spacing w:line="400" w:lineRule="exact"/>
              <w:ind w:firstLine="420"/>
              <w:jc w:val="left"/>
              <w:rPr>
                <w:rFonts w:hint="eastAsia" w:ascii="仿宋" w:hAnsi="仿宋" w:eastAsia="仿宋"/>
                <w:color w:val="auto"/>
                <w:szCs w:val="21"/>
              </w:rPr>
            </w:pPr>
            <w:r>
              <w:rPr>
                <w:rFonts w:hint="eastAsia" w:ascii="仿宋" w:hAnsi="仿宋" w:eastAsia="仿宋"/>
                <w:b/>
                <w:bCs/>
                <w:color w:val="auto"/>
                <w:szCs w:val="21"/>
              </w:rPr>
              <w:t>注：投标函、开标一览表必须由法定代表人或者委托代理人在规定签章处逐一签字并加盖投标人公章，否则按无效投标</w:t>
            </w:r>
            <w:r>
              <w:rPr>
                <w:rFonts w:hint="eastAsia" w:ascii="仿宋" w:hAnsi="仿宋" w:eastAsia="仿宋" w:cs="Courier New"/>
                <w:b/>
                <w:color w:val="auto"/>
                <w:szCs w:val="21"/>
              </w:rPr>
              <w:t>处理</w:t>
            </w:r>
            <w:r>
              <w:rPr>
                <w:rFonts w:hint="eastAsia" w:ascii="仿宋" w:hAnsi="仿宋" w:eastAsia="仿宋"/>
                <w:b/>
                <w:bCs/>
                <w:color w:val="auto"/>
                <w:szCs w:val="21"/>
              </w:rPr>
              <w:t>。</w:t>
            </w:r>
          </w:p>
        </w:tc>
      </w:tr>
      <w:tr w14:paraId="3F1D84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vAlign w:val="center"/>
          </w:tcPr>
          <w:p w14:paraId="17796B49">
            <w:pPr>
              <w:spacing w:line="400" w:lineRule="exact"/>
              <w:rPr>
                <w:rFonts w:hint="eastAsia" w:ascii="仿宋" w:hAnsi="仿宋" w:eastAsia="仿宋"/>
                <w:color w:val="auto"/>
                <w:szCs w:val="21"/>
              </w:rPr>
            </w:pPr>
            <w:bookmarkStart w:id="45" w:name="_13.2"/>
            <w:bookmarkEnd w:id="45"/>
          </w:p>
        </w:tc>
        <w:tc>
          <w:tcPr>
            <w:tcW w:w="8708" w:type="dxa"/>
            <w:tcBorders>
              <w:top w:val="single" w:color="auto" w:sz="4" w:space="0"/>
              <w:left w:val="single" w:color="auto" w:sz="4" w:space="0"/>
              <w:bottom w:val="single" w:color="auto" w:sz="4" w:space="0"/>
              <w:right w:val="single" w:color="auto" w:sz="4" w:space="0"/>
            </w:tcBorders>
            <w:vAlign w:val="center"/>
          </w:tcPr>
          <w:p w14:paraId="33A0067E">
            <w:pPr>
              <w:snapToGrid w:val="0"/>
              <w:spacing w:line="400" w:lineRule="exact"/>
              <w:jc w:val="left"/>
              <w:rPr>
                <w:rFonts w:hint="eastAsia" w:ascii="仿宋" w:hAnsi="仿宋" w:eastAsia="仿宋" w:cs="Courier New"/>
                <w:b/>
                <w:color w:val="auto"/>
                <w:szCs w:val="21"/>
              </w:rPr>
            </w:pPr>
            <w:r>
              <w:rPr>
                <w:rFonts w:hint="eastAsia" w:ascii="仿宋" w:hAnsi="仿宋" w:eastAsia="仿宋" w:cs="Courier New"/>
                <w:b/>
                <w:color w:val="auto"/>
                <w:szCs w:val="21"/>
              </w:rPr>
              <w:t xml:space="preserve">资格证明文件: </w:t>
            </w:r>
          </w:p>
          <w:p w14:paraId="1D88406C">
            <w:pPr>
              <w:autoSpaceDE w:val="0"/>
              <w:autoSpaceDN w:val="0"/>
              <w:snapToGrid w:val="0"/>
              <w:spacing w:line="400" w:lineRule="exact"/>
              <w:textAlignment w:val="bottom"/>
              <w:rPr>
                <w:rFonts w:hint="eastAsia" w:ascii="仿宋" w:hAnsi="仿宋" w:eastAsia="仿宋"/>
                <w:b/>
                <w:color w:val="auto"/>
                <w:szCs w:val="21"/>
              </w:rPr>
            </w:pPr>
            <w:r>
              <w:rPr>
                <w:rFonts w:hint="eastAsia" w:ascii="仿宋" w:hAnsi="仿宋" w:eastAsia="仿宋" w:cs="宋体"/>
                <w:color w:val="auto"/>
                <w:szCs w:val="21"/>
              </w:rPr>
              <w:t>1、供应商为法人或者其他组织的，</w:t>
            </w:r>
            <w:r>
              <w:rPr>
                <w:rFonts w:hint="eastAsia" w:ascii="仿宋" w:hAnsi="仿宋" w:eastAsia="仿宋"/>
                <w:color w:val="auto"/>
                <w:szCs w:val="21"/>
              </w:rPr>
              <w:t>证明文件为其营业执照复印件（如营业执照或者事业单位法人证书或者执业许可证等）；供应商为自然人的，证明文件为其身份证复印件；</w:t>
            </w:r>
            <w:r>
              <w:rPr>
                <w:rFonts w:hint="eastAsia" w:ascii="仿宋" w:hAnsi="仿宋" w:eastAsia="仿宋"/>
                <w:b/>
                <w:color w:val="auto"/>
                <w:szCs w:val="21"/>
              </w:rPr>
              <w:t>（必须提供，否则投标文件按无效响应处理</w:t>
            </w:r>
            <w:r>
              <w:rPr>
                <w:rFonts w:ascii="仿宋" w:hAnsi="仿宋" w:eastAsia="仿宋"/>
                <w:b/>
                <w:color w:val="auto"/>
                <w:szCs w:val="21"/>
              </w:rPr>
              <w:t>）</w:t>
            </w:r>
          </w:p>
          <w:p w14:paraId="573EC05B">
            <w:pPr>
              <w:autoSpaceDE w:val="0"/>
              <w:autoSpaceDN w:val="0"/>
              <w:snapToGrid w:val="0"/>
              <w:spacing w:line="400" w:lineRule="exact"/>
              <w:textAlignment w:val="bottom"/>
              <w:rPr>
                <w:rFonts w:hint="eastAsia" w:ascii="仿宋" w:hAnsi="仿宋" w:eastAsia="仿宋" w:cs="宋体"/>
                <w:b/>
                <w:color w:val="auto"/>
                <w:szCs w:val="21"/>
              </w:rPr>
            </w:pPr>
            <w:r>
              <w:rPr>
                <w:rFonts w:hint="eastAsia" w:ascii="仿宋" w:hAnsi="仿宋" w:eastAsia="仿宋" w:cs="宋体"/>
                <w:color w:val="auto"/>
                <w:szCs w:val="21"/>
              </w:rPr>
              <w:t>2、投标人依法缴纳税收的相关材料（投标截止之日前半年内</w:t>
            </w:r>
            <w:r>
              <w:rPr>
                <w:rFonts w:hint="eastAsia" w:ascii="仿宋" w:hAnsi="仿宋" w:eastAsia="仿宋" w:cs="宋体"/>
                <w:color w:val="auto"/>
                <w:szCs w:val="21"/>
                <w:lang w:val="en-US" w:eastAsia="zh-CN"/>
              </w:rPr>
              <w:t>任意1</w:t>
            </w:r>
            <w:r>
              <w:rPr>
                <w:rFonts w:hint="eastAsia" w:ascii="仿宋" w:hAnsi="仿宋" w:eastAsia="仿宋" w:cs="宋体"/>
                <w:color w:val="auto"/>
                <w:szCs w:val="21"/>
              </w:rPr>
              <w:t>个月的依法缴纳税收的凭据复印件；依法免税的供应商，必须提供相应文件证明其依法免税。从</w:t>
            </w:r>
            <w:r>
              <w:rPr>
                <w:rFonts w:ascii="仿宋" w:hAnsi="仿宋" w:eastAsia="仿宋" w:cs="宋体"/>
                <w:color w:val="auto"/>
                <w:szCs w:val="21"/>
              </w:rPr>
              <w:t>成立</w:t>
            </w:r>
            <w:r>
              <w:rPr>
                <w:rFonts w:hint="eastAsia" w:ascii="仿宋" w:hAnsi="仿宋" w:eastAsia="仿宋" w:cs="宋体"/>
                <w:color w:val="auto"/>
                <w:szCs w:val="21"/>
              </w:rPr>
              <w:t>之日起到投标文件提交截止时间止不足要求月数的，只需提供从</w:t>
            </w:r>
            <w:r>
              <w:rPr>
                <w:rFonts w:ascii="仿宋" w:hAnsi="仿宋" w:eastAsia="仿宋" w:cs="宋体"/>
                <w:color w:val="auto"/>
                <w:szCs w:val="21"/>
              </w:rPr>
              <w:t>成立</w:t>
            </w:r>
            <w:r>
              <w:rPr>
                <w:rFonts w:hint="eastAsia" w:ascii="仿宋" w:hAnsi="仿宋" w:eastAsia="仿宋" w:cs="宋体"/>
                <w:color w:val="auto"/>
                <w:szCs w:val="21"/>
              </w:rPr>
              <w:t>之日起的依法缴纳税收相应证明文件）；</w:t>
            </w:r>
            <w:r>
              <w:rPr>
                <w:rFonts w:hint="eastAsia" w:ascii="仿宋" w:hAnsi="仿宋" w:eastAsia="仿宋" w:cs="宋体"/>
                <w:b/>
                <w:color w:val="auto"/>
                <w:szCs w:val="21"/>
              </w:rPr>
              <w:t>（必须提供，否则按无效投标处理）</w:t>
            </w:r>
          </w:p>
          <w:p w14:paraId="6AD8BEB5">
            <w:pPr>
              <w:autoSpaceDE w:val="0"/>
              <w:autoSpaceDN w:val="0"/>
              <w:snapToGrid w:val="0"/>
              <w:spacing w:line="400" w:lineRule="exact"/>
              <w:textAlignment w:val="bottom"/>
              <w:rPr>
                <w:rFonts w:hint="eastAsia" w:ascii="仿宋" w:hAnsi="仿宋" w:eastAsia="仿宋" w:cs="宋体"/>
                <w:b/>
                <w:color w:val="auto"/>
                <w:szCs w:val="21"/>
              </w:rPr>
            </w:pPr>
            <w:r>
              <w:rPr>
                <w:rFonts w:hint="eastAsia" w:ascii="仿宋" w:hAnsi="仿宋" w:eastAsia="仿宋" w:cs="宋体"/>
                <w:color w:val="auto"/>
                <w:szCs w:val="21"/>
              </w:rPr>
              <w:t>3、投标人依法缴纳社会保障资金的相关材料[投标截止之日前半年内</w:t>
            </w:r>
            <w:r>
              <w:rPr>
                <w:rFonts w:hint="eastAsia" w:ascii="仿宋" w:hAnsi="仿宋" w:eastAsia="仿宋" w:cs="宋体"/>
                <w:color w:val="auto"/>
                <w:szCs w:val="21"/>
                <w:lang w:eastAsia="zh-CN"/>
              </w:rPr>
              <w:t>任意</w:t>
            </w:r>
            <w:r>
              <w:rPr>
                <w:rFonts w:hint="eastAsia" w:ascii="仿宋" w:hAnsi="仿宋" w:eastAsia="仿宋" w:cs="宋体"/>
                <w:color w:val="auto"/>
                <w:szCs w:val="21"/>
                <w:lang w:val="en-US" w:eastAsia="zh-CN"/>
              </w:rPr>
              <w:t>1</w:t>
            </w:r>
            <w:r>
              <w:rPr>
                <w:rFonts w:hint="eastAsia" w:ascii="仿宋" w:hAnsi="仿宋" w:eastAsia="仿宋" w:cs="宋体"/>
                <w:color w:val="auto"/>
                <w:szCs w:val="21"/>
              </w:rPr>
              <w:t>个月的依法缴纳社会保障资金的缴费凭证（专用收据或者社会保险缴纳清单）复印件；依法不需要缴纳社会保障资金的供应商，必须提供相应文件证明不需要缴纳社会保障资金。从</w:t>
            </w:r>
            <w:r>
              <w:rPr>
                <w:rFonts w:ascii="仿宋" w:hAnsi="仿宋" w:eastAsia="仿宋" w:cs="宋体"/>
                <w:color w:val="auto"/>
                <w:szCs w:val="21"/>
              </w:rPr>
              <w:t>成立</w:t>
            </w:r>
            <w:r>
              <w:rPr>
                <w:rFonts w:hint="eastAsia" w:ascii="仿宋" w:hAnsi="仿宋" w:eastAsia="仿宋" w:cs="宋体"/>
                <w:color w:val="auto"/>
                <w:szCs w:val="21"/>
              </w:rPr>
              <w:t>之日起到投标文件提交截止时间止不足要求月数的只需提供从</w:t>
            </w:r>
            <w:r>
              <w:rPr>
                <w:rFonts w:ascii="仿宋" w:hAnsi="仿宋" w:eastAsia="仿宋" w:cs="宋体"/>
                <w:color w:val="auto"/>
                <w:szCs w:val="21"/>
              </w:rPr>
              <w:t>成立</w:t>
            </w:r>
            <w:r>
              <w:rPr>
                <w:rFonts w:hint="eastAsia" w:ascii="仿宋" w:hAnsi="仿宋" w:eastAsia="仿宋" w:cs="宋体"/>
                <w:color w:val="auto"/>
                <w:szCs w:val="21"/>
              </w:rPr>
              <w:t>之日起的依法缴纳社会保障资金的相应证明文件]；</w:t>
            </w:r>
            <w:r>
              <w:rPr>
                <w:rFonts w:hint="eastAsia" w:ascii="仿宋" w:hAnsi="仿宋" w:eastAsia="仿宋" w:cs="宋体"/>
                <w:b/>
                <w:color w:val="auto"/>
                <w:szCs w:val="21"/>
              </w:rPr>
              <w:t>（必须提供，否则按无效投标处理）</w:t>
            </w:r>
          </w:p>
          <w:p w14:paraId="27BC3061">
            <w:pPr>
              <w:snapToGrid w:val="0"/>
              <w:spacing w:line="320" w:lineRule="exact"/>
              <w:jc w:val="left"/>
              <w:rPr>
                <w:rFonts w:hint="eastAsia" w:ascii="仿宋" w:hAnsi="仿宋" w:eastAsia="仿宋" w:cs="宋体"/>
                <w:b/>
                <w:color w:val="auto"/>
                <w:szCs w:val="21"/>
              </w:rPr>
            </w:pPr>
            <w:r>
              <w:rPr>
                <w:rFonts w:hint="eastAsia" w:ascii="仿宋" w:hAnsi="仿宋" w:eastAsia="仿宋" w:cs="宋体"/>
                <w:color w:val="auto"/>
                <w:szCs w:val="21"/>
              </w:rPr>
              <w:t>4、投标人财务状况报告（</w:t>
            </w:r>
            <w:r>
              <w:rPr>
                <w:rFonts w:ascii="仿宋" w:hAnsi="仿宋" w:eastAsia="仿宋" w:cs="宋体"/>
                <w:color w:val="auto"/>
                <w:szCs w:val="21"/>
              </w:rPr>
              <w:t>202</w:t>
            </w:r>
            <w:r>
              <w:rPr>
                <w:rFonts w:hint="eastAsia" w:ascii="仿宋" w:hAnsi="仿宋" w:eastAsia="仿宋" w:cs="宋体"/>
                <w:color w:val="auto"/>
                <w:szCs w:val="21"/>
              </w:rPr>
              <w:t>4年度财务报表复印件或者银行出具的资信证明或提供资产负债表、利润表、现金流量表、所有者权益变动表（如有</w:t>
            </w:r>
            <w:r>
              <w:rPr>
                <w:rFonts w:ascii="仿宋" w:hAnsi="仿宋" w:eastAsia="仿宋" w:cs="宋体"/>
                <w:color w:val="auto"/>
                <w:szCs w:val="21"/>
              </w:rPr>
              <w:t>）</w:t>
            </w:r>
            <w:r>
              <w:rPr>
                <w:rFonts w:hint="eastAsia" w:ascii="宋体" w:hAnsi="宋体"/>
                <w:color w:val="auto"/>
                <w:szCs w:val="21"/>
              </w:rPr>
              <w:t>；</w:t>
            </w:r>
            <w:r>
              <w:rPr>
                <w:rFonts w:hint="eastAsia" w:ascii="仿宋" w:hAnsi="仿宋" w:eastAsia="仿宋" w:cs="宋体"/>
                <w:color w:val="auto"/>
                <w:szCs w:val="21"/>
              </w:rPr>
              <w:t>投标人属于成立</w:t>
            </w:r>
            <w:r>
              <w:rPr>
                <w:rFonts w:ascii="仿宋" w:hAnsi="仿宋" w:eastAsia="仿宋" w:cs="宋体"/>
                <w:color w:val="auto"/>
                <w:szCs w:val="21"/>
              </w:rPr>
              <w:t>时间</w:t>
            </w:r>
            <w:r>
              <w:rPr>
                <w:rFonts w:hint="eastAsia" w:ascii="仿宋" w:hAnsi="仿宋" w:eastAsia="仿宋" w:cs="宋体"/>
                <w:color w:val="auto"/>
                <w:szCs w:val="21"/>
              </w:rPr>
              <w:t>在规定年度之后</w:t>
            </w:r>
            <w:r>
              <w:rPr>
                <w:rFonts w:ascii="仿宋" w:hAnsi="仿宋" w:eastAsia="仿宋" w:cs="宋体"/>
                <w:color w:val="auto"/>
                <w:szCs w:val="21"/>
              </w:rPr>
              <w:t>的</w:t>
            </w:r>
            <w:r>
              <w:rPr>
                <w:rFonts w:hint="eastAsia" w:ascii="仿宋" w:hAnsi="仿宋" w:eastAsia="仿宋" w:cs="宋体"/>
                <w:color w:val="auto"/>
                <w:szCs w:val="21"/>
              </w:rPr>
              <w:t>法人或其他组织</w:t>
            </w:r>
            <w:r>
              <w:rPr>
                <w:rFonts w:ascii="仿宋" w:hAnsi="仿宋" w:eastAsia="仿宋" w:cs="宋体"/>
                <w:color w:val="auto"/>
                <w:szCs w:val="21"/>
              </w:rPr>
              <w:t>，需提供成立</w:t>
            </w:r>
            <w:r>
              <w:rPr>
                <w:rFonts w:hint="eastAsia" w:ascii="仿宋" w:hAnsi="仿宋" w:eastAsia="仿宋" w:cs="宋体"/>
                <w:color w:val="auto"/>
                <w:szCs w:val="21"/>
              </w:rPr>
              <w:t>之日起至投标截止时间前</w:t>
            </w:r>
            <w:r>
              <w:rPr>
                <w:rFonts w:ascii="仿宋" w:hAnsi="仿宋" w:eastAsia="仿宋" w:cs="宋体"/>
                <w:color w:val="auto"/>
                <w:szCs w:val="21"/>
              </w:rPr>
              <w:t>的月报表</w:t>
            </w:r>
            <w:r>
              <w:rPr>
                <w:rFonts w:hint="eastAsia" w:ascii="仿宋" w:hAnsi="仿宋" w:eastAsia="仿宋" w:cs="宋体"/>
                <w:color w:val="auto"/>
                <w:szCs w:val="21"/>
              </w:rPr>
              <w:t>或银行出具的资信证明；资信证明应在有效期内，未注明有效期的，银行出具时间至投标截止时间不超过一年）；</w:t>
            </w:r>
            <w:r>
              <w:rPr>
                <w:rFonts w:hint="eastAsia" w:ascii="仿宋" w:hAnsi="仿宋" w:eastAsia="仿宋" w:cs="宋体"/>
                <w:b/>
                <w:color w:val="auto"/>
                <w:szCs w:val="21"/>
              </w:rPr>
              <w:t>（除自然人外必须提供，否则按无效投标处理）</w:t>
            </w:r>
          </w:p>
          <w:p w14:paraId="7BD23722">
            <w:pPr>
              <w:autoSpaceDE w:val="0"/>
              <w:autoSpaceDN w:val="0"/>
              <w:snapToGrid w:val="0"/>
              <w:spacing w:line="400" w:lineRule="exact"/>
              <w:textAlignment w:val="bottom"/>
              <w:rPr>
                <w:rFonts w:hint="eastAsia" w:ascii="仿宋" w:hAnsi="仿宋" w:eastAsia="仿宋" w:cs="宋体"/>
                <w:b/>
                <w:color w:val="auto"/>
                <w:szCs w:val="21"/>
              </w:rPr>
            </w:pPr>
            <w:r>
              <w:rPr>
                <w:rFonts w:hint="eastAsia" w:ascii="仿宋" w:hAnsi="仿宋" w:eastAsia="仿宋" w:cs="宋体"/>
                <w:color w:val="auto"/>
                <w:szCs w:val="21"/>
              </w:rPr>
              <w:t>5、投标人直接控股、管理关系信息表（格式后附）；</w:t>
            </w:r>
            <w:r>
              <w:rPr>
                <w:rFonts w:hint="eastAsia" w:ascii="仿宋" w:hAnsi="仿宋" w:eastAsia="仿宋" w:cs="宋体"/>
                <w:b/>
                <w:color w:val="auto"/>
                <w:szCs w:val="21"/>
              </w:rPr>
              <w:t>（必须提供，否则按无效投标处理）</w:t>
            </w:r>
          </w:p>
          <w:p w14:paraId="0D89DED1">
            <w:pPr>
              <w:autoSpaceDE w:val="0"/>
              <w:autoSpaceDN w:val="0"/>
              <w:snapToGrid w:val="0"/>
              <w:spacing w:line="400" w:lineRule="exact"/>
              <w:textAlignment w:val="bottom"/>
              <w:rPr>
                <w:rFonts w:hint="eastAsia" w:ascii="仿宋" w:hAnsi="仿宋" w:eastAsia="仿宋" w:cs="宋体"/>
                <w:b/>
                <w:color w:val="auto"/>
                <w:szCs w:val="21"/>
              </w:rPr>
            </w:pPr>
            <w:r>
              <w:rPr>
                <w:rFonts w:hint="eastAsia" w:ascii="仿宋" w:hAnsi="仿宋" w:eastAsia="仿宋" w:cs="宋体"/>
                <w:color w:val="auto"/>
                <w:szCs w:val="21"/>
              </w:rPr>
              <w:t>6、投标声明（格式后附）；</w:t>
            </w:r>
            <w:r>
              <w:rPr>
                <w:rFonts w:hint="eastAsia" w:ascii="仿宋" w:hAnsi="仿宋" w:eastAsia="仿宋" w:cs="宋体"/>
                <w:b/>
                <w:color w:val="auto"/>
                <w:szCs w:val="21"/>
              </w:rPr>
              <w:t>（必须提供，否则按无效投标处理）</w:t>
            </w:r>
          </w:p>
          <w:p w14:paraId="50606B4D">
            <w:pPr>
              <w:autoSpaceDE w:val="0"/>
              <w:autoSpaceDN w:val="0"/>
              <w:snapToGrid w:val="0"/>
              <w:spacing w:line="400" w:lineRule="exact"/>
              <w:textAlignment w:val="bottom"/>
              <w:rPr>
                <w:rFonts w:hint="eastAsia" w:ascii="仿宋" w:hAnsi="仿宋" w:eastAsia="仿宋" w:cs="宋体"/>
                <w:b/>
                <w:color w:val="auto"/>
                <w:szCs w:val="21"/>
              </w:rPr>
            </w:pPr>
            <w:r>
              <w:rPr>
                <w:rFonts w:hint="eastAsia" w:ascii="仿宋" w:hAnsi="仿宋" w:eastAsia="仿宋" w:cs="宋体"/>
                <w:color w:val="auto"/>
                <w:szCs w:val="21"/>
              </w:rPr>
              <w:t>7、联合体协议书（格式后附）；</w:t>
            </w:r>
            <w:r>
              <w:rPr>
                <w:rFonts w:hint="eastAsia" w:ascii="仿宋" w:hAnsi="仿宋" w:eastAsia="仿宋" w:cs="宋体"/>
                <w:b/>
                <w:color w:val="auto"/>
                <w:szCs w:val="21"/>
              </w:rPr>
              <w:t>（联合体投标时必须提供，否则按无效投标处理）</w:t>
            </w:r>
          </w:p>
          <w:p w14:paraId="1BE51FDE">
            <w:pPr>
              <w:autoSpaceDE w:val="0"/>
              <w:autoSpaceDN w:val="0"/>
              <w:snapToGrid w:val="0"/>
              <w:spacing w:line="400" w:lineRule="exact"/>
              <w:textAlignment w:val="bottom"/>
              <w:rPr>
                <w:rFonts w:hint="eastAsia" w:ascii="仿宋" w:hAnsi="仿宋" w:eastAsia="仿宋" w:cs="宋体"/>
                <w:b/>
                <w:color w:val="auto"/>
                <w:szCs w:val="21"/>
              </w:rPr>
            </w:pPr>
            <w:r>
              <w:rPr>
                <w:rFonts w:hint="eastAsia" w:ascii="仿宋" w:hAnsi="仿宋" w:eastAsia="仿宋" w:cs="宋体"/>
                <w:b/>
                <w:bCs/>
                <w:color w:val="auto"/>
                <w:szCs w:val="21"/>
              </w:rPr>
              <w:t>8、中小企业声明函</w:t>
            </w:r>
            <w:r>
              <w:rPr>
                <w:rFonts w:hint="eastAsia" w:ascii="仿宋" w:hAnsi="仿宋" w:eastAsia="仿宋" w:cs="宋体"/>
                <w:b/>
                <w:color w:val="auto"/>
                <w:szCs w:val="21"/>
              </w:rPr>
              <w:t>（格式后附）；（必须提供，否则按无效投标处理）</w:t>
            </w:r>
          </w:p>
          <w:p w14:paraId="73B1E830">
            <w:pPr>
              <w:autoSpaceDE w:val="0"/>
              <w:autoSpaceDN w:val="0"/>
              <w:snapToGrid w:val="0"/>
              <w:spacing w:line="400" w:lineRule="exact"/>
              <w:textAlignment w:val="bottom"/>
              <w:rPr>
                <w:rFonts w:hint="eastAsia" w:ascii="仿宋" w:hAnsi="仿宋" w:eastAsia="仿宋" w:cs="宋体"/>
                <w:color w:val="auto"/>
                <w:szCs w:val="21"/>
              </w:rPr>
            </w:pPr>
            <w:r>
              <w:rPr>
                <w:rFonts w:hint="eastAsia" w:ascii="仿宋" w:hAnsi="仿宋" w:eastAsia="仿宋" w:cs="宋体"/>
                <w:color w:val="auto"/>
                <w:szCs w:val="21"/>
              </w:rPr>
              <w:t>9、除招标文件规定必须提供以外，投标人认为需要提供的其他证明材料（如“信用中国”网站(www.creditchina.gov.cn) 、中国政府采购网(www.ccgp.gov.cn)被列入失信被执行人、重大税收违法案件当事人名单、政府采购严重违法失信行为记录名单查询结果）。</w:t>
            </w:r>
          </w:p>
          <w:p w14:paraId="647C7B95">
            <w:pPr>
              <w:snapToGrid w:val="0"/>
              <w:spacing w:line="400" w:lineRule="exact"/>
              <w:ind w:firstLine="422" w:firstLineChars="200"/>
              <w:jc w:val="left"/>
              <w:rPr>
                <w:rFonts w:hint="eastAsia" w:ascii="仿宋" w:hAnsi="仿宋" w:eastAsia="仿宋"/>
                <w:b/>
                <w:bCs/>
                <w:color w:val="auto"/>
                <w:szCs w:val="21"/>
              </w:rPr>
            </w:pPr>
            <w:r>
              <w:rPr>
                <w:rFonts w:hint="eastAsia" w:ascii="仿宋" w:hAnsi="仿宋" w:eastAsia="仿宋"/>
                <w:b/>
                <w:bCs/>
                <w:color w:val="auto"/>
                <w:szCs w:val="21"/>
              </w:rPr>
              <w:t>注：</w:t>
            </w:r>
          </w:p>
          <w:p w14:paraId="593EC143">
            <w:pPr>
              <w:snapToGrid w:val="0"/>
              <w:spacing w:line="400" w:lineRule="exact"/>
              <w:ind w:firstLine="422" w:firstLineChars="200"/>
              <w:jc w:val="left"/>
              <w:rPr>
                <w:rFonts w:hint="eastAsia" w:ascii="仿宋" w:hAnsi="仿宋" w:eastAsia="仿宋" w:cs="Courier New"/>
                <w:b/>
                <w:color w:val="auto"/>
                <w:szCs w:val="21"/>
              </w:rPr>
            </w:pPr>
            <w:r>
              <w:rPr>
                <w:rFonts w:hint="eastAsia" w:ascii="仿宋" w:hAnsi="仿宋" w:eastAsia="仿宋"/>
                <w:b/>
                <w:bCs/>
                <w:color w:val="auto"/>
                <w:szCs w:val="21"/>
              </w:rPr>
              <w:t>1、以上标明“必须提供”的材料属于复印件的，必须加盖投标人公章，否则按无效投标</w:t>
            </w:r>
            <w:r>
              <w:rPr>
                <w:rFonts w:hint="eastAsia" w:ascii="仿宋" w:hAnsi="仿宋" w:eastAsia="仿宋" w:cs="Courier New"/>
                <w:b/>
                <w:color w:val="auto"/>
                <w:szCs w:val="21"/>
              </w:rPr>
              <w:t>处理。</w:t>
            </w:r>
          </w:p>
          <w:p w14:paraId="6C1F3B59">
            <w:pPr>
              <w:snapToGrid w:val="0"/>
              <w:spacing w:line="400" w:lineRule="exact"/>
              <w:ind w:firstLine="422" w:firstLineChars="200"/>
              <w:jc w:val="left"/>
              <w:rPr>
                <w:rFonts w:hint="eastAsia" w:ascii="仿宋" w:hAnsi="仿宋" w:eastAsia="仿宋"/>
                <w:b/>
                <w:bCs/>
                <w:color w:val="auto"/>
                <w:szCs w:val="21"/>
              </w:rPr>
            </w:pPr>
            <w:r>
              <w:rPr>
                <w:rFonts w:hint="eastAsia" w:ascii="仿宋" w:hAnsi="仿宋" w:eastAsia="仿宋" w:cs="Courier New"/>
                <w:b/>
                <w:color w:val="auto"/>
                <w:szCs w:val="21"/>
              </w:rPr>
              <w:t>2、</w:t>
            </w:r>
            <w:r>
              <w:rPr>
                <w:rFonts w:hint="eastAsia" w:ascii="仿宋" w:hAnsi="仿宋" w:eastAsia="仿宋"/>
                <w:b/>
                <w:bCs/>
                <w:color w:val="auto"/>
                <w:szCs w:val="21"/>
              </w:rPr>
              <w:t>投标声明必须由法定代表人在规定签章处签字并加盖投标人公章，否则按无效投标处理。</w:t>
            </w:r>
          </w:p>
          <w:p w14:paraId="12A705E7">
            <w:pPr>
              <w:snapToGrid w:val="0"/>
              <w:spacing w:line="400" w:lineRule="exact"/>
              <w:ind w:firstLine="422" w:firstLineChars="200"/>
              <w:jc w:val="left"/>
              <w:rPr>
                <w:rFonts w:hint="eastAsia" w:ascii="仿宋" w:hAnsi="仿宋" w:eastAsia="仿宋"/>
                <w:b/>
                <w:bCs/>
                <w:color w:val="auto"/>
                <w:szCs w:val="21"/>
              </w:rPr>
            </w:pPr>
            <w:r>
              <w:rPr>
                <w:rFonts w:hint="eastAsia" w:ascii="仿宋" w:hAnsi="仿宋" w:eastAsia="仿宋"/>
                <w:b/>
                <w:bCs/>
                <w:color w:val="auto"/>
                <w:szCs w:val="21"/>
              </w:rPr>
              <w:t>3、投标人直接控股、管理关系信息表必须由法定代表人或者委托代理人在规定签章处签字并加盖投标人公章，否则按无效投标</w:t>
            </w:r>
            <w:r>
              <w:rPr>
                <w:rFonts w:hint="eastAsia" w:ascii="仿宋" w:hAnsi="仿宋" w:eastAsia="仿宋" w:cs="Courier New"/>
                <w:b/>
                <w:color w:val="auto"/>
                <w:szCs w:val="21"/>
              </w:rPr>
              <w:t>处理</w:t>
            </w:r>
            <w:r>
              <w:rPr>
                <w:rFonts w:hint="eastAsia" w:ascii="仿宋" w:hAnsi="仿宋" w:eastAsia="仿宋"/>
                <w:b/>
                <w:bCs/>
                <w:color w:val="auto"/>
                <w:szCs w:val="21"/>
              </w:rPr>
              <w:t>。</w:t>
            </w:r>
          </w:p>
          <w:p w14:paraId="73A5593A">
            <w:pPr>
              <w:snapToGrid w:val="0"/>
              <w:spacing w:line="400" w:lineRule="exact"/>
              <w:ind w:firstLine="422" w:firstLineChars="200"/>
              <w:jc w:val="left"/>
              <w:rPr>
                <w:rFonts w:hint="eastAsia" w:ascii="仿宋" w:hAnsi="仿宋" w:eastAsia="仿宋"/>
                <w:b/>
                <w:bCs/>
                <w:color w:val="auto"/>
                <w:szCs w:val="21"/>
              </w:rPr>
            </w:pPr>
            <w:r>
              <w:rPr>
                <w:rFonts w:hint="eastAsia" w:ascii="仿宋" w:hAnsi="仿宋" w:eastAsia="仿宋"/>
                <w:b/>
                <w:bCs/>
                <w:color w:val="auto"/>
                <w:szCs w:val="21"/>
              </w:rPr>
              <w:t>4、联合体投标时，第1-5项资格证明文件联合体各方均必须分别提供，联合体各方分别盖章和签字，否则按无效投标</w:t>
            </w:r>
            <w:r>
              <w:rPr>
                <w:rFonts w:hint="eastAsia" w:ascii="仿宋" w:hAnsi="仿宋" w:eastAsia="仿宋" w:cs="Courier New"/>
                <w:b/>
                <w:color w:val="auto"/>
                <w:szCs w:val="21"/>
              </w:rPr>
              <w:t>处理</w:t>
            </w:r>
            <w:r>
              <w:rPr>
                <w:rFonts w:hint="eastAsia" w:ascii="仿宋" w:hAnsi="仿宋" w:eastAsia="仿宋"/>
                <w:b/>
                <w:bCs/>
                <w:color w:val="auto"/>
                <w:szCs w:val="21"/>
              </w:rPr>
              <w:t>。</w:t>
            </w:r>
          </w:p>
        </w:tc>
      </w:tr>
      <w:tr w14:paraId="448671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vAlign w:val="center"/>
          </w:tcPr>
          <w:p w14:paraId="56714BC5">
            <w:pPr>
              <w:spacing w:line="400" w:lineRule="exact"/>
              <w:rPr>
                <w:rFonts w:hint="eastAsia" w:ascii="仿宋" w:hAnsi="仿宋" w:eastAsia="仿宋"/>
                <w:color w:val="auto"/>
                <w:szCs w:val="21"/>
              </w:rPr>
            </w:pPr>
            <w:bookmarkStart w:id="46" w:name="_13.3"/>
            <w:bookmarkEnd w:id="46"/>
          </w:p>
        </w:tc>
        <w:tc>
          <w:tcPr>
            <w:tcW w:w="8708" w:type="dxa"/>
            <w:tcBorders>
              <w:top w:val="single" w:color="auto" w:sz="4" w:space="0"/>
              <w:left w:val="single" w:color="auto" w:sz="4" w:space="0"/>
              <w:bottom w:val="single" w:color="auto" w:sz="4" w:space="0"/>
              <w:right w:val="single" w:color="auto" w:sz="4" w:space="0"/>
            </w:tcBorders>
            <w:vAlign w:val="center"/>
          </w:tcPr>
          <w:p w14:paraId="2FF4CF92">
            <w:pPr>
              <w:snapToGrid w:val="0"/>
              <w:spacing w:line="400" w:lineRule="exact"/>
              <w:jc w:val="left"/>
              <w:rPr>
                <w:rFonts w:ascii="仿宋" w:hAnsi="仿宋" w:eastAsia="仿宋" w:cs="Courier New"/>
                <w:b/>
                <w:color w:val="auto"/>
                <w:szCs w:val="21"/>
              </w:rPr>
            </w:pPr>
            <w:r>
              <w:rPr>
                <w:rFonts w:hint="eastAsia" w:ascii="仿宋" w:hAnsi="仿宋" w:eastAsia="仿宋" w:cs="Courier New"/>
                <w:b/>
                <w:color w:val="auto"/>
                <w:szCs w:val="21"/>
              </w:rPr>
              <w:t>商务文件：</w:t>
            </w:r>
          </w:p>
          <w:p w14:paraId="6E3D4FD3">
            <w:pPr>
              <w:snapToGrid w:val="0"/>
              <w:spacing w:line="400" w:lineRule="exact"/>
              <w:jc w:val="left"/>
              <w:rPr>
                <w:rFonts w:hint="eastAsia" w:ascii="仿宋" w:hAnsi="仿宋" w:eastAsia="仿宋"/>
                <w:color w:val="auto"/>
                <w:szCs w:val="21"/>
              </w:rPr>
            </w:pPr>
            <w:r>
              <w:rPr>
                <w:rFonts w:hint="eastAsia" w:ascii="仿宋" w:hAnsi="仿宋" w:eastAsia="仿宋"/>
                <w:color w:val="auto"/>
                <w:szCs w:val="21"/>
              </w:rPr>
              <w:t>1、无串通投标行为的承诺函（格式后附）；（</w:t>
            </w:r>
            <w:r>
              <w:rPr>
                <w:rFonts w:hint="eastAsia" w:ascii="仿宋" w:hAnsi="仿宋" w:eastAsia="仿宋"/>
                <w:b/>
                <w:color w:val="auto"/>
                <w:szCs w:val="21"/>
              </w:rPr>
              <w:t>必须提供，否则按无效投标处理</w:t>
            </w:r>
            <w:r>
              <w:rPr>
                <w:rFonts w:hint="eastAsia" w:ascii="仿宋" w:hAnsi="仿宋" w:eastAsia="仿宋"/>
                <w:color w:val="auto"/>
                <w:szCs w:val="21"/>
              </w:rPr>
              <w:t>）</w:t>
            </w:r>
          </w:p>
          <w:p w14:paraId="295E3724">
            <w:pPr>
              <w:snapToGrid w:val="0"/>
              <w:spacing w:line="400" w:lineRule="exact"/>
              <w:jc w:val="left"/>
              <w:rPr>
                <w:rFonts w:ascii="仿宋" w:hAnsi="仿宋" w:eastAsia="仿宋"/>
                <w:color w:val="auto"/>
                <w:szCs w:val="21"/>
              </w:rPr>
            </w:pPr>
            <w:r>
              <w:rPr>
                <w:rFonts w:hint="eastAsia" w:ascii="仿宋" w:hAnsi="仿宋" w:eastAsia="仿宋"/>
                <w:color w:val="auto"/>
                <w:szCs w:val="21"/>
              </w:rPr>
              <w:t>2、法定代表人身份证明及法定代表人有效身份证正反面复印件（格式后附）；（</w:t>
            </w:r>
            <w:r>
              <w:rPr>
                <w:rFonts w:hint="eastAsia" w:ascii="仿宋" w:hAnsi="仿宋" w:eastAsia="仿宋" w:cs="宋体"/>
                <w:b/>
                <w:bCs/>
                <w:color w:val="auto"/>
                <w:szCs w:val="21"/>
              </w:rPr>
              <w:t>除自然人投标外</w:t>
            </w:r>
            <w:r>
              <w:rPr>
                <w:rFonts w:hint="eastAsia" w:ascii="仿宋" w:hAnsi="仿宋" w:eastAsia="仿宋"/>
                <w:b/>
                <w:color w:val="auto"/>
                <w:szCs w:val="21"/>
              </w:rPr>
              <w:t>必须提供，否则按无效投标处理</w:t>
            </w:r>
            <w:r>
              <w:rPr>
                <w:rFonts w:hint="eastAsia" w:ascii="仿宋" w:hAnsi="仿宋" w:eastAsia="仿宋"/>
                <w:color w:val="auto"/>
                <w:szCs w:val="21"/>
              </w:rPr>
              <w:t>）</w:t>
            </w:r>
          </w:p>
          <w:p w14:paraId="43DBF9C6">
            <w:pPr>
              <w:snapToGrid w:val="0"/>
              <w:spacing w:line="400" w:lineRule="exact"/>
              <w:jc w:val="left"/>
              <w:rPr>
                <w:rFonts w:ascii="仿宋" w:hAnsi="仿宋" w:eastAsia="仿宋"/>
                <w:color w:val="auto"/>
                <w:szCs w:val="21"/>
              </w:rPr>
            </w:pPr>
            <w:r>
              <w:rPr>
                <w:rFonts w:ascii="仿宋" w:hAnsi="仿宋" w:eastAsia="仿宋"/>
                <w:color w:val="auto"/>
                <w:szCs w:val="21"/>
              </w:rPr>
              <w:t>3</w:t>
            </w:r>
            <w:r>
              <w:rPr>
                <w:rFonts w:hint="eastAsia" w:ascii="仿宋" w:hAnsi="仿宋" w:eastAsia="仿宋"/>
                <w:color w:val="auto"/>
                <w:szCs w:val="21"/>
              </w:rPr>
              <w:t>、授权委托书及委托代理人有效身份证正反面复印件（格式后附）；（</w:t>
            </w:r>
            <w:r>
              <w:rPr>
                <w:rFonts w:hint="eastAsia" w:ascii="仿宋" w:hAnsi="仿宋" w:eastAsia="仿宋"/>
                <w:b/>
                <w:color w:val="auto"/>
                <w:szCs w:val="21"/>
              </w:rPr>
              <w:t>委托时必须提供，否则按无效投标处理</w:t>
            </w:r>
            <w:r>
              <w:rPr>
                <w:rFonts w:hint="eastAsia" w:ascii="仿宋" w:hAnsi="仿宋" w:eastAsia="仿宋"/>
                <w:color w:val="auto"/>
                <w:szCs w:val="21"/>
              </w:rPr>
              <w:t>）</w:t>
            </w:r>
          </w:p>
          <w:p w14:paraId="0CB611D4">
            <w:pPr>
              <w:snapToGrid w:val="0"/>
              <w:spacing w:line="400" w:lineRule="exact"/>
              <w:jc w:val="left"/>
              <w:rPr>
                <w:rFonts w:hint="eastAsia" w:ascii="仿宋" w:hAnsi="仿宋" w:eastAsia="仿宋"/>
                <w:color w:val="auto"/>
                <w:szCs w:val="21"/>
              </w:rPr>
            </w:pPr>
            <w:r>
              <w:rPr>
                <w:rFonts w:ascii="仿宋" w:hAnsi="仿宋" w:eastAsia="仿宋"/>
                <w:color w:val="auto"/>
                <w:szCs w:val="21"/>
              </w:rPr>
              <w:t>4</w:t>
            </w:r>
            <w:r>
              <w:rPr>
                <w:rFonts w:hint="eastAsia" w:ascii="仿宋" w:hAnsi="仿宋" w:eastAsia="仿宋"/>
                <w:color w:val="auto"/>
                <w:szCs w:val="21"/>
              </w:rPr>
              <w:t>、商务要求偏离表（格式后附）；（</w:t>
            </w:r>
            <w:r>
              <w:rPr>
                <w:rFonts w:hint="eastAsia" w:ascii="仿宋" w:hAnsi="仿宋" w:eastAsia="仿宋"/>
                <w:b/>
                <w:color w:val="auto"/>
                <w:szCs w:val="21"/>
              </w:rPr>
              <w:t>必须提供，否则按无效投标处理</w:t>
            </w:r>
            <w:r>
              <w:rPr>
                <w:rFonts w:hint="eastAsia" w:ascii="仿宋" w:hAnsi="仿宋" w:eastAsia="仿宋"/>
                <w:color w:val="auto"/>
                <w:szCs w:val="21"/>
              </w:rPr>
              <w:t>）</w:t>
            </w:r>
          </w:p>
          <w:p w14:paraId="37B7FB39">
            <w:pPr>
              <w:snapToGrid w:val="0"/>
              <w:spacing w:line="400" w:lineRule="exact"/>
              <w:jc w:val="left"/>
              <w:rPr>
                <w:rFonts w:hint="eastAsia" w:ascii="仿宋" w:hAnsi="仿宋" w:eastAsia="仿宋"/>
                <w:color w:val="auto"/>
                <w:szCs w:val="21"/>
              </w:rPr>
            </w:pPr>
            <w:r>
              <w:rPr>
                <w:rFonts w:ascii="仿宋" w:hAnsi="仿宋" w:eastAsia="仿宋"/>
                <w:color w:val="auto"/>
                <w:szCs w:val="21"/>
              </w:rPr>
              <w:t>5</w:t>
            </w:r>
            <w:r>
              <w:rPr>
                <w:rFonts w:hint="eastAsia" w:ascii="仿宋" w:hAnsi="仿宋" w:eastAsia="仿宋"/>
                <w:color w:val="auto"/>
                <w:szCs w:val="21"/>
              </w:rPr>
              <w:t>、服务承诺（格式自拟）；（</w:t>
            </w:r>
            <w:r>
              <w:rPr>
                <w:rFonts w:hint="eastAsia" w:ascii="仿宋" w:hAnsi="仿宋" w:eastAsia="仿宋"/>
                <w:b/>
                <w:color w:val="auto"/>
                <w:szCs w:val="21"/>
              </w:rPr>
              <w:t>必须提供，否则按无效投标处理</w:t>
            </w:r>
            <w:r>
              <w:rPr>
                <w:rFonts w:hint="eastAsia" w:ascii="仿宋" w:hAnsi="仿宋" w:eastAsia="仿宋"/>
                <w:color w:val="auto"/>
                <w:szCs w:val="21"/>
              </w:rPr>
              <w:t>）</w:t>
            </w:r>
          </w:p>
          <w:p w14:paraId="0698A6A5">
            <w:pPr>
              <w:snapToGrid w:val="0"/>
              <w:spacing w:line="400" w:lineRule="exact"/>
              <w:jc w:val="left"/>
              <w:rPr>
                <w:rFonts w:hint="eastAsia" w:ascii="仿宋" w:hAnsi="仿宋" w:eastAsia="仿宋"/>
                <w:color w:val="auto"/>
                <w:szCs w:val="21"/>
              </w:rPr>
            </w:pPr>
            <w:r>
              <w:rPr>
                <w:rFonts w:ascii="仿宋" w:hAnsi="仿宋" w:eastAsia="仿宋"/>
                <w:color w:val="auto"/>
                <w:szCs w:val="21"/>
              </w:rPr>
              <w:t>6</w:t>
            </w:r>
            <w:r>
              <w:rPr>
                <w:rFonts w:hint="eastAsia" w:ascii="仿宋" w:hAnsi="仿宋" w:eastAsia="仿宋"/>
                <w:color w:val="auto"/>
                <w:szCs w:val="21"/>
              </w:rPr>
              <w:t>、投标人情况介绍（格式自拟）；</w:t>
            </w:r>
          </w:p>
          <w:p w14:paraId="4F3337F5">
            <w:pPr>
              <w:snapToGrid w:val="0"/>
              <w:spacing w:line="400" w:lineRule="exact"/>
              <w:jc w:val="left"/>
              <w:rPr>
                <w:rFonts w:hint="eastAsia" w:ascii="仿宋" w:hAnsi="仿宋" w:eastAsia="仿宋"/>
                <w:color w:val="auto"/>
                <w:szCs w:val="21"/>
              </w:rPr>
            </w:pPr>
            <w:r>
              <w:rPr>
                <w:rFonts w:hint="eastAsia" w:ascii="仿宋" w:hAnsi="仿宋" w:eastAsia="仿宋"/>
                <w:color w:val="auto"/>
                <w:szCs w:val="21"/>
                <w:lang w:val="en-US" w:eastAsia="zh-CN"/>
              </w:rPr>
              <w:t>7</w:t>
            </w:r>
            <w:r>
              <w:rPr>
                <w:rFonts w:hint="eastAsia" w:ascii="仿宋" w:hAnsi="仿宋" w:eastAsia="仿宋"/>
                <w:color w:val="auto"/>
                <w:szCs w:val="21"/>
              </w:rPr>
              <w:t>、除招标文件规定必须提供以外，投标人认为需要提供的其他证明材料（格式自拟）。（投标人根据“第二章 采购需求”及“第四章 评标方法及评标标准”提供有关证明材料）。</w:t>
            </w:r>
          </w:p>
          <w:p w14:paraId="1C085FED">
            <w:pPr>
              <w:snapToGrid w:val="0"/>
              <w:spacing w:line="400" w:lineRule="exact"/>
              <w:ind w:firstLine="422" w:firstLineChars="200"/>
              <w:jc w:val="left"/>
              <w:rPr>
                <w:rFonts w:hint="eastAsia" w:ascii="仿宋" w:hAnsi="仿宋" w:eastAsia="仿宋"/>
                <w:color w:val="auto"/>
                <w:szCs w:val="21"/>
              </w:rPr>
            </w:pPr>
            <w:r>
              <w:rPr>
                <w:rFonts w:hint="eastAsia" w:ascii="仿宋" w:hAnsi="仿宋" w:eastAsia="仿宋"/>
                <w:b/>
                <w:bCs/>
                <w:color w:val="auto"/>
                <w:szCs w:val="21"/>
              </w:rPr>
              <w:t>注：以上标明“必须提供”的材料属于复印件的，必须加盖投标人公章，否则按无效投标</w:t>
            </w:r>
            <w:r>
              <w:rPr>
                <w:rFonts w:hint="eastAsia" w:ascii="仿宋" w:hAnsi="仿宋" w:eastAsia="仿宋" w:cs="Courier New"/>
                <w:b/>
                <w:color w:val="auto"/>
                <w:szCs w:val="21"/>
              </w:rPr>
              <w:t>处理</w:t>
            </w:r>
            <w:r>
              <w:rPr>
                <w:rFonts w:hint="eastAsia" w:ascii="仿宋" w:hAnsi="仿宋" w:eastAsia="仿宋"/>
                <w:b/>
                <w:bCs/>
                <w:color w:val="auto"/>
                <w:szCs w:val="21"/>
              </w:rPr>
              <w:t>。</w:t>
            </w:r>
          </w:p>
        </w:tc>
      </w:tr>
      <w:tr w14:paraId="421A2D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bottom w:val="single" w:color="auto" w:sz="4" w:space="0"/>
              <w:right w:val="single" w:color="auto" w:sz="4" w:space="0"/>
            </w:tcBorders>
            <w:vAlign w:val="center"/>
          </w:tcPr>
          <w:p w14:paraId="4F4393AD">
            <w:pPr>
              <w:spacing w:line="400" w:lineRule="exact"/>
              <w:rPr>
                <w:rFonts w:hint="eastAsia" w:ascii="仿宋" w:hAnsi="仿宋" w:eastAsia="仿宋"/>
                <w:color w:val="auto"/>
                <w:szCs w:val="21"/>
              </w:rPr>
            </w:pPr>
            <w:bookmarkStart w:id="47" w:name="_13.4"/>
            <w:bookmarkEnd w:id="47"/>
          </w:p>
        </w:tc>
        <w:tc>
          <w:tcPr>
            <w:tcW w:w="8708" w:type="dxa"/>
            <w:tcBorders>
              <w:top w:val="single" w:color="auto" w:sz="4" w:space="0"/>
              <w:left w:val="single" w:color="auto" w:sz="4" w:space="0"/>
              <w:bottom w:val="single" w:color="auto" w:sz="4" w:space="0"/>
              <w:right w:val="single" w:color="auto" w:sz="4" w:space="0"/>
            </w:tcBorders>
            <w:vAlign w:val="center"/>
          </w:tcPr>
          <w:p w14:paraId="614F0169">
            <w:pPr>
              <w:snapToGrid w:val="0"/>
              <w:spacing w:line="400" w:lineRule="exact"/>
              <w:jc w:val="left"/>
              <w:rPr>
                <w:rFonts w:hint="eastAsia" w:ascii="仿宋" w:hAnsi="仿宋" w:eastAsia="仿宋" w:cs="Courier New"/>
                <w:b/>
                <w:color w:val="auto"/>
                <w:szCs w:val="21"/>
              </w:rPr>
            </w:pPr>
            <w:r>
              <w:rPr>
                <w:rFonts w:hint="eastAsia" w:ascii="仿宋" w:hAnsi="仿宋" w:eastAsia="仿宋" w:cs="Courier New"/>
                <w:b/>
                <w:color w:val="auto"/>
                <w:szCs w:val="21"/>
              </w:rPr>
              <w:t xml:space="preserve">技术文件： </w:t>
            </w:r>
          </w:p>
          <w:p w14:paraId="7170FBEA">
            <w:pPr>
              <w:snapToGrid w:val="0"/>
              <w:spacing w:line="400" w:lineRule="exact"/>
              <w:jc w:val="left"/>
              <w:rPr>
                <w:rFonts w:hint="eastAsia" w:ascii="仿宋" w:hAnsi="仿宋" w:eastAsia="仿宋"/>
                <w:color w:val="auto"/>
                <w:szCs w:val="21"/>
              </w:rPr>
            </w:pPr>
            <w:r>
              <w:rPr>
                <w:rFonts w:hint="eastAsia" w:ascii="仿宋" w:hAnsi="仿宋" w:eastAsia="仿宋"/>
                <w:color w:val="auto"/>
                <w:szCs w:val="21"/>
                <w:lang w:val="en-US" w:eastAsia="zh-CN"/>
              </w:rPr>
              <w:t>1</w:t>
            </w:r>
            <w:r>
              <w:rPr>
                <w:rFonts w:hint="eastAsia" w:ascii="仿宋" w:hAnsi="仿宋" w:eastAsia="仿宋"/>
                <w:color w:val="auto"/>
                <w:szCs w:val="21"/>
              </w:rPr>
              <w:t>、技术要求偏离表（格式后附）；（</w:t>
            </w:r>
            <w:r>
              <w:rPr>
                <w:rFonts w:hint="eastAsia" w:ascii="仿宋" w:hAnsi="仿宋" w:eastAsia="仿宋"/>
                <w:b/>
                <w:color w:val="auto"/>
                <w:szCs w:val="21"/>
              </w:rPr>
              <w:t>必须提供，否则按无效投标处理</w:t>
            </w:r>
            <w:r>
              <w:rPr>
                <w:rFonts w:hint="eastAsia" w:ascii="仿宋" w:hAnsi="仿宋" w:eastAsia="仿宋"/>
                <w:color w:val="auto"/>
                <w:szCs w:val="21"/>
              </w:rPr>
              <w:t>）</w:t>
            </w:r>
          </w:p>
          <w:p w14:paraId="7C5FB0BC">
            <w:pPr>
              <w:snapToGrid w:val="0"/>
              <w:spacing w:line="400" w:lineRule="exact"/>
              <w:jc w:val="left"/>
              <w:rPr>
                <w:rFonts w:hint="eastAsia" w:ascii="仿宋" w:hAnsi="仿宋" w:eastAsia="仿宋"/>
                <w:color w:val="auto"/>
                <w:szCs w:val="21"/>
              </w:rPr>
            </w:pPr>
            <w:r>
              <w:rPr>
                <w:rFonts w:hint="eastAsia" w:ascii="仿宋" w:hAnsi="仿宋" w:eastAsia="仿宋"/>
                <w:color w:val="auto"/>
                <w:szCs w:val="21"/>
                <w:lang w:val="en-US" w:eastAsia="zh-CN"/>
              </w:rPr>
              <w:t>2</w:t>
            </w:r>
            <w:r>
              <w:rPr>
                <w:rFonts w:hint="eastAsia" w:ascii="仿宋" w:hAnsi="仿宋" w:eastAsia="仿宋"/>
                <w:color w:val="auto"/>
                <w:szCs w:val="21"/>
              </w:rPr>
              <w:t>、</w:t>
            </w:r>
            <w:r>
              <w:rPr>
                <w:rFonts w:hint="eastAsia" w:ascii="仿宋" w:hAnsi="仿宋" w:eastAsia="仿宋"/>
                <w:color w:val="auto"/>
                <w:szCs w:val="21"/>
                <w:lang w:val="en-US" w:eastAsia="zh-CN"/>
              </w:rPr>
              <w:t>服务</w:t>
            </w:r>
            <w:r>
              <w:rPr>
                <w:rFonts w:hint="eastAsia" w:ascii="仿宋" w:hAnsi="仿宋" w:eastAsia="仿宋"/>
                <w:color w:val="auto"/>
                <w:szCs w:val="21"/>
              </w:rPr>
              <w:t>方案（格式自拟）</w:t>
            </w:r>
            <w:r>
              <w:rPr>
                <w:rFonts w:hint="eastAsia" w:ascii="仿宋" w:hAnsi="仿宋" w:eastAsia="仿宋"/>
                <w:color w:val="auto"/>
                <w:szCs w:val="21"/>
                <w:lang w:eastAsia="zh-CN"/>
              </w:rPr>
              <w:t>（包括</w:t>
            </w:r>
            <w:r>
              <w:rPr>
                <w:rFonts w:hint="eastAsia" w:ascii="仿宋" w:hAnsi="仿宋" w:eastAsia="仿宋"/>
                <w:color w:val="auto"/>
                <w:szCs w:val="21"/>
                <w:lang w:val="en-US" w:eastAsia="zh-CN"/>
              </w:rPr>
              <w:t>服务方案</w:t>
            </w:r>
            <w:r>
              <w:rPr>
                <w:rFonts w:hint="eastAsia" w:ascii="仿宋" w:hAnsi="仿宋" w:eastAsia="仿宋"/>
                <w:color w:val="auto"/>
                <w:szCs w:val="21"/>
                <w:lang w:eastAsia="zh-CN"/>
              </w:rPr>
              <w:t>；管理规章制度、机构设置和运作流程方案；应急处置预案</w:t>
            </w:r>
            <w:r>
              <w:rPr>
                <w:rFonts w:hint="eastAsia" w:ascii="仿宋" w:hAnsi="仿宋" w:eastAsia="仿宋"/>
                <w:color w:val="auto"/>
                <w:szCs w:val="21"/>
              </w:rPr>
              <w:t>）</w:t>
            </w:r>
          </w:p>
          <w:p w14:paraId="2F5D005D">
            <w:pPr>
              <w:snapToGrid w:val="0"/>
              <w:spacing w:line="400" w:lineRule="exact"/>
              <w:jc w:val="left"/>
              <w:rPr>
                <w:rFonts w:ascii="仿宋" w:hAnsi="仿宋" w:eastAsia="仿宋"/>
                <w:color w:val="auto"/>
                <w:szCs w:val="21"/>
              </w:rPr>
            </w:pPr>
            <w:r>
              <w:rPr>
                <w:rFonts w:hint="eastAsia" w:ascii="仿宋" w:hAnsi="仿宋" w:eastAsia="仿宋"/>
                <w:color w:val="auto"/>
                <w:szCs w:val="21"/>
                <w:lang w:val="en-US" w:eastAsia="zh-CN"/>
              </w:rPr>
              <w:t>3、</w:t>
            </w:r>
            <w:r>
              <w:rPr>
                <w:rFonts w:hint="eastAsia" w:ascii="仿宋" w:hAnsi="仿宋" w:eastAsia="仿宋"/>
                <w:color w:val="auto"/>
                <w:szCs w:val="21"/>
              </w:rPr>
              <w:t>项目实施人员一览表（格式后附）</w:t>
            </w:r>
            <w:r>
              <w:rPr>
                <w:rFonts w:hint="eastAsia" w:ascii="仿宋" w:hAnsi="仿宋" w:eastAsia="仿宋"/>
                <w:color w:val="auto"/>
                <w:szCs w:val="21"/>
                <w:lang w:eastAsia="zh-CN"/>
              </w:rPr>
              <w:t>、人员管理方案</w:t>
            </w:r>
            <w:r>
              <w:rPr>
                <w:rFonts w:hint="eastAsia" w:ascii="仿宋" w:hAnsi="仿宋" w:eastAsia="仿宋"/>
                <w:color w:val="auto"/>
                <w:szCs w:val="21"/>
              </w:rPr>
              <w:t>；</w:t>
            </w:r>
          </w:p>
          <w:p w14:paraId="00978CC9">
            <w:pPr>
              <w:snapToGrid w:val="0"/>
              <w:spacing w:line="400" w:lineRule="exact"/>
              <w:jc w:val="left"/>
              <w:rPr>
                <w:rFonts w:hint="eastAsia" w:ascii="仿宋" w:hAnsi="仿宋" w:eastAsia="仿宋"/>
                <w:color w:val="auto"/>
                <w:szCs w:val="21"/>
              </w:rPr>
            </w:pPr>
            <w:r>
              <w:rPr>
                <w:rFonts w:hint="eastAsia" w:ascii="仿宋" w:hAnsi="仿宋" w:eastAsia="仿宋"/>
                <w:color w:val="auto"/>
                <w:szCs w:val="21"/>
              </w:rPr>
              <w:t>4、投标人对本项目的合理化建议和改进措施（格式自拟）；</w:t>
            </w:r>
          </w:p>
          <w:p w14:paraId="664DF982">
            <w:pPr>
              <w:snapToGrid w:val="0"/>
              <w:spacing w:line="400" w:lineRule="exact"/>
              <w:jc w:val="left"/>
              <w:rPr>
                <w:rFonts w:hint="eastAsia" w:ascii="仿宋" w:hAnsi="仿宋" w:eastAsia="仿宋"/>
                <w:color w:val="auto"/>
                <w:szCs w:val="21"/>
              </w:rPr>
            </w:pPr>
            <w:r>
              <w:rPr>
                <w:rFonts w:hint="eastAsia" w:ascii="仿宋" w:hAnsi="仿宋" w:eastAsia="仿宋"/>
                <w:color w:val="auto"/>
                <w:szCs w:val="21"/>
                <w:lang w:val="en-US" w:eastAsia="zh-CN"/>
              </w:rPr>
              <w:t>5</w:t>
            </w:r>
            <w:r>
              <w:rPr>
                <w:rFonts w:hint="eastAsia" w:ascii="仿宋" w:hAnsi="仿宋" w:eastAsia="仿宋"/>
                <w:color w:val="auto"/>
                <w:szCs w:val="21"/>
              </w:rPr>
              <w:t>、除招标文件规定必须提供以外，投标人需要说明的其他文件和说明（格式自拟）。</w:t>
            </w:r>
          </w:p>
          <w:p w14:paraId="0D4F78BE">
            <w:pPr>
              <w:snapToGrid w:val="0"/>
              <w:spacing w:line="400" w:lineRule="exact"/>
              <w:ind w:firstLine="422" w:firstLineChars="200"/>
              <w:jc w:val="left"/>
              <w:rPr>
                <w:rFonts w:hint="eastAsia" w:ascii="仿宋" w:hAnsi="仿宋" w:eastAsia="仿宋"/>
                <w:b/>
                <w:bCs/>
                <w:color w:val="auto"/>
                <w:szCs w:val="21"/>
              </w:rPr>
            </w:pPr>
            <w:r>
              <w:rPr>
                <w:rFonts w:hint="eastAsia" w:ascii="仿宋" w:hAnsi="仿宋" w:eastAsia="仿宋"/>
                <w:b/>
                <w:bCs/>
                <w:color w:val="auto"/>
                <w:szCs w:val="21"/>
              </w:rPr>
              <w:t>注：以上标明“必须提供”的材料属于复印件的，必须加盖投标人公章，否则按无效投标</w:t>
            </w:r>
            <w:r>
              <w:rPr>
                <w:rFonts w:hint="eastAsia" w:ascii="仿宋" w:hAnsi="仿宋" w:eastAsia="仿宋" w:cs="Courier New"/>
                <w:b/>
                <w:color w:val="auto"/>
                <w:szCs w:val="21"/>
              </w:rPr>
              <w:t>处理</w:t>
            </w:r>
            <w:r>
              <w:rPr>
                <w:rFonts w:hint="eastAsia" w:ascii="仿宋" w:hAnsi="仿宋" w:eastAsia="仿宋"/>
                <w:b/>
                <w:bCs/>
                <w:color w:val="auto"/>
                <w:szCs w:val="21"/>
              </w:rPr>
              <w:t>。</w:t>
            </w:r>
          </w:p>
        </w:tc>
      </w:tr>
      <w:tr w14:paraId="78D92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DAB1077">
            <w:pPr>
              <w:spacing w:line="400" w:lineRule="exact"/>
              <w:jc w:val="center"/>
              <w:rPr>
                <w:rFonts w:hint="eastAsia" w:ascii="仿宋" w:hAnsi="仿宋" w:eastAsia="仿宋"/>
                <w:color w:val="auto"/>
                <w:szCs w:val="21"/>
              </w:rPr>
            </w:pPr>
            <w:bookmarkStart w:id="48" w:name="_16.2"/>
            <w:bookmarkEnd w:id="48"/>
            <w:bookmarkStart w:id="49" w:name="_13.5"/>
            <w:bookmarkEnd w:id="49"/>
            <w:r>
              <w:rPr>
                <w:rFonts w:hint="eastAsia" w:ascii="仿宋" w:hAnsi="仿宋" w:eastAsia="仿宋"/>
                <w:color w:val="auto"/>
                <w:szCs w:val="21"/>
              </w:rPr>
              <w:t>16</w:t>
            </w:r>
            <w:bookmarkStart w:id="50" w:name="_Hlt19194067"/>
            <w:bookmarkStart w:id="51" w:name="_Hlt19194066"/>
            <w:bookmarkStart w:id="52" w:name="_Hlt19693759"/>
            <w:bookmarkStart w:id="53" w:name="_Hlt19693758"/>
            <w:r>
              <w:rPr>
                <w:rFonts w:hint="eastAsia" w:ascii="仿宋" w:hAnsi="仿宋" w:eastAsia="仿宋"/>
                <w:color w:val="auto"/>
                <w:szCs w:val="21"/>
              </w:rPr>
              <w:t>.</w:t>
            </w:r>
            <w:bookmarkEnd w:id="50"/>
            <w:bookmarkEnd w:id="51"/>
            <w:bookmarkEnd w:id="52"/>
            <w:bookmarkEnd w:id="53"/>
            <w:r>
              <w:rPr>
                <w:rFonts w:hint="eastAsia" w:ascii="仿宋" w:hAnsi="仿宋" w:eastAsia="仿宋"/>
                <w:color w:val="auto"/>
                <w:szCs w:val="21"/>
              </w:rPr>
              <w:t>2</w:t>
            </w:r>
          </w:p>
        </w:tc>
        <w:tc>
          <w:tcPr>
            <w:tcW w:w="8708" w:type="dxa"/>
            <w:tcBorders>
              <w:top w:val="single" w:color="auto" w:sz="4" w:space="0"/>
              <w:left w:val="single" w:color="auto" w:sz="4" w:space="0"/>
              <w:bottom w:val="single" w:color="auto" w:sz="4" w:space="0"/>
              <w:right w:val="single" w:color="auto" w:sz="4" w:space="0"/>
            </w:tcBorders>
            <w:vAlign w:val="center"/>
          </w:tcPr>
          <w:p w14:paraId="6A287798">
            <w:pPr>
              <w:snapToGrid w:val="0"/>
              <w:spacing w:line="400" w:lineRule="exact"/>
              <w:ind w:firstLine="420" w:firstLineChars="200"/>
              <w:rPr>
                <w:rFonts w:hint="eastAsia" w:ascii="仿宋" w:hAnsi="仿宋" w:eastAsia="仿宋"/>
                <w:b/>
                <w:color w:val="auto"/>
                <w:szCs w:val="21"/>
              </w:rPr>
            </w:pPr>
            <w:r>
              <w:rPr>
                <w:rFonts w:hint="eastAsia" w:ascii="仿宋" w:hAnsi="仿宋" w:eastAsia="仿宋"/>
                <w:color w:val="auto"/>
                <w:szCs w:val="21"/>
              </w:rPr>
              <w:t>投标报价是履行合同的最终价格，即满足全部采购需求所应提供的服务的价格；各种保洁设备、消毒药品、各类相关的保洁、洗涤耗材、洗衣房洗涤布草产生的水电费、各项管理费用、利润、人员工资、社会保险、教育培训、工伤及各种津补贴及税费等一切费用。</w:t>
            </w:r>
            <w:r>
              <w:rPr>
                <w:rFonts w:hint="eastAsia" w:ascii="仿宋" w:hAnsi="仿宋" w:eastAsia="仿宋"/>
                <w:b/>
                <w:color w:val="auto"/>
                <w:szCs w:val="21"/>
              </w:rPr>
              <w:t>（采购需求另有约定的，从其约定）</w:t>
            </w:r>
          </w:p>
        </w:tc>
      </w:tr>
      <w:tr w14:paraId="6BAEC3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46EF946A">
            <w:pPr>
              <w:spacing w:line="400" w:lineRule="exact"/>
              <w:jc w:val="center"/>
              <w:rPr>
                <w:rFonts w:hint="eastAsia" w:ascii="仿宋" w:hAnsi="仿宋" w:eastAsia="仿宋"/>
                <w:color w:val="auto"/>
                <w:szCs w:val="21"/>
              </w:rPr>
            </w:pPr>
            <w:bookmarkStart w:id="54" w:name="_17.1"/>
            <w:bookmarkEnd w:id="54"/>
            <w:r>
              <w:rPr>
                <w:rFonts w:hint="eastAsia" w:ascii="仿宋" w:hAnsi="仿宋" w:eastAsia="仿宋"/>
                <w:color w:val="auto"/>
                <w:szCs w:val="21"/>
              </w:rPr>
              <w:t>17.</w:t>
            </w:r>
            <w:r>
              <w:rPr>
                <w:rFonts w:ascii="仿宋" w:hAnsi="仿宋" w:eastAsia="仿宋"/>
                <w:color w:val="auto"/>
                <w:szCs w:val="21"/>
              </w:rPr>
              <w:t>2</w:t>
            </w:r>
          </w:p>
        </w:tc>
        <w:tc>
          <w:tcPr>
            <w:tcW w:w="8708" w:type="dxa"/>
            <w:tcBorders>
              <w:top w:val="single" w:color="auto" w:sz="4" w:space="0"/>
              <w:left w:val="single" w:color="auto" w:sz="4" w:space="0"/>
              <w:bottom w:val="single" w:color="auto" w:sz="4" w:space="0"/>
              <w:right w:val="single" w:color="auto" w:sz="4" w:space="0"/>
            </w:tcBorders>
            <w:vAlign w:val="center"/>
          </w:tcPr>
          <w:p w14:paraId="34BF0C50">
            <w:pPr>
              <w:snapToGrid w:val="0"/>
              <w:spacing w:line="400" w:lineRule="exact"/>
              <w:rPr>
                <w:rFonts w:hint="eastAsia" w:ascii="仿宋" w:hAnsi="仿宋" w:eastAsia="仿宋"/>
                <w:color w:val="auto"/>
                <w:szCs w:val="21"/>
              </w:rPr>
            </w:pPr>
            <w:r>
              <w:rPr>
                <w:rFonts w:hint="eastAsia" w:ascii="仿宋" w:hAnsi="仿宋" w:eastAsia="仿宋"/>
                <w:color w:val="auto"/>
                <w:szCs w:val="21"/>
              </w:rPr>
              <w:t>投标有效期：投标截止之日起60天内。</w:t>
            </w:r>
          </w:p>
        </w:tc>
      </w:tr>
      <w:tr w14:paraId="602583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4E0DBF90">
            <w:pPr>
              <w:spacing w:line="400" w:lineRule="exact"/>
              <w:jc w:val="center"/>
              <w:rPr>
                <w:rFonts w:hint="eastAsia" w:ascii="仿宋" w:hAnsi="仿宋" w:eastAsia="仿宋"/>
                <w:color w:val="auto"/>
                <w:szCs w:val="21"/>
              </w:rPr>
            </w:pPr>
            <w:bookmarkStart w:id="55" w:name="_18"/>
            <w:bookmarkEnd w:id="55"/>
            <w:r>
              <w:rPr>
                <w:rFonts w:hint="eastAsia" w:ascii="仿宋" w:hAnsi="仿宋" w:eastAsia="仿宋"/>
                <w:color w:val="auto"/>
                <w:szCs w:val="21"/>
              </w:rPr>
              <w:t>18</w:t>
            </w:r>
            <w:r>
              <w:rPr>
                <w:rFonts w:ascii="仿宋" w:hAnsi="仿宋" w:eastAsia="仿宋"/>
                <w:color w:val="auto"/>
                <w:szCs w:val="21"/>
              </w:rPr>
              <w:t>.1</w:t>
            </w:r>
          </w:p>
        </w:tc>
        <w:tc>
          <w:tcPr>
            <w:tcW w:w="8708" w:type="dxa"/>
            <w:tcBorders>
              <w:top w:val="single" w:color="auto" w:sz="4" w:space="0"/>
              <w:left w:val="single" w:color="auto" w:sz="4" w:space="0"/>
              <w:bottom w:val="single" w:color="auto" w:sz="4" w:space="0"/>
              <w:right w:val="single" w:color="auto" w:sz="4" w:space="0"/>
            </w:tcBorders>
            <w:vAlign w:val="center"/>
          </w:tcPr>
          <w:p w14:paraId="799B8855">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本项目不收取投标保证金。</w:t>
            </w:r>
          </w:p>
        </w:tc>
      </w:tr>
      <w:tr w14:paraId="452963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309C0859">
            <w:pPr>
              <w:spacing w:line="400" w:lineRule="exact"/>
              <w:jc w:val="center"/>
              <w:rPr>
                <w:rFonts w:hint="eastAsia" w:ascii="仿宋" w:hAnsi="仿宋" w:eastAsia="仿宋"/>
                <w:color w:val="auto"/>
                <w:szCs w:val="21"/>
              </w:rPr>
            </w:pPr>
            <w:bookmarkStart w:id="56" w:name="_19.2"/>
            <w:bookmarkEnd w:id="56"/>
            <w:r>
              <w:rPr>
                <w:rFonts w:hint="eastAsia" w:ascii="仿宋" w:hAnsi="仿宋" w:eastAsia="仿宋"/>
                <w:color w:val="auto"/>
                <w:szCs w:val="21"/>
              </w:rPr>
              <w:t>19.2</w:t>
            </w:r>
          </w:p>
        </w:tc>
        <w:tc>
          <w:tcPr>
            <w:tcW w:w="8708" w:type="dxa"/>
            <w:tcBorders>
              <w:top w:val="single" w:color="auto" w:sz="4" w:space="0"/>
              <w:left w:val="single" w:color="auto" w:sz="4" w:space="0"/>
              <w:bottom w:val="single" w:color="auto" w:sz="4" w:space="0"/>
              <w:right w:val="single" w:color="auto" w:sz="4" w:space="0"/>
            </w:tcBorders>
            <w:vAlign w:val="center"/>
          </w:tcPr>
          <w:p w14:paraId="7E81C993">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投标文件应按报价文件、资格证明文件、商务文件、技术文件分别编制，</w:t>
            </w:r>
            <w:r>
              <w:rPr>
                <w:rFonts w:hint="eastAsia" w:ascii="仿宋" w:hAnsi="仿宋" w:eastAsia="仿宋" w:cs="宋体"/>
                <w:color w:val="auto"/>
                <w:szCs w:val="21"/>
              </w:rPr>
              <w:t>并按广西政府采购云平台的要求编制、加密、上传。</w:t>
            </w:r>
          </w:p>
        </w:tc>
      </w:tr>
      <w:tr w14:paraId="2D683E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4E8E3C26">
            <w:pPr>
              <w:spacing w:line="400" w:lineRule="exact"/>
              <w:jc w:val="center"/>
              <w:rPr>
                <w:rFonts w:hint="eastAsia" w:ascii="仿宋" w:hAnsi="仿宋" w:eastAsia="仿宋"/>
                <w:color w:val="auto"/>
                <w:szCs w:val="21"/>
              </w:rPr>
            </w:pPr>
            <w:r>
              <w:rPr>
                <w:rFonts w:hint="eastAsia" w:ascii="仿宋" w:hAnsi="仿宋" w:eastAsia="仿宋"/>
                <w:color w:val="auto"/>
                <w:szCs w:val="21"/>
              </w:rPr>
              <w:t>20.1</w:t>
            </w:r>
          </w:p>
        </w:tc>
        <w:tc>
          <w:tcPr>
            <w:tcW w:w="8708" w:type="dxa"/>
            <w:tcBorders>
              <w:top w:val="single" w:color="auto" w:sz="4" w:space="0"/>
              <w:left w:val="single" w:color="auto" w:sz="4" w:space="0"/>
              <w:bottom w:val="single" w:color="auto" w:sz="4" w:space="0"/>
              <w:right w:val="single" w:color="auto" w:sz="4" w:space="0"/>
            </w:tcBorders>
            <w:vAlign w:val="center"/>
          </w:tcPr>
          <w:p w14:paraId="28156D76">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电子投标文件应在制作完成后，投标人应按广西政府采购云平台的要求进行加密，并在规定时间内解密，否则，由此产生的后果由投标人自行负责。</w:t>
            </w:r>
          </w:p>
        </w:tc>
      </w:tr>
      <w:tr w14:paraId="413BB8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63CB23C8">
            <w:pPr>
              <w:spacing w:line="400" w:lineRule="exact"/>
              <w:jc w:val="center"/>
              <w:rPr>
                <w:rFonts w:hint="eastAsia" w:ascii="仿宋" w:hAnsi="仿宋" w:eastAsia="仿宋"/>
                <w:color w:val="auto"/>
                <w:szCs w:val="21"/>
              </w:rPr>
            </w:pPr>
            <w:bookmarkStart w:id="57" w:name="_21.1"/>
            <w:bookmarkEnd w:id="57"/>
            <w:r>
              <w:rPr>
                <w:rFonts w:hint="eastAsia" w:ascii="仿宋" w:hAnsi="仿宋" w:eastAsia="仿宋"/>
                <w:color w:val="auto"/>
                <w:szCs w:val="21"/>
              </w:rPr>
              <w:t>21.1</w:t>
            </w:r>
          </w:p>
        </w:tc>
        <w:tc>
          <w:tcPr>
            <w:tcW w:w="8708" w:type="dxa"/>
            <w:tcBorders>
              <w:top w:val="single" w:color="auto" w:sz="4" w:space="0"/>
              <w:left w:val="single" w:color="auto" w:sz="4" w:space="0"/>
              <w:bottom w:val="single" w:color="auto" w:sz="4" w:space="0"/>
              <w:right w:val="single" w:color="auto" w:sz="4" w:space="0"/>
            </w:tcBorders>
            <w:vAlign w:val="center"/>
          </w:tcPr>
          <w:p w14:paraId="3973F2B5">
            <w:pPr>
              <w:snapToGrid w:val="0"/>
              <w:spacing w:line="400" w:lineRule="exact"/>
              <w:rPr>
                <w:rFonts w:hint="eastAsia" w:ascii="仿宋" w:hAnsi="仿宋" w:eastAsia="仿宋"/>
                <w:color w:val="auto"/>
                <w:szCs w:val="21"/>
                <w:u w:val="single"/>
              </w:rPr>
            </w:pPr>
            <w:r>
              <w:rPr>
                <w:rFonts w:hint="eastAsia" w:ascii="仿宋" w:hAnsi="仿宋" w:eastAsia="仿宋"/>
                <w:color w:val="auto"/>
                <w:szCs w:val="21"/>
              </w:rPr>
              <w:t>1、投标截止时间：详见招标公告</w:t>
            </w:r>
          </w:p>
          <w:p w14:paraId="57ED9643">
            <w:pPr>
              <w:snapToGrid w:val="0"/>
              <w:spacing w:line="400" w:lineRule="exact"/>
              <w:rPr>
                <w:rFonts w:hint="eastAsia" w:ascii="仿宋" w:hAnsi="仿宋" w:eastAsia="仿宋"/>
                <w:color w:val="auto"/>
                <w:szCs w:val="21"/>
              </w:rPr>
            </w:pPr>
            <w:r>
              <w:rPr>
                <w:rFonts w:hint="eastAsia" w:ascii="仿宋" w:hAnsi="仿宋" w:eastAsia="仿宋"/>
                <w:color w:val="auto"/>
                <w:szCs w:val="21"/>
              </w:rPr>
              <w:t>2、投标地点：详见招标公告</w:t>
            </w:r>
          </w:p>
        </w:tc>
      </w:tr>
      <w:tr w14:paraId="5FF866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10242EFC">
            <w:pPr>
              <w:spacing w:line="400" w:lineRule="exact"/>
              <w:jc w:val="center"/>
              <w:rPr>
                <w:rFonts w:hint="eastAsia" w:ascii="仿宋" w:hAnsi="仿宋" w:eastAsia="仿宋"/>
                <w:color w:val="auto"/>
                <w:szCs w:val="21"/>
              </w:rPr>
            </w:pPr>
            <w:bookmarkStart w:id="58" w:name="_23"/>
            <w:bookmarkEnd w:id="58"/>
            <w:r>
              <w:rPr>
                <w:rFonts w:hint="eastAsia" w:ascii="仿宋" w:hAnsi="仿宋" w:eastAsia="仿宋"/>
                <w:color w:val="auto"/>
                <w:szCs w:val="21"/>
              </w:rPr>
              <w:t>23</w:t>
            </w:r>
          </w:p>
        </w:tc>
        <w:tc>
          <w:tcPr>
            <w:tcW w:w="8708" w:type="dxa"/>
            <w:tcBorders>
              <w:top w:val="single" w:color="auto" w:sz="4" w:space="0"/>
              <w:left w:val="single" w:color="auto" w:sz="4" w:space="0"/>
              <w:bottom w:val="single" w:color="auto" w:sz="4" w:space="0"/>
              <w:right w:val="single" w:color="auto" w:sz="4" w:space="0"/>
            </w:tcBorders>
            <w:vAlign w:val="center"/>
          </w:tcPr>
          <w:p w14:paraId="0F0A7C8D">
            <w:pPr>
              <w:snapToGrid w:val="0"/>
              <w:spacing w:line="400" w:lineRule="exact"/>
              <w:rPr>
                <w:rFonts w:hint="eastAsia" w:ascii="仿宋" w:hAnsi="仿宋" w:eastAsia="仿宋"/>
                <w:color w:val="auto"/>
                <w:szCs w:val="21"/>
              </w:rPr>
            </w:pPr>
            <w:r>
              <w:rPr>
                <w:rFonts w:hint="eastAsia" w:ascii="仿宋" w:hAnsi="仿宋" w:eastAsia="仿宋"/>
                <w:color w:val="auto"/>
                <w:szCs w:val="21"/>
              </w:rPr>
              <w:t>1、开标时间：详见招标公告</w:t>
            </w:r>
          </w:p>
          <w:p w14:paraId="7C4ABA25">
            <w:pPr>
              <w:snapToGrid w:val="0"/>
              <w:spacing w:line="400" w:lineRule="exact"/>
              <w:rPr>
                <w:rFonts w:hint="eastAsia" w:ascii="仿宋" w:hAnsi="仿宋" w:eastAsia="仿宋"/>
                <w:color w:val="auto"/>
                <w:szCs w:val="21"/>
              </w:rPr>
            </w:pPr>
            <w:r>
              <w:rPr>
                <w:rFonts w:hint="eastAsia" w:ascii="仿宋" w:hAnsi="仿宋" w:eastAsia="仿宋"/>
                <w:color w:val="auto"/>
                <w:szCs w:val="21"/>
              </w:rPr>
              <w:t>2、开标地点：详见招标公告</w:t>
            </w:r>
          </w:p>
        </w:tc>
      </w:tr>
      <w:tr w14:paraId="3051E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CEEE480">
            <w:pPr>
              <w:spacing w:line="400" w:lineRule="exact"/>
              <w:jc w:val="center"/>
              <w:rPr>
                <w:rFonts w:hint="eastAsia" w:ascii="仿宋" w:hAnsi="仿宋" w:eastAsia="仿宋"/>
                <w:color w:val="auto"/>
                <w:szCs w:val="21"/>
              </w:rPr>
            </w:pPr>
            <w:r>
              <w:rPr>
                <w:rFonts w:hint="eastAsia" w:ascii="仿宋" w:hAnsi="仿宋" w:eastAsia="仿宋"/>
                <w:bCs/>
                <w:color w:val="auto"/>
                <w:szCs w:val="21"/>
              </w:rPr>
              <w:t>24.2</w:t>
            </w:r>
          </w:p>
        </w:tc>
        <w:tc>
          <w:tcPr>
            <w:tcW w:w="8708" w:type="dxa"/>
            <w:tcBorders>
              <w:top w:val="single" w:color="auto" w:sz="4" w:space="0"/>
              <w:left w:val="single" w:color="auto" w:sz="4" w:space="0"/>
              <w:bottom w:val="single" w:color="auto" w:sz="4" w:space="0"/>
              <w:right w:val="single" w:color="auto" w:sz="4" w:space="0"/>
            </w:tcBorders>
            <w:vAlign w:val="center"/>
          </w:tcPr>
          <w:p w14:paraId="1984B5AB">
            <w:pPr>
              <w:autoSpaceDE w:val="0"/>
              <w:autoSpaceDN w:val="0"/>
              <w:adjustRightInd w:val="0"/>
              <w:spacing w:line="440" w:lineRule="exact"/>
              <w:rPr>
                <w:rFonts w:hint="eastAsia" w:ascii="仿宋" w:hAnsi="仿宋" w:eastAsia="仿宋"/>
                <w:color w:val="auto"/>
                <w:szCs w:val="21"/>
              </w:rPr>
            </w:pPr>
            <w:r>
              <w:rPr>
                <w:rFonts w:hint="eastAsia" w:ascii="仿宋" w:hAnsi="仿宋" w:eastAsia="仿宋"/>
                <w:bCs/>
                <w:color w:val="auto"/>
                <w:szCs w:val="21"/>
              </w:rPr>
              <w:t>广西政府采购云平台按开标时间自动提取所有投标文件。采购代理机构依托广西政府采购云平台向各投标人发出电子加密投标文件【开始解密】通知，由投标人进行投标文件解密。</w:t>
            </w:r>
            <w:r>
              <w:rPr>
                <w:rFonts w:hint="eastAsia" w:ascii="仿宋" w:hAnsi="仿宋" w:eastAsia="仿宋"/>
                <w:b/>
                <w:bCs/>
                <w:color w:val="auto"/>
                <w:szCs w:val="21"/>
              </w:rPr>
              <w:t>投标人的法定代表人或其委托代理人须携带加密时所用的CA锁准时登录到广西政府采购云平台电子开标大厅签到</w:t>
            </w:r>
            <w:r>
              <w:rPr>
                <w:rFonts w:hint="eastAsia" w:ascii="仿宋" w:hAnsi="仿宋" w:eastAsia="仿宋" w:cs="宋体"/>
                <w:b/>
                <w:color w:val="auto"/>
                <w:szCs w:val="21"/>
              </w:rPr>
              <w:t>并在发起解密</w:t>
            </w:r>
            <w:r>
              <w:rPr>
                <w:rFonts w:hint="eastAsia" w:ascii="仿宋" w:hAnsi="仿宋" w:eastAsia="仿宋"/>
                <w:b/>
                <w:bCs/>
                <w:color w:val="auto"/>
                <w:szCs w:val="21"/>
              </w:rPr>
              <w:t>通知</w:t>
            </w:r>
            <w:r>
              <w:rPr>
                <w:rFonts w:hint="eastAsia" w:ascii="仿宋" w:hAnsi="仿宋" w:eastAsia="仿宋" w:cs="宋体"/>
                <w:b/>
                <w:color w:val="auto"/>
                <w:szCs w:val="21"/>
              </w:rPr>
              <w:t>之时起30分钟内完成</w:t>
            </w:r>
            <w:r>
              <w:rPr>
                <w:rFonts w:hint="eastAsia" w:ascii="仿宋" w:hAnsi="仿宋" w:eastAsia="仿宋"/>
                <w:b/>
                <w:bCs/>
                <w:color w:val="auto"/>
                <w:szCs w:val="21"/>
              </w:rPr>
              <w:t>对电子投标文件解密。投标文件未按时解密的，视为无效投标。</w:t>
            </w:r>
          </w:p>
        </w:tc>
      </w:tr>
      <w:tr w14:paraId="4BCCA4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39689D9">
            <w:pPr>
              <w:spacing w:line="400" w:lineRule="exact"/>
              <w:jc w:val="center"/>
              <w:rPr>
                <w:rFonts w:hint="eastAsia" w:ascii="仿宋" w:hAnsi="仿宋" w:eastAsia="仿宋"/>
                <w:color w:val="auto"/>
                <w:szCs w:val="21"/>
              </w:rPr>
            </w:pPr>
            <w:bookmarkStart w:id="59" w:name="_25.3"/>
            <w:bookmarkEnd w:id="59"/>
            <w:r>
              <w:rPr>
                <w:rFonts w:hint="eastAsia" w:ascii="仿宋" w:hAnsi="仿宋" w:eastAsia="仿宋"/>
                <w:color w:val="auto"/>
                <w:szCs w:val="21"/>
              </w:rPr>
              <w:t>25.3（3）</w:t>
            </w:r>
          </w:p>
        </w:tc>
        <w:tc>
          <w:tcPr>
            <w:tcW w:w="8708" w:type="dxa"/>
            <w:tcBorders>
              <w:top w:val="single" w:color="auto" w:sz="4" w:space="0"/>
              <w:left w:val="single" w:color="auto" w:sz="4" w:space="0"/>
              <w:bottom w:val="single" w:color="auto" w:sz="4" w:space="0"/>
              <w:right w:val="single" w:color="auto" w:sz="4" w:space="0"/>
            </w:tcBorders>
            <w:vAlign w:val="center"/>
          </w:tcPr>
          <w:p w14:paraId="5DFC4E16">
            <w:pPr>
              <w:snapToGrid w:val="0"/>
              <w:spacing w:line="400" w:lineRule="exact"/>
              <w:rPr>
                <w:rFonts w:hint="eastAsia" w:ascii="仿宋" w:hAnsi="仿宋" w:eastAsia="仿宋"/>
                <w:color w:val="auto"/>
                <w:szCs w:val="21"/>
              </w:rPr>
            </w:pPr>
            <w:r>
              <w:rPr>
                <w:rFonts w:hint="eastAsia" w:ascii="仿宋" w:hAnsi="仿宋" w:eastAsia="仿宋"/>
                <w:color w:val="auto"/>
                <w:szCs w:val="21"/>
              </w:rPr>
              <w:t>采购人或者采购代理机构在资格审查结束前，对投标人进行信用查询。</w:t>
            </w:r>
          </w:p>
          <w:p w14:paraId="6EDF2575">
            <w:pPr>
              <w:snapToGrid w:val="0"/>
              <w:spacing w:line="400" w:lineRule="exact"/>
              <w:rPr>
                <w:rFonts w:hint="eastAsia" w:ascii="仿宋" w:hAnsi="仿宋" w:eastAsia="仿宋"/>
                <w:color w:val="auto"/>
                <w:szCs w:val="21"/>
              </w:rPr>
            </w:pPr>
            <w:r>
              <w:rPr>
                <w:rFonts w:hint="eastAsia" w:ascii="仿宋" w:hAnsi="仿宋" w:eastAsia="仿宋"/>
                <w:color w:val="auto"/>
                <w:szCs w:val="21"/>
              </w:rPr>
              <w:t>查询渠道：</w:t>
            </w:r>
            <w:r>
              <w:rPr>
                <w:rFonts w:ascii="仿宋" w:hAnsi="仿宋" w:eastAsia="仿宋"/>
                <w:color w:val="auto"/>
                <w:szCs w:val="21"/>
              </w:rPr>
              <w:t>“信用中国”网站（www.creditchina.gov.cn）、中国政府采购网（</w:t>
            </w:r>
            <w:r>
              <w:rPr>
                <w:color w:val="auto"/>
              </w:rPr>
              <w:fldChar w:fldCharType="begin"/>
            </w:r>
            <w:r>
              <w:rPr>
                <w:color w:val="auto"/>
              </w:rPr>
              <w:instrText xml:space="preserve"> HYPERLINK "http://www.ccgp.gov.cn" </w:instrText>
            </w:r>
            <w:r>
              <w:rPr>
                <w:color w:val="auto"/>
              </w:rPr>
              <w:fldChar w:fldCharType="separate"/>
            </w:r>
            <w:r>
              <w:rPr>
                <w:rStyle w:val="53"/>
                <w:rFonts w:ascii="仿宋" w:hAnsi="仿宋" w:eastAsia="仿宋"/>
                <w:color w:val="auto"/>
                <w:szCs w:val="21"/>
              </w:rPr>
              <w:t>www.ccgp.gov.cn</w:t>
            </w:r>
            <w:r>
              <w:rPr>
                <w:rStyle w:val="53"/>
                <w:rFonts w:ascii="仿宋" w:hAnsi="仿宋" w:eastAsia="仿宋"/>
                <w:color w:val="auto"/>
                <w:szCs w:val="21"/>
              </w:rPr>
              <w:fldChar w:fldCharType="end"/>
            </w:r>
            <w:r>
              <w:rPr>
                <w:rFonts w:ascii="仿宋" w:hAnsi="仿宋" w:eastAsia="仿宋"/>
                <w:color w:val="auto"/>
                <w:szCs w:val="21"/>
              </w:rPr>
              <w:t>）</w:t>
            </w:r>
            <w:r>
              <w:rPr>
                <w:rFonts w:hint="eastAsia" w:ascii="仿宋" w:hAnsi="仿宋" w:eastAsia="仿宋"/>
                <w:color w:val="auto"/>
                <w:szCs w:val="21"/>
              </w:rPr>
              <w:t>。</w:t>
            </w:r>
          </w:p>
          <w:p w14:paraId="37754DA5">
            <w:pPr>
              <w:snapToGrid w:val="0"/>
              <w:spacing w:line="400" w:lineRule="exact"/>
              <w:rPr>
                <w:rFonts w:hint="eastAsia" w:ascii="仿宋" w:hAnsi="仿宋" w:eastAsia="仿宋"/>
                <w:color w:val="auto"/>
                <w:szCs w:val="21"/>
              </w:rPr>
            </w:pPr>
            <w:r>
              <w:rPr>
                <w:rFonts w:hint="eastAsia" w:ascii="仿宋" w:hAnsi="仿宋" w:eastAsia="仿宋"/>
                <w:color w:val="auto"/>
                <w:szCs w:val="21"/>
              </w:rPr>
              <w:t>信用查询截止时点：</w:t>
            </w:r>
            <w:r>
              <w:rPr>
                <w:rFonts w:ascii="仿宋" w:hAnsi="仿宋" w:eastAsia="仿宋" w:cs="宋体"/>
                <w:color w:val="auto"/>
                <w:szCs w:val="21"/>
              </w:rPr>
              <w:t>资格审查结束前</w:t>
            </w:r>
            <w:r>
              <w:rPr>
                <w:rFonts w:hint="eastAsia" w:ascii="仿宋" w:hAnsi="仿宋" w:eastAsia="仿宋" w:cs="宋体"/>
                <w:color w:val="auto"/>
                <w:szCs w:val="21"/>
              </w:rPr>
              <w:t>。</w:t>
            </w:r>
          </w:p>
          <w:p w14:paraId="57A352EB">
            <w:pPr>
              <w:snapToGrid w:val="0"/>
              <w:spacing w:line="400" w:lineRule="exact"/>
              <w:rPr>
                <w:rFonts w:hint="eastAsia" w:ascii="仿宋" w:hAnsi="仿宋" w:eastAsia="仿宋"/>
                <w:color w:val="auto"/>
                <w:szCs w:val="21"/>
              </w:rPr>
            </w:pPr>
            <w:r>
              <w:rPr>
                <w:rFonts w:hint="eastAsia" w:ascii="仿宋" w:hAnsi="仿宋" w:eastAsia="仿宋"/>
                <w:color w:val="auto"/>
                <w:szCs w:val="21"/>
              </w:rPr>
              <w:t>查询记录和证据留存方式：</w:t>
            </w:r>
            <w:r>
              <w:rPr>
                <w:rFonts w:hint="eastAsia" w:ascii="仿宋" w:hAnsi="仿宋" w:eastAsia="仿宋" w:cs="宋体"/>
                <w:color w:val="auto"/>
                <w:szCs w:val="21"/>
              </w:rPr>
              <w:t>将查询网站中的查询记录截图并作为评审资料保存。</w:t>
            </w:r>
          </w:p>
          <w:p w14:paraId="6135ADA2">
            <w:pPr>
              <w:snapToGrid w:val="0"/>
              <w:spacing w:line="400" w:lineRule="exact"/>
              <w:rPr>
                <w:rFonts w:hint="eastAsia" w:ascii="仿宋" w:hAnsi="仿宋" w:eastAsia="仿宋"/>
                <w:b/>
                <w:color w:val="auto"/>
                <w:szCs w:val="21"/>
              </w:rPr>
            </w:pPr>
            <w:r>
              <w:rPr>
                <w:rFonts w:hint="eastAsia" w:ascii="仿宋" w:hAnsi="仿宋" w:eastAsia="仿宋"/>
                <w:color w:val="auto"/>
                <w:szCs w:val="21"/>
              </w:rPr>
              <w:t>信用信息使用规则：根据财政部《关于在政府采购活动中查询及使用信用记录有关问题的通知》（财库〔2016〕125号）的规定，</w:t>
            </w:r>
            <w:r>
              <w:rPr>
                <w:rFonts w:hint="eastAsia" w:ascii="仿宋" w:hAnsi="仿宋" w:eastAsia="仿宋" w:cs="宋体"/>
                <w:color w:val="auto"/>
                <w:szCs w:val="21"/>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2C0CB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05A8B43">
            <w:pPr>
              <w:spacing w:line="400" w:lineRule="exact"/>
              <w:jc w:val="center"/>
              <w:rPr>
                <w:rFonts w:hint="eastAsia" w:ascii="仿宋" w:hAnsi="仿宋" w:eastAsia="仿宋"/>
                <w:color w:val="auto"/>
                <w:szCs w:val="21"/>
              </w:rPr>
            </w:pPr>
            <w:bookmarkStart w:id="60" w:name="_26"/>
            <w:bookmarkEnd w:id="60"/>
            <w:r>
              <w:rPr>
                <w:rFonts w:hint="eastAsia" w:ascii="仿宋" w:hAnsi="仿宋" w:eastAsia="仿宋"/>
                <w:color w:val="auto"/>
                <w:szCs w:val="21"/>
              </w:rPr>
              <w:t>26</w:t>
            </w:r>
          </w:p>
        </w:tc>
        <w:tc>
          <w:tcPr>
            <w:tcW w:w="8708" w:type="dxa"/>
            <w:tcBorders>
              <w:top w:val="single" w:color="auto" w:sz="4" w:space="0"/>
              <w:left w:val="single" w:color="auto" w:sz="4" w:space="0"/>
              <w:bottom w:val="single" w:color="auto" w:sz="4" w:space="0"/>
              <w:right w:val="single" w:color="auto" w:sz="4" w:space="0"/>
            </w:tcBorders>
            <w:vAlign w:val="center"/>
          </w:tcPr>
          <w:p w14:paraId="3704BA08">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评标委员会的人数：5人</w:t>
            </w:r>
            <w:r>
              <w:rPr>
                <w:rFonts w:hint="eastAsia" w:ascii="仿宋" w:hAnsi="仿宋" w:eastAsia="仿宋"/>
                <w:color w:val="auto"/>
              </w:rPr>
              <w:t>。（采购项目符合下列情形之一的，评标委员会成员人数应当为7人以上单数：1.采购预算金额在1000万元以上；2.技术复杂；3.社会影响较大。）</w:t>
            </w:r>
          </w:p>
        </w:tc>
      </w:tr>
      <w:tr w14:paraId="4981D7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15EC16EF">
            <w:pPr>
              <w:spacing w:line="400" w:lineRule="exact"/>
              <w:jc w:val="center"/>
              <w:rPr>
                <w:rFonts w:hint="eastAsia" w:ascii="仿宋" w:hAnsi="仿宋" w:eastAsia="仿宋"/>
                <w:color w:val="auto"/>
                <w:szCs w:val="21"/>
              </w:rPr>
            </w:pPr>
            <w:bookmarkStart w:id="61" w:name="_28.3"/>
            <w:bookmarkEnd w:id="61"/>
            <w:r>
              <w:rPr>
                <w:rFonts w:ascii="仿宋" w:hAnsi="仿宋" w:eastAsia="仿宋"/>
                <w:color w:val="auto"/>
                <w:szCs w:val="21"/>
              </w:rPr>
              <w:t>29.1</w:t>
            </w:r>
          </w:p>
        </w:tc>
        <w:tc>
          <w:tcPr>
            <w:tcW w:w="8708" w:type="dxa"/>
            <w:tcBorders>
              <w:top w:val="single" w:color="auto" w:sz="4" w:space="0"/>
              <w:left w:val="single" w:color="auto" w:sz="4" w:space="0"/>
              <w:bottom w:val="single" w:color="auto" w:sz="4" w:space="0"/>
              <w:right w:val="single" w:color="auto" w:sz="4" w:space="0"/>
            </w:tcBorders>
            <w:vAlign w:val="center"/>
          </w:tcPr>
          <w:p w14:paraId="2CBB1EDF">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评标方法：综合评分法</w:t>
            </w:r>
          </w:p>
        </w:tc>
      </w:tr>
      <w:tr w14:paraId="14B8AA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vMerge w:val="restart"/>
            <w:tcBorders>
              <w:top w:val="single" w:color="auto" w:sz="4" w:space="0"/>
              <w:left w:val="single" w:color="auto" w:sz="4" w:space="0"/>
              <w:right w:val="single" w:color="auto" w:sz="4" w:space="0"/>
            </w:tcBorders>
            <w:vAlign w:val="center"/>
          </w:tcPr>
          <w:p w14:paraId="29324DA9">
            <w:pPr>
              <w:spacing w:line="400" w:lineRule="exact"/>
              <w:jc w:val="center"/>
              <w:rPr>
                <w:rFonts w:hint="eastAsia" w:ascii="仿宋" w:hAnsi="仿宋" w:eastAsia="仿宋"/>
                <w:color w:val="auto"/>
                <w:szCs w:val="21"/>
              </w:rPr>
            </w:pPr>
            <w:bookmarkStart w:id="62" w:name="_29.2.2（2）"/>
            <w:bookmarkEnd w:id="62"/>
            <w:r>
              <w:rPr>
                <w:rFonts w:hint="eastAsia" w:ascii="仿宋" w:hAnsi="仿宋" w:eastAsia="仿宋"/>
                <w:color w:val="auto"/>
                <w:szCs w:val="21"/>
              </w:rPr>
              <w:t>29</w:t>
            </w:r>
            <w:r>
              <w:rPr>
                <w:rFonts w:ascii="仿宋" w:hAnsi="仿宋" w:eastAsia="仿宋"/>
                <w:color w:val="auto"/>
                <w:szCs w:val="21"/>
              </w:rPr>
              <w:t>.2</w:t>
            </w:r>
          </w:p>
        </w:tc>
        <w:tc>
          <w:tcPr>
            <w:tcW w:w="8708" w:type="dxa"/>
            <w:tcBorders>
              <w:top w:val="single" w:color="auto" w:sz="4" w:space="0"/>
              <w:left w:val="single" w:color="auto" w:sz="4" w:space="0"/>
              <w:right w:val="single" w:color="auto" w:sz="4" w:space="0"/>
            </w:tcBorders>
            <w:vAlign w:val="center"/>
          </w:tcPr>
          <w:p w14:paraId="100873D6">
            <w:pPr>
              <w:snapToGrid w:val="0"/>
              <w:spacing w:line="400" w:lineRule="exact"/>
              <w:rPr>
                <w:rFonts w:ascii="仿宋" w:hAnsi="仿宋" w:eastAsia="仿宋"/>
                <w:color w:val="auto"/>
                <w:szCs w:val="21"/>
              </w:rPr>
            </w:pPr>
            <w:r>
              <w:rPr>
                <w:rFonts w:hint="eastAsia" w:ascii="仿宋" w:hAnsi="仿宋" w:eastAsia="仿宋" w:cs="宋体"/>
                <w:color w:val="auto"/>
                <w:szCs w:val="21"/>
              </w:rPr>
              <w:t>商务要求</w:t>
            </w:r>
            <w:r>
              <w:rPr>
                <w:rFonts w:hint="eastAsia" w:ascii="仿宋" w:hAnsi="仿宋" w:eastAsia="仿宋"/>
                <w:color w:val="auto"/>
                <w:szCs w:val="21"/>
              </w:rPr>
              <w:t>评审中允许负偏离的条款数为</w:t>
            </w:r>
            <w:r>
              <w:rPr>
                <w:rFonts w:ascii="仿宋" w:hAnsi="仿宋" w:eastAsia="仿宋"/>
                <w:color w:val="auto"/>
                <w:szCs w:val="21"/>
                <w:u w:val="single"/>
              </w:rPr>
              <w:t>0</w:t>
            </w:r>
            <w:r>
              <w:rPr>
                <w:rFonts w:hint="eastAsia" w:ascii="仿宋" w:hAnsi="仿宋" w:eastAsia="仿宋"/>
                <w:color w:val="auto"/>
                <w:szCs w:val="21"/>
              </w:rPr>
              <w:t>项。</w:t>
            </w:r>
          </w:p>
          <w:p w14:paraId="166541FE">
            <w:pPr>
              <w:snapToGrid w:val="0"/>
              <w:spacing w:line="400" w:lineRule="exact"/>
              <w:rPr>
                <w:rFonts w:hint="eastAsia" w:ascii="仿宋" w:hAnsi="仿宋" w:eastAsia="仿宋"/>
                <w:color w:val="auto"/>
                <w:szCs w:val="21"/>
              </w:rPr>
            </w:pPr>
            <w:r>
              <w:rPr>
                <w:rFonts w:hint="eastAsia" w:ascii="仿宋" w:hAnsi="仿宋" w:eastAsia="仿宋" w:cs="宋体"/>
                <w:color w:val="auto"/>
                <w:szCs w:val="21"/>
              </w:rPr>
              <w:t>技术要求</w:t>
            </w:r>
            <w:r>
              <w:rPr>
                <w:rFonts w:hint="eastAsia" w:ascii="仿宋" w:hAnsi="仿宋" w:eastAsia="仿宋"/>
                <w:color w:val="auto"/>
                <w:szCs w:val="21"/>
              </w:rPr>
              <w:t>评审中允许负偏离的条款数为</w:t>
            </w:r>
            <w:r>
              <w:rPr>
                <w:rFonts w:hint="eastAsia" w:ascii="仿宋" w:hAnsi="仿宋" w:eastAsia="仿宋"/>
                <w:color w:val="auto"/>
                <w:szCs w:val="21"/>
                <w:u w:val="single"/>
              </w:rPr>
              <w:t>3</w:t>
            </w:r>
            <w:r>
              <w:rPr>
                <w:rFonts w:hint="eastAsia" w:ascii="仿宋" w:hAnsi="仿宋" w:eastAsia="仿宋"/>
                <w:color w:val="auto"/>
                <w:szCs w:val="21"/>
              </w:rPr>
              <w:t>项（非实质性条款）。</w:t>
            </w:r>
          </w:p>
        </w:tc>
      </w:tr>
      <w:tr w14:paraId="069BD2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vMerge w:val="continue"/>
            <w:tcBorders>
              <w:left w:val="single" w:color="auto" w:sz="4" w:space="0"/>
              <w:right w:val="single" w:color="auto" w:sz="4" w:space="0"/>
            </w:tcBorders>
            <w:vAlign w:val="center"/>
          </w:tcPr>
          <w:p w14:paraId="198FD29D">
            <w:pPr>
              <w:spacing w:line="400" w:lineRule="exact"/>
              <w:jc w:val="center"/>
              <w:rPr>
                <w:rFonts w:hint="eastAsia" w:ascii="仿宋" w:hAnsi="仿宋" w:eastAsia="仿宋"/>
                <w:color w:val="auto"/>
                <w:szCs w:val="21"/>
              </w:rPr>
            </w:pPr>
          </w:p>
        </w:tc>
        <w:tc>
          <w:tcPr>
            <w:tcW w:w="8708" w:type="dxa"/>
            <w:tcBorders>
              <w:top w:val="single" w:color="auto" w:sz="4" w:space="0"/>
              <w:left w:val="single" w:color="auto" w:sz="4" w:space="0"/>
              <w:right w:val="single" w:color="auto" w:sz="4" w:space="0"/>
            </w:tcBorders>
            <w:vAlign w:val="center"/>
          </w:tcPr>
          <w:p w14:paraId="0B34B36B">
            <w:pPr>
              <w:snapToGrid w:val="0"/>
              <w:spacing w:line="400" w:lineRule="exact"/>
              <w:rPr>
                <w:rFonts w:hint="eastAsia" w:ascii="仿宋" w:hAnsi="仿宋" w:eastAsia="仿宋" w:cs="宋体"/>
                <w:color w:val="auto"/>
                <w:szCs w:val="21"/>
                <w:u w:val="single"/>
              </w:rPr>
            </w:pPr>
            <w:r>
              <w:rPr>
                <w:rFonts w:ascii="仿宋" w:hAnsi="仿宋" w:eastAsia="仿宋"/>
                <w:color w:val="auto"/>
              </w:rPr>
              <w:t>中标候选人推荐数量</w:t>
            </w:r>
            <w:r>
              <w:rPr>
                <w:rFonts w:hint="eastAsia" w:ascii="仿宋" w:hAnsi="仿宋" w:eastAsia="仿宋"/>
                <w:color w:val="auto"/>
              </w:rPr>
              <w:t>：3家</w:t>
            </w:r>
          </w:p>
        </w:tc>
      </w:tr>
      <w:tr w14:paraId="1E8564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347196A2">
            <w:pPr>
              <w:spacing w:line="400" w:lineRule="exact"/>
              <w:jc w:val="center"/>
              <w:rPr>
                <w:rFonts w:hint="eastAsia" w:ascii="仿宋" w:hAnsi="仿宋" w:eastAsia="仿宋"/>
                <w:color w:val="auto"/>
                <w:szCs w:val="21"/>
              </w:rPr>
            </w:pPr>
            <w:r>
              <w:rPr>
                <w:rFonts w:hint="eastAsia" w:ascii="仿宋" w:hAnsi="仿宋" w:eastAsia="仿宋"/>
                <w:color w:val="auto"/>
                <w:szCs w:val="21"/>
              </w:rPr>
              <w:t>30</w:t>
            </w:r>
            <w:r>
              <w:rPr>
                <w:rFonts w:ascii="仿宋" w:hAnsi="仿宋" w:eastAsia="仿宋"/>
                <w:color w:val="auto"/>
                <w:szCs w:val="21"/>
              </w:rPr>
              <w:t>.1</w:t>
            </w:r>
          </w:p>
        </w:tc>
        <w:tc>
          <w:tcPr>
            <w:tcW w:w="8708" w:type="dxa"/>
            <w:tcBorders>
              <w:top w:val="single" w:color="auto" w:sz="4" w:space="0"/>
              <w:left w:val="single" w:color="auto" w:sz="4" w:space="0"/>
              <w:bottom w:val="single" w:color="auto" w:sz="4" w:space="0"/>
              <w:right w:val="single" w:color="auto" w:sz="4" w:space="0"/>
            </w:tcBorders>
            <w:vAlign w:val="center"/>
          </w:tcPr>
          <w:p w14:paraId="30891E79">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采用综合评分法的采购项目，采购人确定中标人时，出现中标候选人并列的情形，采购人按以下的方式确定中标人：按报价由低到高排序，报价相同时则按综合评分中技术标得分高低、服务优劣、履约能力高低依次确定。</w:t>
            </w:r>
          </w:p>
        </w:tc>
      </w:tr>
      <w:tr w14:paraId="4D47AE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79E5A01B">
            <w:pPr>
              <w:spacing w:line="400" w:lineRule="exact"/>
              <w:jc w:val="center"/>
              <w:rPr>
                <w:rFonts w:hint="eastAsia" w:ascii="仿宋" w:hAnsi="仿宋" w:eastAsia="仿宋"/>
                <w:color w:val="auto"/>
                <w:szCs w:val="21"/>
              </w:rPr>
            </w:pPr>
            <w:bookmarkStart w:id="63" w:name="_39.1"/>
            <w:bookmarkEnd w:id="63"/>
            <w:r>
              <w:rPr>
                <w:rFonts w:hint="eastAsia" w:ascii="仿宋" w:hAnsi="仿宋" w:eastAsia="仿宋"/>
                <w:color w:val="auto"/>
                <w:szCs w:val="21"/>
              </w:rPr>
              <w:t>35</w:t>
            </w:r>
            <w:r>
              <w:rPr>
                <w:rFonts w:ascii="仿宋" w:hAnsi="仿宋" w:eastAsia="仿宋"/>
                <w:color w:val="auto"/>
                <w:szCs w:val="21"/>
              </w:rPr>
              <w:t>.1</w:t>
            </w:r>
          </w:p>
        </w:tc>
        <w:tc>
          <w:tcPr>
            <w:tcW w:w="8708" w:type="dxa"/>
            <w:tcBorders>
              <w:top w:val="single" w:color="auto" w:sz="4" w:space="0"/>
              <w:left w:val="single" w:color="auto" w:sz="4" w:space="0"/>
              <w:bottom w:val="single" w:color="auto" w:sz="4" w:space="0"/>
              <w:right w:val="single" w:color="auto" w:sz="4" w:space="0"/>
            </w:tcBorders>
            <w:vAlign w:val="center"/>
          </w:tcPr>
          <w:p w14:paraId="0291C172">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本项目不收取履约保证金。</w:t>
            </w:r>
          </w:p>
        </w:tc>
      </w:tr>
      <w:tr w14:paraId="194777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44B9AD7D">
            <w:pPr>
              <w:spacing w:line="400" w:lineRule="exact"/>
              <w:jc w:val="center"/>
              <w:rPr>
                <w:rFonts w:hint="eastAsia" w:ascii="仿宋" w:hAnsi="仿宋" w:eastAsia="仿宋"/>
                <w:color w:val="auto"/>
                <w:szCs w:val="21"/>
              </w:rPr>
            </w:pPr>
            <w:bookmarkStart w:id="64" w:name="_40.1"/>
            <w:bookmarkEnd w:id="64"/>
            <w:r>
              <w:rPr>
                <w:rFonts w:hint="eastAsia" w:ascii="仿宋" w:hAnsi="仿宋" w:eastAsia="仿宋"/>
                <w:color w:val="auto"/>
                <w:szCs w:val="21"/>
              </w:rPr>
              <w:t>36.1</w:t>
            </w:r>
          </w:p>
        </w:tc>
        <w:tc>
          <w:tcPr>
            <w:tcW w:w="8708" w:type="dxa"/>
            <w:tcBorders>
              <w:top w:val="single" w:color="auto" w:sz="4" w:space="0"/>
              <w:left w:val="single" w:color="auto" w:sz="4" w:space="0"/>
              <w:bottom w:val="single" w:color="auto" w:sz="4" w:space="0"/>
              <w:right w:val="single" w:color="auto" w:sz="4" w:space="0"/>
            </w:tcBorders>
            <w:vAlign w:val="center"/>
          </w:tcPr>
          <w:p w14:paraId="081212A5">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 xml:space="preserve">签订合同携带的证明材料： </w:t>
            </w:r>
          </w:p>
          <w:p w14:paraId="5B964A55">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1、委托代理人负责签订合同的，须携带授权委托书及委托代理人身份证原件等其他资格证件。</w:t>
            </w:r>
          </w:p>
          <w:p w14:paraId="5BEF615C">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szCs w:val="21"/>
              </w:rPr>
              <w:t>2、法定代表人负责签订合同的，须携带法定代表人</w:t>
            </w:r>
            <w:r>
              <w:rPr>
                <w:rFonts w:ascii="仿宋" w:hAnsi="仿宋" w:eastAsia="仿宋"/>
                <w:color w:val="auto"/>
                <w:szCs w:val="21"/>
              </w:rPr>
              <w:t>身份证明原件</w:t>
            </w:r>
            <w:r>
              <w:rPr>
                <w:rFonts w:hint="eastAsia" w:ascii="仿宋" w:hAnsi="仿宋" w:eastAsia="仿宋"/>
                <w:color w:val="auto"/>
                <w:szCs w:val="21"/>
              </w:rPr>
              <w:t>及</w:t>
            </w:r>
            <w:r>
              <w:rPr>
                <w:rFonts w:ascii="仿宋" w:hAnsi="仿宋" w:eastAsia="仿宋"/>
                <w:color w:val="auto"/>
                <w:szCs w:val="21"/>
              </w:rPr>
              <w:t>身份证原件</w:t>
            </w:r>
            <w:r>
              <w:rPr>
                <w:rFonts w:hint="eastAsia" w:ascii="仿宋" w:hAnsi="仿宋" w:eastAsia="仿宋"/>
                <w:color w:val="auto"/>
                <w:szCs w:val="21"/>
              </w:rPr>
              <w:t>等其他证明材料。</w:t>
            </w:r>
          </w:p>
        </w:tc>
      </w:tr>
      <w:tr w14:paraId="65B70C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6D7946C0">
            <w:pPr>
              <w:spacing w:line="400" w:lineRule="exact"/>
              <w:jc w:val="center"/>
              <w:rPr>
                <w:rFonts w:hint="eastAsia" w:ascii="仿宋" w:hAnsi="仿宋" w:eastAsia="仿宋"/>
                <w:color w:val="auto"/>
                <w:szCs w:val="21"/>
              </w:rPr>
            </w:pPr>
            <w:r>
              <w:rPr>
                <w:rFonts w:hint="eastAsia" w:ascii="仿宋" w:hAnsi="仿宋" w:eastAsia="仿宋"/>
                <w:color w:val="auto"/>
                <w:szCs w:val="21"/>
              </w:rPr>
              <w:t>3</w:t>
            </w:r>
            <w:r>
              <w:rPr>
                <w:rFonts w:ascii="仿宋" w:hAnsi="仿宋" w:eastAsia="仿宋"/>
                <w:color w:val="auto"/>
                <w:szCs w:val="21"/>
              </w:rPr>
              <w:t>8.2</w:t>
            </w:r>
          </w:p>
        </w:tc>
        <w:tc>
          <w:tcPr>
            <w:tcW w:w="8708" w:type="dxa"/>
            <w:tcBorders>
              <w:top w:val="single" w:color="auto" w:sz="4" w:space="0"/>
              <w:left w:val="single" w:color="auto" w:sz="4" w:space="0"/>
              <w:bottom w:val="single" w:color="auto" w:sz="4" w:space="0"/>
              <w:right w:val="single" w:color="auto" w:sz="4" w:space="0"/>
            </w:tcBorders>
            <w:vAlign w:val="center"/>
          </w:tcPr>
          <w:p w14:paraId="43B1DC94">
            <w:pPr>
              <w:snapToGrid w:val="0"/>
              <w:spacing w:line="400" w:lineRule="exact"/>
              <w:rPr>
                <w:rFonts w:hint="eastAsia" w:ascii="仿宋" w:hAnsi="仿宋" w:eastAsia="仿宋"/>
                <w:color w:val="auto"/>
                <w:szCs w:val="21"/>
              </w:rPr>
            </w:pPr>
            <w:r>
              <w:rPr>
                <w:rFonts w:hint="eastAsia" w:ascii="仿宋" w:hAnsi="仿宋" w:eastAsia="仿宋"/>
                <w:color w:val="auto"/>
                <w:szCs w:val="21"/>
              </w:rPr>
              <w:t>接收质疑函方式：以纸质书面形式</w:t>
            </w:r>
          </w:p>
          <w:p w14:paraId="526EDF89">
            <w:pPr>
              <w:snapToGrid w:val="0"/>
              <w:spacing w:line="400" w:lineRule="exact"/>
              <w:rPr>
                <w:rFonts w:hint="eastAsia" w:ascii="仿宋" w:hAnsi="仿宋" w:eastAsia="仿宋"/>
                <w:color w:val="auto"/>
                <w:szCs w:val="21"/>
              </w:rPr>
            </w:pPr>
            <w:r>
              <w:rPr>
                <w:rFonts w:hint="eastAsia" w:ascii="仿宋" w:hAnsi="仿宋" w:eastAsia="仿宋"/>
                <w:color w:val="auto"/>
                <w:szCs w:val="21"/>
              </w:rPr>
              <w:t>质疑联系部门及联系方式：广西北部湾佰亿招标造价咨询有限公司，质疑联系人：甘敏燕；联系电话：0778-2281799，</w:t>
            </w:r>
            <w:r>
              <w:rPr>
                <w:rFonts w:ascii="仿宋" w:hAnsi="仿宋" w:eastAsia="仿宋"/>
                <w:color w:val="auto"/>
                <w:szCs w:val="21"/>
              </w:rPr>
              <w:t>通讯地址</w:t>
            </w:r>
            <w:r>
              <w:rPr>
                <w:rFonts w:hint="eastAsia" w:ascii="仿宋" w:hAnsi="仿宋" w:eastAsia="仿宋" w:cs="Helvetica"/>
                <w:color w:val="auto"/>
                <w:szCs w:val="21"/>
              </w:rPr>
              <w:t xml:space="preserve">：河池市金城江区任香路金旅国际投资大厦2单元1803号 </w:t>
            </w:r>
          </w:p>
          <w:p w14:paraId="186CE570">
            <w:pPr>
              <w:autoSpaceDE w:val="0"/>
              <w:autoSpaceDN w:val="0"/>
              <w:snapToGrid w:val="0"/>
              <w:spacing w:line="400" w:lineRule="exact"/>
              <w:textAlignment w:val="bottom"/>
              <w:rPr>
                <w:rFonts w:hint="eastAsia" w:ascii="仿宋" w:hAnsi="仿宋" w:eastAsia="仿宋"/>
                <w:color w:val="auto"/>
                <w:szCs w:val="21"/>
              </w:rPr>
            </w:pPr>
            <w:r>
              <w:rPr>
                <w:rFonts w:hint="eastAsia" w:ascii="仿宋" w:hAnsi="仿宋" w:eastAsia="仿宋"/>
                <w:color w:val="auto"/>
              </w:rPr>
              <w:t>现场提交质疑办理业务时间：工作日，</w:t>
            </w:r>
            <w:r>
              <w:rPr>
                <w:rFonts w:hint="eastAsia" w:ascii="仿宋" w:hAnsi="仿宋" w:eastAsia="仿宋" w:cs="Arial"/>
                <w:color w:val="auto"/>
                <w:szCs w:val="21"/>
              </w:rPr>
              <w:t>上午8:00-12:00；下午1</w:t>
            </w:r>
            <w:r>
              <w:rPr>
                <w:rFonts w:hint="eastAsia" w:ascii="仿宋" w:hAnsi="仿宋" w:eastAsia="仿宋" w:cs="Arial"/>
                <w:color w:val="auto"/>
              </w:rPr>
              <w:t>5</w:t>
            </w:r>
            <w:r>
              <w:rPr>
                <w:rFonts w:hint="eastAsia" w:ascii="仿宋" w:hAnsi="仿宋" w:eastAsia="仿宋" w:cs="Arial"/>
                <w:color w:val="auto"/>
                <w:szCs w:val="21"/>
              </w:rPr>
              <w:t>:</w:t>
            </w:r>
            <w:r>
              <w:rPr>
                <w:rFonts w:hint="eastAsia" w:ascii="仿宋" w:hAnsi="仿宋" w:eastAsia="仿宋" w:cs="Arial"/>
                <w:color w:val="auto"/>
              </w:rPr>
              <w:t>00</w:t>
            </w:r>
            <w:r>
              <w:rPr>
                <w:rFonts w:hint="eastAsia" w:ascii="仿宋" w:hAnsi="仿宋" w:eastAsia="仿宋" w:cs="Arial"/>
                <w:color w:val="auto"/>
                <w:szCs w:val="21"/>
              </w:rPr>
              <w:t>-1</w:t>
            </w:r>
            <w:r>
              <w:rPr>
                <w:rFonts w:hint="eastAsia" w:ascii="仿宋" w:hAnsi="仿宋" w:eastAsia="仿宋" w:cs="Arial"/>
                <w:color w:val="auto"/>
              </w:rPr>
              <w:t>8</w:t>
            </w:r>
            <w:r>
              <w:rPr>
                <w:rFonts w:hint="eastAsia" w:ascii="仿宋" w:hAnsi="仿宋" w:eastAsia="仿宋" w:cs="Arial"/>
                <w:color w:val="auto"/>
                <w:szCs w:val="21"/>
              </w:rPr>
              <w:t>:</w:t>
            </w:r>
            <w:r>
              <w:rPr>
                <w:rFonts w:hint="eastAsia" w:ascii="仿宋" w:hAnsi="仿宋" w:eastAsia="仿宋" w:cs="Arial"/>
                <w:color w:val="auto"/>
              </w:rPr>
              <w:t>0</w:t>
            </w:r>
            <w:r>
              <w:rPr>
                <w:rFonts w:hint="eastAsia" w:ascii="仿宋" w:hAnsi="仿宋" w:eastAsia="仿宋" w:cs="Arial"/>
                <w:color w:val="auto"/>
                <w:szCs w:val="21"/>
              </w:rPr>
              <w:t>0（北京时间）</w:t>
            </w:r>
          </w:p>
        </w:tc>
      </w:tr>
      <w:tr w14:paraId="2B8FFA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DABD3CA">
            <w:pPr>
              <w:spacing w:line="400" w:lineRule="exact"/>
              <w:jc w:val="center"/>
              <w:rPr>
                <w:rFonts w:hint="eastAsia" w:ascii="仿宋" w:hAnsi="仿宋" w:eastAsia="仿宋"/>
                <w:color w:val="auto"/>
                <w:szCs w:val="21"/>
              </w:rPr>
            </w:pPr>
            <w:bookmarkStart w:id="65" w:name="_42"/>
            <w:bookmarkEnd w:id="65"/>
            <w:bookmarkStart w:id="66" w:name="_41"/>
            <w:bookmarkEnd w:id="66"/>
            <w:bookmarkStart w:id="67" w:name="_Hlt17709148"/>
            <w:r>
              <w:rPr>
                <w:rFonts w:hint="eastAsia" w:ascii="仿宋" w:hAnsi="仿宋" w:eastAsia="仿宋"/>
                <w:color w:val="auto"/>
                <w:szCs w:val="21"/>
              </w:rPr>
              <w:t>3</w:t>
            </w:r>
            <w:bookmarkEnd w:id="67"/>
            <w:r>
              <w:rPr>
                <w:rFonts w:ascii="仿宋" w:hAnsi="仿宋" w:eastAsia="仿宋"/>
                <w:color w:val="auto"/>
                <w:szCs w:val="21"/>
              </w:rPr>
              <w:t>9.1</w:t>
            </w:r>
          </w:p>
        </w:tc>
        <w:tc>
          <w:tcPr>
            <w:tcW w:w="8708" w:type="dxa"/>
            <w:tcBorders>
              <w:top w:val="single" w:color="auto" w:sz="4" w:space="0"/>
              <w:left w:val="single" w:color="auto" w:sz="4" w:space="0"/>
              <w:bottom w:val="single" w:color="auto" w:sz="4" w:space="0"/>
              <w:right w:val="single" w:color="auto" w:sz="4" w:space="0"/>
            </w:tcBorders>
            <w:vAlign w:val="center"/>
          </w:tcPr>
          <w:p w14:paraId="155144D7">
            <w:pPr>
              <w:pStyle w:val="24"/>
              <w:snapToGrid w:val="0"/>
              <w:spacing w:line="400" w:lineRule="exact"/>
              <w:rPr>
                <w:rFonts w:hint="eastAsia" w:ascii="仿宋" w:hAnsi="仿宋" w:eastAsia="仿宋" w:cs="宋体"/>
                <w:color w:val="auto"/>
                <w:sz w:val="21"/>
                <w:lang w:val="en-US" w:eastAsia="zh-CN"/>
              </w:rPr>
            </w:pPr>
            <w:r>
              <w:rPr>
                <w:rFonts w:hint="eastAsia" w:ascii="仿宋" w:hAnsi="仿宋" w:eastAsia="仿宋" w:cs="宋体"/>
                <w:color w:val="auto"/>
                <w:sz w:val="21"/>
                <w:lang w:val="en-US" w:eastAsia="zh-CN"/>
              </w:rPr>
              <w:t>1.采购代理费支付方式：</w:t>
            </w:r>
          </w:p>
          <w:p w14:paraId="0B58672F">
            <w:pPr>
              <w:pStyle w:val="24"/>
              <w:snapToGrid w:val="0"/>
              <w:spacing w:line="400" w:lineRule="exact"/>
              <w:rPr>
                <w:rFonts w:hint="eastAsia" w:ascii="仿宋" w:hAnsi="仿宋" w:eastAsia="仿宋" w:cs="宋体"/>
                <w:color w:val="auto"/>
                <w:sz w:val="21"/>
                <w:lang w:val="en-US" w:eastAsia="zh-CN"/>
              </w:rPr>
            </w:pPr>
            <w:r>
              <w:rPr>
                <w:rFonts w:hint="eastAsia" w:ascii="仿宋" w:hAnsi="仿宋" w:eastAsia="仿宋" w:cs="宋体"/>
                <w:color w:val="auto"/>
                <w:sz w:val="21"/>
                <w:lang w:val="en-US" w:eastAsia="zh-CN"/>
              </w:rPr>
              <w:t>☑本项目代理服务费由</w:t>
            </w:r>
            <w:r>
              <w:rPr>
                <w:rFonts w:hint="eastAsia" w:ascii="仿宋" w:hAnsi="仿宋" w:eastAsia="仿宋" w:cs="宋体"/>
                <w:color w:val="auto"/>
                <w:sz w:val="21"/>
                <w:u w:val="single"/>
                <w:lang w:val="en-US" w:eastAsia="zh-CN"/>
              </w:rPr>
              <w:t>中标人</w:t>
            </w:r>
            <w:r>
              <w:rPr>
                <w:rFonts w:hint="eastAsia" w:ascii="仿宋" w:hAnsi="仿宋" w:eastAsia="仿宋" w:cs="宋体"/>
                <w:color w:val="auto"/>
                <w:sz w:val="21"/>
                <w:lang w:val="en-US" w:eastAsia="zh-CN"/>
              </w:rPr>
              <w:t>在领取中标通知书前，以银行转账、电汇等方式一次性向采购代理机构支付。</w:t>
            </w:r>
          </w:p>
          <w:p w14:paraId="2E57067D">
            <w:pPr>
              <w:pStyle w:val="24"/>
              <w:snapToGrid w:val="0"/>
              <w:spacing w:line="400" w:lineRule="exact"/>
              <w:rPr>
                <w:rFonts w:hint="eastAsia" w:ascii="仿宋" w:hAnsi="仿宋" w:eastAsia="仿宋" w:cs="宋体"/>
                <w:color w:val="auto"/>
                <w:sz w:val="21"/>
                <w:lang w:val="en-US" w:eastAsia="zh-CN"/>
              </w:rPr>
            </w:pPr>
            <w:r>
              <w:rPr>
                <w:rFonts w:hint="eastAsia" w:ascii="仿宋" w:hAnsi="仿宋" w:eastAsia="仿宋" w:cs="宋体"/>
                <w:color w:val="auto"/>
                <w:sz w:val="21"/>
                <w:lang w:val="en-US" w:eastAsia="zh-CN"/>
              </w:rPr>
              <w:t>□采购人支付。</w:t>
            </w:r>
          </w:p>
          <w:p w14:paraId="48681605">
            <w:pPr>
              <w:pStyle w:val="24"/>
              <w:snapToGrid w:val="0"/>
              <w:spacing w:line="400" w:lineRule="exact"/>
              <w:rPr>
                <w:rFonts w:hint="eastAsia" w:ascii="仿宋" w:hAnsi="仿宋" w:eastAsia="仿宋" w:cs="宋体"/>
                <w:color w:val="auto"/>
                <w:sz w:val="21"/>
                <w:lang w:val="en-US" w:eastAsia="zh-CN"/>
              </w:rPr>
            </w:pPr>
            <w:r>
              <w:rPr>
                <w:rFonts w:hint="eastAsia" w:ascii="仿宋" w:hAnsi="仿宋" w:eastAsia="仿宋" w:cs="宋体"/>
                <w:color w:val="auto"/>
                <w:sz w:val="21"/>
                <w:lang w:val="en-US" w:eastAsia="zh-CN"/>
              </w:rPr>
              <w:t>□不收取采购代理费。</w:t>
            </w:r>
          </w:p>
          <w:p w14:paraId="1B884119">
            <w:pPr>
              <w:pStyle w:val="24"/>
              <w:snapToGrid w:val="0"/>
              <w:spacing w:line="400" w:lineRule="exact"/>
              <w:rPr>
                <w:rFonts w:hint="eastAsia" w:ascii="仿宋" w:hAnsi="仿宋" w:eastAsia="仿宋" w:cs="宋体"/>
                <w:color w:val="auto"/>
                <w:sz w:val="21"/>
                <w:lang w:val="en-US" w:eastAsia="zh-CN"/>
              </w:rPr>
            </w:pPr>
            <w:r>
              <w:rPr>
                <w:rFonts w:hint="eastAsia" w:ascii="仿宋" w:hAnsi="仿宋" w:eastAsia="仿宋" w:cs="宋体"/>
                <w:color w:val="auto"/>
                <w:sz w:val="21"/>
                <w:lang w:val="en-US" w:eastAsia="zh-CN"/>
              </w:rPr>
              <w:t>2.采购代理费收取标准：</w:t>
            </w:r>
          </w:p>
          <w:p w14:paraId="17272EFB">
            <w:pPr>
              <w:pStyle w:val="24"/>
              <w:snapToGrid w:val="0"/>
              <w:spacing w:line="400" w:lineRule="exact"/>
              <w:rPr>
                <w:rFonts w:hint="eastAsia" w:ascii="仿宋" w:hAnsi="仿宋" w:eastAsia="仿宋" w:cs="宋体"/>
                <w:color w:val="auto"/>
                <w:sz w:val="21"/>
                <w:lang w:val="en-US" w:eastAsia="zh-CN"/>
              </w:rPr>
            </w:pPr>
            <w:r>
              <w:rPr>
                <w:rFonts w:hint="eastAsia" w:ascii="仿宋" w:hAnsi="仿宋" w:eastAsia="仿宋" w:cs="宋体"/>
                <w:color w:val="auto"/>
                <w:sz w:val="21"/>
                <w:lang w:val="en-US" w:eastAsia="zh-CN"/>
              </w:rPr>
              <w:t>☑以分标（☑中标金额/□采购预算/□暂定中标金额/□其他）为计费额，按本须知正文第39.2条规定的收费计算标准（☑货物招标/□服务招标/□工程招标）采用差额定率累进法计算出收费基准价格，采购代理收费以（☑收费基准价格/□收费基准价格下浮  %/□收费基准价格上浮   %）收取。</w:t>
            </w:r>
          </w:p>
          <w:p w14:paraId="522CB6DE">
            <w:pPr>
              <w:pStyle w:val="24"/>
              <w:snapToGrid w:val="0"/>
              <w:spacing w:line="400" w:lineRule="exact"/>
              <w:rPr>
                <w:rFonts w:hint="eastAsia" w:ascii="仿宋" w:hAnsi="仿宋" w:eastAsia="仿宋" w:cs="宋体"/>
                <w:color w:val="auto"/>
                <w:sz w:val="21"/>
                <w:lang w:val="en-US" w:eastAsia="zh-CN"/>
              </w:rPr>
            </w:pPr>
            <w:r>
              <w:rPr>
                <w:rFonts w:hint="eastAsia" w:ascii="仿宋" w:hAnsi="仿宋" w:eastAsia="仿宋" w:cs="宋体"/>
                <w:color w:val="auto"/>
                <w:sz w:val="21"/>
                <w:lang w:val="en-US" w:eastAsia="zh-CN"/>
              </w:rPr>
              <w:t xml:space="preserve">□固定采购代理收费 </w:t>
            </w:r>
            <w:r>
              <w:rPr>
                <w:rFonts w:hint="eastAsia" w:ascii="仿宋" w:hAnsi="仿宋" w:eastAsia="仿宋" w:cs="宋体"/>
                <w:color w:val="auto"/>
                <w:sz w:val="21"/>
                <w:u w:val="single"/>
                <w:lang w:val="en-US" w:eastAsia="zh-CN"/>
              </w:rPr>
              <w:t xml:space="preserve">   /    </w:t>
            </w:r>
            <w:r>
              <w:rPr>
                <w:rFonts w:hint="eastAsia" w:ascii="仿宋" w:hAnsi="仿宋" w:eastAsia="仿宋" w:cs="宋体"/>
                <w:color w:val="auto"/>
                <w:sz w:val="21"/>
                <w:lang w:val="en-US" w:eastAsia="zh-CN"/>
              </w:rPr>
              <w:t xml:space="preserve"> 。</w:t>
            </w:r>
          </w:p>
          <w:p w14:paraId="799C1D1B">
            <w:pPr>
              <w:pStyle w:val="24"/>
              <w:snapToGrid w:val="0"/>
              <w:spacing w:line="400" w:lineRule="exact"/>
              <w:rPr>
                <w:rFonts w:ascii="仿宋" w:hAnsi="仿宋" w:eastAsia="仿宋" w:cs="宋体"/>
                <w:color w:val="auto"/>
                <w:sz w:val="21"/>
                <w:lang w:val="en-US" w:eastAsia="zh-CN"/>
              </w:rPr>
            </w:pPr>
            <w:r>
              <w:rPr>
                <w:rFonts w:hint="eastAsia" w:ascii="仿宋" w:hAnsi="仿宋" w:eastAsia="仿宋" w:cs="宋体"/>
                <w:color w:val="auto"/>
                <w:sz w:val="21"/>
                <w:lang w:val="en-US" w:eastAsia="zh-CN"/>
              </w:rPr>
              <w:t>3、采购代理费收取银行账户：</w:t>
            </w:r>
          </w:p>
          <w:p w14:paraId="644B1988">
            <w:pPr>
              <w:pStyle w:val="24"/>
              <w:snapToGrid w:val="0"/>
              <w:spacing w:line="400" w:lineRule="exact"/>
              <w:rPr>
                <w:rFonts w:hint="eastAsia" w:ascii="仿宋" w:hAnsi="仿宋" w:eastAsia="仿宋" w:cs="宋体"/>
                <w:color w:val="auto"/>
                <w:sz w:val="21"/>
                <w:lang w:val="en-US" w:eastAsia="zh-CN"/>
              </w:rPr>
            </w:pPr>
            <w:r>
              <w:rPr>
                <w:rFonts w:hint="eastAsia" w:ascii="仿宋" w:hAnsi="仿宋" w:eastAsia="仿宋" w:cs="宋体"/>
                <w:color w:val="auto"/>
                <w:sz w:val="21"/>
                <w:lang w:val="en-US" w:eastAsia="zh-CN"/>
              </w:rPr>
              <w:t>开户名称：广西北部湾佰亿招标造价咨询有限公司</w:t>
            </w:r>
          </w:p>
          <w:p w14:paraId="577C9C58">
            <w:pPr>
              <w:pStyle w:val="24"/>
              <w:snapToGrid w:val="0"/>
              <w:spacing w:line="400" w:lineRule="exact"/>
              <w:rPr>
                <w:rFonts w:hint="eastAsia" w:ascii="仿宋" w:hAnsi="仿宋" w:eastAsia="仿宋" w:cs="宋体"/>
                <w:color w:val="auto"/>
                <w:sz w:val="21"/>
                <w:lang w:val="en-US" w:eastAsia="zh-CN"/>
              </w:rPr>
            </w:pPr>
            <w:r>
              <w:rPr>
                <w:rFonts w:hint="eastAsia" w:ascii="仿宋" w:hAnsi="仿宋" w:eastAsia="仿宋" w:cs="宋体"/>
                <w:color w:val="auto"/>
                <w:sz w:val="21"/>
                <w:lang w:val="en-US" w:eastAsia="zh-CN"/>
              </w:rPr>
              <w:t>开户银行：中国建设银行股份有限公司河池城东支行</w:t>
            </w:r>
          </w:p>
          <w:p w14:paraId="0D385FB2">
            <w:pPr>
              <w:pStyle w:val="24"/>
              <w:snapToGrid w:val="0"/>
              <w:spacing w:line="400" w:lineRule="exact"/>
              <w:rPr>
                <w:rFonts w:hint="eastAsia" w:ascii="仿宋" w:hAnsi="仿宋" w:eastAsia="仿宋" w:cs="宋体"/>
                <w:color w:val="auto"/>
                <w:sz w:val="21"/>
                <w:lang w:val="en-US" w:eastAsia="zh-CN"/>
              </w:rPr>
            </w:pPr>
            <w:r>
              <w:rPr>
                <w:rFonts w:hint="eastAsia" w:ascii="仿宋" w:hAnsi="仿宋" w:eastAsia="仿宋" w:cs="宋体"/>
                <w:color w:val="auto"/>
                <w:sz w:val="21"/>
                <w:lang w:val="en-US" w:eastAsia="zh-CN"/>
              </w:rPr>
              <w:t>银行账号：4505  0169  0904  0000  0119</w:t>
            </w:r>
          </w:p>
        </w:tc>
      </w:tr>
      <w:tr w14:paraId="4D5DFA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1E521AD8">
            <w:pPr>
              <w:snapToGrid w:val="0"/>
              <w:spacing w:line="400" w:lineRule="exact"/>
              <w:jc w:val="center"/>
              <w:rPr>
                <w:rFonts w:hint="eastAsia" w:ascii="仿宋" w:hAnsi="仿宋" w:eastAsia="仿宋"/>
                <w:color w:val="auto"/>
                <w:szCs w:val="21"/>
              </w:rPr>
            </w:pPr>
            <w:r>
              <w:rPr>
                <w:rFonts w:ascii="仿宋" w:hAnsi="仿宋" w:eastAsia="仿宋"/>
                <w:color w:val="auto"/>
                <w:szCs w:val="21"/>
              </w:rPr>
              <w:t>40.1</w:t>
            </w:r>
          </w:p>
        </w:tc>
        <w:tc>
          <w:tcPr>
            <w:tcW w:w="8708" w:type="dxa"/>
            <w:tcBorders>
              <w:top w:val="single" w:color="auto" w:sz="4" w:space="0"/>
              <w:left w:val="single" w:color="auto" w:sz="4" w:space="0"/>
              <w:bottom w:val="single" w:color="auto" w:sz="4" w:space="0"/>
              <w:right w:val="single" w:color="auto" w:sz="4" w:space="0"/>
            </w:tcBorders>
            <w:vAlign w:val="center"/>
          </w:tcPr>
          <w:p w14:paraId="6AD726B8">
            <w:pPr>
              <w:snapToGrid w:val="0"/>
              <w:spacing w:line="400" w:lineRule="exact"/>
              <w:rPr>
                <w:rFonts w:hint="eastAsia" w:ascii="仿宋" w:hAnsi="仿宋" w:eastAsia="仿宋"/>
                <w:color w:val="auto"/>
                <w:szCs w:val="21"/>
              </w:rPr>
            </w:pPr>
            <w:r>
              <w:rPr>
                <w:rFonts w:hint="eastAsia" w:ascii="仿宋" w:hAnsi="仿宋" w:eastAsia="仿宋"/>
                <w:color w:val="auto"/>
                <w:szCs w:val="21"/>
              </w:rPr>
              <w:t>解释：</w:t>
            </w:r>
            <w:r>
              <w:rPr>
                <w:rFonts w:ascii="仿宋" w:hAnsi="仿宋" w:eastAsia="仿宋"/>
                <w:color w:val="auto"/>
                <w:szCs w:val="21"/>
              </w:rPr>
              <w:t>构成本招标文件的各个组成文件应互为解释，互为说明；除招标文件中有特别规定外，仅适用于招标投标阶段的规定，按</w:t>
            </w:r>
            <w:r>
              <w:rPr>
                <w:rFonts w:hint="eastAsia" w:ascii="仿宋" w:hAnsi="仿宋" w:eastAsia="仿宋"/>
                <w:color w:val="auto"/>
                <w:szCs w:val="21"/>
              </w:rPr>
              <w:t>更正公告（澄清公告）</w:t>
            </w:r>
            <w:r>
              <w:rPr>
                <w:rFonts w:ascii="仿宋" w:hAnsi="仿宋" w:eastAsia="仿宋"/>
                <w:color w:val="auto"/>
                <w:szCs w:val="21"/>
              </w:rPr>
              <w:t>、招标公告、</w:t>
            </w:r>
            <w:r>
              <w:rPr>
                <w:rFonts w:hint="eastAsia" w:ascii="仿宋" w:hAnsi="仿宋" w:eastAsia="仿宋"/>
                <w:color w:val="auto"/>
                <w:szCs w:val="21"/>
              </w:rPr>
              <w:t>采购需求、</w:t>
            </w:r>
            <w:r>
              <w:rPr>
                <w:rFonts w:ascii="仿宋" w:hAnsi="仿宋" w:eastAsia="仿宋"/>
                <w:color w:val="auto"/>
                <w:szCs w:val="21"/>
              </w:rPr>
              <w:t>投标人须知、</w:t>
            </w:r>
            <w:r>
              <w:rPr>
                <w:rFonts w:hint="eastAsia" w:ascii="仿宋" w:hAnsi="仿宋" w:eastAsia="仿宋"/>
                <w:color w:val="auto"/>
                <w:szCs w:val="21"/>
              </w:rPr>
              <w:t>评标方法及评标标准</w:t>
            </w:r>
            <w:r>
              <w:rPr>
                <w:rFonts w:ascii="仿宋" w:hAnsi="仿宋" w:eastAsia="仿宋"/>
                <w:color w:val="auto"/>
                <w:szCs w:val="21"/>
              </w:rPr>
              <w:t>、</w:t>
            </w:r>
            <w:r>
              <w:rPr>
                <w:rFonts w:hint="eastAsia" w:ascii="仿宋" w:hAnsi="仿宋" w:eastAsia="仿宋"/>
                <w:color w:val="auto"/>
                <w:szCs w:val="21"/>
              </w:rPr>
              <w:t>拟签订的合同文本、</w:t>
            </w:r>
            <w:r>
              <w:rPr>
                <w:rFonts w:ascii="仿宋" w:hAnsi="仿宋" w:eastAsia="仿宋"/>
                <w:color w:val="auto"/>
                <w:szCs w:val="21"/>
              </w:rPr>
              <w:t>投标文件格式的先后顺序解释；同一组成文件中就同一事项的规定或者约定不一致的，以编排顺序在后者为准；同一组成文件不同版本之间有不一致的，以形成时间在后者为准；</w:t>
            </w:r>
            <w:r>
              <w:rPr>
                <w:rFonts w:hint="eastAsia" w:ascii="仿宋" w:hAnsi="仿宋" w:eastAsia="仿宋"/>
                <w:color w:val="auto"/>
                <w:szCs w:val="21"/>
              </w:rPr>
              <w:t>更正公告（澄清公告）</w:t>
            </w:r>
            <w:r>
              <w:rPr>
                <w:rFonts w:ascii="仿宋" w:hAnsi="仿宋" w:eastAsia="仿宋"/>
                <w:color w:val="auto"/>
                <w:szCs w:val="21"/>
              </w:rPr>
              <w:t>与同步更新的招标文件不一致时以</w:t>
            </w:r>
            <w:r>
              <w:rPr>
                <w:rFonts w:hint="eastAsia" w:ascii="仿宋" w:hAnsi="仿宋" w:eastAsia="仿宋"/>
                <w:color w:val="auto"/>
                <w:szCs w:val="21"/>
              </w:rPr>
              <w:t>更正公告（澄清公告）</w:t>
            </w:r>
            <w:r>
              <w:rPr>
                <w:rFonts w:ascii="仿宋" w:hAnsi="仿宋" w:eastAsia="仿宋"/>
                <w:color w:val="auto"/>
                <w:szCs w:val="21"/>
              </w:rPr>
              <w:t>为准。按本款前述规定仍不能形成结论的，由</w:t>
            </w:r>
            <w:r>
              <w:rPr>
                <w:rFonts w:hint="eastAsia" w:ascii="仿宋" w:hAnsi="仿宋" w:eastAsia="仿宋"/>
                <w:color w:val="auto"/>
                <w:szCs w:val="21"/>
              </w:rPr>
              <w:t>采购</w:t>
            </w:r>
            <w:r>
              <w:rPr>
                <w:rFonts w:ascii="仿宋" w:hAnsi="仿宋" w:eastAsia="仿宋"/>
                <w:color w:val="auto"/>
                <w:szCs w:val="21"/>
              </w:rPr>
              <w:t>人</w:t>
            </w:r>
            <w:r>
              <w:rPr>
                <w:rFonts w:hint="eastAsia" w:ascii="仿宋" w:hAnsi="仿宋" w:eastAsia="仿宋"/>
                <w:color w:val="auto"/>
                <w:szCs w:val="21"/>
              </w:rPr>
              <w:t>或者采购代理机构</w:t>
            </w:r>
            <w:r>
              <w:rPr>
                <w:rFonts w:ascii="仿宋" w:hAnsi="仿宋" w:eastAsia="仿宋"/>
                <w:color w:val="auto"/>
                <w:szCs w:val="21"/>
              </w:rPr>
              <w:t>负责解释。</w:t>
            </w:r>
          </w:p>
        </w:tc>
      </w:tr>
      <w:tr w14:paraId="3B97EE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7FF6C928">
            <w:pPr>
              <w:snapToGrid w:val="0"/>
              <w:spacing w:line="400" w:lineRule="exact"/>
              <w:jc w:val="center"/>
              <w:rPr>
                <w:rFonts w:hint="eastAsia" w:ascii="仿宋" w:hAnsi="仿宋" w:eastAsia="仿宋"/>
                <w:color w:val="auto"/>
                <w:szCs w:val="21"/>
              </w:rPr>
            </w:pPr>
            <w:r>
              <w:rPr>
                <w:rFonts w:ascii="仿宋" w:hAnsi="仿宋" w:eastAsia="仿宋"/>
                <w:color w:val="auto"/>
                <w:szCs w:val="21"/>
              </w:rPr>
              <w:t>40.2</w:t>
            </w:r>
          </w:p>
        </w:tc>
        <w:tc>
          <w:tcPr>
            <w:tcW w:w="8708" w:type="dxa"/>
            <w:tcBorders>
              <w:top w:val="single" w:color="auto" w:sz="4" w:space="0"/>
              <w:left w:val="single" w:color="auto" w:sz="4" w:space="0"/>
              <w:bottom w:val="single" w:color="auto" w:sz="4" w:space="0"/>
              <w:right w:val="single" w:color="auto" w:sz="4" w:space="0"/>
            </w:tcBorders>
            <w:vAlign w:val="center"/>
          </w:tcPr>
          <w:p w14:paraId="32BD5412">
            <w:pPr>
              <w:pStyle w:val="24"/>
              <w:snapToGrid w:val="0"/>
              <w:spacing w:line="400" w:lineRule="exact"/>
              <w:rPr>
                <w:rFonts w:hint="eastAsia" w:ascii="仿宋" w:hAnsi="仿宋" w:eastAsia="仿宋" w:cs="宋体"/>
                <w:bCs/>
                <w:color w:val="auto"/>
                <w:sz w:val="21"/>
                <w:lang w:val="en-US" w:eastAsia="zh-CN"/>
              </w:rPr>
            </w:pPr>
            <w:r>
              <w:rPr>
                <w:rFonts w:hint="eastAsia" w:ascii="仿宋" w:hAnsi="仿宋" w:eastAsia="仿宋" w:cs="宋体"/>
                <w:bCs/>
                <w:color w:val="auto"/>
                <w:sz w:val="21"/>
                <w:lang w:val="en-US" w:eastAsia="zh-CN"/>
              </w:rPr>
              <w:t>1、本招标文件中描述投标人的“公章”是指根据我国对公章的管理规定，用投标人法定主体行为名称制作的印章</w:t>
            </w:r>
            <w:r>
              <w:rPr>
                <w:rFonts w:hint="eastAsia" w:ascii="仿宋" w:hAnsi="仿宋" w:eastAsia="仿宋" w:cs="宋体"/>
                <w:color w:val="auto"/>
                <w:sz w:val="21"/>
                <w:lang w:val="en-US" w:eastAsia="zh-CN"/>
              </w:rPr>
              <w:t>（含电子印章）</w:t>
            </w:r>
            <w:r>
              <w:rPr>
                <w:rFonts w:hint="eastAsia" w:ascii="仿宋" w:hAnsi="仿宋" w:eastAsia="仿宋" w:cs="宋体"/>
                <w:bCs/>
                <w:color w:val="auto"/>
                <w:sz w:val="21"/>
                <w:lang w:val="en-US" w:eastAsia="zh-CN"/>
              </w:rPr>
              <w:t>，除本招标文件有特殊规定外，投标人的财务章、部门章、分公司章、工会章、合同章、投标专用章、业务专用章及银行的转账章、现金收讫章、现金付讫章等其他形式印章均不能代替公章。</w:t>
            </w:r>
          </w:p>
          <w:p w14:paraId="5E9A40AB">
            <w:pPr>
              <w:pStyle w:val="24"/>
              <w:snapToGrid w:val="0"/>
              <w:spacing w:line="400" w:lineRule="exact"/>
              <w:rPr>
                <w:rFonts w:hint="eastAsia" w:ascii="仿宋" w:hAnsi="仿宋" w:eastAsia="仿宋" w:cs="宋体"/>
                <w:bCs/>
                <w:color w:val="auto"/>
                <w:sz w:val="21"/>
                <w:lang w:val="en-US" w:eastAsia="zh-CN"/>
              </w:rPr>
            </w:pPr>
            <w:r>
              <w:rPr>
                <w:rFonts w:hint="eastAsia" w:ascii="仿宋" w:hAnsi="仿宋" w:eastAsia="仿宋" w:cs="宋体"/>
                <w:bCs/>
                <w:color w:val="auto"/>
                <w:sz w:val="21"/>
                <w:lang w:val="en-US" w:eastAsia="zh-CN"/>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569B559C">
            <w:pPr>
              <w:pStyle w:val="24"/>
              <w:snapToGrid w:val="0"/>
              <w:spacing w:line="400" w:lineRule="exact"/>
              <w:rPr>
                <w:rFonts w:hint="eastAsia" w:ascii="仿宋" w:hAnsi="仿宋" w:eastAsia="仿宋" w:cs="宋体"/>
                <w:bCs/>
                <w:color w:val="auto"/>
                <w:sz w:val="21"/>
                <w:lang w:val="en-US" w:eastAsia="zh-CN"/>
              </w:rPr>
            </w:pPr>
            <w:r>
              <w:rPr>
                <w:rFonts w:hint="eastAsia" w:ascii="仿宋" w:hAnsi="仿宋" w:eastAsia="仿宋" w:cs="宋体"/>
                <w:bCs/>
                <w:color w:val="auto"/>
                <w:sz w:val="21"/>
                <w:lang w:val="en-US" w:eastAsia="zh-CN"/>
              </w:rPr>
              <w:t>3、本招标文件中描述投标人的“签字”是指投标人的法定代表人或者委托代理人</w:t>
            </w:r>
            <w:r>
              <w:rPr>
                <w:rFonts w:hint="eastAsia" w:ascii="仿宋" w:hAnsi="仿宋" w:eastAsia="仿宋" w:cs="宋体"/>
                <w:color w:val="auto"/>
                <w:sz w:val="21"/>
                <w:lang w:val="en-US" w:eastAsia="zh-CN"/>
              </w:rPr>
              <w:t>在文件规定签署处签名（含电子签名）的行为，私章、印鉴等其他形式均不能代替签字</w:t>
            </w:r>
            <w:r>
              <w:rPr>
                <w:rFonts w:hint="eastAsia" w:ascii="仿宋" w:hAnsi="仿宋" w:eastAsia="仿宋" w:cs="宋体"/>
                <w:bCs/>
                <w:color w:val="auto"/>
                <w:sz w:val="21"/>
                <w:lang w:val="en-US" w:eastAsia="zh-CN"/>
              </w:rPr>
              <w:t>。</w:t>
            </w:r>
          </w:p>
          <w:p w14:paraId="151E6B98">
            <w:pPr>
              <w:pStyle w:val="24"/>
              <w:snapToGrid w:val="0"/>
              <w:spacing w:line="400" w:lineRule="exact"/>
              <w:rPr>
                <w:rFonts w:hint="eastAsia" w:ascii="仿宋" w:hAnsi="仿宋" w:eastAsia="仿宋" w:cs="宋体"/>
                <w:bCs/>
                <w:color w:val="auto"/>
                <w:sz w:val="21"/>
                <w:lang w:val="en-US" w:eastAsia="zh-CN"/>
              </w:rPr>
            </w:pPr>
            <w:r>
              <w:rPr>
                <w:rFonts w:hint="eastAsia" w:ascii="仿宋" w:hAnsi="仿宋" w:eastAsia="仿宋" w:cs="宋体"/>
                <w:bCs/>
                <w:color w:val="auto"/>
                <w:sz w:val="21"/>
                <w:lang w:val="en-US" w:eastAsia="zh-CN"/>
              </w:rPr>
              <w:t>4、自然人投标的，招标文件规定盖公章处由自然人摁手指指印。</w:t>
            </w:r>
          </w:p>
          <w:p w14:paraId="02B1EDC4">
            <w:pPr>
              <w:spacing w:line="400" w:lineRule="exact"/>
              <w:jc w:val="left"/>
              <w:rPr>
                <w:rFonts w:hint="eastAsia" w:ascii="仿宋" w:hAnsi="仿宋" w:eastAsia="仿宋"/>
                <w:color w:val="auto"/>
                <w:szCs w:val="21"/>
              </w:rPr>
            </w:pPr>
            <w:r>
              <w:rPr>
                <w:rFonts w:hint="eastAsia" w:ascii="仿宋" w:hAnsi="仿宋" w:eastAsia="仿宋" w:cs="宋体"/>
                <w:bCs/>
                <w:color w:val="auto"/>
                <w:szCs w:val="21"/>
              </w:rPr>
              <w:t>5、本招标文件所称的“以上”“以下”“以内”“届满”，包括本数；所称的“不满”“超过”“以外”，不包括本数。</w:t>
            </w:r>
          </w:p>
        </w:tc>
      </w:tr>
    </w:tbl>
    <w:p w14:paraId="0B2B04E0">
      <w:pPr>
        <w:snapToGrid w:val="0"/>
        <w:rPr>
          <w:rFonts w:hint="eastAsia" w:ascii="仿宋" w:hAnsi="仿宋" w:eastAsia="仿宋"/>
          <w:color w:val="auto"/>
          <w:sz w:val="24"/>
          <w:szCs w:val="20"/>
        </w:rPr>
      </w:pPr>
    </w:p>
    <w:p w14:paraId="79851D1E">
      <w:pPr>
        <w:snapToGrid w:val="0"/>
        <w:rPr>
          <w:rFonts w:hint="eastAsia" w:ascii="仿宋" w:hAnsi="仿宋" w:eastAsia="仿宋"/>
          <w:color w:val="auto"/>
          <w:sz w:val="24"/>
          <w:szCs w:val="20"/>
        </w:rPr>
      </w:pPr>
    </w:p>
    <w:p w14:paraId="16794DD9">
      <w:pPr>
        <w:pStyle w:val="4"/>
        <w:keepNext w:val="0"/>
        <w:keepLines w:val="0"/>
        <w:jc w:val="center"/>
        <w:rPr>
          <w:rFonts w:hint="eastAsia" w:ascii="仿宋" w:hAnsi="仿宋" w:eastAsia="仿宋"/>
          <w:color w:val="auto"/>
        </w:rPr>
      </w:pPr>
      <w:r>
        <w:rPr>
          <w:rFonts w:ascii="仿宋" w:hAnsi="仿宋" w:eastAsia="仿宋"/>
          <w:color w:val="auto"/>
        </w:rPr>
        <w:br w:type="page"/>
      </w:r>
      <w:r>
        <w:rPr>
          <w:rFonts w:hint="eastAsia" w:ascii="仿宋" w:hAnsi="仿宋" w:eastAsia="仿宋"/>
          <w:color w:val="auto"/>
        </w:rPr>
        <w:t>投标人须知正文</w:t>
      </w:r>
    </w:p>
    <w:p w14:paraId="2B9479E1">
      <w:pPr>
        <w:pStyle w:val="4"/>
        <w:keepNext w:val="0"/>
        <w:keepLines w:val="0"/>
        <w:jc w:val="center"/>
        <w:rPr>
          <w:rFonts w:hint="eastAsia" w:ascii="仿宋" w:hAnsi="仿宋" w:eastAsia="仿宋"/>
          <w:color w:val="auto"/>
        </w:rPr>
      </w:pPr>
      <w:r>
        <w:rPr>
          <w:rFonts w:hint="eastAsia" w:ascii="仿宋" w:hAnsi="仿宋" w:eastAsia="仿宋"/>
          <w:color w:val="auto"/>
        </w:rPr>
        <w:t>一、总  则</w:t>
      </w:r>
    </w:p>
    <w:p w14:paraId="07B8A0A3">
      <w:pPr>
        <w:pStyle w:val="6"/>
        <w:keepNext w:val="0"/>
        <w:keepLines w:val="0"/>
        <w:spacing w:before="0" w:after="0" w:line="360" w:lineRule="auto"/>
        <w:ind w:left="420" w:leftChars="200"/>
        <w:rPr>
          <w:rFonts w:hint="eastAsia" w:ascii="仿宋" w:hAnsi="仿宋" w:eastAsia="仿宋"/>
          <w:color w:val="auto"/>
          <w:sz w:val="24"/>
        </w:rPr>
      </w:pPr>
      <w:bookmarkStart w:id="68" w:name="_Toc254970527"/>
      <w:bookmarkStart w:id="69" w:name="_Toc254970668"/>
      <w:r>
        <w:rPr>
          <w:rFonts w:hint="eastAsia" w:ascii="仿宋" w:hAnsi="仿宋" w:eastAsia="仿宋"/>
          <w:color w:val="auto"/>
          <w:sz w:val="24"/>
        </w:rPr>
        <w:t>1.适用范围</w:t>
      </w:r>
      <w:bookmarkEnd w:id="68"/>
      <w:bookmarkEnd w:id="69"/>
    </w:p>
    <w:p w14:paraId="255C6F30">
      <w:pPr>
        <w:snapToGrid w:val="0"/>
        <w:spacing w:line="360" w:lineRule="auto"/>
        <w:ind w:firstLine="420" w:firstLineChars="200"/>
        <w:jc w:val="left"/>
        <w:rPr>
          <w:rFonts w:hint="eastAsia" w:ascii="仿宋" w:hAnsi="仿宋" w:eastAsia="仿宋"/>
          <w:color w:val="auto"/>
          <w:szCs w:val="21"/>
        </w:rPr>
      </w:pPr>
      <w:r>
        <w:rPr>
          <w:rFonts w:hint="eastAsia" w:ascii="仿宋" w:hAnsi="仿宋" w:eastAsia="仿宋"/>
          <w:color w:val="auto"/>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4D7C70F6">
      <w:pPr>
        <w:snapToGrid w:val="0"/>
        <w:spacing w:line="360" w:lineRule="auto"/>
        <w:ind w:firstLine="420" w:firstLineChars="200"/>
        <w:jc w:val="left"/>
        <w:rPr>
          <w:rFonts w:hint="eastAsia" w:ascii="仿宋" w:hAnsi="仿宋" w:eastAsia="仿宋"/>
          <w:color w:val="auto"/>
          <w:szCs w:val="21"/>
        </w:rPr>
      </w:pPr>
      <w:r>
        <w:rPr>
          <w:rFonts w:hint="eastAsia" w:ascii="仿宋" w:hAnsi="仿宋" w:eastAsia="仿宋"/>
          <w:color w:val="auto"/>
          <w:szCs w:val="21"/>
        </w:rPr>
        <w:t>1.2本招标文件</w:t>
      </w:r>
      <w:r>
        <w:rPr>
          <w:rFonts w:hint="eastAsia" w:ascii="仿宋" w:hAnsi="仿宋" w:eastAsia="仿宋" w:cs="宋体"/>
          <w:color w:val="auto"/>
          <w:spacing w:val="-6"/>
          <w:szCs w:val="21"/>
        </w:rPr>
        <w:t>适用于本项目的所有采购程序和环节（法律、法规另有规定的，从其规定）。</w:t>
      </w:r>
    </w:p>
    <w:p w14:paraId="0AB07700">
      <w:pPr>
        <w:pStyle w:val="6"/>
        <w:keepNext w:val="0"/>
        <w:keepLines w:val="0"/>
        <w:spacing w:before="0" w:after="0" w:line="360" w:lineRule="auto"/>
        <w:ind w:left="420" w:leftChars="200"/>
        <w:rPr>
          <w:rFonts w:hint="eastAsia" w:ascii="仿宋" w:hAnsi="仿宋" w:eastAsia="仿宋"/>
          <w:color w:val="auto"/>
          <w:sz w:val="24"/>
        </w:rPr>
      </w:pPr>
      <w:bookmarkStart w:id="70" w:name="_Toc254970528"/>
      <w:bookmarkStart w:id="71" w:name="_Toc254970669"/>
      <w:r>
        <w:rPr>
          <w:rFonts w:hint="eastAsia" w:ascii="仿宋" w:hAnsi="仿宋" w:eastAsia="仿宋"/>
          <w:color w:val="auto"/>
          <w:sz w:val="24"/>
        </w:rPr>
        <w:t>2.定义</w:t>
      </w:r>
      <w:bookmarkEnd w:id="70"/>
      <w:bookmarkEnd w:id="71"/>
    </w:p>
    <w:p w14:paraId="21E22346">
      <w:pPr>
        <w:pStyle w:val="6"/>
        <w:keepNext w:val="0"/>
        <w:keepLines w:val="0"/>
        <w:spacing w:before="0" w:after="0" w:line="360" w:lineRule="auto"/>
        <w:ind w:left="420" w:leftChars="200"/>
        <w:rPr>
          <w:rFonts w:hint="eastAsia" w:ascii="仿宋" w:hAnsi="仿宋" w:eastAsia="仿宋"/>
          <w:b w:val="0"/>
          <w:color w:val="auto"/>
          <w:sz w:val="21"/>
          <w:szCs w:val="21"/>
        </w:rPr>
      </w:pPr>
      <w:r>
        <w:rPr>
          <w:rFonts w:hint="eastAsia" w:ascii="仿宋" w:hAnsi="仿宋" w:eastAsia="仿宋"/>
          <w:b w:val="0"/>
          <w:color w:val="auto"/>
          <w:sz w:val="21"/>
          <w:szCs w:val="21"/>
        </w:rPr>
        <w:t>2.1“采购人”是指依法进行政府采购的国家机关、事业单位、团体组织。</w:t>
      </w:r>
    </w:p>
    <w:p w14:paraId="4BDDE18A">
      <w:pPr>
        <w:pStyle w:val="6"/>
        <w:keepNext w:val="0"/>
        <w:keepLines w:val="0"/>
        <w:spacing w:before="0" w:after="0" w:line="360" w:lineRule="auto"/>
        <w:ind w:left="420" w:leftChars="200"/>
        <w:rPr>
          <w:rFonts w:hint="eastAsia" w:ascii="仿宋" w:hAnsi="仿宋" w:eastAsia="仿宋"/>
          <w:b w:val="0"/>
          <w:color w:val="auto"/>
          <w:sz w:val="21"/>
          <w:szCs w:val="21"/>
        </w:rPr>
      </w:pPr>
      <w:r>
        <w:rPr>
          <w:rFonts w:hint="eastAsia" w:ascii="仿宋" w:hAnsi="仿宋" w:eastAsia="仿宋"/>
          <w:b w:val="0"/>
          <w:color w:val="auto"/>
          <w:sz w:val="21"/>
          <w:szCs w:val="21"/>
        </w:rPr>
        <w:t>2.2“采购代理机构”是指政府采购集中采购机构和集中采购机构以外的采购代理机构。</w:t>
      </w:r>
    </w:p>
    <w:p w14:paraId="6F531018">
      <w:pPr>
        <w:pStyle w:val="6"/>
        <w:keepNext w:val="0"/>
        <w:keepLines w:val="0"/>
        <w:spacing w:before="0" w:after="0" w:line="360" w:lineRule="auto"/>
        <w:ind w:left="420" w:leftChars="200"/>
        <w:rPr>
          <w:rFonts w:hint="eastAsia" w:ascii="仿宋" w:hAnsi="仿宋" w:eastAsia="仿宋"/>
          <w:b w:val="0"/>
          <w:color w:val="auto"/>
          <w:sz w:val="21"/>
          <w:szCs w:val="21"/>
        </w:rPr>
      </w:pPr>
      <w:r>
        <w:rPr>
          <w:rFonts w:hint="eastAsia" w:ascii="仿宋" w:hAnsi="仿宋" w:eastAsia="仿宋"/>
          <w:b w:val="0"/>
          <w:color w:val="auto"/>
          <w:sz w:val="21"/>
          <w:szCs w:val="21"/>
        </w:rPr>
        <w:t>2.3“供应商”是指向采购人提供货物、工程或者服务的法人、其他组织或者自然人。</w:t>
      </w:r>
    </w:p>
    <w:p w14:paraId="7C64FDE3">
      <w:pPr>
        <w:pStyle w:val="7"/>
        <w:spacing w:line="360" w:lineRule="auto"/>
        <w:rPr>
          <w:rFonts w:hint="eastAsia" w:ascii="仿宋" w:hAnsi="仿宋" w:eastAsia="仿宋"/>
          <w:color w:val="auto"/>
          <w:szCs w:val="21"/>
        </w:rPr>
      </w:pPr>
      <w:r>
        <w:rPr>
          <w:rFonts w:hint="eastAsia" w:ascii="仿宋" w:hAnsi="仿宋" w:eastAsia="仿宋"/>
          <w:color w:val="auto"/>
          <w:szCs w:val="21"/>
        </w:rPr>
        <w:t>2.4“投标人”是指响应招标、参加投标竞争的法人、其他组织或者自然人。</w:t>
      </w:r>
    </w:p>
    <w:p w14:paraId="0A58E2A6">
      <w:pPr>
        <w:pStyle w:val="6"/>
        <w:keepNext w:val="0"/>
        <w:keepLines w:val="0"/>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2.5“货物”是指各种形态和种类的物品，包括原材料、燃料、设备、产品等。</w:t>
      </w:r>
    </w:p>
    <w:p w14:paraId="2384A70A">
      <w:pPr>
        <w:pStyle w:val="6"/>
        <w:keepNext w:val="0"/>
        <w:keepLines w:val="0"/>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2.6“售后服务” 是指商品出售以后所提供的各种服务，包含但不限于投标人须承担的备品备件、包装、运输、装卸、保险、货到就位以及安装、调试、培训、保修以及其他各种服务。</w:t>
      </w:r>
    </w:p>
    <w:p w14:paraId="25B4C547">
      <w:pPr>
        <w:pStyle w:val="6"/>
        <w:keepNext w:val="0"/>
        <w:keepLines w:val="0"/>
        <w:spacing w:before="0" w:after="0" w:line="360" w:lineRule="auto"/>
        <w:rPr>
          <w:rFonts w:hint="eastAsia" w:ascii="仿宋" w:hAnsi="仿宋" w:eastAsia="仿宋"/>
          <w:b w:val="0"/>
          <w:color w:val="auto"/>
          <w:sz w:val="21"/>
          <w:szCs w:val="21"/>
        </w:rPr>
      </w:pPr>
      <w:r>
        <w:rPr>
          <w:rFonts w:hint="eastAsia" w:ascii="仿宋" w:hAnsi="仿宋" w:eastAsia="仿宋"/>
          <w:b w:val="0"/>
          <w:color w:val="auto"/>
          <w:sz w:val="21"/>
          <w:szCs w:val="21"/>
        </w:rPr>
        <w:t xml:space="preserve">    2.7“书面形式”是指合同书、信件和数据电文（包括电报、电传、传真、电子数据交换和电子邮件）等可以有形地表现所载内容的形式。</w:t>
      </w:r>
    </w:p>
    <w:p w14:paraId="79A407E8">
      <w:pPr>
        <w:pStyle w:val="6"/>
        <w:keepNext w:val="0"/>
        <w:keepLines w:val="0"/>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2.8“实质性要求”是指招标文件中已经指明不满足则投标无效的条款，或者不能负偏离的条款，或者采购需求中带“</w:t>
      </w:r>
      <w:r>
        <w:rPr>
          <w:rFonts w:hint="eastAsia" w:ascii="仿宋" w:hAnsi="仿宋" w:eastAsia="仿宋" w:cs="仿宋"/>
          <w:b w:val="0"/>
          <w:color w:val="auto"/>
          <w:sz w:val="21"/>
          <w:szCs w:val="21"/>
        </w:rPr>
        <w:t>▲</w:t>
      </w:r>
      <w:r>
        <w:rPr>
          <w:rFonts w:hint="eastAsia" w:ascii="仿宋" w:hAnsi="仿宋" w:eastAsia="仿宋"/>
          <w:b w:val="0"/>
          <w:color w:val="auto"/>
          <w:sz w:val="21"/>
          <w:szCs w:val="21"/>
        </w:rPr>
        <w:t>”的条款。</w:t>
      </w:r>
    </w:p>
    <w:p w14:paraId="59DC978A">
      <w:pPr>
        <w:snapToGrid w:val="0"/>
        <w:spacing w:line="360" w:lineRule="auto"/>
        <w:ind w:firstLine="420" w:firstLineChars="200"/>
        <w:jc w:val="left"/>
        <w:rPr>
          <w:rFonts w:ascii="仿宋" w:hAnsi="仿宋" w:eastAsia="仿宋" w:cs="宋体"/>
          <w:color w:val="auto"/>
          <w:szCs w:val="21"/>
        </w:rPr>
      </w:pPr>
      <w:r>
        <w:rPr>
          <w:rFonts w:hint="eastAsia" w:ascii="仿宋" w:hAnsi="仿宋" w:eastAsia="仿宋"/>
          <w:color w:val="auto"/>
          <w:szCs w:val="21"/>
        </w:rPr>
        <w:t xml:space="preserve">2.9 </w:t>
      </w:r>
      <w:r>
        <w:rPr>
          <w:rFonts w:hint="eastAsia" w:ascii="仿宋" w:hAnsi="仿宋" w:eastAsia="仿宋" w:cs="宋体"/>
          <w:color w:val="auto"/>
          <w:szCs w:val="21"/>
        </w:rPr>
        <w:t>“正偏离”，是指投标文件对招标文件“采购需求”中有关条款作出的响应优于条款要求并有利于采购人的情形。</w:t>
      </w:r>
    </w:p>
    <w:p w14:paraId="496B650F">
      <w:pPr>
        <w:snapToGrid w:val="0"/>
        <w:spacing w:line="360" w:lineRule="auto"/>
        <w:ind w:firstLine="420" w:firstLineChars="200"/>
        <w:jc w:val="left"/>
        <w:rPr>
          <w:rFonts w:ascii="仿宋" w:hAnsi="仿宋" w:eastAsia="仿宋" w:cs="宋体"/>
          <w:color w:val="auto"/>
          <w:szCs w:val="21"/>
        </w:rPr>
      </w:pPr>
      <w:r>
        <w:rPr>
          <w:rFonts w:ascii="仿宋" w:hAnsi="仿宋" w:eastAsia="仿宋" w:cs="宋体"/>
          <w:color w:val="auto"/>
          <w:szCs w:val="21"/>
        </w:rPr>
        <w:t>2.10</w:t>
      </w:r>
      <w:r>
        <w:rPr>
          <w:rFonts w:hint="eastAsia" w:ascii="仿宋" w:hAnsi="仿宋" w:eastAsia="仿宋" w:cs="宋体"/>
          <w:color w:val="auto"/>
          <w:szCs w:val="21"/>
        </w:rPr>
        <w:t>“负偏离”，是指投标文件对招标文件“采购需求”中有关条款作出的响应不满足条款要求，导致采购人要求不能得到满足的情形。</w:t>
      </w:r>
    </w:p>
    <w:p w14:paraId="50A3D1BF">
      <w:pPr>
        <w:snapToGrid w:val="0"/>
        <w:spacing w:line="360" w:lineRule="auto"/>
        <w:ind w:firstLine="420" w:firstLineChars="200"/>
        <w:jc w:val="left"/>
        <w:rPr>
          <w:rFonts w:ascii="仿宋" w:hAnsi="仿宋" w:eastAsia="仿宋" w:cs="宋体"/>
          <w:color w:val="auto"/>
          <w:szCs w:val="21"/>
        </w:rPr>
      </w:pPr>
      <w:r>
        <w:rPr>
          <w:rFonts w:hint="eastAsia" w:ascii="仿宋" w:hAnsi="仿宋" w:eastAsia="仿宋"/>
          <w:color w:val="auto"/>
          <w:szCs w:val="21"/>
        </w:rPr>
        <w:t>2.1</w:t>
      </w:r>
      <w:r>
        <w:rPr>
          <w:rFonts w:ascii="仿宋" w:hAnsi="仿宋" w:eastAsia="仿宋"/>
          <w:color w:val="auto"/>
          <w:szCs w:val="21"/>
        </w:rPr>
        <w:t>1</w:t>
      </w:r>
      <w:r>
        <w:rPr>
          <w:rFonts w:hint="eastAsia" w:ascii="仿宋" w:hAnsi="仿宋" w:eastAsia="仿宋" w:cs="宋体"/>
          <w:color w:val="auto"/>
          <w:szCs w:val="21"/>
        </w:rPr>
        <w:t>“允许负偏离的条款”是指采购需求中的不属于“实质性要求”的条款。</w:t>
      </w:r>
      <w:bookmarkStart w:id="72" w:name="_Toc254970529"/>
      <w:bookmarkStart w:id="73" w:name="_Toc254970670"/>
    </w:p>
    <w:p w14:paraId="543950C0">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3.</w:t>
      </w:r>
      <w:bookmarkEnd w:id="72"/>
      <w:bookmarkEnd w:id="73"/>
      <w:r>
        <w:rPr>
          <w:rFonts w:hint="eastAsia" w:ascii="仿宋" w:hAnsi="仿宋" w:eastAsia="仿宋"/>
          <w:color w:val="auto"/>
          <w:sz w:val="24"/>
        </w:rPr>
        <w:t>投标人的资格要求</w:t>
      </w:r>
    </w:p>
    <w:p w14:paraId="5D7BBFD5">
      <w:pPr>
        <w:snapToGrid w:val="0"/>
        <w:spacing w:line="360" w:lineRule="auto"/>
        <w:ind w:firstLine="420" w:firstLineChars="200"/>
        <w:jc w:val="left"/>
        <w:rPr>
          <w:rFonts w:hint="eastAsia" w:ascii="仿宋" w:hAnsi="仿宋" w:eastAsia="仿宋"/>
          <w:color w:val="auto"/>
          <w:szCs w:val="21"/>
        </w:rPr>
      </w:pPr>
      <w:r>
        <w:rPr>
          <w:rFonts w:hint="eastAsia" w:ascii="仿宋" w:hAnsi="仿宋" w:eastAsia="仿宋"/>
          <w:color w:val="auto"/>
          <w:szCs w:val="21"/>
        </w:rPr>
        <w:t>投标人的资格要求详见“投标人须知前附表”。</w:t>
      </w:r>
    </w:p>
    <w:p w14:paraId="411E7259">
      <w:pPr>
        <w:pStyle w:val="6"/>
        <w:keepNext w:val="0"/>
        <w:keepLines w:val="0"/>
        <w:spacing w:before="0" w:after="0" w:line="360" w:lineRule="auto"/>
        <w:ind w:left="420" w:leftChars="200"/>
        <w:rPr>
          <w:rFonts w:hint="eastAsia" w:ascii="仿宋" w:hAnsi="仿宋" w:eastAsia="仿宋"/>
          <w:color w:val="auto"/>
          <w:sz w:val="24"/>
        </w:rPr>
      </w:pPr>
      <w:bookmarkStart w:id="74" w:name="_Toc254970530"/>
      <w:bookmarkStart w:id="75" w:name="_Toc254970671"/>
      <w:r>
        <w:rPr>
          <w:rFonts w:hint="eastAsia" w:ascii="仿宋" w:hAnsi="仿宋" w:eastAsia="仿宋"/>
          <w:color w:val="auto"/>
          <w:sz w:val="24"/>
        </w:rPr>
        <w:t>4.投标委托</w:t>
      </w:r>
      <w:bookmarkEnd w:id="74"/>
      <w:bookmarkEnd w:id="75"/>
    </w:p>
    <w:p w14:paraId="51FC500C">
      <w:pPr>
        <w:snapToGrid w:val="0"/>
        <w:spacing w:line="360" w:lineRule="auto"/>
        <w:ind w:firstLine="420" w:firstLineChars="200"/>
        <w:jc w:val="left"/>
        <w:rPr>
          <w:rFonts w:hint="eastAsia" w:ascii="仿宋" w:hAnsi="仿宋" w:eastAsia="仿宋"/>
          <w:color w:val="auto"/>
          <w:szCs w:val="21"/>
        </w:rPr>
      </w:pPr>
      <w:r>
        <w:rPr>
          <w:rFonts w:hint="eastAsia" w:ascii="仿宋" w:hAnsi="仿宋" w:eastAsia="仿宋"/>
          <w:color w:val="auto"/>
          <w:szCs w:val="21"/>
        </w:rPr>
        <w:t>投标人代表参加投标活动过程中必须携带个人有效身份证件。如投标人代表不是法定代表人，须持有授权委托书（按第六章要求格式填写）。</w:t>
      </w:r>
    </w:p>
    <w:p w14:paraId="2BAD2F14">
      <w:pPr>
        <w:pStyle w:val="6"/>
        <w:keepNext w:val="0"/>
        <w:keepLines w:val="0"/>
        <w:spacing w:before="0" w:after="0" w:line="360" w:lineRule="auto"/>
        <w:ind w:left="420" w:leftChars="200"/>
        <w:rPr>
          <w:rFonts w:hint="eastAsia" w:ascii="仿宋" w:hAnsi="仿宋" w:eastAsia="仿宋"/>
          <w:color w:val="auto"/>
          <w:sz w:val="24"/>
        </w:rPr>
      </w:pPr>
      <w:bookmarkStart w:id="76" w:name="_5.投标费用"/>
      <w:bookmarkEnd w:id="76"/>
      <w:bookmarkStart w:id="77" w:name="_Toc254970531"/>
      <w:bookmarkStart w:id="78" w:name="_Toc254970672"/>
      <w:r>
        <w:rPr>
          <w:rFonts w:hint="eastAsia" w:ascii="仿宋" w:hAnsi="仿宋" w:eastAsia="仿宋"/>
          <w:color w:val="auto"/>
          <w:sz w:val="24"/>
        </w:rPr>
        <w:t>5.投标费用</w:t>
      </w:r>
      <w:bookmarkEnd w:id="77"/>
      <w:bookmarkEnd w:id="78"/>
    </w:p>
    <w:p w14:paraId="40007888">
      <w:pPr>
        <w:snapToGrid w:val="0"/>
        <w:spacing w:line="360" w:lineRule="auto"/>
        <w:ind w:firstLine="420" w:firstLineChars="200"/>
        <w:jc w:val="left"/>
        <w:rPr>
          <w:rFonts w:hint="eastAsia" w:ascii="仿宋" w:hAnsi="仿宋" w:eastAsia="仿宋"/>
          <w:color w:val="auto"/>
          <w:szCs w:val="21"/>
        </w:rPr>
      </w:pPr>
      <w:r>
        <w:rPr>
          <w:rFonts w:hint="eastAsia" w:ascii="仿宋" w:hAnsi="仿宋" w:eastAsia="仿宋" w:cs="宋体"/>
          <w:color w:val="auto"/>
          <w:szCs w:val="21"/>
        </w:rPr>
        <w:t>投标费用：投标人应承担参与本次采购活动有关的所有费用，包括但不限于获取招标文件、勘查现场、编制和提交投标文件、参加澄清说明、签订合同等，不论投标结果如何，均应自行承担。</w:t>
      </w:r>
    </w:p>
    <w:p w14:paraId="6AB7844D">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6.联合体投标</w:t>
      </w:r>
    </w:p>
    <w:p w14:paraId="634A7E95">
      <w:pPr>
        <w:snapToGrid w:val="0"/>
        <w:spacing w:line="360" w:lineRule="auto"/>
        <w:ind w:firstLine="420" w:firstLineChars="200"/>
        <w:jc w:val="left"/>
        <w:rPr>
          <w:rFonts w:ascii="仿宋" w:hAnsi="仿宋" w:eastAsia="仿宋"/>
          <w:color w:val="auto"/>
          <w:szCs w:val="21"/>
        </w:rPr>
      </w:pPr>
      <w:r>
        <w:rPr>
          <w:rFonts w:hint="eastAsia" w:ascii="仿宋" w:hAnsi="仿宋" w:eastAsia="仿宋"/>
          <w:color w:val="auto"/>
          <w:szCs w:val="21"/>
        </w:rPr>
        <w:t>6.1本项目是否接受联合体投标，详见“投标人须知前附表”。</w:t>
      </w:r>
    </w:p>
    <w:p w14:paraId="16A263AD">
      <w:pPr>
        <w:snapToGrid w:val="0"/>
        <w:spacing w:line="360" w:lineRule="auto"/>
        <w:ind w:firstLine="420" w:firstLineChars="200"/>
        <w:jc w:val="left"/>
        <w:rPr>
          <w:rFonts w:ascii="仿宋" w:hAnsi="仿宋" w:eastAsia="仿宋"/>
          <w:bCs/>
          <w:color w:val="auto"/>
          <w:szCs w:val="21"/>
        </w:rPr>
      </w:pPr>
      <w:r>
        <w:rPr>
          <w:rFonts w:hint="eastAsia" w:ascii="仿宋" w:hAnsi="仿宋" w:eastAsia="仿宋"/>
          <w:bCs/>
          <w:color w:val="auto"/>
          <w:szCs w:val="21"/>
        </w:rPr>
        <w:t>6.2如接受联合体投标，联合体投标要求详见“投标人须知前附表”。</w:t>
      </w:r>
    </w:p>
    <w:p w14:paraId="2F0F5514">
      <w:pPr>
        <w:pStyle w:val="6"/>
        <w:keepNext w:val="0"/>
        <w:keepLines w:val="0"/>
        <w:spacing w:before="0" w:after="0" w:line="360" w:lineRule="auto"/>
        <w:ind w:firstLine="424" w:firstLineChars="202"/>
        <w:rPr>
          <w:rFonts w:hint="eastAsia" w:ascii="仿宋" w:hAnsi="仿宋" w:eastAsia="仿宋"/>
          <w:color w:val="auto"/>
          <w:sz w:val="24"/>
        </w:rPr>
      </w:pPr>
      <w:r>
        <w:rPr>
          <w:rFonts w:hint="eastAsia" w:ascii="仿宋" w:hAnsi="仿宋" w:eastAsia="仿宋"/>
          <w:b w:val="0"/>
          <w:bCs/>
          <w:color w:val="auto"/>
          <w:sz w:val="21"/>
          <w:szCs w:val="21"/>
        </w:rPr>
        <w:t>6.3</w:t>
      </w:r>
      <w:r>
        <w:rPr>
          <w:rFonts w:ascii="仿宋" w:hAnsi="仿宋" w:eastAsia="仿宋"/>
          <w:b w:val="0"/>
          <w:bCs/>
          <w:color w:val="auto"/>
          <w:sz w:val="21"/>
          <w:szCs w:val="21"/>
        </w:rPr>
        <w:t xml:space="preserve"> </w:t>
      </w:r>
      <w:bookmarkStart w:id="79" w:name="_Hlk65857072"/>
      <w:r>
        <w:rPr>
          <w:rFonts w:hint="eastAsia" w:ascii="仿宋" w:hAnsi="仿宋" w:eastAsia="仿宋"/>
          <w:b w:val="0"/>
          <w:bCs/>
          <w:color w:val="auto"/>
          <w:sz w:val="21"/>
          <w:szCs w:val="21"/>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hint="eastAsia" w:ascii="仿宋" w:hAnsi="仿宋" w:eastAsia="仿宋"/>
          <w:b w:val="0"/>
          <w:bCs/>
          <w:color w:val="auto"/>
          <w:sz w:val="21"/>
          <w:szCs w:val="21"/>
          <w:lang w:val="en-US" w:eastAsia="zh-CN"/>
        </w:rPr>
        <w:t>6</w:t>
      </w:r>
      <w:r>
        <w:rPr>
          <w:rFonts w:hint="eastAsia" w:ascii="仿宋" w:hAnsi="仿宋" w:eastAsia="仿宋"/>
          <w:b w:val="0"/>
          <w:bCs/>
          <w:color w:val="auto"/>
          <w:sz w:val="21"/>
          <w:szCs w:val="21"/>
        </w:rPr>
        <w:t>%的扣除，用扣除后的价格参加评审。</w:t>
      </w:r>
      <w:bookmarkEnd w:id="79"/>
    </w:p>
    <w:p w14:paraId="56BD16D8">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 xml:space="preserve">7.转包与分包 </w:t>
      </w:r>
    </w:p>
    <w:p w14:paraId="6C0369DF">
      <w:pPr>
        <w:pStyle w:val="6"/>
        <w:keepNext w:val="0"/>
        <w:keepLines w:val="0"/>
        <w:spacing w:before="0" w:after="0" w:line="360" w:lineRule="auto"/>
        <w:ind w:left="420" w:leftChars="200"/>
        <w:rPr>
          <w:rFonts w:hint="eastAsia" w:ascii="仿宋" w:hAnsi="仿宋" w:eastAsia="仿宋"/>
          <w:b w:val="0"/>
          <w:color w:val="auto"/>
          <w:sz w:val="21"/>
          <w:szCs w:val="21"/>
        </w:rPr>
      </w:pPr>
      <w:r>
        <w:rPr>
          <w:rFonts w:hint="eastAsia" w:ascii="仿宋" w:hAnsi="仿宋" w:eastAsia="仿宋"/>
          <w:b w:val="0"/>
          <w:color w:val="auto"/>
          <w:sz w:val="21"/>
          <w:szCs w:val="21"/>
        </w:rPr>
        <w:t>7.1本项目不允许转包。</w:t>
      </w:r>
    </w:p>
    <w:p w14:paraId="0FB802A0">
      <w:pPr>
        <w:pStyle w:val="6"/>
        <w:keepNext w:val="0"/>
        <w:keepLines w:val="0"/>
        <w:spacing w:before="0" w:after="0" w:line="360" w:lineRule="auto"/>
        <w:ind w:firstLine="315" w:firstLineChars="150"/>
        <w:rPr>
          <w:rFonts w:hint="eastAsia" w:ascii="仿宋" w:hAnsi="仿宋" w:eastAsia="仿宋"/>
          <w:b w:val="0"/>
          <w:color w:val="auto"/>
          <w:sz w:val="21"/>
          <w:szCs w:val="21"/>
        </w:rPr>
      </w:pPr>
      <w:r>
        <w:rPr>
          <w:rFonts w:hint="eastAsia" w:ascii="仿宋" w:hAnsi="仿宋" w:eastAsia="仿宋"/>
          <w:b w:val="0"/>
          <w:color w:val="auto"/>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4AA48612">
      <w:pPr>
        <w:pStyle w:val="6"/>
        <w:keepNext w:val="0"/>
        <w:keepLines w:val="0"/>
        <w:spacing w:before="0" w:after="0" w:line="360" w:lineRule="auto"/>
        <w:ind w:firstLine="315" w:firstLineChars="150"/>
        <w:rPr>
          <w:rFonts w:hint="eastAsia" w:ascii="仿宋" w:hAnsi="仿宋" w:eastAsia="仿宋"/>
          <w:b w:val="0"/>
          <w:color w:val="auto"/>
          <w:sz w:val="21"/>
          <w:szCs w:val="21"/>
        </w:rPr>
      </w:pPr>
      <w:r>
        <w:rPr>
          <w:rFonts w:hint="eastAsia" w:ascii="仿宋" w:hAnsi="仿宋" w:eastAsia="仿宋"/>
          <w:b w:val="0"/>
          <w:color w:val="auto"/>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4B66900A">
      <w:pPr>
        <w:pStyle w:val="6"/>
        <w:keepNext w:val="0"/>
        <w:keepLines w:val="0"/>
        <w:spacing w:before="0" w:after="0" w:line="360" w:lineRule="auto"/>
        <w:ind w:left="420" w:leftChars="200"/>
        <w:rPr>
          <w:rFonts w:hint="eastAsia" w:ascii="仿宋" w:hAnsi="仿宋" w:eastAsia="仿宋"/>
          <w:color w:val="auto"/>
          <w:sz w:val="24"/>
        </w:rPr>
      </w:pPr>
      <w:bookmarkStart w:id="80" w:name="_Toc254970673"/>
      <w:bookmarkStart w:id="81" w:name="_Toc254970532"/>
      <w:r>
        <w:rPr>
          <w:rFonts w:hint="eastAsia" w:ascii="仿宋" w:hAnsi="仿宋" w:eastAsia="仿宋"/>
          <w:color w:val="auto"/>
          <w:sz w:val="24"/>
        </w:rPr>
        <w:t>8.特别说明</w:t>
      </w:r>
      <w:bookmarkEnd w:id="80"/>
      <w:bookmarkEnd w:id="81"/>
    </w:p>
    <w:p w14:paraId="2FA51041">
      <w:pPr>
        <w:pStyle w:val="6"/>
        <w:keepNext w:val="0"/>
        <w:keepLines w:val="0"/>
        <w:spacing w:before="0" w:after="0" w:line="360" w:lineRule="auto"/>
        <w:ind w:firstLine="420" w:firstLineChars="200"/>
        <w:rPr>
          <w:rFonts w:hint="eastAsia" w:ascii="仿宋" w:hAnsi="仿宋" w:eastAsia="仿宋"/>
          <w:b w:val="0"/>
          <w:color w:val="auto"/>
          <w:sz w:val="21"/>
          <w:szCs w:val="21"/>
        </w:rPr>
      </w:pPr>
      <w:bookmarkStart w:id="82" w:name="_8.1提供相同品牌产品且通过资格审查、符合性审查的不同投标人参加同一合"/>
      <w:bookmarkEnd w:id="82"/>
      <w:r>
        <w:rPr>
          <w:rFonts w:ascii="仿宋" w:hAnsi="仿宋" w:eastAsia="仿宋"/>
          <w:b w:val="0"/>
          <w:color w:val="auto"/>
          <w:sz w:val="21"/>
          <w:szCs w:val="21"/>
        </w:rPr>
        <w:fldChar w:fldCharType="begin"/>
      </w:r>
      <w:r>
        <w:rPr>
          <w:rFonts w:ascii="仿宋" w:hAnsi="仿宋" w:eastAsia="仿宋"/>
          <w:b w:val="0"/>
          <w:color w:val="auto"/>
          <w:sz w:val="21"/>
          <w:szCs w:val="21"/>
        </w:rPr>
        <w:instrText xml:space="preserve"> HYPERLINK  \l "_8.1" </w:instrText>
      </w:r>
      <w:r>
        <w:rPr>
          <w:rFonts w:ascii="仿宋" w:hAnsi="仿宋" w:eastAsia="仿宋"/>
          <w:b w:val="0"/>
          <w:color w:val="auto"/>
          <w:sz w:val="21"/>
          <w:szCs w:val="21"/>
        </w:rPr>
        <w:fldChar w:fldCharType="separate"/>
      </w:r>
      <w:r>
        <w:rPr>
          <w:rFonts w:hint="eastAsia" w:ascii="仿宋" w:hAnsi="仿宋" w:eastAsia="仿宋"/>
          <w:b w:val="0"/>
          <w:color w:val="auto"/>
          <w:sz w:val="21"/>
          <w:szCs w:val="21"/>
        </w:rPr>
        <w:t>8.1</w:t>
      </w:r>
      <w:r>
        <w:rPr>
          <w:rFonts w:ascii="仿宋" w:hAnsi="仿宋" w:eastAsia="仿宋"/>
          <w:b w:val="0"/>
          <w:color w:val="auto"/>
          <w:sz w:val="21"/>
          <w:szCs w:val="21"/>
        </w:rPr>
        <w:fldChar w:fldCharType="end"/>
      </w:r>
      <w:r>
        <w:rPr>
          <w:rFonts w:hint="eastAsia" w:ascii="仿宋" w:hAnsi="仿宋" w:eastAsia="仿宋"/>
          <w:b w:val="0"/>
          <w:color w:val="auto"/>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仿宋" w:hAnsi="仿宋" w:eastAsia="仿宋"/>
          <w:color w:val="auto"/>
          <w:sz w:val="22"/>
          <w:szCs w:val="22"/>
        </w:rPr>
        <w:t>其他投标无效。</w:t>
      </w:r>
    </w:p>
    <w:p w14:paraId="75667CC9">
      <w:pPr>
        <w:pStyle w:val="6"/>
        <w:keepNext w:val="0"/>
        <w:keepLines w:val="0"/>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746AA186">
      <w:pPr>
        <w:pStyle w:val="24"/>
        <w:snapToGrid w:val="0"/>
        <w:spacing w:line="360" w:lineRule="auto"/>
        <w:ind w:left="2" w:leftChars="1" w:firstLine="420" w:firstLineChars="200"/>
        <w:rPr>
          <w:rFonts w:hint="eastAsia" w:ascii="仿宋" w:hAnsi="仿宋" w:eastAsia="仿宋"/>
          <w:color w:val="auto"/>
          <w:kern w:val="2"/>
          <w:sz w:val="21"/>
        </w:rPr>
      </w:pPr>
      <w:r>
        <w:rPr>
          <w:rFonts w:hint="eastAsia" w:ascii="仿宋" w:hAnsi="仿宋" w:eastAsia="仿宋"/>
          <w:color w:val="auto"/>
          <w:kern w:val="2"/>
          <w:sz w:val="21"/>
        </w:rPr>
        <w:t>非单一产品采购项目，多家投标人提供的核心产品品牌相同的，</w:t>
      </w:r>
      <w:r>
        <w:rPr>
          <w:rFonts w:hint="eastAsia" w:ascii="仿宋" w:hAnsi="仿宋" w:eastAsia="仿宋"/>
          <w:color w:val="auto"/>
          <w:sz w:val="22"/>
          <w:szCs w:val="22"/>
        </w:rPr>
        <w:t>按前两款规定处理</w:t>
      </w:r>
      <w:r>
        <w:rPr>
          <w:rFonts w:hint="eastAsia" w:ascii="仿宋" w:hAnsi="仿宋" w:eastAsia="仿宋"/>
          <w:color w:val="auto"/>
          <w:kern w:val="2"/>
          <w:sz w:val="21"/>
        </w:rPr>
        <w:t>。</w:t>
      </w:r>
    </w:p>
    <w:p w14:paraId="44FC542C">
      <w:pPr>
        <w:pStyle w:val="6"/>
        <w:keepNext w:val="0"/>
        <w:keepLines w:val="0"/>
        <w:spacing w:before="0" w:after="0" w:line="360" w:lineRule="auto"/>
        <w:ind w:firstLine="367" w:firstLineChars="175"/>
        <w:rPr>
          <w:rFonts w:hint="eastAsia" w:ascii="仿宋" w:hAnsi="仿宋" w:eastAsia="仿宋"/>
          <w:b w:val="0"/>
          <w:color w:val="auto"/>
          <w:sz w:val="21"/>
          <w:szCs w:val="21"/>
        </w:rPr>
      </w:pPr>
      <w:r>
        <w:rPr>
          <w:rFonts w:hint="eastAsia" w:ascii="仿宋" w:hAnsi="仿宋" w:eastAsia="仿宋"/>
          <w:b w:val="0"/>
          <w:color w:val="auto"/>
          <w:sz w:val="21"/>
          <w:szCs w:val="21"/>
        </w:rPr>
        <w:t xml:space="preserve"> 8.2如果本招标文件要求提供投标人或制造商的资格、信誉、荣誉、业绩与企业认证等材料的，资格、信誉、荣誉、业绩与企业认证等必须为投标人或者制造商所拥有或自身获得 。</w:t>
      </w:r>
    </w:p>
    <w:p w14:paraId="07C7E137">
      <w:pPr>
        <w:pStyle w:val="6"/>
        <w:keepNext w:val="0"/>
        <w:keepLines w:val="0"/>
        <w:spacing w:before="0" w:after="0" w:line="360" w:lineRule="auto"/>
        <w:ind w:firstLine="367" w:firstLineChars="175"/>
        <w:rPr>
          <w:rFonts w:hint="eastAsia" w:ascii="仿宋" w:hAnsi="仿宋" w:eastAsia="仿宋"/>
          <w:b w:val="0"/>
          <w:color w:val="auto"/>
          <w:sz w:val="21"/>
          <w:szCs w:val="21"/>
        </w:rPr>
      </w:pPr>
      <w:r>
        <w:rPr>
          <w:rFonts w:hint="eastAsia" w:ascii="仿宋" w:hAnsi="仿宋" w:eastAsia="仿宋"/>
          <w:b w:val="0"/>
          <w:color w:val="auto"/>
          <w:sz w:val="21"/>
          <w:szCs w:val="21"/>
        </w:rPr>
        <w:t xml:space="preserve"> 8.3投标人应仔细阅读招标文件的所有内容，按照招标文件的要求提交投标文件，并对所提供的全部资料的真实性承担法律责任。</w:t>
      </w:r>
    </w:p>
    <w:p w14:paraId="12692990">
      <w:pPr>
        <w:pStyle w:val="6"/>
        <w:keepNext w:val="0"/>
        <w:keepLines w:val="0"/>
        <w:spacing w:before="0" w:after="0" w:line="360" w:lineRule="auto"/>
        <w:ind w:firstLine="367" w:firstLineChars="175"/>
        <w:rPr>
          <w:rFonts w:hint="eastAsia" w:ascii="仿宋" w:hAnsi="仿宋" w:eastAsia="仿宋"/>
          <w:b w:val="0"/>
          <w:color w:val="auto"/>
          <w:sz w:val="21"/>
          <w:szCs w:val="21"/>
        </w:rPr>
      </w:pPr>
      <w:r>
        <w:rPr>
          <w:rFonts w:hint="eastAsia" w:ascii="仿宋" w:hAnsi="仿宋" w:eastAsia="仿宋"/>
          <w:b w:val="0"/>
          <w:color w:val="auto"/>
          <w:sz w:val="21"/>
          <w:szCs w:val="21"/>
        </w:rPr>
        <w:t xml:space="preserve"> 8.4投标人在投标活动中提供任何虚假材料，将报监管部门查处；中标后发现的，中标人须依法赔偿采购人，且民事赔偿并不免除违法投标人的行政与刑事责任。</w:t>
      </w:r>
    </w:p>
    <w:p w14:paraId="264189EF">
      <w:pPr>
        <w:pStyle w:val="6"/>
        <w:keepNext w:val="0"/>
        <w:keepLines w:val="0"/>
        <w:spacing w:before="0" w:after="0" w:line="360" w:lineRule="auto"/>
        <w:ind w:left="420" w:leftChars="200"/>
        <w:rPr>
          <w:rFonts w:ascii="仿宋" w:hAnsi="仿宋" w:eastAsia="仿宋"/>
          <w:color w:val="auto"/>
          <w:sz w:val="24"/>
        </w:rPr>
      </w:pPr>
      <w:r>
        <w:rPr>
          <w:rFonts w:ascii="仿宋" w:hAnsi="仿宋" w:eastAsia="仿宋"/>
          <w:color w:val="auto"/>
          <w:sz w:val="24"/>
        </w:rPr>
        <w:t>9.</w:t>
      </w:r>
      <w:r>
        <w:rPr>
          <w:rFonts w:hint="eastAsia" w:ascii="仿宋" w:hAnsi="仿宋" w:eastAsia="仿宋"/>
          <w:color w:val="auto"/>
          <w:sz w:val="24"/>
        </w:rPr>
        <w:t>回避与串通投标</w:t>
      </w:r>
    </w:p>
    <w:p w14:paraId="714E8869">
      <w:pPr>
        <w:pStyle w:val="6"/>
        <w:keepNext w:val="0"/>
        <w:keepLines w:val="0"/>
        <w:spacing w:before="0" w:after="0" w:line="360" w:lineRule="auto"/>
        <w:ind w:firstLine="367" w:firstLineChars="175"/>
        <w:rPr>
          <w:rFonts w:ascii="仿宋" w:hAnsi="仿宋" w:eastAsia="仿宋"/>
          <w:b w:val="0"/>
          <w:color w:val="auto"/>
          <w:sz w:val="21"/>
          <w:szCs w:val="21"/>
        </w:rPr>
      </w:pPr>
      <w:r>
        <w:rPr>
          <w:rFonts w:hint="eastAsia" w:ascii="仿宋" w:hAnsi="仿宋" w:eastAsia="仿宋"/>
          <w:b w:val="0"/>
          <w:color w:val="auto"/>
          <w:sz w:val="21"/>
          <w:szCs w:val="21"/>
        </w:rPr>
        <w:t>9</w:t>
      </w:r>
      <w:r>
        <w:rPr>
          <w:rFonts w:ascii="仿宋" w:hAnsi="仿宋" w:eastAsia="仿宋"/>
          <w:b w:val="0"/>
          <w:color w:val="auto"/>
          <w:sz w:val="21"/>
          <w:szCs w:val="21"/>
        </w:rPr>
        <w:t>.1在政府采购活动中，采购人员及相关人员与</w:t>
      </w:r>
      <w:r>
        <w:rPr>
          <w:rFonts w:hint="eastAsia" w:ascii="仿宋" w:hAnsi="仿宋" w:eastAsia="仿宋"/>
          <w:b w:val="0"/>
          <w:color w:val="auto"/>
          <w:sz w:val="21"/>
          <w:szCs w:val="21"/>
        </w:rPr>
        <w:t>供应商</w:t>
      </w:r>
      <w:r>
        <w:rPr>
          <w:rFonts w:ascii="仿宋" w:hAnsi="仿宋" w:eastAsia="仿宋"/>
          <w:b w:val="0"/>
          <w:color w:val="auto"/>
          <w:sz w:val="21"/>
          <w:szCs w:val="21"/>
        </w:rPr>
        <w:t>有下列利害关系之一的，应当回避：</w:t>
      </w:r>
    </w:p>
    <w:p w14:paraId="5B53BFD6">
      <w:pPr>
        <w:pStyle w:val="24"/>
        <w:snapToGrid w:val="0"/>
        <w:spacing w:line="360" w:lineRule="auto"/>
        <w:ind w:left="2" w:leftChars="1" w:firstLine="420" w:firstLineChars="200"/>
        <w:rPr>
          <w:rFonts w:ascii="仿宋" w:hAnsi="仿宋" w:eastAsia="仿宋"/>
          <w:color w:val="auto"/>
          <w:kern w:val="2"/>
          <w:sz w:val="21"/>
        </w:rPr>
      </w:pPr>
      <w:r>
        <w:rPr>
          <w:rFonts w:ascii="仿宋" w:hAnsi="仿宋" w:eastAsia="仿宋"/>
          <w:color w:val="auto"/>
          <w:kern w:val="2"/>
          <w:sz w:val="21"/>
        </w:rPr>
        <w:t>（</w:t>
      </w:r>
      <w:r>
        <w:rPr>
          <w:rFonts w:hint="eastAsia" w:ascii="仿宋" w:hAnsi="仿宋" w:eastAsia="仿宋"/>
          <w:color w:val="auto"/>
          <w:kern w:val="2"/>
          <w:sz w:val="21"/>
        </w:rPr>
        <w:t>1</w:t>
      </w:r>
      <w:r>
        <w:rPr>
          <w:rFonts w:ascii="仿宋" w:hAnsi="仿宋" w:eastAsia="仿宋"/>
          <w:color w:val="auto"/>
          <w:kern w:val="2"/>
          <w:sz w:val="21"/>
        </w:rPr>
        <w:t>）参加采购活动前3年内与</w:t>
      </w:r>
      <w:r>
        <w:rPr>
          <w:rFonts w:hint="eastAsia" w:ascii="仿宋" w:hAnsi="仿宋" w:eastAsia="仿宋"/>
          <w:color w:val="auto"/>
          <w:kern w:val="2"/>
          <w:sz w:val="21"/>
        </w:rPr>
        <w:t>供应商</w:t>
      </w:r>
      <w:r>
        <w:rPr>
          <w:rFonts w:ascii="仿宋" w:hAnsi="仿宋" w:eastAsia="仿宋"/>
          <w:color w:val="auto"/>
          <w:kern w:val="2"/>
          <w:sz w:val="21"/>
        </w:rPr>
        <w:t>存在劳动关系；</w:t>
      </w:r>
    </w:p>
    <w:p w14:paraId="42C6BF48">
      <w:pPr>
        <w:pStyle w:val="24"/>
        <w:snapToGrid w:val="0"/>
        <w:spacing w:line="360" w:lineRule="auto"/>
        <w:ind w:left="2" w:leftChars="1" w:firstLine="420" w:firstLineChars="200"/>
        <w:rPr>
          <w:rFonts w:ascii="仿宋" w:hAnsi="仿宋" w:eastAsia="仿宋"/>
          <w:color w:val="auto"/>
          <w:kern w:val="2"/>
          <w:sz w:val="21"/>
        </w:rPr>
      </w:pPr>
      <w:r>
        <w:rPr>
          <w:rFonts w:ascii="仿宋" w:hAnsi="仿宋" w:eastAsia="仿宋"/>
          <w:color w:val="auto"/>
          <w:kern w:val="2"/>
          <w:sz w:val="21"/>
        </w:rPr>
        <w:t>（</w:t>
      </w:r>
      <w:r>
        <w:rPr>
          <w:rFonts w:hint="eastAsia" w:ascii="仿宋" w:hAnsi="仿宋" w:eastAsia="仿宋"/>
          <w:color w:val="auto"/>
          <w:kern w:val="2"/>
          <w:sz w:val="21"/>
        </w:rPr>
        <w:t>2</w:t>
      </w:r>
      <w:r>
        <w:rPr>
          <w:rFonts w:ascii="仿宋" w:hAnsi="仿宋" w:eastAsia="仿宋"/>
          <w:color w:val="auto"/>
          <w:kern w:val="2"/>
          <w:sz w:val="21"/>
        </w:rPr>
        <w:t>）参加采购活动前3年内担任</w:t>
      </w:r>
      <w:r>
        <w:rPr>
          <w:rFonts w:hint="eastAsia" w:ascii="仿宋" w:hAnsi="仿宋" w:eastAsia="仿宋"/>
          <w:color w:val="auto"/>
          <w:kern w:val="2"/>
          <w:sz w:val="21"/>
        </w:rPr>
        <w:t>供应商</w:t>
      </w:r>
      <w:r>
        <w:rPr>
          <w:rFonts w:ascii="仿宋" w:hAnsi="仿宋" w:eastAsia="仿宋"/>
          <w:color w:val="auto"/>
          <w:kern w:val="2"/>
          <w:sz w:val="21"/>
        </w:rPr>
        <w:t>的董事、监事；</w:t>
      </w:r>
    </w:p>
    <w:p w14:paraId="44E04125">
      <w:pPr>
        <w:pStyle w:val="24"/>
        <w:snapToGrid w:val="0"/>
        <w:spacing w:line="360" w:lineRule="auto"/>
        <w:ind w:left="2" w:leftChars="1" w:firstLine="420" w:firstLineChars="200"/>
        <w:rPr>
          <w:rFonts w:ascii="仿宋" w:hAnsi="仿宋" w:eastAsia="仿宋"/>
          <w:color w:val="auto"/>
          <w:kern w:val="2"/>
          <w:sz w:val="21"/>
        </w:rPr>
      </w:pPr>
      <w:r>
        <w:rPr>
          <w:rFonts w:ascii="仿宋" w:hAnsi="仿宋" w:eastAsia="仿宋"/>
          <w:color w:val="auto"/>
          <w:kern w:val="2"/>
          <w:sz w:val="21"/>
        </w:rPr>
        <w:t>（</w:t>
      </w:r>
      <w:r>
        <w:rPr>
          <w:rFonts w:hint="eastAsia" w:ascii="仿宋" w:hAnsi="仿宋" w:eastAsia="仿宋"/>
          <w:color w:val="auto"/>
          <w:kern w:val="2"/>
          <w:sz w:val="21"/>
        </w:rPr>
        <w:t>3</w:t>
      </w:r>
      <w:r>
        <w:rPr>
          <w:rFonts w:ascii="仿宋" w:hAnsi="仿宋" w:eastAsia="仿宋"/>
          <w:color w:val="auto"/>
          <w:kern w:val="2"/>
          <w:sz w:val="21"/>
        </w:rPr>
        <w:t>）参加采购活动前3年内是</w:t>
      </w:r>
      <w:r>
        <w:rPr>
          <w:rFonts w:hint="eastAsia" w:ascii="仿宋" w:hAnsi="仿宋" w:eastAsia="仿宋"/>
          <w:color w:val="auto"/>
          <w:kern w:val="2"/>
          <w:sz w:val="21"/>
        </w:rPr>
        <w:t>供应商</w:t>
      </w:r>
      <w:r>
        <w:rPr>
          <w:rFonts w:ascii="仿宋" w:hAnsi="仿宋" w:eastAsia="仿宋"/>
          <w:color w:val="auto"/>
          <w:kern w:val="2"/>
          <w:sz w:val="21"/>
        </w:rPr>
        <w:t>的控股股东或者实际控制人；</w:t>
      </w:r>
    </w:p>
    <w:p w14:paraId="6BB39688">
      <w:pPr>
        <w:pStyle w:val="24"/>
        <w:snapToGrid w:val="0"/>
        <w:spacing w:line="360" w:lineRule="auto"/>
        <w:ind w:left="2" w:leftChars="1" w:firstLine="420" w:firstLineChars="200"/>
        <w:rPr>
          <w:rFonts w:ascii="仿宋" w:hAnsi="仿宋" w:eastAsia="仿宋"/>
          <w:color w:val="auto"/>
          <w:kern w:val="2"/>
          <w:sz w:val="21"/>
        </w:rPr>
      </w:pPr>
      <w:r>
        <w:rPr>
          <w:rFonts w:ascii="仿宋" w:hAnsi="仿宋" w:eastAsia="仿宋"/>
          <w:color w:val="auto"/>
          <w:kern w:val="2"/>
          <w:sz w:val="21"/>
        </w:rPr>
        <w:t>（</w:t>
      </w:r>
      <w:r>
        <w:rPr>
          <w:rFonts w:hint="eastAsia" w:ascii="仿宋" w:hAnsi="仿宋" w:eastAsia="仿宋"/>
          <w:color w:val="auto"/>
          <w:kern w:val="2"/>
          <w:sz w:val="21"/>
        </w:rPr>
        <w:t>4</w:t>
      </w:r>
      <w:r>
        <w:rPr>
          <w:rFonts w:ascii="仿宋" w:hAnsi="仿宋" w:eastAsia="仿宋"/>
          <w:color w:val="auto"/>
          <w:kern w:val="2"/>
          <w:sz w:val="21"/>
        </w:rPr>
        <w:t>）与</w:t>
      </w:r>
      <w:r>
        <w:rPr>
          <w:rFonts w:hint="eastAsia" w:ascii="仿宋" w:hAnsi="仿宋" w:eastAsia="仿宋"/>
          <w:color w:val="auto"/>
          <w:kern w:val="2"/>
          <w:sz w:val="21"/>
        </w:rPr>
        <w:t>供应商</w:t>
      </w:r>
      <w:r>
        <w:rPr>
          <w:rFonts w:ascii="仿宋" w:hAnsi="仿宋" w:eastAsia="仿宋"/>
          <w:color w:val="auto"/>
          <w:kern w:val="2"/>
          <w:sz w:val="21"/>
        </w:rPr>
        <w:t>的法定代表人或者负责人有夫妻、直系血亲、三代以内旁系血亲或者近姻亲关系；</w:t>
      </w:r>
    </w:p>
    <w:p w14:paraId="39E432C6">
      <w:pPr>
        <w:pStyle w:val="24"/>
        <w:snapToGrid w:val="0"/>
        <w:spacing w:line="360" w:lineRule="auto"/>
        <w:ind w:left="2" w:leftChars="1" w:firstLine="420" w:firstLineChars="200"/>
        <w:rPr>
          <w:rFonts w:ascii="仿宋" w:hAnsi="仿宋" w:eastAsia="仿宋"/>
          <w:color w:val="auto"/>
          <w:kern w:val="2"/>
          <w:sz w:val="21"/>
        </w:rPr>
      </w:pPr>
      <w:r>
        <w:rPr>
          <w:rFonts w:ascii="仿宋" w:hAnsi="仿宋" w:eastAsia="仿宋"/>
          <w:color w:val="auto"/>
          <w:kern w:val="2"/>
          <w:sz w:val="21"/>
        </w:rPr>
        <w:t>（</w:t>
      </w:r>
      <w:r>
        <w:rPr>
          <w:rFonts w:hint="eastAsia" w:ascii="仿宋" w:hAnsi="仿宋" w:eastAsia="仿宋"/>
          <w:color w:val="auto"/>
          <w:kern w:val="2"/>
          <w:sz w:val="21"/>
        </w:rPr>
        <w:t>5</w:t>
      </w:r>
      <w:r>
        <w:rPr>
          <w:rFonts w:ascii="仿宋" w:hAnsi="仿宋" w:eastAsia="仿宋"/>
          <w:color w:val="auto"/>
          <w:kern w:val="2"/>
          <w:sz w:val="21"/>
        </w:rPr>
        <w:t>）与</w:t>
      </w:r>
      <w:r>
        <w:rPr>
          <w:rFonts w:hint="eastAsia" w:ascii="仿宋" w:hAnsi="仿宋" w:eastAsia="仿宋"/>
          <w:color w:val="auto"/>
          <w:kern w:val="2"/>
          <w:sz w:val="21"/>
        </w:rPr>
        <w:t>供应商</w:t>
      </w:r>
      <w:r>
        <w:rPr>
          <w:rFonts w:ascii="仿宋" w:hAnsi="仿宋" w:eastAsia="仿宋"/>
          <w:color w:val="auto"/>
          <w:kern w:val="2"/>
          <w:sz w:val="21"/>
        </w:rPr>
        <w:t>有其他可能影响政府采购活动公平、公正进行的关系。</w:t>
      </w:r>
    </w:p>
    <w:p w14:paraId="1F5FD707">
      <w:pPr>
        <w:pStyle w:val="24"/>
        <w:snapToGrid w:val="0"/>
        <w:spacing w:line="360" w:lineRule="auto"/>
        <w:ind w:left="2" w:leftChars="1" w:firstLine="420" w:firstLineChars="200"/>
        <w:rPr>
          <w:rFonts w:hint="eastAsia" w:ascii="仿宋" w:hAnsi="仿宋" w:eastAsia="仿宋"/>
          <w:color w:val="auto"/>
          <w:kern w:val="2"/>
          <w:sz w:val="21"/>
        </w:rPr>
      </w:pPr>
      <w:r>
        <w:rPr>
          <w:rFonts w:hint="eastAsia" w:ascii="仿宋" w:hAnsi="仿宋" w:eastAsia="仿宋"/>
          <w:color w:val="auto"/>
          <w:kern w:val="2"/>
          <w:sz w:val="21"/>
        </w:rPr>
        <w:t>供应商</w:t>
      </w:r>
      <w:r>
        <w:rPr>
          <w:rFonts w:ascii="仿宋" w:hAnsi="仿宋" w:eastAsia="仿宋"/>
          <w:color w:val="auto"/>
          <w:kern w:val="2"/>
          <w:sz w:val="21"/>
        </w:rPr>
        <w:t>认为采购人员及相关人员与其他</w:t>
      </w:r>
      <w:r>
        <w:rPr>
          <w:rFonts w:hint="eastAsia" w:ascii="仿宋" w:hAnsi="仿宋" w:eastAsia="仿宋"/>
          <w:color w:val="auto"/>
          <w:kern w:val="2"/>
          <w:sz w:val="21"/>
        </w:rPr>
        <w:t>供应商</w:t>
      </w:r>
      <w:r>
        <w:rPr>
          <w:rFonts w:ascii="仿宋" w:hAnsi="仿宋" w:eastAsia="仿宋"/>
          <w:color w:val="auto"/>
          <w:kern w:val="2"/>
          <w:sz w:val="21"/>
        </w:rPr>
        <w:t>有利害关系的，可以向采购人或者采购代理机构书面提出回避申请，并说明理由。采购人或者采购代理机构应当及时询问被申请回避人员，有利害关系的被申请回避人员应当回避。</w:t>
      </w:r>
    </w:p>
    <w:p w14:paraId="5EA8C11D">
      <w:pPr>
        <w:pStyle w:val="6"/>
        <w:keepNext w:val="0"/>
        <w:keepLines w:val="0"/>
        <w:spacing w:before="0" w:after="0" w:line="360" w:lineRule="auto"/>
        <w:ind w:left="420" w:leftChars="200"/>
        <w:rPr>
          <w:rFonts w:hint="eastAsia" w:ascii="仿宋" w:hAnsi="仿宋" w:eastAsia="仿宋"/>
          <w:color w:val="auto"/>
          <w:sz w:val="21"/>
          <w:szCs w:val="21"/>
        </w:rPr>
      </w:pPr>
      <w:r>
        <w:rPr>
          <w:rFonts w:ascii="仿宋" w:hAnsi="仿宋" w:eastAsia="仿宋"/>
          <w:color w:val="auto"/>
          <w:sz w:val="21"/>
          <w:szCs w:val="21"/>
        </w:rPr>
        <w:t>9.2</w:t>
      </w:r>
      <w:r>
        <w:rPr>
          <w:rFonts w:hint="eastAsia" w:ascii="仿宋" w:hAnsi="仿宋" w:eastAsia="仿宋"/>
          <w:color w:val="auto"/>
          <w:sz w:val="21"/>
          <w:szCs w:val="21"/>
        </w:rPr>
        <w:t>有下列情形之一的视为投标人相互串通投标，投标文件将被视为无效：</w:t>
      </w:r>
    </w:p>
    <w:p w14:paraId="6390236A">
      <w:pPr>
        <w:pStyle w:val="24"/>
        <w:snapToGrid w:val="0"/>
        <w:spacing w:line="360" w:lineRule="auto"/>
        <w:ind w:left="2" w:leftChars="1" w:firstLine="422" w:firstLineChars="200"/>
        <w:rPr>
          <w:rFonts w:hint="eastAsia" w:ascii="仿宋" w:hAnsi="仿宋" w:eastAsia="仿宋"/>
          <w:b/>
          <w:color w:val="auto"/>
          <w:kern w:val="2"/>
          <w:sz w:val="21"/>
        </w:rPr>
      </w:pPr>
      <w:r>
        <w:rPr>
          <w:rFonts w:hint="eastAsia" w:ascii="仿宋" w:hAnsi="仿宋" w:eastAsia="仿宋"/>
          <w:b/>
          <w:color w:val="auto"/>
          <w:kern w:val="2"/>
          <w:sz w:val="21"/>
        </w:rPr>
        <w:t xml:space="preserve">（1）不同投标人的投标文件由同一单位或者个人编制； </w:t>
      </w:r>
    </w:p>
    <w:p w14:paraId="3F51A9B5">
      <w:pPr>
        <w:pStyle w:val="24"/>
        <w:snapToGrid w:val="0"/>
        <w:spacing w:line="360" w:lineRule="auto"/>
        <w:ind w:left="2" w:leftChars="1" w:firstLine="422" w:firstLineChars="200"/>
        <w:rPr>
          <w:rFonts w:hint="eastAsia" w:ascii="仿宋" w:hAnsi="仿宋" w:eastAsia="仿宋"/>
          <w:b/>
          <w:color w:val="auto"/>
          <w:kern w:val="2"/>
          <w:sz w:val="21"/>
        </w:rPr>
      </w:pPr>
      <w:r>
        <w:rPr>
          <w:rFonts w:hint="eastAsia" w:ascii="仿宋" w:hAnsi="仿宋" w:eastAsia="仿宋"/>
          <w:b/>
          <w:color w:val="auto"/>
          <w:kern w:val="2"/>
          <w:sz w:val="21"/>
        </w:rPr>
        <w:t>（2）不同投标人委托同一单位或者个人办理投标事宜；</w:t>
      </w:r>
    </w:p>
    <w:p w14:paraId="5331C9E9">
      <w:pPr>
        <w:pStyle w:val="24"/>
        <w:snapToGrid w:val="0"/>
        <w:spacing w:line="360" w:lineRule="auto"/>
        <w:ind w:left="2" w:leftChars="1" w:firstLine="422" w:firstLineChars="200"/>
        <w:rPr>
          <w:rFonts w:hint="eastAsia" w:ascii="仿宋" w:hAnsi="仿宋" w:eastAsia="仿宋"/>
          <w:b/>
          <w:color w:val="auto"/>
          <w:kern w:val="2"/>
          <w:sz w:val="21"/>
        </w:rPr>
      </w:pPr>
      <w:r>
        <w:rPr>
          <w:rFonts w:hint="eastAsia" w:ascii="仿宋" w:hAnsi="仿宋" w:eastAsia="仿宋"/>
          <w:b/>
          <w:color w:val="auto"/>
          <w:kern w:val="2"/>
          <w:sz w:val="21"/>
        </w:rPr>
        <w:t>（3）不同的投标人的投标文件载明的项目管理员为同一个人；</w:t>
      </w:r>
    </w:p>
    <w:p w14:paraId="3F65EDE5">
      <w:pPr>
        <w:pStyle w:val="24"/>
        <w:snapToGrid w:val="0"/>
        <w:spacing w:line="360" w:lineRule="auto"/>
        <w:ind w:left="2" w:leftChars="1" w:firstLine="422" w:firstLineChars="200"/>
        <w:rPr>
          <w:rFonts w:hint="eastAsia" w:ascii="仿宋" w:hAnsi="仿宋" w:eastAsia="仿宋"/>
          <w:b/>
          <w:color w:val="auto"/>
          <w:kern w:val="2"/>
          <w:sz w:val="21"/>
        </w:rPr>
      </w:pPr>
      <w:r>
        <w:rPr>
          <w:rFonts w:hint="eastAsia" w:ascii="仿宋" w:hAnsi="仿宋" w:eastAsia="仿宋"/>
          <w:b/>
          <w:color w:val="auto"/>
          <w:kern w:val="2"/>
          <w:sz w:val="21"/>
        </w:rPr>
        <w:t>（4）不同投标人的投标文件异常一致或者投标报价呈规律性差异；</w:t>
      </w:r>
    </w:p>
    <w:p w14:paraId="01D2D21D">
      <w:pPr>
        <w:pStyle w:val="24"/>
        <w:snapToGrid w:val="0"/>
        <w:spacing w:line="360" w:lineRule="auto"/>
        <w:ind w:left="2" w:leftChars="1" w:firstLine="422" w:firstLineChars="200"/>
        <w:rPr>
          <w:rFonts w:hint="eastAsia" w:ascii="仿宋" w:hAnsi="仿宋" w:eastAsia="仿宋"/>
          <w:b/>
          <w:color w:val="auto"/>
          <w:kern w:val="2"/>
          <w:sz w:val="21"/>
        </w:rPr>
      </w:pPr>
      <w:r>
        <w:rPr>
          <w:rFonts w:hint="eastAsia" w:ascii="仿宋" w:hAnsi="仿宋" w:eastAsia="仿宋"/>
          <w:b/>
          <w:color w:val="auto"/>
          <w:kern w:val="2"/>
          <w:sz w:val="21"/>
        </w:rPr>
        <w:t>（5）不同投标人的投标文件相互混装；</w:t>
      </w:r>
    </w:p>
    <w:p w14:paraId="3F4D0885">
      <w:pPr>
        <w:pStyle w:val="24"/>
        <w:snapToGrid w:val="0"/>
        <w:spacing w:line="360" w:lineRule="auto"/>
        <w:ind w:left="2" w:leftChars="1" w:firstLine="422" w:firstLineChars="200"/>
        <w:rPr>
          <w:rFonts w:hint="eastAsia" w:ascii="仿宋" w:hAnsi="仿宋" w:eastAsia="仿宋"/>
          <w:b/>
          <w:color w:val="auto"/>
          <w:kern w:val="2"/>
          <w:sz w:val="21"/>
        </w:rPr>
      </w:pPr>
      <w:r>
        <w:rPr>
          <w:rFonts w:hint="eastAsia" w:ascii="仿宋" w:hAnsi="仿宋" w:eastAsia="仿宋"/>
          <w:b/>
          <w:color w:val="auto"/>
          <w:kern w:val="2"/>
          <w:sz w:val="21"/>
        </w:rPr>
        <w:t>（6）不同投标人的投标保证金从同一单位或者个人账户转出。</w:t>
      </w:r>
    </w:p>
    <w:p w14:paraId="0EA9BD5F">
      <w:pPr>
        <w:pStyle w:val="6"/>
        <w:keepNext w:val="0"/>
        <w:keepLines w:val="0"/>
        <w:spacing w:before="0" w:after="0" w:line="360" w:lineRule="auto"/>
        <w:ind w:left="420" w:leftChars="200"/>
        <w:rPr>
          <w:rFonts w:hint="eastAsia" w:ascii="仿宋" w:hAnsi="仿宋" w:eastAsia="仿宋"/>
          <w:b w:val="0"/>
          <w:color w:val="auto"/>
          <w:sz w:val="21"/>
          <w:szCs w:val="21"/>
        </w:rPr>
      </w:pPr>
      <w:r>
        <w:rPr>
          <w:rFonts w:ascii="仿宋" w:hAnsi="仿宋" w:eastAsia="仿宋"/>
          <w:b w:val="0"/>
          <w:color w:val="auto"/>
          <w:sz w:val="21"/>
          <w:szCs w:val="21"/>
        </w:rPr>
        <w:t>9.3</w:t>
      </w:r>
      <w:r>
        <w:rPr>
          <w:rFonts w:hint="eastAsia" w:ascii="仿宋" w:hAnsi="仿宋" w:eastAsia="仿宋"/>
          <w:b w:val="0"/>
          <w:color w:val="auto"/>
          <w:sz w:val="21"/>
          <w:szCs w:val="21"/>
        </w:rPr>
        <w:t>供应商有下列情形之一的，属于恶意串通行为，将报同级监督管理部门：</w:t>
      </w:r>
    </w:p>
    <w:p w14:paraId="0D5E38FC">
      <w:pPr>
        <w:pStyle w:val="24"/>
        <w:snapToGrid w:val="0"/>
        <w:spacing w:line="360" w:lineRule="auto"/>
        <w:ind w:left="2" w:leftChars="1" w:firstLine="420" w:firstLineChars="200"/>
        <w:rPr>
          <w:rFonts w:hint="eastAsia" w:ascii="仿宋" w:hAnsi="仿宋" w:eastAsia="仿宋"/>
          <w:color w:val="auto"/>
          <w:kern w:val="2"/>
          <w:sz w:val="21"/>
        </w:rPr>
      </w:pPr>
      <w:r>
        <w:rPr>
          <w:rFonts w:hint="eastAsia" w:ascii="仿宋" w:hAnsi="仿宋" w:eastAsia="仿宋"/>
          <w:color w:val="auto"/>
          <w:kern w:val="2"/>
          <w:sz w:val="21"/>
        </w:rPr>
        <w:t>（1）供应商直接或者间接从采购人或者采购代理机构处获得其他供应商的相关信息并修改其投标文件或者响应文件；</w:t>
      </w:r>
    </w:p>
    <w:p w14:paraId="0786C211">
      <w:pPr>
        <w:pStyle w:val="24"/>
        <w:snapToGrid w:val="0"/>
        <w:spacing w:line="360" w:lineRule="auto"/>
        <w:ind w:left="2" w:leftChars="1" w:firstLine="420" w:firstLineChars="200"/>
        <w:rPr>
          <w:rFonts w:hint="eastAsia" w:ascii="仿宋" w:hAnsi="仿宋" w:eastAsia="仿宋"/>
          <w:color w:val="auto"/>
          <w:kern w:val="2"/>
          <w:sz w:val="21"/>
        </w:rPr>
      </w:pPr>
      <w:r>
        <w:rPr>
          <w:rFonts w:hint="eastAsia" w:ascii="仿宋" w:hAnsi="仿宋" w:eastAsia="仿宋"/>
          <w:color w:val="auto"/>
          <w:kern w:val="2"/>
          <w:sz w:val="21"/>
        </w:rPr>
        <w:t>（2）供应商按照采购人或者采购代理机构的授意撤换、修改投标文件或者响应文件；</w:t>
      </w:r>
    </w:p>
    <w:p w14:paraId="73D7E1A2">
      <w:pPr>
        <w:pStyle w:val="24"/>
        <w:snapToGrid w:val="0"/>
        <w:spacing w:line="360" w:lineRule="auto"/>
        <w:ind w:left="2" w:leftChars="1" w:firstLine="420" w:firstLineChars="200"/>
        <w:rPr>
          <w:rFonts w:hint="eastAsia" w:ascii="仿宋" w:hAnsi="仿宋" w:eastAsia="仿宋"/>
          <w:color w:val="auto"/>
          <w:kern w:val="2"/>
          <w:sz w:val="21"/>
        </w:rPr>
      </w:pPr>
      <w:r>
        <w:rPr>
          <w:rFonts w:hint="eastAsia" w:ascii="仿宋" w:hAnsi="仿宋" w:eastAsia="仿宋"/>
          <w:color w:val="auto"/>
          <w:kern w:val="2"/>
          <w:sz w:val="21"/>
        </w:rPr>
        <w:t>（3）供应商之间协商报价、技术方案等投标文件或者响应文件的实质性内容；</w:t>
      </w:r>
    </w:p>
    <w:p w14:paraId="4D1AC44A">
      <w:pPr>
        <w:pStyle w:val="24"/>
        <w:snapToGrid w:val="0"/>
        <w:spacing w:line="360" w:lineRule="auto"/>
        <w:ind w:left="2" w:leftChars="1" w:firstLine="420" w:firstLineChars="200"/>
        <w:rPr>
          <w:rFonts w:hint="eastAsia" w:ascii="仿宋" w:hAnsi="仿宋" w:eastAsia="仿宋"/>
          <w:color w:val="auto"/>
          <w:kern w:val="2"/>
          <w:sz w:val="21"/>
        </w:rPr>
      </w:pPr>
      <w:r>
        <w:rPr>
          <w:rFonts w:hint="eastAsia" w:ascii="仿宋" w:hAnsi="仿宋" w:eastAsia="仿宋"/>
          <w:color w:val="auto"/>
          <w:kern w:val="2"/>
          <w:sz w:val="21"/>
        </w:rPr>
        <w:t>（4）属于同一集团、协会、商会等组织成员的供应商按照该组织要求协同参加政府采购活动；</w:t>
      </w:r>
    </w:p>
    <w:p w14:paraId="40FB818F">
      <w:pPr>
        <w:pStyle w:val="24"/>
        <w:snapToGrid w:val="0"/>
        <w:spacing w:line="360" w:lineRule="auto"/>
        <w:ind w:left="2" w:leftChars="1" w:firstLine="420" w:firstLineChars="200"/>
        <w:rPr>
          <w:rFonts w:hint="eastAsia" w:ascii="仿宋" w:hAnsi="仿宋" w:eastAsia="仿宋"/>
          <w:color w:val="auto"/>
          <w:kern w:val="2"/>
          <w:sz w:val="21"/>
        </w:rPr>
      </w:pPr>
      <w:r>
        <w:rPr>
          <w:rFonts w:hint="eastAsia" w:ascii="仿宋" w:hAnsi="仿宋" w:eastAsia="仿宋"/>
          <w:color w:val="auto"/>
          <w:kern w:val="2"/>
          <w:sz w:val="21"/>
        </w:rPr>
        <w:t>（5）供应商之间事先约定一致抬高或者压低投标报价，或者在招标项目中事先约定轮流以高价位或者低价位中标，或者事先约定由某一特定供应商中标，然后再参加投标；</w:t>
      </w:r>
    </w:p>
    <w:p w14:paraId="15E83AD5">
      <w:pPr>
        <w:pStyle w:val="24"/>
        <w:snapToGrid w:val="0"/>
        <w:spacing w:line="360" w:lineRule="auto"/>
        <w:ind w:left="2" w:leftChars="1" w:firstLine="420" w:firstLineChars="200"/>
        <w:rPr>
          <w:rFonts w:hint="eastAsia" w:ascii="仿宋" w:hAnsi="仿宋" w:eastAsia="仿宋"/>
          <w:color w:val="auto"/>
          <w:kern w:val="2"/>
          <w:sz w:val="21"/>
        </w:rPr>
      </w:pPr>
      <w:r>
        <w:rPr>
          <w:rFonts w:hint="eastAsia" w:ascii="仿宋" w:hAnsi="仿宋" w:eastAsia="仿宋"/>
          <w:color w:val="auto"/>
          <w:kern w:val="2"/>
          <w:sz w:val="21"/>
        </w:rPr>
        <w:t>（6）供应商之间商定部分供应商放弃参加政府采购活动或者放弃中标；</w:t>
      </w:r>
    </w:p>
    <w:p w14:paraId="503379B4">
      <w:pPr>
        <w:pStyle w:val="24"/>
        <w:snapToGrid w:val="0"/>
        <w:spacing w:line="360" w:lineRule="auto"/>
        <w:ind w:left="2" w:leftChars="1" w:firstLine="420" w:firstLineChars="200"/>
        <w:rPr>
          <w:rFonts w:ascii="仿宋" w:hAnsi="仿宋" w:eastAsia="仿宋"/>
          <w:color w:val="auto"/>
          <w:kern w:val="2"/>
          <w:sz w:val="21"/>
        </w:rPr>
      </w:pPr>
      <w:r>
        <w:rPr>
          <w:rFonts w:hint="eastAsia" w:ascii="仿宋" w:hAnsi="仿宋" w:eastAsia="仿宋"/>
          <w:color w:val="auto"/>
          <w:kern w:val="2"/>
          <w:sz w:val="21"/>
        </w:rPr>
        <w:t>（7）供应商与采购人或者采购代理机构之间、供应商相互之间，为谋求特定供应商中标或者排斥其他供应商的其他串通行为。</w:t>
      </w:r>
    </w:p>
    <w:p w14:paraId="29C9136D">
      <w:pPr>
        <w:pStyle w:val="24"/>
        <w:snapToGrid w:val="0"/>
        <w:spacing w:line="360" w:lineRule="auto"/>
        <w:ind w:left="2" w:leftChars="1" w:firstLine="422" w:firstLineChars="200"/>
        <w:rPr>
          <w:rFonts w:hint="eastAsia" w:ascii="仿宋" w:hAnsi="仿宋" w:eastAsia="仿宋"/>
          <w:b/>
          <w:color w:val="auto"/>
          <w:kern w:val="2"/>
          <w:sz w:val="21"/>
        </w:rPr>
      </w:pPr>
    </w:p>
    <w:p w14:paraId="63359B66">
      <w:pPr>
        <w:pStyle w:val="4"/>
        <w:keepNext w:val="0"/>
        <w:keepLines w:val="0"/>
        <w:jc w:val="center"/>
        <w:rPr>
          <w:rFonts w:hint="eastAsia" w:ascii="仿宋" w:hAnsi="仿宋" w:eastAsia="仿宋"/>
          <w:color w:val="auto"/>
        </w:rPr>
      </w:pPr>
      <w:bookmarkStart w:id="83" w:name="_Toc254970675"/>
      <w:bookmarkStart w:id="84" w:name="_Toc254970534"/>
      <w:r>
        <w:rPr>
          <w:rFonts w:hint="eastAsia" w:ascii="仿宋" w:hAnsi="仿宋" w:eastAsia="仿宋"/>
          <w:color w:val="auto"/>
        </w:rPr>
        <w:t>二、招标文件</w:t>
      </w:r>
      <w:bookmarkEnd w:id="83"/>
      <w:bookmarkEnd w:id="84"/>
    </w:p>
    <w:p w14:paraId="516A33DC">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10.招标文件的组成</w:t>
      </w:r>
    </w:p>
    <w:p w14:paraId="040F8CCC">
      <w:pPr>
        <w:snapToGrid w:val="0"/>
        <w:spacing w:line="360" w:lineRule="auto"/>
        <w:ind w:firstLine="420"/>
        <w:jc w:val="left"/>
        <w:rPr>
          <w:rFonts w:hint="eastAsia" w:ascii="仿宋" w:hAnsi="仿宋" w:eastAsia="仿宋"/>
          <w:color w:val="auto"/>
          <w:szCs w:val="21"/>
        </w:rPr>
      </w:pPr>
      <w:r>
        <w:rPr>
          <w:rFonts w:hint="eastAsia" w:ascii="仿宋" w:hAnsi="仿宋" w:eastAsia="仿宋"/>
          <w:color w:val="auto"/>
          <w:szCs w:val="21"/>
        </w:rPr>
        <w:t>（1）招标公告；</w:t>
      </w:r>
    </w:p>
    <w:p w14:paraId="15C71C63">
      <w:pPr>
        <w:snapToGrid w:val="0"/>
        <w:spacing w:line="360" w:lineRule="auto"/>
        <w:ind w:firstLine="420"/>
        <w:jc w:val="left"/>
        <w:rPr>
          <w:rFonts w:hint="eastAsia" w:ascii="仿宋" w:hAnsi="仿宋" w:eastAsia="仿宋"/>
          <w:color w:val="auto"/>
          <w:szCs w:val="21"/>
        </w:rPr>
      </w:pPr>
      <w:r>
        <w:rPr>
          <w:rFonts w:hint="eastAsia" w:ascii="仿宋" w:hAnsi="仿宋" w:eastAsia="仿宋"/>
          <w:color w:val="auto"/>
          <w:szCs w:val="21"/>
        </w:rPr>
        <w:t xml:space="preserve">（2）采购需求； </w:t>
      </w:r>
    </w:p>
    <w:p w14:paraId="6AE19884">
      <w:pPr>
        <w:snapToGrid w:val="0"/>
        <w:spacing w:line="360" w:lineRule="auto"/>
        <w:ind w:firstLine="420"/>
        <w:jc w:val="left"/>
        <w:rPr>
          <w:rFonts w:hint="eastAsia" w:ascii="仿宋" w:hAnsi="仿宋" w:eastAsia="仿宋"/>
          <w:color w:val="auto"/>
          <w:szCs w:val="21"/>
        </w:rPr>
      </w:pPr>
      <w:r>
        <w:rPr>
          <w:rFonts w:hint="eastAsia" w:ascii="仿宋" w:hAnsi="仿宋" w:eastAsia="仿宋"/>
          <w:color w:val="auto"/>
          <w:szCs w:val="21"/>
        </w:rPr>
        <w:t>（3）投标人须知；</w:t>
      </w:r>
    </w:p>
    <w:p w14:paraId="10ECE06B">
      <w:pPr>
        <w:snapToGrid w:val="0"/>
        <w:spacing w:line="360" w:lineRule="auto"/>
        <w:ind w:firstLine="420"/>
        <w:jc w:val="left"/>
        <w:rPr>
          <w:rFonts w:hint="eastAsia" w:ascii="仿宋" w:hAnsi="仿宋" w:eastAsia="仿宋"/>
          <w:color w:val="auto"/>
          <w:szCs w:val="21"/>
        </w:rPr>
      </w:pPr>
      <w:r>
        <w:rPr>
          <w:rFonts w:hint="eastAsia" w:ascii="仿宋" w:hAnsi="仿宋" w:eastAsia="仿宋"/>
          <w:color w:val="auto"/>
          <w:szCs w:val="21"/>
        </w:rPr>
        <w:t>（4）评标方法及评标标准；</w:t>
      </w:r>
    </w:p>
    <w:p w14:paraId="2599FC25">
      <w:pPr>
        <w:snapToGrid w:val="0"/>
        <w:spacing w:line="360" w:lineRule="auto"/>
        <w:ind w:firstLine="420"/>
        <w:jc w:val="left"/>
        <w:rPr>
          <w:rFonts w:hint="eastAsia" w:ascii="仿宋" w:hAnsi="仿宋" w:eastAsia="仿宋"/>
          <w:color w:val="auto"/>
          <w:szCs w:val="21"/>
        </w:rPr>
      </w:pPr>
      <w:r>
        <w:rPr>
          <w:rFonts w:hint="eastAsia" w:ascii="仿宋" w:hAnsi="仿宋" w:eastAsia="仿宋"/>
          <w:color w:val="auto"/>
          <w:szCs w:val="21"/>
        </w:rPr>
        <w:t>（5）拟签订的合同文本；</w:t>
      </w:r>
    </w:p>
    <w:p w14:paraId="10429059">
      <w:pPr>
        <w:snapToGrid w:val="0"/>
        <w:spacing w:line="360" w:lineRule="auto"/>
        <w:ind w:firstLine="420"/>
        <w:jc w:val="left"/>
        <w:rPr>
          <w:rFonts w:hint="eastAsia" w:ascii="仿宋" w:hAnsi="仿宋" w:eastAsia="仿宋"/>
          <w:color w:val="auto"/>
          <w:szCs w:val="21"/>
        </w:rPr>
      </w:pPr>
      <w:r>
        <w:rPr>
          <w:rFonts w:hint="eastAsia" w:ascii="仿宋" w:hAnsi="仿宋" w:eastAsia="仿宋"/>
          <w:color w:val="auto"/>
          <w:szCs w:val="21"/>
        </w:rPr>
        <w:t>（6）投标文件格式。</w:t>
      </w:r>
    </w:p>
    <w:p w14:paraId="1BFF40BC">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11.招标文件的澄清、修改 、现场考察和答疑会</w:t>
      </w:r>
    </w:p>
    <w:p w14:paraId="3C565A56">
      <w:pPr>
        <w:pStyle w:val="6"/>
        <w:keepNext w:val="0"/>
        <w:keepLines w:val="0"/>
        <w:spacing w:before="0" w:after="0" w:line="360" w:lineRule="auto"/>
        <w:ind w:firstLine="315" w:firstLineChars="150"/>
        <w:rPr>
          <w:rFonts w:hint="eastAsia" w:ascii="仿宋" w:hAnsi="仿宋" w:eastAsia="仿宋"/>
          <w:b w:val="0"/>
          <w:color w:val="auto"/>
          <w:sz w:val="21"/>
          <w:szCs w:val="21"/>
        </w:rPr>
      </w:pPr>
      <w:r>
        <w:rPr>
          <w:rFonts w:hint="eastAsia" w:ascii="仿宋" w:hAnsi="仿宋" w:eastAsia="仿宋"/>
          <w:b w:val="0"/>
          <w:color w:val="auto"/>
          <w:sz w:val="21"/>
          <w:szCs w:val="21"/>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14:paraId="632B24F5">
      <w:pPr>
        <w:pStyle w:val="6"/>
        <w:keepNext w:val="0"/>
        <w:keepLines w:val="0"/>
        <w:numPr>
          <w:ilvl w:val="0"/>
          <w:numId w:val="0"/>
        </w:numPr>
        <w:spacing w:before="0" w:after="0" w:line="360" w:lineRule="auto"/>
        <w:ind w:firstLine="420" w:firstLineChars="200"/>
        <w:rPr>
          <w:rFonts w:hint="eastAsia" w:ascii="仿宋" w:hAnsi="仿宋" w:eastAsia="仿宋"/>
          <w:color w:val="auto"/>
        </w:rPr>
      </w:pPr>
      <w:r>
        <w:rPr>
          <w:rFonts w:hint="eastAsia" w:ascii="仿宋" w:hAnsi="仿宋" w:eastAsia="仿宋"/>
          <w:b w:val="0"/>
          <w:color w:val="auto"/>
          <w:sz w:val="21"/>
          <w:szCs w:val="21"/>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488F1A5B">
      <w:pPr>
        <w:spacing w:line="360" w:lineRule="auto"/>
        <w:ind w:firstLine="420" w:firstLineChars="200"/>
        <w:rPr>
          <w:rFonts w:hint="eastAsia" w:ascii="仿宋" w:hAnsi="仿宋" w:eastAsia="仿宋"/>
          <w:color w:val="auto"/>
          <w:szCs w:val="21"/>
        </w:rPr>
      </w:pPr>
      <w:r>
        <w:rPr>
          <w:rFonts w:hint="eastAsia" w:ascii="仿宋" w:hAnsi="仿宋" w:eastAsia="仿宋"/>
          <w:color w:val="auto"/>
        </w:rPr>
        <w:t>11.3采购人和采购代理机构可以视采购具体情况，变更投标截止时间和开标时间，并</w:t>
      </w:r>
      <w:r>
        <w:rPr>
          <w:rFonts w:hint="eastAsia" w:ascii="仿宋" w:hAnsi="仿宋" w:eastAsia="仿宋"/>
          <w:color w:val="auto"/>
          <w:szCs w:val="21"/>
        </w:rPr>
        <w:t>在原公告发布媒体上发布更正公告。</w:t>
      </w:r>
    </w:p>
    <w:p w14:paraId="08969D17">
      <w:pPr>
        <w:spacing w:line="360" w:lineRule="auto"/>
        <w:ind w:firstLine="420" w:firstLineChars="200"/>
        <w:rPr>
          <w:rFonts w:hint="eastAsia" w:ascii="仿宋" w:hAnsi="仿宋" w:eastAsia="仿宋"/>
          <w:color w:val="auto"/>
        </w:rPr>
      </w:pPr>
      <w:r>
        <w:rPr>
          <w:rFonts w:hint="eastAsia" w:ascii="仿宋" w:hAnsi="仿宋" w:eastAsia="仿宋"/>
          <w:color w:val="auto"/>
          <w:szCs w:val="21"/>
        </w:rPr>
        <w:t>11.4招标文件澄清、答复、修改、补充的内容为招标文件的组成部分。</w:t>
      </w:r>
      <w:r>
        <w:rPr>
          <w:rFonts w:hint="eastAsia" w:ascii="仿宋" w:hAnsi="仿宋" w:eastAsia="仿宋"/>
          <w:b/>
          <w:color w:val="auto"/>
          <w:szCs w:val="21"/>
        </w:rPr>
        <w:t>当招标文件与招标文件的澄清、答复、修改、补充通知就同一内容的表述不一致时，以最后发出的文件为准。</w:t>
      </w:r>
    </w:p>
    <w:p w14:paraId="53B43E11">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1</w:t>
      </w:r>
      <w:r>
        <w:rPr>
          <w:rFonts w:ascii="仿宋" w:hAnsi="仿宋" w:eastAsia="仿宋"/>
          <w:color w:val="auto"/>
          <w:sz w:val="21"/>
        </w:rPr>
        <w:t>1.</w:t>
      </w:r>
      <w:bookmarkStart w:id="85" w:name="_Hlk53134511"/>
      <w:r>
        <w:rPr>
          <w:rFonts w:hint="eastAsia" w:ascii="仿宋" w:hAnsi="仿宋" w:eastAsia="仿宋"/>
          <w:color w:val="auto"/>
          <w:sz w:val="21"/>
        </w:rPr>
        <w:t>5采购人或者采购代理机构可以在招标文件提供期限截止后，组织已获取招标文件的潜在投标人现场考察或者召开开标前答疑会，具体详见“投标人须知前附表”。</w:t>
      </w:r>
    </w:p>
    <w:p w14:paraId="6E17EFC6">
      <w:pPr>
        <w:pStyle w:val="24"/>
        <w:snapToGrid w:val="0"/>
        <w:spacing w:line="360" w:lineRule="auto"/>
        <w:ind w:firstLine="420" w:firstLineChars="200"/>
        <w:rPr>
          <w:rFonts w:hint="eastAsia" w:ascii="仿宋" w:hAnsi="仿宋" w:eastAsia="仿宋"/>
          <w:color w:val="auto"/>
          <w:sz w:val="21"/>
        </w:rPr>
      </w:pPr>
    </w:p>
    <w:bookmarkEnd w:id="85"/>
    <w:p w14:paraId="4052B163">
      <w:pPr>
        <w:pStyle w:val="4"/>
        <w:keepNext w:val="0"/>
        <w:keepLines w:val="0"/>
        <w:jc w:val="center"/>
        <w:rPr>
          <w:rFonts w:hint="eastAsia" w:ascii="仿宋" w:hAnsi="仿宋" w:eastAsia="仿宋"/>
          <w:color w:val="auto"/>
        </w:rPr>
      </w:pPr>
      <w:bookmarkStart w:id="86" w:name="_Toc254970676"/>
      <w:bookmarkStart w:id="87" w:name="_Toc254970535"/>
      <w:r>
        <w:rPr>
          <w:rFonts w:hint="eastAsia" w:ascii="仿宋" w:hAnsi="仿宋" w:eastAsia="仿宋"/>
          <w:color w:val="auto"/>
        </w:rPr>
        <w:t>三、投标文件的编制</w:t>
      </w:r>
      <w:bookmarkEnd w:id="86"/>
      <w:bookmarkEnd w:id="87"/>
    </w:p>
    <w:p w14:paraId="74C9E9BB">
      <w:pPr>
        <w:pStyle w:val="6"/>
        <w:keepNext w:val="0"/>
        <w:keepLines w:val="0"/>
        <w:spacing w:before="0" w:after="0" w:line="360" w:lineRule="auto"/>
        <w:ind w:left="420" w:leftChars="200"/>
        <w:rPr>
          <w:rFonts w:hint="eastAsia" w:ascii="仿宋" w:hAnsi="仿宋" w:eastAsia="仿宋"/>
          <w:color w:val="auto"/>
          <w:sz w:val="24"/>
        </w:rPr>
      </w:pPr>
      <w:bookmarkStart w:id="88" w:name="_Toc254970536"/>
      <w:bookmarkStart w:id="89" w:name="_Toc254970677"/>
      <w:r>
        <w:rPr>
          <w:rFonts w:hint="eastAsia" w:ascii="仿宋" w:hAnsi="仿宋" w:eastAsia="仿宋"/>
          <w:color w:val="auto"/>
          <w:sz w:val="24"/>
        </w:rPr>
        <w:t>12.投标文件的编制原则</w:t>
      </w:r>
    </w:p>
    <w:p w14:paraId="7A6FBA7F">
      <w:pPr>
        <w:snapToGrid w:val="0"/>
        <w:spacing w:line="360" w:lineRule="auto"/>
        <w:ind w:firstLine="420"/>
        <w:jc w:val="left"/>
        <w:rPr>
          <w:rFonts w:hint="eastAsia" w:ascii="仿宋" w:hAnsi="仿宋" w:eastAsia="仿宋" w:cs="Courier New"/>
          <w:color w:val="auto"/>
          <w:szCs w:val="21"/>
        </w:rPr>
      </w:pPr>
      <w:r>
        <w:rPr>
          <w:rFonts w:ascii="仿宋" w:hAnsi="仿宋" w:eastAsia="仿宋"/>
          <w:color w:val="auto"/>
          <w:szCs w:val="21"/>
        </w:rPr>
        <w:t>投标人必须按照招标文件的要求编制投标文件。投标文件必须对招标文件提出的要求和条件作出明确响应。</w:t>
      </w:r>
    </w:p>
    <w:p w14:paraId="3E1D73E2">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13.投标文件的组成</w:t>
      </w:r>
      <w:bookmarkEnd w:id="88"/>
      <w:bookmarkEnd w:id="89"/>
    </w:p>
    <w:p w14:paraId="05BCFEB3">
      <w:pPr>
        <w:snapToGrid w:val="0"/>
        <w:spacing w:line="360" w:lineRule="auto"/>
        <w:ind w:firstLine="420" w:firstLineChars="200"/>
        <w:jc w:val="left"/>
        <w:rPr>
          <w:rFonts w:hint="eastAsia" w:ascii="仿宋" w:hAnsi="仿宋" w:eastAsia="仿宋"/>
          <w:color w:val="auto"/>
          <w:szCs w:val="21"/>
        </w:rPr>
      </w:pPr>
      <w:r>
        <w:rPr>
          <w:rFonts w:hint="eastAsia" w:ascii="仿宋" w:hAnsi="仿宋" w:eastAsia="仿宋"/>
          <w:color w:val="auto"/>
          <w:szCs w:val="21"/>
        </w:rPr>
        <w:t>1</w:t>
      </w:r>
      <w:r>
        <w:rPr>
          <w:rFonts w:ascii="仿宋" w:hAnsi="仿宋" w:eastAsia="仿宋"/>
          <w:color w:val="auto"/>
          <w:szCs w:val="21"/>
        </w:rPr>
        <w:t>3.1</w:t>
      </w:r>
      <w:r>
        <w:rPr>
          <w:rFonts w:hint="eastAsia" w:ascii="仿宋" w:hAnsi="仿宋" w:eastAsia="仿宋"/>
          <w:color w:val="auto"/>
          <w:szCs w:val="21"/>
        </w:rPr>
        <w:t>投标文件由报价文件、资格证明文件、商务文件、技术文件四部分组成。</w:t>
      </w:r>
    </w:p>
    <w:p w14:paraId="7978350D">
      <w:pPr>
        <w:pStyle w:val="6"/>
        <w:keepNext w:val="0"/>
        <w:keepLines w:val="0"/>
        <w:spacing w:before="0" w:after="0" w:line="360" w:lineRule="auto"/>
        <w:ind w:left="420" w:leftChars="200"/>
        <w:rPr>
          <w:rFonts w:hint="eastAsia" w:ascii="仿宋" w:hAnsi="仿宋" w:eastAsia="仿宋"/>
          <w:b w:val="0"/>
          <w:color w:val="auto"/>
          <w:sz w:val="21"/>
          <w:szCs w:val="21"/>
        </w:rPr>
      </w:pPr>
      <w:bookmarkStart w:id="90" w:name="_13.1报价文件:_具体材料见“投标人须知前附表”。"/>
      <w:bookmarkEnd w:id="90"/>
      <w:r>
        <w:rPr>
          <w:rFonts w:hint="eastAsia" w:ascii="仿宋" w:hAnsi="仿宋" w:eastAsia="仿宋"/>
          <w:b w:val="0"/>
          <w:color w:val="auto"/>
          <w:sz w:val="21"/>
          <w:szCs w:val="21"/>
        </w:rPr>
        <w:t>（1）报价文件：</w:t>
      </w:r>
      <w:r>
        <w:rPr>
          <w:rFonts w:ascii="仿宋" w:hAnsi="仿宋" w:eastAsia="仿宋"/>
          <w:b w:val="0"/>
          <w:color w:val="auto"/>
          <w:sz w:val="21"/>
          <w:szCs w:val="21"/>
        </w:rPr>
        <w:t xml:space="preserve"> 具体材料见“投标人须知前附表”</w:t>
      </w:r>
      <w:r>
        <w:rPr>
          <w:rFonts w:hint="eastAsia" w:ascii="仿宋" w:hAnsi="仿宋" w:eastAsia="仿宋"/>
          <w:b w:val="0"/>
          <w:color w:val="auto"/>
          <w:sz w:val="21"/>
          <w:szCs w:val="21"/>
        </w:rPr>
        <w:t>。</w:t>
      </w:r>
    </w:p>
    <w:p w14:paraId="77873637">
      <w:pPr>
        <w:pStyle w:val="6"/>
        <w:keepNext w:val="0"/>
        <w:keepLines w:val="0"/>
        <w:spacing w:before="0" w:after="0" w:line="360" w:lineRule="auto"/>
        <w:ind w:left="420" w:leftChars="200"/>
        <w:rPr>
          <w:rFonts w:hint="eastAsia" w:ascii="仿宋" w:hAnsi="仿宋" w:eastAsia="仿宋"/>
          <w:b w:val="0"/>
          <w:color w:val="auto"/>
          <w:sz w:val="21"/>
          <w:szCs w:val="21"/>
        </w:rPr>
      </w:pPr>
      <w:bookmarkStart w:id="91" w:name="_13.2资格证明文件：具体材料见“投标人须知前附表”。"/>
      <w:bookmarkEnd w:id="91"/>
      <w:r>
        <w:rPr>
          <w:rFonts w:hint="eastAsia" w:ascii="仿宋" w:hAnsi="仿宋" w:eastAsia="仿宋"/>
          <w:b w:val="0"/>
          <w:color w:val="auto"/>
          <w:sz w:val="21"/>
          <w:szCs w:val="21"/>
        </w:rPr>
        <w:t>（</w:t>
      </w:r>
      <w:r>
        <w:rPr>
          <w:rFonts w:ascii="仿宋" w:hAnsi="仿宋" w:eastAsia="仿宋"/>
          <w:b w:val="0"/>
          <w:color w:val="auto"/>
          <w:sz w:val="21"/>
          <w:szCs w:val="21"/>
        </w:rPr>
        <w:t>2</w:t>
      </w:r>
      <w:r>
        <w:rPr>
          <w:rFonts w:hint="eastAsia" w:ascii="仿宋" w:hAnsi="仿宋" w:eastAsia="仿宋"/>
          <w:b w:val="0"/>
          <w:color w:val="auto"/>
          <w:sz w:val="21"/>
          <w:szCs w:val="21"/>
        </w:rPr>
        <w:t>）资格证明文件：</w:t>
      </w:r>
      <w:r>
        <w:rPr>
          <w:rFonts w:ascii="仿宋" w:hAnsi="仿宋" w:eastAsia="仿宋"/>
          <w:b w:val="0"/>
          <w:color w:val="auto"/>
          <w:sz w:val="21"/>
          <w:szCs w:val="21"/>
        </w:rPr>
        <w:t>具体材料见“投标人须知前附表”</w:t>
      </w:r>
      <w:r>
        <w:rPr>
          <w:rFonts w:hint="eastAsia" w:ascii="仿宋" w:hAnsi="仿宋" w:eastAsia="仿宋"/>
          <w:b w:val="0"/>
          <w:color w:val="auto"/>
          <w:sz w:val="21"/>
          <w:szCs w:val="21"/>
        </w:rPr>
        <w:t>。</w:t>
      </w:r>
    </w:p>
    <w:p w14:paraId="360CDB26">
      <w:pPr>
        <w:pStyle w:val="6"/>
        <w:keepNext w:val="0"/>
        <w:keepLines w:val="0"/>
        <w:spacing w:before="0" w:after="0" w:line="360" w:lineRule="auto"/>
        <w:ind w:left="420" w:leftChars="200"/>
        <w:rPr>
          <w:rFonts w:hint="eastAsia" w:ascii="仿宋" w:hAnsi="仿宋" w:eastAsia="仿宋"/>
          <w:b w:val="0"/>
          <w:color w:val="auto"/>
          <w:sz w:val="21"/>
          <w:szCs w:val="21"/>
        </w:rPr>
      </w:pPr>
      <w:bookmarkStart w:id="92" w:name="_13.3商务文件:_具体材料见“投标人须知前附表”。"/>
      <w:bookmarkEnd w:id="92"/>
      <w:r>
        <w:rPr>
          <w:rFonts w:hint="eastAsia" w:ascii="仿宋" w:hAnsi="仿宋" w:eastAsia="仿宋"/>
          <w:b w:val="0"/>
          <w:color w:val="auto"/>
          <w:sz w:val="21"/>
          <w:szCs w:val="21"/>
        </w:rPr>
        <w:t>（</w:t>
      </w:r>
      <w:r>
        <w:rPr>
          <w:rFonts w:ascii="仿宋" w:hAnsi="仿宋" w:eastAsia="仿宋"/>
          <w:b w:val="0"/>
          <w:color w:val="auto"/>
          <w:sz w:val="21"/>
          <w:szCs w:val="21"/>
        </w:rPr>
        <w:t>3</w:t>
      </w:r>
      <w:r>
        <w:rPr>
          <w:rFonts w:hint="eastAsia" w:ascii="仿宋" w:hAnsi="仿宋" w:eastAsia="仿宋"/>
          <w:b w:val="0"/>
          <w:color w:val="auto"/>
          <w:sz w:val="21"/>
          <w:szCs w:val="21"/>
        </w:rPr>
        <w:t>）商务文件：</w:t>
      </w:r>
      <w:r>
        <w:rPr>
          <w:rFonts w:ascii="仿宋" w:hAnsi="仿宋" w:eastAsia="仿宋"/>
          <w:b w:val="0"/>
          <w:color w:val="auto"/>
          <w:sz w:val="21"/>
          <w:szCs w:val="21"/>
        </w:rPr>
        <w:t>具体材料见“投标人须知前附表”</w:t>
      </w:r>
      <w:r>
        <w:rPr>
          <w:rFonts w:hint="eastAsia" w:ascii="仿宋" w:hAnsi="仿宋" w:eastAsia="仿宋"/>
          <w:b w:val="0"/>
          <w:color w:val="auto"/>
          <w:sz w:val="21"/>
          <w:szCs w:val="21"/>
        </w:rPr>
        <w:t>。</w:t>
      </w:r>
    </w:p>
    <w:p w14:paraId="046ECEDF">
      <w:pPr>
        <w:pStyle w:val="6"/>
        <w:keepNext w:val="0"/>
        <w:keepLines w:val="0"/>
        <w:spacing w:before="0" w:after="0" w:line="360" w:lineRule="auto"/>
        <w:ind w:left="420" w:leftChars="200"/>
        <w:rPr>
          <w:rFonts w:hint="eastAsia" w:ascii="仿宋" w:hAnsi="仿宋" w:eastAsia="仿宋"/>
          <w:b w:val="0"/>
          <w:color w:val="auto"/>
          <w:sz w:val="21"/>
          <w:szCs w:val="21"/>
        </w:rPr>
      </w:pPr>
      <w:bookmarkStart w:id="93" w:name="_13.4技术文件：具体材料见“投标人须知前附表”。"/>
      <w:bookmarkEnd w:id="93"/>
      <w:r>
        <w:rPr>
          <w:rFonts w:hint="eastAsia" w:ascii="仿宋" w:hAnsi="仿宋" w:eastAsia="仿宋"/>
          <w:b w:val="0"/>
          <w:color w:val="auto"/>
          <w:sz w:val="21"/>
          <w:szCs w:val="21"/>
        </w:rPr>
        <w:t>（</w:t>
      </w:r>
      <w:r>
        <w:rPr>
          <w:rFonts w:ascii="仿宋" w:hAnsi="仿宋" w:eastAsia="仿宋"/>
          <w:b w:val="0"/>
          <w:color w:val="auto"/>
          <w:sz w:val="21"/>
          <w:szCs w:val="21"/>
        </w:rPr>
        <w:t>4</w:t>
      </w:r>
      <w:r>
        <w:rPr>
          <w:rFonts w:hint="eastAsia" w:ascii="仿宋" w:hAnsi="仿宋" w:eastAsia="仿宋"/>
          <w:b w:val="0"/>
          <w:color w:val="auto"/>
          <w:sz w:val="21"/>
          <w:szCs w:val="21"/>
        </w:rPr>
        <w:t>）技术文件：</w:t>
      </w:r>
      <w:r>
        <w:rPr>
          <w:rFonts w:ascii="仿宋" w:hAnsi="仿宋" w:eastAsia="仿宋"/>
          <w:b w:val="0"/>
          <w:color w:val="auto"/>
          <w:sz w:val="21"/>
          <w:szCs w:val="21"/>
        </w:rPr>
        <w:t>具体材料见“投标人须知前附表”</w:t>
      </w:r>
      <w:r>
        <w:rPr>
          <w:rFonts w:hint="eastAsia" w:ascii="仿宋" w:hAnsi="仿宋" w:eastAsia="仿宋"/>
          <w:b w:val="0"/>
          <w:color w:val="auto"/>
          <w:sz w:val="21"/>
          <w:szCs w:val="21"/>
        </w:rPr>
        <w:t>。</w:t>
      </w:r>
      <w:bookmarkStart w:id="94" w:name="_13.5投标文件电子版：具体材料见“投标人须知前附表”。"/>
      <w:bookmarkEnd w:id="94"/>
    </w:p>
    <w:p w14:paraId="39364A95">
      <w:pPr>
        <w:pStyle w:val="6"/>
        <w:keepNext w:val="0"/>
        <w:keepLines w:val="0"/>
        <w:spacing w:before="0" w:after="0" w:line="360" w:lineRule="auto"/>
        <w:ind w:left="420" w:leftChars="200"/>
        <w:rPr>
          <w:rFonts w:hint="eastAsia" w:ascii="仿宋" w:hAnsi="仿宋" w:eastAsia="仿宋"/>
          <w:color w:val="auto"/>
          <w:sz w:val="24"/>
        </w:rPr>
      </w:pPr>
      <w:bookmarkStart w:id="95" w:name="_Toc254970537"/>
      <w:bookmarkStart w:id="96" w:name="_Toc254970678"/>
      <w:r>
        <w:rPr>
          <w:rFonts w:hint="eastAsia" w:ascii="仿宋" w:hAnsi="仿宋" w:eastAsia="仿宋"/>
          <w:color w:val="auto"/>
          <w:sz w:val="24"/>
        </w:rPr>
        <w:t>14.投标文件的语言及计量</w:t>
      </w:r>
      <w:bookmarkEnd w:id="95"/>
      <w:bookmarkEnd w:id="96"/>
    </w:p>
    <w:p w14:paraId="1FC380AA">
      <w:pPr>
        <w:pStyle w:val="6"/>
        <w:keepNext w:val="0"/>
        <w:keepLines w:val="0"/>
        <w:spacing w:before="0" w:after="0" w:line="360" w:lineRule="auto"/>
        <w:ind w:left="420" w:leftChars="200"/>
        <w:rPr>
          <w:rFonts w:hint="eastAsia" w:ascii="仿宋" w:hAnsi="仿宋" w:eastAsia="仿宋"/>
          <w:b w:val="0"/>
          <w:color w:val="auto"/>
          <w:sz w:val="21"/>
          <w:szCs w:val="21"/>
        </w:rPr>
      </w:pPr>
      <w:r>
        <w:rPr>
          <w:rFonts w:hint="eastAsia" w:ascii="仿宋" w:hAnsi="仿宋" w:eastAsia="仿宋"/>
          <w:b w:val="0"/>
          <w:color w:val="auto"/>
          <w:sz w:val="21"/>
          <w:szCs w:val="21"/>
        </w:rPr>
        <w:t>14.1语言文字</w:t>
      </w:r>
    </w:p>
    <w:p w14:paraId="6C2C0672">
      <w:pPr>
        <w:pStyle w:val="6"/>
        <w:keepNext w:val="0"/>
        <w:keepLines w:val="0"/>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392B9489">
      <w:pPr>
        <w:pStyle w:val="6"/>
        <w:keepNext w:val="0"/>
        <w:keepLines w:val="0"/>
        <w:spacing w:before="0" w:after="0" w:line="360" w:lineRule="auto"/>
        <w:ind w:firstLine="420" w:firstLineChars="200"/>
        <w:rPr>
          <w:rFonts w:ascii="仿宋" w:hAnsi="仿宋" w:eastAsia="仿宋"/>
          <w:b w:val="0"/>
          <w:color w:val="auto"/>
          <w:sz w:val="21"/>
          <w:szCs w:val="21"/>
        </w:rPr>
      </w:pPr>
      <w:r>
        <w:rPr>
          <w:rFonts w:hint="eastAsia" w:ascii="仿宋" w:hAnsi="仿宋" w:eastAsia="仿宋"/>
          <w:b w:val="0"/>
          <w:color w:val="auto"/>
          <w:sz w:val="21"/>
          <w:szCs w:val="21"/>
        </w:rPr>
        <w:t>14.2投标计量单位</w:t>
      </w:r>
    </w:p>
    <w:p w14:paraId="2A75C758">
      <w:pPr>
        <w:pStyle w:val="6"/>
        <w:keepNext w:val="0"/>
        <w:keepLines w:val="0"/>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招标文件已有明确规定的，使用招标文件规定的计量单位；招标文件没有规定的，应采用中华人民共和国法定计量单位，货币种类为人民币，否则视同未响应。</w:t>
      </w:r>
    </w:p>
    <w:p w14:paraId="189310F2">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15.投标的风险</w:t>
      </w:r>
    </w:p>
    <w:p w14:paraId="2120DD03">
      <w:pPr>
        <w:pStyle w:val="24"/>
        <w:snapToGrid w:val="0"/>
        <w:spacing w:line="360" w:lineRule="auto"/>
        <w:ind w:firstLine="420" w:firstLineChars="200"/>
        <w:jc w:val="left"/>
        <w:rPr>
          <w:rFonts w:hint="eastAsia" w:ascii="仿宋" w:hAnsi="仿宋" w:eastAsia="仿宋"/>
          <w:color w:val="auto"/>
          <w:sz w:val="21"/>
        </w:rPr>
      </w:pPr>
      <w:r>
        <w:rPr>
          <w:rFonts w:hint="eastAsia" w:ascii="仿宋" w:hAnsi="仿宋" w:eastAsia="仿宋"/>
          <w:color w:val="auto"/>
          <w:sz w:val="21"/>
        </w:rPr>
        <w:t>投标人没有按照招标文件要求提供全部资料，或者投标人没有对招标文件作出实质性响应是投标人的风险，并可能导致其投标被拒绝。</w:t>
      </w:r>
    </w:p>
    <w:p w14:paraId="34C32E1F">
      <w:pPr>
        <w:pStyle w:val="6"/>
        <w:keepNext w:val="0"/>
        <w:keepLines w:val="0"/>
        <w:spacing w:before="0" w:after="0" w:line="360" w:lineRule="auto"/>
        <w:ind w:left="420" w:leftChars="200"/>
        <w:rPr>
          <w:rFonts w:hint="eastAsia" w:ascii="仿宋" w:hAnsi="仿宋" w:eastAsia="仿宋"/>
          <w:color w:val="auto"/>
          <w:sz w:val="24"/>
        </w:rPr>
      </w:pPr>
      <w:bookmarkStart w:id="97" w:name="_Toc254970538"/>
      <w:bookmarkStart w:id="98" w:name="_Toc254970679"/>
      <w:r>
        <w:rPr>
          <w:rFonts w:hint="eastAsia" w:ascii="仿宋" w:hAnsi="仿宋" w:eastAsia="仿宋"/>
          <w:color w:val="auto"/>
          <w:sz w:val="24"/>
        </w:rPr>
        <w:t>16.投标报价</w:t>
      </w:r>
      <w:bookmarkEnd w:id="97"/>
      <w:bookmarkEnd w:id="98"/>
    </w:p>
    <w:p w14:paraId="06310E94">
      <w:pPr>
        <w:pStyle w:val="6"/>
        <w:keepNext w:val="0"/>
        <w:keepLines w:val="0"/>
        <w:spacing w:before="0" w:after="0" w:line="360" w:lineRule="auto"/>
        <w:ind w:left="420" w:leftChars="200"/>
        <w:rPr>
          <w:rFonts w:hint="eastAsia" w:ascii="仿宋" w:hAnsi="仿宋" w:eastAsia="仿宋"/>
          <w:b w:val="0"/>
          <w:color w:val="auto"/>
          <w:sz w:val="21"/>
          <w:szCs w:val="21"/>
        </w:rPr>
      </w:pPr>
      <w:r>
        <w:rPr>
          <w:rFonts w:hint="eastAsia" w:ascii="仿宋" w:hAnsi="仿宋" w:eastAsia="仿宋"/>
          <w:b w:val="0"/>
          <w:color w:val="auto"/>
          <w:sz w:val="21"/>
          <w:szCs w:val="21"/>
        </w:rPr>
        <w:t>16.1投标报价应按“第六章　投标文件格式”中“开标一览表”格式填写。</w:t>
      </w:r>
    </w:p>
    <w:p w14:paraId="2EDD7272">
      <w:pPr>
        <w:pStyle w:val="6"/>
        <w:keepNext w:val="0"/>
        <w:keepLines w:val="0"/>
        <w:spacing w:before="0" w:after="0" w:line="360" w:lineRule="auto"/>
        <w:ind w:left="420" w:leftChars="200"/>
        <w:rPr>
          <w:rFonts w:hint="eastAsia" w:ascii="仿宋" w:hAnsi="仿宋" w:eastAsia="仿宋"/>
          <w:b w:val="0"/>
          <w:color w:val="auto"/>
          <w:sz w:val="21"/>
          <w:szCs w:val="21"/>
        </w:rPr>
      </w:pPr>
      <w:bookmarkStart w:id="99" w:name="_16.2投标报价具体定义见投标人须知前附表。"/>
      <w:bookmarkEnd w:id="99"/>
      <w:r>
        <w:rPr>
          <w:rFonts w:hint="eastAsia" w:ascii="仿宋" w:hAnsi="仿宋" w:eastAsia="仿宋"/>
          <w:b w:val="0"/>
          <w:color w:val="auto"/>
          <w:sz w:val="21"/>
          <w:szCs w:val="21"/>
        </w:rPr>
        <w:t>16.2投标报价具体包括内容详见“投标人须知前附表”。</w:t>
      </w:r>
    </w:p>
    <w:p w14:paraId="79C8A175">
      <w:pPr>
        <w:pStyle w:val="6"/>
        <w:keepNext w:val="0"/>
        <w:keepLines w:val="0"/>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16.3投标人必须就所投每个分标的全部内容分别作完整唯一总价报价，不得存在漏项报价；投标人必须就所投分标的单项内容作唯一报价。</w:t>
      </w:r>
    </w:p>
    <w:p w14:paraId="22FAFAAC">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17.投标有效期</w:t>
      </w:r>
    </w:p>
    <w:p w14:paraId="6BA29C83">
      <w:pPr>
        <w:pStyle w:val="6"/>
        <w:keepNext w:val="0"/>
        <w:keepLines w:val="0"/>
        <w:spacing w:before="0" w:after="0" w:line="360" w:lineRule="auto"/>
        <w:ind w:firstLine="420" w:firstLineChars="200"/>
        <w:rPr>
          <w:rFonts w:hint="eastAsia" w:ascii="仿宋" w:hAnsi="仿宋" w:eastAsia="仿宋"/>
          <w:b w:val="0"/>
          <w:color w:val="auto"/>
          <w:sz w:val="21"/>
          <w:szCs w:val="21"/>
        </w:rPr>
      </w:pPr>
      <w:bookmarkStart w:id="100" w:name="_17.1投标有效期应按“投标人须知中的前附表”规定的期限。"/>
      <w:bookmarkEnd w:id="100"/>
      <w:r>
        <w:rPr>
          <w:rFonts w:hint="eastAsia" w:ascii="仿宋" w:hAnsi="仿宋" w:eastAsia="仿宋"/>
          <w:b w:val="0"/>
          <w:color w:val="auto"/>
          <w:sz w:val="21"/>
          <w:szCs w:val="21"/>
        </w:rPr>
        <w:t>17.1投标有效期是指为保证采购人有足够的时间在开标后完成评标、定标、合同签订等工作而要求投标人提交的投标文件在一定时间内保持有效的期限。</w:t>
      </w:r>
    </w:p>
    <w:p w14:paraId="461EC260">
      <w:pPr>
        <w:pStyle w:val="6"/>
        <w:keepNext w:val="0"/>
        <w:keepLines w:val="0"/>
        <w:spacing w:before="0" w:after="0" w:line="360" w:lineRule="auto"/>
        <w:ind w:left="420" w:leftChars="200"/>
        <w:rPr>
          <w:rFonts w:hint="eastAsia" w:ascii="仿宋" w:hAnsi="仿宋" w:eastAsia="仿宋"/>
          <w:b w:val="0"/>
          <w:color w:val="auto"/>
          <w:sz w:val="21"/>
          <w:szCs w:val="21"/>
        </w:rPr>
      </w:pPr>
      <w:r>
        <w:rPr>
          <w:rFonts w:hint="eastAsia" w:ascii="仿宋" w:hAnsi="仿宋" w:eastAsia="仿宋"/>
          <w:b w:val="0"/>
          <w:color w:val="auto"/>
          <w:sz w:val="21"/>
          <w:szCs w:val="21"/>
        </w:rPr>
        <w:t>17.2</w:t>
      </w:r>
      <w:bookmarkStart w:id="101" w:name="_Toc254970681"/>
      <w:bookmarkStart w:id="102" w:name="_Toc254970540"/>
      <w:r>
        <w:rPr>
          <w:rFonts w:hint="eastAsia" w:ascii="仿宋" w:hAnsi="仿宋" w:eastAsia="仿宋"/>
          <w:b w:val="0"/>
          <w:color w:val="auto"/>
          <w:sz w:val="21"/>
          <w:szCs w:val="21"/>
        </w:rPr>
        <w:t xml:space="preserve"> 投标有效期应按规定的期限作出承诺，具体详见“投标人须知前附表”。</w:t>
      </w:r>
    </w:p>
    <w:p w14:paraId="19289126">
      <w:pPr>
        <w:pStyle w:val="6"/>
        <w:keepNext w:val="0"/>
        <w:keepLines w:val="0"/>
        <w:spacing w:before="0" w:after="0" w:line="360" w:lineRule="auto"/>
        <w:ind w:left="420" w:leftChars="200"/>
        <w:rPr>
          <w:rFonts w:hint="eastAsia" w:ascii="仿宋" w:hAnsi="仿宋" w:eastAsia="仿宋"/>
          <w:b w:val="0"/>
          <w:color w:val="auto"/>
          <w:sz w:val="21"/>
          <w:szCs w:val="21"/>
        </w:rPr>
      </w:pPr>
      <w:r>
        <w:rPr>
          <w:rFonts w:hint="eastAsia" w:ascii="仿宋" w:hAnsi="仿宋" w:eastAsia="仿宋"/>
          <w:b w:val="0"/>
          <w:color w:val="auto"/>
          <w:sz w:val="21"/>
          <w:szCs w:val="21"/>
        </w:rPr>
        <w:t>17.3投标人的投标文件在投标有效期内均保持有效。</w:t>
      </w:r>
      <w:bookmarkEnd w:id="101"/>
      <w:bookmarkEnd w:id="102"/>
    </w:p>
    <w:p w14:paraId="4D118B33">
      <w:pPr>
        <w:pStyle w:val="6"/>
        <w:keepNext w:val="0"/>
        <w:keepLines w:val="0"/>
        <w:spacing w:before="0" w:after="0" w:line="360" w:lineRule="auto"/>
        <w:ind w:left="420" w:leftChars="200"/>
        <w:rPr>
          <w:rFonts w:hint="eastAsia" w:ascii="仿宋" w:hAnsi="仿宋" w:eastAsia="仿宋"/>
          <w:color w:val="auto"/>
          <w:sz w:val="24"/>
        </w:rPr>
      </w:pPr>
      <w:bookmarkStart w:id="103" w:name="_18.投标保证金"/>
      <w:bookmarkEnd w:id="103"/>
      <w:bookmarkStart w:id="104" w:name="_Toc254970682"/>
      <w:bookmarkStart w:id="105" w:name="_Toc254970541"/>
      <w:r>
        <w:rPr>
          <w:rFonts w:hint="eastAsia" w:ascii="仿宋" w:hAnsi="仿宋" w:eastAsia="仿宋"/>
          <w:color w:val="auto"/>
          <w:sz w:val="24"/>
        </w:rPr>
        <w:t>18.投标保证金</w:t>
      </w:r>
      <w:bookmarkEnd w:id="104"/>
      <w:bookmarkEnd w:id="105"/>
    </w:p>
    <w:p w14:paraId="387435E1">
      <w:pPr>
        <w:pStyle w:val="6"/>
        <w:keepNext w:val="0"/>
        <w:keepLines w:val="0"/>
        <w:spacing w:before="0" w:after="0" w:line="360" w:lineRule="auto"/>
        <w:ind w:left="420" w:leftChars="200"/>
        <w:rPr>
          <w:rFonts w:ascii="仿宋" w:hAnsi="仿宋" w:eastAsia="仿宋"/>
          <w:b w:val="0"/>
          <w:color w:val="auto"/>
          <w:sz w:val="21"/>
          <w:szCs w:val="21"/>
        </w:rPr>
      </w:pPr>
      <w:r>
        <w:rPr>
          <w:rFonts w:hint="eastAsia" w:ascii="仿宋" w:hAnsi="仿宋" w:eastAsia="仿宋"/>
          <w:b w:val="0"/>
          <w:color w:val="auto"/>
          <w:sz w:val="21"/>
          <w:szCs w:val="21"/>
        </w:rPr>
        <w:t>18.1投标人须按“投标人须知前附表” 的规定提交投标保证金。</w:t>
      </w:r>
    </w:p>
    <w:p w14:paraId="1097B719">
      <w:pPr>
        <w:pStyle w:val="6"/>
        <w:keepNext w:val="0"/>
        <w:keepLines w:val="0"/>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18.2投标保证金的退还</w:t>
      </w:r>
      <w:r>
        <w:rPr>
          <w:rFonts w:hint="eastAsia" w:ascii="仿宋" w:hAnsi="仿宋" w:eastAsia="仿宋"/>
          <w:b w:val="0"/>
          <w:color w:val="auto"/>
          <w:sz w:val="21"/>
          <w:szCs w:val="21"/>
          <w:lang w:eastAsia="zh-CN"/>
        </w:rPr>
        <w:t>（如要求缴纳投标保证金时，按如下要求执行）</w:t>
      </w:r>
    </w:p>
    <w:p w14:paraId="3094DFCE">
      <w:pPr>
        <w:pStyle w:val="6"/>
        <w:keepNext w:val="0"/>
        <w:keepLines w:val="0"/>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 xml:space="preserve">未中标人的投标保证金自中标通知书发出之日起5个工作日内退还；中标人的投标保证金自政府采购合同签订之日起5个工作日内退还。 </w:t>
      </w:r>
    </w:p>
    <w:p w14:paraId="4D13E13D">
      <w:pPr>
        <w:pStyle w:val="6"/>
        <w:keepNext w:val="0"/>
        <w:keepLines w:val="0"/>
        <w:spacing w:before="0" w:after="0" w:line="360" w:lineRule="auto"/>
        <w:ind w:left="420" w:leftChars="200"/>
        <w:rPr>
          <w:rFonts w:hint="eastAsia" w:ascii="仿宋" w:hAnsi="仿宋" w:eastAsia="仿宋"/>
          <w:b w:val="0"/>
          <w:color w:val="auto"/>
          <w:sz w:val="21"/>
          <w:szCs w:val="21"/>
        </w:rPr>
      </w:pPr>
      <w:r>
        <w:rPr>
          <w:rFonts w:hint="eastAsia" w:ascii="仿宋" w:hAnsi="仿宋" w:eastAsia="仿宋"/>
          <w:b w:val="0"/>
          <w:color w:val="auto"/>
          <w:sz w:val="21"/>
          <w:szCs w:val="21"/>
        </w:rPr>
        <w:t>18.3除逾期退还投标保证金和终止招标的情形以外，投标保证金不计息</w:t>
      </w:r>
      <w:r>
        <w:rPr>
          <w:rFonts w:hint="eastAsia" w:ascii="仿宋" w:hAnsi="仿宋" w:eastAsia="仿宋"/>
          <w:b w:val="0"/>
          <w:color w:val="auto"/>
          <w:sz w:val="21"/>
          <w:szCs w:val="21"/>
          <w:lang w:eastAsia="zh-CN"/>
        </w:rPr>
        <w:t>（如要求缴纳投标保证金时，按如下要求执行）。</w:t>
      </w:r>
    </w:p>
    <w:p w14:paraId="480AE4E4">
      <w:pPr>
        <w:pStyle w:val="6"/>
        <w:keepNext w:val="0"/>
        <w:keepLines w:val="0"/>
        <w:spacing w:before="0" w:after="0" w:line="360" w:lineRule="auto"/>
        <w:ind w:left="420" w:leftChars="200"/>
        <w:rPr>
          <w:rFonts w:hint="eastAsia" w:ascii="仿宋" w:hAnsi="仿宋" w:eastAsia="仿宋"/>
          <w:b w:val="0"/>
          <w:color w:val="auto"/>
          <w:sz w:val="21"/>
          <w:szCs w:val="21"/>
        </w:rPr>
      </w:pPr>
      <w:r>
        <w:rPr>
          <w:rFonts w:hint="eastAsia" w:ascii="仿宋" w:hAnsi="仿宋" w:eastAsia="仿宋"/>
          <w:b w:val="0"/>
          <w:color w:val="auto"/>
          <w:sz w:val="21"/>
          <w:szCs w:val="21"/>
        </w:rPr>
        <w:t>18.4投标人有下列情形之一的，投标保证金将不予退还</w:t>
      </w:r>
      <w:r>
        <w:rPr>
          <w:rFonts w:hint="eastAsia" w:ascii="仿宋" w:hAnsi="仿宋" w:eastAsia="仿宋"/>
          <w:b w:val="0"/>
          <w:color w:val="auto"/>
          <w:sz w:val="21"/>
          <w:szCs w:val="21"/>
          <w:lang w:eastAsia="zh-CN"/>
        </w:rPr>
        <w:t>（如要求缴纳投标保证金时，按如下要求执行）</w:t>
      </w:r>
      <w:r>
        <w:rPr>
          <w:rFonts w:hint="eastAsia" w:ascii="仿宋" w:hAnsi="仿宋" w:eastAsia="仿宋"/>
          <w:b w:val="0"/>
          <w:color w:val="auto"/>
          <w:sz w:val="21"/>
          <w:szCs w:val="21"/>
        </w:rPr>
        <w:t xml:space="preserve">： </w:t>
      </w:r>
    </w:p>
    <w:p w14:paraId="1487FB21">
      <w:pPr>
        <w:snapToGrid w:val="0"/>
        <w:spacing w:line="360" w:lineRule="auto"/>
        <w:ind w:firstLine="411" w:firstLineChars="196"/>
        <w:jc w:val="left"/>
        <w:rPr>
          <w:rFonts w:hint="eastAsia" w:ascii="仿宋" w:hAnsi="仿宋" w:eastAsia="仿宋"/>
          <w:color w:val="auto"/>
          <w:szCs w:val="21"/>
        </w:rPr>
      </w:pPr>
      <w:r>
        <w:rPr>
          <w:rFonts w:hint="eastAsia" w:ascii="仿宋" w:hAnsi="仿宋" w:eastAsia="仿宋"/>
          <w:color w:val="auto"/>
          <w:szCs w:val="21"/>
        </w:rPr>
        <w:t>（1）投标人在投标有效期内撤销投标文件的；</w:t>
      </w:r>
    </w:p>
    <w:p w14:paraId="54F73802">
      <w:pPr>
        <w:snapToGrid w:val="0"/>
        <w:spacing w:line="360" w:lineRule="auto"/>
        <w:ind w:firstLine="411" w:firstLineChars="196"/>
        <w:jc w:val="left"/>
        <w:rPr>
          <w:rFonts w:hint="eastAsia" w:ascii="仿宋" w:hAnsi="仿宋" w:eastAsia="仿宋"/>
          <w:color w:val="auto"/>
          <w:szCs w:val="21"/>
        </w:rPr>
      </w:pPr>
      <w:r>
        <w:rPr>
          <w:rFonts w:hint="eastAsia" w:ascii="仿宋" w:hAnsi="仿宋" w:eastAsia="仿宋"/>
          <w:color w:val="auto"/>
          <w:szCs w:val="21"/>
        </w:rPr>
        <w:t>（2）未按规定提交履约保证金的；</w:t>
      </w:r>
    </w:p>
    <w:p w14:paraId="1A96CA8F">
      <w:pPr>
        <w:snapToGrid w:val="0"/>
        <w:spacing w:line="360" w:lineRule="auto"/>
        <w:ind w:firstLine="411" w:firstLineChars="196"/>
        <w:jc w:val="left"/>
        <w:rPr>
          <w:rFonts w:hint="eastAsia" w:ascii="仿宋" w:hAnsi="仿宋" w:eastAsia="仿宋"/>
          <w:color w:val="auto"/>
          <w:szCs w:val="21"/>
        </w:rPr>
      </w:pPr>
      <w:r>
        <w:rPr>
          <w:rFonts w:hint="eastAsia" w:ascii="仿宋" w:hAnsi="仿宋" w:eastAsia="仿宋"/>
          <w:color w:val="auto"/>
          <w:szCs w:val="21"/>
        </w:rPr>
        <w:t>（3）投标人在投标过程中弄虚作假，提供虚假材料的；</w:t>
      </w:r>
    </w:p>
    <w:p w14:paraId="3A5E9829">
      <w:pPr>
        <w:snapToGrid w:val="0"/>
        <w:spacing w:line="360" w:lineRule="auto"/>
        <w:ind w:firstLine="411" w:firstLineChars="196"/>
        <w:rPr>
          <w:rFonts w:hint="eastAsia" w:ascii="仿宋" w:hAnsi="仿宋" w:eastAsia="仿宋"/>
          <w:color w:val="auto"/>
          <w:szCs w:val="21"/>
        </w:rPr>
      </w:pPr>
      <w:r>
        <w:rPr>
          <w:rFonts w:hint="eastAsia" w:ascii="仿宋" w:hAnsi="仿宋" w:eastAsia="仿宋"/>
          <w:color w:val="auto"/>
          <w:szCs w:val="21"/>
        </w:rPr>
        <w:t>（4）中标人无正当理由不与采购人签订合同的；</w:t>
      </w:r>
    </w:p>
    <w:p w14:paraId="4D1A47D2">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（5）投标人出现本章第9.2、9.3情形的；</w:t>
      </w:r>
    </w:p>
    <w:p w14:paraId="00F3DF44">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（6）</w:t>
      </w:r>
      <w:r>
        <w:rPr>
          <w:rFonts w:hint="eastAsia" w:ascii="仿宋" w:hAnsi="仿宋" w:eastAsia="仿宋" w:cs="宋体"/>
          <w:color w:val="auto"/>
          <w:szCs w:val="21"/>
        </w:rPr>
        <w:t>法律法规规定的其他情形</w:t>
      </w:r>
      <w:r>
        <w:rPr>
          <w:rFonts w:hint="eastAsia" w:ascii="仿宋" w:hAnsi="仿宋" w:eastAsia="仿宋"/>
          <w:color w:val="auto"/>
          <w:szCs w:val="21"/>
        </w:rPr>
        <w:t>。</w:t>
      </w:r>
    </w:p>
    <w:p w14:paraId="308F3D29">
      <w:pPr>
        <w:pStyle w:val="6"/>
        <w:keepNext w:val="0"/>
        <w:keepLines w:val="0"/>
        <w:spacing w:before="0" w:after="0" w:line="360" w:lineRule="auto"/>
        <w:ind w:left="420" w:leftChars="200"/>
        <w:rPr>
          <w:rFonts w:hint="eastAsia" w:ascii="仿宋" w:hAnsi="仿宋" w:eastAsia="仿宋"/>
          <w:color w:val="auto"/>
          <w:sz w:val="24"/>
        </w:rPr>
      </w:pPr>
      <w:bookmarkStart w:id="106" w:name="_Toc254970683"/>
      <w:bookmarkStart w:id="107" w:name="_Toc254970542"/>
      <w:r>
        <w:rPr>
          <w:rFonts w:hint="eastAsia" w:ascii="仿宋" w:hAnsi="仿宋" w:eastAsia="仿宋"/>
          <w:color w:val="auto"/>
          <w:sz w:val="24"/>
        </w:rPr>
        <w:t>19.投标文件的</w:t>
      </w:r>
      <w:bookmarkEnd w:id="106"/>
      <w:bookmarkEnd w:id="107"/>
      <w:r>
        <w:rPr>
          <w:rFonts w:hint="eastAsia" w:ascii="仿宋" w:hAnsi="仿宋" w:eastAsia="仿宋"/>
          <w:color w:val="auto"/>
          <w:sz w:val="24"/>
        </w:rPr>
        <w:t>编制</w:t>
      </w:r>
    </w:p>
    <w:p w14:paraId="15E03621">
      <w:pPr>
        <w:pStyle w:val="6"/>
        <w:keepNext w:val="0"/>
        <w:keepLines w:val="0"/>
        <w:spacing w:before="0" w:after="0" w:line="360" w:lineRule="auto"/>
        <w:ind w:firstLine="315" w:firstLineChars="150"/>
        <w:rPr>
          <w:rFonts w:hint="eastAsia" w:ascii="仿宋" w:hAnsi="仿宋" w:eastAsia="仿宋"/>
          <w:b w:val="0"/>
          <w:color w:val="auto"/>
          <w:sz w:val="21"/>
          <w:szCs w:val="21"/>
        </w:rPr>
      </w:pPr>
      <w:r>
        <w:rPr>
          <w:rFonts w:hint="eastAsia" w:ascii="仿宋" w:hAnsi="仿宋" w:eastAsia="仿宋"/>
          <w:b w:val="0"/>
          <w:color w:val="auto"/>
          <w:sz w:val="21"/>
          <w:szCs w:val="21"/>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2834AEC1">
      <w:pPr>
        <w:pStyle w:val="6"/>
        <w:keepNext w:val="0"/>
        <w:keepLines w:val="0"/>
        <w:numPr>
          <w:ilvl w:val="0"/>
          <w:numId w:val="0"/>
        </w:numPr>
        <w:spacing w:before="0" w:after="0" w:line="360" w:lineRule="auto"/>
        <w:ind w:firstLine="420" w:firstLineChars="200"/>
        <w:rPr>
          <w:rFonts w:hint="eastAsia" w:ascii="仿宋" w:hAnsi="仿宋" w:eastAsia="仿宋"/>
          <w:b w:val="0"/>
          <w:color w:val="auto"/>
          <w:sz w:val="21"/>
          <w:szCs w:val="21"/>
        </w:rPr>
      </w:pPr>
      <w:bookmarkStart w:id="108" w:name="_19.2投标文件应按报价文件、资格证明文件、商务文件、技术文件分别编制"/>
      <w:bookmarkEnd w:id="108"/>
      <w:r>
        <w:rPr>
          <w:rFonts w:hint="eastAsia" w:ascii="仿宋" w:hAnsi="仿宋" w:eastAsia="仿宋"/>
          <w:b w:val="0"/>
          <w:color w:val="auto"/>
          <w:sz w:val="21"/>
          <w:szCs w:val="21"/>
        </w:rPr>
        <w:t>19.2投标文件应按报价文件、资格证明文件、商务文件、技术文件分别编制电子文件，并按</w:t>
      </w:r>
      <w:r>
        <w:rPr>
          <w:rFonts w:hint="eastAsia" w:ascii="仿宋" w:hAnsi="仿宋" w:eastAsia="仿宋"/>
          <w:b w:val="0"/>
          <w:color w:val="auto"/>
          <w:sz w:val="21"/>
          <w:szCs w:val="21"/>
          <w:lang w:val="en-US" w:eastAsia="zh-CN"/>
        </w:rPr>
        <w:t>广西</w:t>
      </w:r>
      <w:r>
        <w:rPr>
          <w:rFonts w:hint="eastAsia" w:ascii="仿宋" w:hAnsi="仿宋" w:eastAsia="仿宋"/>
          <w:b w:val="0"/>
          <w:color w:val="auto"/>
          <w:sz w:val="21"/>
          <w:szCs w:val="21"/>
        </w:rPr>
        <w:t>政采云平台的要求编制、加密、上传。</w:t>
      </w:r>
    </w:p>
    <w:p w14:paraId="3AFD77A6">
      <w:pPr>
        <w:pStyle w:val="6"/>
        <w:keepNext w:val="0"/>
        <w:keepLines w:val="0"/>
        <w:numPr>
          <w:ilvl w:val="0"/>
          <w:numId w:val="0"/>
        </w:numPr>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19.</w:t>
      </w:r>
      <w:bookmarkStart w:id="109" w:name="_Hlk65832616"/>
      <w:r>
        <w:rPr>
          <w:rFonts w:hint="eastAsia" w:ascii="仿宋" w:hAnsi="仿宋" w:eastAsia="仿宋"/>
          <w:b w:val="0"/>
          <w:color w:val="auto"/>
          <w:sz w:val="21"/>
          <w:szCs w:val="21"/>
        </w:rPr>
        <w:t>3投标文件须由投标人在规定位置盖公章并签字</w:t>
      </w:r>
      <w:bookmarkStart w:id="110" w:name="_Hlk65832569"/>
      <w:r>
        <w:rPr>
          <w:rFonts w:hint="eastAsia" w:ascii="仿宋" w:hAnsi="仿宋" w:eastAsia="仿宋"/>
          <w:b w:val="0"/>
          <w:color w:val="auto"/>
          <w:sz w:val="21"/>
          <w:szCs w:val="21"/>
        </w:rPr>
        <w:t>（具体以投标人须知前附表或投标文件格式规定为准）</w:t>
      </w:r>
      <w:bookmarkEnd w:id="109"/>
      <w:bookmarkEnd w:id="110"/>
      <w:r>
        <w:rPr>
          <w:rFonts w:hint="eastAsia" w:ascii="仿宋" w:hAnsi="仿宋" w:eastAsia="仿宋"/>
          <w:b w:val="0"/>
          <w:color w:val="auto"/>
          <w:sz w:val="21"/>
          <w:szCs w:val="21"/>
        </w:rPr>
        <w:t>，</w:t>
      </w:r>
      <w:r>
        <w:rPr>
          <w:rFonts w:hint="eastAsia" w:ascii="仿宋" w:hAnsi="仿宋" w:eastAsia="仿宋"/>
          <w:bCs/>
          <w:color w:val="auto"/>
          <w:sz w:val="21"/>
          <w:szCs w:val="21"/>
        </w:rPr>
        <w:t>否则按无效投标处理</w:t>
      </w:r>
      <w:r>
        <w:rPr>
          <w:rFonts w:hint="eastAsia" w:ascii="仿宋" w:hAnsi="仿宋" w:eastAsia="仿宋"/>
          <w:b w:val="0"/>
          <w:color w:val="auto"/>
          <w:sz w:val="21"/>
          <w:szCs w:val="21"/>
        </w:rPr>
        <w:t>。</w:t>
      </w:r>
    </w:p>
    <w:p w14:paraId="7353A134">
      <w:pPr>
        <w:pStyle w:val="6"/>
        <w:keepNext w:val="0"/>
        <w:keepLines w:val="0"/>
        <w:spacing w:before="0" w:after="0" w:line="360" w:lineRule="auto"/>
        <w:ind w:firstLine="315" w:firstLineChars="150"/>
        <w:rPr>
          <w:rFonts w:hint="eastAsia" w:ascii="仿宋" w:hAnsi="仿宋" w:eastAsia="仿宋"/>
          <w:b w:val="0"/>
          <w:color w:val="auto"/>
          <w:sz w:val="21"/>
          <w:szCs w:val="21"/>
        </w:rPr>
      </w:pPr>
      <w:r>
        <w:rPr>
          <w:rFonts w:hint="eastAsia" w:ascii="仿宋" w:hAnsi="仿宋" w:eastAsia="仿宋"/>
          <w:b w:val="0"/>
          <w:color w:val="auto"/>
          <w:sz w:val="21"/>
          <w:szCs w:val="21"/>
        </w:rPr>
        <w:t xml:space="preserve"> 19.4投标文件中标注的投标人名称应与主体资格证明（如营业执照、事业单位法人证书、执业许可证、自然人身份证等）及公章一致，</w:t>
      </w:r>
      <w:r>
        <w:rPr>
          <w:rFonts w:hint="eastAsia" w:ascii="仿宋" w:hAnsi="仿宋" w:eastAsia="仿宋"/>
          <w:color w:val="auto"/>
          <w:sz w:val="21"/>
          <w:szCs w:val="21"/>
        </w:rPr>
        <w:t>否则按无效投标处理</w:t>
      </w:r>
      <w:r>
        <w:rPr>
          <w:rFonts w:hint="eastAsia" w:ascii="仿宋" w:hAnsi="仿宋" w:eastAsia="仿宋"/>
          <w:b w:val="0"/>
          <w:color w:val="auto"/>
          <w:sz w:val="21"/>
          <w:szCs w:val="21"/>
        </w:rPr>
        <w:t>。</w:t>
      </w:r>
    </w:p>
    <w:p w14:paraId="4FFA4A0E">
      <w:pPr>
        <w:pStyle w:val="6"/>
        <w:keepNext w:val="0"/>
        <w:keepLines w:val="0"/>
        <w:spacing w:before="0" w:after="0" w:line="360" w:lineRule="auto"/>
        <w:ind w:firstLine="315" w:firstLineChars="150"/>
        <w:rPr>
          <w:rFonts w:hint="eastAsia" w:ascii="仿宋" w:hAnsi="仿宋" w:eastAsia="仿宋"/>
          <w:b w:val="0"/>
          <w:color w:val="auto"/>
          <w:sz w:val="21"/>
          <w:szCs w:val="21"/>
        </w:rPr>
      </w:pPr>
      <w:r>
        <w:rPr>
          <w:rFonts w:hint="eastAsia" w:ascii="仿宋" w:hAnsi="仿宋" w:eastAsia="仿宋"/>
          <w:b w:val="0"/>
          <w:color w:val="auto"/>
          <w:sz w:val="21"/>
          <w:szCs w:val="21"/>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0A5A7F33">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20.投标文件的加密、解密</w:t>
      </w:r>
    </w:p>
    <w:p w14:paraId="3E0FB749">
      <w:pPr>
        <w:pStyle w:val="6"/>
        <w:keepNext w:val="0"/>
        <w:keepLines w:val="0"/>
        <w:spacing w:before="0" w:after="0" w:line="360" w:lineRule="auto"/>
        <w:ind w:firstLine="315" w:firstLineChars="150"/>
        <w:rPr>
          <w:rFonts w:hint="eastAsia" w:ascii="仿宋" w:hAnsi="仿宋" w:eastAsia="仿宋"/>
          <w:b w:val="0"/>
          <w:color w:val="auto"/>
          <w:sz w:val="21"/>
          <w:szCs w:val="21"/>
        </w:rPr>
      </w:pPr>
      <w:r>
        <w:rPr>
          <w:rFonts w:hint="eastAsia" w:ascii="仿宋" w:hAnsi="仿宋" w:eastAsia="仿宋"/>
          <w:b w:val="0"/>
          <w:color w:val="auto"/>
          <w:sz w:val="21"/>
          <w:szCs w:val="21"/>
        </w:rPr>
        <w:t xml:space="preserve"> 20.1电子投标文件编制完成后，投标人应按</w:t>
      </w:r>
      <w:r>
        <w:rPr>
          <w:rFonts w:hint="eastAsia" w:ascii="仿宋" w:hAnsi="仿宋" w:eastAsia="仿宋"/>
          <w:b w:val="0"/>
          <w:color w:val="auto"/>
          <w:sz w:val="21"/>
          <w:szCs w:val="21"/>
          <w:lang w:val="en-US" w:eastAsia="zh-CN"/>
        </w:rPr>
        <w:t>广西</w:t>
      </w:r>
      <w:r>
        <w:rPr>
          <w:rFonts w:hint="eastAsia" w:ascii="仿宋" w:hAnsi="仿宋" w:eastAsia="仿宋"/>
          <w:b w:val="0"/>
          <w:color w:val="auto"/>
          <w:sz w:val="21"/>
          <w:szCs w:val="21"/>
        </w:rPr>
        <w:t>政采云平台的要求进行加密，并在规定时间内解密，否则，由此产生的后果由投标人自行负责。</w:t>
      </w:r>
    </w:p>
    <w:p w14:paraId="7512D656">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21.投标文件的提交</w:t>
      </w:r>
    </w:p>
    <w:p w14:paraId="11A0E066">
      <w:pPr>
        <w:pStyle w:val="6"/>
        <w:keepNext w:val="0"/>
        <w:keepLines w:val="0"/>
        <w:numPr>
          <w:ilvl w:val="0"/>
          <w:numId w:val="0"/>
        </w:numPr>
        <w:spacing w:before="0" w:after="0" w:line="360" w:lineRule="auto"/>
        <w:ind w:firstLine="420" w:firstLineChars="200"/>
        <w:rPr>
          <w:rFonts w:hint="eastAsia" w:ascii="仿宋" w:hAnsi="仿宋" w:eastAsia="仿宋"/>
          <w:b w:val="0"/>
          <w:color w:val="auto"/>
          <w:sz w:val="21"/>
          <w:szCs w:val="21"/>
        </w:rPr>
      </w:pPr>
      <w:bookmarkStart w:id="111" w:name="_21.1投标人必须在“投标人须知中的前附表”规定的投标文件接收时间和投"/>
      <w:bookmarkEnd w:id="111"/>
      <w:r>
        <w:rPr>
          <w:rFonts w:hint="eastAsia" w:ascii="仿宋" w:hAnsi="仿宋" w:eastAsia="仿宋"/>
          <w:b w:val="0"/>
          <w:color w:val="auto"/>
          <w:sz w:val="21"/>
          <w:szCs w:val="21"/>
        </w:rPr>
        <w:t>21.1投标人必须在“投标人须知前附表”规定的投标文件接收时间和投标地点提交投标文件。</w:t>
      </w:r>
    </w:p>
    <w:p w14:paraId="2657CD1E">
      <w:pPr>
        <w:pStyle w:val="6"/>
        <w:keepNext w:val="0"/>
        <w:keepLines w:val="0"/>
        <w:numPr>
          <w:ilvl w:val="0"/>
          <w:numId w:val="0"/>
        </w:numPr>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21.2本项目为全流程电子化政府采购项目，通过</w:t>
      </w:r>
      <w:r>
        <w:rPr>
          <w:rFonts w:hint="eastAsia" w:ascii="仿宋" w:hAnsi="仿宋" w:eastAsia="仿宋"/>
          <w:b w:val="0"/>
          <w:color w:val="auto"/>
          <w:sz w:val="21"/>
          <w:szCs w:val="21"/>
          <w:lang w:val="en-US" w:eastAsia="zh-CN"/>
        </w:rPr>
        <w:t>广西</w:t>
      </w:r>
      <w:r>
        <w:rPr>
          <w:rFonts w:hint="eastAsia" w:ascii="仿宋" w:hAnsi="仿宋" w:eastAsia="仿宋"/>
          <w:b w:val="0"/>
          <w:color w:val="auto"/>
          <w:sz w:val="21"/>
          <w:szCs w:val="21"/>
        </w:rPr>
        <w:t>政采云平台（https://www.gcy.zfcg.gxzf.gov.cn/）实行在线电子投标。投标人必须在“投标人须知前附表”规定的投标文件接收时间内通过网络将电子投标文件上传至</w:t>
      </w:r>
      <w:r>
        <w:rPr>
          <w:rFonts w:hint="eastAsia" w:ascii="仿宋" w:hAnsi="仿宋" w:eastAsia="仿宋"/>
          <w:b w:val="0"/>
          <w:color w:val="auto"/>
          <w:sz w:val="21"/>
          <w:szCs w:val="21"/>
          <w:lang w:val="en-US" w:eastAsia="zh-CN"/>
        </w:rPr>
        <w:t>广西</w:t>
      </w:r>
      <w:r>
        <w:rPr>
          <w:rFonts w:hint="eastAsia" w:ascii="仿宋" w:hAnsi="仿宋" w:eastAsia="仿宋"/>
          <w:b w:val="0"/>
          <w:color w:val="auto"/>
          <w:sz w:val="21"/>
          <w:szCs w:val="21"/>
        </w:rPr>
        <w:t>政采云平台，供应商在</w:t>
      </w:r>
      <w:r>
        <w:rPr>
          <w:rFonts w:hint="eastAsia" w:ascii="仿宋" w:hAnsi="仿宋" w:eastAsia="仿宋"/>
          <w:b w:val="0"/>
          <w:color w:val="auto"/>
          <w:sz w:val="21"/>
          <w:szCs w:val="21"/>
          <w:lang w:val="en-US" w:eastAsia="zh-CN"/>
        </w:rPr>
        <w:t>广西</w:t>
      </w:r>
      <w:r>
        <w:rPr>
          <w:rFonts w:hint="eastAsia" w:ascii="仿宋" w:hAnsi="仿宋" w:eastAsia="仿宋"/>
          <w:b w:val="0"/>
          <w:color w:val="auto"/>
          <w:sz w:val="21"/>
          <w:szCs w:val="21"/>
        </w:rPr>
        <w:t>政采云平台提交电子版投标文件时，请填写参加远程开标活动经办人联系方式。</w:t>
      </w:r>
    </w:p>
    <w:p w14:paraId="6A3C9E1F">
      <w:pPr>
        <w:pStyle w:val="6"/>
        <w:keepNext w:val="0"/>
        <w:keepLines w:val="0"/>
        <w:numPr>
          <w:ilvl w:val="0"/>
          <w:numId w:val="0"/>
        </w:numPr>
        <w:spacing w:before="0" w:after="0" w:line="360" w:lineRule="auto"/>
        <w:ind w:firstLine="420" w:firstLineChars="200"/>
        <w:jc w:val="left"/>
        <w:rPr>
          <w:rFonts w:hint="eastAsia" w:ascii="仿宋" w:hAnsi="仿宋" w:eastAsia="仿宋"/>
          <w:b w:val="0"/>
          <w:color w:val="auto"/>
          <w:sz w:val="21"/>
          <w:szCs w:val="21"/>
        </w:rPr>
      </w:pPr>
      <w:r>
        <w:rPr>
          <w:rFonts w:hint="eastAsia" w:ascii="仿宋" w:hAnsi="仿宋" w:eastAsia="仿宋"/>
          <w:b w:val="0"/>
          <w:color w:val="auto"/>
          <w:sz w:val="21"/>
          <w:szCs w:val="21"/>
        </w:rPr>
        <w:t>21.3未在规定时间内上传或者未按</w:t>
      </w:r>
      <w:r>
        <w:rPr>
          <w:rFonts w:hint="eastAsia" w:ascii="仿宋" w:hAnsi="仿宋" w:eastAsia="仿宋"/>
          <w:b w:val="0"/>
          <w:color w:val="auto"/>
          <w:sz w:val="21"/>
          <w:szCs w:val="21"/>
          <w:lang w:val="en-US" w:eastAsia="zh-CN"/>
        </w:rPr>
        <w:t>广西</w:t>
      </w:r>
      <w:r>
        <w:rPr>
          <w:rFonts w:hint="eastAsia" w:ascii="仿宋" w:hAnsi="仿宋" w:eastAsia="仿宋"/>
          <w:b w:val="0"/>
          <w:color w:val="auto"/>
          <w:sz w:val="21"/>
          <w:szCs w:val="21"/>
        </w:rPr>
        <w:t>政采云平台的要求编制、加密的电子投标文件，</w:t>
      </w:r>
      <w:r>
        <w:rPr>
          <w:rFonts w:hint="eastAsia" w:ascii="仿宋" w:hAnsi="仿宋" w:eastAsia="仿宋"/>
          <w:b w:val="0"/>
          <w:color w:val="auto"/>
          <w:sz w:val="21"/>
          <w:szCs w:val="21"/>
          <w:lang w:val="en-US" w:eastAsia="zh-CN"/>
        </w:rPr>
        <w:t>广西</w:t>
      </w:r>
      <w:r>
        <w:rPr>
          <w:rFonts w:hint="eastAsia" w:ascii="仿宋" w:hAnsi="仿宋" w:eastAsia="仿宋"/>
          <w:b w:val="0"/>
          <w:color w:val="auto"/>
          <w:sz w:val="21"/>
          <w:szCs w:val="21"/>
        </w:rPr>
        <w:t>政采云平台将拒收。</w:t>
      </w:r>
    </w:p>
    <w:p w14:paraId="13095985">
      <w:pPr>
        <w:pStyle w:val="7"/>
        <w:rPr>
          <w:rFonts w:hint="eastAsia" w:ascii="仿宋" w:hAnsi="仿宋" w:eastAsia="仿宋"/>
          <w:color w:val="auto"/>
        </w:rPr>
      </w:pPr>
      <w:r>
        <w:rPr>
          <w:rFonts w:hint="eastAsia" w:ascii="仿宋" w:hAnsi="仿宋" w:eastAsia="仿宋"/>
          <w:color w:val="auto"/>
          <w:szCs w:val="21"/>
        </w:rPr>
        <w:t>21.4电子投标文件提交方式见“招标公告”中“四、提交投标文件截止时间、开标时间和地点”</w:t>
      </w:r>
    </w:p>
    <w:p w14:paraId="3174E306">
      <w:pPr>
        <w:pStyle w:val="7"/>
        <w:rPr>
          <w:rFonts w:hint="eastAsia" w:ascii="仿宋" w:hAnsi="仿宋" w:eastAsia="仿宋"/>
          <w:color w:val="auto"/>
        </w:rPr>
      </w:pPr>
    </w:p>
    <w:p w14:paraId="22AAFD9F">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22. 投标文件的补充、修改、撤回与退回</w:t>
      </w:r>
    </w:p>
    <w:p w14:paraId="79B28E64">
      <w:pPr>
        <w:snapToGrid w:val="0"/>
        <w:spacing w:line="360" w:lineRule="auto"/>
        <w:ind w:firstLine="420"/>
        <w:jc w:val="left"/>
        <w:rPr>
          <w:rFonts w:hint="eastAsia" w:ascii="仿宋" w:hAnsi="仿宋" w:eastAsia="仿宋"/>
          <w:color w:val="auto"/>
          <w:szCs w:val="21"/>
        </w:rPr>
      </w:pPr>
      <w:bookmarkStart w:id="112" w:name="_Toc254970543"/>
      <w:bookmarkStart w:id="113" w:name="_Toc254970684"/>
      <w:r>
        <w:rPr>
          <w:rFonts w:hint="eastAsia" w:ascii="仿宋" w:hAnsi="仿宋" w:eastAsia="仿宋"/>
          <w:color w:val="auto"/>
          <w:szCs w:val="21"/>
        </w:rPr>
        <w:t>2</w:t>
      </w:r>
      <w:r>
        <w:rPr>
          <w:rFonts w:ascii="仿宋" w:hAnsi="仿宋" w:eastAsia="仿宋"/>
          <w:color w:val="auto"/>
          <w:szCs w:val="21"/>
        </w:rPr>
        <w:t>2.1</w:t>
      </w:r>
      <w:r>
        <w:rPr>
          <w:rFonts w:hint="eastAsia" w:ascii="仿宋" w:hAnsi="仿宋" w:eastAsia="仿宋"/>
          <w:color w:val="auto"/>
          <w:szCs w:val="21"/>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采云平台将予以拒收。</w:t>
      </w:r>
    </w:p>
    <w:bookmarkEnd w:id="112"/>
    <w:bookmarkEnd w:id="113"/>
    <w:p w14:paraId="3D0C96B7">
      <w:pPr>
        <w:snapToGrid w:val="0"/>
        <w:spacing w:line="360" w:lineRule="auto"/>
        <w:ind w:firstLine="420"/>
        <w:jc w:val="left"/>
        <w:rPr>
          <w:rFonts w:hint="eastAsia" w:ascii="仿宋" w:hAnsi="仿宋" w:eastAsia="仿宋"/>
          <w:color w:val="auto"/>
          <w:szCs w:val="21"/>
        </w:rPr>
      </w:pPr>
      <w:r>
        <w:rPr>
          <w:rFonts w:hint="eastAsia" w:ascii="仿宋" w:hAnsi="仿宋" w:eastAsia="仿宋"/>
          <w:color w:val="auto"/>
          <w:szCs w:val="21"/>
        </w:rPr>
        <w:t>22.</w:t>
      </w:r>
      <w:r>
        <w:rPr>
          <w:rFonts w:ascii="仿宋" w:hAnsi="仿宋" w:eastAsia="仿宋"/>
          <w:color w:val="auto"/>
          <w:szCs w:val="21"/>
        </w:rPr>
        <w:t>2</w:t>
      </w:r>
      <w:r>
        <w:rPr>
          <w:rFonts w:hint="eastAsia" w:ascii="仿宋" w:hAnsi="仿宋" w:eastAsia="仿宋"/>
          <w:color w:val="auto"/>
          <w:szCs w:val="21"/>
        </w:rPr>
        <w:t>在投标截止时间止提交投标文件的投标人不足3家时，不得开标，采购代理机构将根据广西政采云平台的操作将电子版投标文件退回，除此之外采购人和采购代理机构对已提交的投标文件概不退回。</w:t>
      </w:r>
    </w:p>
    <w:p w14:paraId="0C4D547C">
      <w:pPr>
        <w:spacing w:line="360" w:lineRule="auto"/>
        <w:ind w:firstLine="420" w:firstLineChars="200"/>
        <w:rPr>
          <w:rFonts w:hint="eastAsia" w:ascii="仿宋" w:hAnsi="仿宋" w:eastAsia="仿宋" w:cs="宋体"/>
          <w:color w:val="auto"/>
          <w:szCs w:val="21"/>
        </w:rPr>
      </w:pPr>
      <w:r>
        <w:rPr>
          <w:rFonts w:hint="eastAsia" w:ascii="仿宋" w:hAnsi="仿宋" w:eastAsia="仿宋" w:cs="宋体"/>
          <w:color w:val="auto"/>
          <w:szCs w:val="21"/>
        </w:rPr>
        <w:t>2</w:t>
      </w:r>
      <w:r>
        <w:rPr>
          <w:rFonts w:ascii="仿宋" w:hAnsi="仿宋" w:eastAsia="仿宋" w:cs="宋体"/>
          <w:color w:val="auto"/>
          <w:szCs w:val="21"/>
        </w:rPr>
        <w:t>2.3</w:t>
      </w:r>
      <w:r>
        <w:rPr>
          <w:rFonts w:hint="eastAsia" w:ascii="仿宋" w:hAnsi="仿宋" w:eastAsia="仿宋" w:cs="宋体"/>
          <w:color w:val="auto"/>
          <w:szCs w:val="21"/>
        </w:rPr>
        <w:t xml:space="preserve"> 投标人在投标截止时间后书面通知采购人、采购代理机构撤销投标文件的，将根据本须知正文1</w:t>
      </w:r>
      <w:r>
        <w:rPr>
          <w:rFonts w:ascii="仿宋" w:hAnsi="仿宋" w:eastAsia="仿宋" w:cs="宋体"/>
          <w:color w:val="auto"/>
          <w:szCs w:val="21"/>
        </w:rPr>
        <w:t>8</w:t>
      </w:r>
      <w:r>
        <w:rPr>
          <w:rFonts w:hint="eastAsia" w:ascii="仿宋" w:hAnsi="仿宋" w:eastAsia="仿宋" w:cs="宋体"/>
          <w:color w:val="auto"/>
          <w:szCs w:val="21"/>
        </w:rPr>
        <w:t>.4的规定不予退还其投标保证金。</w:t>
      </w:r>
    </w:p>
    <w:p w14:paraId="0D9CED19">
      <w:pPr>
        <w:pStyle w:val="19"/>
        <w:snapToGrid w:val="0"/>
        <w:spacing w:line="360" w:lineRule="auto"/>
        <w:ind w:firstLine="739"/>
        <w:rPr>
          <w:rFonts w:hint="eastAsia" w:ascii="仿宋" w:hAnsi="仿宋" w:eastAsia="仿宋"/>
          <w:snapToGrid w:val="0"/>
          <w:color w:val="auto"/>
          <w:sz w:val="21"/>
          <w:szCs w:val="21"/>
        </w:rPr>
      </w:pPr>
    </w:p>
    <w:p w14:paraId="2F709053">
      <w:pPr>
        <w:pStyle w:val="4"/>
        <w:keepNext w:val="0"/>
        <w:keepLines w:val="0"/>
        <w:jc w:val="center"/>
        <w:rPr>
          <w:rFonts w:hint="eastAsia" w:ascii="仿宋" w:hAnsi="仿宋" w:eastAsia="仿宋"/>
          <w:color w:val="auto"/>
        </w:rPr>
      </w:pPr>
      <w:bookmarkStart w:id="114" w:name="_Toc254970685"/>
      <w:bookmarkStart w:id="115" w:name="_Toc254970544"/>
      <w:r>
        <w:rPr>
          <w:rFonts w:hint="eastAsia" w:ascii="仿宋" w:hAnsi="仿宋" w:eastAsia="仿宋"/>
          <w:color w:val="auto"/>
        </w:rPr>
        <w:t>四、开    标</w:t>
      </w:r>
      <w:bookmarkEnd w:id="114"/>
      <w:bookmarkEnd w:id="115"/>
    </w:p>
    <w:p w14:paraId="60DB6611">
      <w:pPr>
        <w:pStyle w:val="6"/>
        <w:keepNext w:val="0"/>
        <w:keepLines w:val="0"/>
        <w:spacing w:before="0" w:after="0" w:line="360" w:lineRule="auto"/>
        <w:ind w:left="420" w:leftChars="200"/>
        <w:rPr>
          <w:rFonts w:hint="eastAsia" w:ascii="仿宋" w:hAnsi="仿宋" w:eastAsia="仿宋"/>
          <w:color w:val="auto"/>
          <w:sz w:val="24"/>
        </w:rPr>
      </w:pPr>
      <w:bookmarkStart w:id="116" w:name="_23.开标时间和地点"/>
      <w:bookmarkEnd w:id="116"/>
      <w:r>
        <w:rPr>
          <w:rFonts w:hint="eastAsia" w:ascii="仿宋" w:hAnsi="仿宋" w:eastAsia="仿宋"/>
          <w:color w:val="auto"/>
          <w:sz w:val="24"/>
        </w:rPr>
        <w:t>23.开标时间和地点</w:t>
      </w:r>
    </w:p>
    <w:p w14:paraId="4F9D0B13">
      <w:pPr>
        <w:snapToGrid w:val="0"/>
        <w:spacing w:line="360" w:lineRule="auto"/>
        <w:ind w:firstLine="420"/>
        <w:jc w:val="left"/>
        <w:rPr>
          <w:rFonts w:hint="eastAsia" w:ascii="仿宋" w:hAnsi="仿宋" w:eastAsia="仿宋"/>
          <w:color w:val="auto"/>
          <w:szCs w:val="21"/>
        </w:rPr>
      </w:pPr>
      <w:r>
        <w:rPr>
          <w:rFonts w:hint="eastAsia" w:ascii="仿宋" w:hAnsi="仿宋" w:eastAsia="仿宋"/>
          <w:color w:val="auto"/>
          <w:szCs w:val="21"/>
        </w:rPr>
        <w:t>23.1开标时间及地点详见“投标人须知前附表”</w:t>
      </w:r>
    </w:p>
    <w:p w14:paraId="367B3A57">
      <w:pPr>
        <w:snapToGrid w:val="0"/>
        <w:spacing w:line="360" w:lineRule="auto"/>
        <w:ind w:firstLine="420"/>
        <w:jc w:val="left"/>
        <w:rPr>
          <w:rFonts w:hint="eastAsia" w:ascii="仿宋" w:hAnsi="仿宋" w:eastAsia="仿宋"/>
          <w:color w:val="auto"/>
          <w:szCs w:val="21"/>
        </w:rPr>
      </w:pPr>
      <w:r>
        <w:rPr>
          <w:rFonts w:hint="eastAsia" w:ascii="仿宋" w:hAnsi="仿宋" w:eastAsia="仿宋"/>
          <w:color w:val="auto"/>
          <w:szCs w:val="21"/>
        </w:rPr>
        <w:t>23.2如投标人成功解密投标文件，但未在广西政采云平台电子开标大厅参加开标的，视同认可开标过程和结果，由此产生的后果由投标人自行负责。成功解密投标文件的投标人不足3家的，不得开标。</w:t>
      </w:r>
    </w:p>
    <w:p w14:paraId="2D149B8D">
      <w:pPr>
        <w:pStyle w:val="6"/>
        <w:keepNext w:val="0"/>
        <w:keepLines w:val="0"/>
        <w:spacing w:before="0" w:after="0" w:line="360" w:lineRule="auto"/>
        <w:ind w:left="420" w:leftChars="200"/>
        <w:rPr>
          <w:rFonts w:ascii="仿宋" w:hAnsi="仿宋" w:eastAsia="仿宋"/>
          <w:color w:val="auto"/>
          <w:sz w:val="24"/>
        </w:rPr>
      </w:pPr>
      <w:r>
        <w:rPr>
          <w:rFonts w:hint="eastAsia" w:ascii="仿宋" w:hAnsi="仿宋" w:eastAsia="仿宋"/>
          <w:color w:val="auto"/>
          <w:sz w:val="24"/>
        </w:rPr>
        <w:t>24.开标程序</w:t>
      </w:r>
    </w:p>
    <w:p w14:paraId="572BCFAD">
      <w:pPr>
        <w:autoSpaceDE w:val="0"/>
        <w:autoSpaceDN w:val="0"/>
        <w:adjustRightInd w:val="0"/>
        <w:spacing w:line="440" w:lineRule="exact"/>
        <w:ind w:firstLine="420" w:firstLineChars="200"/>
        <w:rPr>
          <w:rFonts w:ascii="仿宋" w:hAnsi="仿宋" w:eastAsia="仿宋"/>
          <w:color w:val="auto"/>
          <w:kern w:val="0"/>
          <w:szCs w:val="21"/>
        </w:rPr>
      </w:pPr>
      <w:r>
        <w:rPr>
          <w:rFonts w:hint="eastAsia" w:ascii="仿宋" w:hAnsi="仿宋" w:eastAsia="仿宋"/>
          <w:bCs/>
          <w:color w:val="auto"/>
          <w:szCs w:val="21"/>
        </w:rPr>
        <w:t>24.1</w:t>
      </w:r>
      <w:r>
        <w:rPr>
          <w:rFonts w:hint="eastAsia" w:ascii="仿宋" w:hAnsi="仿宋" w:eastAsia="仿宋"/>
          <w:color w:val="auto"/>
          <w:kern w:val="0"/>
          <w:szCs w:val="21"/>
        </w:rPr>
        <w:t>开标形式：</w:t>
      </w:r>
    </w:p>
    <w:p w14:paraId="6A9B5028">
      <w:pPr>
        <w:autoSpaceDE w:val="0"/>
        <w:autoSpaceDN w:val="0"/>
        <w:adjustRightInd w:val="0"/>
        <w:spacing w:line="440" w:lineRule="exact"/>
        <w:ind w:firstLine="420" w:firstLineChars="200"/>
        <w:rPr>
          <w:rFonts w:ascii="仿宋" w:hAnsi="仿宋" w:eastAsia="仿宋"/>
          <w:bCs/>
          <w:color w:val="auto"/>
          <w:szCs w:val="21"/>
        </w:rPr>
      </w:pPr>
      <w:r>
        <w:rPr>
          <w:rFonts w:hint="eastAsia" w:ascii="仿宋" w:hAnsi="仿宋" w:eastAsia="仿宋"/>
          <w:bCs/>
          <w:color w:val="auto"/>
          <w:szCs w:val="21"/>
        </w:rPr>
        <w:t>采购代理机构将按照招标文件规定的时间通过广西政采云平台组织线上开标活动、开启投标文件，所有供应商均应当准时在线参加。投标人</w:t>
      </w:r>
      <w:r>
        <w:rPr>
          <w:rFonts w:ascii="仿宋" w:hAnsi="仿宋" w:eastAsia="仿宋"/>
          <w:bCs/>
          <w:color w:val="auto"/>
          <w:szCs w:val="21"/>
        </w:rPr>
        <w:t>如不</w:t>
      </w:r>
      <w:r>
        <w:rPr>
          <w:rFonts w:hint="eastAsia" w:ascii="仿宋" w:hAnsi="仿宋" w:eastAsia="仿宋"/>
          <w:bCs/>
          <w:color w:val="auto"/>
          <w:szCs w:val="21"/>
        </w:rPr>
        <w:t>参加</w:t>
      </w:r>
      <w:r>
        <w:rPr>
          <w:rFonts w:ascii="仿宋" w:hAnsi="仿宋" w:eastAsia="仿宋"/>
          <w:bCs/>
          <w:color w:val="auto"/>
          <w:szCs w:val="21"/>
        </w:rPr>
        <w:t>开标大会的，</w:t>
      </w:r>
      <w:r>
        <w:rPr>
          <w:rFonts w:hint="eastAsia" w:ascii="仿宋" w:hAnsi="仿宋" w:eastAsia="仿宋"/>
          <w:bCs/>
          <w:color w:val="auto"/>
          <w:szCs w:val="21"/>
        </w:rPr>
        <w:t>视同认可开标结果，</w:t>
      </w:r>
      <w:r>
        <w:rPr>
          <w:rFonts w:ascii="仿宋" w:hAnsi="仿宋" w:eastAsia="仿宋"/>
          <w:bCs/>
          <w:color w:val="auto"/>
          <w:szCs w:val="21"/>
        </w:rPr>
        <w:t>事后不得对采购相关人员、开标过程和开标结果提出异议</w:t>
      </w:r>
      <w:r>
        <w:rPr>
          <w:rFonts w:hint="eastAsia" w:ascii="仿宋" w:hAnsi="仿宋" w:eastAsia="仿宋"/>
          <w:bCs/>
          <w:color w:val="auto"/>
          <w:szCs w:val="21"/>
        </w:rPr>
        <w:t>，同时投标人因未在线参加开标而导致投标文件无法按时解密等一切后果由投标人自己承担。</w:t>
      </w:r>
    </w:p>
    <w:p w14:paraId="7B911A7B">
      <w:pPr>
        <w:autoSpaceDE w:val="0"/>
        <w:autoSpaceDN w:val="0"/>
        <w:adjustRightInd w:val="0"/>
        <w:spacing w:line="440" w:lineRule="exact"/>
        <w:ind w:firstLine="420" w:firstLineChars="200"/>
        <w:rPr>
          <w:rFonts w:ascii="仿宋" w:hAnsi="仿宋" w:eastAsia="仿宋"/>
          <w:bCs/>
          <w:color w:val="auto"/>
          <w:szCs w:val="21"/>
        </w:rPr>
      </w:pPr>
      <w:r>
        <w:rPr>
          <w:rFonts w:hint="eastAsia" w:ascii="仿宋" w:hAnsi="仿宋" w:eastAsia="仿宋"/>
          <w:bCs/>
          <w:color w:val="auto"/>
          <w:szCs w:val="21"/>
        </w:rPr>
        <w:t>24.2</w:t>
      </w:r>
      <w:r>
        <w:rPr>
          <w:rFonts w:ascii="仿宋" w:hAnsi="仿宋" w:eastAsia="仿宋"/>
          <w:bCs/>
          <w:color w:val="auto"/>
          <w:szCs w:val="21"/>
        </w:rPr>
        <w:t>开</w:t>
      </w:r>
      <w:r>
        <w:rPr>
          <w:rFonts w:hint="eastAsia" w:ascii="仿宋" w:hAnsi="仿宋" w:eastAsia="仿宋"/>
          <w:bCs/>
          <w:color w:val="auto"/>
          <w:szCs w:val="21"/>
        </w:rPr>
        <w:t>标</w:t>
      </w:r>
      <w:r>
        <w:rPr>
          <w:rFonts w:ascii="仿宋" w:hAnsi="仿宋" w:eastAsia="仿宋"/>
          <w:bCs/>
          <w:color w:val="auto"/>
          <w:szCs w:val="21"/>
        </w:rPr>
        <w:t>程序：</w:t>
      </w:r>
    </w:p>
    <w:p w14:paraId="6303C048">
      <w:pPr>
        <w:autoSpaceDE w:val="0"/>
        <w:autoSpaceDN w:val="0"/>
        <w:adjustRightInd w:val="0"/>
        <w:spacing w:line="440" w:lineRule="exact"/>
        <w:ind w:firstLine="420" w:firstLineChars="200"/>
        <w:rPr>
          <w:rFonts w:hint="eastAsia" w:ascii="仿宋" w:hAnsi="仿宋" w:eastAsia="仿宋"/>
          <w:bCs/>
          <w:color w:val="auto"/>
          <w:szCs w:val="21"/>
        </w:rPr>
      </w:pPr>
      <w:r>
        <w:rPr>
          <w:rFonts w:hint="eastAsia" w:ascii="仿宋" w:hAnsi="仿宋" w:eastAsia="仿宋"/>
          <w:bCs/>
          <w:color w:val="auto"/>
          <w:szCs w:val="21"/>
        </w:rPr>
        <w:t>（1）解密电子投标文件。广西政采云平台按开标时间自动提取所有投标文件。采购代理机构依托广西政采云平台向各投标人发出电子加密投标文件【开始解密】通知，由投标人进行投标文件解密。</w:t>
      </w:r>
      <w:r>
        <w:rPr>
          <w:rFonts w:hint="eastAsia" w:ascii="仿宋" w:hAnsi="仿宋" w:eastAsia="仿宋"/>
          <w:b/>
          <w:bCs/>
          <w:color w:val="auto"/>
          <w:szCs w:val="21"/>
        </w:rPr>
        <w:t>投标人的法定代表人或其委托代理人须携带加密时所用的CA锁准时登录到广西政采云平台电子开标大厅签到</w:t>
      </w:r>
      <w:r>
        <w:rPr>
          <w:rFonts w:hint="eastAsia" w:ascii="仿宋" w:hAnsi="仿宋" w:eastAsia="仿宋" w:cs="宋体"/>
          <w:b/>
          <w:color w:val="auto"/>
          <w:szCs w:val="21"/>
        </w:rPr>
        <w:t>并在发起解密</w:t>
      </w:r>
      <w:r>
        <w:rPr>
          <w:rFonts w:hint="eastAsia" w:ascii="仿宋" w:hAnsi="仿宋" w:eastAsia="仿宋"/>
          <w:b/>
          <w:bCs/>
          <w:color w:val="auto"/>
          <w:szCs w:val="21"/>
        </w:rPr>
        <w:t>通知</w:t>
      </w:r>
      <w:r>
        <w:rPr>
          <w:rFonts w:hint="eastAsia" w:ascii="仿宋" w:hAnsi="仿宋" w:eastAsia="仿宋" w:cs="宋体"/>
          <w:b/>
          <w:color w:val="auto"/>
          <w:szCs w:val="21"/>
        </w:rPr>
        <w:t>之时起30分钟内完成</w:t>
      </w:r>
      <w:r>
        <w:rPr>
          <w:rFonts w:hint="eastAsia" w:ascii="仿宋" w:hAnsi="仿宋" w:eastAsia="仿宋"/>
          <w:b/>
          <w:bCs/>
          <w:color w:val="auto"/>
          <w:szCs w:val="21"/>
        </w:rPr>
        <w:t>对电子投标文件解密。投标文件未按时解密的，视为无效投标。</w:t>
      </w:r>
      <w:r>
        <w:rPr>
          <w:rFonts w:hint="eastAsia" w:ascii="仿宋" w:hAnsi="仿宋" w:eastAsia="仿宋"/>
          <w:bCs/>
          <w:color w:val="auto"/>
          <w:szCs w:val="21"/>
        </w:rPr>
        <w:t>（解密异常情况处理：详见本章29.4 电子交易活动的中止。</w:t>
      </w:r>
    </w:p>
    <w:p w14:paraId="120156F5">
      <w:pPr>
        <w:autoSpaceDE w:val="0"/>
        <w:autoSpaceDN w:val="0"/>
        <w:adjustRightInd w:val="0"/>
        <w:spacing w:line="440" w:lineRule="exact"/>
        <w:ind w:firstLine="420" w:firstLineChars="200"/>
        <w:rPr>
          <w:rFonts w:hint="eastAsia" w:ascii="仿宋" w:hAnsi="仿宋" w:eastAsia="仿宋"/>
          <w:bCs/>
          <w:color w:val="auto"/>
          <w:szCs w:val="21"/>
        </w:rPr>
      </w:pPr>
      <w:r>
        <w:rPr>
          <w:rFonts w:hint="eastAsia" w:ascii="仿宋" w:hAnsi="仿宋" w:eastAsia="仿宋"/>
          <w:bCs/>
          <w:color w:val="auto"/>
          <w:szCs w:val="21"/>
        </w:rPr>
        <w:t>（2）电子唱标。投标文件解密结束，各投标供应商报价均在广西政采云平台远程不见面开标大厅展示；</w:t>
      </w:r>
    </w:p>
    <w:p w14:paraId="63E77E04">
      <w:pPr>
        <w:autoSpaceDE w:val="0"/>
        <w:autoSpaceDN w:val="0"/>
        <w:adjustRightInd w:val="0"/>
        <w:spacing w:line="440" w:lineRule="exact"/>
        <w:ind w:firstLine="420" w:firstLineChars="200"/>
        <w:rPr>
          <w:rFonts w:hint="eastAsia" w:ascii="仿宋" w:hAnsi="仿宋" w:eastAsia="仿宋"/>
          <w:bCs/>
          <w:color w:val="auto"/>
          <w:szCs w:val="21"/>
        </w:rPr>
      </w:pPr>
      <w:r>
        <w:rPr>
          <w:rFonts w:hint="eastAsia" w:ascii="仿宋" w:hAnsi="仿宋" w:eastAsia="仿宋"/>
          <w:bCs/>
          <w:color w:val="auto"/>
          <w:szCs w:val="21"/>
        </w:rPr>
        <w:t>（3）签署电子《政府采购活动现场确认声明书》。通过邮件形式在远程不见面开标大厅发送各投标人签署电子《政府采购活动现场确认声明书》。</w:t>
      </w:r>
    </w:p>
    <w:p w14:paraId="6126C694">
      <w:pPr>
        <w:autoSpaceDE w:val="0"/>
        <w:autoSpaceDN w:val="0"/>
        <w:adjustRightInd w:val="0"/>
        <w:spacing w:line="440" w:lineRule="exact"/>
        <w:ind w:firstLine="420" w:firstLineChars="200"/>
        <w:rPr>
          <w:rFonts w:hint="eastAsia" w:ascii="仿宋" w:hAnsi="仿宋" w:eastAsia="仿宋"/>
          <w:bCs/>
          <w:color w:val="auto"/>
          <w:szCs w:val="21"/>
        </w:rPr>
      </w:pPr>
      <w:r>
        <w:rPr>
          <w:rFonts w:hint="eastAsia" w:ascii="仿宋" w:hAnsi="仿宋" w:eastAsia="仿宋"/>
          <w:bCs/>
          <w:color w:val="auto"/>
          <w:szCs w:val="21"/>
        </w:rPr>
        <w:t>（4）开标过程由采购代理机构如实记录，并电子留痕，由参加电子开标的各投标人代表对电子开标记录在开标记录公布后15分钟内进行当场校核及勘误，并线上确认，未确认的视同认可开标结果。</w:t>
      </w:r>
    </w:p>
    <w:p w14:paraId="2510D3DC">
      <w:pPr>
        <w:autoSpaceDE w:val="0"/>
        <w:autoSpaceDN w:val="0"/>
        <w:adjustRightInd w:val="0"/>
        <w:spacing w:line="440" w:lineRule="exact"/>
        <w:ind w:firstLine="420" w:firstLineChars="200"/>
        <w:rPr>
          <w:rFonts w:hint="eastAsia" w:ascii="仿宋" w:hAnsi="仿宋" w:eastAsia="仿宋"/>
          <w:bCs/>
          <w:color w:val="auto"/>
          <w:szCs w:val="21"/>
        </w:rPr>
      </w:pPr>
      <w:r>
        <w:rPr>
          <w:rFonts w:hint="eastAsia" w:ascii="仿宋" w:hAnsi="仿宋" w:eastAsia="仿宋"/>
          <w:bCs/>
          <w:color w:val="auto"/>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00CC66EA">
      <w:pPr>
        <w:autoSpaceDE w:val="0"/>
        <w:autoSpaceDN w:val="0"/>
        <w:adjustRightInd w:val="0"/>
        <w:spacing w:line="440" w:lineRule="exact"/>
        <w:ind w:firstLine="420" w:firstLineChars="200"/>
        <w:rPr>
          <w:rFonts w:ascii="仿宋" w:hAnsi="仿宋" w:eastAsia="仿宋"/>
          <w:bCs/>
          <w:color w:val="auto"/>
          <w:szCs w:val="21"/>
        </w:rPr>
      </w:pPr>
      <w:r>
        <w:rPr>
          <w:rFonts w:hint="eastAsia" w:ascii="仿宋" w:hAnsi="仿宋" w:eastAsia="仿宋"/>
          <w:bCs/>
          <w:color w:val="auto"/>
          <w:szCs w:val="21"/>
        </w:rPr>
        <w:t>（6）开标结束。</w:t>
      </w:r>
    </w:p>
    <w:p w14:paraId="22548986">
      <w:pPr>
        <w:autoSpaceDE w:val="0"/>
        <w:autoSpaceDN w:val="0"/>
        <w:adjustRightInd w:val="0"/>
        <w:spacing w:line="440" w:lineRule="exact"/>
        <w:ind w:firstLine="422" w:firstLineChars="200"/>
        <w:rPr>
          <w:rFonts w:ascii="仿宋" w:hAnsi="仿宋" w:eastAsia="仿宋"/>
          <w:b/>
          <w:bCs/>
          <w:color w:val="auto"/>
          <w:szCs w:val="21"/>
        </w:rPr>
      </w:pPr>
      <w:r>
        <w:rPr>
          <w:rFonts w:hint="eastAsia" w:ascii="仿宋" w:hAnsi="仿宋" w:eastAsia="仿宋"/>
          <w:b/>
          <w:bCs/>
          <w:color w:val="auto"/>
          <w:szCs w:val="21"/>
        </w:rPr>
        <w:t>特别说明：如遇广西政采云平台电子化开标或评审程序调整的，按调整后执行。</w:t>
      </w:r>
    </w:p>
    <w:p w14:paraId="27E9EBCD">
      <w:pPr>
        <w:pStyle w:val="24"/>
        <w:snapToGrid w:val="0"/>
        <w:spacing w:line="360" w:lineRule="auto"/>
        <w:ind w:left="689" w:leftChars="228" w:hanging="210" w:hangingChars="100"/>
        <w:rPr>
          <w:rFonts w:hint="eastAsia" w:ascii="仿宋" w:hAnsi="仿宋" w:eastAsia="仿宋"/>
          <w:color w:val="auto"/>
          <w:sz w:val="21"/>
        </w:rPr>
      </w:pPr>
    </w:p>
    <w:p w14:paraId="61A5D722">
      <w:pPr>
        <w:pStyle w:val="4"/>
        <w:keepNext w:val="0"/>
        <w:keepLines w:val="0"/>
        <w:jc w:val="center"/>
        <w:rPr>
          <w:rFonts w:hint="eastAsia" w:ascii="仿宋" w:hAnsi="仿宋" w:eastAsia="仿宋"/>
          <w:color w:val="auto"/>
        </w:rPr>
      </w:pPr>
      <w:r>
        <w:rPr>
          <w:rFonts w:hint="eastAsia" w:ascii="仿宋" w:hAnsi="仿宋" w:eastAsia="仿宋"/>
          <w:color w:val="auto"/>
        </w:rPr>
        <w:t>五、资格审查</w:t>
      </w:r>
    </w:p>
    <w:p w14:paraId="31CC1BF0">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25.资格审查</w:t>
      </w:r>
    </w:p>
    <w:p w14:paraId="77F6A0CE">
      <w:pPr>
        <w:pStyle w:val="6"/>
        <w:keepNext w:val="0"/>
        <w:keepLines w:val="0"/>
        <w:spacing w:before="0" w:after="0" w:line="360" w:lineRule="auto"/>
        <w:ind w:firstLine="315" w:firstLineChars="150"/>
        <w:rPr>
          <w:rFonts w:hint="eastAsia" w:ascii="仿宋" w:hAnsi="仿宋" w:eastAsia="仿宋"/>
          <w:b w:val="0"/>
          <w:color w:val="auto"/>
          <w:sz w:val="21"/>
          <w:szCs w:val="21"/>
        </w:rPr>
      </w:pPr>
      <w:r>
        <w:rPr>
          <w:rFonts w:hint="eastAsia" w:ascii="仿宋" w:hAnsi="仿宋" w:eastAsia="仿宋"/>
          <w:b w:val="0"/>
          <w:color w:val="auto"/>
          <w:sz w:val="21"/>
          <w:szCs w:val="21"/>
        </w:rPr>
        <w:t xml:space="preserve"> 25.1</w:t>
      </w:r>
      <w:r>
        <w:rPr>
          <w:rFonts w:ascii="仿宋" w:hAnsi="仿宋" w:eastAsia="仿宋"/>
          <w:b w:val="0"/>
          <w:color w:val="auto"/>
          <w:sz w:val="21"/>
          <w:szCs w:val="21"/>
        </w:rPr>
        <w:t>开标结束后，</w:t>
      </w:r>
      <w:r>
        <w:rPr>
          <w:rFonts w:hint="eastAsia" w:ascii="仿宋" w:hAnsi="仿宋" w:eastAsia="仿宋"/>
          <w:b w:val="0"/>
          <w:color w:val="auto"/>
          <w:sz w:val="21"/>
          <w:szCs w:val="21"/>
        </w:rPr>
        <w:t>采购人或者采购代理机构</w:t>
      </w:r>
      <w:r>
        <w:rPr>
          <w:rFonts w:ascii="仿宋" w:hAnsi="仿宋" w:eastAsia="仿宋"/>
          <w:b w:val="0"/>
          <w:color w:val="auto"/>
          <w:sz w:val="21"/>
          <w:szCs w:val="21"/>
        </w:rPr>
        <w:t>依法对投标人的资格进行审查。</w:t>
      </w:r>
    </w:p>
    <w:p w14:paraId="04E1BBFD">
      <w:pPr>
        <w:pStyle w:val="6"/>
        <w:keepNext w:val="0"/>
        <w:keepLines w:val="0"/>
        <w:spacing w:before="0" w:after="0" w:line="360" w:lineRule="auto"/>
        <w:ind w:firstLine="315" w:firstLineChars="150"/>
        <w:rPr>
          <w:rFonts w:hint="eastAsia" w:ascii="仿宋" w:hAnsi="仿宋" w:eastAsia="仿宋"/>
          <w:b w:val="0"/>
          <w:color w:val="auto"/>
          <w:sz w:val="21"/>
          <w:szCs w:val="21"/>
        </w:rPr>
      </w:pPr>
      <w:r>
        <w:rPr>
          <w:rFonts w:hint="eastAsia" w:ascii="仿宋" w:hAnsi="仿宋" w:eastAsia="仿宋"/>
          <w:b w:val="0"/>
          <w:color w:val="auto"/>
          <w:sz w:val="21"/>
          <w:szCs w:val="21"/>
        </w:rPr>
        <w:t xml:space="preserve"> 25.2资格审查标准为本招标文件中载明对投标人资格要求的条件。本项目资格审查采用合格制，凡符合招标文件规定的投标人资格要求的投标人均通过资格审查。</w:t>
      </w:r>
    </w:p>
    <w:p w14:paraId="1D66BF47">
      <w:pPr>
        <w:pStyle w:val="6"/>
        <w:keepNext w:val="0"/>
        <w:keepLines w:val="0"/>
        <w:numPr>
          <w:ilvl w:val="0"/>
          <w:numId w:val="0"/>
        </w:numPr>
        <w:spacing w:before="0" w:after="0" w:line="360" w:lineRule="auto"/>
        <w:ind w:firstLine="422" w:firstLineChars="200"/>
        <w:rPr>
          <w:rFonts w:hint="eastAsia" w:ascii="仿宋" w:hAnsi="仿宋" w:eastAsia="仿宋"/>
          <w:color w:val="auto"/>
          <w:sz w:val="21"/>
          <w:szCs w:val="21"/>
        </w:rPr>
      </w:pPr>
      <w:bookmarkStart w:id="117" w:name="_25.3_投标人有下列情形之一的，资格审查不通过而导致其投标无效："/>
      <w:bookmarkEnd w:id="117"/>
      <w:r>
        <w:rPr>
          <w:rFonts w:hint="eastAsia" w:ascii="仿宋" w:hAnsi="仿宋" w:eastAsia="仿宋"/>
          <w:color w:val="auto"/>
          <w:sz w:val="21"/>
          <w:szCs w:val="21"/>
        </w:rPr>
        <w:t>25.3 投标人有下列情形之一的，资格审查不通过，作无效投标处理：</w:t>
      </w:r>
    </w:p>
    <w:p w14:paraId="75856CED">
      <w:pPr>
        <w:pStyle w:val="24"/>
        <w:snapToGrid w:val="0"/>
        <w:spacing w:line="360" w:lineRule="auto"/>
        <w:ind w:firstLine="422" w:firstLineChars="200"/>
        <w:rPr>
          <w:rFonts w:hint="eastAsia" w:ascii="仿宋" w:hAnsi="仿宋" w:eastAsia="仿宋"/>
          <w:b/>
          <w:color w:val="auto"/>
          <w:sz w:val="21"/>
        </w:rPr>
      </w:pPr>
      <w:r>
        <w:rPr>
          <w:rFonts w:hint="eastAsia" w:ascii="仿宋" w:hAnsi="仿宋" w:eastAsia="仿宋"/>
          <w:b/>
          <w:color w:val="auto"/>
          <w:sz w:val="21"/>
        </w:rPr>
        <w:t>（1）未按招标文件规定的方式获取本招标文件的投标人；</w:t>
      </w:r>
    </w:p>
    <w:p w14:paraId="66F08295">
      <w:pPr>
        <w:pStyle w:val="24"/>
        <w:snapToGrid w:val="0"/>
        <w:spacing w:line="360" w:lineRule="auto"/>
        <w:ind w:firstLine="422" w:firstLineChars="200"/>
        <w:rPr>
          <w:rFonts w:ascii="仿宋" w:hAnsi="仿宋" w:eastAsia="仿宋"/>
          <w:b/>
          <w:color w:val="auto"/>
          <w:sz w:val="21"/>
        </w:rPr>
      </w:pPr>
      <w:r>
        <w:rPr>
          <w:rFonts w:hint="eastAsia" w:ascii="仿宋" w:hAnsi="仿宋" w:eastAsia="仿宋"/>
          <w:b/>
          <w:color w:val="auto"/>
          <w:sz w:val="21"/>
        </w:rPr>
        <w:t>（2）不具备招标文件中</w:t>
      </w:r>
      <w:r>
        <w:rPr>
          <w:rFonts w:hint="eastAsia" w:ascii="仿宋" w:hAnsi="仿宋" w:eastAsia="仿宋"/>
          <w:b/>
          <w:color w:val="auto"/>
          <w:sz w:val="21"/>
          <w:lang w:eastAsia="zh-CN"/>
        </w:rPr>
        <w:t>资格证明文件</w:t>
      </w:r>
      <w:r>
        <w:rPr>
          <w:rFonts w:hint="eastAsia" w:ascii="仿宋" w:hAnsi="仿宋" w:eastAsia="仿宋"/>
          <w:b/>
          <w:color w:val="auto"/>
          <w:sz w:val="21"/>
        </w:rPr>
        <w:t>规定的要求的；</w:t>
      </w:r>
    </w:p>
    <w:p w14:paraId="1BCDA2C3">
      <w:pPr>
        <w:pStyle w:val="24"/>
        <w:snapToGrid w:val="0"/>
        <w:spacing w:line="360" w:lineRule="auto"/>
        <w:ind w:firstLine="422" w:firstLineChars="200"/>
        <w:rPr>
          <w:rFonts w:ascii="仿宋" w:hAnsi="仿宋" w:eastAsia="仿宋"/>
          <w:b/>
          <w:color w:val="auto"/>
          <w:sz w:val="21"/>
        </w:rPr>
      </w:pPr>
      <w:r>
        <w:rPr>
          <w:rFonts w:hint="eastAsia" w:ascii="仿宋" w:hAnsi="仿宋" w:eastAsia="仿宋"/>
          <w:b/>
          <w:color w:val="auto"/>
          <w:sz w:val="21"/>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7DE4F7BE">
      <w:pPr>
        <w:pStyle w:val="24"/>
        <w:snapToGrid w:val="0"/>
        <w:spacing w:line="360" w:lineRule="auto"/>
        <w:ind w:firstLine="422" w:firstLineChars="200"/>
        <w:rPr>
          <w:rFonts w:hint="eastAsia" w:ascii="仿宋" w:hAnsi="仿宋" w:eastAsia="仿宋"/>
          <w:b/>
          <w:color w:val="auto"/>
          <w:sz w:val="21"/>
        </w:rPr>
      </w:pPr>
      <w:r>
        <w:rPr>
          <w:rFonts w:hint="eastAsia" w:ascii="仿宋" w:hAnsi="仿宋" w:eastAsia="仿宋"/>
          <w:b/>
          <w:color w:val="auto"/>
          <w:sz w:val="21"/>
        </w:rPr>
        <w:t>（4）同一合同项下的不同投标人，单位负责人为同一人或者存在直接控股、管理关系的；为本项目提供过整体设计、规范编制或者项目管理、监理、检测等服务的供应商，再参加该采购项目的其他采购活动的；</w:t>
      </w:r>
    </w:p>
    <w:p w14:paraId="3B868B01">
      <w:pPr>
        <w:pStyle w:val="24"/>
        <w:snapToGrid w:val="0"/>
        <w:spacing w:line="360" w:lineRule="auto"/>
        <w:ind w:firstLine="422" w:firstLineChars="200"/>
        <w:rPr>
          <w:rFonts w:hint="eastAsia" w:ascii="仿宋" w:hAnsi="仿宋" w:eastAsia="仿宋"/>
          <w:b/>
          <w:color w:val="auto"/>
          <w:sz w:val="21"/>
        </w:rPr>
      </w:pPr>
      <w:r>
        <w:rPr>
          <w:rFonts w:hint="eastAsia" w:ascii="仿宋" w:hAnsi="仿宋" w:eastAsia="仿宋"/>
          <w:b/>
          <w:color w:val="auto"/>
          <w:sz w:val="21"/>
        </w:rPr>
        <w:t>（</w:t>
      </w:r>
      <w:r>
        <w:rPr>
          <w:rFonts w:ascii="仿宋" w:hAnsi="仿宋" w:eastAsia="仿宋"/>
          <w:b/>
          <w:color w:val="auto"/>
          <w:sz w:val="21"/>
        </w:rPr>
        <w:t>5</w:t>
      </w:r>
      <w:r>
        <w:rPr>
          <w:rFonts w:hint="eastAsia" w:ascii="仿宋" w:hAnsi="仿宋" w:eastAsia="仿宋"/>
          <w:b/>
          <w:color w:val="auto"/>
          <w:sz w:val="21"/>
        </w:rPr>
        <w:t>）投标文件中的资格证明文件缺少任一项“投标人须知前附表”资格证明文件规定“必须提供”的文件资料的；</w:t>
      </w:r>
    </w:p>
    <w:p w14:paraId="6A7A9983">
      <w:pPr>
        <w:pStyle w:val="24"/>
        <w:snapToGrid w:val="0"/>
        <w:spacing w:line="360" w:lineRule="auto"/>
        <w:ind w:firstLine="422" w:firstLineChars="200"/>
        <w:rPr>
          <w:rFonts w:hint="eastAsia" w:ascii="仿宋" w:hAnsi="仿宋" w:eastAsia="仿宋"/>
          <w:b/>
          <w:color w:val="auto"/>
          <w:sz w:val="21"/>
        </w:rPr>
      </w:pPr>
      <w:r>
        <w:rPr>
          <w:rFonts w:hint="eastAsia" w:ascii="仿宋" w:hAnsi="仿宋" w:eastAsia="仿宋"/>
          <w:b/>
          <w:color w:val="auto"/>
          <w:sz w:val="21"/>
        </w:rPr>
        <w:t>（</w:t>
      </w:r>
      <w:r>
        <w:rPr>
          <w:rFonts w:ascii="仿宋" w:hAnsi="仿宋" w:eastAsia="仿宋"/>
          <w:b/>
          <w:color w:val="auto"/>
          <w:sz w:val="21"/>
        </w:rPr>
        <w:t>6</w:t>
      </w:r>
      <w:r>
        <w:rPr>
          <w:rFonts w:hint="eastAsia" w:ascii="仿宋" w:hAnsi="仿宋" w:eastAsia="仿宋"/>
          <w:b/>
          <w:color w:val="auto"/>
          <w:sz w:val="21"/>
        </w:rPr>
        <w:t>）投标文件中的资格证明文件出现任一项不符合“投标人须知前附表”资格证明文件规定“必须提供”的文件资料要求或者无效的。</w:t>
      </w:r>
    </w:p>
    <w:p w14:paraId="0AA8E296">
      <w:pPr>
        <w:pStyle w:val="6"/>
        <w:keepNext w:val="0"/>
        <w:keepLines w:val="0"/>
        <w:spacing w:before="0" w:after="0" w:line="360" w:lineRule="auto"/>
        <w:ind w:left="420" w:leftChars="200"/>
        <w:rPr>
          <w:rFonts w:hint="eastAsia" w:ascii="仿宋" w:hAnsi="仿宋" w:eastAsia="仿宋"/>
          <w:b w:val="0"/>
          <w:color w:val="auto"/>
          <w:sz w:val="21"/>
          <w:szCs w:val="21"/>
        </w:rPr>
      </w:pPr>
      <w:r>
        <w:rPr>
          <w:rFonts w:hint="eastAsia" w:ascii="仿宋" w:hAnsi="仿宋" w:eastAsia="仿宋"/>
          <w:color w:val="auto"/>
          <w:sz w:val="21"/>
          <w:szCs w:val="21"/>
        </w:rPr>
        <w:t>25.4</w:t>
      </w:r>
      <w:r>
        <w:rPr>
          <w:rFonts w:ascii="仿宋" w:hAnsi="仿宋" w:eastAsia="仿宋"/>
          <w:color w:val="auto"/>
          <w:sz w:val="21"/>
          <w:szCs w:val="21"/>
        </w:rPr>
        <w:t>合格投标人不足3家的，不得评标。</w:t>
      </w:r>
    </w:p>
    <w:p w14:paraId="25567619">
      <w:pPr>
        <w:pStyle w:val="24"/>
        <w:snapToGrid w:val="0"/>
        <w:spacing w:line="360" w:lineRule="auto"/>
        <w:ind w:left="689" w:leftChars="228" w:hanging="210" w:hangingChars="100"/>
        <w:rPr>
          <w:rFonts w:hint="eastAsia" w:ascii="仿宋" w:hAnsi="仿宋" w:eastAsia="仿宋"/>
          <w:color w:val="auto"/>
          <w:sz w:val="21"/>
        </w:rPr>
      </w:pPr>
    </w:p>
    <w:p w14:paraId="7F532DFA">
      <w:pPr>
        <w:pStyle w:val="4"/>
        <w:keepNext w:val="0"/>
        <w:keepLines w:val="0"/>
        <w:jc w:val="center"/>
        <w:rPr>
          <w:rFonts w:hint="eastAsia" w:ascii="仿宋" w:hAnsi="仿宋" w:eastAsia="仿宋"/>
          <w:color w:val="auto"/>
        </w:rPr>
      </w:pPr>
      <w:r>
        <w:rPr>
          <w:rFonts w:hint="eastAsia" w:ascii="仿宋" w:hAnsi="仿宋" w:eastAsia="仿宋"/>
          <w:color w:val="auto"/>
        </w:rPr>
        <w:t>六、评   标</w:t>
      </w:r>
    </w:p>
    <w:p w14:paraId="31E03390">
      <w:pPr>
        <w:pStyle w:val="6"/>
        <w:keepNext w:val="0"/>
        <w:keepLines w:val="0"/>
        <w:spacing w:before="0" w:after="0" w:line="360" w:lineRule="auto"/>
        <w:ind w:left="420" w:leftChars="200"/>
        <w:rPr>
          <w:rFonts w:hint="eastAsia" w:ascii="仿宋" w:hAnsi="仿宋" w:eastAsia="仿宋"/>
          <w:color w:val="auto"/>
          <w:sz w:val="24"/>
        </w:rPr>
      </w:pPr>
      <w:bookmarkStart w:id="118" w:name="_26.组建评标委员会"/>
      <w:bookmarkEnd w:id="118"/>
      <w:r>
        <w:rPr>
          <w:rFonts w:hint="eastAsia" w:ascii="仿宋" w:hAnsi="仿宋" w:eastAsia="仿宋"/>
          <w:color w:val="auto"/>
          <w:sz w:val="24"/>
        </w:rPr>
        <w:t>26.组建评标委员会</w:t>
      </w:r>
    </w:p>
    <w:p w14:paraId="6A351F48">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评标委员会由采购人代表和评审专家组成，具体人数详见“投标人须知前附表”，其中评审专家不得少于成员总数的三分之二。</w:t>
      </w:r>
    </w:p>
    <w:p w14:paraId="1757B4AE">
      <w:pPr>
        <w:pStyle w:val="24"/>
        <w:snapToGrid w:val="0"/>
        <w:spacing w:line="360" w:lineRule="auto"/>
        <w:ind w:left="2" w:leftChars="1" w:firstLine="420" w:firstLineChars="200"/>
        <w:rPr>
          <w:rFonts w:hint="eastAsia" w:ascii="仿宋" w:hAnsi="仿宋" w:eastAsia="仿宋"/>
          <w:color w:val="auto"/>
          <w:sz w:val="21"/>
        </w:rPr>
      </w:pPr>
      <w:r>
        <w:rPr>
          <w:rFonts w:hint="eastAsia" w:ascii="仿宋" w:hAnsi="仿宋" w:eastAsia="仿宋"/>
          <w:color w:val="auto"/>
          <w:sz w:val="21"/>
        </w:rPr>
        <w:t>参加过采购项目前期咨询论证的专家，不得参加该采购项目的评审活动。</w:t>
      </w:r>
    </w:p>
    <w:p w14:paraId="7B2D34CD">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27.评标的依据</w:t>
      </w:r>
    </w:p>
    <w:p w14:paraId="00862076">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评标委员会以</w:t>
      </w:r>
      <w:r>
        <w:rPr>
          <w:rFonts w:hint="eastAsia" w:ascii="仿宋" w:hAnsi="仿宋" w:eastAsia="仿宋" w:cs="宋体"/>
          <w:color w:val="auto"/>
          <w:sz w:val="21"/>
        </w:rPr>
        <w:t>“第四章 评标方法和评标标准”</w:t>
      </w:r>
      <w:r>
        <w:rPr>
          <w:rFonts w:hint="eastAsia" w:ascii="仿宋" w:hAnsi="仿宋" w:eastAsia="仿宋"/>
          <w:color w:val="auto"/>
          <w:sz w:val="21"/>
        </w:rPr>
        <w:t>为依据对投标文件进行评审，</w:t>
      </w:r>
      <w:r>
        <w:rPr>
          <w:rFonts w:ascii="仿宋" w:hAnsi="仿宋" w:eastAsia="仿宋"/>
          <w:color w:val="auto"/>
          <w:sz w:val="21"/>
        </w:rPr>
        <w:t>没有规定的方法、评审因素和标准，不作为评标依据。</w:t>
      </w:r>
    </w:p>
    <w:p w14:paraId="14960463">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28.评标原则</w:t>
      </w:r>
    </w:p>
    <w:p w14:paraId="32BF3FC5">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63E6AD0C">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28.2</w:t>
      </w:r>
      <w:bookmarkStart w:id="119" w:name="_28.3评标方法。本项目将按须知前附表规定的评标办法进行评标，具体评标"/>
      <w:bookmarkEnd w:id="119"/>
      <w:r>
        <w:rPr>
          <w:rFonts w:hint="eastAsia" w:ascii="仿宋" w:hAnsi="仿宋" w:eastAsia="仿宋"/>
          <w:color w:val="auto"/>
          <w:sz w:val="21"/>
        </w:rPr>
        <w:t>评委表决。评标委员会成员对需要共同认定的事项存在争议的，应当按照少数服从多数的原则作出结论。</w:t>
      </w:r>
    </w:p>
    <w:p w14:paraId="49DEF8AB">
      <w:pPr>
        <w:pStyle w:val="24"/>
        <w:snapToGrid w:val="0"/>
        <w:spacing w:line="360" w:lineRule="auto"/>
        <w:ind w:firstLine="420" w:firstLineChars="200"/>
        <w:rPr>
          <w:rFonts w:ascii="仿宋" w:hAnsi="仿宋" w:eastAsia="仿宋"/>
          <w:color w:val="auto"/>
          <w:sz w:val="21"/>
        </w:rPr>
      </w:pPr>
      <w:r>
        <w:rPr>
          <w:rFonts w:hint="eastAsia" w:ascii="仿宋" w:hAnsi="仿宋" w:eastAsia="仿宋"/>
          <w:color w:val="auto"/>
          <w:sz w:val="21"/>
        </w:rPr>
        <w:t>28.</w:t>
      </w:r>
      <w:r>
        <w:rPr>
          <w:rFonts w:ascii="仿宋" w:hAnsi="仿宋" w:eastAsia="仿宋"/>
          <w:color w:val="auto"/>
          <w:sz w:val="21"/>
        </w:rPr>
        <w:t>3</w:t>
      </w:r>
      <w:r>
        <w:rPr>
          <w:rFonts w:hint="eastAsia" w:ascii="仿宋" w:hAnsi="仿宋" w:eastAsia="仿宋"/>
          <w:color w:val="auto"/>
          <w:sz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5AB1860E">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2</w:t>
      </w:r>
      <w:r>
        <w:rPr>
          <w:rFonts w:ascii="仿宋" w:hAnsi="仿宋" w:eastAsia="仿宋"/>
          <w:color w:val="auto"/>
          <w:sz w:val="21"/>
        </w:rPr>
        <w:t>8.4</w:t>
      </w:r>
      <w:r>
        <w:rPr>
          <w:rFonts w:hint="eastAsia" w:ascii="仿宋" w:hAnsi="仿宋" w:eastAsia="仿宋"/>
          <w:color w:val="auto"/>
          <w:sz w:val="21"/>
        </w:rPr>
        <w:t>评标过程的监控。本项目评标过程实行全程录音、录像监控，</w:t>
      </w:r>
      <w:r>
        <w:rPr>
          <w:rFonts w:hint="eastAsia" w:ascii="仿宋" w:hAnsi="仿宋" w:eastAsia="仿宋"/>
          <w:b/>
          <w:bCs/>
          <w:color w:val="auto"/>
          <w:sz w:val="21"/>
        </w:rPr>
        <w:t>投标人在评标过程中所进行的试图影响评标结果的不公正活动，可能导致其投标无效</w:t>
      </w:r>
      <w:r>
        <w:rPr>
          <w:rFonts w:hint="eastAsia" w:ascii="仿宋" w:hAnsi="仿宋" w:eastAsia="仿宋"/>
          <w:color w:val="auto"/>
          <w:sz w:val="21"/>
        </w:rPr>
        <w:t>。</w:t>
      </w:r>
    </w:p>
    <w:p w14:paraId="53F3B8DD">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29.评标方法及中标候选人推荐</w:t>
      </w:r>
    </w:p>
    <w:p w14:paraId="40C8F9B3">
      <w:pPr>
        <w:pStyle w:val="24"/>
        <w:snapToGrid w:val="0"/>
        <w:spacing w:line="360" w:lineRule="auto"/>
        <w:ind w:firstLine="420" w:firstLineChars="200"/>
        <w:rPr>
          <w:rFonts w:ascii="仿宋" w:hAnsi="仿宋" w:eastAsia="仿宋"/>
          <w:color w:val="auto"/>
          <w:sz w:val="21"/>
        </w:rPr>
      </w:pPr>
      <w:r>
        <w:rPr>
          <w:rFonts w:hint="eastAsia" w:ascii="仿宋" w:hAnsi="仿宋" w:eastAsia="仿宋"/>
          <w:color w:val="auto"/>
          <w:sz w:val="21"/>
        </w:rPr>
        <w:t>2</w:t>
      </w:r>
      <w:r>
        <w:rPr>
          <w:rFonts w:ascii="仿宋" w:hAnsi="仿宋" w:eastAsia="仿宋"/>
          <w:color w:val="auto"/>
          <w:sz w:val="21"/>
        </w:rPr>
        <w:t>9.1</w:t>
      </w:r>
      <w:r>
        <w:rPr>
          <w:rFonts w:hint="eastAsia" w:ascii="仿宋" w:hAnsi="仿宋" w:eastAsia="仿宋"/>
          <w:color w:val="auto"/>
          <w:sz w:val="21"/>
        </w:rPr>
        <w:t>本项目的评标方法详见“投标人须知前附表”。</w:t>
      </w:r>
    </w:p>
    <w:p w14:paraId="04D7AC4C">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2</w:t>
      </w:r>
      <w:r>
        <w:rPr>
          <w:rFonts w:ascii="仿宋" w:hAnsi="仿宋" w:eastAsia="仿宋"/>
          <w:color w:val="auto"/>
          <w:sz w:val="21"/>
        </w:rPr>
        <w:t>9.2</w:t>
      </w:r>
      <w:r>
        <w:rPr>
          <w:rFonts w:ascii="仿宋" w:hAnsi="仿宋" w:eastAsia="仿宋" w:cs="宋体"/>
          <w:color w:val="auto"/>
          <w:sz w:val="21"/>
        </w:rPr>
        <w:t xml:space="preserve"> </w:t>
      </w:r>
      <w:r>
        <w:rPr>
          <w:rFonts w:ascii="仿宋" w:hAnsi="仿宋" w:eastAsia="仿宋"/>
          <w:color w:val="auto"/>
          <w:sz w:val="21"/>
        </w:rPr>
        <w:t>中标候选人推荐数量详见</w:t>
      </w:r>
      <w:r>
        <w:rPr>
          <w:rFonts w:hint="eastAsia" w:ascii="仿宋" w:hAnsi="仿宋" w:eastAsia="仿宋"/>
          <w:color w:val="auto"/>
          <w:sz w:val="21"/>
        </w:rPr>
        <w:t>“投标人须知前附表”。</w:t>
      </w:r>
    </w:p>
    <w:p w14:paraId="6AB8CD70">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2</w:t>
      </w:r>
      <w:r>
        <w:rPr>
          <w:rFonts w:ascii="仿宋" w:hAnsi="仿宋" w:eastAsia="仿宋"/>
          <w:color w:val="auto"/>
          <w:sz w:val="21"/>
        </w:rPr>
        <w:t>9.</w:t>
      </w:r>
      <w:r>
        <w:rPr>
          <w:rFonts w:hint="eastAsia" w:ascii="仿宋" w:hAnsi="仿宋" w:eastAsia="仿宋"/>
          <w:color w:val="auto"/>
          <w:sz w:val="21"/>
        </w:rPr>
        <w:t>3</w:t>
      </w:r>
      <w:r>
        <w:rPr>
          <w:rFonts w:ascii="仿宋" w:hAnsi="仿宋" w:eastAsia="仿宋"/>
          <w:color w:val="auto"/>
          <w:sz w:val="21"/>
        </w:rPr>
        <w:t>评标委员会</w:t>
      </w:r>
      <w:r>
        <w:rPr>
          <w:rFonts w:hint="eastAsia" w:ascii="仿宋" w:hAnsi="仿宋" w:eastAsia="仿宋"/>
          <w:color w:val="auto"/>
          <w:sz w:val="21"/>
        </w:rPr>
        <w:t>将</w:t>
      </w:r>
      <w:r>
        <w:rPr>
          <w:rFonts w:ascii="仿宋" w:hAnsi="仿宋" w:eastAsia="仿宋"/>
          <w:color w:val="auto"/>
          <w:sz w:val="21"/>
        </w:rPr>
        <w:t>按照</w:t>
      </w:r>
      <w:r>
        <w:rPr>
          <w:rFonts w:hint="eastAsia" w:ascii="仿宋" w:hAnsi="仿宋" w:eastAsia="仿宋"/>
          <w:color w:val="auto"/>
          <w:sz w:val="21"/>
        </w:rPr>
        <w:t>“第四章 评标方法和评标标准”</w:t>
      </w:r>
      <w:r>
        <w:rPr>
          <w:rFonts w:ascii="仿宋" w:hAnsi="仿宋" w:eastAsia="仿宋"/>
          <w:color w:val="auto"/>
          <w:sz w:val="21"/>
        </w:rPr>
        <w:t>规定的方法、评审因素、标准和程序对投标文件进行评审。</w:t>
      </w:r>
    </w:p>
    <w:p w14:paraId="6C501FCD">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29.4电子交易活动的中止。采购过程中出现以下情形，导致电子交易平台无法正常运行，或者无法保证电子交易的公平、公正和安全时，采购代理机构可中止电子交易活动：</w:t>
      </w:r>
    </w:p>
    <w:p w14:paraId="514B4CC3">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 xml:space="preserve">（1）电子交易平台发生故障而无法登录访问的； </w:t>
      </w:r>
    </w:p>
    <w:p w14:paraId="5F3F90C7">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（2）电子交易平台应用或数据库出现错误，不能进行正常操作的；</w:t>
      </w:r>
    </w:p>
    <w:p w14:paraId="3C5A4CF5">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（3）电子交易平台发现严重安全漏洞，有潜在泄密危险的；</w:t>
      </w:r>
    </w:p>
    <w:p w14:paraId="2FC2FE15">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 xml:space="preserve">（4）病毒发作导致不能进行正常操作的； </w:t>
      </w:r>
    </w:p>
    <w:p w14:paraId="2BCF3FBD">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（4）其他无法保证电子交易的公平、公正和安全的情况。</w:t>
      </w:r>
    </w:p>
    <w:p w14:paraId="432B1C14">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29.5出现以上情形，不影响采购公平、公正性的，采购代理机构可以待上述情形消除后继续组织电子交易活动；影响或可能影响采购公平、公正性的，经采购代理机构确认后，应当重新采购。</w:t>
      </w:r>
    </w:p>
    <w:p w14:paraId="12F41E02">
      <w:pPr>
        <w:pStyle w:val="24"/>
        <w:snapToGrid w:val="0"/>
        <w:spacing w:line="360" w:lineRule="auto"/>
        <w:rPr>
          <w:rFonts w:hint="eastAsia" w:ascii="仿宋" w:hAnsi="仿宋" w:eastAsia="仿宋"/>
          <w:color w:val="auto"/>
          <w:sz w:val="21"/>
        </w:rPr>
      </w:pPr>
    </w:p>
    <w:p w14:paraId="682601E8">
      <w:pPr>
        <w:pStyle w:val="4"/>
        <w:keepNext w:val="0"/>
        <w:keepLines w:val="0"/>
        <w:jc w:val="center"/>
        <w:rPr>
          <w:rFonts w:hint="eastAsia" w:ascii="仿宋" w:hAnsi="仿宋" w:eastAsia="仿宋"/>
          <w:color w:val="auto"/>
        </w:rPr>
      </w:pPr>
      <w:bookmarkStart w:id="120" w:name="_Toc254970687"/>
      <w:bookmarkStart w:id="121" w:name="_Toc254970546"/>
      <w:r>
        <w:rPr>
          <w:rFonts w:hint="eastAsia" w:ascii="仿宋" w:hAnsi="仿宋" w:eastAsia="仿宋"/>
          <w:color w:val="auto"/>
        </w:rPr>
        <w:t>七、</w:t>
      </w:r>
      <w:bookmarkEnd w:id="120"/>
      <w:bookmarkEnd w:id="121"/>
      <w:r>
        <w:rPr>
          <w:rFonts w:hint="eastAsia" w:ascii="仿宋" w:hAnsi="仿宋" w:eastAsia="仿宋"/>
          <w:color w:val="auto"/>
        </w:rPr>
        <w:t>中标和合同</w:t>
      </w:r>
    </w:p>
    <w:p w14:paraId="6F76D5AE">
      <w:pPr>
        <w:pStyle w:val="6"/>
        <w:keepNext w:val="0"/>
        <w:keepLines w:val="0"/>
        <w:spacing w:before="0" w:after="0" w:line="360" w:lineRule="auto"/>
        <w:ind w:left="420" w:leftChars="200"/>
        <w:rPr>
          <w:rFonts w:ascii="仿宋" w:hAnsi="仿宋" w:eastAsia="仿宋"/>
          <w:color w:val="auto"/>
          <w:sz w:val="24"/>
        </w:rPr>
      </w:pPr>
      <w:r>
        <w:rPr>
          <w:rFonts w:hint="eastAsia" w:ascii="仿宋" w:hAnsi="仿宋" w:eastAsia="仿宋"/>
          <w:color w:val="auto"/>
          <w:sz w:val="24"/>
        </w:rPr>
        <w:t>30</w:t>
      </w:r>
      <w:r>
        <w:rPr>
          <w:rFonts w:ascii="仿宋" w:hAnsi="仿宋" w:eastAsia="仿宋"/>
          <w:color w:val="auto"/>
          <w:sz w:val="24"/>
        </w:rPr>
        <w:t xml:space="preserve"> </w:t>
      </w:r>
      <w:r>
        <w:rPr>
          <w:rFonts w:hint="eastAsia" w:ascii="仿宋" w:hAnsi="仿宋" w:eastAsia="仿宋"/>
          <w:color w:val="auto"/>
          <w:sz w:val="24"/>
        </w:rPr>
        <w:t>确定中标人</w:t>
      </w:r>
    </w:p>
    <w:p w14:paraId="309A4863">
      <w:pPr>
        <w:pStyle w:val="6"/>
        <w:keepNext w:val="0"/>
        <w:keepLines w:val="0"/>
        <w:spacing w:before="0" w:after="0" w:line="360" w:lineRule="auto"/>
        <w:ind w:firstLine="420" w:firstLineChars="200"/>
        <w:rPr>
          <w:rFonts w:hint="eastAsia" w:ascii="仿宋" w:hAnsi="仿宋" w:eastAsia="仿宋"/>
          <w:b w:val="0"/>
          <w:color w:val="auto"/>
          <w:sz w:val="21"/>
          <w:szCs w:val="21"/>
        </w:rPr>
      </w:pPr>
      <w:r>
        <w:rPr>
          <w:rFonts w:ascii="仿宋" w:hAnsi="仿宋" w:eastAsia="仿宋"/>
          <w:b w:val="0"/>
          <w:color w:val="auto"/>
          <w:sz w:val="21"/>
          <w:szCs w:val="21"/>
        </w:rPr>
        <w:t>30.1</w:t>
      </w:r>
      <w:r>
        <w:rPr>
          <w:rFonts w:hint="eastAsia" w:ascii="仿宋" w:hAnsi="仿宋" w:eastAsia="仿宋"/>
          <w:b w:val="0"/>
          <w:color w:val="auto"/>
          <w:sz w:val="21"/>
          <w:szCs w:val="2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1718028A">
      <w:pPr>
        <w:snapToGrid w:val="0"/>
        <w:spacing w:line="360" w:lineRule="auto"/>
        <w:ind w:firstLine="420" w:firstLineChars="200"/>
        <w:rPr>
          <w:rFonts w:hint="eastAsia" w:ascii="仿宋" w:hAnsi="仿宋" w:eastAsia="仿宋" w:cs="Courier New"/>
          <w:color w:val="auto"/>
          <w:szCs w:val="21"/>
        </w:rPr>
      </w:pPr>
      <w:r>
        <w:rPr>
          <w:rFonts w:ascii="仿宋" w:hAnsi="仿宋" w:eastAsia="仿宋" w:cs="Courier New"/>
          <w:color w:val="auto"/>
          <w:szCs w:val="21"/>
        </w:rPr>
        <w:t>30.2</w:t>
      </w:r>
      <w:r>
        <w:rPr>
          <w:rFonts w:hint="eastAsia" w:ascii="仿宋" w:hAnsi="仿宋" w:eastAsia="仿宋" w:cs="Courier New"/>
          <w:color w:val="auto"/>
          <w:szCs w:val="21"/>
        </w:rPr>
        <w:t>采购人在收到评标报告5个工作日内未按评标报告推荐的中标候选人顺序确定中标人，又不能说明合法理由的，视同按评标报告推荐的顺序确定排名第一的中标候选人为中标人。</w:t>
      </w:r>
    </w:p>
    <w:p w14:paraId="395E1E5A">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30.3出现下列情形之一的，应予废标：</w:t>
      </w:r>
    </w:p>
    <w:p w14:paraId="78CA2FBA">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（1）符合专业条件的供应商或者对招标文件作实质响应的供应商不足三家的；</w:t>
      </w:r>
    </w:p>
    <w:p w14:paraId="1F077731">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（2）出现影响采购公正的违法、违规行为的；</w:t>
      </w:r>
    </w:p>
    <w:p w14:paraId="71BB01D8">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（3）投标人的报价均超过了采购预算，采购人不能支付的；</w:t>
      </w:r>
    </w:p>
    <w:p w14:paraId="59310967">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（4）因重大变故，采购任务取消的。</w:t>
      </w:r>
    </w:p>
    <w:p w14:paraId="36CB03BA">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废标后，采购人应当将废标理由通知所有投标人。</w:t>
      </w:r>
    </w:p>
    <w:p w14:paraId="2D404082">
      <w:pPr>
        <w:snapToGrid w:val="0"/>
        <w:spacing w:line="360" w:lineRule="auto"/>
        <w:ind w:firstLine="420" w:firstLineChars="200"/>
        <w:rPr>
          <w:rFonts w:hint="eastAsia" w:ascii="仿宋" w:hAnsi="仿宋" w:eastAsia="仿宋" w:cs="Courier New"/>
          <w:color w:val="auto"/>
          <w:szCs w:val="21"/>
        </w:rPr>
      </w:pPr>
      <w:r>
        <w:rPr>
          <w:rFonts w:ascii="仿宋" w:hAnsi="仿宋" w:eastAsia="仿宋" w:cs="Courier New"/>
          <w:color w:val="auto"/>
          <w:szCs w:val="21"/>
        </w:rPr>
        <w:t>30.</w:t>
      </w:r>
      <w:r>
        <w:rPr>
          <w:rFonts w:hint="eastAsia" w:ascii="仿宋" w:hAnsi="仿宋" w:eastAsia="仿宋" w:cs="Courier New"/>
          <w:color w:val="auto"/>
          <w:szCs w:val="21"/>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仿宋" w:hAnsi="仿宋" w:eastAsia="仿宋" w:cs="Courier New"/>
          <w:color w:val="auto"/>
          <w:szCs w:val="21"/>
        </w:rPr>
        <w:t>拒绝签订政府采购合同的</w:t>
      </w:r>
      <w:r>
        <w:rPr>
          <w:rFonts w:hint="eastAsia" w:ascii="仿宋" w:hAnsi="仿宋" w:eastAsia="仿宋" w:cs="Courier New"/>
          <w:color w:val="auto"/>
          <w:szCs w:val="21"/>
        </w:rPr>
        <w:t>中标人</w:t>
      </w:r>
      <w:r>
        <w:rPr>
          <w:rFonts w:ascii="仿宋" w:hAnsi="仿宋" w:eastAsia="仿宋" w:cs="Courier New"/>
          <w:color w:val="auto"/>
          <w:szCs w:val="21"/>
        </w:rPr>
        <w:t>不得参加对该项目重新开展的采购活动。</w:t>
      </w:r>
    </w:p>
    <w:p w14:paraId="7D0E3DCA">
      <w:pPr>
        <w:pStyle w:val="6"/>
        <w:keepNext w:val="0"/>
        <w:keepLines w:val="0"/>
        <w:spacing w:before="0" w:after="0" w:line="360" w:lineRule="auto"/>
        <w:ind w:left="420" w:leftChars="200"/>
        <w:rPr>
          <w:rFonts w:ascii="仿宋" w:hAnsi="仿宋" w:eastAsia="仿宋"/>
          <w:color w:val="auto"/>
          <w:sz w:val="24"/>
        </w:rPr>
      </w:pPr>
      <w:r>
        <w:rPr>
          <w:rFonts w:hint="eastAsia" w:ascii="仿宋" w:hAnsi="仿宋" w:eastAsia="仿宋"/>
          <w:color w:val="auto"/>
          <w:sz w:val="24"/>
        </w:rPr>
        <w:t>31. 结果公告</w:t>
      </w:r>
    </w:p>
    <w:p w14:paraId="1865E27A">
      <w:pPr>
        <w:pStyle w:val="6"/>
        <w:keepNext w:val="0"/>
        <w:keepLines w:val="0"/>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3</w:t>
      </w:r>
      <w:r>
        <w:rPr>
          <w:rFonts w:ascii="仿宋" w:hAnsi="仿宋" w:eastAsia="仿宋"/>
          <w:b w:val="0"/>
          <w:color w:val="auto"/>
          <w:sz w:val="21"/>
          <w:szCs w:val="21"/>
        </w:rPr>
        <w:t>1.1</w:t>
      </w:r>
      <w:r>
        <w:rPr>
          <w:rFonts w:hint="eastAsia" w:ascii="仿宋" w:hAnsi="仿宋" w:eastAsia="仿宋"/>
          <w:b w:val="0"/>
          <w:color w:val="auto"/>
          <w:sz w:val="21"/>
          <w:szCs w:val="21"/>
        </w:rPr>
        <w:t>采购人或者采购代理机构应当自中标人确定之日起2个工作日内，在省级以上财政部门指定的媒体上公告中标结果，招标文件应当随中标结果同时公告。</w:t>
      </w:r>
      <w:r>
        <w:rPr>
          <w:rFonts w:hint="eastAsia" w:ascii="仿宋" w:hAnsi="仿宋" w:eastAsia="仿宋"/>
          <w:color w:val="auto"/>
          <w:sz w:val="21"/>
          <w:szCs w:val="21"/>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仿宋" w:hAnsi="仿宋" w:eastAsia="仿宋"/>
          <w:b w:val="0"/>
          <w:color w:val="auto"/>
          <w:sz w:val="21"/>
          <w:szCs w:val="21"/>
        </w:rPr>
        <w:t>排名第二的中标候选人因前款规定的同样原因被取消中标资格的，采购人可以确定排名第三的中标候选人为中标人，以此类推。以上信息查询记录及相关证据与采购文件一并保存。</w:t>
      </w:r>
    </w:p>
    <w:p w14:paraId="192D2C66">
      <w:pPr>
        <w:pStyle w:val="6"/>
        <w:keepNext w:val="0"/>
        <w:keepLines w:val="0"/>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31.2中标供应商享受《政府采购促进中小企业发展管理办法》（财库〔2020〕46号）规定的中小企业扶持政策的，采购人、采购代理机构应当随中标结果公开中标供应商的《中小企业声明函》。</w:t>
      </w:r>
    </w:p>
    <w:p w14:paraId="53A553AD">
      <w:pPr>
        <w:pStyle w:val="6"/>
        <w:keepNext w:val="0"/>
        <w:keepLines w:val="0"/>
        <w:spacing w:before="0" w:after="0" w:line="360" w:lineRule="auto"/>
        <w:ind w:left="420" w:leftChars="200"/>
        <w:rPr>
          <w:rFonts w:ascii="仿宋" w:hAnsi="仿宋" w:eastAsia="仿宋"/>
          <w:color w:val="auto"/>
          <w:sz w:val="24"/>
        </w:rPr>
      </w:pPr>
      <w:r>
        <w:rPr>
          <w:rFonts w:hint="eastAsia" w:ascii="仿宋" w:hAnsi="仿宋" w:eastAsia="仿宋"/>
          <w:color w:val="auto"/>
          <w:sz w:val="24"/>
        </w:rPr>
        <w:t>32.发出中标通知书</w:t>
      </w:r>
    </w:p>
    <w:p w14:paraId="435482D0">
      <w:pPr>
        <w:pStyle w:val="6"/>
        <w:keepNext w:val="0"/>
        <w:keepLines w:val="0"/>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在公告中标结果的同时，采购代理机构向中标人发出中标通知书。对未通过资格审查的投标人，应当告知其未通过的原因；采用综合评分办法评审的，还应当告知未中标人本人的评审得分与排序。</w:t>
      </w:r>
    </w:p>
    <w:p w14:paraId="55ABBC63">
      <w:pPr>
        <w:pStyle w:val="6"/>
        <w:keepNext w:val="0"/>
        <w:keepLines w:val="0"/>
        <w:spacing w:before="0" w:after="0" w:line="360" w:lineRule="auto"/>
        <w:ind w:left="420" w:leftChars="200"/>
        <w:rPr>
          <w:rFonts w:ascii="仿宋" w:hAnsi="仿宋" w:eastAsia="仿宋"/>
          <w:color w:val="auto"/>
          <w:sz w:val="24"/>
        </w:rPr>
      </w:pPr>
      <w:r>
        <w:rPr>
          <w:rFonts w:hint="eastAsia" w:ascii="仿宋" w:hAnsi="仿宋" w:eastAsia="仿宋"/>
          <w:color w:val="auto"/>
          <w:sz w:val="24"/>
        </w:rPr>
        <w:t>33. 无义务解释未中标原因</w:t>
      </w:r>
    </w:p>
    <w:p w14:paraId="6F086A5C">
      <w:pPr>
        <w:pStyle w:val="6"/>
        <w:keepNext w:val="0"/>
        <w:keepLines w:val="0"/>
        <w:spacing w:before="0" w:after="0" w:line="360" w:lineRule="auto"/>
        <w:ind w:left="420" w:leftChars="200"/>
        <w:rPr>
          <w:rFonts w:hint="eastAsia" w:ascii="仿宋" w:hAnsi="仿宋" w:eastAsia="仿宋"/>
          <w:b w:val="0"/>
          <w:color w:val="auto"/>
          <w:sz w:val="21"/>
          <w:szCs w:val="21"/>
        </w:rPr>
      </w:pPr>
      <w:r>
        <w:rPr>
          <w:rFonts w:hint="eastAsia" w:ascii="仿宋" w:hAnsi="仿宋" w:eastAsia="仿宋"/>
          <w:b w:val="0"/>
          <w:color w:val="auto"/>
          <w:sz w:val="21"/>
          <w:szCs w:val="21"/>
        </w:rPr>
        <w:t>采购代理机构无义务向未中标的投标人解释未中标原因和退还投标文件。</w:t>
      </w:r>
    </w:p>
    <w:p w14:paraId="556316DF">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34.合同授予标准</w:t>
      </w:r>
    </w:p>
    <w:p w14:paraId="12E71223">
      <w:pPr>
        <w:snapToGrid w:val="0"/>
        <w:spacing w:line="360" w:lineRule="auto"/>
        <w:ind w:firstLine="420" w:firstLineChars="200"/>
        <w:rPr>
          <w:rFonts w:hint="eastAsia" w:ascii="仿宋" w:hAnsi="仿宋" w:eastAsia="仿宋"/>
          <w:color w:val="auto"/>
          <w:szCs w:val="21"/>
        </w:rPr>
      </w:pPr>
      <w:r>
        <w:rPr>
          <w:rFonts w:hint="eastAsia" w:ascii="仿宋" w:hAnsi="仿宋" w:eastAsia="仿宋" w:cs="Courier New"/>
          <w:color w:val="auto"/>
          <w:szCs w:val="21"/>
        </w:rPr>
        <w:t>合同将授予被确定实质上响应招标文件要求，具备履行合同能力的中标人（招标文件另有约定多名中标人的除外）。</w:t>
      </w:r>
    </w:p>
    <w:p w14:paraId="43FFB6FC">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35.履约保证金</w:t>
      </w:r>
    </w:p>
    <w:p w14:paraId="5D486F81">
      <w:pPr>
        <w:pStyle w:val="6"/>
        <w:keepNext w:val="0"/>
        <w:keepLines w:val="0"/>
        <w:spacing w:before="0" w:after="0" w:line="360" w:lineRule="auto"/>
        <w:ind w:firstLine="315" w:firstLineChars="150"/>
        <w:rPr>
          <w:rFonts w:hint="eastAsia" w:ascii="仿宋" w:hAnsi="仿宋" w:eastAsia="仿宋"/>
          <w:b w:val="0"/>
          <w:color w:val="auto"/>
          <w:sz w:val="21"/>
          <w:szCs w:val="21"/>
        </w:rPr>
      </w:pPr>
      <w:bookmarkStart w:id="122" w:name="_39.1中标人须于签订合同前按本须知前附表规定的金额转账或电汇到指定账"/>
      <w:bookmarkEnd w:id="122"/>
      <w:r>
        <w:rPr>
          <w:rFonts w:ascii="仿宋" w:hAnsi="仿宋" w:eastAsia="仿宋"/>
          <w:b w:val="0"/>
          <w:color w:val="auto"/>
          <w:sz w:val="21"/>
          <w:szCs w:val="21"/>
        </w:rPr>
        <w:t xml:space="preserve"> </w:t>
      </w:r>
      <w:r>
        <w:rPr>
          <w:rFonts w:hint="eastAsia" w:ascii="仿宋" w:hAnsi="仿宋" w:eastAsia="仿宋"/>
          <w:b w:val="0"/>
          <w:color w:val="auto"/>
          <w:sz w:val="21"/>
          <w:szCs w:val="21"/>
        </w:rPr>
        <w:t>3</w:t>
      </w:r>
      <w:r>
        <w:rPr>
          <w:rFonts w:ascii="仿宋" w:hAnsi="仿宋" w:eastAsia="仿宋"/>
          <w:b w:val="0"/>
          <w:color w:val="auto"/>
          <w:sz w:val="21"/>
          <w:szCs w:val="21"/>
        </w:rPr>
        <w:t>5</w:t>
      </w:r>
      <w:r>
        <w:rPr>
          <w:rFonts w:hint="eastAsia" w:ascii="仿宋" w:hAnsi="仿宋" w:eastAsia="仿宋"/>
          <w:b w:val="0"/>
          <w:color w:val="auto"/>
          <w:sz w:val="21"/>
          <w:szCs w:val="21"/>
        </w:rPr>
        <w:t>.1 履约保证金的金额、提交方式、退付的时间和条件详见 “投标人须知前附表”。中标人未按规定提交履约保证金的，视为拒绝与采购人签订合同。</w:t>
      </w:r>
    </w:p>
    <w:p w14:paraId="19DE686C">
      <w:pPr>
        <w:pStyle w:val="6"/>
        <w:keepNext w:val="0"/>
        <w:keepLines w:val="0"/>
        <w:spacing w:before="0" w:after="0" w:line="360" w:lineRule="auto"/>
        <w:ind w:firstLine="316" w:firstLineChars="150"/>
        <w:rPr>
          <w:rFonts w:hint="eastAsia" w:ascii="仿宋" w:hAnsi="仿宋" w:eastAsia="仿宋"/>
          <w:color w:val="auto"/>
          <w:sz w:val="21"/>
          <w:szCs w:val="21"/>
        </w:rPr>
      </w:pPr>
      <w:r>
        <w:rPr>
          <w:rFonts w:hint="eastAsia" w:ascii="仿宋" w:hAnsi="仿宋" w:eastAsia="仿宋"/>
          <w:color w:val="auto"/>
          <w:sz w:val="21"/>
          <w:szCs w:val="21"/>
        </w:rPr>
        <w:t xml:space="preserve"> </w:t>
      </w:r>
      <w:r>
        <w:rPr>
          <w:rFonts w:hint="eastAsia" w:ascii="仿宋" w:hAnsi="仿宋" w:eastAsia="仿宋"/>
          <w:b w:val="0"/>
          <w:bCs/>
          <w:color w:val="auto"/>
          <w:sz w:val="21"/>
          <w:szCs w:val="21"/>
        </w:rPr>
        <w:t>35.2在履约保证金退还日期前，若中标人的开户名称、开户银行、帐号有变动的，请以书面形式通知履约保证金收取单位，否则由此产生的后果由中标人自行承担。</w:t>
      </w:r>
    </w:p>
    <w:p w14:paraId="7347E371">
      <w:pPr>
        <w:pStyle w:val="6"/>
        <w:keepNext w:val="0"/>
        <w:keepLines w:val="0"/>
        <w:spacing w:before="0" w:after="0" w:line="360" w:lineRule="auto"/>
        <w:ind w:left="420" w:leftChars="200"/>
        <w:rPr>
          <w:rFonts w:hint="eastAsia" w:ascii="仿宋" w:hAnsi="仿宋" w:eastAsia="仿宋"/>
          <w:color w:val="auto"/>
          <w:sz w:val="24"/>
        </w:rPr>
      </w:pPr>
      <w:r>
        <w:rPr>
          <w:rFonts w:hint="eastAsia" w:ascii="仿宋" w:hAnsi="仿宋" w:eastAsia="仿宋"/>
          <w:color w:val="auto"/>
          <w:sz w:val="24"/>
        </w:rPr>
        <w:t>36.签订合同</w:t>
      </w:r>
    </w:p>
    <w:p w14:paraId="07BEDEC7">
      <w:pPr>
        <w:pStyle w:val="6"/>
        <w:keepNext w:val="0"/>
        <w:keepLines w:val="0"/>
        <w:spacing w:before="0" w:after="0" w:line="360" w:lineRule="auto"/>
        <w:ind w:firstLine="315" w:firstLineChars="150"/>
        <w:rPr>
          <w:rFonts w:hint="eastAsia" w:ascii="仿宋" w:hAnsi="仿宋" w:eastAsia="仿宋"/>
          <w:b w:val="0"/>
          <w:bCs/>
          <w:color w:val="auto"/>
          <w:sz w:val="21"/>
          <w:szCs w:val="21"/>
        </w:rPr>
      </w:pPr>
      <w:bookmarkStart w:id="123" w:name="_40.1投标人接到中标通知书后，按须知前附表规定向采购人出示相关资格证"/>
      <w:bookmarkEnd w:id="123"/>
      <w:r>
        <w:rPr>
          <w:rFonts w:hint="eastAsia" w:ascii="仿宋" w:hAnsi="仿宋" w:eastAsia="仿宋"/>
          <w:b w:val="0"/>
          <w:color w:val="auto"/>
          <w:sz w:val="21"/>
          <w:szCs w:val="21"/>
        </w:rPr>
        <w:t xml:space="preserve"> 36.1投标人领取中标通知书（书面或电子）后，按“投标人须知前附表”规定向采购人出示相关证明材料，经采购人核验合格后方可签订采购合同（书面或电子）。</w:t>
      </w:r>
      <w:r>
        <w:rPr>
          <w:rFonts w:hint="eastAsia" w:ascii="仿宋" w:hAnsi="仿宋" w:eastAsia="仿宋"/>
          <w:b w:val="0"/>
          <w:bCs/>
          <w:color w:val="auto"/>
          <w:sz w:val="21"/>
          <w:szCs w:val="21"/>
        </w:rPr>
        <w:t>如中标人为联合体的，</w:t>
      </w:r>
      <w:r>
        <w:rPr>
          <w:rFonts w:ascii="仿宋" w:hAnsi="仿宋" w:eastAsia="仿宋"/>
          <w:b w:val="0"/>
          <w:bCs/>
          <w:color w:val="auto"/>
          <w:sz w:val="21"/>
          <w:szCs w:val="21"/>
        </w:rPr>
        <w:t>联合体各方应当共同与采购人签订采购合同，就采购合同约定的事项对采购人承担连带责任。</w:t>
      </w:r>
    </w:p>
    <w:p w14:paraId="5F02D5F5">
      <w:pPr>
        <w:pStyle w:val="6"/>
        <w:keepNext w:val="0"/>
        <w:keepLines w:val="0"/>
        <w:numPr>
          <w:ilvl w:val="0"/>
          <w:numId w:val="0"/>
        </w:numPr>
        <w:spacing w:before="0" w:after="0" w:line="360" w:lineRule="auto"/>
        <w:ind w:firstLine="420" w:firstLineChars="200"/>
        <w:rPr>
          <w:rFonts w:hint="eastAsia" w:ascii="仿宋" w:hAnsi="仿宋" w:eastAsia="仿宋"/>
          <w:b w:val="0"/>
          <w:color w:val="auto"/>
          <w:sz w:val="21"/>
          <w:szCs w:val="21"/>
        </w:rPr>
      </w:pPr>
      <w:r>
        <w:rPr>
          <w:rFonts w:hint="eastAsia" w:ascii="仿宋" w:hAnsi="仿宋" w:eastAsia="仿宋"/>
          <w:b w:val="0"/>
          <w:color w:val="auto"/>
          <w:sz w:val="21"/>
          <w:szCs w:val="21"/>
        </w:rPr>
        <w:t>36.2签订合同时间：自</w:t>
      </w:r>
      <w:r>
        <w:rPr>
          <w:rFonts w:hint="eastAsia" w:ascii="仿宋" w:hAnsi="仿宋" w:eastAsia="仿宋"/>
          <w:b w:val="0"/>
          <w:color w:val="auto"/>
          <w:sz w:val="21"/>
          <w:szCs w:val="21"/>
          <w:lang w:val="en-US" w:eastAsia="zh-CN"/>
        </w:rPr>
        <w:t>中标</w:t>
      </w:r>
      <w:r>
        <w:rPr>
          <w:rFonts w:hint="eastAsia" w:ascii="仿宋" w:hAnsi="仿宋" w:eastAsia="仿宋"/>
          <w:b w:val="0"/>
          <w:color w:val="auto"/>
          <w:sz w:val="21"/>
          <w:szCs w:val="21"/>
        </w:rPr>
        <w:t>通知书发出之日起15日内签订完毕。</w:t>
      </w:r>
    </w:p>
    <w:p w14:paraId="7644037E">
      <w:pPr>
        <w:pStyle w:val="6"/>
        <w:keepNext w:val="0"/>
        <w:keepLines w:val="0"/>
        <w:spacing w:before="0" w:after="0" w:line="360" w:lineRule="auto"/>
        <w:ind w:firstLine="315" w:firstLineChars="150"/>
        <w:rPr>
          <w:rFonts w:hint="eastAsia" w:ascii="仿宋" w:hAnsi="仿宋" w:eastAsia="仿宋"/>
          <w:b w:val="0"/>
          <w:color w:val="auto"/>
          <w:sz w:val="21"/>
          <w:szCs w:val="21"/>
        </w:rPr>
      </w:pPr>
      <w:r>
        <w:rPr>
          <w:rFonts w:hint="eastAsia" w:ascii="仿宋" w:hAnsi="仿宋" w:eastAsia="仿宋"/>
          <w:b w:val="0"/>
          <w:color w:val="auto"/>
          <w:sz w:val="21"/>
          <w:szCs w:val="21"/>
        </w:rPr>
        <w:t xml:space="preserve"> 36.</w:t>
      </w:r>
      <w:r>
        <w:rPr>
          <w:rFonts w:ascii="仿宋" w:hAnsi="仿宋" w:eastAsia="仿宋"/>
          <w:b w:val="0"/>
          <w:color w:val="auto"/>
          <w:sz w:val="21"/>
          <w:szCs w:val="21"/>
        </w:rPr>
        <w:t>3</w:t>
      </w:r>
      <w:r>
        <w:rPr>
          <w:rFonts w:hint="eastAsia" w:ascii="仿宋" w:hAnsi="仿宋" w:eastAsia="仿宋"/>
          <w:b w:val="0"/>
          <w:color w:val="auto"/>
          <w:sz w:val="21"/>
          <w:szCs w:val="21"/>
        </w:rPr>
        <w:t>中标人拒绝与采购人签订合同的，按照本须知正文第3</w:t>
      </w:r>
      <w:r>
        <w:rPr>
          <w:rFonts w:ascii="仿宋" w:hAnsi="仿宋" w:eastAsia="仿宋"/>
          <w:b w:val="0"/>
          <w:color w:val="auto"/>
          <w:sz w:val="21"/>
          <w:szCs w:val="21"/>
        </w:rPr>
        <w:t>0.4条</w:t>
      </w:r>
      <w:r>
        <w:rPr>
          <w:rFonts w:hint="eastAsia" w:ascii="仿宋" w:hAnsi="仿宋" w:eastAsia="仿宋"/>
          <w:b w:val="0"/>
          <w:color w:val="auto"/>
          <w:sz w:val="21"/>
          <w:szCs w:val="21"/>
        </w:rPr>
        <w:t>的规定执行。</w:t>
      </w:r>
    </w:p>
    <w:p w14:paraId="1C227A1F">
      <w:pPr>
        <w:pStyle w:val="6"/>
        <w:keepNext w:val="0"/>
        <w:keepLines w:val="0"/>
        <w:spacing w:before="0" w:after="0" w:line="360" w:lineRule="auto"/>
        <w:ind w:left="420" w:leftChars="200"/>
        <w:rPr>
          <w:rFonts w:hint="eastAsia" w:ascii="仿宋" w:hAnsi="仿宋" w:eastAsia="仿宋"/>
          <w:color w:val="auto"/>
          <w:sz w:val="24"/>
        </w:rPr>
      </w:pPr>
      <w:bookmarkStart w:id="124" w:name="_41.政府采购合同公告"/>
      <w:bookmarkEnd w:id="124"/>
      <w:r>
        <w:rPr>
          <w:rFonts w:hint="eastAsia" w:ascii="仿宋" w:hAnsi="仿宋" w:eastAsia="仿宋"/>
          <w:color w:val="auto"/>
          <w:sz w:val="24"/>
        </w:rPr>
        <w:t>37.政府采购合同公告</w:t>
      </w:r>
    </w:p>
    <w:p w14:paraId="22B74DB7">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采购人或者受托采购代理机构应当自政府采购合同签订之日起2个工作日内，将政府采购合同在省级以上人民政府财政部门指定的媒体上公告，</w:t>
      </w:r>
      <w:r>
        <w:rPr>
          <w:rFonts w:ascii="仿宋" w:hAnsi="仿宋" w:eastAsia="仿宋"/>
          <w:color w:val="auto"/>
          <w:sz w:val="21"/>
        </w:rPr>
        <w:t>但政府采购合同中涉及国家秘密、商业秘密的内容除外。</w:t>
      </w:r>
    </w:p>
    <w:p w14:paraId="2CBBDCF2">
      <w:pPr>
        <w:pStyle w:val="6"/>
        <w:keepNext w:val="0"/>
        <w:keepLines w:val="0"/>
        <w:spacing w:before="0" w:after="0" w:line="360" w:lineRule="auto"/>
        <w:ind w:left="420" w:left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8.</w:t>
      </w:r>
      <w:r>
        <w:rPr>
          <w:rFonts w:hint="eastAsia" w:ascii="仿宋" w:hAnsi="仿宋" w:eastAsia="仿宋"/>
          <w:color w:val="auto"/>
          <w:sz w:val="24"/>
        </w:rPr>
        <w:t xml:space="preserve"> 询问、质疑和投诉</w:t>
      </w:r>
    </w:p>
    <w:p w14:paraId="745C7785">
      <w:pPr>
        <w:pStyle w:val="7"/>
        <w:spacing w:line="360" w:lineRule="auto"/>
        <w:rPr>
          <w:rFonts w:hint="eastAsia" w:ascii="仿宋" w:hAnsi="仿宋" w:eastAsia="仿宋"/>
          <w:color w:val="auto"/>
          <w:szCs w:val="21"/>
        </w:rPr>
      </w:pPr>
      <w:r>
        <w:rPr>
          <w:rFonts w:ascii="仿宋" w:hAnsi="仿宋" w:eastAsia="仿宋"/>
          <w:color w:val="auto"/>
          <w:szCs w:val="21"/>
        </w:rPr>
        <w:t>38.1</w:t>
      </w:r>
      <w:r>
        <w:rPr>
          <w:rFonts w:hint="eastAsia" w:ascii="仿宋" w:hAnsi="仿宋" w:eastAsia="仿宋"/>
          <w:color w:val="auto"/>
          <w:szCs w:val="21"/>
        </w:rPr>
        <w:t>供应商对政府采购活动事项有疑问的，可以向采购人提出询问，采购人或者采购代理机构应当在3个工作日内对供应商依法提出的询问作出答复，但答复的内容不得涉及商业秘密。</w:t>
      </w:r>
    </w:p>
    <w:p w14:paraId="1DB6B2B7">
      <w:pPr>
        <w:pStyle w:val="6"/>
        <w:keepNext w:val="0"/>
        <w:keepLines w:val="0"/>
        <w:spacing w:before="0" w:after="0" w:line="360" w:lineRule="auto"/>
        <w:ind w:firstLine="315" w:firstLineChars="150"/>
        <w:rPr>
          <w:rFonts w:hint="eastAsia" w:ascii="仿宋" w:hAnsi="仿宋" w:eastAsia="仿宋"/>
          <w:b w:val="0"/>
          <w:color w:val="auto"/>
          <w:sz w:val="21"/>
          <w:szCs w:val="21"/>
        </w:rPr>
      </w:pPr>
      <w:r>
        <w:rPr>
          <w:rFonts w:hint="eastAsia" w:ascii="仿宋" w:hAnsi="仿宋" w:eastAsia="仿宋"/>
          <w:b w:val="0"/>
          <w:color w:val="auto"/>
          <w:sz w:val="21"/>
          <w:szCs w:val="21"/>
        </w:rPr>
        <w:t xml:space="preserve"> </w:t>
      </w:r>
      <w:r>
        <w:rPr>
          <w:rFonts w:ascii="仿宋" w:hAnsi="仿宋" w:eastAsia="仿宋"/>
          <w:b w:val="0"/>
          <w:color w:val="auto"/>
          <w:sz w:val="21"/>
          <w:szCs w:val="21"/>
        </w:rPr>
        <w:t>38</w:t>
      </w:r>
      <w:r>
        <w:rPr>
          <w:rFonts w:hint="eastAsia" w:ascii="仿宋" w:hAnsi="仿宋" w:eastAsia="仿宋"/>
          <w:b w:val="0"/>
          <w:color w:val="auto"/>
          <w:sz w:val="21"/>
          <w:szCs w:val="21"/>
        </w:rPr>
        <w:t>.</w:t>
      </w:r>
      <w:r>
        <w:rPr>
          <w:rFonts w:ascii="仿宋" w:hAnsi="仿宋" w:eastAsia="仿宋"/>
          <w:b w:val="0"/>
          <w:color w:val="auto"/>
          <w:sz w:val="21"/>
          <w:szCs w:val="21"/>
        </w:rPr>
        <w:t>2</w:t>
      </w:r>
      <w:r>
        <w:rPr>
          <w:rFonts w:hint="eastAsia" w:ascii="仿宋" w:hAnsi="仿宋" w:eastAsia="仿宋"/>
          <w:b w:val="0"/>
          <w:color w:val="auto"/>
          <w:sz w:val="21"/>
          <w:szCs w:val="21"/>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7599D270">
      <w:pPr>
        <w:pStyle w:val="24"/>
        <w:snapToGrid w:val="0"/>
        <w:spacing w:line="360" w:lineRule="auto"/>
        <w:ind w:firstLine="420" w:firstLineChars="200"/>
        <w:rPr>
          <w:rFonts w:ascii="仿宋" w:hAnsi="仿宋" w:eastAsia="仿宋"/>
          <w:color w:val="auto"/>
          <w:sz w:val="21"/>
        </w:rPr>
      </w:pPr>
      <w:r>
        <w:rPr>
          <w:rFonts w:ascii="仿宋" w:hAnsi="仿宋" w:eastAsia="仿宋"/>
          <w:color w:val="auto"/>
          <w:sz w:val="21"/>
        </w:rPr>
        <w:t>（</w:t>
      </w:r>
      <w:r>
        <w:rPr>
          <w:rFonts w:hint="eastAsia" w:ascii="仿宋" w:hAnsi="仿宋" w:eastAsia="仿宋"/>
          <w:color w:val="auto"/>
          <w:sz w:val="21"/>
        </w:rPr>
        <w:t>1</w:t>
      </w:r>
      <w:r>
        <w:rPr>
          <w:rFonts w:ascii="仿宋" w:hAnsi="仿宋" w:eastAsia="仿宋"/>
          <w:color w:val="auto"/>
          <w:sz w:val="21"/>
        </w:rPr>
        <w:t>）对可以质疑的</w:t>
      </w:r>
      <w:r>
        <w:rPr>
          <w:rFonts w:hint="eastAsia" w:ascii="仿宋" w:hAnsi="仿宋" w:eastAsia="仿宋"/>
          <w:color w:val="auto"/>
          <w:sz w:val="21"/>
        </w:rPr>
        <w:t>招标</w:t>
      </w:r>
      <w:r>
        <w:rPr>
          <w:rFonts w:ascii="仿宋" w:hAnsi="仿宋" w:eastAsia="仿宋"/>
          <w:color w:val="auto"/>
          <w:sz w:val="21"/>
        </w:rPr>
        <w:t>文件提出质疑的，为收到</w:t>
      </w:r>
      <w:r>
        <w:rPr>
          <w:rFonts w:hint="eastAsia" w:ascii="仿宋" w:hAnsi="仿宋" w:eastAsia="仿宋"/>
          <w:color w:val="auto"/>
          <w:sz w:val="21"/>
        </w:rPr>
        <w:t>招标</w:t>
      </w:r>
      <w:r>
        <w:rPr>
          <w:rFonts w:ascii="仿宋" w:hAnsi="仿宋" w:eastAsia="仿宋"/>
          <w:color w:val="auto"/>
          <w:sz w:val="21"/>
        </w:rPr>
        <w:t>文件之日</w:t>
      </w:r>
      <w:r>
        <w:rPr>
          <w:rFonts w:hint="eastAsia" w:ascii="仿宋" w:hAnsi="仿宋" w:eastAsia="仿宋"/>
          <w:color w:val="auto"/>
          <w:sz w:val="21"/>
        </w:rPr>
        <w:t>或者招标文件公告期限届满之日</w:t>
      </w:r>
      <w:r>
        <w:rPr>
          <w:rFonts w:ascii="仿宋" w:hAnsi="仿宋" w:eastAsia="仿宋"/>
          <w:color w:val="auto"/>
          <w:sz w:val="21"/>
        </w:rPr>
        <w:t>；</w:t>
      </w:r>
    </w:p>
    <w:p w14:paraId="5E8B5D88">
      <w:pPr>
        <w:pStyle w:val="24"/>
        <w:snapToGrid w:val="0"/>
        <w:spacing w:line="360" w:lineRule="auto"/>
        <w:ind w:firstLine="420" w:firstLineChars="200"/>
        <w:rPr>
          <w:rFonts w:hint="eastAsia" w:ascii="仿宋" w:hAnsi="仿宋" w:eastAsia="仿宋"/>
          <w:color w:val="auto"/>
          <w:sz w:val="21"/>
        </w:rPr>
      </w:pPr>
      <w:r>
        <w:rPr>
          <w:rFonts w:ascii="仿宋" w:hAnsi="仿宋" w:eastAsia="仿宋"/>
          <w:color w:val="auto"/>
          <w:sz w:val="21"/>
        </w:rPr>
        <w:t>（</w:t>
      </w:r>
      <w:r>
        <w:rPr>
          <w:rFonts w:hint="eastAsia" w:ascii="仿宋" w:hAnsi="仿宋" w:eastAsia="仿宋"/>
          <w:color w:val="auto"/>
          <w:sz w:val="21"/>
        </w:rPr>
        <w:t>2</w:t>
      </w:r>
      <w:r>
        <w:rPr>
          <w:rFonts w:ascii="仿宋" w:hAnsi="仿宋" w:eastAsia="仿宋"/>
          <w:color w:val="auto"/>
          <w:sz w:val="21"/>
        </w:rPr>
        <w:t>）对</w:t>
      </w:r>
      <w:r>
        <w:rPr>
          <w:rFonts w:hint="eastAsia" w:ascii="仿宋" w:hAnsi="仿宋" w:eastAsia="仿宋"/>
          <w:color w:val="auto"/>
          <w:sz w:val="21"/>
        </w:rPr>
        <w:t>采购</w:t>
      </w:r>
      <w:r>
        <w:rPr>
          <w:rFonts w:ascii="仿宋" w:hAnsi="仿宋" w:eastAsia="仿宋"/>
          <w:color w:val="auto"/>
          <w:sz w:val="21"/>
        </w:rPr>
        <w:t>过程提出质疑的，为各采购程序环节结束之日；</w:t>
      </w:r>
    </w:p>
    <w:p w14:paraId="44259961">
      <w:pPr>
        <w:pStyle w:val="24"/>
        <w:snapToGrid w:val="0"/>
        <w:spacing w:line="360" w:lineRule="auto"/>
        <w:ind w:firstLine="420" w:firstLineChars="200"/>
        <w:rPr>
          <w:rFonts w:hint="eastAsia" w:ascii="仿宋" w:hAnsi="仿宋" w:eastAsia="仿宋"/>
          <w:bCs/>
          <w:color w:val="auto"/>
          <w:sz w:val="21"/>
        </w:rPr>
      </w:pPr>
      <w:r>
        <w:rPr>
          <w:rFonts w:ascii="仿宋" w:hAnsi="仿宋" w:eastAsia="仿宋"/>
          <w:color w:val="auto"/>
          <w:sz w:val="21"/>
        </w:rPr>
        <w:t>（</w:t>
      </w:r>
      <w:r>
        <w:rPr>
          <w:rFonts w:hint="eastAsia" w:ascii="仿宋" w:hAnsi="仿宋" w:eastAsia="仿宋"/>
          <w:color w:val="auto"/>
          <w:sz w:val="21"/>
        </w:rPr>
        <w:t>3</w:t>
      </w:r>
      <w:r>
        <w:rPr>
          <w:rFonts w:ascii="仿宋" w:hAnsi="仿宋" w:eastAsia="仿宋"/>
          <w:color w:val="auto"/>
          <w:sz w:val="21"/>
        </w:rPr>
        <w:t>）对中标结果提出质疑的，为中标结果公告期限届满之日。</w:t>
      </w:r>
    </w:p>
    <w:p w14:paraId="0C767922">
      <w:pPr>
        <w:pStyle w:val="6"/>
        <w:keepNext w:val="0"/>
        <w:keepLines w:val="0"/>
        <w:spacing w:before="0" w:after="0" w:line="360" w:lineRule="auto"/>
        <w:ind w:firstLine="315" w:firstLineChars="150"/>
        <w:rPr>
          <w:rFonts w:ascii="仿宋" w:hAnsi="仿宋" w:eastAsia="仿宋"/>
          <w:b w:val="0"/>
          <w:color w:val="auto"/>
          <w:sz w:val="21"/>
          <w:szCs w:val="21"/>
        </w:rPr>
      </w:pPr>
      <w:r>
        <w:rPr>
          <w:rFonts w:ascii="仿宋" w:hAnsi="仿宋" w:eastAsia="仿宋"/>
          <w:b w:val="0"/>
          <w:color w:val="auto"/>
          <w:sz w:val="21"/>
          <w:szCs w:val="21"/>
        </w:rPr>
        <w:t>38</w:t>
      </w:r>
      <w:r>
        <w:rPr>
          <w:rFonts w:hint="eastAsia" w:ascii="仿宋" w:hAnsi="仿宋" w:eastAsia="仿宋"/>
          <w:b w:val="0"/>
          <w:color w:val="auto"/>
          <w:sz w:val="21"/>
          <w:szCs w:val="21"/>
        </w:rPr>
        <w:t>.</w:t>
      </w:r>
      <w:r>
        <w:rPr>
          <w:rFonts w:ascii="仿宋" w:hAnsi="仿宋" w:eastAsia="仿宋"/>
          <w:b w:val="0"/>
          <w:color w:val="auto"/>
          <w:sz w:val="21"/>
          <w:szCs w:val="21"/>
        </w:rPr>
        <w:t>3</w:t>
      </w:r>
      <w:r>
        <w:rPr>
          <w:rFonts w:hint="eastAsia" w:ascii="仿宋" w:hAnsi="仿宋" w:eastAsia="仿宋"/>
          <w:b w:val="0"/>
          <w:color w:val="auto"/>
          <w:sz w:val="21"/>
          <w:szCs w:val="21"/>
        </w:rPr>
        <w:t xml:space="preserve"> </w:t>
      </w:r>
      <w:r>
        <w:rPr>
          <w:rFonts w:ascii="仿宋" w:hAnsi="仿宋" w:eastAsia="仿宋"/>
          <w:bCs/>
          <w:color w:val="auto"/>
          <w:sz w:val="21"/>
        </w:rPr>
        <w:t>供应商提出质疑应当提交质疑函和必要的证明材料</w:t>
      </w:r>
      <w:r>
        <w:rPr>
          <w:rFonts w:hint="eastAsia" w:ascii="仿宋" w:hAnsi="仿宋" w:eastAsia="仿宋"/>
          <w:bCs/>
          <w:color w:val="auto"/>
          <w:sz w:val="21"/>
        </w:rPr>
        <w:t>，</w:t>
      </w:r>
      <w:r>
        <w:rPr>
          <w:rFonts w:ascii="仿宋" w:hAnsi="仿宋" w:eastAsia="仿宋"/>
          <w:bCs/>
          <w:color w:val="auto"/>
          <w:sz w:val="21"/>
        </w:rPr>
        <w:t>针对同一采购程序环节的质疑</w:t>
      </w:r>
      <w:r>
        <w:rPr>
          <w:rFonts w:hint="eastAsia" w:ascii="仿宋" w:hAnsi="仿宋" w:eastAsia="仿宋"/>
          <w:bCs/>
          <w:color w:val="auto"/>
          <w:sz w:val="21"/>
        </w:rPr>
        <w:t>必须</w:t>
      </w:r>
      <w:r>
        <w:rPr>
          <w:rFonts w:ascii="仿宋" w:hAnsi="仿宋" w:eastAsia="仿宋"/>
          <w:bCs/>
          <w:color w:val="auto"/>
          <w:sz w:val="21"/>
        </w:rPr>
        <w:t>在法定质疑期内一次性提出。质疑函应当包括下列内容</w:t>
      </w:r>
      <w:r>
        <w:rPr>
          <w:rFonts w:hint="eastAsia" w:ascii="仿宋" w:hAnsi="仿宋" w:eastAsia="仿宋"/>
          <w:bCs/>
          <w:color w:val="auto"/>
          <w:sz w:val="21"/>
        </w:rPr>
        <w:t>（质疑函格式后附）</w:t>
      </w:r>
      <w:r>
        <w:rPr>
          <w:rFonts w:ascii="仿宋" w:hAnsi="仿宋" w:eastAsia="仿宋"/>
          <w:bCs/>
          <w:color w:val="auto"/>
          <w:sz w:val="21"/>
        </w:rPr>
        <w:t>：</w:t>
      </w:r>
    </w:p>
    <w:p w14:paraId="58B7D29A">
      <w:pPr>
        <w:pStyle w:val="24"/>
        <w:snapToGrid w:val="0"/>
        <w:spacing w:line="360" w:lineRule="auto"/>
        <w:ind w:firstLine="420" w:firstLineChars="200"/>
        <w:rPr>
          <w:rFonts w:ascii="仿宋" w:hAnsi="仿宋" w:eastAsia="仿宋"/>
          <w:bCs/>
          <w:color w:val="auto"/>
          <w:sz w:val="21"/>
        </w:rPr>
      </w:pPr>
      <w:r>
        <w:rPr>
          <w:rFonts w:ascii="仿宋" w:hAnsi="仿宋" w:eastAsia="仿宋"/>
          <w:bCs/>
          <w:color w:val="auto"/>
          <w:sz w:val="21"/>
        </w:rPr>
        <w:t>（</w:t>
      </w:r>
      <w:r>
        <w:rPr>
          <w:rFonts w:hint="eastAsia" w:ascii="仿宋" w:hAnsi="仿宋" w:eastAsia="仿宋"/>
          <w:bCs/>
          <w:color w:val="auto"/>
          <w:sz w:val="21"/>
        </w:rPr>
        <w:t>1</w:t>
      </w:r>
      <w:r>
        <w:rPr>
          <w:rFonts w:ascii="仿宋" w:hAnsi="仿宋" w:eastAsia="仿宋"/>
          <w:bCs/>
          <w:color w:val="auto"/>
          <w:sz w:val="21"/>
        </w:rPr>
        <w:t>）供应商的姓名或者名称、地址、邮编、联系人及联系电话；</w:t>
      </w:r>
    </w:p>
    <w:p w14:paraId="48AC33B5">
      <w:pPr>
        <w:pStyle w:val="24"/>
        <w:snapToGrid w:val="0"/>
        <w:spacing w:line="360" w:lineRule="auto"/>
        <w:ind w:firstLine="420" w:firstLineChars="200"/>
        <w:rPr>
          <w:rFonts w:ascii="仿宋" w:hAnsi="仿宋" w:eastAsia="仿宋"/>
          <w:bCs/>
          <w:color w:val="auto"/>
          <w:sz w:val="21"/>
        </w:rPr>
      </w:pPr>
      <w:r>
        <w:rPr>
          <w:rFonts w:ascii="仿宋" w:hAnsi="仿宋" w:eastAsia="仿宋"/>
          <w:bCs/>
          <w:color w:val="auto"/>
          <w:sz w:val="21"/>
        </w:rPr>
        <w:t>（</w:t>
      </w:r>
      <w:r>
        <w:rPr>
          <w:rFonts w:hint="eastAsia" w:ascii="仿宋" w:hAnsi="仿宋" w:eastAsia="仿宋"/>
          <w:bCs/>
          <w:color w:val="auto"/>
          <w:sz w:val="21"/>
        </w:rPr>
        <w:t>2</w:t>
      </w:r>
      <w:r>
        <w:rPr>
          <w:rFonts w:ascii="仿宋" w:hAnsi="仿宋" w:eastAsia="仿宋"/>
          <w:bCs/>
          <w:color w:val="auto"/>
          <w:sz w:val="21"/>
        </w:rPr>
        <w:t>）质疑项目的名称、编号；</w:t>
      </w:r>
    </w:p>
    <w:p w14:paraId="148994D4">
      <w:pPr>
        <w:pStyle w:val="24"/>
        <w:snapToGrid w:val="0"/>
        <w:spacing w:line="360" w:lineRule="auto"/>
        <w:ind w:firstLine="420" w:firstLineChars="200"/>
        <w:rPr>
          <w:rFonts w:ascii="仿宋" w:hAnsi="仿宋" w:eastAsia="仿宋"/>
          <w:bCs/>
          <w:color w:val="auto"/>
          <w:sz w:val="21"/>
        </w:rPr>
      </w:pPr>
      <w:r>
        <w:rPr>
          <w:rFonts w:ascii="仿宋" w:hAnsi="仿宋" w:eastAsia="仿宋"/>
          <w:bCs/>
          <w:color w:val="auto"/>
          <w:sz w:val="21"/>
        </w:rPr>
        <w:t>（</w:t>
      </w:r>
      <w:r>
        <w:rPr>
          <w:rFonts w:hint="eastAsia" w:ascii="仿宋" w:hAnsi="仿宋" w:eastAsia="仿宋"/>
          <w:bCs/>
          <w:color w:val="auto"/>
          <w:sz w:val="21"/>
        </w:rPr>
        <w:t>3</w:t>
      </w:r>
      <w:r>
        <w:rPr>
          <w:rFonts w:ascii="仿宋" w:hAnsi="仿宋" w:eastAsia="仿宋"/>
          <w:bCs/>
          <w:color w:val="auto"/>
          <w:sz w:val="21"/>
        </w:rPr>
        <w:t>）具体、明确的质疑事项和与质疑事项相关的请求；</w:t>
      </w:r>
    </w:p>
    <w:p w14:paraId="31F4260C">
      <w:pPr>
        <w:pStyle w:val="24"/>
        <w:snapToGrid w:val="0"/>
        <w:spacing w:line="360" w:lineRule="auto"/>
        <w:ind w:firstLine="420" w:firstLineChars="200"/>
        <w:rPr>
          <w:rFonts w:ascii="仿宋" w:hAnsi="仿宋" w:eastAsia="仿宋"/>
          <w:bCs/>
          <w:color w:val="auto"/>
          <w:sz w:val="21"/>
        </w:rPr>
      </w:pPr>
      <w:r>
        <w:rPr>
          <w:rFonts w:ascii="仿宋" w:hAnsi="仿宋" w:eastAsia="仿宋"/>
          <w:bCs/>
          <w:color w:val="auto"/>
          <w:sz w:val="21"/>
        </w:rPr>
        <w:t>（</w:t>
      </w:r>
      <w:r>
        <w:rPr>
          <w:rFonts w:hint="eastAsia" w:ascii="仿宋" w:hAnsi="仿宋" w:eastAsia="仿宋"/>
          <w:bCs/>
          <w:color w:val="auto"/>
          <w:sz w:val="21"/>
        </w:rPr>
        <w:t>4</w:t>
      </w:r>
      <w:r>
        <w:rPr>
          <w:rFonts w:ascii="仿宋" w:hAnsi="仿宋" w:eastAsia="仿宋"/>
          <w:bCs/>
          <w:color w:val="auto"/>
          <w:sz w:val="21"/>
        </w:rPr>
        <w:t>）事实依据；</w:t>
      </w:r>
    </w:p>
    <w:p w14:paraId="0CE3D4DE">
      <w:pPr>
        <w:pStyle w:val="24"/>
        <w:snapToGrid w:val="0"/>
        <w:spacing w:line="360" w:lineRule="auto"/>
        <w:ind w:firstLine="420" w:firstLineChars="200"/>
        <w:rPr>
          <w:rFonts w:ascii="仿宋" w:hAnsi="仿宋" w:eastAsia="仿宋"/>
          <w:bCs/>
          <w:color w:val="auto"/>
          <w:sz w:val="21"/>
        </w:rPr>
      </w:pPr>
      <w:r>
        <w:rPr>
          <w:rFonts w:ascii="仿宋" w:hAnsi="仿宋" w:eastAsia="仿宋"/>
          <w:bCs/>
          <w:color w:val="auto"/>
          <w:sz w:val="21"/>
        </w:rPr>
        <w:t>（</w:t>
      </w:r>
      <w:r>
        <w:rPr>
          <w:rFonts w:hint="eastAsia" w:ascii="仿宋" w:hAnsi="仿宋" w:eastAsia="仿宋"/>
          <w:bCs/>
          <w:color w:val="auto"/>
          <w:sz w:val="21"/>
        </w:rPr>
        <w:t>5</w:t>
      </w:r>
      <w:r>
        <w:rPr>
          <w:rFonts w:ascii="仿宋" w:hAnsi="仿宋" w:eastAsia="仿宋"/>
          <w:bCs/>
          <w:color w:val="auto"/>
          <w:sz w:val="21"/>
        </w:rPr>
        <w:t>）必要的法律依据；</w:t>
      </w:r>
    </w:p>
    <w:p w14:paraId="6E49F7E6">
      <w:pPr>
        <w:pStyle w:val="24"/>
        <w:snapToGrid w:val="0"/>
        <w:spacing w:line="360" w:lineRule="auto"/>
        <w:ind w:firstLine="420" w:firstLineChars="200"/>
        <w:rPr>
          <w:rFonts w:ascii="仿宋" w:hAnsi="仿宋" w:eastAsia="仿宋"/>
          <w:bCs/>
          <w:color w:val="auto"/>
          <w:sz w:val="21"/>
        </w:rPr>
      </w:pPr>
      <w:r>
        <w:rPr>
          <w:rFonts w:ascii="仿宋" w:hAnsi="仿宋" w:eastAsia="仿宋"/>
          <w:bCs/>
          <w:color w:val="auto"/>
          <w:sz w:val="21"/>
        </w:rPr>
        <w:t>（</w:t>
      </w:r>
      <w:r>
        <w:rPr>
          <w:rFonts w:hint="eastAsia" w:ascii="仿宋" w:hAnsi="仿宋" w:eastAsia="仿宋"/>
          <w:bCs/>
          <w:color w:val="auto"/>
          <w:sz w:val="21"/>
        </w:rPr>
        <w:t>6</w:t>
      </w:r>
      <w:r>
        <w:rPr>
          <w:rFonts w:ascii="仿宋" w:hAnsi="仿宋" w:eastAsia="仿宋"/>
          <w:bCs/>
          <w:color w:val="auto"/>
          <w:sz w:val="21"/>
        </w:rPr>
        <w:t>）提出质疑的日期。</w:t>
      </w:r>
    </w:p>
    <w:p w14:paraId="2B556E19">
      <w:pPr>
        <w:pStyle w:val="24"/>
        <w:snapToGrid w:val="0"/>
        <w:spacing w:line="360" w:lineRule="auto"/>
        <w:ind w:firstLine="420" w:firstLineChars="200"/>
        <w:rPr>
          <w:rFonts w:hint="eastAsia" w:ascii="仿宋" w:hAnsi="仿宋" w:eastAsia="仿宋"/>
          <w:bCs/>
          <w:color w:val="auto"/>
          <w:sz w:val="21"/>
        </w:rPr>
      </w:pPr>
      <w:r>
        <w:rPr>
          <w:rFonts w:ascii="仿宋" w:hAnsi="仿宋" w:eastAsia="仿宋"/>
          <w:bCs/>
          <w:color w:val="auto"/>
          <w:sz w:val="21"/>
        </w:rPr>
        <w:t>供应商为自然人的，应当由本人签字；供应商为法人或者其他组织的，应当由法定代表人、主要负责人，或者其委托代理人签字或者盖章，并加盖公章</w:t>
      </w:r>
      <w:r>
        <w:rPr>
          <w:rFonts w:hint="eastAsia" w:ascii="仿宋" w:hAnsi="仿宋" w:eastAsia="仿宋"/>
          <w:bCs/>
          <w:color w:val="auto"/>
          <w:sz w:val="21"/>
        </w:rPr>
        <w:t>。</w:t>
      </w:r>
    </w:p>
    <w:p w14:paraId="16740D05">
      <w:pPr>
        <w:pStyle w:val="6"/>
        <w:keepNext w:val="0"/>
        <w:keepLines w:val="0"/>
        <w:snapToGrid w:val="0"/>
        <w:spacing w:before="0" w:after="0" w:line="360" w:lineRule="auto"/>
        <w:ind w:firstLine="420" w:firstLineChars="200"/>
        <w:rPr>
          <w:rFonts w:hint="eastAsia" w:ascii="仿宋" w:hAnsi="仿宋" w:eastAsia="仿宋"/>
          <w:b w:val="0"/>
          <w:bCs/>
          <w:color w:val="auto"/>
          <w:sz w:val="21"/>
          <w:szCs w:val="21"/>
        </w:rPr>
      </w:pPr>
      <w:r>
        <w:rPr>
          <w:rFonts w:ascii="仿宋" w:hAnsi="仿宋" w:eastAsia="仿宋"/>
          <w:b w:val="0"/>
          <w:color w:val="auto"/>
          <w:sz w:val="21"/>
          <w:szCs w:val="21"/>
        </w:rPr>
        <w:t>3</w:t>
      </w:r>
      <w:r>
        <w:rPr>
          <w:rFonts w:ascii="仿宋" w:hAnsi="仿宋" w:eastAsia="仿宋"/>
          <w:b w:val="0"/>
          <w:bCs/>
          <w:color w:val="auto"/>
          <w:sz w:val="21"/>
          <w:szCs w:val="21"/>
        </w:rPr>
        <w:t>8.4</w:t>
      </w:r>
      <w:r>
        <w:rPr>
          <w:rFonts w:hint="eastAsia" w:ascii="仿宋" w:hAnsi="仿宋" w:eastAsia="仿宋"/>
          <w:b w:val="0"/>
          <w:bCs/>
          <w:color w:val="auto"/>
          <w:sz w:val="21"/>
          <w:szCs w:val="21"/>
        </w:rPr>
        <w:t>采购人、采购代理机构认为供应商质疑不成立，或者成立但未对中标结果构成影响的，继续开展采购活动；认为供应商质疑成立且影响或者可能影响中标结果的，按照下列情况处理：</w:t>
      </w:r>
    </w:p>
    <w:p w14:paraId="634FDC09">
      <w:pPr>
        <w:pStyle w:val="24"/>
        <w:snapToGrid w:val="0"/>
        <w:spacing w:line="360" w:lineRule="auto"/>
        <w:rPr>
          <w:rFonts w:hint="eastAsia" w:ascii="仿宋" w:hAnsi="仿宋" w:eastAsia="仿宋"/>
          <w:bCs/>
          <w:color w:val="auto"/>
          <w:sz w:val="21"/>
        </w:rPr>
      </w:pPr>
      <w:r>
        <w:rPr>
          <w:rFonts w:hint="eastAsia" w:ascii="仿宋" w:hAnsi="仿宋" w:eastAsia="仿宋"/>
          <w:bCs/>
          <w:color w:val="auto"/>
          <w:sz w:val="21"/>
        </w:rPr>
        <w:t>　　（1）对招标文件提出的质疑，依法通过澄清或者修改可以继续开展采购活动的，澄清或者修改招标文件后继续开展采购活动；否则应当修改招标文件后重新开展采购活动。</w:t>
      </w:r>
    </w:p>
    <w:p w14:paraId="1FF2FCE8">
      <w:pPr>
        <w:pStyle w:val="24"/>
        <w:snapToGrid w:val="0"/>
        <w:spacing w:line="360" w:lineRule="auto"/>
        <w:rPr>
          <w:rFonts w:hint="eastAsia" w:ascii="仿宋" w:hAnsi="仿宋" w:eastAsia="仿宋"/>
          <w:bCs/>
          <w:color w:val="auto"/>
          <w:sz w:val="21"/>
        </w:rPr>
      </w:pPr>
      <w:r>
        <w:rPr>
          <w:rFonts w:hint="eastAsia" w:ascii="仿宋" w:hAnsi="仿宋" w:eastAsia="仿宋"/>
          <w:bCs/>
          <w:color w:val="auto"/>
          <w:sz w:val="21"/>
        </w:rPr>
        <w:t>　　（2）对采购过程、中标结果提出的质疑，合格供应商符合法定数量时，可以从合格的中标候选人中另行确定中标供应商的，应当依法另行确定中标供应商；否则应当重新开展采购活动。</w:t>
      </w:r>
    </w:p>
    <w:p w14:paraId="68C0CA98">
      <w:pPr>
        <w:pStyle w:val="24"/>
        <w:snapToGrid w:val="0"/>
        <w:spacing w:line="360" w:lineRule="auto"/>
        <w:ind w:firstLine="420"/>
        <w:rPr>
          <w:rFonts w:ascii="仿宋" w:hAnsi="仿宋" w:eastAsia="仿宋"/>
          <w:bCs/>
          <w:color w:val="auto"/>
          <w:sz w:val="21"/>
        </w:rPr>
      </w:pPr>
      <w:r>
        <w:rPr>
          <w:rFonts w:hint="eastAsia" w:ascii="仿宋" w:hAnsi="仿宋" w:eastAsia="仿宋"/>
          <w:bCs/>
          <w:color w:val="auto"/>
          <w:sz w:val="21"/>
        </w:rPr>
        <w:t>质疑答复导致中标结果改变的，采购人或者采购代理机构应当将有关情况书面报告本级财政部门。</w:t>
      </w:r>
    </w:p>
    <w:p w14:paraId="6F535526">
      <w:pPr>
        <w:pStyle w:val="24"/>
        <w:snapToGrid w:val="0"/>
        <w:spacing w:line="360" w:lineRule="auto"/>
        <w:ind w:firstLine="420" w:firstLineChars="200"/>
        <w:rPr>
          <w:rFonts w:hint="eastAsia" w:ascii="仿宋" w:hAnsi="仿宋" w:eastAsia="仿宋"/>
          <w:color w:val="auto"/>
          <w:sz w:val="21"/>
        </w:rPr>
      </w:pPr>
      <w:r>
        <w:rPr>
          <w:rFonts w:ascii="仿宋" w:hAnsi="仿宋" w:eastAsia="仿宋"/>
          <w:color w:val="auto"/>
          <w:sz w:val="21"/>
        </w:rPr>
        <w:t>38</w:t>
      </w:r>
      <w:r>
        <w:rPr>
          <w:rFonts w:hint="eastAsia" w:ascii="仿宋" w:hAnsi="仿宋" w:eastAsia="仿宋"/>
          <w:color w:val="auto"/>
          <w:sz w:val="21"/>
        </w:rPr>
        <w:t>.</w:t>
      </w:r>
      <w:r>
        <w:rPr>
          <w:rFonts w:ascii="仿宋" w:hAnsi="仿宋" w:eastAsia="仿宋"/>
          <w:color w:val="auto"/>
          <w:sz w:val="21"/>
        </w:rPr>
        <w:t>5</w:t>
      </w:r>
      <w:r>
        <w:rPr>
          <w:rFonts w:hint="eastAsia" w:ascii="仿宋" w:hAnsi="仿宋" w:eastAsia="仿宋"/>
          <w:color w:val="auto"/>
          <w:sz w:val="2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25" w:name="_八、其他事项"/>
      <w:bookmarkEnd w:id="125"/>
    </w:p>
    <w:p w14:paraId="19129545">
      <w:pPr>
        <w:pStyle w:val="24"/>
        <w:snapToGrid w:val="0"/>
        <w:spacing w:line="360" w:lineRule="auto"/>
        <w:ind w:firstLine="400" w:firstLineChars="200"/>
        <w:rPr>
          <w:rFonts w:hint="eastAsia" w:ascii="仿宋" w:hAnsi="仿宋" w:eastAsia="仿宋"/>
          <w:color w:val="auto"/>
        </w:rPr>
      </w:pPr>
    </w:p>
    <w:p w14:paraId="7AB0366D">
      <w:pPr>
        <w:pStyle w:val="4"/>
        <w:keepNext w:val="0"/>
        <w:keepLines w:val="0"/>
        <w:jc w:val="center"/>
        <w:rPr>
          <w:rFonts w:hint="eastAsia" w:ascii="仿宋" w:hAnsi="仿宋" w:eastAsia="仿宋"/>
          <w:color w:val="auto"/>
        </w:rPr>
      </w:pPr>
      <w:r>
        <w:rPr>
          <w:rFonts w:hint="eastAsia" w:ascii="仿宋" w:hAnsi="仿宋" w:eastAsia="仿宋"/>
          <w:color w:val="auto"/>
        </w:rPr>
        <w:t>八、其他事项</w:t>
      </w:r>
    </w:p>
    <w:p w14:paraId="2234CD45">
      <w:pPr>
        <w:pStyle w:val="6"/>
        <w:keepNext w:val="0"/>
        <w:keepLines w:val="0"/>
        <w:spacing w:before="0" w:after="0" w:line="360" w:lineRule="auto"/>
        <w:ind w:left="420" w:leftChars="200"/>
        <w:rPr>
          <w:rFonts w:hint="eastAsia" w:ascii="仿宋" w:hAnsi="仿宋" w:eastAsia="仿宋"/>
          <w:color w:val="auto"/>
          <w:sz w:val="24"/>
        </w:rPr>
      </w:pPr>
      <w:bookmarkStart w:id="126" w:name="_42.代理服务费"/>
      <w:bookmarkEnd w:id="126"/>
      <w:r>
        <w:rPr>
          <w:rFonts w:hint="eastAsia" w:ascii="仿宋" w:hAnsi="仿宋" w:eastAsia="仿宋"/>
          <w:color w:val="auto"/>
          <w:sz w:val="24"/>
        </w:rPr>
        <w:t>3</w:t>
      </w:r>
      <w:r>
        <w:rPr>
          <w:rFonts w:ascii="仿宋" w:hAnsi="仿宋" w:eastAsia="仿宋"/>
          <w:color w:val="auto"/>
          <w:sz w:val="24"/>
        </w:rPr>
        <w:t>9</w:t>
      </w:r>
      <w:r>
        <w:rPr>
          <w:rFonts w:hint="eastAsia" w:ascii="仿宋" w:hAnsi="仿宋" w:eastAsia="仿宋"/>
          <w:color w:val="auto"/>
          <w:sz w:val="24"/>
        </w:rPr>
        <w:t>.代理服务费</w:t>
      </w:r>
    </w:p>
    <w:p w14:paraId="650AC747">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3</w:t>
      </w:r>
      <w:r>
        <w:rPr>
          <w:rFonts w:ascii="仿宋" w:hAnsi="仿宋" w:eastAsia="仿宋"/>
          <w:color w:val="auto"/>
          <w:sz w:val="21"/>
        </w:rPr>
        <w:t>9</w:t>
      </w:r>
      <w:r>
        <w:rPr>
          <w:rFonts w:hint="eastAsia" w:ascii="仿宋" w:hAnsi="仿宋" w:eastAsia="仿宋"/>
          <w:color w:val="auto"/>
          <w:sz w:val="21"/>
        </w:rPr>
        <w:t>.1代理服务收取标准及缴费账户详见“投标人须知前附表”，投标人为联合体的，可以由联合体中的一方或者多方共同交纳代理服务费。</w:t>
      </w:r>
    </w:p>
    <w:p w14:paraId="246D8EF1">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3</w:t>
      </w:r>
      <w:r>
        <w:rPr>
          <w:rFonts w:ascii="仿宋" w:hAnsi="仿宋" w:eastAsia="仿宋"/>
          <w:color w:val="auto"/>
          <w:sz w:val="21"/>
        </w:rPr>
        <w:t>9</w:t>
      </w:r>
      <w:r>
        <w:rPr>
          <w:rFonts w:hint="eastAsia" w:ascii="仿宋" w:hAnsi="仿宋" w:eastAsia="仿宋"/>
          <w:color w:val="auto"/>
          <w:sz w:val="21"/>
        </w:rPr>
        <w:t>.2代理服务收费标准：</w:t>
      </w:r>
    </w:p>
    <w:p w14:paraId="1179484E">
      <w:pPr>
        <w:pStyle w:val="24"/>
        <w:snapToGrid w:val="0"/>
        <w:spacing w:line="360" w:lineRule="auto"/>
        <w:ind w:firstLine="420" w:firstLineChars="200"/>
        <w:rPr>
          <w:rFonts w:hint="eastAsia" w:ascii="仿宋" w:hAnsi="仿宋" w:eastAsia="仿宋"/>
          <w:color w:val="auto"/>
          <w:sz w:val="21"/>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44B6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tcPr>
          <w:p w14:paraId="0C6DE85B">
            <w:pPr>
              <w:spacing w:line="360" w:lineRule="auto"/>
              <w:rPr>
                <w:rFonts w:hint="eastAsia" w:ascii="仿宋" w:hAnsi="仿宋" w:eastAsia="仿宋"/>
                <w:color w:val="auto"/>
                <w:szCs w:val="21"/>
              </w:rPr>
            </w:pPr>
            <w:r>
              <w:rPr>
                <w:rFonts w:hint="eastAsia" w:ascii="仿宋" w:hAnsi="仿宋" w:eastAsia="仿宋"/>
                <w:color w:val="auto"/>
                <w:szCs w:val="21"/>
              </w:rPr>
              <w:t xml:space="preserve">               费率</w:t>
            </w:r>
          </w:p>
          <w:p w14:paraId="4242BCDC">
            <w:pPr>
              <w:spacing w:line="360" w:lineRule="auto"/>
              <w:rPr>
                <w:rFonts w:hint="eastAsia" w:ascii="仿宋" w:hAnsi="仿宋" w:eastAsia="仿宋"/>
                <w:color w:val="auto"/>
                <w:szCs w:val="21"/>
              </w:rPr>
            </w:pPr>
            <w:r>
              <w:rPr>
                <w:rFonts w:hint="eastAsia" w:ascii="仿宋" w:hAnsi="仿宋" w:eastAsia="仿宋"/>
                <w:color w:val="auto"/>
                <w:szCs w:val="21"/>
              </w:rPr>
              <w:t>中标金额</w:t>
            </w:r>
          </w:p>
        </w:tc>
        <w:tc>
          <w:tcPr>
            <w:tcW w:w="1659" w:type="dxa"/>
            <w:vAlign w:val="center"/>
          </w:tcPr>
          <w:p w14:paraId="1E444029">
            <w:pPr>
              <w:spacing w:line="360" w:lineRule="auto"/>
              <w:ind w:firstLine="105" w:firstLineChars="50"/>
              <w:jc w:val="center"/>
              <w:rPr>
                <w:rFonts w:hint="eastAsia" w:ascii="仿宋" w:hAnsi="仿宋" w:eastAsia="仿宋"/>
                <w:color w:val="auto"/>
                <w:szCs w:val="21"/>
              </w:rPr>
            </w:pPr>
            <w:r>
              <w:rPr>
                <w:rFonts w:hint="eastAsia" w:ascii="仿宋" w:hAnsi="仿宋" w:eastAsia="仿宋"/>
                <w:color w:val="auto"/>
                <w:szCs w:val="21"/>
              </w:rPr>
              <w:t>货物招标</w:t>
            </w:r>
          </w:p>
        </w:tc>
        <w:tc>
          <w:tcPr>
            <w:tcW w:w="1687" w:type="dxa"/>
            <w:vAlign w:val="center"/>
          </w:tcPr>
          <w:p w14:paraId="465B8610">
            <w:pPr>
              <w:spacing w:line="360" w:lineRule="auto"/>
              <w:jc w:val="center"/>
              <w:rPr>
                <w:rFonts w:hint="eastAsia" w:ascii="仿宋" w:hAnsi="仿宋" w:eastAsia="仿宋"/>
                <w:color w:val="auto"/>
                <w:szCs w:val="21"/>
              </w:rPr>
            </w:pPr>
            <w:r>
              <w:rPr>
                <w:rFonts w:hint="eastAsia" w:ascii="仿宋" w:hAnsi="仿宋" w:eastAsia="仿宋"/>
                <w:color w:val="auto"/>
                <w:szCs w:val="21"/>
              </w:rPr>
              <w:t>服务招标</w:t>
            </w:r>
          </w:p>
        </w:tc>
        <w:tc>
          <w:tcPr>
            <w:tcW w:w="1659" w:type="dxa"/>
            <w:vAlign w:val="center"/>
          </w:tcPr>
          <w:p w14:paraId="46543779">
            <w:pPr>
              <w:spacing w:line="360" w:lineRule="auto"/>
              <w:jc w:val="center"/>
              <w:rPr>
                <w:rFonts w:hint="eastAsia" w:ascii="仿宋" w:hAnsi="仿宋" w:eastAsia="仿宋"/>
                <w:color w:val="auto"/>
                <w:szCs w:val="21"/>
              </w:rPr>
            </w:pPr>
            <w:r>
              <w:rPr>
                <w:rFonts w:hint="eastAsia" w:ascii="仿宋" w:hAnsi="仿宋" w:eastAsia="仿宋"/>
                <w:color w:val="auto"/>
                <w:szCs w:val="21"/>
              </w:rPr>
              <w:t>工程招标</w:t>
            </w:r>
          </w:p>
        </w:tc>
      </w:tr>
      <w:tr w14:paraId="7FDB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545CB4C9">
            <w:pPr>
              <w:spacing w:line="360" w:lineRule="auto"/>
              <w:rPr>
                <w:rFonts w:hint="eastAsia" w:ascii="仿宋" w:hAnsi="仿宋" w:eastAsia="仿宋"/>
                <w:color w:val="auto"/>
                <w:szCs w:val="21"/>
              </w:rPr>
            </w:pPr>
            <w:r>
              <w:rPr>
                <w:rFonts w:hint="eastAsia" w:ascii="仿宋" w:hAnsi="仿宋" w:eastAsia="仿宋"/>
                <w:color w:val="auto"/>
                <w:szCs w:val="21"/>
              </w:rPr>
              <w:t>100万元以下</w:t>
            </w:r>
          </w:p>
        </w:tc>
        <w:tc>
          <w:tcPr>
            <w:tcW w:w="1659" w:type="dxa"/>
          </w:tcPr>
          <w:p w14:paraId="40BF9FFB">
            <w:pPr>
              <w:spacing w:line="360" w:lineRule="auto"/>
              <w:rPr>
                <w:rFonts w:ascii="仿宋" w:hAnsi="仿宋" w:eastAsia="仿宋"/>
                <w:color w:val="auto"/>
                <w:szCs w:val="21"/>
              </w:rPr>
            </w:pPr>
            <w:r>
              <w:rPr>
                <w:rFonts w:hint="eastAsia" w:ascii="仿宋" w:hAnsi="仿宋" w:eastAsia="仿宋" w:cs="宋体"/>
                <w:color w:val="auto"/>
                <w:kern w:val="0"/>
                <w:szCs w:val="21"/>
              </w:rPr>
              <w:t xml:space="preserve">  </w:t>
            </w:r>
            <w:r>
              <w:rPr>
                <w:rFonts w:ascii="仿宋" w:hAnsi="仿宋" w:eastAsia="仿宋" w:cs="宋体"/>
                <w:color w:val="auto"/>
                <w:kern w:val="0"/>
                <w:szCs w:val="21"/>
              </w:rPr>
              <w:t xml:space="preserve">1.5% </w:t>
            </w:r>
            <w:r>
              <w:rPr>
                <w:rFonts w:hint="eastAsia" w:ascii="仿宋" w:hAnsi="仿宋" w:eastAsia="仿宋" w:cs="宋体"/>
                <w:color w:val="auto"/>
                <w:kern w:val="0"/>
                <w:szCs w:val="21"/>
              </w:rPr>
              <w:t xml:space="preserve">          </w:t>
            </w:r>
            <w:r>
              <w:rPr>
                <w:rFonts w:ascii="仿宋" w:hAnsi="仿宋" w:eastAsia="仿宋" w:cs="宋体"/>
                <w:color w:val="auto"/>
                <w:kern w:val="0"/>
                <w:szCs w:val="21"/>
              </w:rPr>
              <w:t xml:space="preserve"> </w:t>
            </w:r>
            <w:r>
              <w:rPr>
                <w:rFonts w:hint="eastAsia" w:ascii="仿宋" w:hAnsi="仿宋" w:eastAsia="仿宋" w:cs="宋体"/>
                <w:color w:val="auto"/>
                <w:kern w:val="0"/>
                <w:szCs w:val="21"/>
              </w:rPr>
              <w:t xml:space="preserve">    </w:t>
            </w:r>
          </w:p>
        </w:tc>
        <w:tc>
          <w:tcPr>
            <w:tcW w:w="1687" w:type="dxa"/>
          </w:tcPr>
          <w:p w14:paraId="2BC3F0BE">
            <w:pPr>
              <w:spacing w:line="360" w:lineRule="auto"/>
              <w:ind w:firstLine="210" w:firstLineChars="100"/>
              <w:rPr>
                <w:rFonts w:ascii="仿宋" w:hAnsi="仿宋" w:eastAsia="仿宋"/>
                <w:color w:val="auto"/>
                <w:szCs w:val="21"/>
              </w:rPr>
            </w:pPr>
            <w:r>
              <w:rPr>
                <w:rFonts w:ascii="仿宋" w:hAnsi="仿宋" w:eastAsia="仿宋" w:cs="宋体"/>
                <w:color w:val="auto"/>
                <w:kern w:val="0"/>
                <w:szCs w:val="21"/>
              </w:rPr>
              <w:t>1.5%</w:t>
            </w:r>
          </w:p>
        </w:tc>
        <w:tc>
          <w:tcPr>
            <w:tcW w:w="1659" w:type="dxa"/>
          </w:tcPr>
          <w:p w14:paraId="391A1532">
            <w:pPr>
              <w:spacing w:line="360" w:lineRule="auto"/>
              <w:ind w:firstLine="210" w:firstLineChars="100"/>
              <w:rPr>
                <w:rFonts w:hint="eastAsia" w:ascii="仿宋" w:hAnsi="仿宋" w:eastAsia="仿宋"/>
                <w:color w:val="auto"/>
                <w:szCs w:val="21"/>
              </w:rPr>
            </w:pPr>
            <w:r>
              <w:rPr>
                <w:rFonts w:ascii="仿宋" w:hAnsi="仿宋" w:eastAsia="仿宋" w:cs="宋体"/>
                <w:color w:val="auto"/>
                <w:kern w:val="0"/>
                <w:szCs w:val="21"/>
              </w:rPr>
              <w:t xml:space="preserve">1.0% </w:t>
            </w:r>
          </w:p>
        </w:tc>
      </w:tr>
      <w:tr w14:paraId="474F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11E9BCB1">
            <w:pPr>
              <w:spacing w:line="360" w:lineRule="auto"/>
              <w:rPr>
                <w:rFonts w:hint="eastAsia" w:ascii="仿宋" w:hAnsi="仿宋" w:eastAsia="仿宋"/>
                <w:color w:val="auto"/>
                <w:szCs w:val="21"/>
              </w:rPr>
            </w:pPr>
            <w:r>
              <w:rPr>
                <w:rFonts w:hint="eastAsia" w:ascii="仿宋" w:hAnsi="仿宋" w:eastAsia="仿宋"/>
                <w:color w:val="auto"/>
                <w:szCs w:val="21"/>
              </w:rPr>
              <w:t>100～500万元</w:t>
            </w:r>
          </w:p>
        </w:tc>
        <w:tc>
          <w:tcPr>
            <w:tcW w:w="1659" w:type="dxa"/>
          </w:tcPr>
          <w:p w14:paraId="79CD83D3">
            <w:pPr>
              <w:spacing w:line="360" w:lineRule="auto"/>
              <w:ind w:firstLine="210" w:firstLineChars="100"/>
              <w:rPr>
                <w:rFonts w:ascii="仿宋" w:hAnsi="仿宋" w:eastAsia="仿宋"/>
                <w:color w:val="auto"/>
                <w:szCs w:val="21"/>
              </w:rPr>
            </w:pPr>
            <w:r>
              <w:rPr>
                <w:rFonts w:ascii="仿宋" w:hAnsi="仿宋" w:eastAsia="仿宋" w:cs="宋体"/>
                <w:color w:val="auto"/>
                <w:kern w:val="0"/>
                <w:szCs w:val="21"/>
              </w:rPr>
              <w:t xml:space="preserve">1.1% </w:t>
            </w:r>
            <w:r>
              <w:rPr>
                <w:rFonts w:hint="eastAsia" w:ascii="仿宋" w:hAnsi="仿宋" w:eastAsia="仿宋" w:cs="宋体"/>
                <w:color w:val="auto"/>
                <w:kern w:val="0"/>
                <w:szCs w:val="21"/>
              </w:rPr>
              <w:t xml:space="preserve">                </w:t>
            </w:r>
          </w:p>
        </w:tc>
        <w:tc>
          <w:tcPr>
            <w:tcW w:w="1687" w:type="dxa"/>
          </w:tcPr>
          <w:p w14:paraId="06DFD869">
            <w:pPr>
              <w:spacing w:line="360" w:lineRule="auto"/>
              <w:ind w:firstLine="210" w:firstLineChars="100"/>
              <w:rPr>
                <w:rFonts w:ascii="仿宋" w:hAnsi="仿宋" w:eastAsia="仿宋"/>
                <w:color w:val="auto"/>
                <w:szCs w:val="21"/>
              </w:rPr>
            </w:pPr>
            <w:r>
              <w:rPr>
                <w:rFonts w:ascii="仿宋" w:hAnsi="仿宋" w:eastAsia="仿宋" w:cs="宋体"/>
                <w:color w:val="auto"/>
                <w:kern w:val="0"/>
                <w:szCs w:val="21"/>
              </w:rPr>
              <w:t>0.8%</w:t>
            </w:r>
          </w:p>
        </w:tc>
        <w:tc>
          <w:tcPr>
            <w:tcW w:w="1659" w:type="dxa"/>
          </w:tcPr>
          <w:p w14:paraId="112E9278">
            <w:pPr>
              <w:spacing w:line="360" w:lineRule="auto"/>
              <w:ind w:firstLine="210" w:firstLineChars="100"/>
              <w:rPr>
                <w:rFonts w:hint="eastAsia" w:ascii="仿宋" w:hAnsi="仿宋" w:eastAsia="仿宋"/>
                <w:color w:val="auto"/>
                <w:szCs w:val="21"/>
              </w:rPr>
            </w:pPr>
            <w:r>
              <w:rPr>
                <w:rFonts w:ascii="仿宋" w:hAnsi="仿宋" w:eastAsia="仿宋" w:cs="宋体"/>
                <w:color w:val="auto"/>
                <w:kern w:val="0"/>
                <w:szCs w:val="21"/>
              </w:rPr>
              <w:t xml:space="preserve">0.7% </w:t>
            </w:r>
          </w:p>
        </w:tc>
      </w:tr>
      <w:tr w14:paraId="76C3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76704CBF">
            <w:pPr>
              <w:spacing w:line="360" w:lineRule="auto"/>
              <w:rPr>
                <w:rFonts w:hint="eastAsia" w:ascii="仿宋" w:hAnsi="仿宋" w:eastAsia="仿宋"/>
                <w:color w:val="auto"/>
                <w:szCs w:val="21"/>
              </w:rPr>
            </w:pPr>
            <w:r>
              <w:rPr>
                <w:rFonts w:hint="eastAsia" w:ascii="仿宋" w:hAnsi="仿宋" w:eastAsia="仿宋"/>
                <w:color w:val="auto"/>
                <w:szCs w:val="21"/>
              </w:rPr>
              <w:t>500～1000万元</w:t>
            </w:r>
          </w:p>
        </w:tc>
        <w:tc>
          <w:tcPr>
            <w:tcW w:w="1659" w:type="dxa"/>
          </w:tcPr>
          <w:p w14:paraId="7E3B4ECC">
            <w:pPr>
              <w:spacing w:line="360" w:lineRule="auto"/>
              <w:rPr>
                <w:rFonts w:ascii="仿宋" w:hAnsi="仿宋" w:eastAsia="仿宋"/>
                <w:color w:val="auto"/>
                <w:szCs w:val="21"/>
              </w:rPr>
            </w:pPr>
            <w:r>
              <w:rPr>
                <w:rFonts w:hint="eastAsia" w:ascii="仿宋" w:hAnsi="仿宋" w:eastAsia="仿宋" w:cs="宋体"/>
                <w:color w:val="auto"/>
                <w:kern w:val="0"/>
                <w:szCs w:val="21"/>
              </w:rPr>
              <w:t xml:space="preserve">  </w:t>
            </w:r>
            <w:r>
              <w:rPr>
                <w:rFonts w:ascii="仿宋" w:hAnsi="仿宋" w:eastAsia="仿宋" w:cs="宋体"/>
                <w:color w:val="auto"/>
                <w:kern w:val="0"/>
                <w:szCs w:val="21"/>
              </w:rPr>
              <w:t xml:space="preserve">0.8% </w:t>
            </w:r>
            <w:r>
              <w:rPr>
                <w:rFonts w:hint="eastAsia" w:ascii="仿宋" w:hAnsi="仿宋" w:eastAsia="仿宋" w:cs="宋体"/>
                <w:color w:val="auto"/>
                <w:kern w:val="0"/>
                <w:szCs w:val="21"/>
              </w:rPr>
              <w:t xml:space="preserve">               </w:t>
            </w:r>
          </w:p>
        </w:tc>
        <w:tc>
          <w:tcPr>
            <w:tcW w:w="1687" w:type="dxa"/>
          </w:tcPr>
          <w:p w14:paraId="7EE59377">
            <w:pPr>
              <w:spacing w:line="360" w:lineRule="auto"/>
              <w:ind w:firstLine="210" w:firstLineChars="100"/>
              <w:rPr>
                <w:rFonts w:ascii="仿宋" w:hAnsi="仿宋" w:eastAsia="仿宋"/>
                <w:color w:val="auto"/>
                <w:szCs w:val="21"/>
              </w:rPr>
            </w:pPr>
            <w:r>
              <w:rPr>
                <w:rFonts w:ascii="仿宋" w:hAnsi="仿宋" w:eastAsia="仿宋" w:cs="宋体"/>
                <w:color w:val="auto"/>
                <w:kern w:val="0"/>
                <w:szCs w:val="21"/>
              </w:rPr>
              <w:t>0.45%</w:t>
            </w:r>
          </w:p>
        </w:tc>
        <w:tc>
          <w:tcPr>
            <w:tcW w:w="1659" w:type="dxa"/>
          </w:tcPr>
          <w:p w14:paraId="2F376D08">
            <w:pPr>
              <w:spacing w:line="360" w:lineRule="auto"/>
              <w:ind w:firstLine="210" w:firstLineChars="100"/>
              <w:rPr>
                <w:rFonts w:ascii="仿宋" w:hAnsi="仿宋" w:eastAsia="仿宋"/>
                <w:color w:val="auto"/>
                <w:szCs w:val="21"/>
              </w:rPr>
            </w:pPr>
            <w:r>
              <w:rPr>
                <w:rFonts w:ascii="仿宋" w:hAnsi="仿宋" w:eastAsia="仿宋" w:cs="宋体"/>
                <w:color w:val="auto"/>
                <w:kern w:val="0"/>
                <w:szCs w:val="21"/>
              </w:rPr>
              <w:t>0.55%</w:t>
            </w:r>
          </w:p>
        </w:tc>
      </w:tr>
      <w:tr w14:paraId="3012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65D8EF00">
            <w:pPr>
              <w:spacing w:line="360" w:lineRule="auto"/>
              <w:rPr>
                <w:rFonts w:hint="eastAsia" w:ascii="仿宋" w:hAnsi="仿宋" w:eastAsia="仿宋"/>
                <w:color w:val="auto"/>
                <w:szCs w:val="21"/>
              </w:rPr>
            </w:pPr>
            <w:r>
              <w:rPr>
                <w:rFonts w:hint="eastAsia" w:ascii="仿宋" w:hAnsi="仿宋" w:eastAsia="仿宋"/>
                <w:color w:val="auto"/>
                <w:szCs w:val="21"/>
              </w:rPr>
              <w:t>1000～5000万元</w:t>
            </w:r>
          </w:p>
        </w:tc>
        <w:tc>
          <w:tcPr>
            <w:tcW w:w="1659" w:type="dxa"/>
          </w:tcPr>
          <w:p w14:paraId="0E78FF33">
            <w:pPr>
              <w:spacing w:line="360" w:lineRule="auto"/>
              <w:ind w:firstLine="210" w:firstLineChars="100"/>
              <w:rPr>
                <w:rFonts w:ascii="仿宋" w:hAnsi="仿宋" w:eastAsia="仿宋"/>
                <w:color w:val="auto"/>
                <w:szCs w:val="21"/>
              </w:rPr>
            </w:pPr>
            <w:r>
              <w:rPr>
                <w:rFonts w:ascii="仿宋" w:hAnsi="仿宋" w:eastAsia="仿宋" w:cs="宋体"/>
                <w:color w:val="auto"/>
                <w:kern w:val="0"/>
                <w:szCs w:val="21"/>
              </w:rPr>
              <w:t xml:space="preserve">0.5% </w:t>
            </w:r>
            <w:r>
              <w:rPr>
                <w:rFonts w:hint="eastAsia" w:ascii="仿宋" w:hAnsi="仿宋" w:eastAsia="仿宋" w:cs="宋体"/>
                <w:color w:val="auto"/>
                <w:kern w:val="0"/>
                <w:szCs w:val="21"/>
              </w:rPr>
              <w:t xml:space="preserve">               </w:t>
            </w:r>
          </w:p>
        </w:tc>
        <w:tc>
          <w:tcPr>
            <w:tcW w:w="1687" w:type="dxa"/>
          </w:tcPr>
          <w:p w14:paraId="32DCF3EA">
            <w:pPr>
              <w:spacing w:line="360" w:lineRule="auto"/>
              <w:ind w:firstLine="210" w:firstLineChars="100"/>
              <w:rPr>
                <w:rFonts w:ascii="仿宋" w:hAnsi="仿宋" w:eastAsia="仿宋"/>
                <w:color w:val="auto"/>
                <w:szCs w:val="21"/>
              </w:rPr>
            </w:pPr>
            <w:r>
              <w:rPr>
                <w:rFonts w:ascii="仿宋" w:hAnsi="仿宋" w:eastAsia="仿宋" w:cs="宋体"/>
                <w:color w:val="auto"/>
                <w:kern w:val="0"/>
                <w:szCs w:val="21"/>
              </w:rPr>
              <w:t>0.25%</w:t>
            </w:r>
          </w:p>
        </w:tc>
        <w:tc>
          <w:tcPr>
            <w:tcW w:w="1659" w:type="dxa"/>
          </w:tcPr>
          <w:p w14:paraId="27A4B408">
            <w:pPr>
              <w:spacing w:line="360" w:lineRule="auto"/>
              <w:ind w:firstLine="210" w:firstLineChars="100"/>
              <w:rPr>
                <w:rFonts w:hint="eastAsia" w:ascii="仿宋" w:hAnsi="仿宋" w:eastAsia="仿宋"/>
                <w:color w:val="auto"/>
                <w:szCs w:val="21"/>
              </w:rPr>
            </w:pPr>
            <w:r>
              <w:rPr>
                <w:rFonts w:ascii="仿宋" w:hAnsi="仿宋" w:eastAsia="仿宋" w:cs="宋体"/>
                <w:color w:val="auto"/>
                <w:kern w:val="0"/>
                <w:szCs w:val="21"/>
              </w:rPr>
              <w:t xml:space="preserve">0.35% </w:t>
            </w:r>
          </w:p>
        </w:tc>
      </w:tr>
      <w:tr w14:paraId="6A80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4AD5D7CC">
            <w:pPr>
              <w:spacing w:line="360" w:lineRule="auto"/>
              <w:rPr>
                <w:rFonts w:hint="eastAsia" w:ascii="仿宋" w:hAnsi="仿宋" w:eastAsia="仿宋"/>
                <w:color w:val="auto"/>
                <w:szCs w:val="21"/>
              </w:rPr>
            </w:pPr>
            <w:r>
              <w:rPr>
                <w:rFonts w:hint="eastAsia" w:ascii="仿宋" w:hAnsi="仿宋" w:eastAsia="仿宋"/>
                <w:color w:val="auto"/>
                <w:szCs w:val="21"/>
              </w:rPr>
              <w:t>5000万元～1亿元</w:t>
            </w:r>
          </w:p>
        </w:tc>
        <w:tc>
          <w:tcPr>
            <w:tcW w:w="1659" w:type="dxa"/>
          </w:tcPr>
          <w:p w14:paraId="0A25411A">
            <w:pPr>
              <w:spacing w:line="360" w:lineRule="auto"/>
              <w:ind w:firstLine="210" w:firstLineChars="100"/>
              <w:rPr>
                <w:rFonts w:hint="eastAsia" w:ascii="仿宋" w:hAnsi="仿宋" w:eastAsia="仿宋"/>
                <w:color w:val="auto"/>
                <w:szCs w:val="21"/>
              </w:rPr>
            </w:pPr>
            <w:r>
              <w:rPr>
                <w:rFonts w:ascii="仿宋" w:hAnsi="仿宋" w:eastAsia="仿宋" w:cs="宋体"/>
                <w:color w:val="auto"/>
                <w:kern w:val="0"/>
                <w:szCs w:val="21"/>
              </w:rPr>
              <w:t xml:space="preserve">0.25% </w:t>
            </w:r>
            <w:r>
              <w:rPr>
                <w:rFonts w:hint="eastAsia" w:ascii="仿宋" w:hAnsi="仿宋" w:eastAsia="仿宋" w:cs="宋体"/>
                <w:color w:val="auto"/>
                <w:kern w:val="0"/>
                <w:szCs w:val="21"/>
              </w:rPr>
              <w:t xml:space="preserve">      </w:t>
            </w:r>
            <w:r>
              <w:rPr>
                <w:rFonts w:ascii="仿宋" w:hAnsi="仿宋" w:eastAsia="仿宋" w:cs="宋体"/>
                <w:color w:val="auto"/>
                <w:kern w:val="0"/>
                <w:szCs w:val="21"/>
              </w:rPr>
              <w:t xml:space="preserve"> </w:t>
            </w:r>
            <w:r>
              <w:rPr>
                <w:rFonts w:hint="eastAsia" w:ascii="仿宋" w:hAnsi="仿宋" w:eastAsia="仿宋" w:cs="宋体"/>
                <w:color w:val="auto"/>
                <w:kern w:val="0"/>
                <w:szCs w:val="21"/>
              </w:rPr>
              <w:t xml:space="preserve">         </w:t>
            </w:r>
          </w:p>
        </w:tc>
        <w:tc>
          <w:tcPr>
            <w:tcW w:w="1687" w:type="dxa"/>
          </w:tcPr>
          <w:p w14:paraId="5259272C">
            <w:pPr>
              <w:spacing w:line="360" w:lineRule="auto"/>
              <w:ind w:firstLine="210" w:firstLineChars="100"/>
              <w:rPr>
                <w:rFonts w:ascii="仿宋" w:hAnsi="仿宋" w:eastAsia="仿宋"/>
                <w:color w:val="auto"/>
                <w:szCs w:val="21"/>
              </w:rPr>
            </w:pPr>
            <w:r>
              <w:rPr>
                <w:rFonts w:ascii="仿宋" w:hAnsi="仿宋" w:eastAsia="仿宋" w:cs="宋体"/>
                <w:color w:val="auto"/>
                <w:kern w:val="0"/>
                <w:szCs w:val="21"/>
              </w:rPr>
              <w:t>0.1%</w:t>
            </w:r>
          </w:p>
        </w:tc>
        <w:tc>
          <w:tcPr>
            <w:tcW w:w="1659" w:type="dxa"/>
          </w:tcPr>
          <w:p w14:paraId="39678780">
            <w:pPr>
              <w:spacing w:line="360" w:lineRule="auto"/>
              <w:ind w:firstLine="210" w:firstLineChars="100"/>
              <w:rPr>
                <w:rFonts w:ascii="仿宋" w:hAnsi="仿宋" w:eastAsia="仿宋"/>
                <w:color w:val="auto"/>
                <w:szCs w:val="21"/>
              </w:rPr>
            </w:pPr>
            <w:r>
              <w:rPr>
                <w:rFonts w:ascii="仿宋" w:hAnsi="仿宋" w:eastAsia="仿宋" w:cs="宋体"/>
                <w:color w:val="auto"/>
                <w:kern w:val="0"/>
                <w:szCs w:val="21"/>
              </w:rPr>
              <w:t>0.2%</w:t>
            </w:r>
          </w:p>
        </w:tc>
      </w:tr>
    </w:tbl>
    <w:p w14:paraId="02752E98">
      <w:pPr>
        <w:spacing w:line="360" w:lineRule="auto"/>
        <w:ind w:firstLine="420" w:firstLineChars="200"/>
        <w:rPr>
          <w:rFonts w:ascii="仿宋" w:hAnsi="仿宋" w:eastAsia="仿宋" w:cs="宋体"/>
          <w:color w:val="auto"/>
          <w:szCs w:val="21"/>
        </w:rPr>
      </w:pPr>
      <w:r>
        <w:rPr>
          <w:rFonts w:hint="eastAsia" w:ascii="仿宋" w:hAnsi="仿宋" w:eastAsia="仿宋"/>
          <w:color w:val="auto"/>
          <w:szCs w:val="21"/>
        </w:rPr>
        <w:t>注:</w:t>
      </w:r>
      <w:r>
        <w:rPr>
          <w:rFonts w:ascii="仿宋" w:hAnsi="仿宋" w:eastAsia="仿宋" w:cs="宋体"/>
          <w:color w:val="auto"/>
          <w:szCs w:val="21"/>
        </w:rPr>
        <w:t xml:space="preserve"> </w:t>
      </w:r>
    </w:p>
    <w:p w14:paraId="118C2DF1">
      <w:pPr>
        <w:spacing w:line="360" w:lineRule="auto"/>
        <w:ind w:firstLine="420" w:firstLineChars="200"/>
        <w:rPr>
          <w:rFonts w:ascii="仿宋" w:hAnsi="仿宋" w:eastAsia="仿宋" w:cs="宋体"/>
          <w:color w:val="auto"/>
          <w:kern w:val="0"/>
          <w:szCs w:val="21"/>
        </w:rPr>
      </w:pPr>
      <w:r>
        <w:rPr>
          <w:rFonts w:hint="eastAsia" w:ascii="仿宋" w:hAnsi="仿宋" w:eastAsia="仿宋" w:cs="宋体"/>
          <w:color w:val="auto"/>
          <w:kern w:val="0"/>
          <w:szCs w:val="21"/>
        </w:rPr>
        <w:t>（1）</w:t>
      </w:r>
      <w:r>
        <w:rPr>
          <w:rFonts w:ascii="仿宋" w:hAnsi="仿宋" w:eastAsia="仿宋" w:cs="宋体"/>
          <w:color w:val="auto"/>
          <w:kern w:val="0"/>
          <w:szCs w:val="21"/>
        </w:rPr>
        <w:t>按本表费率计算的收费为</w:t>
      </w:r>
      <w:r>
        <w:rPr>
          <w:rFonts w:hint="eastAsia" w:ascii="仿宋" w:hAnsi="仿宋" w:eastAsia="仿宋" w:cs="宋体"/>
          <w:color w:val="auto"/>
          <w:kern w:val="0"/>
          <w:szCs w:val="21"/>
        </w:rPr>
        <w:t>采购</w:t>
      </w:r>
      <w:r>
        <w:rPr>
          <w:rFonts w:ascii="仿宋" w:hAnsi="仿宋" w:eastAsia="仿宋" w:cs="宋体"/>
          <w:color w:val="auto"/>
          <w:kern w:val="0"/>
          <w:szCs w:val="21"/>
        </w:rPr>
        <w:t>代理的收费基准价格</w:t>
      </w:r>
      <w:r>
        <w:rPr>
          <w:rFonts w:hint="eastAsia" w:ascii="仿宋" w:hAnsi="仿宋" w:eastAsia="仿宋" w:cs="宋体"/>
          <w:color w:val="auto"/>
          <w:kern w:val="0"/>
          <w:szCs w:val="21"/>
        </w:rPr>
        <w:t>；</w:t>
      </w:r>
    </w:p>
    <w:p w14:paraId="4BC0F6D0">
      <w:pPr>
        <w:spacing w:line="360" w:lineRule="auto"/>
        <w:ind w:firstLine="420" w:firstLineChars="200"/>
        <w:rPr>
          <w:rFonts w:ascii="仿宋" w:hAnsi="仿宋" w:eastAsia="仿宋" w:cs="宋体"/>
          <w:color w:val="auto"/>
          <w:kern w:val="0"/>
          <w:szCs w:val="21"/>
        </w:rPr>
      </w:pPr>
      <w:r>
        <w:rPr>
          <w:rFonts w:hint="eastAsia" w:ascii="仿宋" w:hAnsi="仿宋" w:eastAsia="仿宋" w:cs="宋体"/>
          <w:color w:val="auto"/>
          <w:kern w:val="0"/>
          <w:szCs w:val="21"/>
        </w:rPr>
        <w:t>（2）采购</w:t>
      </w:r>
      <w:r>
        <w:rPr>
          <w:rFonts w:ascii="仿宋" w:hAnsi="仿宋" w:eastAsia="仿宋" w:cs="宋体"/>
          <w:color w:val="auto"/>
          <w:kern w:val="0"/>
          <w:szCs w:val="21"/>
        </w:rPr>
        <w:t>代理收费按差额定率累进法计算。</w:t>
      </w:r>
    </w:p>
    <w:p w14:paraId="496E5A79">
      <w:pPr>
        <w:spacing w:line="360" w:lineRule="auto"/>
        <w:ind w:firstLine="420" w:firstLineChars="200"/>
        <w:rPr>
          <w:rFonts w:ascii="仿宋" w:hAnsi="仿宋" w:eastAsia="仿宋" w:cs="宋体"/>
          <w:color w:val="auto"/>
          <w:kern w:val="0"/>
          <w:szCs w:val="21"/>
        </w:rPr>
      </w:pPr>
      <w:r>
        <w:rPr>
          <w:rFonts w:ascii="仿宋" w:hAnsi="仿宋" w:eastAsia="仿宋" w:cs="宋体"/>
          <w:color w:val="auto"/>
          <w:kern w:val="0"/>
          <w:szCs w:val="21"/>
        </w:rPr>
        <w:t>例如：某</w:t>
      </w:r>
      <w:r>
        <w:rPr>
          <w:rFonts w:hint="eastAsia" w:ascii="仿宋" w:hAnsi="仿宋" w:eastAsia="仿宋" w:cs="宋体"/>
          <w:color w:val="auto"/>
          <w:kern w:val="0"/>
          <w:szCs w:val="21"/>
        </w:rPr>
        <w:t>货物采购</w:t>
      </w:r>
      <w:r>
        <w:rPr>
          <w:rFonts w:ascii="仿宋" w:hAnsi="仿宋" w:eastAsia="仿宋" w:cs="宋体"/>
          <w:color w:val="auto"/>
          <w:kern w:val="0"/>
          <w:szCs w:val="21"/>
        </w:rPr>
        <w:t>代理业务</w:t>
      </w:r>
      <w:r>
        <w:rPr>
          <w:rFonts w:hint="eastAsia" w:ascii="仿宋" w:hAnsi="仿宋" w:eastAsia="仿宋" w:cs="宋体"/>
          <w:color w:val="auto"/>
          <w:kern w:val="0"/>
          <w:szCs w:val="21"/>
        </w:rPr>
        <w:t>中标</w:t>
      </w:r>
      <w:r>
        <w:rPr>
          <w:rFonts w:ascii="仿宋" w:hAnsi="仿宋" w:eastAsia="仿宋" w:cs="宋体"/>
          <w:color w:val="auto"/>
          <w:kern w:val="0"/>
          <w:szCs w:val="21"/>
        </w:rPr>
        <w:t>金额</w:t>
      </w:r>
      <w:r>
        <w:rPr>
          <w:rFonts w:hint="eastAsia" w:ascii="仿宋" w:hAnsi="仿宋" w:eastAsia="仿宋" w:cs="宋体"/>
          <w:color w:val="auto"/>
          <w:kern w:val="0"/>
          <w:szCs w:val="21"/>
        </w:rPr>
        <w:t>或者暂定价</w:t>
      </w:r>
      <w:r>
        <w:rPr>
          <w:rFonts w:ascii="仿宋" w:hAnsi="仿宋" w:eastAsia="仿宋" w:cs="宋体"/>
          <w:color w:val="auto"/>
          <w:kern w:val="0"/>
          <w:szCs w:val="21"/>
        </w:rPr>
        <w:t>为200万元，计算</w:t>
      </w:r>
      <w:r>
        <w:rPr>
          <w:rFonts w:hint="eastAsia" w:ascii="仿宋" w:hAnsi="仿宋" w:eastAsia="仿宋" w:cs="宋体"/>
          <w:color w:val="auto"/>
          <w:kern w:val="0"/>
          <w:szCs w:val="21"/>
        </w:rPr>
        <w:t>采购</w:t>
      </w:r>
      <w:r>
        <w:rPr>
          <w:rFonts w:ascii="仿宋" w:hAnsi="仿宋" w:eastAsia="仿宋" w:cs="宋体"/>
          <w:color w:val="auto"/>
          <w:kern w:val="0"/>
          <w:szCs w:val="21"/>
        </w:rPr>
        <w:t>代理收费额如下：</w:t>
      </w:r>
    </w:p>
    <w:p w14:paraId="7B7F23E1">
      <w:pPr>
        <w:spacing w:line="360" w:lineRule="auto"/>
        <w:ind w:firstLine="420" w:firstLineChars="200"/>
        <w:rPr>
          <w:rFonts w:ascii="仿宋" w:hAnsi="仿宋" w:eastAsia="仿宋" w:cs="宋体"/>
          <w:color w:val="auto"/>
          <w:kern w:val="0"/>
          <w:szCs w:val="21"/>
        </w:rPr>
      </w:pPr>
      <w:r>
        <w:rPr>
          <w:rFonts w:ascii="仿宋" w:hAnsi="仿宋" w:eastAsia="仿宋" w:cs="宋体"/>
          <w:color w:val="auto"/>
          <w:kern w:val="0"/>
          <w:szCs w:val="21"/>
        </w:rPr>
        <w:t>100 万元×l.5 ％＝ 1.5 万元</w:t>
      </w:r>
    </w:p>
    <w:p w14:paraId="787AA5FD">
      <w:pPr>
        <w:spacing w:line="360" w:lineRule="auto"/>
        <w:ind w:firstLine="420" w:firstLineChars="200"/>
        <w:rPr>
          <w:rFonts w:ascii="仿宋" w:hAnsi="仿宋" w:eastAsia="仿宋" w:cs="宋体"/>
          <w:color w:val="auto"/>
          <w:kern w:val="0"/>
          <w:szCs w:val="21"/>
        </w:rPr>
      </w:pPr>
      <w:r>
        <w:rPr>
          <w:rFonts w:ascii="仿宋" w:hAnsi="仿宋" w:eastAsia="仿宋" w:cs="宋体"/>
          <w:color w:val="auto"/>
          <w:kern w:val="0"/>
          <w:szCs w:val="21"/>
        </w:rPr>
        <w:t>（ 200 － 100 ）万元 ×1.1％＝1.1万元</w:t>
      </w:r>
    </w:p>
    <w:p w14:paraId="3C1049E6">
      <w:pPr>
        <w:spacing w:line="360" w:lineRule="auto"/>
        <w:ind w:firstLine="420" w:firstLineChars="200"/>
        <w:rPr>
          <w:rFonts w:ascii="仿宋" w:hAnsi="仿宋" w:eastAsia="仿宋" w:cs="宋体"/>
          <w:color w:val="auto"/>
          <w:kern w:val="0"/>
          <w:szCs w:val="21"/>
        </w:rPr>
      </w:pPr>
      <w:r>
        <w:rPr>
          <w:rFonts w:ascii="仿宋" w:hAnsi="仿宋" w:eastAsia="仿宋" w:cs="宋体"/>
          <w:color w:val="auto"/>
          <w:kern w:val="0"/>
          <w:szCs w:val="21"/>
        </w:rPr>
        <w:t>合计收费＝ 1.5</w:t>
      </w:r>
      <w:r>
        <w:rPr>
          <w:rFonts w:hint="eastAsia" w:ascii="仿宋" w:hAnsi="仿宋" w:eastAsia="仿宋" w:cs="宋体"/>
          <w:color w:val="auto"/>
          <w:kern w:val="0"/>
          <w:szCs w:val="21"/>
        </w:rPr>
        <w:t>+</w:t>
      </w:r>
      <w:r>
        <w:rPr>
          <w:rFonts w:ascii="仿宋" w:hAnsi="仿宋" w:eastAsia="仿宋" w:cs="宋体"/>
          <w:color w:val="auto"/>
          <w:kern w:val="0"/>
          <w:szCs w:val="21"/>
        </w:rPr>
        <w:t>1.1＝ 2.6 （万元）</w:t>
      </w:r>
    </w:p>
    <w:p w14:paraId="581F39F7">
      <w:pPr>
        <w:spacing w:line="360" w:lineRule="auto"/>
        <w:ind w:firstLine="482" w:firstLineChars="200"/>
        <w:rPr>
          <w:rFonts w:ascii="仿宋" w:hAnsi="仿宋" w:eastAsia="仿宋"/>
          <w:b/>
          <w:color w:val="auto"/>
          <w:sz w:val="24"/>
        </w:rPr>
      </w:pPr>
      <w:r>
        <w:rPr>
          <w:rFonts w:ascii="仿宋" w:hAnsi="仿宋" w:eastAsia="仿宋"/>
          <w:b/>
          <w:color w:val="auto"/>
          <w:sz w:val="24"/>
        </w:rPr>
        <w:t>40. 需要补充的其他内容</w:t>
      </w:r>
    </w:p>
    <w:p w14:paraId="570C845B">
      <w:pPr>
        <w:pStyle w:val="24"/>
        <w:spacing w:line="360" w:lineRule="auto"/>
        <w:ind w:firstLine="420" w:firstLineChars="200"/>
        <w:contextualSpacing/>
        <w:rPr>
          <w:rFonts w:hint="eastAsia" w:ascii="仿宋" w:hAnsi="仿宋" w:eastAsia="仿宋" w:cs="宋体"/>
          <w:color w:val="auto"/>
          <w:sz w:val="21"/>
        </w:rPr>
      </w:pPr>
      <w:r>
        <w:rPr>
          <w:rFonts w:hint="eastAsia" w:ascii="仿宋" w:hAnsi="仿宋" w:eastAsia="仿宋" w:cs="宋体"/>
          <w:color w:val="auto"/>
          <w:sz w:val="21"/>
        </w:rPr>
        <w:t>40.1本招标文件解释规则详见“投标人须知前附表”。</w:t>
      </w:r>
    </w:p>
    <w:p w14:paraId="07B73214">
      <w:pPr>
        <w:pStyle w:val="24"/>
        <w:spacing w:line="360" w:lineRule="auto"/>
        <w:ind w:firstLine="420" w:firstLineChars="200"/>
        <w:contextualSpacing/>
        <w:rPr>
          <w:rFonts w:hint="eastAsia" w:ascii="仿宋" w:hAnsi="仿宋" w:eastAsia="仿宋" w:cs="宋体"/>
          <w:color w:val="auto"/>
          <w:sz w:val="21"/>
        </w:rPr>
      </w:pPr>
      <w:r>
        <w:rPr>
          <w:rFonts w:hint="eastAsia" w:ascii="仿宋" w:hAnsi="仿宋" w:eastAsia="仿宋" w:cs="宋体"/>
          <w:color w:val="auto"/>
          <w:sz w:val="21"/>
        </w:rPr>
        <w:t>40.2 其他事项详见“投标人须知前附表”。</w:t>
      </w:r>
    </w:p>
    <w:p w14:paraId="67AFD393">
      <w:pPr>
        <w:pStyle w:val="24"/>
        <w:spacing w:line="360" w:lineRule="auto"/>
        <w:ind w:firstLine="420" w:firstLineChars="200"/>
        <w:contextualSpacing/>
        <w:rPr>
          <w:rFonts w:hint="eastAsia" w:ascii="仿宋" w:hAnsi="仿宋" w:eastAsia="仿宋" w:cs="宋体"/>
          <w:color w:val="auto"/>
          <w:sz w:val="21"/>
        </w:rPr>
      </w:pPr>
      <w:r>
        <w:rPr>
          <w:rFonts w:hint="eastAsia" w:ascii="仿宋" w:hAnsi="仿宋" w:eastAsia="仿宋" w:cs="宋体"/>
          <w:color w:val="auto"/>
          <w:sz w:val="21"/>
        </w:rPr>
        <w:t>40.3</w:t>
      </w:r>
      <w:bookmarkStart w:id="127" w:name="_Hlk65857140"/>
      <w:r>
        <w:rPr>
          <w:rFonts w:hint="eastAsia" w:ascii="仿宋" w:hAnsi="仿宋" w:eastAsia="仿宋" w:cs="宋体"/>
          <w:color w:val="auto"/>
          <w:sz w:val="21"/>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5A28D027">
      <w:pPr>
        <w:pStyle w:val="24"/>
        <w:spacing w:line="360" w:lineRule="auto"/>
        <w:ind w:firstLine="420" w:firstLineChars="200"/>
        <w:contextualSpacing/>
        <w:rPr>
          <w:rFonts w:hint="eastAsia" w:ascii="仿宋" w:hAnsi="仿宋" w:eastAsia="仿宋" w:cs="宋体"/>
          <w:color w:val="auto"/>
          <w:sz w:val="21"/>
        </w:rPr>
      </w:pPr>
      <w:r>
        <w:rPr>
          <w:rFonts w:hint="eastAsia" w:ascii="仿宋" w:hAnsi="仿宋" w:eastAsia="仿宋" w:cs="宋体"/>
          <w:color w:val="auto"/>
          <w:sz w:val="21"/>
        </w:rPr>
        <w:t>（1）在货物采购项目中，货物由中小企业制造，即货物由中小企业生产且使用该中小企业商号或者注册商标，不对其中涉及的工程承建商和服务的承接商作出要求；</w:t>
      </w:r>
    </w:p>
    <w:p w14:paraId="3346F4A1">
      <w:pPr>
        <w:pStyle w:val="24"/>
        <w:spacing w:line="360" w:lineRule="auto"/>
        <w:ind w:firstLine="420" w:firstLineChars="200"/>
        <w:contextualSpacing/>
        <w:rPr>
          <w:rFonts w:hint="eastAsia" w:ascii="仿宋" w:hAnsi="仿宋" w:eastAsia="仿宋" w:cs="宋体"/>
          <w:color w:val="auto"/>
          <w:sz w:val="21"/>
        </w:rPr>
      </w:pPr>
      <w:r>
        <w:rPr>
          <w:rFonts w:hint="eastAsia" w:ascii="仿宋" w:hAnsi="仿宋" w:eastAsia="仿宋" w:cs="宋体"/>
          <w:color w:val="auto"/>
          <w:sz w:val="21"/>
        </w:rPr>
        <w:t>（2）在工程采购项目中，工程由中小企业承建，即工程施工单位为中小企业，不对其中涉及的货物的制造商和服务的承接商作出要求；</w:t>
      </w:r>
    </w:p>
    <w:p w14:paraId="29DB3AAC">
      <w:pPr>
        <w:pStyle w:val="24"/>
        <w:spacing w:line="360" w:lineRule="auto"/>
        <w:ind w:firstLine="420" w:firstLineChars="200"/>
        <w:contextualSpacing/>
        <w:rPr>
          <w:rFonts w:hint="eastAsia" w:ascii="仿宋" w:hAnsi="仿宋" w:eastAsia="仿宋" w:cs="宋体"/>
          <w:color w:val="auto"/>
          <w:sz w:val="21"/>
        </w:rPr>
      </w:pPr>
      <w:r>
        <w:rPr>
          <w:rFonts w:hint="eastAsia" w:ascii="仿宋" w:hAnsi="仿宋" w:eastAsia="仿宋" w:cs="宋体"/>
          <w:color w:val="auto"/>
          <w:sz w:val="21"/>
        </w:rPr>
        <w:t>（3）在服务采购项目中，服务由中小企业承接，即提供服务的人员为中小企业依照《中华人民共和国劳动合同法》订立劳动合同的从业人员，不对其中涉及的货物的制造商和工程承建商作出要求。</w:t>
      </w:r>
    </w:p>
    <w:p w14:paraId="5DAC4972">
      <w:pPr>
        <w:pStyle w:val="24"/>
        <w:spacing w:line="360" w:lineRule="auto"/>
        <w:ind w:firstLine="420" w:firstLineChars="200"/>
        <w:contextualSpacing/>
        <w:rPr>
          <w:rFonts w:hint="eastAsia" w:ascii="仿宋" w:hAnsi="仿宋" w:eastAsia="仿宋" w:cs="宋体"/>
          <w:color w:val="auto"/>
          <w:sz w:val="21"/>
        </w:rPr>
      </w:pPr>
      <w:r>
        <w:rPr>
          <w:rFonts w:hint="eastAsia" w:ascii="仿宋" w:hAnsi="仿宋" w:eastAsia="仿宋" w:cs="宋体"/>
          <w:color w:val="auto"/>
          <w:sz w:val="21"/>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462BECB2">
      <w:pPr>
        <w:pStyle w:val="24"/>
        <w:spacing w:line="360" w:lineRule="auto"/>
        <w:ind w:firstLine="420" w:firstLineChars="200"/>
        <w:contextualSpacing/>
        <w:rPr>
          <w:rFonts w:hint="eastAsia" w:ascii="仿宋" w:hAnsi="仿宋" w:eastAsia="仿宋" w:cs="宋体"/>
          <w:color w:val="auto"/>
          <w:sz w:val="21"/>
        </w:rPr>
      </w:pPr>
      <w:r>
        <w:rPr>
          <w:rFonts w:hint="eastAsia" w:ascii="仿宋" w:hAnsi="仿宋" w:eastAsia="仿宋" w:cs="宋体"/>
          <w:color w:val="auto"/>
          <w:sz w:val="21"/>
        </w:rPr>
        <w:t>依据本招标文件规定享受扶持政策获得政府采购合同的，小微企业不得将合同分包给大中型企业，中型企业不得将合同分包给大型企业。</w:t>
      </w:r>
      <w:bookmarkEnd w:id="127"/>
    </w:p>
    <w:p w14:paraId="1448D1DF">
      <w:pPr>
        <w:pStyle w:val="18"/>
        <w:ind w:left="479" w:leftChars="114" w:hanging="240" w:hangingChars="100"/>
        <w:rPr>
          <w:rFonts w:ascii="仿宋" w:hAnsi="仿宋" w:eastAsia="仿宋"/>
          <w:color w:val="auto"/>
        </w:rPr>
      </w:pPr>
      <w:r>
        <w:rPr>
          <w:rFonts w:ascii="仿宋" w:hAnsi="仿宋" w:eastAsia="仿宋"/>
          <w:color w:val="auto"/>
        </w:rPr>
        <w:br w:type="page"/>
      </w:r>
    </w:p>
    <w:p w14:paraId="749815B4">
      <w:pPr>
        <w:pStyle w:val="18"/>
        <w:ind w:left="479" w:leftChars="114" w:hanging="240" w:hangingChars="100"/>
        <w:rPr>
          <w:rFonts w:ascii="仿宋" w:hAnsi="仿宋" w:eastAsia="仿宋"/>
          <w:color w:val="auto"/>
        </w:rPr>
      </w:pPr>
    </w:p>
    <w:p w14:paraId="4796993E">
      <w:pPr>
        <w:pStyle w:val="18"/>
        <w:ind w:left="479" w:leftChars="114" w:hanging="240" w:hangingChars="100"/>
        <w:rPr>
          <w:rFonts w:ascii="仿宋" w:hAnsi="仿宋" w:eastAsia="仿宋"/>
          <w:color w:val="auto"/>
        </w:rPr>
      </w:pPr>
    </w:p>
    <w:p w14:paraId="35689237">
      <w:pPr>
        <w:pStyle w:val="18"/>
        <w:ind w:left="479" w:leftChars="114" w:hanging="240" w:hangingChars="100"/>
        <w:rPr>
          <w:rFonts w:hint="eastAsia" w:ascii="仿宋" w:hAnsi="仿宋" w:eastAsia="仿宋"/>
          <w:color w:val="auto"/>
        </w:rPr>
      </w:pPr>
    </w:p>
    <w:p w14:paraId="0516664C">
      <w:pPr>
        <w:pStyle w:val="24"/>
        <w:snapToGrid w:val="0"/>
        <w:spacing w:before="120" w:after="120"/>
        <w:rPr>
          <w:rFonts w:hint="eastAsia" w:ascii="仿宋" w:hAnsi="仿宋" w:eastAsia="仿宋"/>
          <w:color w:val="auto"/>
        </w:rPr>
      </w:pPr>
    </w:p>
    <w:p w14:paraId="00905D88">
      <w:pPr>
        <w:pStyle w:val="24"/>
        <w:snapToGrid w:val="0"/>
        <w:spacing w:before="120" w:after="120"/>
        <w:rPr>
          <w:rFonts w:hint="eastAsia" w:ascii="仿宋" w:hAnsi="仿宋" w:eastAsia="仿宋"/>
          <w:color w:val="auto"/>
        </w:rPr>
      </w:pPr>
    </w:p>
    <w:p w14:paraId="672179B1">
      <w:pPr>
        <w:pStyle w:val="24"/>
        <w:snapToGrid w:val="0"/>
        <w:spacing w:before="120" w:after="120"/>
        <w:rPr>
          <w:rFonts w:hint="eastAsia" w:ascii="仿宋" w:hAnsi="仿宋" w:eastAsia="仿宋"/>
          <w:color w:val="auto"/>
        </w:rPr>
      </w:pPr>
    </w:p>
    <w:p w14:paraId="55CE9DF6">
      <w:pPr>
        <w:pStyle w:val="24"/>
        <w:snapToGrid w:val="0"/>
        <w:spacing w:before="120" w:after="120"/>
        <w:rPr>
          <w:rFonts w:hint="eastAsia" w:ascii="仿宋" w:hAnsi="仿宋" w:eastAsia="仿宋"/>
          <w:color w:val="auto"/>
        </w:rPr>
      </w:pPr>
    </w:p>
    <w:p w14:paraId="122F7833">
      <w:pPr>
        <w:pStyle w:val="24"/>
        <w:snapToGrid w:val="0"/>
        <w:spacing w:before="120" w:after="120"/>
        <w:rPr>
          <w:rFonts w:hint="eastAsia" w:ascii="仿宋" w:hAnsi="仿宋" w:eastAsia="仿宋"/>
          <w:color w:val="auto"/>
        </w:rPr>
      </w:pPr>
    </w:p>
    <w:p w14:paraId="3AECC481">
      <w:pPr>
        <w:pStyle w:val="24"/>
        <w:snapToGrid w:val="0"/>
        <w:spacing w:before="120" w:after="120"/>
        <w:rPr>
          <w:rFonts w:hint="eastAsia" w:ascii="仿宋" w:hAnsi="仿宋" w:eastAsia="仿宋"/>
          <w:color w:val="auto"/>
        </w:rPr>
      </w:pPr>
    </w:p>
    <w:p w14:paraId="3B6E1E0B">
      <w:pPr>
        <w:pStyle w:val="24"/>
        <w:snapToGrid w:val="0"/>
        <w:spacing w:before="120" w:after="120"/>
        <w:rPr>
          <w:rFonts w:hint="eastAsia" w:ascii="仿宋" w:hAnsi="仿宋" w:eastAsia="仿宋"/>
          <w:color w:val="auto"/>
        </w:rPr>
      </w:pPr>
    </w:p>
    <w:p w14:paraId="41EEEDB2">
      <w:pPr>
        <w:pStyle w:val="24"/>
        <w:snapToGrid w:val="0"/>
        <w:spacing w:before="120" w:after="120"/>
        <w:rPr>
          <w:rFonts w:hint="eastAsia" w:ascii="仿宋" w:hAnsi="仿宋" w:eastAsia="仿宋"/>
          <w:color w:val="auto"/>
        </w:rPr>
      </w:pPr>
    </w:p>
    <w:p w14:paraId="06D8AA93">
      <w:pPr>
        <w:pStyle w:val="24"/>
        <w:snapToGrid w:val="0"/>
        <w:spacing w:before="120" w:after="120"/>
        <w:rPr>
          <w:rFonts w:hint="eastAsia" w:ascii="仿宋" w:hAnsi="仿宋" w:eastAsia="仿宋"/>
          <w:color w:val="auto"/>
        </w:rPr>
      </w:pPr>
    </w:p>
    <w:p w14:paraId="54567D3F">
      <w:pPr>
        <w:pStyle w:val="2"/>
        <w:jc w:val="center"/>
        <w:rPr>
          <w:rFonts w:hint="eastAsia" w:ascii="仿宋" w:hAnsi="仿宋" w:eastAsia="仿宋"/>
          <w:color w:val="auto"/>
        </w:rPr>
      </w:pPr>
      <w:bookmarkStart w:id="128" w:name="_Toc74320803"/>
      <w:bookmarkStart w:id="129" w:name="_Toc330456896"/>
      <w:bookmarkStart w:id="130" w:name="_Toc254970689"/>
      <w:bookmarkStart w:id="131" w:name="_Toc254970548"/>
      <w:bookmarkStart w:id="132" w:name="_Toc12773"/>
      <w:r>
        <w:rPr>
          <w:rFonts w:hint="eastAsia" w:ascii="仿宋" w:hAnsi="仿宋" w:eastAsia="仿宋"/>
          <w:color w:val="auto"/>
        </w:rPr>
        <w:t>第四章  评标方法及评标标准</w:t>
      </w:r>
      <w:bookmarkEnd w:id="128"/>
      <w:bookmarkEnd w:id="129"/>
      <w:bookmarkEnd w:id="130"/>
      <w:bookmarkEnd w:id="131"/>
      <w:bookmarkEnd w:id="132"/>
    </w:p>
    <w:p w14:paraId="32F1E483">
      <w:pPr>
        <w:pStyle w:val="24"/>
        <w:spacing w:before="120" w:after="120"/>
        <w:outlineLvl w:val="0"/>
        <w:rPr>
          <w:rFonts w:hint="eastAsia" w:ascii="仿宋" w:hAnsi="仿宋" w:eastAsia="仿宋"/>
          <w:b/>
          <w:color w:val="auto"/>
        </w:rPr>
      </w:pPr>
      <w:bookmarkStart w:id="133" w:name="_Toc254970690"/>
      <w:bookmarkStart w:id="134" w:name="_Toc254970549"/>
    </w:p>
    <w:bookmarkEnd w:id="133"/>
    <w:bookmarkEnd w:id="134"/>
    <w:p w14:paraId="4B1601E6">
      <w:pPr>
        <w:pStyle w:val="24"/>
        <w:spacing w:before="120" w:after="120"/>
        <w:outlineLvl w:val="0"/>
        <w:rPr>
          <w:rFonts w:hint="eastAsia" w:ascii="仿宋" w:hAnsi="仿宋" w:eastAsia="仿宋"/>
          <w:bCs/>
          <w:color w:val="auto"/>
          <w:sz w:val="32"/>
          <w:szCs w:val="32"/>
        </w:rPr>
      </w:pPr>
    </w:p>
    <w:p w14:paraId="6749371C">
      <w:pPr>
        <w:pStyle w:val="24"/>
        <w:spacing w:before="120" w:after="120"/>
        <w:outlineLvl w:val="0"/>
        <w:rPr>
          <w:rFonts w:hint="eastAsia" w:ascii="仿宋" w:hAnsi="仿宋" w:eastAsia="仿宋"/>
          <w:bCs/>
          <w:color w:val="auto"/>
          <w:sz w:val="32"/>
          <w:szCs w:val="32"/>
        </w:rPr>
      </w:pPr>
    </w:p>
    <w:p w14:paraId="71E22E93">
      <w:pPr>
        <w:pStyle w:val="24"/>
        <w:spacing w:before="120" w:after="120"/>
        <w:outlineLvl w:val="0"/>
        <w:rPr>
          <w:rFonts w:hint="eastAsia" w:ascii="仿宋" w:hAnsi="仿宋" w:eastAsia="仿宋"/>
          <w:bCs/>
          <w:color w:val="auto"/>
          <w:sz w:val="32"/>
          <w:szCs w:val="32"/>
        </w:rPr>
      </w:pPr>
    </w:p>
    <w:p w14:paraId="1D75E044">
      <w:pPr>
        <w:spacing w:beforeLines="50" w:afterLines="50" w:line="400" w:lineRule="exact"/>
        <w:rPr>
          <w:rFonts w:hint="eastAsia" w:ascii="仿宋" w:hAnsi="仿宋" w:eastAsia="仿宋"/>
          <w:b/>
          <w:color w:val="auto"/>
          <w:sz w:val="24"/>
        </w:rPr>
      </w:pPr>
    </w:p>
    <w:p w14:paraId="46A68576">
      <w:pPr>
        <w:spacing w:beforeLines="50" w:afterLines="50" w:line="400" w:lineRule="exact"/>
        <w:rPr>
          <w:rFonts w:hint="eastAsia" w:ascii="仿宋" w:hAnsi="仿宋" w:eastAsia="仿宋"/>
          <w:b/>
          <w:color w:val="auto"/>
          <w:sz w:val="24"/>
        </w:rPr>
      </w:pPr>
    </w:p>
    <w:p w14:paraId="7325F23D">
      <w:pPr>
        <w:spacing w:beforeLines="50" w:afterLines="50" w:line="400" w:lineRule="exact"/>
        <w:rPr>
          <w:rFonts w:hint="eastAsia" w:ascii="仿宋" w:hAnsi="仿宋" w:eastAsia="仿宋"/>
          <w:b/>
          <w:color w:val="auto"/>
          <w:sz w:val="24"/>
        </w:rPr>
      </w:pPr>
    </w:p>
    <w:p w14:paraId="4F66F15B">
      <w:pPr>
        <w:spacing w:beforeLines="50" w:afterLines="50" w:line="400" w:lineRule="exact"/>
        <w:rPr>
          <w:rFonts w:hint="eastAsia" w:ascii="仿宋" w:hAnsi="仿宋" w:eastAsia="仿宋"/>
          <w:b/>
          <w:color w:val="auto"/>
          <w:sz w:val="24"/>
        </w:rPr>
      </w:pPr>
    </w:p>
    <w:p w14:paraId="59E9C8E6">
      <w:pPr>
        <w:spacing w:beforeLines="50" w:afterLines="50" w:line="400" w:lineRule="exact"/>
        <w:rPr>
          <w:rFonts w:hint="eastAsia" w:ascii="仿宋" w:hAnsi="仿宋" w:eastAsia="仿宋"/>
          <w:b/>
          <w:color w:val="auto"/>
          <w:sz w:val="24"/>
        </w:rPr>
      </w:pPr>
    </w:p>
    <w:p w14:paraId="7F92A02C">
      <w:pPr>
        <w:spacing w:beforeLines="50" w:afterLines="50" w:line="400" w:lineRule="exact"/>
        <w:rPr>
          <w:rFonts w:hint="eastAsia" w:ascii="仿宋" w:hAnsi="仿宋" w:eastAsia="仿宋"/>
          <w:b/>
          <w:color w:val="auto"/>
          <w:sz w:val="24"/>
        </w:rPr>
      </w:pPr>
    </w:p>
    <w:p w14:paraId="4D18874D">
      <w:pPr>
        <w:spacing w:beforeLines="50" w:afterLines="50" w:line="400" w:lineRule="exact"/>
        <w:rPr>
          <w:rFonts w:hint="eastAsia" w:ascii="仿宋" w:hAnsi="仿宋" w:eastAsia="仿宋"/>
          <w:b/>
          <w:color w:val="auto"/>
          <w:sz w:val="24"/>
        </w:rPr>
      </w:pPr>
    </w:p>
    <w:p w14:paraId="373139FA">
      <w:pPr>
        <w:pStyle w:val="24"/>
        <w:spacing w:line="360" w:lineRule="exact"/>
        <w:rPr>
          <w:rFonts w:hint="eastAsia" w:ascii="仿宋" w:hAnsi="仿宋" w:eastAsia="仿宋"/>
          <w:b/>
          <w:color w:val="auto"/>
          <w:sz w:val="24"/>
        </w:rPr>
      </w:pPr>
    </w:p>
    <w:p w14:paraId="50491E04">
      <w:pPr>
        <w:pStyle w:val="4"/>
        <w:keepNext w:val="0"/>
        <w:keepLines w:val="0"/>
        <w:jc w:val="center"/>
        <w:rPr>
          <w:rFonts w:ascii="仿宋" w:hAnsi="仿宋" w:eastAsia="仿宋"/>
          <w:color w:val="auto"/>
          <w:sz w:val="30"/>
          <w:szCs w:val="30"/>
        </w:rPr>
      </w:pPr>
      <w:r>
        <w:rPr>
          <w:rFonts w:ascii="仿宋" w:hAnsi="仿宋" w:eastAsia="仿宋"/>
          <w:color w:val="auto"/>
          <w:sz w:val="30"/>
          <w:szCs w:val="30"/>
        </w:rPr>
        <w:br w:type="page"/>
      </w:r>
      <w:r>
        <w:rPr>
          <w:rFonts w:hint="eastAsia" w:ascii="仿宋" w:hAnsi="仿宋" w:eastAsia="仿宋"/>
          <w:color w:val="auto"/>
          <w:sz w:val="30"/>
          <w:szCs w:val="30"/>
        </w:rPr>
        <w:t>一、评标方法</w:t>
      </w:r>
    </w:p>
    <w:p w14:paraId="52DC9704">
      <w:pPr>
        <w:pStyle w:val="24"/>
        <w:tabs>
          <w:tab w:val="left" w:pos="2472"/>
        </w:tabs>
        <w:spacing w:line="360" w:lineRule="auto"/>
        <w:ind w:firstLine="400" w:firstLineChars="200"/>
        <w:rPr>
          <w:rFonts w:hint="eastAsia" w:ascii="仿宋" w:hAnsi="仿宋" w:eastAsia="仿宋" w:cs="仿宋"/>
          <w:color w:val="auto"/>
        </w:rPr>
      </w:pPr>
      <w:r>
        <w:rPr>
          <w:rFonts w:hint="eastAsia" w:ascii="仿宋" w:hAnsi="仿宋" w:eastAsia="仿宋" w:cs="仿宋"/>
          <w:color w:val="auto"/>
        </w:rPr>
        <w:t>本项目采用</w:t>
      </w:r>
      <w:r>
        <w:rPr>
          <w:rFonts w:hint="eastAsia" w:ascii="仿宋" w:hAnsi="仿宋" w:eastAsia="仿宋" w:cs="仿宋"/>
          <w:color w:val="auto"/>
          <w:u w:val="single"/>
        </w:rPr>
        <w:t xml:space="preserve"> 综合评分法</w:t>
      </w:r>
      <w:r>
        <w:rPr>
          <w:rFonts w:hint="eastAsia" w:ascii="仿宋" w:hAnsi="仿宋" w:eastAsia="仿宋" w:cs="仿宋"/>
          <w:color w:val="auto"/>
          <w:u w:val="single"/>
          <w:lang w:eastAsia="zh-CN"/>
        </w:rPr>
        <w:t>（</w:t>
      </w:r>
      <w:r>
        <w:rPr>
          <w:rFonts w:hint="eastAsia" w:ascii="仿宋" w:hAnsi="仿宋" w:eastAsia="仿宋" w:cs="仿宋"/>
          <w:color w:val="auto"/>
          <w:u w:val="single"/>
        </w:rPr>
        <w:t>以下勾选的方式</w:t>
      </w:r>
      <w:r>
        <w:rPr>
          <w:rFonts w:hint="eastAsia" w:ascii="仿宋" w:hAnsi="仿宋" w:eastAsia="仿宋" w:cs="仿宋"/>
          <w:color w:val="auto"/>
          <w:u w:val="single"/>
          <w:lang w:eastAsia="zh-CN"/>
        </w:rPr>
        <w:t>）</w:t>
      </w:r>
      <w:r>
        <w:rPr>
          <w:rFonts w:hint="eastAsia" w:ascii="仿宋" w:hAnsi="仿宋" w:eastAsia="仿宋" w:cs="仿宋"/>
          <w:color w:val="auto"/>
          <w:u w:val="single"/>
          <w:lang w:val="en-US" w:eastAsia="zh-CN"/>
        </w:rPr>
        <w:t xml:space="preserve"> </w:t>
      </w:r>
      <w:r>
        <w:rPr>
          <w:rFonts w:hint="eastAsia" w:ascii="仿宋" w:hAnsi="仿宋" w:eastAsia="仿宋" w:cs="仿宋"/>
          <w:color w:val="auto"/>
        </w:rPr>
        <w:t>进行评审。</w:t>
      </w:r>
    </w:p>
    <w:p w14:paraId="0CE5EE45">
      <w:pPr>
        <w:pStyle w:val="24"/>
        <w:spacing w:line="360" w:lineRule="auto"/>
        <w:ind w:firstLine="420"/>
        <w:rPr>
          <w:rFonts w:hint="eastAsia" w:ascii="仿宋" w:hAnsi="仿宋" w:eastAsia="仿宋" w:cs="仿宋"/>
          <w:color w:val="auto"/>
        </w:rPr>
      </w:pPr>
      <w:r>
        <w:rPr>
          <w:rFonts w:hint="eastAsia" w:ascii="仿宋" w:hAnsi="仿宋" w:eastAsia="仿宋" w:cs="仿宋"/>
          <w:color w:val="auto"/>
        </w:rPr>
        <w:t>□最低评标价法，是指投标文件满足招标文件全部实质性要求，且投标报价最低的投标人为中标候选人的评标方法。</w:t>
      </w:r>
    </w:p>
    <w:p w14:paraId="1AC93699">
      <w:pPr>
        <w:pStyle w:val="24"/>
        <w:spacing w:line="360" w:lineRule="auto"/>
        <w:ind w:firstLine="420"/>
        <w:rPr>
          <w:rFonts w:hint="eastAsia" w:ascii="仿宋" w:hAnsi="仿宋" w:eastAsia="仿宋" w:cs="仿宋"/>
          <w:b/>
          <w:bCs/>
          <w:color w:val="auto"/>
        </w:rPr>
      </w:pPr>
      <w:r>
        <w:rPr>
          <w:rFonts w:hint="eastAsia" w:ascii="仿宋" w:hAnsi="仿宋" w:eastAsia="仿宋" w:cs="仿宋"/>
          <w:b/>
          <w:bCs/>
          <w:color w:val="auto"/>
        </w:rPr>
        <w:sym w:font="Wingdings 2" w:char="0052"/>
      </w:r>
      <w:r>
        <w:rPr>
          <w:rFonts w:hint="eastAsia" w:ascii="仿宋" w:hAnsi="仿宋" w:eastAsia="仿宋" w:cs="仿宋"/>
          <w:b/>
          <w:bCs/>
          <w:color w:val="auto"/>
        </w:rPr>
        <w:t>综合评分法，是指投标文件满足招标文件全部实质性要求，且按照评审因素的量化指标评审得分最高的投标人为中标候选人的评标方法。</w:t>
      </w:r>
    </w:p>
    <w:p w14:paraId="781002A6">
      <w:pPr>
        <w:pStyle w:val="4"/>
        <w:keepNext w:val="0"/>
        <w:keepLines w:val="0"/>
        <w:jc w:val="center"/>
        <w:rPr>
          <w:rFonts w:hint="eastAsia" w:ascii="仿宋" w:hAnsi="仿宋" w:eastAsia="仿宋"/>
          <w:color w:val="auto"/>
          <w:sz w:val="30"/>
          <w:szCs w:val="30"/>
        </w:rPr>
      </w:pPr>
      <w:r>
        <w:rPr>
          <w:rFonts w:hint="eastAsia" w:ascii="仿宋" w:hAnsi="仿宋" w:eastAsia="仿宋"/>
          <w:color w:val="auto"/>
          <w:sz w:val="30"/>
          <w:szCs w:val="30"/>
        </w:rPr>
        <w:t>二、评标程序</w:t>
      </w:r>
    </w:p>
    <w:p w14:paraId="4D9862BE">
      <w:pPr>
        <w:pStyle w:val="6"/>
        <w:keepNext w:val="0"/>
        <w:keepLines w:val="0"/>
        <w:spacing w:before="0" w:after="0" w:line="360" w:lineRule="auto"/>
        <w:ind w:left="420" w:leftChars="200"/>
        <w:rPr>
          <w:rFonts w:hint="eastAsia" w:ascii="仿宋" w:hAnsi="仿宋" w:eastAsia="仿宋"/>
          <w:color w:val="auto"/>
          <w:sz w:val="21"/>
          <w:szCs w:val="21"/>
        </w:rPr>
      </w:pPr>
      <w:r>
        <w:rPr>
          <w:rFonts w:hint="eastAsia" w:ascii="仿宋" w:hAnsi="仿宋" w:eastAsia="仿宋"/>
          <w:color w:val="auto"/>
          <w:sz w:val="21"/>
          <w:szCs w:val="21"/>
        </w:rPr>
        <w:t>1.符合性审查</w:t>
      </w:r>
    </w:p>
    <w:p w14:paraId="4BA19AA1">
      <w:pPr>
        <w:pStyle w:val="24"/>
        <w:snapToGrid w:val="0"/>
        <w:spacing w:line="360" w:lineRule="auto"/>
        <w:ind w:left="1" w:firstLine="420"/>
        <w:rPr>
          <w:rFonts w:hint="eastAsia" w:ascii="仿宋" w:hAnsi="仿宋" w:eastAsia="仿宋"/>
          <w:b/>
          <w:color w:val="auto"/>
          <w:kern w:val="2"/>
          <w:sz w:val="21"/>
        </w:rPr>
      </w:pPr>
      <w:r>
        <w:rPr>
          <w:rFonts w:hint="eastAsia" w:ascii="仿宋" w:hAnsi="仿宋" w:eastAsia="仿宋"/>
          <w:b/>
          <w:color w:val="auto"/>
          <w:kern w:val="2"/>
          <w:sz w:val="21"/>
        </w:rPr>
        <w:t>评标委员会应当对符合资格的投标人的投标文件进行投标报价、商务、技术等实质性内容符合性审查，以确定其是否满足招标文件的实质性要求。</w:t>
      </w:r>
    </w:p>
    <w:p w14:paraId="534E6FD0">
      <w:pPr>
        <w:pStyle w:val="6"/>
        <w:keepNext w:val="0"/>
        <w:keepLines w:val="0"/>
        <w:spacing w:before="0" w:after="0" w:line="360" w:lineRule="auto"/>
        <w:ind w:left="420" w:leftChars="200"/>
        <w:rPr>
          <w:rFonts w:hint="eastAsia" w:ascii="仿宋" w:hAnsi="仿宋" w:eastAsia="仿宋"/>
          <w:color w:val="auto"/>
          <w:sz w:val="21"/>
          <w:szCs w:val="21"/>
        </w:rPr>
      </w:pPr>
      <w:r>
        <w:rPr>
          <w:rFonts w:hint="eastAsia" w:ascii="仿宋" w:hAnsi="仿宋" w:eastAsia="仿宋"/>
          <w:color w:val="auto"/>
          <w:sz w:val="21"/>
          <w:szCs w:val="21"/>
        </w:rPr>
        <w:t>2</w:t>
      </w:r>
      <w:r>
        <w:rPr>
          <w:rFonts w:ascii="仿宋" w:hAnsi="仿宋" w:eastAsia="仿宋"/>
          <w:color w:val="auto"/>
          <w:sz w:val="21"/>
          <w:szCs w:val="21"/>
        </w:rPr>
        <w:t>.</w:t>
      </w:r>
      <w:r>
        <w:rPr>
          <w:rFonts w:hint="eastAsia" w:ascii="仿宋" w:hAnsi="仿宋" w:eastAsia="仿宋"/>
          <w:color w:val="auto"/>
          <w:sz w:val="21"/>
          <w:szCs w:val="21"/>
        </w:rPr>
        <w:t>符合性审查不通过而导致投标无效的情形</w:t>
      </w:r>
    </w:p>
    <w:p w14:paraId="3554F117">
      <w:pPr>
        <w:snapToGrid w:val="0"/>
        <w:spacing w:line="360" w:lineRule="auto"/>
        <w:ind w:firstLine="422" w:firstLineChars="200"/>
        <w:rPr>
          <w:rFonts w:hint="eastAsia" w:ascii="仿宋" w:hAnsi="仿宋" w:eastAsia="仿宋"/>
          <w:b/>
          <w:color w:val="auto"/>
          <w:szCs w:val="21"/>
        </w:rPr>
      </w:pPr>
      <w:r>
        <w:rPr>
          <w:rFonts w:hint="eastAsia" w:ascii="仿宋" w:hAnsi="仿宋" w:eastAsia="仿宋"/>
          <w:b/>
          <w:color w:val="auto"/>
          <w:szCs w:val="21"/>
        </w:rPr>
        <w:t>投标人的投标文件中存在对招标文件的任何实质性要求和条件的负偏离，将被视为投标无效。</w:t>
      </w:r>
    </w:p>
    <w:p w14:paraId="490ECBA6">
      <w:pPr>
        <w:pStyle w:val="6"/>
        <w:keepNext w:val="0"/>
        <w:keepLines w:val="0"/>
        <w:spacing w:before="0" w:after="0" w:line="360" w:lineRule="auto"/>
        <w:ind w:left="420" w:leftChars="200"/>
        <w:rPr>
          <w:rFonts w:hint="eastAsia" w:ascii="仿宋" w:hAnsi="仿宋" w:eastAsia="仿宋"/>
          <w:color w:val="auto"/>
          <w:sz w:val="21"/>
          <w:szCs w:val="21"/>
        </w:rPr>
      </w:pPr>
      <w:r>
        <w:rPr>
          <w:rFonts w:hint="eastAsia" w:ascii="仿宋" w:hAnsi="仿宋" w:eastAsia="仿宋"/>
          <w:color w:val="auto"/>
          <w:sz w:val="21"/>
          <w:szCs w:val="21"/>
        </w:rPr>
        <w:t>2.1在报价评审时，如发现下列情形之一的，将被视为投标无效：</w:t>
      </w:r>
    </w:p>
    <w:p w14:paraId="7C76D494">
      <w:pPr>
        <w:pStyle w:val="6"/>
        <w:keepNext w:val="0"/>
        <w:keepLines w:val="0"/>
        <w:spacing w:before="0" w:after="0" w:line="360" w:lineRule="auto"/>
        <w:ind w:left="420" w:leftChars="200"/>
        <w:rPr>
          <w:rFonts w:hint="eastAsia" w:ascii="仿宋" w:hAnsi="仿宋" w:eastAsia="仿宋"/>
          <w:color w:val="auto"/>
          <w:sz w:val="21"/>
          <w:szCs w:val="21"/>
        </w:rPr>
      </w:pPr>
      <w:r>
        <w:rPr>
          <w:rFonts w:hint="eastAsia" w:ascii="仿宋" w:hAnsi="仿宋" w:eastAsia="仿宋"/>
          <w:color w:val="auto"/>
          <w:sz w:val="21"/>
          <w:szCs w:val="21"/>
        </w:rPr>
        <w:t>（1）报价文件未提供“投标人须知前附表”第13.1条规定中“必须提供”的文件资料的；</w:t>
      </w:r>
    </w:p>
    <w:p w14:paraId="300FD2B5">
      <w:pPr>
        <w:pStyle w:val="6"/>
        <w:keepNext w:val="0"/>
        <w:keepLines w:val="0"/>
        <w:spacing w:before="0" w:after="0" w:line="360" w:lineRule="auto"/>
        <w:ind w:left="420" w:leftChars="200"/>
        <w:rPr>
          <w:rFonts w:hint="eastAsia" w:ascii="仿宋" w:hAnsi="仿宋" w:eastAsia="仿宋"/>
          <w:color w:val="auto"/>
          <w:sz w:val="21"/>
          <w:szCs w:val="21"/>
        </w:rPr>
      </w:pPr>
      <w:r>
        <w:rPr>
          <w:rFonts w:hint="eastAsia" w:ascii="仿宋" w:hAnsi="仿宋" w:eastAsia="仿宋"/>
          <w:color w:val="auto"/>
          <w:sz w:val="21"/>
          <w:szCs w:val="21"/>
        </w:rPr>
        <w:t>（2）未采用人民币报价或者未按照招标文件标明的币种报价的；</w:t>
      </w:r>
    </w:p>
    <w:p w14:paraId="22BF101A">
      <w:pPr>
        <w:pStyle w:val="6"/>
        <w:keepNext w:val="0"/>
        <w:keepLines w:val="0"/>
        <w:spacing w:before="0" w:after="0" w:line="360" w:lineRule="auto"/>
        <w:ind w:left="420" w:leftChars="200"/>
        <w:rPr>
          <w:rFonts w:hint="eastAsia" w:ascii="仿宋" w:hAnsi="仿宋" w:eastAsia="仿宋"/>
          <w:color w:val="auto"/>
          <w:sz w:val="21"/>
          <w:szCs w:val="21"/>
        </w:rPr>
      </w:pPr>
      <w:r>
        <w:rPr>
          <w:rFonts w:hint="eastAsia" w:ascii="仿宋" w:hAnsi="仿宋" w:eastAsia="仿宋"/>
          <w:color w:val="auto"/>
          <w:sz w:val="21"/>
          <w:szCs w:val="21"/>
        </w:rPr>
        <w:t>（3）各分标报价超出招标文件相应分标规定最高限价，或者超出相应分标采购预算金额的；</w:t>
      </w:r>
    </w:p>
    <w:p w14:paraId="19609ED6">
      <w:pPr>
        <w:pStyle w:val="6"/>
        <w:keepNext w:val="0"/>
        <w:keepLines w:val="0"/>
        <w:spacing w:before="0" w:after="0" w:line="360" w:lineRule="auto"/>
        <w:ind w:left="420" w:leftChars="200"/>
        <w:rPr>
          <w:rFonts w:hint="eastAsia" w:ascii="仿宋" w:hAnsi="仿宋" w:eastAsia="仿宋"/>
          <w:color w:val="auto"/>
          <w:sz w:val="21"/>
          <w:szCs w:val="21"/>
        </w:rPr>
      </w:pPr>
      <w:r>
        <w:rPr>
          <w:rFonts w:hint="eastAsia" w:ascii="仿宋" w:hAnsi="仿宋" w:eastAsia="仿宋"/>
          <w:color w:val="auto"/>
          <w:sz w:val="21"/>
          <w:szCs w:val="21"/>
        </w:rPr>
        <w:t>（4）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79101AFC">
      <w:pPr>
        <w:pStyle w:val="6"/>
        <w:keepNext w:val="0"/>
        <w:keepLines w:val="0"/>
        <w:spacing w:before="0" w:after="0" w:line="360" w:lineRule="auto"/>
        <w:ind w:left="420" w:leftChars="200"/>
        <w:rPr>
          <w:rFonts w:hint="eastAsia" w:ascii="仿宋" w:hAnsi="仿宋" w:eastAsia="仿宋"/>
          <w:color w:val="auto"/>
          <w:sz w:val="21"/>
          <w:szCs w:val="21"/>
        </w:rPr>
      </w:pPr>
      <w:r>
        <w:rPr>
          <w:rFonts w:hint="eastAsia" w:ascii="仿宋" w:hAnsi="仿宋" w:eastAsia="仿宋"/>
          <w:color w:val="auto"/>
          <w:sz w:val="21"/>
          <w:szCs w:val="21"/>
        </w:rPr>
        <w:t>（5）修正后的报价，投标人不确认的；</w:t>
      </w:r>
    </w:p>
    <w:p w14:paraId="7EA5F4A8">
      <w:pPr>
        <w:pStyle w:val="6"/>
        <w:keepNext w:val="0"/>
        <w:keepLines w:val="0"/>
        <w:spacing w:before="0" w:after="0" w:line="360" w:lineRule="auto"/>
        <w:ind w:left="420" w:leftChars="200"/>
        <w:rPr>
          <w:rFonts w:hint="eastAsia" w:ascii="仿宋" w:hAnsi="仿宋" w:eastAsia="仿宋"/>
          <w:color w:val="auto"/>
          <w:sz w:val="21"/>
          <w:szCs w:val="21"/>
        </w:rPr>
      </w:pPr>
      <w:r>
        <w:rPr>
          <w:rFonts w:hint="eastAsia" w:ascii="仿宋" w:hAnsi="仿宋" w:eastAsia="仿宋"/>
          <w:color w:val="auto"/>
          <w:sz w:val="21"/>
          <w:szCs w:val="21"/>
        </w:rPr>
        <w:t>（6）投标人属于本章第5.1条（2）或者第5.2条（2）项情形的；</w:t>
      </w:r>
    </w:p>
    <w:p w14:paraId="5244210F">
      <w:pPr>
        <w:pStyle w:val="6"/>
        <w:keepNext w:val="0"/>
        <w:keepLines w:val="0"/>
        <w:spacing w:before="0" w:after="0" w:line="360" w:lineRule="auto"/>
        <w:ind w:left="420" w:leftChars="200"/>
        <w:rPr>
          <w:rFonts w:hint="eastAsia" w:ascii="仿宋" w:hAnsi="仿宋" w:eastAsia="仿宋"/>
          <w:color w:val="auto"/>
          <w:sz w:val="21"/>
          <w:szCs w:val="21"/>
        </w:rPr>
      </w:pPr>
      <w:r>
        <w:rPr>
          <w:rFonts w:hint="eastAsia" w:ascii="仿宋" w:hAnsi="仿宋" w:eastAsia="仿宋"/>
          <w:color w:val="auto"/>
          <w:sz w:val="21"/>
          <w:szCs w:val="21"/>
        </w:rPr>
        <w:t>（7）报价文件响应的标的数量及单位与招标文件要求实质性不一致的。</w:t>
      </w:r>
    </w:p>
    <w:p w14:paraId="7AAE3A1F">
      <w:pPr>
        <w:pStyle w:val="6"/>
        <w:keepNext w:val="0"/>
        <w:keepLines w:val="0"/>
        <w:spacing w:before="0" w:after="0" w:line="360" w:lineRule="auto"/>
        <w:ind w:left="420" w:leftChars="200"/>
        <w:rPr>
          <w:rFonts w:hint="eastAsia" w:ascii="仿宋" w:hAnsi="仿宋" w:eastAsia="仿宋"/>
          <w:color w:val="auto"/>
          <w:sz w:val="21"/>
          <w:szCs w:val="21"/>
        </w:rPr>
      </w:pPr>
      <w:r>
        <w:rPr>
          <w:rFonts w:hint="eastAsia" w:ascii="仿宋" w:hAnsi="仿宋" w:eastAsia="仿宋"/>
          <w:color w:val="auto"/>
          <w:sz w:val="21"/>
          <w:szCs w:val="21"/>
        </w:rPr>
        <w:t>2.2在商务评审时，如发现下列情形之一的，将被视为投标无效：</w:t>
      </w:r>
    </w:p>
    <w:p w14:paraId="4DA82CD2">
      <w:pPr>
        <w:numPr>
          <w:ilvl w:val="0"/>
          <w:numId w:val="6"/>
        </w:numPr>
        <w:snapToGrid w:val="0"/>
        <w:spacing w:line="360" w:lineRule="auto"/>
        <w:ind w:firstLine="422" w:firstLineChars="200"/>
        <w:rPr>
          <w:rFonts w:hint="eastAsia" w:ascii="仿宋" w:hAnsi="仿宋" w:eastAsia="仿宋"/>
          <w:b/>
          <w:color w:val="auto"/>
          <w:szCs w:val="21"/>
        </w:rPr>
      </w:pPr>
      <w:r>
        <w:rPr>
          <w:rFonts w:hint="eastAsia" w:ascii="仿宋" w:hAnsi="仿宋" w:eastAsia="仿宋"/>
          <w:b/>
          <w:color w:val="auto"/>
          <w:szCs w:val="21"/>
        </w:rPr>
        <w:t>投标文件未按招标文件要求签署、盖章的；</w:t>
      </w:r>
    </w:p>
    <w:p w14:paraId="51D87A36">
      <w:pPr>
        <w:numPr>
          <w:ilvl w:val="0"/>
          <w:numId w:val="6"/>
        </w:numPr>
        <w:snapToGrid w:val="0"/>
        <w:spacing w:line="360" w:lineRule="auto"/>
        <w:ind w:firstLine="422" w:firstLineChars="200"/>
        <w:rPr>
          <w:rFonts w:hint="eastAsia" w:ascii="仿宋" w:hAnsi="仿宋" w:eastAsia="仿宋"/>
          <w:b/>
          <w:color w:val="auto"/>
          <w:szCs w:val="21"/>
        </w:rPr>
      </w:pPr>
      <w:r>
        <w:rPr>
          <w:rFonts w:hint="eastAsia" w:ascii="仿宋" w:hAnsi="仿宋" w:eastAsia="仿宋"/>
          <w:b/>
          <w:color w:val="auto"/>
          <w:szCs w:val="21"/>
        </w:rPr>
        <w:t>委托代理人未能出具有效身份证或者出具的身份证与授权委托书中的信息不符的；</w:t>
      </w:r>
    </w:p>
    <w:p w14:paraId="005B1BD6">
      <w:pPr>
        <w:numPr>
          <w:ilvl w:val="0"/>
          <w:numId w:val="6"/>
        </w:numPr>
        <w:snapToGrid w:val="0"/>
        <w:spacing w:line="360" w:lineRule="auto"/>
        <w:ind w:firstLine="422" w:firstLineChars="200"/>
        <w:rPr>
          <w:rFonts w:hint="eastAsia" w:ascii="仿宋" w:hAnsi="仿宋" w:eastAsia="仿宋"/>
          <w:b/>
          <w:color w:val="auto"/>
          <w:szCs w:val="21"/>
        </w:rPr>
      </w:pPr>
      <w:r>
        <w:rPr>
          <w:rFonts w:hint="eastAsia" w:ascii="仿宋" w:hAnsi="仿宋" w:eastAsia="仿宋"/>
          <w:b/>
          <w:color w:val="auto"/>
          <w:szCs w:val="21"/>
        </w:rPr>
        <w:t>为无效投标保证金的或者未按照招标文件的规定提交投标保证金的；</w:t>
      </w:r>
    </w:p>
    <w:p w14:paraId="04DC6C8D">
      <w:pPr>
        <w:numPr>
          <w:ilvl w:val="0"/>
          <w:numId w:val="6"/>
        </w:numPr>
        <w:snapToGrid w:val="0"/>
        <w:spacing w:line="360" w:lineRule="auto"/>
        <w:ind w:firstLine="422" w:firstLineChars="200"/>
        <w:rPr>
          <w:rFonts w:hint="eastAsia" w:ascii="仿宋" w:hAnsi="仿宋" w:eastAsia="仿宋"/>
          <w:b/>
          <w:color w:val="auto"/>
          <w:szCs w:val="21"/>
        </w:rPr>
      </w:pPr>
      <w:r>
        <w:rPr>
          <w:rFonts w:hint="eastAsia" w:ascii="仿宋" w:hAnsi="仿宋" w:eastAsia="仿宋"/>
          <w:b/>
          <w:color w:val="auto"/>
          <w:szCs w:val="21"/>
        </w:rPr>
        <w:t>投标文件未提供“投标人须知前附表”第13.</w:t>
      </w:r>
      <w:r>
        <w:rPr>
          <w:rFonts w:ascii="仿宋" w:hAnsi="仿宋" w:eastAsia="仿宋"/>
          <w:b/>
          <w:color w:val="auto"/>
          <w:szCs w:val="21"/>
        </w:rPr>
        <w:t>1</w:t>
      </w:r>
      <w:r>
        <w:rPr>
          <w:rFonts w:hint="eastAsia" w:ascii="仿宋" w:hAnsi="仿宋" w:eastAsia="仿宋"/>
          <w:b/>
          <w:color w:val="auto"/>
          <w:szCs w:val="21"/>
        </w:rPr>
        <w:t>条规定中“必须提供”或者“委托时必须提供”的文件资料的；</w:t>
      </w:r>
    </w:p>
    <w:p w14:paraId="38FFA3C7">
      <w:pPr>
        <w:numPr>
          <w:ilvl w:val="0"/>
          <w:numId w:val="6"/>
        </w:numPr>
        <w:snapToGrid w:val="0"/>
        <w:spacing w:line="360" w:lineRule="auto"/>
        <w:ind w:firstLine="422" w:firstLineChars="200"/>
        <w:rPr>
          <w:rFonts w:hint="eastAsia" w:ascii="仿宋" w:hAnsi="仿宋" w:eastAsia="仿宋"/>
          <w:b/>
          <w:color w:val="auto"/>
          <w:szCs w:val="21"/>
        </w:rPr>
      </w:pPr>
      <w:r>
        <w:rPr>
          <w:rFonts w:hint="eastAsia" w:ascii="仿宋" w:hAnsi="仿宋" w:eastAsia="仿宋"/>
          <w:b/>
          <w:color w:val="auto"/>
          <w:szCs w:val="21"/>
        </w:rPr>
        <w:t>商务要求评审允许负偏离的条款数超过“投标人须知前附表”规定项数的；</w:t>
      </w:r>
    </w:p>
    <w:p w14:paraId="289B0CFC">
      <w:pPr>
        <w:numPr>
          <w:ilvl w:val="0"/>
          <w:numId w:val="6"/>
        </w:numPr>
        <w:snapToGrid w:val="0"/>
        <w:spacing w:line="360" w:lineRule="auto"/>
        <w:ind w:firstLine="422" w:firstLineChars="200"/>
        <w:rPr>
          <w:rFonts w:hint="eastAsia" w:ascii="仿宋" w:hAnsi="仿宋" w:eastAsia="仿宋"/>
          <w:b/>
          <w:color w:val="auto"/>
          <w:szCs w:val="21"/>
        </w:rPr>
      </w:pPr>
      <w:r>
        <w:rPr>
          <w:rFonts w:hint="eastAsia" w:ascii="仿宋" w:hAnsi="仿宋" w:eastAsia="仿宋"/>
          <w:b/>
          <w:color w:val="auto"/>
          <w:szCs w:val="21"/>
        </w:rPr>
        <w:t>投标文件的实质性内容未使用中文表述、使用计量单位不符合招标文件要求的；</w:t>
      </w:r>
    </w:p>
    <w:p w14:paraId="43E56CFA">
      <w:pPr>
        <w:numPr>
          <w:ilvl w:val="0"/>
          <w:numId w:val="6"/>
        </w:numPr>
        <w:snapToGrid w:val="0"/>
        <w:spacing w:line="360" w:lineRule="auto"/>
        <w:ind w:firstLine="422" w:firstLineChars="200"/>
        <w:rPr>
          <w:rFonts w:hint="eastAsia" w:ascii="仿宋" w:hAnsi="仿宋" w:eastAsia="仿宋"/>
          <w:b/>
          <w:color w:val="auto"/>
          <w:szCs w:val="21"/>
        </w:rPr>
      </w:pPr>
      <w:r>
        <w:rPr>
          <w:rFonts w:hint="eastAsia" w:ascii="仿宋" w:hAnsi="仿宋" w:eastAsia="仿宋"/>
          <w:b/>
          <w:color w:val="auto"/>
          <w:szCs w:val="21"/>
        </w:rPr>
        <w:t>投标文件中的文件资料因填写不齐全或者内容虚假或者出现其他情形而导致被评标委员会认定无效的；</w:t>
      </w:r>
    </w:p>
    <w:p w14:paraId="299993C1">
      <w:pPr>
        <w:numPr>
          <w:ilvl w:val="0"/>
          <w:numId w:val="6"/>
        </w:numPr>
        <w:snapToGrid w:val="0"/>
        <w:spacing w:line="360" w:lineRule="auto"/>
        <w:ind w:firstLine="422" w:firstLineChars="200"/>
        <w:rPr>
          <w:rFonts w:hint="eastAsia" w:ascii="仿宋" w:hAnsi="仿宋" w:eastAsia="仿宋"/>
          <w:b/>
          <w:color w:val="auto"/>
          <w:szCs w:val="21"/>
        </w:rPr>
      </w:pPr>
      <w:r>
        <w:rPr>
          <w:rFonts w:hint="eastAsia" w:ascii="仿宋" w:hAnsi="仿宋" w:eastAsia="仿宋"/>
          <w:b/>
          <w:color w:val="auto"/>
          <w:szCs w:val="21"/>
        </w:rPr>
        <w:t>投标文件含有采购人不能接受的附加条件的；</w:t>
      </w:r>
    </w:p>
    <w:p w14:paraId="21DD8617">
      <w:pPr>
        <w:numPr>
          <w:ilvl w:val="0"/>
          <w:numId w:val="6"/>
        </w:numPr>
        <w:snapToGrid w:val="0"/>
        <w:spacing w:line="360" w:lineRule="auto"/>
        <w:ind w:firstLine="422" w:firstLineChars="200"/>
        <w:rPr>
          <w:rFonts w:hint="eastAsia" w:ascii="仿宋" w:hAnsi="仿宋" w:eastAsia="仿宋"/>
          <w:b/>
          <w:color w:val="auto"/>
          <w:szCs w:val="21"/>
        </w:rPr>
      </w:pPr>
      <w:r>
        <w:rPr>
          <w:rFonts w:hint="eastAsia" w:ascii="仿宋" w:hAnsi="仿宋" w:eastAsia="仿宋"/>
          <w:b/>
          <w:color w:val="auto"/>
          <w:szCs w:val="21"/>
        </w:rPr>
        <w:t>属于投标人须知正文第</w:t>
      </w:r>
      <w:r>
        <w:rPr>
          <w:rFonts w:ascii="仿宋" w:hAnsi="仿宋" w:eastAsia="仿宋"/>
          <w:b/>
          <w:color w:val="auto"/>
          <w:szCs w:val="21"/>
        </w:rPr>
        <w:t>9.2</w:t>
      </w:r>
      <w:r>
        <w:rPr>
          <w:rFonts w:hint="eastAsia" w:ascii="仿宋" w:hAnsi="仿宋" w:eastAsia="仿宋"/>
          <w:b/>
          <w:color w:val="auto"/>
          <w:szCs w:val="21"/>
        </w:rPr>
        <w:t>条情形的；</w:t>
      </w:r>
    </w:p>
    <w:p w14:paraId="422E3144">
      <w:pPr>
        <w:numPr>
          <w:ilvl w:val="0"/>
          <w:numId w:val="6"/>
        </w:numPr>
        <w:snapToGrid w:val="0"/>
        <w:spacing w:line="360" w:lineRule="auto"/>
        <w:ind w:firstLine="422" w:firstLineChars="200"/>
        <w:rPr>
          <w:rFonts w:ascii="仿宋" w:hAnsi="仿宋" w:eastAsia="仿宋"/>
          <w:b/>
          <w:color w:val="auto"/>
          <w:szCs w:val="21"/>
        </w:rPr>
      </w:pPr>
      <w:r>
        <w:rPr>
          <w:rFonts w:hint="eastAsia" w:ascii="仿宋" w:hAnsi="仿宋" w:eastAsia="仿宋"/>
          <w:b/>
          <w:color w:val="auto"/>
          <w:szCs w:val="21"/>
        </w:rPr>
        <w:t>投标文件标注的项目名称或者项目编号与招标文件标注的项目名称或者项目编号不一致的；</w:t>
      </w:r>
    </w:p>
    <w:p w14:paraId="6E75F186">
      <w:pPr>
        <w:numPr>
          <w:ilvl w:val="0"/>
          <w:numId w:val="6"/>
        </w:numPr>
        <w:snapToGrid w:val="0"/>
        <w:spacing w:line="360" w:lineRule="auto"/>
        <w:ind w:firstLine="422" w:firstLineChars="200"/>
        <w:rPr>
          <w:rFonts w:hint="eastAsia" w:ascii="仿宋" w:hAnsi="仿宋" w:eastAsia="仿宋"/>
          <w:b/>
          <w:color w:val="auto"/>
          <w:szCs w:val="21"/>
        </w:rPr>
      </w:pPr>
      <w:r>
        <w:rPr>
          <w:rFonts w:hint="eastAsia" w:ascii="仿宋" w:hAnsi="仿宋" w:eastAsia="仿宋"/>
          <w:b/>
          <w:color w:val="auto"/>
          <w:szCs w:val="21"/>
        </w:rPr>
        <w:t>招标文件明确不允许分包，投标文件拟分包的；</w:t>
      </w:r>
    </w:p>
    <w:p w14:paraId="5AD8FE9B">
      <w:pPr>
        <w:numPr>
          <w:ilvl w:val="0"/>
          <w:numId w:val="6"/>
        </w:numPr>
        <w:snapToGrid w:val="0"/>
        <w:spacing w:line="360" w:lineRule="auto"/>
        <w:ind w:firstLine="422" w:firstLineChars="200"/>
        <w:rPr>
          <w:rFonts w:hint="eastAsia" w:ascii="仿宋" w:hAnsi="仿宋" w:eastAsia="仿宋"/>
          <w:b/>
          <w:color w:val="auto"/>
          <w:szCs w:val="21"/>
        </w:rPr>
      </w:pPr>
      <w:r>
        <w:rPr>
          <w:rFonts w:hint="eastAsia" w:ascii="仿宋" w:hAnsi="仿宋" w:eastAsia="仿宋"/>
          <w:b/>
          <w:color w:val="auto"/>
          <w:szCs w:val="21"/>
        </w:rPr>
        <w:t>未响应招标文件实质性要求的；</w:t>
      </w:r>
    </w:p>
    <w:p w14:paraId="51033AE3">
      <w:pPr>
        <w:numPr>
          <w:ilvl w:val="0"/>
          <w:numId w:val="6"/>
        </w:numPr>
        <w:snapToGrid w:val="0"/>
        <w:spacing w:line="360" w:lineRule="auto"/>
        <w:ind w:firstLine="422" w:firstLineChars="200"/>
        <w:rPr>
          <w:rFonts w:hint="eastAsia" w:ascii="仿宋" w:hAnsi="仿宋" w:eastAsia="仿宋"/>
          <w:b/>
          <w:color w:val="auto"/>
          <w:szCs w:val="21"/>
        </w:rPr>
      </w:pPr>
      <w:r>
        <w:rPr>
          <w:rFonts w:hint="eastAsia" w:ascii="仿宋" w:hAnsi="仿宋" w:eastAsia="仿宋"/>
          <w:b/>
          <w:color w:val="auto"/>
          <w:szCs w:val="21"/>
        </w:rPr>
        <w:t>法律、法规和招标文件规定的其他无效情形。</w:t>
      </w:r>
    </w:p>
    <w:p w14:paraId="27D90731">
      <w:pPr>
        <w:pStyle w:val="6"/>
        <w:keepNext w:val="0"/>
        <w:keepLines w:val="0"/>
        <w:spacing w:before="0" w:after="0" w:line="360" w:lineRule="auto"/>
        <w:ind w:left="420" w:leftChars="200"/>
        <w:rPr>
          <w:rFonts w:hint="eastAsia" w:ascii="仿宋" w:hAnsi="仿宋" w:eastAsia="仿宋"/>
          <w:color w:val="auto"/>
          <w:sz w:val="21"/>
          <w:szCs w:val="21"/>
        </w:rPr>
      </w:pPr>
      <w:r>
        <w:rPr>
          <w:rFonts w:hint="eastAsia" w:ascii="仿宋" w:hAnsi="仿宋" w:eastAsia="仿宋"/>
          <w:color w:val="auto"/>
          <w:sz w:val="21"/>
          <w:szCs w:val="21"/>
        </w:rPr>
        <w:t>2.3在技术评审时，如发现下列情形之一的，将被视为投标无效：</w:t>
      </w:r>
    </w:p>
    <w:p w14:paraId="09C60C77">
      <w:pPr>
        <w:pStyle w:val="19"/>
        <w:snapToGrid w:val="0"/>
        <w:spacing w:line="360" w:lineRule="auto"/>
        <w:ind w:firstLine="413" w:firstLineChars="196"/>
        <w:rPr>
          <w:rFonts w:hint="eastAsia" w:ascii="仿宋" w:hAnsi="仿宋" w:eastAsia="仿宋"/>
          <w:b/>
          <w:color w:val="auto"/>
          <w:kern w:val="2"/>
          <w:sz w:val="21"/>
          <w:szCs w:val="21"/>
        </w:rPr>
      </w:pPr>
      <w:r>
        <w:rPr>
          <w:rFonts w:hint="eastAsia" w:ascii="仿宋" w:hAnsi="仿宋" w:eastAsia="仿宋"/>
          <w:b/>
          <w:color w:val="auto"/>
          <w:kern w:val="2"/>
          <w:sz w:val="21"/>
          <w:szCs w:val="21"/>
        </w:rPr>
        <w:t>（1）技术要求评审允许负偏离的条款数超过“投标人须知前附表”规定项数的；</w:t>
      </w:r>
    </w:p>
    <w:p w14:paraId="1D86E644">
      <w:pPr>
        <w:pStyle w:val="19"/>
        <w:snapToGrid w:val="0"/>
        <w:spacing w:line="360" w:lineRule="auto"/>
        <w:ind w:firstLine="413" w:firstLineChars="196"/>
        <w:rPr>
          <w:rFonts w:hint="eastAsia" w:ascii="仿宋" w:hAnsi="仿宋" w:eastAsia="仿宋"/>
          <w:b/>
          <w:color w:val="auto"/>
          <w:kern w:val="2"/>
          <w:sz w:val="21"/>
          <w:szCs w:val="21"/>
        </w:rPr>
      </w:pPr>
      <w:r>
        <w:rPr>
          <w:rFonts w:hint="eastAsia" w:ascii="仿宋" w:hAnsi="仿宋" w:eastAsia="仿宋"/>
          <w:b/>
          <w:color w:val="auto"/>
          <w:kern w:val="2"/>
          <w:sz w:val="21"/>
          <w:szCs w:val="21"/>
        </w:rPr>
        <w:t>（2）投标文件未提供“投标人须知前附表”第13.</w:t>
      </w:r>
      <w:r>
        <w:rPr>
          <w:rFonts w:ascii="仿宋" w:hAnsi="仿宋" w:eastAsia="仿宋"/>
          <w:b/>
          <w:color w:val="auto"/>
          <w:kern w:val="2"/>
          <w:sz w:val="21"/>
          <w:szCs w:val="21"/>
        </w:rPr>
        <w:t>1</w:t>
      </w:r>
      <w:r>
        <w:rPr>
          <w:rFonts w:hint="eastAsia" w:ascii="仿宋" w:hAnsi="仿宋" w:eastAsia="仿宋"/>
          <w:b/>
          <w:color w:val="auto"/>
          <w:kern w:val="2"/>
          <w:sz w:val="21"/>
          <w:szCs w:val="21"/>
        </w:rPr>
        <w:t>条规定中“必须提供”的文件资料的；</w:t>
      </w:r>
    </w:p>
    <w:p w14:paraId="6858EA0A">
      <w:pPr>
        <w:pStyle w:val="19"/>
        <w:snapToGrid w:val="0"/>
        <w:spacing w:line="360" w:lineRule="auto"/>
        <w:ind w:firstLine="413" w:firstLineChars="196"/>
        <w:rPr>
          <w:rFonts w:hint="eastAsia" w:ascii="仿宋" w:hAnsi="仿宋" w:eastAsia="仿宋"/>
          <w:b/>
          <w:color w:val="auto"/>
          <w:kern w:val="2"/>
          <w:sz w:val="21"/>
          <w:szCs w:val="21"/>
        </w:rPr>
      </w:pPr>
      <w:r>
        <w:rPr>
          <w:rFonts w:hint="eastAsia" w:ascii="仿宋" w:hAnsi="仿宋" w:eastAsia="仿宋"/>
          <w:b/>
          <w:color w:val="auto"/>
          <w:kern w:val="2"/>
          <w:sz w:val="21"/>
          <w:szCs w:val="21"/>
        </w:rPr>
        <w:t>（3）虚假投标，或者出现其他情形而导致被评标委员会认定无效的；</w:t>
      </w:r>
    </w:p>
    <w:p w14:paraId="14C5EFC3">
      <w:pPr>
        <w:pStyle w:val="19"/>
        <w:snapToGrid w:val="0"/>
        <w:spacing w:line="360" w:lineRule="auto"/>
        <w:ind w:firstLine="413" w:firstLineChars="196"/>
        <w:rPr>
          <w:rFonts w:ascii="仿宋" w:hAnsi="仿宋" w:eastAsia="仿宋"/>
          <w:b/>
          <w:color w:val="auto"/>
          <w:kern w:val="2"/>
          <w:sz w:val="21"/>
          <w:szCs w:val="21"/>
        </w:rPr>
      </w:pPr>
      <w:r>
        <w:rPr>
          <w:rFonts w:hint="eastAsia" w:ascii="仿宋" w:hAnsi="仿宋" w:eastAsia="仿宋"/>
          <w:b/>
          <w:color w:val="auto"/>
          <w:kern w:val="2"/>
          <w:sz w:val="21"/>
          <w:szCs w:val="21"/>
        </w:rPr>
        <w:t>（4）</w:t>
      </w:r>
      <w:bookmarkStart w:id="135" w:name="_Hlk71706244"/>
      <w:r>
        <w:rPr>
          <w:rFonts w:hint="eastAsia" w:ascii="仿宋" w:hAnsi="仿宋" w:eastAsia="仿宋"/>
          <w:b/>
          <w:color w:val="auto"/>
          <w:kern w:val="2"/>
          <w:sz w:val="21"/>
          <w:szCs w:val="21"/>
        </w:rPr>
        <w:t>招标文件未载明允许提供备选（替代）投标方案或明确不允许提供备选（替代）投标方案时，投标人提供了备选（替代）投标方案的；</w:t>
      </w:r>
      <w:bookmarkEnd w:id="135"/>
    </w:p>
    <w:p w14:paraId="1E6EC023">
      <w:pPr>
        <w:pStyle w:val="19"/>
        <w:snapToGrid w:val="0"/>
        <w:spacing w:line="360" w:lineRule="auto"/>
        <w:ind w:firstLine="413" w:firstLineChars="196"/>
        <w:rPr>
          <w:rFonts w:hint="eastAsia" w:ascii="仿宋" w:hAnsi="仿宋" w:eastAsia="仿宋"/>
          <w:b/>
          <w:color w:val="auto"/>
          <w:kern w:val="2"/>
          <w:sz w:val="21"/>
          <w:szCs w:val="21"/>
        </w:rPr>
      </w:pPr>
      <w:r>
        <w:rPr>
          <w:rFonts w:hint="eastAsia" w:ascii="仿宋" w:hAnsi="仿宋" w:eastAsia="仿宋"/>
          <w:b/>
          <w:color w:val="auto"/>
          <w:kern w:val="2"/>
          <w:sz w:val="21"/>
          <w:szCs w:val="21"/>
        </w:rPr>
        <w:t>（5）未响应招标文件实质性要求的。</w:t>
      </w:r>
    </w:p>
    <w:p w14:paraId="0154239A">
      <w:pPr>
        <w:pStyle w:val="19"/>
        <w:snapToGrid w:val="0"/>
        <w:spacing w:line="360" w:lineRule="auto"/>
        <w:ind w:firstLine="413" w:firstLineChars="196"/>
        <w:rPr>
          <w:rFonts w:ascii="仿宋" w:hAnsi="仿宋" w:eastAsia="仿宋"/>
          <w:b/>
          <w:color w:val="auto"/>
          <w:kern w:val="2"/>
          <w:sz w:val="21"/>
          <w:szCs w:val="21"/>
        </w:rPr>
      </w:pPr>
      <w:r>
        <w:rPr>
          <w:rFonts w:hint="eastAsia" w:ascii="仿宋" w:hAnsi="仿宋" w:eastAsia="仿宋"/>
          <w:b/>
          <w:color w:val="auto"/>
          <w:kern w:val="2"/>
          <w:sz w:val="21"/>
          <w:szCs w:val="21"/>
        </w:rPr>
        <w:t>2.4通过符合性审查的投标人不足3家，评标委员会不得继续评标，并出具评标报告。</w:t>
      </w:r>
    </w:p>
    <w:p w14:paraId="1ED7F85B">
      <w:pPr>
        <w:pStyle w:val="6"/>
        <w:keepNext w:val="0"/>
        <w:keepLines w:val="0"/>
        <w:spacing w:before="0" w:after="0" w:line="360" w:lineRule="auto"/>
        <w:ind w:left="420" w:leftChars="200"/>
        <w:rPr>
          <w:rFonts w:hint="eastAsia" w:ascii="仿宋" w:hAnsi="仿宋" w:eastAsia="仿宋"/>
          <w:color w:val="auto"/>
          <w:sz w:val="21"/>
          <w:szCs w:val="21"/>
        </w:rPr>
      </w:pPr>
      <w:r>
        <w:rPr>
          <w:rFonts w:hint="eastAsia" w:ascii="仿宋" w:hAnsi="仿宋" w:eastAsia="仿宋"/>
          <w:color w:val="auto"/>
          <w:sz w:val="21"/>
          <w:szCs w:val="21"/>
        </w:rPr>
        <w:t>3</w:t>
      </w:r>
      <w:r>
        <w:rPr>
          <w:rFonts w:ascii="仿宋" w:hAnsi="仿宋" w:eastAsia="仿宋"/>
          <w:color w:val="auto"/>
          <w:sz w:val="21"/>
          <w:szCs w:val="21"/>
        </w:rPr>
        <w:t>.</w:t>
      </w:r>
      <w:r>
        <w:rPr>
          <w:rFonts w:hint="eastAsia" w:ascii="仿宋" w:hAnsi="仿宋" w:eastAsia="仿宋"/>
          <w:color w:val="auto"/>
          <w:sz w:val="21"/>
          <w:szCs w:val="21"/>
        </w:rPr>
        <w:t>澄清补正</w:t>
      </w:r>
    </w:p>
    <w:p w14:paraId="12EF6478">
      <w:pPr>
        <w:snapToGrid w:val="0"/>
        <w:spacing w:line="360" w:lineRule="auto"/>
        <w:ind w:firstLine="420" w:firstLineChars="200"/>
        <w:rPr>
          <w:rFonts w:ascii="仿宋" w:hAnsi="仿宋" w:eastAsia="仿宋" w:cs="Courier New"/>
          <w:color w:val="auto"/>
          <w:szCs w:val="21"/>
        </w:rPr>
      </w:pPr>
      <w:r>
        <w:rPr>
          <w:rFonts w:hint="eastAsia" w:ascii="仿宋" w:hAnsi="仿宋" w:eastAsia="仿宋" w:cs="Courier New"/>
          <w:color w:val="auto"/>
          <w:szCs w:val="21"/>
        </w:rPr>
        <w:t>对投标文件中含义不明确、同类问题表述不一致或者有明显文字和计算错误的内容，评标委员会以</w:t>
      </w:r>
      <w:r>
        <w:rPr>
          <w:rFonts w:hint="eastAsia" w:ascii="仿宋" w:hAnsi="仿宋" w:eastAsia="仿宋" w:cs="宋体"/>
          <w:color w:val="auto"/>
          <w:szCs w:val="21"/>
        </w:rPr>
        <w:t>电子澄清函形式</w:t>
      </w:r>
      <w:r>
        <w:rPr>
          <w:rFonts w:hint="eastAsia" w:ascii="仿宋" w:hAnsi="仿宋" w:eastAsia="仿宋" w:cs="Courier New"/>
          <w:color w:val="auto"/>
          <w:szCs w:val="21"/>
        </w:rPr>
        <w:t>要求投标人在规定时间内作出必要的澄清、说明或者纠正。投标人的澄清、说明或者补正必须采用</w:t>
      </w:r>
      <w:r>
        <w:rPr>
          <w:rFonts w:hint="eastAsia" w:ascii="仿宋" w:hAnsi="仿宋" w:eastAsia="仿宋" w:cs="宋体"/>
          <w:color w:val="auto"/>
          <w:szCs w:val="21"/>
        </w:rPr>
        <w:t>电子回函形式</w:t>
      </w:r>
      <w:r>
        <w:rPr>
          <w:rFonts w:hint="eastAsia" w:ascii="仿宋" w:hAnsi="仿宋" w:eastAsia="仿宋" w:cs="Courier New"/>
          <w:color w:val="auto"/>
          <w:szCs w:val="21"/>
        </w:rPr>
        <w:t>，并加盖投标人公章，或者由法定代表人或者其授权的代表签字。投标人的澄清、说明或者补正不得超出投标文件的范围或者改变投标文件的实质性内容。</w:t>
      </w:r>
    </w:p>
    <w:p w14:paraId="4FEBBB40">
      <w:pPr>
        <w:pStyle w:val="6"/>
        <w:keepNext w:val="0"/>
        <w:keepLines w:val="0"/>
        <w:spacing w:before="0" w:after="0" w:line="360" w:lineRule="auto"/>
        <w:ind w:left="420" w:leftChars="200"/>
        <w:rPr>
          <w:rFonts w:hint="eastAsia" w:ascii="仿宋" w:hAnsi="仿宋" w:eastAsia="仿宋"/>
          <w:color w:val="auto"/>
          <w:sz w:val="21"/>
          <w:szCs w:val="21"/>
        </w:rPr>
      </w:pPr>
      <w:r>
        <w:rPr>
          <w:rFonts w:ascii="仿宋" w:hAnsi="仿宋" w:eastAsia="仿宋"/>
          <w:color w:val="auto"/>
          <w:sz w:val="21"/>
          <w:szCs w:val="21"/>
        </w:rPr>
        <w:t>4.</w:t>
      </w:r>
      <w:r>
        <w:rPr>
          <w:rFonts w:hint="eastAsia" w:ascii="仿宋" w:hAnsi="仿宋" w:eastAsia="仿宋"/>
          <w:color w:val="auto"/>
          <w:sz w:val="21"/>
          <w:szCs w:val="21"/>
        </w:rPr>
        <w:t>投标文件修正</w:t>
      </w:r>
    </w:p>
    <w:p w14:paraId="2579D2C1">
      <w:pPr>
        <w:pStyle w:val="6"/>
        <w:keepNext w:val="0"/>
        <w:keepLines w:val="0"/>
        <w:spacing w:before="0" w:after="0" w:line="360" w:lineRule="auto"/>
        <w:ind w:left="420" w:leftChars="200"/>
        <w:rPr>
          <w:rFonts w:hint="eastAsia" w:ascii="仿宋" w:hAnsi="仿宋" w:eastAsia="仿宋"/>
          <w:b w:val="0"/>
          <w:color w:val="auto"/>
          <w:sz w:val="21"/>
          <w:szCs w:val="21"/>
        </w:rPr>
      </w:pPr>
      <w:r>
        <w:rPr>
          <w:rFonts w:ascii="仿宋" w:hAnsi="仿宋" w:eastAsia="仿宋"/>
          <w:b w:val="0"/>
          <w:color w:val="auto"/>
          <w:sz w:val="21"/>
          <w:szCs w:val="21"/>
        </w:rPr>
        <w:t>4</w:t>
      </w:r>
      <w:r>
        <w:rPr>
          <w:rFonts w:hint="eastAsia" w:ascii="仿宋" w:hAnsi="仿宋" w:eastAsia="仿宋"/>
          <w:b w:val="0"/>
          <w:color w:val="auto"/>
          <w:sz w:val="21"/>
          <w:szCs w:val="21"/>
        </w:rPr>
        <w:t xml:space="preserve">.1投标文件报价出现前后不一致的，按照下列规定修正： </w:t>
      </w:r>
    </w:p>
    <w:p w14:paraId="7298B0D0">
      <w:pPr>
        <w:pStyle w:val="24"/>
        <w:numPr>
          <w:ilvl w:val="0"/>
          <w:numId w:val="7"/>
        </w:numPr>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投标文件中开标一览表（报价表）内容与投标文件中相应内容不一致的，以开标一览表（报价表）为准；</w:t>
      </w:r>
    </w:p>
    <w:p w14:paraId="629E0A31">
      <w:pPr>
        <w:pStyle w:val="24"/>
        <w:snapToGrid w:val="0"/>
        <w:spacing w:line="360" w:lineRule="auto"/>
        <w:ind w:firstLine="420" w:firstLineChars="200"/>
        <w:rPr>
          <w:rFonts w:ascii="仿宋" w:hAnsi="仿宋" w:eastAsia="仿宋"/>
          <w:color w:val="auto"/>
          <w:sz w:val="21"/>
        </w:rPr>
      </w:pPr>
      <w:r>
        <w:rPr>
          <w:rFonts w:hint="eastAsia" w:ascii="仿宋" w:hAnsi="仿宋" w:eastAsia="仿宋"/>
          <w:color w:val="auto"/>
          <w:sz w:val="21"/>
        </w:rPr>
        <w:t>（</w:t>
      </w:r>
      <w:r>
        <w:rPr>
          <w:rFonts w:hint="eastAsia" w:ascii="仿宋" w:hAnsi="仿宋" w:eastAsia="仿宋"/>
          <w:color w:val="auto"/>
          <w:sz w:val="21"/>
          <w:lang w:val="en-US" w:eastAsia="zh-CN"/>
        </w:rPr>
        <w:t>2</w:t>
      </w:r>
      <w:r>
        <w:rPr>
          <w:rFonts w:hint="eastAsia" w:ascii="仿宋" w:hAnsi="仿宋" w:eastAsia="仿宋"/>
          <w:color w:val="auto"/>
          <w:sz w:val="21"/>
        </w:rPr>
        <w:t>）大写金额和小写金额不一致的，以大写金额为准；</w:t>
      </w:r>
    </w:p>
    <w:p w14:paraId="1B068FFC">
      <w:pPr>
        <w:pStyle w:val="24"/>
        <w:snapToGrid w:val="0"/>
        <w:spacing w:line="360" w:lineRule="auto"/>
        <w:ind w:firstLine="420" w:firstLineChars="200"/>
        <w:rPr>
          <w:rFonts w:ascii="仿宋" w:hAnsi="仿宋" w:eastAsia="仿宋"/>
          <w:color w:val="auto"/>
          <w:sz w:val="21"/>
        </w:rPr>
      </w:pPr>
      <w:r>
        <w:rPr>
          <w:rFonts w:hint="eastAsia" w:ascii="仿宋" w:hAnsi="仿宋" w:eastAsia="仿宋"/>
          <w:color w:val="auto"/>
          <w:sz w:val="21"/>
        </w:rPr>
        <w:t>（</w:t>
      </w:r>
      <w:r>
        <w:rPr>
          <w:rFonts w:hint="eastAsia" w:ascii="仿宋" w:hAnsi="仿宋" w:eastAsia="仿宋"/>
          <w:color w:val="auto"/>
          <w:sz w:val="21"/>
          <w:lang w:val="en-US" w:eastAsia="zh-CN"/>
        </w:rPr>
        <w:t>3</w:t>
      </w:r>
      <w:r>
        <w:rPr>
          <w:rFonts w:hint="eastAsia" w:ascii="仿宋" w:hAnsi="仿宋" w:eastAsia="仿宋"/>
          <w:color w:val="auto"/>
          <w:sz w:val="21"/>
        </w:rPr>
        <w:t>）单价金额小数点或者百分比有明显错位的，以开标一览表的总价为准，并修改单价；</w:t>
      </w:r>
    </w:p>
    <w:p w14:paraId="38770CDE">
      <w:pPr>
        <w:pStyle w:val="24"/>
        <w:snapToGrid w:val="0"/>
        <w:spacing w:line="360" w:lineRule="auto"/>
        <w:ind w:firstLine="420" w:firstLineChars="200"/>
        <w:rPr>
          <w:rFonts w:ascii="仿宋" w:hAnsi="仿宋" w:eastAsia="仿宋"/>
          <w:color w:val="auto"/>
          <w:sz w:val="21"/>
        </w:rPr>
      </w:pPr>
      <w:r>
        <w:rPr>
          <w:rFonts w:hint="eastAsia" w:ascii="仿宋" w:hAnsi="仿宋" w:eastAsia="仿宋"/>
          <w:color w:val="auto"/>
          <w:sz w:val="21"/>
        </w:rPr>
        <w:t>（</w:t>
      </w:r>
      <w:r>
        <w:rPr>
          <w:rFonts w:hint="eastAsia" w:ascii="仿宋" w:hAnsi="仿宋" w:eastAsia="仿宋"/>
          <w:color w:val="auto"/>
          <w:sz w:val="21"/>
          <w:lang w:val="en-US" w:eastAsia="zh-CN"/>
        </w:rPr>
        <w:t>4</w:t>
      </w:r>
      <w:r>
        <w:rPr>
          <w:rFonts w:hint="eastAsia" w:ascii="仿宋" w:hAnsi="仿宋" w:eastAsia="仿宋"/>
          <w:color w:val="auto"/>
          <w:sz w:val="21"/>
        </w:rPr>
        <w:t>）总价金额与按单价汇总金额不一致的，以单价金额计算结果为准。</w:t>
      </w:r>
    </w:p>
    <w:p w14:paraId="5BB65067">
      <w:pPr>
        <w:pStyle w:val="24"/>
        <w:snapToGrid w:val="0"/>
        <w:spacing w:line="360" w:lineRule="auto"/>
        <w:ind w:firstLine="420" w:firstLineChars="200"/>
        <w:rPr>
          <w:rFonts w:hint="eastAsia" w:ascii="仿宋" w:hAnsi="仿宋" w:eastAsia="仿宋"/>
          <w:color w:val="auto"/>
          <w:sz w:val="21"/>
        </w:rPr>
      </w:pPr>
      <w:r>
        <w:rPr>
          <w:rFonts w:hint="eastAsia" w:ascii="仿宋" w:hAnsi="仿宋" w:eastAsia="仿宋"/>
          <w:color w:val="auto"/>
          <w:sz w:val="21"/>
        </w:rPr>
        <w:t>同时出现两种以上不一致的，按照以上（1）-（</w:t>
      </w:r>
      <w:r>
        <w:rPr>
          <w:rFonts w:hint="eastAsia" w:ascii="仿宋" w:hAnsi="仿宋" w:eastAsia="仿宋"/>
          <w:color w:val="auto"/>
          <w:sz w:val="21"/>
          <w:lang w:val="en-US" w:eastAsia="zh-CN"/>
        </w:rPr>
        <w:t>4</w:t>
      </w:r>
      <w:r>
        <w:rPr>
          <w:rFonts w:hint="eastAsia" w:ascii="仿宋" w:hAnsi="仿宋" w:eastAsia="仿宋"/>
          <w:color w:val="auto"/>
          <w:sz w:val="21"/>
        </w:rPr>
        <w:t>）规定的顺序修正。修正后的报价经投标人确认后产生约束力，投标人不确认的，</w:t>
      </w:r>
      <w:r>
        <w:rPr>
          <w:rFonts w:hint="eastAsia" w:ascii="仿宋" w:hAnsi="仿宋" w:eastAsia="仿宋"/>
          <w:b/>
          <w:color w:val="auto"/>
          <w:kern w:val="2"/>
          <w:sz w:val="21"/>
        </w:rPr>
        <w:t>其投标无效</w:t>
      </w:r>
      <w:r>
        <w:rPr>
          <w:rFonts w:hint="eastAsia" w:ascii="仿宋" w:hAnsi="仿宋" w:eastAsia="仿宋"/>
          <w:color w:val="auto"/>
          <w:sz w:val="21"/>
        </w:rPr>
        <w:t>。</w:t>
      </w:r>
    </w:p>
    <w:p w14:paraId="6C9AF2BB">
      <w:pPr>
        <w:pStyle w:val="6"/>
        <w:keepNext w:val="0"/>
        <w:keepLines w:val="0"/>
        <w:spacing w:before="0" w:after="0" w:line="360" w:lineRule="auto"/>
        <w:rPr>
          <w:rFonts w:hint="eastAsia" w:ascii="仿宋" w:hAnsi="仿宋" w:eastAsia="仿宋"/>
          <w:b w:val="0"/>
          <w:color w:val="auto"/>
          <w:sz w:val="21"/>
          <w:szCs w:val="21"/>
        </w:rPr>
      </w:pPr>
      <w:r>
        <w:rPr>
          <w:rFonts w:ascii="仿宋" w:hAnsi="仿宋" w:eastAsia="仿宋"/>
          <w:b w:val="0"/>
          <w:color w:val="auto"/>
          <w:sz w:val="21"/>
          <w:szCs w:val="21"/>
        </w:rPr>
        <w:t xml:space="preserve">    4</w:t>
      </w:r>
      <w:r>
        <w:rPr>
          <w:rFonts w:hint="eastAsia" w:ascii="仿宋" w:hAnsi="仿宋" w:eastAsia="仿宋"/>
          <w:b w:val="0"/>
          <w:color w:val="auto"/>
          <w:sz w:val="21"/>
          <w:szCs w:val="21"/>
        </w:rPr>
        <w:t>.2经投标人确认修正后的报价若超过采购预算金额或者最高限价，</w:t>
      </w:r>
      <w:r>
        <w:rPr>
          <w:rFonts w:hint="eastAsia" w:ascii="仿宋" w:hAnsi="仿宋" w:eastAsia="仿宋"/>
          <w:color w:val="auto"/>
          <w:sz w:val="21"/>
          <w:szCs w:val="21"/>
        </w:rPr>
        <w:t>投标人的投标文件作无效投标处理</w:t>
      </w:r>
      <w:r>
        <w:rPr>
          <w:rFonts w:hint="eastAsia" w:ascii="仿宋" w:hAnsi="仿宋" w:eastAsia="仿宋"/>
          <w:b w:val="0"/>
          <w:color w:val="auto"/>
          <w:sz w:val="21"/>
          <w:szCs w:val="21"/>
        </w:rPr>
        <w:t>。</w:t>
      </w:r>
    </w:p>
    <w:p w14:paraId="139AF3A1">
      <w:pPr>
        <w:snapToGrid w:val="0"/>
        <w:spacing w:line="360" w:lineRule="auto"/>
        <w:ind w:firstLine="420" w:firstLineChars="200"/>
        <w:rPr>
          <w:rFonts w:hint="eastAsia" w:ascii="仿宋" w:hAnsi="仿宋" w:eastAsia="仿宋"/>
          <w:color w:val="auto"/>
          <w:szCs w:val="21"/>
        </w:rPr>
      </w:pPr>
      <w:r>
        <w:rPr>
          <w:rFonts w:ascii="仿宋" w:hAnsi="仿宋" w:eastAsia="仿宋"/>
          <w:color w:val="auto"/>
          <w:szCs w:val="21"/>
        </w:rPr>
        <w:t>4</w:t>
      </w:r>
      <w:r>
        <w:rPr>
          <w:rFonts w:hint="eastAsia" w:ascii="仿宋" w:hAnsi="仿宋" w:eastAsia="仿宋"/>
          <w:color w:val="auto"/>
          <w:szCs w:val="21"/>
        </w:rPr>
        <w:t>.3经投标人确认修正后的报价作为签订合同的依据，并以此报价计算价格分。</w:t>
      </w:r>
    </w:p>
    <w:p w14:paraId="6361F926">
      <w:pPr>
        <w:pStyle w:val="6"/>
        <w:keepNext w:val="0"/>
        <w:keepLines w:val="0"/>
        <w:spacing w:before="0" w:after="0" w:line="360" w:lineRule="auto"/>
        <w:ind w:left="420" w:leftChars="200"/>
        <w:rPr>
          <w:rFonts w:hint="eastAsia" w:ascii="仿宋" w:hAnsi="仿宋" w:eastAsia="仿宋"/>
          <w:color w:val="auto"/>
          <w:sz w:val="21"/>
          <w:szCs w:val="21"/>
        </w:rPr>
      </w:pPr>
      <w:r>
        <w:rPr>
          <w:rFonts w:ascii="仿宋" w:hAnsi="仿宋" w:eastAsia="仿宋"/>
          <w:color w:val="auto"/>
          <w:sz w:val="21"/>
          <w:szCs w:val="21"/>
        </w:rPr>
        <w:t>5.</w:t>
      </w:r>
      <w:r>
        <w:rPr>
          <w:rFonts w:hint="eastAsia" w:ascii="仿宋" w:hAnsi="仿宋" w:eastAsia="仿宋"/>
          <w:color w:val="auto"/>
          <w:sz w:val="21"/>
          <w:szCs w:val="21"/>
        </w:rPr>
        <w:t>比较与评价</w:t>
      </w:r>
    </w:p>
    <w:p w14:paraId="7B5C9D95">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5.1采用综合评分法的</w:t>
      </w:r>
    </w:p>
    <w:p w14:paraId="22C1F6ED">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（1）评标委员会按照招标文件中规定的评标方法及评标标准，对符合性审查合格的投标文件进行商务和技术评估，综合比较与评价。</w:t>
      </w:r>
    </w:p>
    <w:p w14:paraId="79DF7F51">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（2）评标委员会独立对每个投标人的投标文件进行评价，并汇总每个投标人的得分。</w:t>
      </w:r>
    </w:p>
    <w:p w14:paraId="09511910">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color w:val="auto"/>
          <w:szCs w:val="21"/>
        </w:rPr>
        <w:t>投标人不能证明其报价合理性的，评标委员会将其作为无效投标处理</w:t>
      </w:r>
      <w:r>
        <w:rPr>
          <w:rFonts w:hint="eastAsia" w:ascii="仿宋" w:hAnsi="仿宋" w:eastAsia="仿宋"/>
          <w:color w:val="auto"/>
          <w:szCs w:val="21"/>
        </w:rPr>
        <w:t>。</w:t>
      </w:r>
    </w:p>
    <w:p w14:paraId="410DFE09">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（3）评标委员会按照招标文件中规定的评标方法和标准计算各投标人的报价得分。在计算过程中，不得去掉最高报价或者最低报价。</w:t>
      </w:r>
    </w:p>
    <w:p w14:paraId="04ECE55E">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（4）各投标人的得分为所有评委的有效评分的算术平均数。</w:t>
      </w:r>
    </w:p>
    <w:p w14:paraId="1B08A68F">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（5）评标委员会按照招标文件中的规定推荐中标候选人。</w:t>
      </w:r>
    </w:p>
    <w:p w14:paraId="7E429A3C">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2E2735FE">
      <w:pPr>
        <w:snapToGrid w:val="0"/>
        <w:spacing w:line="360" w:lineRule="auto"/>
        <w:ind w:firstLine="420" w:firstLineChars="200"/>
        <w:rPr>
          <w:rFonts w:hint="eastAsia" w:ascii="仿宋" w:hAnsi="仿宋" w:eastAsia="仿宋"/>
          <w:color w:val="auto"/>
          <w:szCs w:val="21"/>
        </w:rPr>
      </w:pPr>
      <w:r>
        <w:rPr>
          <w:rFonts w:hint="eastAsia" w:ascii="仿宋" w:hAnsi="仿宋" w:eastAsia="仿宋"/>
          <w:color w:val="auto"/>
          <w:szCs w:val="21"/>
        </w:rPr>
        <w:t>5.2采用</w:t>
      </w:r>
      <w:r>
        <w:rPr>
          <w:rFonts w:hint="eastAsia" w:ascii="仿宋" w:hAnsi="仿宋" w:eastAsia="仿宋"/>
          <w:color w:val="auto"/>
        </w:rPr>
        <w:t>最低评标价法</w:t>
      </w:r>
      <w:r>
        <w:rPr>
          <w:rFonts w:hint="eastAsia" w:ascii="仿宋" w:hAnsi="仿宋" w:eastAsia="仿宋"/>
          <w:color w:val="auto"/>
          <w:szCs w:val="21"/>
        </w:rPr>
        <w:t>的</w:t>
      </w:r>
    </w:p>
    <w:p w14:paraId="07932DA6">
      <w:pPr>
        <w:snapToGrid w:val="0"/>
        <w:spacing w:line="360" w:lineRule="auto"/>
        <w:ind w:firstLine="424" w:firstLineChars="202"/>
        <w:jc w:val="left"/>
        <w:rPr>
          <w:rFonts w:hint="eastAsia" w:ascii="仿宋" w:hAnsi="仿宋" w:eastAsia="仿宋"/>
          <w:color w:val="auto"/>
          <w:szCs w:val="21"/>
        </w:rPr>
      </w:pPr>
      <w:r>
        <w:rPr>
          <w:rFonts w:hint="eastAsia" w:ascii="仿宋" w:hAnsi="仿宋" w:eastAsia="仿宋"/>
          <w:color w:val="auto"/>
          <w:szCs w:val="21"/>
        </w:rPr>
        <w:t>（1）评标委员会按照招标文件中规定的评标方法及评标标准，对符合性审查合格的投标文件报价进行比较。</w:t>
      </w:r>
    </w:p>
    <w:p w14:paraId="45404DE0">
      <w:pPr>
        <w:snapToGrid w:val="0"/>
        <w:spacing w:line="360" w:lineRule="auto"/>
        <w:ind w:firstLine="399" w:firstLineChars="202"/>
        <w:jc w:val="left"/>
        <w:rPr>
          <w:rFonts w:hint="eastAsia" w:ascii="仿宋" w:hAnsi="仿宋" w:eastAsia="仿宋"/>
          <w:color w:val="auto"/>
          <w:spacing w:val="-6"/>
          <w:szCs w:val="21"/>
        </w:rPr>
      </w:pPr>
      <w:r>
        <w:rPr>
          <w:rFonts w:hint="eastAsia" w:ascii="仿宋" w:hAnsi="仿宋" w:eastAsia="仿宋"/>
          <w:color w:val="auto"/>
          <w:spacing w:val="-6"/>
          <w:szCs w:val="21"/>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color w:val="auto"/>
          <w:spacing w:val="-6"/>
          <w:szCs w:val="21"/>
        </w:rPr>
        <w:t>投标人不能证明其报价合理性的，评标委员会将其作为无效投标处理</w:t>
      </w:r>
      <w:r>
        <w:rPr>
          <w:rFonts w:hint="eastAsia" w:ascii="仿宋" w:hAnsi="仿宋" w:eastAsia="仿宋"/>
          <w:color w:val="auto"/>
          <w:spacing w:val="-6"/>
          <w:szCs w:val="21"/>
        </w:rPr>
        <w:t>。</w:t>
      </w:r>
    </w:p>
    <w:p w14:paraId="672FBEA5">
      <w:pPr>
        <w:snapToGrid w:val="0"/>
        <w:spacing w:line="360" w:lineRule="auto"/>
        <w:ind w:firstLine="424" w:firstLineChars="202"/>
        <w:jc w:val="left"/>
        <w:rPr>
          <w:rFonts w:hint="eastAsia" w:ascii="仿宋" w:hAnsi="仿宋" w:eastAsia="仿宋"/>
          <w:color w:val="auto"/>
          <w:szCs w:val="21"/>
        </w:rPr>
      </w:pPr>
      <w:r>
        <w:rPr>
          <w:rFonts w:hint="eastAsia" w:ascii="仿宋" w:hAnsi="仿宋" w:eastAsia="仿宋"/>
          <w:color w:val="auto"/>
          <w:szCs w:val="21"/>
        </w:rPr>
        <w:t>（3）评标委员会按照招标文件中的规定推荐中标候选人。</w:t>
      </w:r>
    </w:p>
    <w:p w14:paraId="5B299A29">
      <w:pPr>
        <w:snapToGrid w:val="0"/>
        <w:spacing w:line="360" w:lineRule="auto"/>
        <w:ind w:firstLine="424" w:firstLineChars="202"/>
        <w:jc w:val="left"/>
        <w:rPr>
          <w:rFonts w:ascii="仿宋" w:hAnsi="仿宋" w:eastAsia="仿宋"/>
          <w:color w:val="auto"/>
          <w:szCs w:val="21"/>
        </w:rPr>
      </w:pPr>
      <w:r>
        <w:rPr>
          <w:rFonts w:hint="eastAsia" w:ascii="仿宋" w:hAnsi="仿宋" w:eastAsia="仿宋"/>
          <w:color w:val="auto"/>
          <w:szCs w:val="21"/>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13799FFF">
      <w:pPr>
        <w:snapToGrid w:val="0"/>
        <w:spacing w:line="360" w:lineRule="auto"/>
        <w:jc w:val="center"/>
        <w:rPr>
          <w:rFonts w:hint="eastAsia" w:ascii="仿宋" w:hAnsi="仿宋" w:eastAsia="仿宋"/>
          <w:color w:val="auto"/>
        </w:rPr>
      </w:pPr>
      <w:r>
        <w:rPr>
          <w:rFonts w:ascii="仿宋" w:hAnsi="仿宋" w:eastAsia="仿宋"/>
          <w:color w:val="auto"/>
        </w:rPr>
        <w:br w:type="page"/>
      </w:r>
      <w:r>
        <w:rPr>
          <w:rFonts w:ascii="仿宋" w:hAnsi="仿宋" w:eastAsia="仿宋" w:cs="宋体"/>
          <w:b/>
          <w:bCs/>
          <w:color w:val="auto"/>
          <w:sz w:val="32"/>
          <w:szCs w:val="32"/>
        </w:rPr>
        <w:t>三</w:t>
      </w:r>
      <w:r>
        <w:rPr>
          <w:rFonts w:hint="eastAsia" w:ascii="仿宋" w:hAnsi="仿宋" w:eastAsia="仿宋" w:cs="宋体"/>
          <w:b/>
          <w:bCs/>
          <w:color w:val="auto"/>
          <w:sz w:val="32"/>
          <w:szCs w:val="32"/>
        </w:rPr>
        <w:t>、评标标准</w:t>
      </w:r>
    </w:p>
    <w:p w14:paraId="6B1FBA52">
      <w:pPr>
        <w:pStyle w:val="4"/>
        <w:keepNext w:val="0"/>
        <w:keepLines w:val="0"/>
        <w:spacing w:before="0" w:after="0"/>
        <w:jc w:val="center"/>
        <w:rPr>
          <w:rFonts w:ascii="仿宋" w:hAnsi="仿宋" w:eastAsia="仿宋"/>
          <w:color w:val="auto"/>
        </w:rPr>
      </w:pPr>
      <w:r>
        <w:rPr>
          <w:rFonts w:hint="eastAsia" w:ascii="仿宋" w:hAnsi="仿宋" w:eastAsia="仿宋"/>
          <w:color w:val="auto"/>
        </w:rPr>
        <w:t>综合评分法</w:t>
      </w:r>
    </w:p>
    <w:tbl>
      <w:tblPr>
        <w:tblStyle w:val="47"/>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
        <w:gridCol w:w="1274"/>
        <w:gridCol w:w="6"/>
        <w:gridCol w:w="709"/>
        <w:gridCol w:w="10"/>
        <w:gridCol w:w="7148"/>
      </w:tblGrid>
      <w:tr w14:paraId="6D9A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30" w:type="dxa"/>
            <w:gridSpan w:val="2"/>
            <w:vAlign w:val="center"/>
          </w:tcPr>
          <w:p w14:paraId="35BA6AD1">
            <w:pPr>
              <w:adjustRightInd w:val="0"/>
              <w:spacing w:line="360" w:lineRule="auto"/>
              <w:jc w:val="center"/>
              <w:textAlignment w:val="baseline"/>
              <w:rPr>
                <w:rFonts w:hint="eastAsia" w:ascii="仿宋" w:hAnsi="仿宋" w:eastAsia="仿宋"/>
                <w:b/>
                <w:color w:val="auto"/>
                <w:szCs w:val="21"/>
                <w:highlight w:val="none"/>
              </w:rPr>
            </w:pPr>
            <w:r>
              <w:rPr>
                <w:rFonts w:hint="eastAsia" w:ascii="仿宋" w:hAnsi="仿宋" w:eastAsia="仿宋"/>
                <w:b/>
                <w:color w:val="auto"/>
                <w:szCs w:val="21"/>
                <w:highlight w:val="none"/>
              </w:rPr>
              <w:t>序号</w:t>
            </w:r>
          </w:p>
        </w:tc>
        <w:tc>
          <w:tcPr>
            <w:tcW w:w="1280" w:type="dxa"/>
            <w:gridSpan w:val="2"/>
            <w:vAlign w:val="center"/>
          </w:tcPr>
          <w:p w14:paraId="752481EA">
            <w:pPr>
              <w:adjustRightInd w:val="0"/>
              <w:spacing w:line="360" w:lineRule="auto"/>
              <w:jc w:val="center"/>
              <w:textAlignment w:val="baseline"/>
              <w:rPr>
                <w:rFonts w:hint="eastAsia" w:ascii="仿宋" w:hAnsi="仿宋" w:eastAsia="仿宋"/>
                <w:color w:val="auto"/>
                <w:szCs w:val="21"/>
                <w:highlight w:val="none"/>
              </w:rPr>
            </w:pPr>
            <w:r>
              <w:rPr>
                <w:rFonts w:hint="eastAsia" w:ascii="仿宋" w:hAnsi="仿宋" w:eastAsia="仿宋"/>
                <w:b/>
                <w:color w:val="auto"/>
                <w:szCs w:val="21"/>
                <w:highlight w:val="none"/>
              </w:rPr>
              <w:t>评审因素</w:t>
            </w:r>
          </w:p>
        </w:tc>
        <w:tc>
          <w:tcPr>
            <w:tcW w:w="709" w:type="dxa"/>
            <w:vAlign w:val="center"/>
          </w:tcPr>
          <w:p w14:paraId="73A20EA6">
            <w:pPr>
              <w:adjustRightInd w:val="0"/>
              <w:spacing w:line="360" w:lineRule="auto"/>
              <w:jc w:val="center"/>
              <w:textAlignment w:val="baseline"/>
              <w:rPr>
                <w:rFonts w:hint="eastAsia" w:ascii="仿宋" w:hAnsi="仿宋" w:eastAsia="仿宋"/>
                <w:b/>
                <w:color w:val="auto"/>
                <w:szCs w:val="21"/>
                <w:highlight w:val="none"/>
              </w:rPr>
            </w:pPr>
            <w:r>
              <w:rPr>
                <w:rFonts w:hint="eastAsia" w:ascii="仿宋" w:hAnsi="仿宋" w:eastAsia="仿宋"/>
                <w:b/>
                <w:color w:val="auto"/>
                <w:szCs w:val="21"/>
                <w:highlight w:val="none"/>
              </w:rPr>
              <w:t>分值</w:t>
            </w:r>
          </w:p>
        </w:tc>
        <w:tc>
          <w:tcPr>
            <w:tcW w:w="7158" w:type="dxa"/>
            <w:gridSpan w:val="2"/>
            <w:vAlign w:val="center"/>
          </w:tcPr>
          <w:p w14:paraId="2BE59D82">
            <w:pPr>
              <w:adjustRightInd w:val="0"/>
              <w:spacing w:line="360" w:lineRule="auto"/>
              <w:jc w:val="center"/>
              <w:textAlignment w:val="baseline"/>
              <w:rPr>
                <w:rFonts w:hint="eastAsia" w:ascii="仿宋" w:hAnsi="仿宋" w:eastAsia="仿宋"/>
                <w:b/>
                <w:color w:val="auto"/>
                <w:szCs w:val="21"/>
                <w:highlight w:val="none"/>
              </w:rPr>
            </w:pPr>
            <w:r>
              <w:rPr>
                <w:rFonts w:hint="eastAsia" w:ascii="仿宋" w:hAnsi="仿宋" w:eastAsia="仿宋"/>
                <w:b/>
                <w:color w:val="auto"/>
                <w:szCs w:val="21"/>
                <w:highlight w:val="none"/>
              </w:rPr>
              <w:t>评标标准</w:t>
            </w:r>
          </w:p>
        </w:tc>
      </w:tr>
      <w:tr w14:paraId="5F060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gridSpan w:val="2"/>
            <w:vAlign w:val="center"/>
          </w:tcPr>
          <w:p w14:paraId="316A60F7">
            <w:pPr>
              <w:adjustRightInd w:val="0"/>
              <w:spacing w:line="360" w:lineRule="auto"/>
              <w:jc w:val="center"/>
              <w:textAlignment w:val="baseline"/>
              <w:rPr>
                <w:rFonts w:hint="eastAsia" w:ascii="仿宋" w:hAnsi="仿宋" w:eastAsia="仿宋"/>
                <w:b/>
                <w:color w:val="auto"/>
                <w:szCs w:val="21"/>
                <w:highlight w:val="none"/>
              </w:rPr>
            </w:pPr>
            <w:r>
              <w:rPr>
                <w:rFonts w:hint="eastAsia" w:ascii="仿宋" w:hAnsi="仿宋" w:eastAsia="仿宋"/>
                <w:b/>
                <w:color w:val="auto"/>
                <w:szCs w:val="21"/>
                <w:highlight w:val="none"/>
              </w:rPr>
              <w:t>1</w:t>
            </w:r>
          </w:p>
        </w:tc>
        <w:tc>
          <w:tcPr>
            <w:tcW w:w="1280" w:type="dxa"/>
            <w:gridSpan w:val="2"/>
            <w:vAlign w:val="center"/>
          </w:tcPr>
          <w:p w14:paraId="30F69930">
            <w:pPr>
              <w:adjustRightInd w:val="0"/>
              <w:spacing w:line="360" w:lineRule="auto"/>
              <w:jc w:val="center"/>
              <w:textAlignment w:val="baseline"/>
              <w:rPr>
                <w:rFonts w:hint="eastAsia" w:ascii="仿宋" w:hAnsi="仿宋" w:eastAsia="仿宋"/>
                <w:b/>
                <w:color w:val="auto"/>
                <w:szCs w:val="21"/>
                <w:highlight w:val="none"/>
              </w:rPr>
            </w:pPr>
            <w:r>
              <w:rPr>
                <w:rFonts w:hint="eastAsia" w:ascii="仿宋" w:hAnsi="仿宋" w:eastAsia="仿宋"/>
                <w:b/>
                <w:color w:val="auto"/>
                <w:szCs w:val="21"/>
                <w:highlight w:val="none"/>
              </w:rPr>
              <w:t>投标报价</w:t>
            </w:r>
          </w:p>
        </w:tc>
        <w:tc>
          <w:tcPr>
            <w:tcW w:w="709" w:type="dxa"/>
            <w:vAlign w:val="center"/>
          </w:tcPr>
          <w:p w14:paraId="767FA1BF">
            <w:pPr>
              <w:adjustRightInd w:val="0"/>
              <w:spacing w:line="360" w:lineRule="auto"/>
              <w:jc w:val="center"/>
              <w:textAlignment w:val="baseline"/>
              <w:rPr>
                <w:rFonts w:hint="eastAsia" w:ascii="仿宋" w:hAnsi="仿宋" w:eastAsia="仿宋"/>
                <w:b/>
                <w:color w:val="auto"/>
                <w:szCs w:val="21"/>
                <w:highlight w:val="none"/>
              </w:rPr>
            </w:pPr>
            <w:r>
              <w:rPr>
                <w:rFonts w:hint="eastAsia" w:ascii="仿宋" w:hAnsi="仿宋" w:eastAsia="仿宋"/>
                <w:b/>
                <w:color w:val="auto"/>
                <w:szCs w:val="21"/>
                <w:highlight w:val="none"/>
                <w:lang w:val="en-US" w:eastAsia="zh-CN"/>
              </w:rPr>
              <w:t>1</w:t>
            </w:r>
            <w:r>
              <w:rPr>
                <w:rFonts w:hint="eastAsia" w:ascii="仿宋" w:hAnsi="仿宋" w:eastAsia="仿宋"/>
                <w:b/>
                <w:color w:val="auto"/>
                <w:szCs w:val="21"/>
                <w:highlight w:val="none"/>
              </w:rPr>
              <w:t>0分</w:t>
            </w:r>
          </w:p>
        </w:tc>
        <w:tc>
          <w:tcPr>
            <w:tcW w:w="7158" w:type="dxa"/>
            <w:gridSpan w:val="2"/>
            <w:vAlign w:val="center"/>
          </w:tcPr>
          <w:p w14:paraId="58C2C64D">
            <w:pPr>
              <w:pStyle w:val="24"/>
              <w:spacing w:line="360" w:lineRule="auto"/>
              <w:ind w:firstLine="420" w:firstLineChars="200"/>
              <w:rPr>
                <w:rFonts w:hint="eastAsia" w:ascii="仿宋" w:hAnsi="仿宋" w:eastAsia="仿宋"/>
                <w:bCs/>
                <w:color w:val="auto"/>
                <w:sz w:val="21"/>
                <w:highlight w:val="none"/>
                <w:lang w:val="en-US" w:eastAsia="zh-CN"/>
              </w:rPr>
            </w:pPr>
            <w:r>
              <w:rPr>
                <w:rFonts w:hint="eastAsia" w:ascii="仿宋" w:hAnsi="仿宋" w:eastAsia="仿宋"/>
                <w:bCs/>
                <w:color w:val="auto"/>
                <w:sz w:val="21"/>
                <w:highlight w:val="none"/>
                <w:lang w:val="en-US" w:eastAsia="zh-CN"/>
              </w:rPr>
              <w:t>本项目为专门面向小微企业采购，故不再执行政府采购价格优惠扶持政策。</w:t>
            </w:r>
          </w:p>
          <w:p w14:paraId="42D6866E">
            <w:pPr>
              <w:pStyle w:val="24"/>
              <w:spacing w:line="360" w:lineRule="auto"/>
              <w:ind w:firstLine="420" w:firstLineChars="200"/>
              <w:rPr>
                <w:rFonts w:ascii="仿宋" w:hAnsi="仿宋" w:eastAsia="仿宋"/>
                <w:bCs/>
                <w:color w:val="auto"/>
                <w:sz w:val="21"/>
                <w:highlight w:val="none"/>
                <w:lang w:val="en-US" w:eastAsia="zh-CN"/>
              </w:rPr>
            </w:pPr>
            <w:r>
              <w:rPr>
                <w:rFonts w:hint="eastAsia" w:ascii="仿宋" w:hAnsi="仿宋" w:eastAsia="仿宋"/>
                <w:bCs/>
                <w:color w:val="auto"/>
                <w:sz w:val="21"/>
                <w:highlight w:val="none"/>
                <w:lang w:val="en-US" w:eastAsia="zh-CN"/>
              </w:rPr>
              <w:t>投标报价</w:t>
            </w:r>
            <w:r>
              <w:rPr>
                <w:rFonts w:ascii="仿宋" w:hAnsi="仿宋" w:eastAsia="仿宋"/>
                <w:bCs/>
                <w:color w:val="auto"/>
                <w:sz w:val="21"/>
                <w:highlight w:val="none"/>
                <w:lang w:val="en-US" w:eastAsia="zh-CN"/>
              </w:rPr>
              <w:t>分采用低价优先法计算，满足招标文件要求且</w:t>
            </w:r>
            <w:r>
              <w:rPr>
                <w:rFonts w:hint="eastAsia" w:ascii="仿宋" w:hAnsi="仿宋" w:eastAsia="仿宋"/>
                <w:bCs/>
                <w:color w:val="auto"/>
                <w:sz w:val="21"/>
                <w:highlight w:val="none"/>
                <w:lang w:val="en-US" w:eastAsia="zh-CN"/>
              </w:rPr>
              <w:t>评标价</w:t>
            </w:r>
            <w:r>
              <w:rPr>
                <w:rFonts w:ascii="仿宋" w:hAnsi="仿宋" w:eastAsia="仿宋"/>
                <w:bCs/>
                <w:color w:val="auto"/>
                <w:sz w:val="21"/>
                <w:highlight w:val="none"/>
                <w:lang w:val="en-US" w:eastAsia="zh-CN"/>
              </w:rPr>
              <w:t>最低的</w:t>
            </w:r>
            <w:r>
              <w:rPr>
                <w:rFonts w:hint="eastAsia" w:ascii="仿宋" w:hAnsi="仿宋" w:eastAsia="仿宋"/>
                <w:bCs/>
                <w:color w:val="auto"/>
                <w:sz w:val="21"/>
                <w:highlight w:val="none"/>
                <w:lang w:val="en-US" w:eastAsia="zh-CN"/>
              </w:rPr>
              <w:t>有效投标人的评标价</w:t>
            </w:r>
            <w:r>
              <w:rPr>
                <w:rFonts w:ascii="仿宋" w:hAnsi="仿宋" w:eastAsia="仿宋"/>
                <w:bCs/>
                <w:color w:val="auto"/>
                <w:sz w:val="21"/>
                <w:highlight w:val="none"/>
                <w:lang w:val="en-US" w:eastAsia="zh-CN"/>
              </w:rPr>
              <w:t>为评标基准价，其</w:t>
            </w:r>
            <w:r>
              <w:rPr>
                <w:rFonts w:hint="eastAsia" w:ascii="仿宋" w:hAnsi="仿宋" w:eastAsia="仿宋"/>
                <w:bCs/>
                <w:color w:val="auto"/>
                <w:sz w:val="21"/>
                <w:highlight w:val="none"/>
                <w:lang w:val="en-US" w:eastAsia="zh-CN"/>
              </w:rPr>
              <w:t>投标报价</w:t>
            </w:r>
            <w:r>
              <w:rPr>
                <w:rFonts w:ascii="仿宋" w:hAnsi="仿宋" w:eastAsia="仿宋"/>
                <w:bCs/>
                <w:color w:val="auto"/>
                <w:sz w:val="21"/>
                <w:highlight w:val="none"/>
                <w:lang w:val="en-US" w:eastAsia="zh-CN"/>
              </w:rPr>
              <w:t>分为满分。</w:t>
            </w:r>
          </w:p>
          <w:p w14:paraId="5B545C0E">
            <w:pPr>
              <w:pStyle w:val="24"/>
              <w:spacing w:line="360" w:lineRule="auto"/>
              <w:ind w:firstLine="422" w:firstLineChars="200"/>
              <w:rPr>
                <w:rFonts w:hint="eastAsia" w:ascii="仿宋" w:hAnsi="仿宋" w:eastAsia="仿宋"/>
                <w:bCs/>
                <w:color w:val="auto"/>
                <w:sz w:val="21"/>
                <w:highlight w:val="none"/>
                <w:lang w:val="en-US" w:eastAsia="zh-CN"/>
              </w:rPr>
            </w:pPr>
            <w:r>
              <w:rPr>
                <w:rFonts w:ascii="仿宋" w:hAnsi="仿宋" w:eastAsia="仿宋"/>
                <w:b/>
                <w:color w:val="auto"/>
                <w:sz w:val="21"/>
                <w:highlight w:val="none"/>
                <w:lang w:val="en-US" w:eastAsia="zh-CN"/>
              </w:rPr>
              <w:t>价格分统一按照下列公式计算</w:t>
            </w:r>
            <w:r>
              <w:rPr>
                <w:rFonts w:hint="eastAsia" w:ascii="仿宋" w:hAnsi="仿宋" w:eastAsia="仿宋"/>
                <w:b/>
                <w:color w:val="auto"/>
                <w:sz w:val="21"/>
                <w:highlight w:val="none"/>
                <w:lang w:val="en-US" w:eastAsia="zh-CN"/>
              </w:rPr>
              <w:t>：</w:t>
            </w:r>
          </w:p>
          <w:p w14:paraId="64AC6AC5">
            <w:pPr>
              <w:pStyle w:val="24"/>
              <w:spacing w:line="360" w:lineRule="auto"/>
              <w:rPr>
                <w:rFonts w:ascii="仿宋" w:hAnsi="仿宋" w:eastAsia="仿宋"/>
                <w:bCs/>
                <w:color w:val="auto"/>
                <w:sz w:val="21"/>
                <w:highlight w:val="none"/>
                <w:lang w:val="en-US" w:eastAsia="zh-CN"/>
              </w:rPr>
            </w:pPr>
            <w:r>
              <w:rPr>
                <w:rFonts w:hint="eastAsia" w:ascii="仿宋" w:hAnsi="仿宋" w:eastAsia="仿宋"/>
                <w:bCs/>
                <w:color w:val="auto"/>
                <w:sz w:val="21"/>
                <w:highlight w:val="none"/>
                <w:lang w:val="en-US" w:eastAsia="zh-CN"/>
              </w:rPr>
              <w:t>某有效投标人的投标报价</w:t>
            </w:r>
            <w:r>
              <w:rPr>
                <w:rFonts w:ascii="仿宋" w:hAnsi="仿宋" w:eastAsia="仿宋"/>
                <w:bCs/>
                <w:color w:val="auto"/>
                <w:sz w:val="21"/>
                <w:highlight w:val="none"/>
                <w:lang w:val="en-US" w:eastAsia="zh-CN"/>
              </w:rPr>
              <w:t>分=</w:t>
            </w:r>
            <w:r>
              <w:rPr>
                <w:rFonts w:hint="eastAsia" w:ascii="仿宋" w:hAnsi="仿宋" w:eastAsia="仿宋"/>
                <w:bCs/>
                <w:color w:val="auto"/>
                <w:sz w:val="21"/>
                <w:highlight w:val="none"/>
                <w:lang w:val="en-US" w:eastAsia="zh-CN"/>
              </w:rPr>
              <w:t>（</w:t>
            </w:r>
            <w:r>
              <w:rPr>
                <w:rFonts w:ascii="仿宋" w:hAnsi="仿宋" w:eastAsia="仿宋"/>
                <w:bCs/>
                <w:color w:val="auto"/>
                <w:sz w:val="21"/>
                <w:highlight w:val="none"/>
                <w:lang w:val="en-US" w:eastAsia="zh-CN"/>
              </w:rPr>
              <w:t>评标基准价／</w:t>
            </w:r>
            <w:r>
              <w:rPr>
                <w:rFonts w:hint="eastAsia" w:ascii="仿宋" w:hAnsi="仿宋" w:eastAsia="仿宋"/>
                <w:bCs/>
                <w:color w:val="auto"/>
                <w:sz w:val="21"/>
                <w:highlight w:val="none"/>
                <w:lang w:val="en-US" w:eastAsia="zh-CN"/>
              </w:rPr>
              <w:t>某有效投标人评标价）</w:t>
            </w:r>
            <w:r>
              <w:rPr>
                <w:rFonts w:ascii="仿宋" w:hAnsi="仿宋" w:eastAsia="仿宋"/>
                <w:bCs/>
                <w:color w:val="auto"/>
                <w:sz w:val="21"/>
                <w:highlight w:val="none"/>
                <w:lang w:val="en-US" w:eastAsia="zh-CN"/>
              </w:rPr>
              <w:t>×</w:t>
            </w:r>
            <w:r>
              <w:rPr>
                <w:rFonts w:hint="eastAsia" w:ascii="仿宋" w:hAnsi="仿宋" w:eastAsia="仿宋"/>
                <w:bCs/>
                <w:color w:val="auto"/>
                <w:sz w:val="21"/>
                <w:highlight w:val="none"/>
                <w:lang w:val="en-US" w:eastAsia="zh-CN"/>
              </w:rPr>
              <w:t xml:space="preserve"> 10分</w:t>
            </w:r>
          </w:p>
          <w:p w14:paraId="1015B922">
            <w:pPr>
              <w:pStyle w:val="24"/>
              <w:spacing w:line="360" w:lineRule="auto"/>
              <w:ind w:firstLine="420" w:firstLineChars="200"/>
              <w:rPr>
                <w:rFonts w:hint="eastAsia" w:ascii="仿宋" w:hAnsi="仿宋" w:eastAsia="仿宋" w:cs="Courier New"/>
                <w:bCs/>
                <w:color w:val="auto"/>
                <w:kern w:val="2"/>
                <w:sz w:val="21"/>
                <w:highlight w:val="none"/>
                <w:lang w:val="en-US" w:eastAsia="zh-CN"/>
              </w:rPr>
            </w:pPr>
            <w:r>
              <w:rPr>
                <w:rFonts w:hint="eastAsia" w:ascii="仿宋" w:hAnsi="仿宋" w:eastAsia="仿宋" w:cs="Courier New"/>
                <w:bCs/>
                <w:color w:val="auto"/>
                <w:kern w:val="2"/>
                <w:sz w:val="21"/>
                <w:highlight w:val="none"/>
                <w:lang w:val="en-US" w:eastAsia="zh-CN"/>
              </w:rPr>
              <w:t xml:space="preserve">评标委员会认为投标人的报价明显低于其他通过符合性审查投标人的报价，有可能影响服务质量或者不能诚信履约的，应当要求其在评标现场合理的时间内提供书面说明【提交详细的报价明细说明文件及测算表，包括项目的服务、人工成本包括项目人员的数量、工作时间及其工资和福利支出成本，以及服务项目实施过程中可能涉及的其他费用】，必要时提交相关证明材料；投标人不能证明其报价合理性的，评标委员会应当将其作为无效投标处理。   </w:t>
            </w:r>
          </w:p>
        </w:tc>
      </w:tr>
      <w:tr w14:paraId="051A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29" w:type="dxa"/>
            <w:vAlign w:val="center"/>
          </w:tcPr>
          <w:p w14:paraId="3CAADC75">
            <w:pPr>
              <w:adjustRightInd w:val="0"/>
              <w:spacing w:line="360" w:lineRule="auto"/>
              <w:jc w:val="left"/>
              <w:textAlignment w:val="baseline"/>
              <w:rPr>
                <w:rFonts w:hint="default" w:ascii="仿宋" w:hAnsi="仿宋" w:eastAsia="仿宋" w:cs="Courier New"/>
                <w:bCs/>
                <w:color w:val="auto"/>
                <w:szCs w:val="21"/>
                <w:highlight w:val="none"/>
                <w:lang w:val="en-US" w:eastAsia="zh-CN"/>
              </w:rPr>
            </w:pPr>
            <w:r>
              <w:rPr>
                <w:rFonts w:hint="eastAsia" w:ascii="仿宋" w:hAnsi="仿宋" w:eastAsia="仿宋"/>
                <w:b/>
                <w:color w:val="auto"/>
                <w:szCs w:val="21"/>
                <w:highlight w:val="none"/>
                <w:lang w:val="en-US" w:eastAsia="zh-CN"/>
              </w:rPr>
              <w:t>2</w:t>
            </w:r>
          </w:p>
        </w:tc>
        <w:tc>
          <w:tcPr>
            <w:tcW w:w="9148" w:type="dxa"/>
            <w:gridSpan w:val="6"/>
            <w:vAlign w:val="center"/>
          </w:tcPr>
          <w:p w14:paraId="4465C8CA">
            <w:pPr>
              <w:adjustRightInd w:val="0"/>
              <w:spacing w:line="360" w:lineRule="auto"/>
              <w:jc w:val="left"/>
              <w:textAlignment w:val="baseline"/>
              <w:rPr>
                <w:rFonts w:hint="default" w:ascii="仿宋" w:hAnsi="仿宋" w:eastAsia="仿宋"/>
                <w:b/>
                <w:color w:val="auto"/>
                <w:szCs w:val="21"/>
                <w:highlight w:val="none"/>
                <w:lang w:val="en-US" w:eastAsia="zh-CN"/>
              </w:rPr>
            </w:pPr>
            <w:r>
              <w:rPr>
                <w:rFonts w:hint="eastAsia" w:ascii="仿宋" w:hAnsi="仿宋" w:eastAsia="仿宋"/>
                <w:b/>
                <w:color w:val="auto"/>
                <w:szCs w:val="21"/>
                <w:highlight w:val="none"/>
                <w:lang w:val="en-US" w:eastAsia="zh-CN"/>
              </w:rPr>
              <w:t>技术分（80分）</w:t>
            </w:r>
          </w:p>
        </w:tc>
      </w:tr>
      <w:tr w14:paraId="1228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730" w:type="dxa"/>
            <w:gridSpan w:val="2"/>
            <w:vAlign w:val="center"/>
          </w:tcPr>
          <w:p w14:paraId="25632380">
            <w:pPr>
              <w:adjustRightInd w:val="0"/>
              <w:spacing w:line="360" w:lineRule="auto"/>
              <w:jc w:val="center"/>
              <w:textAlignment w:val="baseline"/>
              <w:rPr>
                <w:rFonts w:hint="eastAsia" w:ascii="仿宋" w:hAnsi="仿宋" w:eastAsia="仿宋"/>
                <w:b/>
                <w:color w:val="auto"/>
                <w:szCs w:val="21"/>
                <w:highlight w:val="none"/>
                <w:lang w:eastAsia="zh-CN"/>
              </w:rPr>
            </w:pPr>
            <w:r>
              <w:rPr>
                <w:rFonts w:hint="eastAsia" w:ascii="仿宋" w:hAnsi="仿宋" w:eastAsia="仿宋"/>
                <w:b/>
                <w:color w:val="auto"/>
                <w:szCs w:val="21"/>
                <w:highlight w:val="none"/>
                <w:lang w:val="en-US" w:eastAsia="zh-CN"/>
              </w:rPr>
              <w:t>2.1</w:t>
            </w:r>
          </w:p>
        </w:tc>
        <w:tc>
          <w:tcPr>
            <w:tcW w:w="1280" w:type="dxa"/>
            <w:gridSpan w:val="2"/>
            <w:vAlign w:val="center"/>
          </w:tcPr>
          <w:p w14:paraId="3ED94037">
            <w:pPr>
              <w:adjustRightInd w:val="0"/>
              <w:spacing w:line="360" w:lineRule="auto"/>
              <w:jc w:val="center"/>
              <w:textAlignment w:val="baseline"/>
              <w:rPr>
                <w:rFonts w:hint="eastAsia" w:ascii="仿宋" w:hAnsi="仿宋" w:eastAsia="仿宋"/>
                <w:b/>
                <w:color w:val="auto"/>
                <w:szCs w:val="21"/>
                <w:highlight w:val="none"/>
              </w:rPr>
            </w:pPr>
            <w:r>
              <w:rPr>
                <w:rFonts w:hint="eastAsia" w:ascii="仿宋" w:hAnsi="仿宋" w:eastAsia="仿宋" w:cs="Courier New"/>
                <w:b/>
                <w:bCs/>
                <w:color w:val="auto"/>
                <w:szCs w:val="21"/>
                <w:highlight w:val="none"/>
              </w:rPr>
              <w:t>服务方案分</w:t>
            </w:r>
          </w:p>
        </w:tc>
        <w:tc>
          <w:tcPr>
            <w:tcW w:w="709" w:type="dxa"/>
            <w:vAlign w:val="center"/>
          </w:tcPr>
          <w:p w14:paraId="782ECBE1">
            <w:pPr>
              <w:adjustRightInd w:val="0"/>
              <w:spacing w:line="360" w:lineRule="auto"/>
              <w:jc w:val="center"/>
              <w:textAlignment w:val="baseline"/>
              <w:rPr>
                <w:rFonts w:hint="eastAsia" w:ascii="仿宋" w:hAnsi="仿宋" w:eastAsia="仿宋"/>
                <w:b/>
                <w:color w:val="auto"/>
                <w:szCs w:val="21"/>
                <w:highlight w:val="none"/>
              </w:rPr>
            </w:pPr>
            <w:r>
              <w:rPr>
                <w:rFonts w:hint="eastAsia" w:ascii="仿宋" w:hAnsi="仿宋" w:eastAsia="仿宋"/>
                <w:b/>
                <w:color w:val="auto"/>
                <w:szCs w:val="21"/>
                <w:highlight w:val="none"/>
                <w:lang w:val="en-US" w:eastAsia="zh-CN"/>
              </w:rPr>
              <w:t>20</w:t>
            </w:r>
            <w:r>
              <w:rPr>
                <w:rFonts w:hint="eastAsia" w:ascii="仿宋" w:hAnsi="仿宋" w:eastAsia="仿宋"/>
                <w:b/>
                <w:color w:val="auto"/>
                <w:szCs w:val="21"/>
                <w:highlight w:val="none"/>
              </w:rPr>
              <w:t>分</w:t>
            </w:r>
          </w:p>
        </w:tc>
        <w:tc>
          <w:tcPr>
            <w:tcW w:w="7158" w:type="dxa"/>
            <w:gridSpan w:val="2"/>
            <w:vAlign w:val="center"/>
          </w:tcPr>
          <w:p w14:paraId="3A235ABF">
            <w:pPr>
              <w:spacing w:line="360" w:lineRule="auto"/>
              <w:ind w:firstLine="420"/>
              <w:rPr>
                <w:rFonts w:hint="eastAsia" w:ascii="仿宋" w:hAnsi="仿宋" w:eastAsia="仿宋" w:cs="Courier New"/>
                <w:bCs/>
                <w:color w:val="auto"/>
                <w:szCs w:val="21"/>
                <w:highlight w:val="none"/>
              </w:rPr>
            </w:pPr>
            <w:r>
              <w:rPr>
                <w:rFonts w:hint="eastAsia" w:ascii="仿宋" w:hAnsi="仿宋" w:eastAsia="仿宋" w:cs="Courier New"/>
                <w:bCs/>
                <w:color w:val="auto"/>
                <w:szCs w:val="21"/>
                <w:highlight w:val="none"/>
              </w:rPr>
              <w:t>针对采购人本项目实际情况及特点提出服务总体设想、服务宗旨、重点关键问题。提供机构设置、管理服务运作流程方案。</w:t>
            </w:r>
          </w:p>
          <w:p w14:paraId="296CEA63">
            <w:pPr>
              <w:spacing w:line="360" w:lineRule="auto"/>
              <w:ind w:firstLine="420"/>
              <w:rPr>
                <w:rFonts w:hint="eastAsia" w:ascii="仿宋" w:hAnsi="仿宋" w:eastAsia="仿宋" w:cs="Courier New"/>
                <w:bCs/>
                <w:color w:val="auto"/>
                <w:szCs w:val="21"/>
                <w:highlight w:val="none"/>
              </w:rPr>
            </w:pPr>
            <w:r>
              <w:rPr>
                <w:rFonts w:hint="eastAsia" w:ascii="仿宋" w:hAnsi="仿宋" w:eastAsia="仿宋" w:cs="Courier New"/>
                <w:bCs/>
                <w:color w:val="auto"/>
                <w:szCs w:val="21"/>
                <w:highlight w:val="none"/>
              </w:rPr>
              <w:t>不提供相关内容或方案得0分。</w:t>
            </w:r>
          </w:p>
          <w:p w14:paraId="37A73BB2">
            <w:pPr>
              <w:spacing w:line="360" w:lineRule="auto"/>
              <w:ind w:firstLine="420"/>
              <w:rPr>
                <w:rFonts w:hint="eastAsia" w:ascii="仿宋" w:hAnsi="仿宋" w:eastAsia="仿宋" w:cs="Courier New"/>
                <w:bCs/>
                <w:color w:val="auto"/>
                <w:szCs w:val="21"/>
                <w:highlight w:val="none"/>
              </w:rPr>
            </w:pPr>
            <w:r>
              <w:rPr>
                <w:rFonts w:hint="eastAsia" w:ascii="仿宋" w:hAnsi="仿宋" w:eastAsia="仿宋" w:cs="Courier New"/>
                <w:bCs/>
                <w:color w:val="auto"/>
                <w:szCs w:val="21"/>
                <w:highlight w:val="none"/>
              </w:rPr>
              <w:t>一档（</w:t>
            </w:r>
            <w:r>
              <w:rPr>
                <w:rFonts w:hint="eastAsia" w:ascii="仿宋" w:hAnsi="仿宋" w:eastAsia="仿宋" w:cs="Courier New"/>
                <w:bCs/>
                <w:color w:val="auto"/>
                <w:szCs w:val="21"/>
                <w:highlight w:val="none"/>
                <w:lang w:val="en-US" w:eastAsia="zh-CN"/>
              </w:rPr>
              <w:t>7</w:t>
            </w:r>
            <w:r>
              <w:rPr>
                <w:rFonts w:hint="eastAsia" w:ascii="仿宋" w:hAnsi="仿宋" w:eastAsia="仿宋" w:cs="Courier New"/>
                <w:bCs/>
                <w:color w:val="auto"/>
                <w:szCs w:val="21"/>
                <w:highlight w:val="none"/>
              </w:rPr>
              <w:t>分）：服务方案不完善，基本能操作。</w:t>
            </w:r>
          </w:p>
          <w:p w14:paraId="34955DC3">
            <w:pPr>
              <w:spacing w:line="360" w:lineRule="auto"/>
              <w:ind w:firstLine="420"/>
              <w:rPr>
                <w:rFonts w:hint="eastAsia" w:ascii="仿宋" w:hAnsi="仿宋" w:eastAsia="仿宋" w:cs="Courier New"/>
                <w:bCs/>
                <w:color w:val="auto"/>
                <w:szCs w:val="21"/>
                <w:highlight w:val="none"/>
              </w:rPr>
            </w:pPr>
            <w:r>
              <w:rPr>
                <w:rFonts w:hint="eastAsia" w:ascii="仿宋" w:hAnsi="仿宋" w:eastAsia="仿宋" w:cs="Courier New"/>
                <w:bCs/>
                <w:color w:val="auto"/>
                <w:szCs w:val="21"/>
                <w:highlight w:val="none"/>
              </w:rPr>
              <w:t>二档（1</w:t>
            </w:r>
            <w:r>
              <w:rPr>
                <w:rFonts w:hint="eastAsia" w:ascii="仿宋" w:hAnsi="仿宋" w:eastAsia="仿宋" w:cs="Courier New"/>
                <w:bCs/>
                <w:color w:val="auto"/>
                <w:szCs w:val="21"/>
                <w:highlight w:val="none"/>
                <w:lang w:val="en-US" w:eastAsia="zh-CN"/>
              </w:rPr>
              <w:t>3</w:t>
            </w:r>
            <w:r>
              <w:rPr>
                <w:rFonts w:hint="eastAsia" w:ascii="仿宋" w:hAnsi="仿宋" w:eastAsia="仿宋" w:cs="Courier New"/>
                <w:bCs/>
                <w:color w:val="auto"/>
                <w:szCs w:val="21"/>
                <w:highlight w:val="none"/>
              </w:rPr>
              <w:t>分）：服务方案详细完善，具有可操作性，有管理方案、管理制度、管理具体措施，方案符合本项目实际情况，有保障。</w:t>
            </w:r>
          </w:p>
          <w:p w14:paraId="4C765A6C">
            <w:pPr>
              <w:spacing w:line="360" w:lineRule="auto"/>
              <w:ind w:firstLine="420"/>
              <w:rPr>
                <w:rFonts w:hint="eastAsia" w:ascii="仿宋" w:hAnsi="仿宋" w:eastAsia="仿宋" w:cs="Courier New"/>
                <w:bCs/>
                <w:color w:val="auto"/>
                <w:szCs w:val="21"/>
                <w:highlight w:val="none"/>
              </w:rPr>
            </w:pPr>
            <w:r>
              <w:rPr>
                <w:rFonts w:hint="eastAsia" w:ascii="仿宋" w:hAnsi="仿宋" w:eastAsia="仿宋" w:cs="Courier New"/>
                <w:bCs/>
                <w:color w:val="auto"/>
                <w:szCs w:val="21"/>
                <w:highlight w:val="none"/>
              </w:rPr>
              <w:t>三档（</w:t>
            </w:r>
            <w:r>
              <w:rPr>
                <w:rFonts w:hint="eastAsia" w:ascii="仿宋" w:hAnsi="仿宋" w:eastAsia="仿宋" w:cs="Courier New"/>
                <w:bCs/>
                <w:color w:val="auto"/>
                <w:szCs w:val="21"/>
                <w:highlight w:val="none"/>
                <w:lang w:val="en-US" w:eastAsia="zh-CN"/>
              </w:rPr>
              <w:t>20</w:t>
            </w:r>
            <w:r>
              <w:rPr>
                <w:rFonts w:hint="eastAsia" w:ascii="仿宋" w:hAnsi="仿宋" w:eastAsia="仿宋" w:cs="Courier New"/>
                <w:bCs/>
                <w:color w:val="auto"/>
                <w:szCs w:val="21"/>
                <w:highlight w:val="none"/>
              </w:rPr>
              <w:t>分）：在二档的基础上，服务方案更具针对性，有具体且契合本项目特点的管理方案、管理制度、管理具体措施、公共环境管理方案、保洁措施、设备设施维护服务方案，有可靠保证，向采购人提出了有利于本次服务运作的具体措施。</w:t>
            </w:r>
          </w:p>
          <w:p w14:paraId="416E5CE9">
            <w:pPr>
              <w:spacing w:line="360" w:lineRule="auto"/>
              <w:ind w:firstLine="420"/>
              <w:rPr>
                <w:rFonts w:hint="eastAsia" w:ascii="仿宋" w:hAnsi="仿宋" w:eastAsia="仿宋" w:cs="Courier New"/>
                <w:bCs/>
                <w:color w:val="auto"/>
                <w:szCs w:val="21"/>
                <w:highlight w:val="none"/>
              </w:rPr>
            </w:pPr>
            <w:r>
              <w:rPr>
                <w:rFonts w:hint="eastAsia" w:ascii="仿宋" w:hAnsi="仿宋" w:eastAsia="仿宋" w:cs="Courier New"/>
                <w:bCs/>
                <w:color w:val="auto"/>
                <w:szCs w:val="21"/>
                <w:highlight w:val="none"/>
              </w:rPr>
              <w:t>注：优于采购需求的条款请加粗处理，并在目录设置检索。</w:t>
            </w:r>
          </w:p>
        </w:tc>
      </w:tr>
      <w:tr w14:paraId="5EDF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gridSpan w:val="2"/>
            <w:vAlign w:val="center"/>
          </w:tcPr>
          <w:p w14:paraId="2E41C5B1">
            <w:pPr>
              <w:adjustRightInd w:val="0"/>
              <w:spacing w:line="360" w:lineRule="auto"/>
              <w:jc w:val="center"/>
              <w:textAlignment w:val="baseline"/>
              <w:rPr>
                <w:rFonts w:hint="default" w:ascii="仿宋" w:hAnsi="仿宋" w:eastAsia="仿宋"/>
                <w:b/>
                <w:color w:val="auto"/>
                <w:szCs w:val="21"/>
                <w:highlight w:val="none"/>
                <w:lang w:val="en-US" w:eastAsia="zh-CN"/>
              </w:rPr>
            </w:pPr>
            <w:r>
              <w:rPr>
                <w:rFonts w:hint="eastAsia" w:ascii="仿宋" w:hAnsi="仿宋" w:eastAsia="仿宋"/>
                <w:b/>
                <w:color w:val="auto"/>
                <w:szCs w:val="21"/>
                <w:highlight w:val="none"/>
                <w:lang w:val="en-US" w:eastAsia="zh-CN"/>
              </w:rPr>
              <w:t>2.2</w:t>
            </w:r>
          </w:p>
        </w:tc>
        <w:tc>
          <w:tcPr>
            <w:tcW w:w="1280" w:type="dxa"/>
            <w:gridSpan w:val="2"/>
            <w:vAlign w:val="center"/>
          </w:tcPr>
          <w:p w14:paraId="3DD5AE34">
            <w:pPr>
              <w:adjustRightInd w:val="0"/>
              <w:spacing w:line="360" w:lineRule="auto"/>
              <w:jc w:val="center"/>
              <w:textAlignment w:val="baseline"/>
              <w:rPr>
                <w:rFonts w:ascii="仿宋" w:hAnsi="仿宋" w:eastAsia="仿宋" w:cs="Courier New"/>
                <w:b/>
                <w:bCs/>
                <w:color w:val="auto"/>
                <w:szCs w:val="21"/>
                <w:highlight w:val="none"/>
              </w:rPr>
            </w:pPr>
            <w:r>
              <w:rPr>
                <w:rFonts w:hint="eastAsia" w:ascii="仿宋" w:hAnsi="仿宋" w:eastAsia="仿宋" w:cs="Courier New"/>
                <w:b/>
                <w:bCs/>
                <w:color w:val="auto"/>
                <w:szCs w:val="21"/>
                <w:highlight w:val="none"/>
              </w:rPr>
              <w:t>人员管理方案分</w:t>
            </w:r>
          </w:p>
        </w:tc>
        <w:tc>
          <w:tcPr>
            <w:tcW w:w="709" w:type="dxa"/>
            <w:vAlign w:val="center"/>
          </w:tcPr>
          <w:p w14:paraId="000DDF4E">
            <w:pPr>
              <w:adjustRightInd w:val="0"/>
              <w:spacing w:line="360" w:lineRule="auto"/>
              <w:jc w:val="center"/>
              <w:textAlignment w:val="baseline"/>
              <w:rPr>
                <w:rFonts w:hint="eastAsia" w:ascii="仿宋" w:hAnsi="仿宋" w:eastAsia="仿宋" w:cs="Courier New"/>
                <w:color w:val="auto"/>
                <w:szCs w:val="21"/>
                <w:highlight w:val="none"/>
                <w:lang w:val="en-US" w:eastAsia="zh-CN"/>
              </w:rPr>
            </w:pPr>
            <w:r>
              <w:rPr>
                <w:rFonts w:hint="eastAsia" w:ascii="仿宋" w:hAnsi="仿宋" w:eastAsia="仿宋"/>
                <w:b/>
                <w:color w:val="auto"/>
                <w:szCs w:val="21"/>
                <w:highlight w:val="none"/>
                <w:lang w:val="en-US" w:eastAsia="zh-CN"/>
              </w:rPr>
              <w:t>20分</w:t>
            </w:r>
          </w:p>
        </w:tc>
        <w:tc>
          <w:tcPr>
            <w:tcW w:w="7158" w:type="dxa"/>
            <w:gridSpan w:val="2"/>
            <w:vAlign w:val="center"/>
          </w:tcPr>
          <w:p w14:paraId="6C4D09CD">
            <w:pPr>
              <w:pStyle w:val="24"/>
              <w:spacing w:line="360" w:lineRule="auto"/>
              <w:ind w:firstLine="400" w:firstLineChars="200"/>
              <w:outlineLvl w:val="0"/>
              <w:rPr>
                <w:rFonts w:hint="eastAsia" w:ascii="仿宋" w:hAnsi="仿宋" w:eastAsia="仿宋" w:cs="Courier New"/>
                <w:color w:val="auto"/>
                <w:highlight w:val="none"/>
                <w:lang w:val="en-US" w:eastAsia="zh-CN"/>
              </w:rPr>
            </w:pPr>
            <w:bookmarkStart w:id="136" w:name="_Toc11014"/>
            <w:bookmarkStart w:id="137" w:name="_Toc20369"/>
            <w:r>
              <w:rPr>
                <w:rFonts w:hint="eastAsia" w:ascii="仿宋" w:hAnsi="仿宋" w:eastAsia="仿宋" w:cs="Courier New"/>
                <w:color w:val="auto"/>
                <w:highlight w:val="none"/>
                <w:lang w:val="en-US" w:eastAsia="zh-CN"/>
              </w:rPr>
              <w:t>不提供相关内容或方案得0分。</w:t>
            </w:r>
            <w:bookmarkEnd w:id="136"/>
            <w:bookmarkEnd w:id="137"/>
          </w:p>
          <w:p w14:paraId="3AB720CC">
            <w:pPr>
              <w:pStyle w:val="24"/>
              <w:spacing w:line="360" w:lineRule="auto"/>
              <w:ind w:firstLine="400" w:firstLineChars="200"/>
              <w:outlineLvl w:val="0"/>
              <w:rPr>
                <w:rFonts w:hint="eastAsia" w:ascii="仿宋" w:hAnsi="仿宋" w:eastAsia="仿宋" w:cs="Courier New"/>
                <w:color w:val="auto"/>
                <w:highlight w:val="none"/>
                <w:lang w:val="en-US" w:eastAsia="zh-CN"/>
              </w:rPr>
            </w:pPr>
            <w:bookmarkStart w:id="138" w:name="_Toc31535"/>
            <w:bookmarkStart w:id="139" w:name="_Toc7412"/>
            <w:r>
              <w:rPr>
                <w:rFonts w:hint="eastAsia" w:ascii="仿宋" w:hAnsi="仿宋" w:eastAsia="仿宋" w:cs="Courier New"/>
                <w:color w:val="auto"/>
                <w:highlight w:val="none"/>
                <w:lang w:val="en-US" w:eastAsia="zh-CN"/>
              </w:rPr>
              <w:t>一档（7分）：为本项目制定有人员管理方案，方案内容基本满足采购需求，无针对性；</w:t>
            </w:r>
            <w:bookmarkEnd w:id="138"/>
            <w:bookmarkEnd w:id="139"/>
          </w:p>
          <w:p w14:paraId="467A4373">
            <w:pPr>
              <w:pStyle w:val="24"/>
              <w:spacing w:line="360" w:lineRule="auto"/>
              <w:ind w:firstLine="400" w:firstLineChars="200"/>
              <w:outlineLvl w:val="0"/>
              <w:rPr>
                <w:rFonts w:hint="eastAsia" w:ascii="仿宋" w:hAnsi="仿宋" w:eastAsia="仿宋" w:cs="Courier New"/>
                <w:color w:val="auto"/>
                <w:highlight w:val="none"/>
                <w:lang w:val="en-US" w:eastAsia="zh-CN"/>
              </w:rPr>
            </w:pPr>
            <w:bookmarkStart w:id="140" w:name="_Toc23128"/>
            <w:bookmarkStart w:id="141" w:name="_Toc14919"/>
            <w:r>
              <w:rPr>
                <w:rFonts w:hint="eastAsia" w:ascii="仿宋" w:hAnsi="仿宋" w:eastAsia="仿宋" w:cs="Courier New"/>
                <w:color w:val="auto"/>
                <w:highlight w:val="none"/>
                <w:lang w:val="en-US" w:eastAsia="zh-CN"/>
              </w:rPr>
              <w:t>二档（13分）：人员管理方案内容合理可行，有1-4项优于采购需求中“人员工作要求”，人员管理制度及人员岗位工作职责内容明确，制定有人员培训计划，培训计划无亮点；</w:t>
            </w:r>
            <w:bookmarkEnd w:id="140"/>
            <w:bookmarkEnd w:id="141"/>
          </w:p>
          <w:p w14:paraId="67950769">
            <w:pPr>
              <w:pStyle w:val="24"/>
              <w:spacing w:line="360" w:lineRule="auto"/>
              <w:ind w:firstLine="400" w:firstLineChars="200"/>
              <w:outlineLvl w:val="0"/>
              <w:rPr>
                <w:rFonts w:hint="eastAsia" w:ascii="仿宋" w:hAnsi="仿宋" w:eastAsia="仿宋" w:cs="Courier New"/>
                <w:color w:val="auto"/>
                <w:highlight w:val="none"/>
                <w:lang w:val="en-US" w:eastAsia="zh-CN"/>
              </w:rPr>
            </w:pPr>
            <w:bookmarkStart w:id="142" w:name="_Toc12702"/>
            <w:bookmarkStart w:id="143" w:name="_Toc10185"/>
            <w:r>
              <w:rPr>
                <w:rFonts w:hint="eastAsia" w:ascii="仿宋" w:hAnsi="仿宋" w:eastAsia="仿宋" w:cs="Courier New"/>
                <w:color w:val="auto"/>
                <w:highlight w:val="none"/>
                <w:lang w:val="en-US" w:eastAsia="zh-CN"/>
              </w:rPr>
              <w:t>三档（20分）：人员管理方案内容详细完整、科学合理且方案内容有5项及以上优于采购需求中“人员工作要求”，人员管理规整制度科学可行；人员岗位工作职责针对本项目清晰列明；针对本项目制定人员培训计划且计划有亮点能够落实实施。</w:t>
            </w:r>
            <w:bookmarkEnd w:id="142"/>
            <w:bookmarkEnd w:id="143"/>
          </w:p>
          <w:p w14:paraId="01E5DE76">
            <w:pPr>
              <w:pStyle w:val="24"/>
              <w:spacing w:line="360" w:lineRule="auto"/>
              <w:ind w:firstLine="400" w:firstLineChars="200"/>
              <w:outlineLvl w:val="0"/>
              <w:rPr>
                <w:rFonts w:hint="eastAsia" w:ascii="仿宋" w:hAnsi="仿宋" w:eastAsia="仿宋" w:cs="Courier New"/>
                <w:color w:val="auto"/>
                <w:highlight w:val="none"/>
                <w:lang w:val="en-US" w:eastAsia="zh-CN"/>
              </w:rPr>
            </w:pPr>
            <w:bookmarkStart w:id="144" w:name="_Toc25211"/>
            <w:bookmarkStart w:id="145" w:name="_Toc19717"/>
            <w:r>
              <w:rPr>
                <w:rFonts w:hint="eastAsia" w:ascii="仿宋" w:hAnsi="仿宋" w:eastAsia="仿宋" w:cs="Courier New"/>
                <w:color w:val="auto"/>
                <w:highlight w:val="none"/>
                <w:lang w:val="en-US" w:eastAsia="zh-CN"/>
              </w:rPr>
              <w:t>注：优于采购需求的条款请加粗处理，并在目录设置检索。</w:t>
            </w:r>
            <w:bookmarkEnd w:id="144"/>
            <w:bookmarkEnd w:id="145"/>
          </w:p>
        </w:tc>
      </w:tr>
      <w:tr w14:paraId="5F897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gridSpan w:val="2"/>
            <w:vAlign w:val="center"/>
          </w:tcPr>
          <w:p w14:paraId="4005041A">
            <w:pPr>
              <w:adjustRightInd w:val="0"/>
              <w:spacing w:line="360" w:lineRule="auto"/>
              <w:jc w:val="center"/>
              <w:textAlignment w:val="baseline"/>
              <w:rPr>
                <w:rFonts w:hint="eastAsia" w:ascii="仿宋" w:hAnsi="仿宋" w:eastAsia="仿宋"/>
                <w:b/>
                <w:color w:val="auto"/>
                <w:szCs w:val="21"/>
                <w:highlight w:val="none"/>
                <w:lang w:eastAsia="zh-CN"/>
              </w:rPr>
            </w:pPr>
            <w:r>
              <w:rPr>
                <w:rFonts w:hint="eastAsia" w:ascii="仿宋" w:hAnsi="仿宋" w:eastAsia="仿宋"/>
                <w:b/>
                <w:color w:val="auto"/>
                <w:szCs w:val="21"/>
                <w:highlight w:val="none"/>
                <w:lang w:val="en-US" w:eastAsia="zh-CN"/>
              </w:rPr>
              <w:t>2.3</w:t>
            </w:r>
          </w:p>
        </w:tc>
        <w:tc>
          <w:tcPr>
            <w:tcW w:w="1280" w:type="dxa"/>
            <w:gridSpan w:val="2"/>
            <w:vAlign w:val="center"/>
          </w:tcPr>
          <w:p w14:paraId="0E12EE7D">
            <w:pPr>
              <w:adjustRightInd w:val="0"/>
              <w:spacing w:line="360" w:lineRule="auto"/>
              <w:jc w:val="center"/>
              <w:textAlignment w:val="baseline"/>
              <w:rPr>
                <w:rFonts w:ascii="仿宋" w:hAnsi="仿宋" w:eastAsia="仿宋" w:cs="Courier New"/>
                <w:b/>
                <w:bCs/>
                <w:color w:val="auto"/>
                <w:szCs w:val="21"/>
                <w:highlight w:val="none"/>
              </w:rPr>
            </w:pPr>
            <w:r>
              <w:rPr>
                <w:rFonts w:hint="eastAsia" w:ascii="仿宋" w:hAnsi="仿宋" w:eastAsia="仿宋" w:cs="Courier New"/>
                <w:b/>
                <w:bCs/>
                <w:color w:val="auto"/>
                <w:szCs w:val="21"/>
                <w:highlight w:val="none"/>
              </w:rPr>
              <w:t>管理规章制度、机构设置和运作流程方案分</w:t>
            </w:r>
          </w:p>
        </w:tc>
        <w:tc>
          <w:tcPr>
            <w:tcW w:w="709" w:type="dxa"/>
            <w:vAlign w:val="center"/>
          </w:tcPr>
          <w:p w14:paraId="04A74416">
            <w:pPr>
              <w:adjustRightInd w:val="0"/>
              <w:spacing w:line="360" w:lineRule="auto"/>
              <w:jc w:val="center"/>
              <w:textAlignment w:val="baseline"/>
              <w:rPr>
                <w:rFonts w:ascii="仿宋" w:hAnsi="仿宋" w:eastAsia="仿宋"/>
                <w:b/>
                <w:color w:val="auto"/>
                <w:szCs w:val="21"/>
                <w:highlight w:val="none"/>
              </w:rPr>
            </w:pPr>
            <w:r>
              <w:rPr>
                <w:rFonts w:hint="eastAsia" w:ascii="仿宋" w:hAnsi="仿宋" w:eastAsia="仿宋"/>
                <w:b/>
                <w:color w:val="auto"/>
                <w:szCs w:val="21"/>
                <w:highlight w:val="none"/>
                <w:lang w:val="en-US" w:eastAsia="zh-CN"/>
              </w:rPr>
              <w:t>20</w:t>
            </w:r>
            <w:r>
              <w:rPr>
                <w:rFonts w:hint="eastAsia" w:ascii="仿宋" w:hAnsi="仿宋" w:eastAsia="仿宋"/>
                <w:b/>
                <w:color w:val="auto"/>
                <w:szCs w:val="21"/>
                <w:highlight w:val="none"/>
              </w:rPr>
              <w:t>分</w:t>
            </w:r>
          </w:p>
        </w:tc>
        <w:tc>
          <w:tcPr>
            <w:tcW w:w="7158" w:type="dxa"/>
            <w:gridSpan w:val="2"/>
            <w:vAlign w:val="center"/>
          </w:tcPr>
          <w:p w14:paraId="25475B3D">
            <w:pPr>
              <w:spacing w:line="360" w:lineRule="auto"/>
              <w:ind w:firstLine="420"/>
              <w:rPr>
                <w:rFonts w:hint="eastAsia" w:ascii="仿宋" w:hAnsi="仿宋" w:eastAsia="仿宋" w:cs="Courier New"/>
                <w:color w:val="auto"/>
                <w:szCs w:val="21"/>
                <w:highlight w:val="none"/>
              </w:rPr>
            </w:pPr>
            <w:r>
              <w:rPr>
                <w:rFonts w:hint="eastAsia" w:ascii="仿宋" w:hAnsi="仿宋" w:eastAsia="仿宋" w:cs="Courier New"/>
                <w:color w:val="auto"/>
                <w:szCs w:val="21"/>
                <w:highlight w:val="none"/>
              </w:rPr>
              <w:t>不提供相关内容或方案得0分。</w:t>
            </w:r>
          </w:p>
          <w:p w14:paraId="1A05C590">
            <w:pPr>
              <w:spacing w:line="360" w:lineRule="auto"/>
              <w:ind w:firstLine="420"/>
              <w:rPr>
                <w:rFonts w:hint="eastAsia" w:ascii="仿宋" w:hAnsi="仿宋" w:eastAsia="仿宋" w:cs="Courier New"/>
                <w:color w:val="auto"/>
                <w:szCs w:val="21"/>
                <w:highlight w:val="none"/>
              </w:rPr>
            </w:pPr>
            <w:r>
              <w:rPr>
                <w:rFonts w:hint="eastAsia" w:ascii="仿宋" w:hAnsi="仿宋" w:eastAsia="仿宋" w:cs="Courier New"/>
                <w:color w:val="auto"/>
                <w:szCs w:val="21"/>
                <w:highlight w:val="none"/>
              </w:rPr>
              <w:t>一档（</w:t>
            </w:r>
            <w:r>
              <w:rPr>
                <w:rFonts w:hint="eastAsia" w:ascii="仿宋" w:hAnsi="仿宋" w:eastAsia="仿宋" w:cs="Courier New"/>
                <w:color w:val="auto"/>
                <w:szCs w:val="21"/>
                <w:highlight w:val="none"/>
                <w:lang w:val="en-US" w:eastAsia="zh-CN"/>
              </w:rPr>
              <w:t>7</w:t>
            </w:r>
            <w:r>
              <w:rPr>
                <w:rFonts w:hint="eastAsia" w:ascii="仿宋" w:hAnsi="仿宋" w:eastAsia="仿宋" w:cs="Courier New"/>
                <w:color w:val="auto"/>
                <w:szCs w:val="21"/>
                <w:highlight w:val="none"/>
              </w:rPr>
              <w:t>分）：建立有相关的规章管理制度与档案管理制度，但仅有纲要、内容简略；</w:t>
            </w:r>
          </w:p>
          <w:p w14:paraId="789B3E33">
            <w:pPr>
              <w:spacing w:line="360" w:lineRule="auto"/>
              <w:ind w:firstLine="420"/>
              <w:rPr>
                <w:rFonts w:hint="eastAsia" w:ascii="仿宋" w:hAnsi="仿宋" w:eastAsia="仿宋" w:cs="Courier New"/>
                <w:color w:val="auto"/>
                <w:szCs w:val="21"/>
                <w:highlight w:val="none"/>
              </w:rPr>
            </w:pPr>
            <w:r>
              <w:rPr>
                <w:rFonts w:hint="eastAsia" w:ascii="仿宋" w:hAnsi="仿宋" w:eastAsia="仿宋" w:cs="Courier New"/>
                <w:color w:val="auto"/>
                <w:szCs w:val="21"/>
                <w:highlight w:val="none"/>
              </w:rPr>
              <w:t>二档（</w:t>
            </w:r>
            <w:r>
              <w:rPr>
                <w:rFonts w:hint="eastAsia" w:ascii="仿宋" w:hAnsi="仿宋" w:eastAsia="仿宋" w:cs="Courier New"/>
                <w:color w:val="auto"/>
                <w:szCs w:val="21"/>
                <w:highlight w:val="none"/>
                <w:lang w:val="en-US" w:eastAsia="zh-CN"/>
              </w:rPr>
              <w:t>13</w:t>
            </w:r>
            <w:r>
              <w:rPr>
                <w:rFonts w:hint="eastAsia" w:ascii="仿宋" w:hAnsi="仿宋" w:eastAsia="仿宋" w:cs="Courier New"/>
                <w:color w:val="auto"/>
                <w:szCs w:val="21"/>
                <w:highlight w:val="none"/>
              </w:rPr>
              <w:t>分）：建立有相关的规章管理制度与档案管理制度，内容包含机构设置，具有针对性、可操作性；</w:t>
            </w:r>
          </w:p>
          <w:p w14:paraId="1C241FF7">
            <w:pPr>
              <w:spacing w:line="360" w:lineRule="auto"/>
              <w:ind w:firstLine="420"/>
              <w:rPr>
                <w:rFonts w:hint="eastAsia" w:ascii="仿宋" w:hAnsi="仿宋" w:eastAsia="仿宋" w:cs="Courier New"/>
                <w:color w:val="auto"/>
                <w:szCs w:val="21"/>
                <w:highlight w:val="none"/>
              </w:rPr>
            </w:pPr>
            <w:r>
              <w:rPr>
                <w:rFonts w:hint="eastAsia" w:ascii="仿宋" w:hAnsi="仿宋" w:eastAsia="仿宋" w:cs="Courier New"/>
                <w:color w:val="auto"/>
                <w:szCs w:val="21"/>
                <w:highlight w:val="none"/>
              </w:rPr>
              <w:t>三档（</w:t>
            </w:r>
            <w:r>
              <w:rPr>
                <w:rFonts w:hint="eastAsia" w:ascii="仿宋" w:hAnsi="仿宋" w:eastAsia="仿宋" w:cs="Courier New"/>
                <w:color w:val="auto"/>
                <w:szCs w:val="21"/>
                <w:highlight w:val="none"/>
                <w:lang w:val="en-US" w:eastAsia="zh-CN"/>
              </w:rPr>
              <w:t>20</w:t>
            </w:r>
            <w:r>
              <w:rPr>
                <w:rFonts w:hint="eastAsia" w:ascii="仿宋" w:hAnsi="仿宋" w:eastAsia="仿宋" w:cs="Courier New"/>
                <w:color w:val="auto"/>
                <w:szCs w:val="21"/>
                <w:highlight w:val="none"/>
              </w:rPr>
              <w:t>分）：在二档基础上，有良好的内部管理构架、管理运作机制、激励机制、监督机制、自我约束机制、信息反馈处理机制、标准体系结构、标准化工作。</w:t>
            </w:r>
          </w:p>
          <w:p w14:paraId="7EF048F6">
            <w:pPr>
              <w:spacing w:line="360" w:lineRule="auto"/>
              <w:ind w:firstLine="420"/>
              <w:rPr>
                <w:rFonts w:hint="eastAsia" w:ascii="仿宋" w:hAnsi="仿宋" w:eastAsia="仿宋" w:cs="Courier New"/>
                <w:color w:val="auto"/>
                <w:szCs w:val="21"/>
                <w:highlight w:val="none"/>
              </w:rPr>
            </w:pPr>
            <w:r>
              <w:rPr>
                <w:rFonts w:hint="eastAsia" w:ascii="仿宋" w:hAnsi="仿宋" w:eastAsia="仿宋" w:cs="Courier New"/>
                <w:color w:val="auto"/>
                <w:szCs w:val="21"/>
                <w:highlight w:val="none"/>
              </w:rPr>
              <w:t>注：优于采购需求的条款请加粗处理，并在目录设置检索。</w:t>
            </w:r>
          </w:p>
        </w:tc>
      </w:tr>
      <w:tr w14:paraId="6B03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30" w:type="dxa"/>
            <w:gridSpan w:val="2"/>
            <w:vAlign w:val="center"/>
          </w:tcPr>
          <w:p w14:paraId="6C5F56F1">
            <w:pPr>
              <w:adjustRightInd w:val="0"/>
              <w:spacing w:line="360" w:lineRule="auto"/>
              <w:jc w:val="center"/>
              <w:textAlignment w:val="baseline"/>
              <w:rPr>
                <w:rFonts w:hint="eastAsia" w:ascii="仿宋" w:hAnsi="仿宋" w:eastAsia="仿宋"/>
                <w:b/>
                <w:color w:val="auto"/>
                <w:szCs w:val="21"/>
                <w:highlight w:val="none"/>
                <w:lang w:eastAsia="zh-CN"/>
              </w:rPr>
            </w:pPr>
            <w:r>
              <w:rPr>
                <w:rFonts w:hint="eastAsia" w:ascii="仿宋" w:hAnsi="仿宋" w:eastAsia="仿宋"/>
                <w:b/>
                <w:color w:val="auto"/>
                <w:szCs w:val="21"/>
                <w:highlight w:val="none"/>
                <w:lang w:val="en-US" w:eastAsia="zh-CN"/>
              </w:rPr>
              <w:t>2.4</w:t>
            </w:r>
          </w:p>
        </w:tc>
        <w:tc>
          <w:tcPr>
            <w:tcW w:w="1280" w:type="dxa"/>
            <w:gridSpan w:val="2"/>
            <w:vAlign w:val="center"/>
          </w:tcPr>
          <w:p w14:paraId="168E92F4">
            <w:pPr>
              <w:adjustRightInd w:val="0"/>
              <w:spacing w:line="360" w:lineRule="auto"/>
              <w:jc w:val="center"/>
              <w:textAlignment w:val="baseline"/>
              <w:rPr>
                <w:rFonts w:hint="eastAsia" w:ascii="仿宋" w:hAnsi="仿宋" w:eastAsia="仿宋"/>
                <w:b/>
                <w:color w:val="auto"/>
                <w:szCs w:val="21"/>
                <w:highlight w:val="none"/>
              </w:rPr>
            </w:pPr>
            <w:r>
              <w:rPr>
                <w:rFonts w:hint="eastAsia" w:ascii="仿宋" w:hAnsi="仿宋" w:eastAsia="仿宋" w:cs="Courier New"/>
                <w:b/>
                <w:bCs/>
                <w:color w:val="auto"/>
                <w:szCs w:val="21"/>
                <w:highlight w:val="none"/>
              </w:rPr>
              <w:t>应急处置方案预案分</w:t>
            </w:r>
          </w:p>
        </w:tc>
        <w:tc>
          <w:tcPr>
            <w:tcW w:w="709" w:type="dxa"/>
            <w:vAlign w:val="center"/>
          </w:tcPr>
          <w:p w14:paraId="5FF3AAE5">
            <w:pPr>
              <w:adjustRightInd w:val="0"/>
              <w:spacing w:line="360" w:lineRule="auto"/>
              <w:jc w:val="center"/>
              <w:textAlignment w:val="baseline"/>
              <w:rPr>
                <w:rFonts w:hint="eastAsia" w:ascii="仿宋" w:hAnsi="仿宋" w:eastAsia="仿宋"/>
                <w:b/>
                <w:color w:val="auto"/>
                <w:szCs w:val="21"/>
                <w:highlight w:val="none"/>
              </w:rPr>
            </w:pPr>
            <w:r>
              <w:rPr>
                <w:rFonts w:hint="eastAsia" w:ascii="仿宋" w:hAnsi="仿宋" w:eastAsia="仿宋"/>
                <w:b/>
                <w:color w:val="auto"/>
                <w:szCs w:val="21"/>
                <w:highlight w:val="none"/>
                <w:lang w:val="en-US" w:eastAsia="zh-CN"/>
              </w:rPr>
              <w:t>20</w:t>
            </w:r>
            <w:r>
              <w:rPr>
                <w:rFonts w:hint="eastAsia" w:ascii="仿宋" w:hAnsi="仿宋" w:eastAsia="仿宋"/>
                <w:b/>
                <w:color w:val="auto"/>
                <w:szCs w:val="21"/>
                <w:highlight w:val="none"/>
              </w:rPr>
              <w:t>分</w:t>
            </w:r>
          </w:p>
        </w:tc>
        <w:tc>
          <w:tcPr>
            <w:tcW w:w="7158" w:type="dxa"/>
            <w:gridSpan w:val="2"/>
            <w:vAlign w:val="center"/>
          </w:tcPr>
          <w:p w14:paraId="725D6DD0">
            <w:pPr>
              <w:keepNext/>
              <w:keepLines/>
              <w:spacing w:line="360" w:lineRule="auto"/>
              <w:ind w:firstLine="420" w:firstLineChars="200"/>
              <w:outlineLvl w:val="1"/>
              <w:rPr>
                <w:rFonts w:hint="eastAsia" w:ascii="仿宋" w:hAnsi="仿宋" w:eastAsia="仿宋"/>
                <w:bCs/>
                <w:color w:val="auto"/>
                <w:szCs w:val="21"/>
                <w:highlight w:val="none"/>
              </w:rPr>
            </w:pPr>
            <w:r>
              <w:rPr>
                <w:rFonts w:hint="eastAsia" w:ascii="仿宋" w:hAnsi="仿宋" w:eastAsia="仿宋"/>
                <w:bCs/>
                <w:color w:val="auto"/>
                <w:szCs w:val="21"/>
                <w:highlight w:val="none"/>
              </w:rPr>
              <w:t>不提供相关内容或方案得0分。</w:t>
            </w:r>
          </w:p>
          <w:p w14:paraId="7C250A4B">
            <w:pPr>
              <w:keepNext/>
              <w:keepLines/>
              <w:spacing w:line="360" w:lineRule="auto"/>
              <w:ind w:firstLine="420" w:firstLineChars="200"/>
              <w:outlineLvl w:val="1"/>
              <w:rPr>
                <w:rFonts w:hint="eastAsia" w:ascii="仿宋" w:hAnsi="仿宋" w:eastAsia="仿宋"/>
                <w:bCs/>
                <w:color w:val="auto"/>
                <w:szCs w:val="21"/>
                <w:highlight w:val="none"/>
              </w:rPr>
            </w:pPr>
            <w:r>
              <w:rPr>
                <w:rFonts w:hint="eastAsia" w:ascii="仿宋" w:hAnsi="仿宋" w:eastAsia="仿宋"/>
                <w:bCs/>
                <w:color w:val="auto"/>
                <w:szCs w:val="21"/>
                <w:highlight w:val="none"/>
              </w:rPr>
              <w:t>一档（</w:t>
            </w:r>
            <w:r>
              <w:rPr>
                <w:rFonts w:hint="eastAsia" w:ascii="仿宋" w:hAnsi="仿宋" w:eastAsia="仿宋"/>
                <w:bCs/>
                <w:color w:val="auto"/>
                <w:szCs w:val="21"/>
                <w:highlight w:val="none"/>
                <w:lang w:val="en-US" w:eastAsia="zh-CN"/>
              </w:rPr>
              <w:t>7</w:t>
            </w:r>
            <w:r>
              <w:rPr>
                <w:rFonts w:hint="eastAsia" w:ascii="仿宋" w:hAnsi="仿宋" w:eastAsia="仿宋"/>
                <w:bCs/>
                <w:color w:val="auto"/>
                <w:szCs w:val="21"/>
                <w:highlight w:val="none"/>
              </w:rPr>
              <w:t>分）：针对采购需求能提供应急处置方案预案，基本满足采购需求，但仅有纲要、内容简略；</w:t>
            </w:r>
          </w:p>
          <w:p w14:paraId="14089C7B">
            <w:pPr>
              <w:keepNext/>
              <w:keepLines/>
              <w:spacing w:line="360" w:lineRule="auto"/>
              <w:ind w:firstLine="420" w:firstLineChars="200"/>
              <w:outlineLvl w:val="1"/>
              <w:rPr>
                <w:rFonts w:hint="eastAsia" w:ascii="仿宋" w:hAnsi="仿宋" w:eastAsia="仿宋"/>
                <w:bCs/>
                <w:color w:val="auto"/>
                <w:szCs w:val="21"/>
                <w:highlight w:val="none"/>
              </w:rPr>
            </w:pPr>
            <w:r>
              <w:rPr>
                <w:rFonts w:hint="eastAsia" w:ascii="仿宋" w:hAnsi="仿宋" w:eastAsia="仿宋"/>
                <w:bCs/>
                <w:color w:val="auto"/>
                <w:szCs w:val="21"/>
                <w:highlight w:val="none"/>
              </w:rPr>
              <w:t>二档（</w:t>
            </w:r>
            <w:r>
              <w:rPr>
                <w:rFonts w:hint="eastAsia" w:ascii="仿宋" w:hAnsi="仿宋" w:eastAsia="仿宋"/>
                <w:bCs/>
                <w:color w:val="auto"/>
                <w:szCs w:val="21"/>
                <w:highlight w:val="none"/>
                <w:lang w:val="en-US" w:eastAsia="zh-CN"/>
              </w:rPr>
              <w:t>13</w:t>
            </w:r>
            <w:r>
              <w:rPr>
                <w:rFonts w:hint="eastAsia" w:ascii="仿宋" w:hAnsi="仿宋" w:eastAsia="仿宋"/>
                <w:bCs/>
                <w:color w:val="auto"/>
                <w:szCs w:val="21"/>
                <w:highlight w:val="none"/>
              </w:rPr>
              <w:t>分）：提供的应急处置方案预案包含突发事件、暴雨应急、各类报警应急、处理方法的内容，且以上内容针对采购人需求设置，具有针对性、可操作性；</w:t>
            </w:r>
          </w:p>
          <w:p w14:paraId="0DC94E94">
            <w:pPr>
              <w:keepNext/>
              <w:keepLines/>
              <w:spacing w:line="360" w:lineRule="auto"/>
              <w:ind w:firstLine="420" w:firstLineChars="200"/>
              <w:outlineLvl w:val="1"/>
              <w:rPr>
                <w:rFonts w:ascii="仿宋" w:hAnsi="仿宋" w:eastAsia="仿宋"/>
                <w:bCs/>
                <w:color w:val="auto"/>
                <w:szCs w:val="21"/>
                <w:highlight w:val="none"/>
              </w:rPr>
            </w:pPr>
            <w:r>
              <w:rPr>
                <w:rFonts w:hint="eastAsia" w:ascii="仿宋" w:hAnsi="仿宋" w:eastAsia="仿宋"/>
                <w:bCs/>
                <w:color w:val="auto"/>
                <w:szCs w:val="21"/>
                <w:highlight w:val="none"/>
              </w:rPr>
              <w:t>三档（</w:t>
            </w:r>
            <w:r>
              <w:rPr>
                <w:rFonts w:hint="eastAsia" w:ascii="仿宋" w:hAnsi="仿宋" w:eastAsia="仿宋"/>
                <w:bCs/>
                <w:color w:val="auto"/>
                <w:szCs w:val="21"/>
                <w:highlight w:val="none"/>
                <w:lang w:val="en-US" w:eastAsia="zh-CN"/>
              </w:rPr>
              <w:t>20</w:t>
            </w:r>
            <w:r>
              <w:rPr>
                <w:rFonts w:hint="eastAsia" w:ascii="仿宋" w:hAnsi="仿宋" w:eastAsia="仿宋"/>
                <w:bCs/>
                <w:color w:val="auto"/>
                <w:szCs w:val="21"/>
                <w:highlight w:val="none"/>
              </w:rPr>
              <w:t>分）：在满足二档的基础上，提供的应急处置方案预案包含突发事件、暴雨应急、各类报警应急、暴力事件应急方案的处理方法内容， 对各种应急风险事项考虑周全，拟定的应对措施科学可行，具有较高容错性，应急设施设备充分有保障（提供应急设备、货物清单）。</w:t>
            </w:r>
          </w:p>
        </w:tc>
      </w:tr>
      <w:tr w14:paraId="691A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30" w:type="dxa"/>
            <w:gridSpan w:val="2"/>
            <w:vAlign w:val="center"/>
          </w:tcPr>
          <w:p w14:paraId="1E32D579">
            <w:pPr>
              <w:adjustRightInd w:val="0"/>
              <w:spacing w:line="360" w:lineRule="auto"/>
              <w:jc w:val="center"/>
              <w:textAlignment w:val="baseline"/>
              <w:rPr>
                <w:rFonts w:hint="default" w:ascii="仿宋" w:hAnsi="仿宋" w:eastAsia="仿宋"/>
                <w:b/>
                <w:color w:val="auto"/>
                <w:szCs w:val="21"/>
                <w:highlight w:val="none"/>
                <w:lang w:val="en-US" w:eastAsia="zh-CN"/>
              </w:rPr>
            </w:pPr>
            <w:r>
              <w:rPr>
                <w:rFonts w:hint="eastAsia" w:ascii="仿宋" w:hAnsi="仿宋" w:eastAsia="仿宋"/>
                <w:b/>
                <w:color w:val="auto"/>
                <w:szCs w:val="21"/>
                <w:highlight w:val="none"/>
                <w:lang w:val="en-US" w:eastAsia="zh-CN"/>
              </w:rPr>
              <w:t>3</w:t>
            </w:r>
          </w:p>
        </w:tc>
        <w:tc>
          <w:tcPr>
            <w:tcW w:w="9147" w:type="dxa"/>
            <w:gridSpan w:val="5"/>
            <w:vAlign w:val="center"/>
          </w:tcPr>
          <w:p w14:paraId="647F1BEB">
            <w:pPr>
              <w:keepNext/>
              <w:keepLines/>
              <w:spacing w:line="360" w:lineRule="auto"/>
              <w:outlineLvl w:val="1"/>
              <w:rPr>
                <w:rFonts w:hint="default"/>
                <w:color w:val="auto"/>
                <w:highlight w:val="none"/>
                <w:lang w:val="en-US"/>
              </w:rPr>
            </w:pPr>
            <w:r>
              <w:rPr>
                <w:rFonts w:hint="eastAsia" w:ascii="仿宋" w:hAnsi="仿宋" w:eastAsia="仿宋"/>
                <w:b/>
                <w:color w:val="auto"/>
                <w:szCs w:val="21"/>
                <w:highlight w:val="none"/>
                <w:lang w:val="en-US" w:eastAsia="zh-CN"/>
              </w:rPr>
              <w:t>商务分（10分）</w:t>
            </w:r>
          </w:p>
        </w:tc>
      </w:tr>
      <w:tr w14:paraId="3A0E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30" w:type="dxa"/>
            <w:gridSpan w:val="2"/>
            <w:vAlign w:val="center"/>
          </w:tcPr>
          <w:p w14:paraId="5FCBA2C0">
            <w:pPr>
              <w:adjustRightInd w:val="0"/>
              <w:spacing w:line="360" w:lineRule="auto"/>
              <w:jc w:val="center"/>
              <w:textAlignment w:val="baseline"/>
              <w:rPr>
                <w:rFonts w:hint="default" w:ascii="仿宋" w:hAnsi="仿宋" w:eastAsia="仿宋"/>
                <w:b/>
                <w:color w:val="auto"/>
                <w:szCs w:val="21"/>
                <w:highlight w:val="none"/>
                <w:lang w:val="en-US" w:eastAsia="zh-CN"/>
              </w:rPr>
            </w:pPr>
            <w:r>
              <w:rPr>
                <w:rFonts w:hint="eastAsia" w:ascii="仿宋" w:hAnsi="仿宋" w:eastAsia="仿宋"/>
                <w:b/>
                <w:color w:val="auto"/>
                <w:szCs w:val="21"/>
                <w:highlight w:val="none"/>
                <w:lang w:val="en-US" w:eastAsia="zh-CN"/>
              </w:rPr>
              <w:t>3.1</w:t>
            </w:r>
          </w:p>
        </w:tc>
        <w:tc>
          <w:tcPr>
            <w:tcW w:w="1274" w:type="dxa"/>
            <w:vAlign w:val="center"/>
          </w:tcPr>
          <w:p w14:paraId="46D54916">
            <w:pPr>
              <w:adjustRightInd w:val="0"/>
              <w:spacing w:line="360" w:lineRule="auto"/>
              <w:jc w:val="center"/>
              <w:textAlignment w:val="baseline"/>
              <w:rPr>
                <w:rFonts w:hint="eastAsia" w:ascii="仿宋" w:hAnsi="仿宋" w:eastAsia="仿宋" w:cs="Courier New"/>
                <w:b/>
                <w:bCs/>
                <w:color w:val="auto"/>
                <w:szCs w:val="21"/>
                <w:highlight w:val="none"/>
                <w:lang w:val="en-US" w:eastAsia="zh-CN"/>
              </w:rPr>
            </w:pPr>
            <w:r>
              <w:rPr>
                <w:rFonts w:hint="eastAsia" w:ascii="仿宋" w:hAnsi="仿宋" w:eastAsia="仿宋" w:cs="Courier New"/>
                <w:b/>
                <w:bCs/>
                <w:color w:val="auto"/>
                <w:szCs w:val="21"/>
                <w:highlight w:val="none"/>
              </w:rPr>
              <w:t>人员配置分</w:t>
            </w:r>
          </w:p>
        </w:tc>
        <w:tc>
          <w:tcPr>
            <w:tcW w:w="725" w:type="dxa"/>
            <w:gridSpan w:val="3"/>
            <w:vAlign w:val="center"/>
          </w:tcPr>
          <w:p w14:paraId="78E54107">
            <w:pPr>
              <w:adjustRightInd w:val="0"/>
              <w:spacing w:line="360" w:lineRule="auto"/>
              <w:jc w:val="center"/>
              <w:textAlignment w:val="baseline"/>
              <w:rPr>
                <w:rFonts w:hint="eastAsia" w:ascii="仿宋" w:hAnsi="仿宋" w:eastAsia="仿宋" w:cs="Courier New"/>
                <w:b/>
                <w:bCs/>
                <w:color w:val="auto"/>
                <w:szCs w:val="21"/>
                <w:highlight w:val="none"/>
                <w:lang w:val="en-US" w:eastAsia="zh-CN"/>
              </w:rPr>
            </w:pPr>
            <w:r>
              <w:rPr>
                <w:rFonts w:hint="eastAsia" w:ascii="仿宋" w:hAnsi="仿宋" w:eastAsia="仿宋" w:cs="Courier New"/>
                <w:b/>
                <w:bCs/>
                <w:color w:val="auto"/>
                <w:szCs w:val="21"/>
                <w:highlight w:val="none"/>
              </w:rPr>
              <w:t>1</w:t>
            </w:r>
            <w:r>
              <w:rPr>
                <w:rFonts w:hint="eastAsia" w:ascii="仿宋" w:hAnsi="仿宋" w:eastAsia="仿宋" w:cs="Courier New"/>
                <w:b/>
                <w:bCs/>
                <w:color w:val="auto"/>
                <w:szCs w:val="21"/>
                <w:highlight w:val="none"/>
                <w:lang w:val="en-US" w:eastAsia="zh-CN"/>
              </w:rPr>
              <w:t>0</w:t>
            </w:r>
            <w:r>
              <w:rPr>
                <w:rFonts w:hint="eastAsia" w:ascii="仿宋" w:hAnsi="仿宋" w:eastAsia="仿宋" w:cs="Courier New"/>
                <w:b/>
                <w:bCs/>
                <w:color w:val="auto"/>
                <w:szCs w:val="21"/>
                <w:highlight w:val="none"/>
              </w:rPr>
              <w:t>分</w:t>
            </w:r>
          </w:p>
        </w:tc>
        <w:tc>
          <w:tcPr>
            <w:tcW w:w="7148" w:type="dxa"/>
            <w:vAlign w:val="center"/>
          </w:tcPr>
          <w:p w14:paraId="3EBDAD68">
            <w:pPr>
              <w:keepNext/>
              <w:keepLines/>
              <w:spacing w:line="360" w:lineRule="auto"/>
              <w:ind w:firstLine="420" w:firstLineChars="200"/>
              <w:outlineLvl w:val="1"/>
              <w:rPr>
                <w:rFonts w:hint="eastAsia" w:ascii="仿宋" w:hAnsi="仿宋" w:eastAsia="仿宋"/>
                <w:bCs/>
                <w:color w:val="auto"/>
                <w:szCs w:val="21"/>
                <w:highlight w:val="none"/>
                <w:lang w:val="en-US" w:eastAsia="zh-CN"/>
              </w:rPr>
            </w:pPr>
            <w:r>
              <w:rPr>
                <w:rFonts w:hint="eastAsia" w:ascii="仿宋" w:hAnsi="仿宋" w:eastAsia="仿宋"/>
                <w:bCs/>
                <w:color w:val="auto"/>
                <w:szCs w:val="21"/>
                <w:highlight w:val="none"/>
                <w:lang w:val="en-US" w:eastAsia="zh-CN"/>
              </w:rPr>
              <w:t>1）项目经理持有物业管理师（员）职业技能等级三级（含）以上证书得1分；具有人力资源和社会保障部门颁发的中级或以上职称证书的，得1分，满分2分；</w:t>
            </w:r>
          </w:p>
          <w:p w14:paraId="276A03F7">
            <w:pPr>
              <w:keepNext/>
              <w:keepLines/>
              <w:spacing w:line="360" w:lineRule="auto"/>
              <w:ind w:firstLine="420" w:firstLineChars="200"/>
              <w:outlineLvl w:val="1"/>
              <w:rPr>
                <w:rFonts w:hint="eastAsia" w:ascii="仿宋" w:hAnsi="仿宋" w:eastAsia="仿宋"/>
                <w:bCs/>
                <w:color w:val="auto"/>
                <w:szCs w:val="21"/>
                <w:highlight w:val="none"/>
                <w:lang w:val="en-US" w:eastAsia="zh-CN"/>
              </w:rPr>
            </w:pPr>
            <w:r>
              <w:rPr>
                <w:rFonts w:hint="eastAsia" w:ascii="仿宋" w:hAnsi="仿宋" w:eastAsia="仿宋"/>
                <w:bCs/>
                <w:color w:val="auto"/>
                <w:szCs w:val="21"/>
                <w:highlight w:val="none"/>
                <w:lang w:val="en-US" w:eastAsia="zh-CN"/>
              </w:rPr>
              <w:t>2）培训主管具有大专及以上学历，得1分；具有三年以上医疗卫生行业单位工作经验的得1分（提供相关工作证明材料），满分2分；</w:t>
            </w:r>
          </w:p>
          <w:p w14:paraId="31D8BAB8">
            <w:pPr>
              <w:keepNext/>
              <w:keepLines/>
              <w:spacing w:line="360" w:lineRule="auto"/>
              <w:ind w:firstLine="420" w:firstLineChars="200"/>
              <w:outlineLvl w:val="1"/>
              <w:rPr>
                <w:rFonts w:hint="eastAsia" w:ascii="仿宋" w:hAnsi="仿宋" w:eastAsia="仿宋"/>
                <w:bCs/>
                <w:color w:val="auto"/>
                <w:szCs w:val="21"/>
                <w:highlight w:val="none"/>
                <w:lang w:val="en-US" w:eastAsia="zh-CN"/>
              </w:rPr>
            </w:pPr>
            <w:r>
              <w:rPr>
                <w:rFonts w:hint="eastAsia" w:ascii="仿宋" w:hAnsi="仿宋" w:eastAsia="仿宋"/>
                <w:bCs/>
                <w:color w:val="auto"/>
                <w:szCs w:val="21"/>
                <w:highlight w:val="none"/>
                <w:lang w:val="en-US" w:eastAsia="zh-CN"/>
              </w:rPr>
              <w:t>3)保洁班长具有中专或高中及以上学历，得1分，具有一年以上医疗卫生行业单位工作经验的得1分（提供相关工作证明材料），满分2分；</w:t>
            </w:r>
          </w:p>
          <w:p w14:paraId="3B1334D7">
            <w:pPr>
              <w:keepNext/>
              <w:keepLines/>
              <w:spacing w:line="360" w:lineRule="auto"/>
              <w:ind w:firstLine="420" w:firstLineChars="200"/>
              <w:outlineLvl w:val="1"/>
              <w:rPr>
                <w:rFonts w:hint="eastAsia" w:ascii="仿宋" w:hAnsi="仿宋" w:eastAsia="仿宋"/>
                <w:b/>
                <w:color w:val="auto"/>
                <w:szCs w:val="21"/>
                <w:highlight w:val="none"/>
                <w:lang w:val="en-US" w:eastAsia="zh-CN"/>
              </w:rPr>
            </w:pPr>
            <w:r>
              <w:rPr>
                <w:rFonts w:hint="eastAsia" w:ascii="仿宋" w:hAnsi="仿宋" w:eastAsia="仿宋"/>
                <w:bCs/>
                <w:color w:val="auto"/>
                <w:szCs w:val="21"/>
                <w:highlight w:val="none"/>
                <w:lang w:val="en-US" w:eastAsia="zh-CN"/>
              </w:rPr>
              <w:t>4)拟投入保洁员中具有中专或高中及以上学历，每人得1分，满分4分。</w:t>
            </w:r>
          </w:p>
        </w:tc>
      </w:tr>
      <w:tr w14:paraId="2B8F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877" w:type="dxa"/>
            <w:gridSpan w:val="7"/>
            <w:vAlign w:val="center"/>
          </w:tcPr>
          <w:p w14:paraId="7D930C2D">
            <w:pPr>
              <w:pStyle w:val="24"/>
              <w:spacing w:line="360" w:lineRule="auto"/>
              <w:rPr>
                <w:rFonts w:hint="eastAsia" w:ascii="仿宋" w:hAnsi="仿宋" w:eastAsia="仿宋" w:cs="Courier New"/>
                <w:bCs/>
                <w:color w:val="auto"/>
                <w:kern w:val="2"/>
                <w:sz w:val="21"/>
                <w:highlight w:val="none"/>
                <w:lang w:val="en-US" w:eastAsia="zh-CN"/>
              </w:rPr>
            </w:pPr>
            <w:r>
              <w:rPr>
                <w:rFonts w:hint="eastAsia" w:ascii="仿宋" w:hAnsi="仿宋" w:eastAsia="仿宋" w:cs="Courier New"/>
                <w:b/>
                <w:bCs/>
                <w:color w:val="auto"/>
                <w:kern w:val="2"/>
                <w:sz w:val="21"/>
                <w:highlight w:val="none"/>
                <w:lang w:val="en-US" w:eastAsia="zh-CN"/>
              </w:rPr>
              <w:t>总得分=1+2+3</w:t>
            </w:r>
          </w:p>
        </w:tc>
      </w:tr>
    </w:tbl>
    <w:p w14:paraId="5C33170D">
      <w:pPr>
        <w:rPr>
          <w:rFonts w:hint="eastAsia"/>
          <w:color w:val="auto"/>
        </w:rPr>
      </w:pPr>
    </w:p>
    <w:p w14:paraId="4CDEE2AF">
      <w:pPr>
        <w:pStyle w:val="24"/>
        <w:spacing w:line="360" w:lineRule="auto"/>
        <w:ind w:firstLine="420"/>
        <w:rPr>
          <w:rFonts w:hint="eastAsia" w:ascii="仿宋" w:hAnsi="仿宋" w:eastAsia="仿宋"/>
          <w:bCs/>
          <w:color w:val="auto"/>
          <w:sz w:val="21"/>
        </w:rPr>
      </w:pPr>
      <w:r>
        <w:rPr>
          <w:rFonts w:hint="eastAsia" w:ascii="仿宋" w:hAnsi="仿宋" w:eastAsia="仿宋"/>
          <w:bCs/>
          <w:color w:val="auto"/>
          <w:sz w:val="21"/>
        </w:rPr>
        <w:t>注：1.计分方法按四舍五入取至百分位；</w:t>
      </w:r>
    </w:p>
    <w:p w14:paraId="2CCFA8AF">
      <w:pPr>
        <w:pStyle w:val="24"/>
        <w:spacing w:line="360" w:lineRule="auto"/>
        <w:ind w:firstLine="420"/>
        <w:rPr>
          <w:rFonts w:ascii="仿宋" w:hAnsi="仿宋" w:eastAsia="仿宋"/>
          <w:bCs/>
          <w:color w:val="auto"/>
          <w:sz w:val="21"/>
        </w:rPr>
      </w:pPr>
      <w:r>
        <w:rPr>
          <w:rFonts w:hint="eastAsia" w:ascii="仿宋" w:hAnsi="仿宋" w:eastAsia="仿宋"/>
          <w:bCs/>
          <w:color w:val="auto"/>
          <w:sz w:val="21"/>
        </w:rPr>
        <w:t xml:space="preserve">    2.因落实政府采购政策进行价格调整的，以调整后的价格计算评标基准价和投标报价。</w:t>
      </w:r>
    </w:p>
    <w:p w14:paraId="42626B92">
      <w:pPr>
        <w:pStyle w:val="4"/>
        <w:keepNext w:val="0"/>
        <w:keepLines w:val="0"/>
        <w:jc w:val="center"/>
        <w:rPr>
          <w:rFonts w:ascii="仿宋" w:hAnsi="仿宋" w:eastAsia="仿宋"/>
          <w:color w:val="auto"/>
          <w:sz w:val="30"/>
          <w:szCs w:val="30"/>
        </w:rPr>
      </w:pPr>
      <w:r>
        <w:rPr>
          <w:rFonts w:hint="eastAsia" w:ascii="仿宋" w:hAnsi="仿宋" w:eastAsia="仿宋"/>
          <w:color w:val="auto"/>
          <w:sz w:val="30"/>
          <w:szCs w:val="30"/>
        </w:rPr>
        <w:t>四、中标候选人推荐原则</w:t>
      </w:r>
    </w:p>
    <w:p w14:paraId="6F834936">
      <w:pPr>
        <w:pStyle w:val="24"/>
        <w:spacing w:line="360" w:lineRule="auto"/>
        <w:contextualSpacing/>
        <w:rPr>
          <w:rFonts w:hint="eastAsia" w:ascii="仿宋" w:hAnsi="仿宋" w:eastAsia="仿宋"/>
          <w:b/>
          <w:bCs/>
          <w:color w:val="auto"/>
          <w:sz w:val="24"/>
          <w:szCs w:val="24"/>
        </w:rPr>
      </w:pPr>
      <w:r>
        <w:rPr>
          <w:rFonts w:hint="eastAsia" w:ascii="仿宋" w:hAnsi="仿宋" w:eastAsia="仿宋"/>
          <w:b/>
          <w:bCs/>
          <w:color w:val="auto"/>
          <w:sz w:val="24"/>
          <w:szCs w:val="24"/>
        </w:rPr>
        <w:t>综合评分法</w:t>
      </w:r>
    </w:p>
    <w:p w14:paraId="258F326E">
      <w:pPr>
        <w:pStyle w:val="24"/>
        <w:spacing w:line="360" w:lineRule="auto"/>
        <w:ind w:firstLine="420" w:firstLineChars="200"/>
        <w:contextualSpacing/>
        <w:rPr>
          <w:rFonts w:hint="eastAsia" w:ascii="仿宋" w:hAnsi="仿宋" w:eastAsia="仿宋"/>
          <w:color w:val="auto"/>
          <w:sz w:val="21"/>
        </w:rPr>
      </w:pPr>
      <w:r>
        <w:rPr>
          <w:rFonts w:hint="eastAsia" w:ascii="仿宋" w:hAnsi="仿宋" w:eastAsia="仿宋"/>
          <w:color w:val="auto"/>
          <w:sz w:val="21"/>
        </w:rPr>
        <w:t>评标委员会将根据总得分由高到低排列次序并推荐中标候选人</w:t>
      </w:r>
      <w:r>
        <w:rPr>
          <w:rFonts w:hint="eastAsia" w:ascii="仿宋" w:hAnsi="仿宋" w:eastAsia="仿宋"/>
          <w:color w:val="auto"/>
          <w:sz w:val="21"/>
          <w:lang w:val="en-US" w:eastAsia="zh-CN"/>
        </w:rPr>
        <w:t>3名</w:t>
      </w:r>
      <w:r>
        <w:rPr>
          <w:rFonts w:hint="eastAsia" w:ascii="仿宋" w:hAnsi="仿宋" w:eastAsia="仿宋"/>
          <w:color w:val="auto"/>
          <w:sz w:val="21"/>
        </w:rPr>
        <w:t>。</w:t>
      </w:r>
      <w:r>
        <w:rPr>
          <w:rFonts w:ascii="仿宋" w:hAnsi="仿宋" w:eastAsia="仿宋"/>
          <w:color w:val="auto"/>
          <w:sz w:val="21"/>
        </w:rPr>
        <w:t>得分相同的，按投标报价由低到高顺序排列。得分且投标报价相同的</w:t>
      </w:r>
      <w:r>
        <w:rPr>
          <w:rFonts w:hint="eastAsia" w:ascii="仿宋" w:hAnsi="仿宋" w:eastAsia="仿宋"/>
          <w:color w:val="auto"/>
          <w:sz w:val="21"/>
          <w:lang w:eastAsia="zh-CN"/>
        </w:rPr>
        <w:t>，</w:t>
      </w:r>
      <w:r>
        <w:rPr>
          <w:rFonts w:ascii="仿宋" w:hAnsi="仿宋" w:eastAsia="仿宋"/>
          <w:color w:val="auto"/>
          <w:sz w:val="21"/>
        </w:rPr>
        <w:t>按照评审因素</w:t>
      </w:r>
      <w:r>
        <w:rPr>
          <w:rFonts w:hint="eastAsia" w:ascii="仿宋" w:hAnsi="仿宋" w:eastAsia="仿宋"/>
          <w:color w:val="auto"/>
          <w:sz w:val="21"/>
        </w:rPr>
        <w:t>设备性能分、项目实施方案、售后服务</w:t>
      </w:r>
      <w:r>
        <w:rPr>
          <w:rFonts w:ascii="仿宋" w:hAnsi="仿宋" w:eastAsia="仿宋"/>
          <w:color w:val="auto"/>
          <w:sz w:val="21"/>
        </w:rPr>
        <w:t>的量化指标评审得分高</w:t>
      </w:r>
      <w:r>
        <w:rPr>
          <w:rFonts w:hint="eastAsia" w:ascii="仿宋" w:hAnsi="仿宋" w:eastAsia="仿宋"/>
          <w:color w:val="auto"/>
          <w:sz w:val="21"/>
          <w:lang w:eastAsia="zh-CN"/>
        </w:rPr>
        <w:t>低依次确定，</w:t>
      </w:r>
      <w:r>
        <w:rPr>
          <w:rFonts w:ascii="仿宋" w:hAnsi="仿宋" w:eastAsia="仿宋"/>
          <w:color w:val="auto"/>
          <w:sz w:val="21"/>
        </w:rPr>
        <w:t>投标人为排名第一的中标候选人。</w:t>
      </w:r>
    </w:p>
    <w:p w14:paraId="6F6A1F40">
      <w:pPr>
        <w:spacing w:beforeLines="50" w:afterLines="50" w:line="400" w:lineRule="exact"/>
        <w:rPr>
          <w:rFonts w:hint="eastAsia" w:ascii="仿宋" w:hAnsi="仿宋" w:eastAsia="仿宋"/>
          <w:b/>
          <w:color w:val="auto"/>
          <w:sz w:val="24"/>
        </w:rPr>
      </w:pPr>
    </w:p>
    <w:p w14:paraId="5996D90C">
      <w:pPr>
        <w:spacing w:beforeLines="50" w:afterLines="50" w:line="400" w:lineRule="exact"/>
        <w:rPr>
          <w:rFonts w:hint="eastAsia" w:ascii="仿宋" w:hAnsi="仿宋" w:eastAsia="仿宋"/>
          <w:b/>
          <w:color w:val="auto"/>
          <w:sz w:val="24"/>
        </w:rPr>
      </w:pPr>
    </w:p>
    <w:p w14:paraId="6B74C427">
      <w:pPr>
        <w:spacing w:beforeLines="50" w:afterLines="50" w:line="400" w:lineRule="exact"/>
        <w:rPr>
          <w:rFonts w:hint="eastAsia" w:ascii="仿宋" w:hAnsi="仿宋" w:eastAsia="仿宋"/>
          <w:b/>
          <w:color w:val="auto"/>
          <w:sz w:val="24"/>
        </w:rPr>
      </w:pPr>
    </w:p>
    <w:p w14:paraId="0FE77973">
      <w:pPr>
        <w:spacing w:beforeLines="50" w:afterLines="50" w:line="400" w:lineRule="exact"/>
        <w:rPr>
          <w:rFonts w:hint="eastAsia" w:ascii="仿宋" w:hAnsi="仿宋" w:eastAsia="仿宋"/>
          <w:b/>
          <w:color w:val="auto"/>
          <w:sz w:val="24"/>
        </w:rPr>
      </w:pPr>
    </w:p>
    <w:p w14:paraId="399BC923">
      <w:pPr>
        <w:spacing w:beforeLines="50" w:afterLines="50" w:line="400" w:lineRule="exact"/>
        <w:rPr>
          <w:rFonts w:hint="eastAsia" w:ascii="仿宋" w:hAnsi="仿宋" w:eastAsia="仿宋"/>
          <w:b/>
          <w:color w:val="auto"/>
          <w:sz w:val="24"/>
        </w:rPr>
      </w:pPr>
    </w:p>
    <w:p w14:paraId="032C188C">
      <w:pPr>
        <w:spacing w:beforeLines="50" w:afterLines="50" w:line="400" w:lineRule="exact"/>
        <w:rPr>
          <w:rFonts w:hint="eastAsia" w:ascii="仿宋" w:hAnsi="仿宋" w:eastAsia="仿宋"/>
          <w:b/>
          <w:color w:val="auto"/>
          <w:sz w:val="24"/>
        </w:rPr>
      </w:pPr>
    </w:p>
    <w:p w14:paraId="0863B1FE">
      <w:pPr>
        <w:spacing w:beforeLines="50" w:afterLines="50" w:line="400" w:lineRule="exact"/>
        <w:rPr>
          <w:rFonts w:hint="eastAsia" w:ascii="仿宋" w:hAnsi="仿宋" w:eastAsia="仿宋"/>
          <w:b/>
          <w:color w:val="auto"/>
          <w:sz w:val="24"/>
        </w:rPr>
      </w:pPr>
    </w:p>
    <w:p w14:paraId="17FF0DFC">
      <w:pPr>
        <w:spacing w:beforeLines="50" w:afterLines="50" w:line="400" w:lineRule="exact"/>
        <w:rPr>
          <w:rFonts w:hint="eastAsia" w:ascii="仿宋" w:hAnsi="仿宋" w:eastAsia="仿宋"/>
          <w:b/>
          <w:color w:val="auto"/>
          <w:sz w:val="24"/>
        </w:rPr>
      </w:pPr>
    </w:p>
    <w:p w14:paraId="78900B09">
      <w:pPr>
        <w:spacing w:beforeLines="50" w:afterLines="50" w:line="400" w:lineRule="exact"/>
        <w:rPr>
          <w:rFonts w:hint="eastAsia" w:ascii="仿宋" w:hAnsi="仿宋" w:eastAsia="仿宋"/>
          <w:b/>
          <w:color w:val="auto"/>
          <w:sz w:val="24"/>
        </w:rPr>
      </w:pPr>
    </w:p>
    <w:p w14:paraId="0D39DF0F">
      <w:pPr>
        <w:spacing w:beforeLines="50" w:afterLines="50" w:line="400" w:lineRule="exact"/>
        <w:rPr>
          <w:rFonts w:hint="eastAsia" w:ascii="仿宋" w:hAnsi="仿宋" w:eastAsia="仿宋"/>
          <w:b/>
          <w:color w:val="auto"/>
          <w:sz w:val="24"/>
        </w:rPr>
      </w:pPr>
    </w:p>
    <w:p w14:paraId="3940E3F1">
      <w:pPr>
        <w:pStyle w:val="3"/>
        <w:keepNext w:val="0"/>
        <w:keepLines w:val="0"/>
        <w:jc w:val="center"/>
        <w:rPr>
          <w:rFonts w:hint="eastAsia" w:ascii="仿宋" w:hAnsi="仿宋" w:eastAsia="仿宋"/>
          <w:color w:val="auto"/>
        </w:rPr>
      </w:pPr>
      <w:r>
        <w:rPr>
          <w:rFonts w:ascii="仿宋" w:hAnsi="仿宋" w:eastAsia="仿宋"/>
          <w:color w:val="auto"/>
        </w:rPr>
        <w:br w:type="page"/>
      </w:r>
    </w:p>
    <w:p w14:paraId="0DDA7BDF">
      <w:pPr>
        <w:pStyle w:val="3"/>
        <w:keepNext w:val="0"/>
        <w:keepLines w:val="0"/>
        <w:jc w:val="center"/>
        <w:rPr>
          <w:rFonts w:hint="eastAsia" w:ascii="仿宋" w:hAnsi="仿宋" w:eastAsia="仿宋"/>
          <w:color w:val="auto"/>
        </w:rPr>
      </w:pPr>
    </w:p>
    <w:p w14:paraId="37AC82D9">
      <w:pPr>
        <w:pStyle w:val="3"/>
        <w:keepNext w:val="0"/>
        <w:keepLines w:val="0"/>
        <w:jc w:val="center"/>
        <w:rPr>
          <w:rFonts w:hint="eastAsia" w:ascii="仿宋" w:hAnsi="仿宋" w:eastAsia="仿宋"/>
          <w:color w:val="auto"/>
        </w:rPr>
      </w:pPr>
    </w:p>
    <w:p w14:paraId="114439FE">
      <w:pPr>
        <w:pStyle w:val="3"/>
        <w:keepNext w:val="0"/>
        <w:keepLines w:val="0"/>
        <w:jc w:val="center"/>
        <w:rPr>
          <w:rFonts w:hint="eastAsia" w:ascii="仿宋" w:hAnsi="仿宋" w:eastAsia="仿宋"/>
          <w:color w:val="auto"/>
        </w:rPr>
      </w:pPr>
    </w:p>
    <w:p w14:paraId="1C7D235C">
      <w:pPr>
        <w:pStyle w:val="3"/>
        <w:keepNext w:val="0"/>
        <w:keepLines w:val="0"/>
        <w:jc w:val="center"/>
        <w:rPr>
          <w:rFonts w:hint="eastAsia" w:ascii="仿宋" w:hAnsi="仿宋" w:eastAsia="仿宋"/>
          <w:color w:val="auto"/>
        </w:rPr>
      </w:pPr>
    </w:p>
    <w:p w14:paraId="059A45E7">
      <w:pPr>
        <w:pStyle w:val="2"/>
        <w:jc w:val="center"/>
        <w:rPr>
          <w:rFonts w:hint="eastAsia" w:ascii="仿宋" w:hAnsi="仿宋" w:eastAsia="仿宋"/>
          <w:color w:val="auto"/>
        </w:rPr>
      </w:pPr>
      <w:bookmarkStart w:id="146" w:name="_Toc74320804"/>
      <w:bookmarkStart w:id="147" w:name="_Toc6520"/>
      <w:r>
        <w:rPr>
          <w:rFonts w:hint="eastAsia" w:ascii="仿宋" w:hAnsi="仿宋" w:eastAsia="仿宋"/>
          <w:color w:val="auto"/>
        </w:rPr>
        <w:t>第五章  拟签订的合同文本</w:t>
      </w:r>
      <w:bookmarkEnd w:id="146"/>
      <w:bookmarkEnd w:id="147"/>
    </w:p>
    <w:p w14:paraId="02DCB79B">
      <w:pPr>
        <w:snapToGrid w:val="0"/>
        <w:jc w:val="center"/>
        <w:rPr>
          <w:rFonts w:hint="eastAsia" w:ascii="仿宋" w:hAnsi="仿宋" w:eastAsia="仿宋"/>
          <w:bCs/>
          <w:color w:val="auto"/>
          <w:sz w:val="32"/>
          <w:szCs w:val="32"/>
        </w:rPr>
      </w:pPr>
    </w:p>
    <w:p w14:paraId="737950A0">
      <w:pPr>
        <w:snapToGrid w:val="0"/>
        <w:jc w:val="center"/>
        <w:rPr>
          <w:rFonts w:hint="eastAsia" w:ascii="仿宋" w:hAnsi="仿宋" w:eastAsia="仿宋"/>
          <w:bCs/>
          <w:color w:val="auto"/>
          <w:sz w:val="32"/>
          <w:szCs w:val="32"/>
        </w:rPr>
      </w:pPr>
    </w:p>
    <w:p w14:paraId="5BC1CF99">
      <w:pPr>
        <w:snapToGrid w:val="0"/>
        <w:jc w:val="center"/>
        <w:rPr>
          <w:rFonts w:hint="eastAsia" w:ascii="仿宋" w:hAnsi="仿宋" w:eastAsia="仿宋"/>
          <w:bCs/>
          <w:color w:val="auto"/>
          <w:sz w:val="32"/>
          <w:szCs w:val="32"/>
        </w:rPr>
      </w:pPr>
    </w:p>
    <w:p w14:paraId="3865CA4E">
      <w:pPr>
        <w:snapToGrid w:val="0"/>
        <w:jc w:val="center"/>
        <w:rPr>
          <w:rFonts w:hint="eastAsia" w:ascii="仿宋" w:hAnsi="仿宋" w:eastAsia="仿宋"/>
          <w:bCs/>
          <w:color w:val="auto"/>
          <w:sz w:val="32"/>
          <w:szCs w:val="32"/>
        </w:rPr>
      </w:pPr>
    </w:p>
    <w:p w14:paraId="5BFAE159">
      <w:pPr>
        <w:snapToGrid w:val="0"/>
        <w:jc w:val="center"/>
        <w:rPr>
          <w:rFonts w:hint="eastAsia" w:ascii="仿宋" w:hAnsi="仿宋" w:eastAsia="仿宋"/>
          <w:bCs/>
          <w:color w:val="auto"/>
          <w:sz w:val="32"/>
          <w:szCs w:val="32"/>
        </w:rPr>
      </w:pPr>
    </w:p>
    <w:p w14:paraId="559AF6D3">
      <w:pPr>
        <w:snapToGrid w:val="0"/>
        <w:jc w:val="center"/>
        <w:rPr>
          <w:rFonts w:hint="eastAsia" w:ascii="仿宋" w:hAnsi="仿宋" w:eastAsia="仿宋"/>
          <w:bCs/>
          <w:color w:val="auto"/>
          <w:sz w:val="32"/>
          <w:szCs w:val="32"/>
        </w:rPr>
      </w:pPr>
    </w:p>
    <w:p w14:paraId="6A395A9E">
      <w:pPr>
        <w:snapToGrid w:val="0"/>
        <w:jc w:val="center"/>
        <w:rPr>
          <w:rFonts w:hint="eastAsia" w:ascii="仿宋" w:hAnsi="仿宋" w:eastAsia="仿宋"/>
          <w:bCs/>
          <w:color w:val="auto"/>
          <w:sz w:val="32"/>
          <w:szCs w:val="32"/>
        </w:rPr>
      </w:pPr>
    </w:p>
    <w:p w14:paraId="0D3E9092">
      <w:pPr>
        <w:snapToGrid w:val="0"/>
        <w:jc w:val="center"/>
        <w:rPr>
          <w:rFonts w:hint="eastAsia" w:ascii="仿宋" w:hAnsi="仿宋" w:eastAsia="仿宋"/>
          <w:bCs/>
          <w:color w:val="auto"/>
          <w:sz w:val="32"/>
          <w:szCs w:val="32"/>
        </w:rPr>
      </w:pPr>
    </w:p>
    <w:p w14:paraId="0935A7EB">
      <w:pPr>
        <w:snapToGrid w:val="0"/>
        <w:jc w:val="center"/>
        <w:rPr>
          <w:rFonts w:hint="eastAsia" w:ascii="仿宋" w:hAnsi="仿宋" w:eastAsia="仿宋"/>
          <w:bCs/>
          <w:color w:val="auto"/>
          <w:sz w:val="32"/>
          <w:szCs w:val="32"/>
        </w:rPr>
      </w:pPr>
    </w:p>
    <w:p w14:paraId="39929822">
      <w:pPr>
        <w:snapToGrid w:val="0"/>
        <w:jc w:val="center"/>
        <w:rPr>
          <w:rFonts w:hint="eastAsia" w:ascii="仿宋" w:hAnsi="仿宋" w:eastAsia="仿宋"/>
          <w:bCs/>
          <w:color w:val="auto"/>
          <w:sz w:val="32"/>
          <w:szCs w:val="32"/>
        </w:rPr>
      </w:pPr>
    </w:p>
    <w:p w14:paraId="11A0D58F">
      <w:pPr>
        <w:snapToGrid w:val="0"/>
        <w:jc w:val="center"/>
        <w:rPr>
          <w:rFonts w:hint="eastAsia" w:ascii="仿宋" w:hAnsi="仿宋" w:eastAsia="仿宋"/>
          <w:bCs/>
          <w:color w:val="auto"/>
          <w:sz w:val="32"/>
          <w:szCs w:val="32"/>
        </w:rPr>
      </w:pPr>
    </w:p>
    <w:p w14:paraId="1834E066">
      <w:pPr>
        <w:snapToGrid w:val="0"/>
        <w:jc w:val="center"/>
        <w:rPr>
          <w:rFonts w:hint="eastAsia" w:ascii="仿宋" w:hAnsi="仿宋" w:eastAsia="仿宋"/>
          <w:bCs/>
          <w:color w:val="auto"/>
          <w:sz w:val="32"/>
          <w:szCs w:val="32"/>
        </w:rPr>
      </w:pPr>
    </w:p>
    <w:p w14:paraId="4903D95E">
      <w:pPr>
        <w:snapToGrid w:val="0"/>
        <w:spacing w:line="360" w:lineRule="auto"/>
        <w:jc w:val="left"/>
        <w:rPr>
          <w:rFonts w:hint="eastAsia" w:ascii="宋体" w:hAnsi="宋体"/>
          <w:color w:val="auto"/>
          <w:szCs w:val="21"/>
        </w:rPr>
      </w:pPr>
      <w:r>
        <w:rPr>
          <w:rFonts w:ascii="仿宋" w:hAnsi="仿宋" w:eastAsia="仿宋"/>
          <w:bCs/>
          <w:color w:val="auto"/>
          <w:sz w:val="32"/>
          <w:szCs w:val="32"/>
        </w:rPr>
        <w:br w:type="page"/>
      </w:r>
    </w:p>
    <w:p w14:paraId="05766947">
      <w:pPr>
        <w:spacing w:line="360" w:lineRule="auto"/>
        <w:ind w:firstLine="440" w:firstLineChars="100"/>
        <w:jc w:val="center"/>
        <w:rPr>
          <w:rFonts w:hint="eastAsia" w:ascii="方正小标宋简体" w:hAnsi="方正小标宋简体" w:eastAsia="方正小标宋简体" w:cs="方正小标宋简体"/>
          <w:strike w:val="0"/>
          <w:dstrike w:val="0"/>
          <w:color w:val="auto"/>
          <w:sz w:val="44"/>
          <w:szCs w:val="44"/>
          <w:u w:val="none"/>
          <w:lang w:eastAsia="zh-CN"/>
        </w:rPr>
      </w:pPr>
      <w:r>
        <w:rPr>
          <w:rFonts w:hint="eastAsia" w:ascii="方正小标宋简体" w:hAnsi="方正小标宋简体" w:eastAsia="方正小标宋简体" w:cs="方正小标宋简体"/>
          <w:strike w:val="0"/>
          <w:dstrike w:val="0"/>
          <w:color w:val="auto"/>
          <w:sz w:val="44"/>
          <w:szCs w:val="44"/>
          <w:u w:val="none"/>
          <w:lang w:eastAsia="zh-CN"/>
        </w:rPr>
        <w:t>天峨县人民医院保洁、洗涤服务项目</w:t>
      </w:r>
      <w:r>
        <w:rPr>
          <w:rFonts w:hint="eastAsia" w:ascii="方正小标宋简体" w:hAnsi="方正小标宋简体" w:eastAsia="方正小标宋简体" w:cs="方正小标宋简体"/>
          <w:strike w:val="0"/>
          <w:dstrike w:val="0"/>
          <w:color w:val="auto"/>
          <w:sz w:val="44"/>
          <w:szCs w:val="44"/>
          <w:u w:val="none"/>
        </w:rPr>
        <w:t>项目</w:t>
      </w:r>
      <w:r>
        <w:rPr>
          <w:rFonts w:hint="eastAsia" w:ascii="方正小标宋简体" w:hAnsi="方正小标宋简体" w:eastAsia="方正小标宋简体" w:cs="方正小标宋简体"/>
          <w:strike w:val="0"/>
          <w:dstrike w:val="0"/>
          <w:color w:val="auto"/>
          <w:sz w:val="44"/>
          <w:szCs w:val="44"/>
          <w:u w:val="none"/>
          <w:lang w:eastAsia="zh-CN"/>
        </w:rPr>
        <w:t>合同</w:t>
      </w:r>
    </w:p>
    <w:p w14:paraId="2FAA2CC6">
      <w:pPr>
        <w:spacing w:line="360" w:lineRule="auto"/>
        <w:jc w:val="center"/>
        <w:rPr>
          <w:b/>
          <w:bCs/>
          <w:color w:val="auto"/>
          <w:sz w:val="32"/>
          <w:szCs w:val="32"/>
        </w:rPr>
      </w:pPr>
      <w:r>
        <w:rPr>
          <w:rFonts w:hint="eastAsia" w:cs="宋体"/>
          <w:b/>
          <w:bCs/>
          <w:color w:val="auto"/>
          <w:sz w:val="32"/>
          <w:szCs w:val="32"/>
        </w:rPr>
        <w:t>一、总则</w:t>
      </w:r>
    </w:p>
    <w:p w14:paraId="4D821B72">
      <w:pPr>
        <w:spacing w:line="360" w:lineRule="auto"/>
        <w:ind w:firstLine="422" w:firstLineChars="200"/>
        <w:rPr>
          <w:b/>
          <w:bCs/>
          <w:color w:val="auto"/>
        </w:rPr>
      </w:pPr>
      <w:r>
        <w:rPr>
          <w:rFonts w:hint="eastAsia" w:cs="宋体"/>
          <w:b/>
          <w:bCs/>
          <w:color w:val="auto"/>
        </w:rPr>
        <w:t>第一条，本合同当事人</w:t>
      </w:r>
    </w:p>
    <w:p w14:paraId="621F91BD">
      <w:pPr>
        <w:spacing w:line="360" w:lineRule="auto"/>
        <w:ind w:firstLine="420" w:firstLineChars="200"/>
        <w:rPr>
          <w:color w:val="auto"/>
        </w:rPr>
      </w:pPr>
      <w:r>
        <w:rPr>
          <w:rFonts w:hint="eastAsia" w:cs="宋体"/>
          <w:color w:val="auto"/>
        </w:rPr>
        <w:t>委托方：</w:t>
      </w:r>
      <w:r>
        <w:rPr>
          <w:rFonts w:hint="eastAsia" w:cs="宋体"/>
          <w:color w:val="auto"/>
          <w:u w:val="single"/>
        </w:rPr>
        <w:t>广西壮族自治区天峨县人民医院</w:t>
      </w:r>
      <w:r>
        <w:rPr>
          <w:rFonts w:hint="eastAsia" w:cs="宋体"/>
          <w:color w:val="auto"/>
        </w:rPr>
        <w:t>（以下简称甲方）</w:t>
      </w:r>
    </w:p>
    <w:p w14:paraId="08CCB508">
      <w:pPr>
        <w:spacing w:line="360" w:lineRule="auto"/>
        <w:ind w:firstLine="420" w:firstLineChars="200"/>
        <w:rPr>
          <w:rFonts w:hint="default" w:eastAsia="宋体"/>
          <w:color w:val="auto"/>
          <w:u w:val="single"/>
          <w:lang w:val="en-US" w:eastAsia="zh-CN"/>
        </w:rPr>
      </w:pPr>
      <w:r>
        <w:rPr>
          <w:rFonts w:hint="eastAsia" w:cs="宋体"/>
          <w:color w:val="auto"/>
        </w:rPr>
        <w:t>地址：</w:t>
      </w:r>
      <w:r>
        <w:rPr>
          <w:rFonts w:hint="eastAsia" w:cs="宋体"/>
          <w:color w:val="auto"/>
          <w:u w:val="single"/>
          <w:lang w:val="en-US" w:eastAsia="zh-CN"/>
        </w:rPr>
        <w:t xml:space="preserve">  广西壮族自治区天峨县新民街1号 </w:t>
      </w:r>
    </w:p>
    <w:p w14:paraId="05739489">
      <w:pPr>
        <w:spacing w:line="360" w:lineRule="auto"/>
        <w:ind w:firstLine="420" w:firstLineChars="200"/>
        <w:rPr>
          <w:color w:val="auto"/>
        </w:rPr>
      </w:pPr>
      <w:r>
        <w:rPr>
          <w:rFonts w:hint="eastAsia" w:cs="宋体"/>
          <w:color w:val="auto"/>
        </w:rPr>
        <w:t>法定代表人：</w:t>
      </w:r>
      <w:r>
        <w:rPr>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p>
    <w:p w14:paraId="3F444BB2">
      <w:pPr>
        <w:spacing w:line="360" w:lineRule="auto"/>
        <w:ind w:firstLine="420" w:firstLineChars="200"/>
        <w:rPr>
          <w:color w:val="auto"/>
        </w:rPr>
      </w:pPr>
      <w:r>
        <w:rPr>
          <w:rFonts w:hint="eastAsia" w:cs="宋体"/>
          <w:color w:val="auto"/>
        </w:rPr>
        <w:t>受托方：</w:t>
      </w:r>
      <w:r>
        <w:rPr>
          <w:rFonts w:hint="eastAsia" w:cs="宋体"/>
          <w:color w:val="auto"/>
          <w:u w:val="single"/>
        </w:rPr>
        <w:t xml:space="preserve"> </w:t>
      </w:r>
      <w:r>
        <w:rPr>
          <w:rFonts w:hint="eastAsia" w:cs="宋体"/>
          <w:color w:val="auto"/>
          <w:u w:val="single"/>
          <w:lang w:val="en-US" w:eastAsia="zh-CN"/>
        </w:rPr>
        <w:t xml:space="preserve">                          </w:t>
      </w:r>
      <w:r>
        <w:rPr>
          <w:rFonts w:hint="eastAsia" w:cs="宋体"/>
          <w:color w:val="auto"/>
          <w:u w:val="single"/>
        </w:rPr>
        <w:t xml:space="preserve">  </w:t>
      </w:r>
      <w:r>
        <w:rPr>
          <w:rFonts w:hint="eastAsia" w:cs="宋体"/>
          <w:color w:val="auto"/>
        </w:rPr>
        <w:t>（以下简称乙方）</w:t>
      </w:r>
    </w:p>
    <w:p w14:paraId="3EFDFC91">
      <w:pPr>
        <w:spacing w:line="360" w:lineRule="auto"/>
        <w:ind w:firstLine="420" w:firstLineChars="200"/>
        <w:rPr>
          <w:color w:val="auto"/>
          <w:u w:val="single"/>
        </w:rPr>
      </w:pPr>
      <w:r>
        <w:rPr>
          <w:rFonts w:hint="eastAsia" w:cs="宋体"/>
          <w:color w:val="auto"/>
        </w:rPr>
        <w:t xml:space="preserve">地址：  </w:t>
      </w:r>
      <w:r>
        <w:rPr>
          <w:color w:val="auto"/>
          <w:u w:val="single"/>
        </w:rPr>
        <w:t xml:space="preserve"> </w:t>
      </w:r>
      <w:r>
        <w:rPr>
          <w:rFonts w:hint="eastAsia"/>
          <w:color w:val="auto"/>
          <w:u w:val="single"/>
          <w:lang w:val="en-US" w:eastAsia="zh-CN"/>
        </w:rPr>
        <w:t xml:space="preserve">                           </w:t>
      </w:r>
      <w:r>
        <w:rPr>
          <w:color w:val="auto"/>
          <w:u w:val="single"/>
        </w:rPr>
        <w:t xml:space="preserve"> </w:t>
      </w:r>
    </w:p>
    <w:p w14:paraId="32A8058F">
      <w:pPr>
        <w:spacing w:line="360" w:lineRule="auto"/>
        <w:ind w:firstLine="420" w:firstLineChars="200"/>
        <w:rPr>
          <w:rFonts w:cs="宋体"/>
          <w:color w:val="auto"/>
        </w:rPr>
      </w:pPr>
      <w:r>
        <w:rPr>
          <w:rFonts w:hint="eastAsia" w:cs="宋体"/>
          <w:color w:val="auto"/>
        </w:rPr>
        <w:t>法定代表人：</w:t>
      </w:r>
      <w:r>
        <w:rPr>
          <w:color w:val="auto"/>
          <w:u w:val="single"/>
        </w:rPr>
        <w:t xml:space="preserve"> </w:t>
      </w:r>
      <w:r>
        <w:rPr>
          <w:rFonts w:hint="eastAsia"/>
          <w:color w:val="auto"/>
          <w:u w:val="single"/>
          <w:lang w:val="en-US" w:eastAsia="zh-CN"/>
        </w:rPr>
        <w:t xml:space="preserve">     </w:t>
      </w:r>
      <w:r>
        <w:rPr>
          <w:rFonts w:hint="eastAsia"/>
          <w:color w:val="auto"/>
          <w:u w:val="single"/>
        </w:rPr>
        <w:t xml:space="preserve">  </w:t>
      </w:r>
    </w:p>
    <w:p w14:paraId="58FFDFF8">
      <w:pPr>
        <w:spacing w:line="360" w:lineRule="auto"/>
        <w:ind w:firstLine="420" w:firstLineChars="200"/>
        <w:rPr>
          <w:rFonts w:hint="eastAsia" w:ascii="宋体" w:hAnsi="宋体" w:eastAsia="宋体"/>
          <w:color w:val="auto"/>
          <w:szCs w:val="21"/>
          <w:lang w:eastAsia="zh-CN"/>
        </w:rPr>
      </w:pPr>
      <w:r>
        <w:rPr>
          <w:rFonts w:hint="eastAsia" w:cs="宋体"/>
          <w:color w:val="auto"/>
        </w:rPr>
        <w:t>项目名称：</w:t>
      </w:r>
      <w:r>
        <w:rPr>
          <w:rFonts w:hint="eastAsia" w:ascii="宋体" w:hAnsi="宋体"/>
          <w:color w:val="auto"/>
          <w:szCs w:val="21"/>
          <w:u w:val="single"/>
          <w:lang w:eastAsia="zh-CN"/>
        </w:rPr>
        <w:t>天峨县人民医院保洁、洗涤服务项目</w:t>
      </w:r>
    </w:p>
    <w:p w14:paraId="0F3FD55D">
      <w:pPr>
        <w:spacing w:line="360" w:lineRule="auto"/>
        <w:ind w:firstLine="420" w:firstLineChars="200"/>
        <w:rPr>
          <w:color w:val="auto"/>
        </w:rPr>
      </w:pPr>
      <w:r>
        <w:rPr>
          <w:rFonts w:hint="eastAsia" w:cs="宋体"/>
          <w:color w:val="auto"/>
        </w:rPr>
        <w:t>根据《中华人民共和国政府采购法》、《中华人民共和国民法典》及有关法律、法规的规定，在自愿平等、协商一致的基础上，甲方将</w:t>
      </w:r>
      <w:r>
        <w:rPr>
          <w:rFonts w:hint="eastAsia" w:ascii="宋体" w:hAnsi="宋体"/>
          <w:color w:val="auto"/>
          <w:szCs w:val="21"/>
          <w:u w:val="single"/>
          <w:lang w:eastAsia="zh-CN"/>
        </w:rPr>
        <w:t>天峨县人民医院保洁、洗涤服务项目</w:t>
      </w:r>
      <w:r>
        <w:rPr>
          <w:rFonts w:hint="eastAsia" w:cs="宋体"/>
          <w:color w:val="auto"/>
        </w:rPr>
        <w:t>委托给乙方管理、服务，为明确双方的权利义务，特订立本合同，以供双方共同遵守。</w:t>
      </w:r>
    </w:p>
    <w:p w14:paraId="31D71F80">
      <w:pPr>
        <w:spacing w:line="360" w:lineRule="auto"/>
        <w:ind w:firstLine="422" w:firstLineChars="200"/>
        <w:rPr>
          <w:b/>
          <w:bCs/>
          <w:color w:val="auto"/>
        </w:rPr>
      </w:pPr>
      <w:r>
        <w:rPr>
          <w:rFonts w:hint="eastAsia" w:cs="宋体"/>
          <w:b/>
          <w:bCs/>
          <w:color w:val="auto"/>
        </w:rPr>
        <w:t>第二条，基本情况</w:t>
      </w:r>
    </w:p>
    <w:p w14:paraId="6CD553CD">
      <w:pPr>
        <w:spacing w:line="360" w:lineRule="auto"/>
        <w:ind w:firstLine="420" w:firstLineChars="200"/>
        <w:rPr>
          <w:rFonts w:ascii="Tahoma" w:hAnsi="Tahoma" w:cs="Tahoma"/>
          <w:color w:val="auto"/>
        </w:rPr>
      </w:pPr>
      <w:r>
        <w:rPr>
          <w:color w:val="auto"/>
        </w:rPr>
        <w:t>1</w:t>
      </w:r>
      <w:r>
        <w:rPr>
          <w:rFonts w:hint="eastAsia" w:cs="宋体"/>
          <w:color w:val="auto"/>
          <w:lang w:val="en-US" w:eastAsia="zh-CN"/>
        </w:rPr>
        <w:t>.</w:t>
      </w:r>
      <w:r>
        <w:rPr>
          <w:rFonts w:hint="eastAsia" w:cs="宋体"/>
          <w:color w:val="auto"/>
        </w:rPr>
        <w:t>天峨县人民医院是国家二级甲等医院，位于</w:t>
      </w:r>
      <w:r>
        <w:rPr>
          <w:rFonts w:hint="eastAsia" w:ascii="Tahoma" w:hAnsi="Tahoma" w:cs="宋体"/>
          <w:color w:val="auto"/>
        </w:rPr>
        <w:t>广西壮族自治区天峨县新民街</w:t>
      </w:r>
      <w:r>
        <w:rPr>
          <w:rFonts w:ascii="Tahoma" w:hAnsi="Tahoma" w:cs="Tahoma"/>
          <w:color w:val="auto"/>
        </w:rPr>
        <w:t>1</w:t>
      </w:r>
      <w:r>
        <w:rPr>
          <w:rFonts w:hint="eastAsia" w:ascii="Tahoma" w:hAnsi="Tahoma" w:cs="宋体"/>
          <w:color w:val="auto"/>
        </w:rPr>
        <w:t>号。</w:t>
      </w:r>
    </w:p>
    <w:p w14:paraId="69F0475A">
      <w:pPr>
        <w:spacing w:line="360" w:lineRule="auto"/>
        <w:ind w:firstLine="420" w:firstLineChars="200"/>
        <w:rPr>
          <w:color w:val="auto"/>
        </w:rPr>
      </w:pPr>
      <w:r>
        <w:rPr>
          <w:color w:val="auto"/>
        </w:rPr>
        <w:t>2</w:t>
      </w:r>
      <w:r>
        <w:rPr>
          <w:rFonts w:hint="eastAsia" w:cs="宋体"/>
          <w:color w:val="auto"/>
          <w:lang w:val="en-US" w:eastAsia="zh-CN"/>
        </w:rPr>
        <w:t>.</w:t>
      </w:r>
      <w:r>
        <w:rPr>
          <w:rFonts w:hint="eastAsia" w:cs="宋体"/>
          <w:color w:val="auto"/>
        </w:rPr>
        <w:t>人员管理要求和相关责任：</w:t>
      </w:r>
    </w:p>
    <w:p w14:paraId="3ED029B3">
      <w:pPr>
        <w:spacing w:line="360" w:lineRule="auto"/>
        <w:ind w:firstLine="420" w:firstLineChars="200"/>
        <w:rPr>
          <w:color w:val="auto"/>
        </w:rPr>
      </w:pPr>
      <w:r>
        <w:rPr>
          <w:rFonts w:hint="eastAsia" w:cs="宋体"/>
          <w:color w:val="auto"/>
        </w:rPr>
        <w:t>乙方派遣到甲方的工作人员应身体健康，必须符合国家规定的就业标准，并严格执行劳动法的各项规定。乙方派到甲方医院的全部工作人员的工资、社保、医保、福利、工伤等一切待遇均由乙方负责。医院与乙方员工无任何劳动关系及经济关联。</w:t>
      </w:r>
    </w:p>
    <w:p w14:paraId="4A48A586">
      <w:pPr>
        <w:spacing w:line="360" w:lineRule="auto"/>
        <w:ind w:firstLine="422" w:firstLineChars="200"/>
        <w:rPr>
          <w:b/>
          <w:bCs/>
          <w:color w:val="auto"/>
        </w:rPr>
      </w:pPr>
      <w:r>
        <w:rPr>
          <w:rFonts w:hint="eastAsia" w:cs="宋体"/>
          <w:b/>
          <w:bCs/>
          <w:color w:val="auto"/>
        </w:rPr>
        <w:t>第三条、技术要求及规范</w:t>
      </w:r>
    </w:p>
    <w:p w14:paraId="4FA9F33B">
      <w:pPr>
        <w:spacing w:line="360" w:lineRule="auto"/>
        <w:ind w:firstLine="420" w:firstLineChars="200"/>
        <w:rPr>
          <w:color w:val="auto"/>
        </w:rPr>
      </w:pPr>
      <w:r>
        <w:rPr>
          <w:color w:val="auto"/>
        </w:rPr>
        <w:t>1</w:t>
      </w:r>
      <w:r>
        <w:rPr>
          <w:rFonts w:hint="eastAsia" w:cs="宋体"/>
          <w:color w:val="auto"/>
          <w:lang w:val="en-US" w:eastAsia="zh-CN"/>
        </w:rPr>
        <w:t>.</w:t>
      </w:r>
      <w:r>
        <w:rPr>
          <w:rFonts w:hint="eastAsia" w:cs="宋体"/>
          <w:color w:val="auto"/>
        </w:rPr>
        <w:t>乙方服务技术要求符合甲方在招标文件里面的相关规定。</w:t>
      </w:r>
    </w:p>
    <w:p w14:paraId="0EBCAC8A">
      <w:pPr>
        <w:spacing w:line="360" w:lineRule="auto"/>
        <w:ind w:firstLine="420" w:firstLineChars="200"/>
        <w:rPr>
          <w:color w:val="auto"/>
        </w:rPr>
      </w:pPr>
      <w:r>
        <w:rPr>
          <w:color w:val="auto"/>
        </w:rPr>
        <w:t>2</w:t>
      </w:r>
      <w:r>
        <w:rPr>
          <w:rFonts w:hint="eastAsia" w:cs="宋体"/>
          <w:color w:val="auto"/>
          <w:lang w:val="en-US" w:eastAsia="zh-CN"/>
        </w:rPr>
        <w:t>.</w:t>
      </w:r>
      <w:r>
        <w:rPr>
          <w:rFonts w:hint="eastAsia" w:cs="宋体"/>
          <w:color w:val="auto"/>
        </w:rPr>
        <w:t>有关技术标准及规范等应符合下列最新版本的国家标准／规范要求（不限于）。</w:t>
      </w:r>
    </w:p>
    <w:p w14:paraId="2B2DC42A">
      <w:pPr>
        <w:spacing w:line="360" w:lineRule="auto"/>
        <w:ind w:firstLine="420" w:firstLineChars="200"/>
        <w:rPr>
          <w:color w:val="auto"/>
        </w:rPr>
      </w:pPr>
      <w:r>
        <w:rPr>
          <w:rFonts w:hint="eastAsia" w:cs="宋体"/>
          <w:color w:val="auto"/>
        </w:rPr>
        <w:t>《医院消毒技术规范》（</w:t>
      </w:r>
      <w:r>
        <w:rPr>
          <w:color w:val="auto"/>
        </w:rPr>
        <w:t>2012</w:t>
      </w:r>
      <w:r>
        <w:rPr>
          <w:rFonts w:hint="eastAsia" w:cs="宋体"/>
          <w:color w:val="auto"/>
        </w:rPr>
        <w:t>版）</w:t>
      </w:r>
    </w:p>
    <w:p w14:paraId="68982020">
      <w:pPr>
        <w:spacing w:line="360" w:lineRule="auto"/>
        <w:ind w:firstLine="420" w:firstLineChars="200"/>
        <w:rPr>
          <w:color w:val="auto"/>
        </w:rPr>
      </w:pPr>
      <w:r>
        <w:rPr>
          <w:rFonts w:hint="eastAsia" w:cs="宋体"/>
          <w:color w:val="auto"/>
        </w:rPr>
        <w:t>《医院清毒卫生标准》</w:t>
      </w:r>
      <w:r>
        <w:rPr>
          <w:color w:val="auto"/>
        </w:rPr>
        <w:t>GB15982</w:t>
      </w:r>
      <w:r>
        <w:rPr>
          <w:rFonts w:hint="eastAsia" w:cs="宋体"/>
          <w:color w:val="auto"/>
        </w:rPr>
        <w:t>－</w:t>
      </w:r>
      <w:r>
        <w:rPr>
          <w:color w:val="auto"/>
        </w:rPr>
        <w:t>2012</w:t>
      </w:r>
    </w:p>
    <w:p w14:paraId="00D89BD7">
      <w:pPr>
        <w:spacing w:line="360" w:lineRule="auto"/>
        <w:ind w:firstLine="420" w:firstLineChars="200"/>
        <w:rPr>
          <w:color w:val="auto"/>
        </w:rPr>
      </w:pPr>
      <w:r>
        <w:rPr>
          <w:rFonts w:hint="eastAsia" w:cs="宋体"/>
          <w:color w:val="auto"/>
        </w:rPr>
        <w:t>《污水排放标准》</w:t>
      </w:r>
    </w:p>
    <w:p w14:paraId="5124F40B">
      <w:pPr>
        <w:spacing w:line="360" w:lineRule="auto"/>
        <w:ind w:firstLine="420" w:firstLineChars="200"/>
        <w:rPr>
          <w:color w:val="auto"/>
        </w:rPr>
      </w:pPr>
      <w:r>
        <w:rPr>
          <w:rFonts w:hint="eastAsia" w:cs="宋体"/>
          <w:color w:val="auto"/>
        </w:rPr>
        <w:t>《医院感染管理规范（试行）》</w:t>
      </w:r>
    </w:p>
    <w:p w14:paraId="57A3B653">
      <w:pPr>
        <w:spacing w:line="360" w:lineRule="auto"/>
        <w:ind w:firstLine="420" w:firstLineChars="200"/>
        <w:rPr>
          <w:color w:val="auto"/>
        </w:rPr>
      </w:pPr>
      <w:r>
        <w:rPr>
          <w:rFonts w:hint="eastAsia" w:cs="宋体"/>
          <w:color w:val="auto"/>
        </w:rPr>
        <w:t>《医疗废物管理条例》</w:t>
      </w:r>
      <w:r>
        <w:rPr>
          <w:color w:val="auto"/>
        </w:rPr>
        <w:br w:type="page"/>
      </w:r>
    </w:p>
    <w:p w14:paraId="305138C4">
      <w:pPr>
        <w:jc w:val="center"/>
        <w:rPr>
          <w:b/>
          <w:bCs/>
          <w:color w:val="auto"/>
          <w:sz w:val="32"/>
          <w:szCs w:val="32"/>
        </w:rPr>
      </w:pPr>
      <w:r>
        <w:rPr>
          <w:rFonts w:hint="eastAsia" w:cs="宋体"/>
          <w:b/>
          <w:bCs/>
          <w:color w:val="auto"/>
          <w:sz w:val="32"/>
          <w:szCs w:val="32"/>
        </w:rPr>
        <w:t>二、服务事项及其要求</w:t>
      </w:r>
    </w:p>
    <w:p w14:paraId="0CFB37A9">
      <w:pPr>
        <w:spacing w:line="360" w:lineRule="auto"/>
        <w:ind w:firstLine="422" w:firstLineChars="200"/>
        <w:rPr>
          <w:b/>
          <w:bCs/>
          <w:color w:val="auto"/>
        </w:rPr>
      </w:pPr>
      <w:r>
        <w:rPr>
          <w:rFonts w:hint="eastAsia" w:cs="宋体"/>
          <w:b/>
          <w:bCs/>
          <w:color w:val="auto"/>
        </w:rPr>
        <w:t>第四条、服务内容及范围</w:t>
      </w:r>
    </w:p>
    <w:p w14:paraId="63D959AB">
      <w:pPr>
        <w:spacing w:line="360" w:lineRule="auto"/>
        <w:ind w:firstLine="420" w:firstLineChars="200"/>
        <w:rPr>
          <w:rFonts w:ascii="仿宋" w:hAnsi="仿宋" w:eastAsia="仿宋" w:cs="仿宋"/>
          <w:color w:val="auto"/>
          <w:sz w:val="27"/>
          <w:szCs w:val="27"/>
        </w:rPr>
      </w:pPr>
      <w:r>
        <w:rPr>
          <w:rFonts w:hint="eastAsia" w:ascii="宋体" w:hAnsi="宋体" w:cs="宋体"/>
          <w:color w:val="auto"/>
          <w:szCs w:val="21"/>
        </w:rPr>
        <w:t>根据天峨县人民医院各科室的特点，对服务区域内提供合理时段的室内外清洁服务，每天卫生符合保洁要求，包括大楼内的楼梯、大厅、走廊、屋顶天台、吊顶、平台、雨棚、电梯厅、电梯间、病区、卫生间、茶水间、花盆、会议室、接待室、办公区域、公共活动场所的台（地）面、明沟、墙面、门、窗、灯具、果壳箱等设施和器皿等所有公共部位设施，以及垃圾、废弃物清理和院规划范围内的所有环境卫生保洁。使其有一个整洁、舒适、安静、安全的就医环境。</w:t>
      </w:r>
      <w:r>
        <w:rPr>
          <w:rFonts w:hint="eastAsia" w:ascii="宋体" w:hAnsi="宋体"/>
          <w:color w:val="auto"/>
          <w:szCs w:val="21"/>
        </w:rPr>
        <w:t>保洁、洗涤服务项目（</w:t>
      </w:r>
      <w:r>
        <w:rPr>
          <w:rFonts w:hint="eastAsia" w:ascii="宋体" w:hAnsi="宋体"/>
          <w:color w:val="auto"/>
          <w:szCs w:val="21"/>
          <w:lang w:val="en-US" w:eastAsia="zh-CN"/>
        </w:rPr>
        <w:t>2</w:t>
      </w:r>
      <w:r>
        <w:rPr>
          <w:rFonts w:hint="eastAsia" w:ascii="宋体" w:hAnsi="宋体"/>
          <w:color w:val="auto"/>
          <w:szCs w:val="21"/>
        </w:rPr>
        <w:t>年服务），具体内容详见采购文件</w:t>
      </w:r>
      <w:r>
        <w:rPr>
          <w:rFonts w:ascii="仿宋" w:hAnsi="仿宋" w:eastAsia="仿宋" w:cs="仿宋"/>
          <w:color w:val="auto"/>
          <w:sz w:val="27"/>
          <w:szCs w:val="27"/>
        </w:rPr>
        <w:t>。</w:t>
      </w:r>
    </w:p>
    <w:p w14:paraId="76AFBA2B">
      <w:pPr>
        <w:spacing w:line="360" w:lineRule="auto"/>
        <w:ind w:firstLine="422" w:firstLineChars="200"/>
        <w:rPr>
          <w:b/>
          <w:bCs/>
          <w:color w:val="auto"/>
        </w:rPr>
      </w:pPr>
      <w:r>
        <w:rPr>
          <w:rFonts w:hint="eastAsia" w:cs="宋体"/>
          <w:b/>
          <w:bCs/>
          <w:color w:val="auto"/>
        </w:rPr>
        <w:t>第五、保洁服务具体内容及标准</w:t>
      </w:r>
    </w:p>
    <w:p w14:paraId="1165B8A3">
      <w:pPr>
        <w:spacing w:line="360" w:lineRule="auto"/>
        <w:ind w:firstLine="422" w:firstLineChars="200"/>
        <w:rPr>
          <w:b/>
          <w:bCs/>
          <w:color w:val="auto"/>
        </w:rPr>
      </w:pPr>
      <w:r>
        <w:rPr>
          <w:rFonts w:hint="eastAsia" w:cs="宋体"/>
          <w:b/>
          <w:bCs/>
          <w:color w:val="auto"/>
        </w:rPr>
        <w:t>一、保洁要求</w:t>
      </w:r>
    </w:p>
    <w:p w14:paraId="57D59EFB">
      <w:pPr>
        <w:spacing w:line="360" w:lineRule="auto"/>
        <w:ind w:firstLine="420" w:firstLineChars="200"/>
        <w:rPr>
          <w:color w:val="auto"/>
        </w:rPr>
      </w:pPr>
      <w:r>
        <w:rPr>
          <w:rFonts w:hint="eastAsia" w:cs="宋体"/>
          <w:color w:val="auto"/>
        </w:rPr>
        <w:t>乙方应</w:t>
      </w:r>
      <w:r>
        <w:rPr>
          <w:rFonts w:hint="eastAsia" w:ascii="宋体" w:hAnsi="宋体" w:cs="宋体"/>
          <w:color w:val="auto"/>
          <w:szCs w:val="21"/>
        </w:rPr>
        <w:t>根据天峨县人民医院各科室的特点，对服务区域内提供合理时段的室内外清洁服务，每天卫生符合保洁要求，包括大楼内的楼梯、大厅、走廊、屋顶天台、吊顶、平台、雨棚、电梯厅、电梯间、病区、卫生间、茶水间、花盆、会议室、接待室、办公区域、公共活动场所的台（地）面、明沟、墙面、门、窗、灯具、果壳箱等设施和器皿等所有公共部位设施，以及垃圾、废弃物清理和院规划范围内的所有环境卫生保洁。使其有一个整洁、舒适、安静、安全的就医环境。</w:t>
      </w:r>
    </w:p>
    <w:p w14:paraId="31AF6E1C">
      <w:pPr>
        <w:spacing w:line="360" w:lineRule="auto"/>
        <w:ind w:firstLine="211" w:firstLineChars="100"/>
        <w:rPr>
          <w:color w:val="auto"/>
        </w:rPr>
      </w:pPr>
      <w:r>
        <w:rPr>
          <w:rFonts w:hint="eastAsia" w:cs="宋体"/>
          <w:b/>
          <w:bCs/>
          <w:color w:val="auto"/>
        </w:rPr>
        <w:t>二、保洁服务工作内容</w:t>
      </w:r>
    </w:p>
    <w:p w14:paraId="67E8279E">
      <w:pPr>
        <w:ind w:firstLine="420" w:firstLineChars="200"/>
        <w:rPr>
          <w:rFonts w:ascii="宋体" w:hAnsi="宋体" w:cs="宋体"/>
          <w:color w:val="auto"/>
          <w:szCs w:val="21"/>
        </w:rPr>
      </w:pPr>
      <w:r>
        <w:rPr>
          <w:rFonts w:hint="eastAsia" w:ascii="宋体" w:hAnsi="宋体" w:cs="宋体"/>
          <w:color w:val="auto"/>
          <w:szCs w:val="21"/>
        </w:rPr>
        <w:t>1.公共区域日常服务内容：地面、楼梯、扶手、踢脚线、门窗玻璃、门及门窗框、纱门、纱窗、玻璃幕墙及有关附体，沙发、桌子、各类宣传牌、橱窗及有关附件，天花板、栏杆消防楼梯区域等，及时清除各种垃圾等杂物，无积灰、印迹、污渍。PVC地面定期进行抛光、喷磨、刷洗、补蜡、全面保养打蜡，石材地面定期晶面处理及保养。</w:t>
      </w:r>
    </w:p>
    <w:p w14:paraId="4F984EE8">
      <w:pPr>
        <w:ind w:firstLine="420" w:firstLineChars="200"/>
        <w:rPr>
          <w:rFonts w:ascii="宋体" w:hAnsi="宋体" w:cs="宋体"/>
          <w:color w:val="auto"/>
          <w:szCs w:val="21"/>
        </w:rPr>
      </w:pPr>
      <w:r>
        <w:rPr>
          <w:rFonts w:hint="eastAsia" w:ascii="宋体" w:hAnsi="宋体" w:cs="宋体"/>
          <w:color w:val="auto"/>
          <w:szCs w:val="21"/>
        </w:rPr>
        <w:t>2.办公区域、会议室等特定区域保洁服务内容：地面、楼梯、扶手、踢脚线、大厅石材墙面、天花板、门窗玻璃、门及门窗、纱门、纱窗、墙壁附体、灯具、音响、垃圾桶等公用设施表面，电梯及卫生间，办公室内储衣柜和桌椅表面等严格按要求做好清洁、清运工作，无积灰、印迹、污渍。桌面简单整理等，随时保持清洁；石材、灯具每季度进行一次清洁，石材地面定期晶面处理及保养。负责行政区域各办公室、会议室的开水供应。</w:t>
      </w:r>
    </w:p>
    <w:p w14:paraId="571D3413">
      <w:pPr>
        <w:ind w:firstLine="420" w:firstLineChars="200"/>
        <w:rPr>
          <w:rFonts w:ascii="宋体" w:hAnsi="宋体" w:cs="宋体"/>
          <w:color w:val="auto"/>
          <w:szCs w:val="21"/>
        </w:rPr>
      </w:pPr>
      <w:r>
        <w:rPr>
          <w:rFonts w:hint="eastAsia" w:ascii="宋体" w:hAnsi="宋体" w:cs="宋体"/>
          <w:color w:val="auto"/>
          <w:szCs w:val="21"/>
        </w:rPr>
        <w:t>3.负责病区内的清洁卫生，包括内墙、玻璃、高处灯具、通风口、地面、室内家具、楼梯、扶手、踢脚线、走廊、通道、窗户、门、纱门、纱窗、桌、椅、床、柜、宣传栏、洗手间、公共通道等。</w:t>
      </w:r>
    </w:p>
    <w:p w14:paraId="2E2EA50B">
      <w:pPr>
        <w:ind w:firstLine="420" w:firstLineChars="200"/>
        <w:rPr>
          <w:rFonts w:ascii="宋体" w:hAnsi="宋体" w:cs="宋体"/>
          <w:color w:val="auto"/>
          <w:szCs w:val="21"/>
        </w:rPr>
      </w:pPr>
      <w:r>
        <w:rPr>
          <w:rFonts w:hint="eastAsia" w:ascii="宋体" w:hAnsi="宋体" w:cs="宋体"/>
          <w:color w:val="auto"/>
          <w:szCs w:val="21"/>
        </w:rPr>
        <w:t>4.顶篷等边缘区域服务内容：屋顶屋面、沟槽、地面、雨篷及边角区域，各种附体的表面清洁，不积水、不留杂物，排水通畅。</w:t>
      </w:r>
    </w:p>
    <w:p w14:paraId="3955BCDF">
      <w:pPr>
        <w:ind w:firstLine="420" w:firstLineChars="200"/>
        <w:rPr>
          <w:rFonts w:ascii="宋体" w:hAnsi="宋体" w:cs="宋体"/>
          <w:color w:val="auto"/>
          <w:szCs w:val="21"/>
        </w:rPr>
      </w:pPr>
      <w:r>
        <w:rPr>
          <w:rFonts w:hint="eastAsia" w:ascii="宋体" w:hAnsi="宋体" w:cs="宋体"/>
          <w:color w:val="auto"/>
          <w:szCs w:val="21"/>
        </w:rPr>
        <w:t>5.物资、设施服务内容：全院区域内的自助挂号机、自助查询机等；一般机器表面清洁（除医疗物资及医院特殊规定的物资除外），空调风口及室内机外壳洗尘与保洁。</w:t>
      </w:r>
    </w:p>
    <w:p w14:paraId="0FAEA60B">
      <w:pPr>
        <w:ind w:firstLine="420" w:firstLineChars="200"/>
        <w:rPr>
          <w:rFonts w:ascii="宋体" w:hAnsi="宋体" w:cs="宋体"/>
          <w:color w:val="auto"/>
          <w:szCs w:val="21"/>
        </w:rPr>
      </w:pPr>
      <w:r>
        <w:rPr>
          <w:rFonts w:hint="eastAsia" w:ascii="宋体" w:hAnsi="宋体" w:cs="宋体"/>
          <w:color w:val="auto"/>
          <w:szCs w:val="21"/>
        </w:rPr>
        <w:t>6.窗帘、床帘服务内容：保持窗帘、床帘表面清洁，普通窗帘、床帘根据窗帘、床帘清洁情况及时报告总务科。</w:t>
      </w:r>
    </w:p>
    <w:p w14:paraId="602C0FE7">
      <w:pPr>
        <w:ind w:firstLine="420" w:firstLineChars="200"/>
        <w:rPr>
          <w:rFonts w:ascii="宋体" w:hAnsi="宋体" w:cs="宋体"/>
          <w:color w:val="auto"/>
          <w:szCs w:val="21"/>
        </w:rPr>
      </w:pPr>
      <w:r>
        <w:rPr>
          <w:rFonts w:hint="eastAsia" w:ascii="宋体" w:hAnsi="宋体" w:cs="宋体"/>
          <w:color w:val="auto"/>
          <w:szCs w:val="21"/>
        </w:rPr>
        <w:t>7.不锈钢保洁服务内容：包括所有不锈钢制品、设施、物资、除有明确规定的保洁要求外，至少每二个月用不锈钢油保养一次，亚光不锈钢表面无污渍、无灰尘，镜面不锈钢表面光亮。</w:t>
      </w:r>
    </w:p>
    <w:p w14:paraId="4DD80EBA">
      <w:pPr>
        <w:ind w:firstLine="420" w:firstLineChars="200"/>
        <w:rPr>
          <w:rFonts w:ascii="宋体" w:hAnsi="宋体" w:cs="宋体"/>
          <w:color w:val="auto"/>
          <w:szCs w:val="21"/>
        </w:rPr>
      </w:pPr>
      <w:r>
        <w:rPr>
          <w:rFonts w:hint="eastAsia" w:ascii="宋体" w:hAnsi="宋体" w:cs="宋体"/>
          <w:color w:val="auto"/>
          <w:szCs w:val="21"/>
        </w:rPr>
        <w:t>8.生活垃圾收集、清运服务：符合相关规定的要求，做到生活垃圾储运规范，专职员工每天2次及时收集垃圾，使用专用标识垃圾袋，使用污物电梯运送，绝对禁止使用客梯。转运站工具摆放整齐，垃圾存量不超过三分之二，且做到日产日清，定期清洗，无明显积水，无蚊蝇飞舞。垃圾清运工具应保持清洁无破损，收集、清运过程中不得产生二次污染，各类垃圾运到规定的地方，再将垃圾运到垃圾转运站。</w:t>
      </w:r>
    </w:p>
    <w:p w14:paraId="29F15237">
      <w:pPr>
        <w:ind w:firstLine="420" w:firstLineChars="200"/>
        <w:rPr>
          <w:rFonts w:ascii="宋体" w:hAnsi="宋体" w:cs="宋体"/>
          <w:color w:val="auto"/>
          <w:szCs w:val="21"/>
        </w:rPr>
      </w:pPr>
      <w:r>
        <w:rPr>
          <w:rFonts w:hint="eastAsia" w:ascii="宋体" w:hAnsi="宋体" w:cs="宋体"/>
          <w:color w:val="auto"/>
          <w:szCs w:val="21"/>
        </w:rPr>
        <w:t>9.为了符合医院院感的要求，用于物表、地表清洁、消毒的毛巾、地巾、拖把等所有保洁用具实行集中清洗、集中消毒，集中发放，并符合相关技术规范的要求，由医院提供集中清洗的场地和水电，保洁服务公司提供清洗消毒物资、烘干物资、人员及相关耗材，同时保洁服务公司必须提供充足保洁用具，确保周转，保洁服务公司尚需满足以下要求：</w:t>
      </w:r>
    </w:p>
    <w:p w14:paraId="4671B05C">
      <w:pPr>
        <w:ind w:firstLine="420" w:firstLineChars="200"/>
        <w:rPr>
          <w:rFonts w:ascii="宋体" w:hAnsi="宋体" w:cs="宋体"/>
          <w:color w:val="auto"/>
          <w:szCs w:val="21"/>
        </w:rPr>
      </w:pPr>
      <w:r>
        <w:rPr>
          <w:rFonts w:hint="eastAsia" w:ascii="宋体" w:hAnsi="宋体" w:cs="宋体"/>
          <w:color w:val="auto"/>
          <w:szCs w:val="21"/>
        </w:rPr>
        <w:t>（1）设立不同的洗涤、储存、浸泡、晾干、收发、消毒功能区域：</w:t>
      </w:r>
    </w:p>
    <w:p w14:paraId="756EC907">
      <w:pPr>
        <w:ind w:firstLine="420" w:firstLineChars="200"/>
        <w:rPr>
          <w:rFonts w:ascii="宋体" w:hAnsi="宋体" w:cs="宋体"/>
          <w:color w:val="auto"/>
          <w:szCs w:val="21"/>
        </w:rPr>
      </w:pPr>
      <w:r>
        <w:rPr>
          <w:rFonts w:hint="eastAsia" w:ascii="宋体" w:hAnsi="宋体" w:cs="宋体"/>
          <w:color w:val="auto"/>
          <w:szCs w:val="21"/>
        </w:rPr>
        <w:t>（2）为防止交叉感染，对不同区域的清洁工具按医院院感要求实行严格分类摆放和使用，用颜色、字标等方式进行区分</w:t>
      </w:r>
    </w:p>
    <w:p w14:paraId="481F83F1">
      <w:pPr>
        <w:ind w:firstLine="420" w:firstLineChars="200"/>
        <w:rPr>
          <w:rFonts w:ascii="宋体" w:hAnsi="宋体" w:cs="宋体"/>
          <w:color w:val="auto"/>
          <w:szCs w:val="21"/>
        </w:rPr>
      </w:pPr>
      <w:r>
        <w:rPr>
          <w:rFonts w:hint="eastAsia" w:ascii="宋体" w:hAnsi="宋体" w:cs="宋体"/>
          <w:color w:val="auto"/>
          <w:szCs w:val="21"/>
        </w:rPr>
        <w:t>（3）配置专职洗涤人员；</w:t>
      </w:r>
    </w:p>
    <w:p w14:paraId="29C378EA">
      <w:pPr>
        <w:ind w:firstLine="420" w:firstLineChars="200"/>
        <w:rPr>
          <w:rFonts w:ascii="宋体" w:hAnsi="宋体" w:cs="宋体"/>
          <w:color w:val="auto"/>
          <w:szCs w:val="21"/>
        </w:rPr>
      </w:pPr>
      <w:r>
        <w:rPr>
          <w:rFonts w:hint="eastAsia" w:ascii="宋体" w:hAnsi="宋体" w:cs="宋体"/>
          <w:color w:val="auto"/>
          <w:szCs w:val="21"/>
        </w:rPr>
        <w:t>（4）制定集中清洗消毒工作流程；</w:t>
      </w:r>
    </w:p>
    <w:p w14:paraId="123004DE">
      <w:pPr>
        <w:ind w:firstLine="422" w:firstLineChars="200"/>
        <w:rPr>
          <w:rFonts w:ascii="宋体" w:hAnsi="宋体" w:cs="宋体"/>
          <w:b/>
          <w:bCs/>
          <w:color w:val="auto"/>
          <w:szCs w:val="21"/>
        </w:rPr>
      </w:pPr>
      <w:r>
        <w:rPr>
          <w:rFonts w:hint="eastAsia" w:ascii="宋体" w:hAnsi="宋体" w:cs="宋体"/>
          <w:b/>
          <w:bCs/>
          <w:color w:val="auto"/>
          <w:szCs w:val="21"/>
        </w:rPr>
        <w:t>三、保洁服务标准</w:t>
      </w:r>
    </w:p>
    <w:p w14:paraId="3D19D8A7">
      <w:pPr>
        <w:ind w:firstLine="420" w:firstLineChars="200"/>
        <w:rPr>
          <w:rFonts w:ascii="宋体" w:hAnsi="宋体" w:cs="宋体"/>
          <w:color w:val="auto"/>
          <w:szCs w:val="21"/>
        </w:rPr>
      </w:pPr>
      <w:r>
        <w:rPr>
          <w:rFonts w:hint="eastAsia" w:ascii="宋体" w:hAnsi="宋体" w:cs="宋体"/>
          <w:color w:val="auto"/>
          <w:szCs w:val="21"/>
        </w:rPr>
        <w:t>1.保洁服务总体要求：</w:t>
      </w:r>
    </w:p>
    <w:p w14:paraId="60C69EFD">
      <w:pPr>
        <w:ind w:firstLine="420" w:firstLineChars="200"/>
        <w:rPr>
          <w:rFonts w:ascii="宋体" w:hAnsi="宋体" w:cs="宋体"/>
          <w:color w:val="auto"/>
          <w:szCs w:val="21"/>
        </w:rPr>
      </w:pPr>
      <w:r>
        <w:rPr>
          <w:rFonts w:hint="eastAsia" w:ascii="宋体" w:hAnsi="宋体" w:cs="宋体"/>
          <w:color w:val="auto"/>
          <w:szCs w:val="21"/>
        </w:rPr>
        <w:t>（1）负责服务范围内环境清洁卫生</w:t>
      </w:r>
    </w:p>
    <w:p w14:paraId="0E02892A">
      <w:pPr>
        <w:ind w:firstLine="420" w:firstLineChars="200"/>
        <w:rPr>
          <w:rFonts w:ascii="宋体" w:hAnsi="宋体" w:cs="宋体"/>
          <w:color w:val="auto"/>
          <w:szCs w:val="21"/>
        </w:rPr>
      </w:pPr>
      <w:r>
        <w:rPr>
          <w:rFonts w:hint="eastAsia" w:ascii="宋体" w:hAnsi="宋体" w:cs="宋体"/>
          <w:color w:val="auto"/>
          <w:szCs w:val="21"/>
        </w:rPr>
        <w:t>（2）及时收集垃圾，并送到院内指定地点</w:t>
      </w:r>
    </w:p>
    <w:p w14:paraId="13656C21">
      <w:pPr>
        <w:ind w:firstLine="420" w:firstLineChars="200"/>
        <w:rPr>
          <w:rFonts w:ascii="宋体" w:hAnsi="宋体" w:cs="宋体"/>
          <w:color w:val="auto"/>
          <w:szCs w:val="21"/>
        </w:rPr>
      </w:pPr>
      <w:r>
        <w:rPr>
          <w:rFonts w:hint="eastAsia" w:ascii="宋体" w:hAnsi="宋体" w:cs="宋体"/>
          <w:color w:val="auto"/>
          <w:szCs w:val="21"/>
        </w:rPr>
        <w:t>（3）按时（每天至少1次）巡视，每层要做到干净、整洁、无蜘蛛丝，无异味</w:t>
      </w:r>
    </w:p>
    <w:p w14:paraId="14CE4300">
      <w:pPr>
        <w:ind w:firstLine="420" w:firstLineChars="200"/>
        <w:rPr>
          <w:rFonts w:ascii="宋体" w:hAnsi="宋体" w:cs="宋体"/>
          <w:color w:val="auto"/>
          <w:szCs w:val="21"/>
        </w:rPr>
      </w:pPr>
      <w:r>
        <w:rPr>
          <w:rFonts w:hint="eastAsia" w:ascii="宋体" w:hAnsi="宋体" w:cs="宋体"/>
          <w:color w:val="auto"/>
          <w:szCs w:val="21"/>
        </w:rPr>
        <w:t>（4）为避免尘土飞扬，按地面清洁标准，规范方法进行处理</w:t>
      </w:r>
    </w:p>
    <w:p w14:paraId="02DB403E">
      <w:pPr>
        <w:ind w:firstLine="420" w:firstLineChars="200"/>
        <w:rPr>
          <w:rFonts w:ascii="宋体" w:hAnsi="宋体" w:cs="宋体"/>
          <w:color w:val="auto"/>
          <w:szCs w:val="21"/>
        </w:rPr>
      </w:pPr>
      <w:r>
        <w:rPr>
          <w:rFonts w:hint="eastAsia" w:ascii="宋体" w:hAnsi="宋体" w:cs="宋体"/>
          <w:color w:val="auto"/>
          <w:szCs w:val="21"/>
        </w:rPr>
        <w:t>（5）要求对清洁工具采取集中清洗消毒，符合院感要求</w:t>
      </w:r>
    </w:p>
    <w:p w14:paraId="6C30F337">
      <w:pPr>
        <w:ind w:firstLine="420" w:firstLineChars="200"/>
        <w:rPr>
          <w:rFonts w:ascii="宋体" w:hAnsi="宋体" w:cs="宋体"/>
          <w:color w:val="auto"/>
          <w:szCs w:val="21"/>
        </w:rPr>
      </w:pPr>
      <w:r>
        <w:rPr>
          <w:rFonts w:hint="eastAsia" w:ascii="宋体" w:hAnsi="宋体" w:cs="宋体"/>
          <w:color w:val="auto"/>
          <w:szCs w:val="21"/>
        </w:rPr>
        <w:t>（6）为防止交叉感染，对不同区域的清洁工具按院感的要求实行一床一巾，拖把分色使用，分类摆放，用颜色、字标等方式进行区分</w:t>
      </w:r>
    </w:p>
    <w:p w14:paraId="5D21E9D8">
      <w:pPr>
        <w:ind w:firstLine="420" w:firstLineChars="200"/>
        <w:rPr>
          <w:rFonts w:ascii="宋体" w:hAnsi="宋体" w:cs="宋体"/>
          <w:color w:val="auto"/>
          <w:szCs w:val="21"/>
        </w:rPr>
      </w:pPr>
      <w:r>
        <w:rPr>
          <w:rFonts w:hint="eastAsia" w:ascii="宋体" w:hAnsi="宋体" w:cs="宋体"/>
          <w:color w:val="auto"/>
          <w:szCs w:val="21"/>
        </w:rPr>
        <w:t>（7）要求保洁服务公司配置满足功能要求的集中洗涤物资、烘干机、晶面机、洗地机、自动洗地吸水机、抛光机、吸水洗尘机、地坪/地毯吹干机，真空吸尘机、垃圾车等，清洁车辆必须是全方位清洁手推车，定期对PVC、大理石、花岗岩以及其它各材质地面护理，包括PVC地面的起蜡落蜡，刷洗补蜡，喷磨和抛光等处理，大理石、花岗岩地面的晶化，翻新、保持各材质地面的光亮、整洁。</w:t>
      </w:r>
    </w:p>
    <w:p w14:paraId="1515C002">
      <w:pPr>
        <w:ind w:firstLine="420" w:firstLineChars="200"/>
        <w:rPr>
          <w:rFonts w:ascii="宋体" w:hAnsi="宋体" w:cs="宋体"/>
          <w:color w:val="auto"/>
          <w:szCs w:val="21"/>
        </w:rPr>
      </w:pPr>
      <w:r>
        <w:rPr>
          <w:rFonts w:hint="eastAsia" w:ascii="宋体" w:hAnsi="宋体" w:cs="宋体"/>
          <w:color w:val="auto"/>
          <w:szCs w:val="21"/>
        </w:rPr>
        <w:t>（8）保洁服务公司负责提供保洁用的清洁剂、洗涤剂、消毒剂和地面保护材料，并符合医院院感的要求</w:t>
      </w:r>
    </w:p>
    <w:p w14:paraId="3C48A828">
      <w:pPr>
        <w:ind w:firstLine="420" w:firstLineChars="200"/>
        <w:rPr>
          <w:rFonts w:ascii="宋体" w:hAnsi="宋体" w:cs="宋体"/>
          <w:color w:val="auto"/>
          <w:szCs w:val="21"/>
        </w:rPr>
      </w:pPr>
      <w:r>
        <w:rPr>
          <w:rFonts w:hint="eastAsia" w:ascii="宋体" w:hAnsi="宋体" w:cs="宋体"/>
          <w:color w:val="auto"/>
          <w:szCs w:val="21"/>
        </w:rPr>
        <w:t>（9）门急诊区域内的公厕实行专人负责，定时巡扫</w:t>
      </w:r>
    </w:p>
    <w:p w14:paraId="05893588">
      <w:pPr>
        <w:ind w:firstLine="420" w:firstLineChars="200"/>
        <w:rPr>
          <w:rFonts w:ascii="宋体" w:hAnsi="宋体" w:cs="宋体"/>
          <w:color w:val="auto"/>
          <w:szCs w:val="21"/>
        </w:rPr>
      </w:pPr>
      <w:r>
        <w:rPr>
          <w:rFonts w:hint="eastAsia" w:ascii="宋体" w:hAnsi="宋体" w:cs="宋体"/>
          <w:color w:val="auto"/>
          <w:szCs w:val="21"/>
        </w:rPr>
        <w:t>（10）医院区域内的道路、停车场和门前“三包”及所有公共区域的地面无有形垃圾和建筑垃圾，无堆积杂物，无积灰，无积水，无阻塞等，做到每日清扫两次，巡回保洁</w:t>
      </w:r>
    </w:p>
    <w:p w14:paraId="093194E6">
      <w:pPr>
        <w:ind w:firstLine="420" w:firstLineChars="200"/>
        <w:rPr>
          <w:rFonts w:ascii="宋体" w:hAnsi="宋体" w:cs="宋体"/>
          <w:color w:val="auto"/>
          <w:szCs w:val="21"/>
        </w:rPr>
      </w:pPr>
      <w:r>
        <w:rPr>
          <w:rFonts w:hint="eastAsia" w:ascii="宋体" w:hAnsi="宋体" w:cs="宋体"/>
          <w:color w:val="auto"/>
          <w:szCs w:val="21"/>
        </w:rPr>
        <w:t>（11）日常巡视如发现设施物资故障或安全隐患时须及时上报</w:t>
      </w:r>
    </w:p>
    <w:p w14:paraId="409134BD">
      <w:pPr>
        <w:ind w:firstLine="420" w:firstLineChars="200"/>
        <w:rPr>
          <w:rFonts w:ascii="宋体" w:hAnsi="宋体" w:cs="宋体"/>
          <w:color w:val="auto"/>
          <w:szCs w:val="21"/>
        </w:rPr>
      </w:pPr>
      <w:r>
        <w:rPr>
          <w:rFonts w:hint="eastAsia" w:ascii="宋体" w:hAnsi="宋体" w:cs="宋体"/>
          <w:color w:val="auto"/>
          <w:szCs w:val="21"/>
        </w:rPr>
        <w:t>（12）配合做好节能工作，关好空调房的门窗，杜绝衣服乱晒乱挂现象</w:t>
      </w:r>
    </w:p>
    <w:p w14:paraId="6EE20F94">
      <w:pPr>
        <w:ind w:firstLine="420" w:firstLineChars="200"/>
        <w:rPr>
          <w:rFonts w:ascii="宋体" w:hAnsi="宋体" w:cs="宋体"/>
          <w:color w:val="auto"/>
          <w:szCs w:val="21"/>
        </w:rPr>
      </w:pPr>
      <w:r>
        <w:rPr>
          <w:rFonts w:hint="eastAsia" w:ascii="宋体" w:hAnsi="宋体" w:cs="宋体"/>
          <w:color w:val="auto"/>
          <w:szCs w:val="21"/>
        </w:rPr>
        <w:t>2.保洁服务分项要求</w:t>
      </w:r>
    </w:p>
    <w:p w14:paraId="7C5A80EF">
      <w:pPr>
        <w:ind w:firstLine="420" w:firstLineChars="200"/>
        <w:rPr>
          <w:rFonts w:ascii="宋体" w:hAnsi="宋体" w:cs="宋体"/>
          <w:color w:val="auto"/>
          <w:szCs w:val="21"/>
        </w:rPr>
      </w:pPr>
      <w:r>
        <w:rPr>
          <w:rFonts w:hint="eastAsia" w:ascii="宋体" w:hAnsi="宋体" w:cs="宋体"/>
          <w:color w:val="auto"/>
          <w:szCs w:val="21"/>
        </w:rPr>
        <w:t>（1）户外清洁卫生标准</w:t>
      </w:r>
    </w:p>
    <w:p w14:paraId="1907DBFC">
      <w:pPr>
        <w:ind w:firstLine="420" w:firstLineChars="200"/>
        <w:rPr>
          <w:rFonts w:ascii="宋体" w:hAnsi="宋体" w:cs="宋体"/>
          <w:color w:val="auto"/>
          <w:szCs w:val="21"/>
        </w:rPr>
      </w:pPr>
      <w:r>
        <w:rPr>
          <w:rFonts w:hint="eastAsia" w:ascii="宋体" w:hAnsi="宋体" w:cs="宋体"/>
          <w:color w:val="auto"/>
          <w:szCs w:val="21"/>
        </w:rPr>
        <w:t>1）外围的所有路面、通道、停车场等公共区域原则上做到无纸屑、无烟头、无污水、无瓜皮果壳、无痰迹.</w:t>
      </w:r>
    </w:p>
    <w:p w14:paraId="36AEB29D">
      <w:pPr>
        <w:ind w:firstLine="420" w:firstLineChars="200"/>
        <w:rPr>
          <w:rFonts w:ascii="宋体" w:hAnsi="宋体" w:cs="宋体"/>
          <w:color w:val="auto"/>
          <w:szCs w:val="21"/>
        </w:rPr>
      </w:pPr>
      <w:r>
        <w:rPr>
          <w:rFonts w:hint="eastAsia" w:ascii="宋体" w:hAnsi="宋体" w:cs="宋体"/>
          <w:color w:val="auto"/>
          <w:szCs w:val="21"/>
        </w:rPr>
        <w:t>2）花园、花坛内无杂物、石凳、石桌上保持洁净</w:t>
      </w:r>
    </w:p>
    <w:p w14:paraId="561EADA4">
      <w:pPr>
        <w:ind w:firstLine="420" w:firstLineChars="200"/>
        <w:rPr>
          <w:rFonts w:ascii="宋体" w:hAnsi="宋体" w:cs="宋体"/>
          <w:color w:val="auto"/>
          <w:szCs w:val="21"/>
        </w:rPr>
      </w:pPr>
      <w:r>
        <w:rPr>
          <w:rFonts w:hint="eastAsia" w:ascii="宋体" w:hAnsi="宋体" w:cs="宋体"/>
          <w:color w:val="auto"/>
          <w:szCs w:val="21"/>
        </w:rPr>
        <w:t>3）垃圾箱内外保持清洁，及时处理</w:t>
      </w:r>
    </w:p>
    <w:p w14:paraId="7FAB097E">
      <w:pPr>
        <w:ind w:firstLine="420" w:firstLineChars="200"/>
        <w:rPr>
          <w:rFonts w:ascii="宋体" w:hAnsi="宋体" w:cs="宋体"/>
          <w:color w:val="auto"/>
          <w:szCs w:val="21"/>
        </w:rPr>
      </w:pPr>
      <w:r>
        <w:rPr>
          <w:rFonts w:hint="eastAsia" w:ascii="宋体" w:hAnsi="宋体" w:cs="宋体"/>
          <w:color w:val="auto"/>
          <w:szCs w:val="21"/>
        </w:rPr>
        <w:t>4）每月一次大检查</w:t>
      </w:r>
    </w:p>
    <w:p w14:paraId="0C484BD0">
      <w:pPr>
        <w:ind w:firstLine="420" w:firstLineChars="200"/>
        <w:rPr>
          <w:rFonts w:ascii="宋体" w:hAnsi="宋体" w:cs="宋体"/>
          <w:color w:val="auto"/>
          <w:szCs w:val="21"/>
        </w:rPr>
      </w:pPr>
      <w:r>
        <w:rPr>
          <w:rFonts w:hint="eastAsia" w:ascii="宋体" w:hAnsi="宋体" w:cs="宋体"/>
          <w:color w:val="auto"/>
          <w:szCs w:val="21"/>
        </w:rPr>
        <w:t>5）应完成的其余工作</w:t>
      </w:r>
    </w:p>
    <w:p w14:paraId="5D282477">
      <w:pPr>
        <w:ind w:firstLine="420" w:firstLineChars="200"/>
        <w:rPr>
          <w:rFonts w:ascii="宋体" w:hAnsi="宋体" w:cs="宋体"/>
          <w:color w:val="auto"/>
          <w:szCs w:val="21"/>
        </w:rPr>
      </w:pPr>
      <w:r>
        <w:rPr>
          <w:rFonts w:hint="eastAsia" w:ascii="宋体" w:hAnsi="宋体" w:cs="宋体"/>
          <w:color w:val="auto"/>
          <w:szCs w:val="21"/>
        </w:rPr>
        <w:t>（2）公共场所、大厅保洁卫生标准</w:t>
      </w:r>
    </w:p>
    <w:p w14:paraId="2FD41798">
      <w:pPr>
        <w:ind w:firstLine="420" w:firstLineChars="200"/>
        <w:rPr>
          <w:rFonts w:ascii="宋体" w:hAnsi="宋体" w:cs="宋体"/>
          <w:color w:val="auto"/>
          <w:szCs w:val="21"/>
        </w:rPr>
      </w:pPr>
      <w:r>
        <w:rPr>
          <w:rFonts w:hint="eastAsia" w:ascii="宋体" w:hAnsi="宋体" w:cs="宋体"/>
          <w:color w:val="auto"/>
          <w:szCs w:val="21"/>
        </w:rPr>
        <w:t>1）大理石地面清洁光亮无尘土污迹</w:t>
      </w:r>
    </w:p>
    <w:p w14:paraId="5462BA2F">
      <w:pPr>
        <w:ind w:firstLine="420" w:firstLineChars="200"/>
        <w:rPr>
          <w:rFonts w:ascii="宋体" w:hAnsi="宋体" w:cs="宋体"/>
          <w:color w:val="auto"/>
          <w:szCs w:val="21"/>
        </w:rPr>
      </w:pPr>
      <w:r>
        <w:rPr>
          <w:rFonts w:hint="eastAsia" w:ascii="宋体" w:hAnsi="宋体" w:cs="宋体"/>
          <w:color w:val="auto"/>
          <w:szCs w:val="21"/>
        </w:rPr>
        <w:t>2）休息处的候诊清洁、无污迹</w:t>
      </w:r>
    </w:p>
    <w:p w14:paraId="26A77511">
      <w:pPr>
        <w:ind w:firstLine="420" w:firstLineChars="200"/>
        <w:rPr>
          <w:rFonts w:ascii="宋体" w:hAnsi="宋体" w:cs="宋体"/>
          <w:color w:val="auto"/>
          <w:szCs w:val="21"/>
        </w:rPr>
      </w:pPr>
      <w:r>
        <w:rPr>
          <w:rFonts w:hint="eastAsia" w:ascii="宋体" w:hAnsi="宋体" w:cs="宋体"/>
          <w:color w:val="auto"/>
          <w:szCs w:val="21"/>
        </w:rPr>
        <w:t>3）休息处的候诊椅、沙发、茶几保持干净，垃圾及时处理</w:t>
      </w:r>
    </w:p>
    <w:p w14:paraId="29C71152">
      <w:pPr>
        <w:ind w:firstLine="420" w:firstLineChars="200"/>
        <w:rPr>
          <w:rFonts w:ascii="宋体" w:hAnsi="宋体" w:cs="宋体"/>
          <w:color w:val="auto"/>
          <w:szCs w:val="21"/>
        </w:rPr>
      </w:pPr>
      <w:r>
        <w:rPr>
          <w:rFonts w:hint="eastAsia" w:ascii="宋体" w:hAnsi="宋体" w:cs="宋体"/>
          <w:color w:val="auto"/>
          <w:szCs w:val="21"/>
        </w:rPr>
        <w:t>4）建筑物室外3米以下玻璃保持光洁、明亮、大堂室内4米以下玻璃保持光洁、明亮。</w:t>
      </w:r>
    </w:p>
    <w:p w14:paraId="79F9183D">
      <w:pPr>
        <w:ind w:firstLine="420" w:firstLineChars="200"/>
        <w:rPr>
          <w:rFonts w:ascii="宋体" w:hAnsi="宋体" w:cs="宋体"/>
          <w:color w:val="auto"/>
          <w:szCs w:val="21"/>
        </w:rPr>
      </w:pPr>
      <w:r>
        <w:rPr>
          <w:rFonts w:hint="eastAsia" w:ascii="宋体" w:hAnsi="宋体" w:cs="宋体"/>
          <w:color w:val="auto"/>
          <w:szCs w:val="21"/>
        </w:rPr>
        <w:t>5）地面无烟蒂，保持整洁</w:t>
      </w:r>
    </w:p>
    <w:p w14:paraId="5CC3762C">
      <w:pPr>
        <w:ind w:firstLine="420" w:firstLineChars="200"/>
        <w:rPr>
          <w:rFonts w:ascii="宋体" w:hAnsi="宋体" w:cs="宋体"/>
          <w:color w:val="auto"/>
          <w:szCs w:val="21"/>
        </w:rPr>
      </w:pPr>
      <w:r>
        <w:rPr>
          <w:rFonts w:hint="eastAsia" w:ascii="宋体" w:hAnsi="宋体" w:cs="宋体"/>
          <w:color w:val="auto"/>
          <w:szCs w:val="21"/>
        </w:rPr>
        <w:t>6）大门、门把手上无手印、无尘、无污迹</w:t>
      </w:r>
    </w:p>
    <w:p w14:paraId="3E6BE104">
      <w:pPr>
        <w:ind w:firstLine="420" w:firstLineChars="200"/>
        <w:rPr>
          <w:rFonts w:ascii="宋体" w:hAnsi="宋体" w:cs="宋体"/>
          <w:color w:val="auto"/>
          <w:szCs w:val="21"/>
        </w:rPr>
      </w:pPr>
      <w:r>
        <w:rPr>
          <w:rFonts w:hint="eastAsia" w:ascii="宋体" w:hAnsi="宋体" w:cs="宋体"/>
          <w:color w:val="auto"/>
          <w:szCs w:val="21"/>
        </w:rPr>
        <w:t>7）公共卫生间保持清洁、无异味、无污垢</w:t>
      </w:r>
    </w:p>
    <w:p w14:paraId="7AA48C74">
      <w:pPr>
        <w:ind w:firstLine="420" w:firstLineChars="200"/>
        <w:rPr>
          <w:rFonts w:ascii="宋体" w:hAnsi="宋体" w:cs="宋体"/>
          <w:color w:val="auto"/>
          <w:szCs w:val="21"/>
        </w:rPr>
      </w:pPr>
      <w:r>
        <w:rPr>
          <w:rFonts w:hint="eastAsia" w:ascii="宋体" w:hAnsi="宋体" w:cs="宋体"/>
          <w:color w:val="auto"/>
          <w:szCs w:val="21"/>
        </w:rPr>
        <w:t>8）电梯间天花板、不锈钢墙面清洁光亮、不锈钢门和电梯轿厢每周上油一次</w:t>
      </w:r>
    </w:p>
    <w:p w14:paraId="799A1BAA">
      <w:pPr>
        <w:ind w:firstLine="420" w:firstLineChars="200"/>
        <w:rPr>
          <w:rFonts w:ascii="宋体" w:hAnsi="宋体" w:cs="宋体"/>
          <w:color w:val="auto"/>
          <w:szCs w:val="21"/>
        </w:rPr>
      </w:pPr>
      <w:r>
        <w:rPr>
          <w:rFonts w:hint="eastAsia" w:ascii="宋体" w:hAnsi="宋体" w:cs="宋体"/>
          <w:color w:val="auto"/>
          <w:szCs w:val="21"/>
        </w:rPr>
        <w:t>9）各服务台饰面清洁光亮无尘迹</w:t>
      </w:r>
    </w:p>
    <w:p w14:paraId="2F47FEBF">
      <w:pPr>
        <w:ind w:firstLine="420" w:firstLineChars="200"/>
        <w:rPr>
          <w:rFonts w:ascii="宋体" w:hAnsi="宋体" w:cs="宋体"/>
          <w:color w:val="auto"/>
          <w:szCs w:val="21"/>
        </w:rPr>
      </w:pPr>
      <w:r>
        <w:rPr>
          <w:rFonts w:hint="eastAsia" w:ascii="宋体" w:hAnsi="宋体" w:cs="宋体"/>
          <w:color w:val="auto"/>
          <w:szCs w:val="21"/>
        </w:rPr>
        <w:t>10）公共场所、走廊、过道无堆放杂物，墙面无蜘蛛网、鞋印、小广告等污迹</w:t>
      </w:r>
    </w:p>
    <w:p w14:paraId="734384DA">
      <w:pPr>
        <w:ind w:firstLine="420" w:firstLineChars="200"/>
        <w:rPr>
          <w:rFonts w:ascii="宋体" w:hAnsi="宋体" w:cs="宋体"/>
          <w:color w:val="auto"/>
          <w:szCs w:val="21"/>
        </w:rPr>
      </w:pPr>
      <w:r>
        <w:rPr>
          <w:rFonts w:hint="eastAsia" w:ascii="宋体" w:hAnsi="宋体" w:cs="宋体"/>
          <w:color w:val="auto"/>
          <w:szCs w:val="21"/>
        </w:rPr>
        <w:t>11）区域内的自助挂号、查询机的保洁消毒使用专用的一次性杀菌无纺布，保证一天一次以上</w:t>
      </w:r>
    </w:p>
    <w:p w14:paraId="7E590B47">
      <w:pPr>
        <w:ind w:firstLine="420" w:firstLineChars="200"/>
        <w:rPr>
          <w:rFonts w:ascii="宋体" w:hAnsi="宋体" w:cs="宋体"/>
          <w:color w:val="auto"/>
          <w:szCs w:val="21"/>
        </w:rPr>
      </w:pPr>
      <w:r>
        <w:rPr>
          <w:rFonts w:hint="eastAsia" w:ascii="宋体" w:hAnsi="宋体" w:cs="宋体"/>
          <w:color w:val="auto"/>
          <w:szCs w:val="21"/>
        </w:rPr>
        <w:t>12）每月一次大检查</w:t>
      </w:r>
    </w:p>
    <w:p w14:paraId="2074FA69">
      <w:pPr>
        <w:ind w:firstLine="420" w:firstLineChars="200"/>
        <w:rPr>
          <w:rFonts w:ascii="宋体" w:hAnsi="宋体" w:cs="宋体"/>
          <w:color w:val="auto"/>
          <w:szCs w:val="21"/>
        </w:rPr>
      </w:pPr>
      <w:r>
        <w:rPr>
          <w:rFonts w:hint="eastAsia" w:ascii="宋体" w:hAnsi="宋体" w:cs="宋体"/>
          <w:color w:val="auto"/>
          <w:szCs w:val="21"/>
        </w:rPr>
        <w:t>13）垃圾桶必须专人检查，垃圾按分类标准进行捡放，如果垃圾筒超过三分之二，就应及时清倒，垃圾袋不得有破损，否则会导致垃圾溢出。垃圾袋按标准套放，垃圾筒定期清洗、消毒，内外壁干净、干燥、无异味。</w:t>
      </w:r>
    </w:p>
    <w:p w14:paraId="3F318984">
      <w:pPr>
        <w:ind w:firstLine="420" w:firstLineChars="200"/>
        <w:rPr>
          <w:rFonts w:ascii="宋体" w:hAnsi="宋体" w:cs="宋体"/>
          <w:color w:val="auto"/>
          <w:szCs w:val="21"/>
        </w:rPr>
      </w:pPr>
      <w:r>
        <w:rPr>
          <w:rFonts w:hint="eastAsia" w:ascii="宋体" w:hAnsi="宋体" w:cs="宋体"/>
          <w:color w:val="auto"/>
          <w:szCs w:val="21"/>
        </w:rPr>
        <w:t>14）应完成的其他工作</w:t>
      </w:r>
    </w:p>
    <w:p w14:paraId="6B337FFE">
      <w:pPr>
        <w:ind w:firstLine="420" w:firstLineChars="200"/>
        <w:rPr>
          <w:rFonts w:ascii="宋体" w:hAnsi="宋体" w:cs="宋体"/>
          <w:color w:val="auto"/>
          <w:szCs w:val="21"/>
        </w:rPr>
      </w:pPr>
      <w:r>
        <w:rPr>
          <w:rFonts w:hint="eastAsia" w:ascii="宋体" w:hAnsi="宋体" w:cs="宋体"/>
          <w:color w:val="auto"/>
          <w:szCs w:val="21"/>
        </w:rPr>
        <w:t>（3）地胶板（PVC）、地面石材维护、保养</w:t>
      </w:r>
    </w:p>
    <w:p w14:paraId="132CDD7A">
      <w:pPr>
        <w:ind w:firstLine="420" w:firstLineChars="200"/>
        <w:rPr>
          <w:rFonts w:ascii="宋体" w:hAnsi="宋体" w:cs="宋体"/>
          <w:color w:val="auto"/>
          <w:szCs w:val="21"/>
        </w:rPr>
      </w:pPr>
      <w:r>
        <w:rPr>
          <w:rFonts w:hint="eastAsia" w:ascii="宋体" w:hAnsi="宋体" w:cs="宋体"/>
          <w:color w:val="auto"/>
          <w:szCs w:val="21"/>
        </w:rPr>
        <w:t>1）院区内所有地胶板（PVC）每半年打蜡1次，特殊情况按实际需要执行</w:t>
      </w:r>
    </w:p>
    <w:p w14:paraId="55B72469">
      <w:pPr>
        <w:ind w:firstLine="420" w:firstLineChars="200"/>
        <w:rPr>
          <w:rFonts w:ascii="宋体" w:hAnsi="宋体" w:cs="宋体"/>
          <w:color w:val="auto"/>
          <w:szCs w:val="21"/>
        </w:rPr>
      </w:pPr>
      <w:r>
        <w:rPr>
          <w:rFonts w:hint="eastAsia" w:ascii="宋体" w:hAnsi="宋体" w:cs="宋体"/>
          <w:color w:val="auto"/>
          <w:szCs w:val="21"/>
        </w:rPr>
        <w:t>2）再次打蜡前，须将陈蜡去除后，方可重新打蜡</w:t>
      </w:r>
    </w:p>
    <w:p w14:paraId="0CA4839C">
      <w:pPr>
        <w:ind w:firstLine="420" w:firstLineChars="200"/>
        <w:rPr>
          <w:rFonts w:ascii="宋体" w:hAnsi="宋体" w:cs="宋体"/>
          <w:color w:val="auto"/>
          <w:szCs w:val="21"/>
        </w:rPr>
      </w:pPr>
      <w:r>
        <w:rPr>
          <w:rFonts w:hint="eastAsia" w:ascii="宋体" w:hAnsi="宋体" w:cs="宋体"/>
          <w:color w:val="auto"/>
          <w:szCs w:val="21"/>
        </w:rPr>
        <w:t>3）地胶板、石材维护的机器物资必须满足实际工作需要，低噪音</w:t>
      </w:r>
    </w:p>
    <w:p w14:paraId="0D699D58">
      <w:pPr>
        <w:ind w:firstLine="420" w:firstLineChars="200"/>
        <w:rPr>
          <w:rFonts w:ascii="宋体" w:hAnsi="宋体" w:cs="宋体"/>
          <w:color w:val="auto"/>
          <w:szCs w:val="21"/>
        </w:rPr>
      </w:pPr>
      <w:r>
        <w:rPr>
          <w:rFonts w:hint="eastAsia" w:ascii="宋体" w:hAnsi="宋体" w:cs="宋体"/>
          <w:color w:val="auto"/>
          <w:szCs w:val="21"/>
        </w:rPr>
        <w:t>4）室内石材地面须定期清洗，各楼层石材地面定期做晶面养护</w:t>
      </w:r>
    </w:p>
    <w:p w14:paraId="6EFA6931">
      <w:pPr>
        <w:ind w:firstLine="420" w:firstLineChars="200"/>
        <w:rPr>
          <w:rFonts w:ascii="宋体" w:hAnsi="宋体" w:cs="宋体"/>
          <w:color w:val="auto"/>
          <w:szCs w:val="21"/>
        </w:rPr>
      </w:pPr>
      <w:r>
        <w:rPr>
          <w:rFonts w:hint="eastAsia" w:ascii="宋体" w:hAnsi="宋体" w:cs="宋体"/>
          <w:color w:val="auto"/>
          <w:szCs w:val="21"/>
        </w:rPr>
        <w:t>5）平时地胶板上的顽固污垢，应对其擦拭去除</w:t>
      </w:r>
    </w:p>
    <w:p w14:paraId="430A9C36">
      <w:pPr>
        <w:ind w:firstLine="420" w:firstLineChars="200"/>
        <w:rPr>
          <w:rFonts w:ascii="宋体" w:hAnsi="宋体" w:cs="宋体"/>
          <w:color w:val="auto"/>
          <w:szCs w:val="21"/>
        </w:rPr>
      </w:pPr>
      <w:r>
        <w:rPr>
          <w:rFonts w:hint="eastAsia" w:ascii="宋体" w:hAnsi="宋体" w:cs="宋体"/>
          <w:color w:val="auto"/>
          <w:szCs w:val="21"/>
        </w:rPr>
        <w:t>6）地胶板打蜡的须环保，无刺激性气味，选用百丽珠、3M、庄臣或同档次及以上品牌</w:t>
      </w:r>
    </w:p>
    <w:p w14:paraId="57DCE72C">
      <w:pPr>
        <w:ind w:firstLine="420" w:firstLineChars="200"/>
        <w:rPr>
          <w:rFonts w:ascii="宋体" w:hAnsi="宋体" w:cs="宋体"/>
          <w:color w:val="auto"/>
          <w:szCs w:val="21"/>
        </w:rPr>
      </w:pPr>
      <w:r>
        <w:rPr>
          <w:rFonts w:hint="eastAsia" w:ascii="宋体" w:hAnsi="宋体" w:cs="宋体"/>
          <w:color w:val="auto"/>
          <w:szCs w:val="21"/>
        </w:rPr>
        <w:t>7）工作时应放置“工作进行中”“小心地滑”的警告牌，有安全措施，确保工作时各类人员的安全</w:t>
      </w:r>
    </w:p>
    <w:p w14:paraId="4F3692E6">
      <w:pPr>
        <w:ind w:firstLine="420" w:firstLineChars="200"/>
        <w:rPr>
          <w:rFonts w:ascii="宋体" w:hAnsi="宋体" w:cs="宋体"/>
          <w:color w:val="auto"/>
          <w:szCs w:val="21"/>
        </w:rPr>
      </w:pPr>
      <w:r>
        <w:rPr>
          <w:rFonts w:hint="eastAsia" w:ascii="宋体" w:hAnsi="宋体" w:cs="宋体"/>
          <w:color w:val="auto"/>
          <w:szCs w:val="21"/>
        </w:rPr>
        <w:t>8）应完成的其余工作</w:t>
      </w:r>
    </w:p>
    <w:p w14:paraId="2926E0E9">
      <w:pPr>
        <w:ind w:firstLine="420" w:firstLineChars="200"/>
        <w:rPr>
          <w:rFonts w:ascii="宋体" w:hAnsi="宋体" w:cs="宋体"/>
          <w:color w:val="auto"/>
          <w:szCs w:val="21"/>
        </w:rPr>
      </w:pPr>
      <w:r>
        <w:rPr>
          <w:rFonts w:hint="eastAsia" w:ascii="宋体" w:hAnsi="宋体" w:cs="宋体"/>
          <w:color w:val="auto"/>
          <w:szCs w:val="21"/>
        </w:rPr>
        <w:t>（4）各楼层清洁卫生标准</w:t>
      </w:r>
    </w:p>
    <w:p w14:paraId="36D7C61E">
      <w:pPr>
        <w:ind w:firstLine="420" w:firstLineChars="200"/>
        <w:rPr>
          <w:rFonts w:ascii="宋体" w:hAnsi="宋体" w:cs="宋体"/>
          <w:color w:val="auto"/>
          <w:szCs w:val="21"/>
        </w:rPr>
      </w:pPr>
      <w:r>
        <w:rPr>
          <w:rFonts w:hint="eastAsia" w:ascii="宋体" w:hAnsi="宋体" w:cs="宋体"/>
          <w:color w:val="auto"/>
          <w:szCs w:val="21"/>
        </w:rPr>
        <w:t>1）走廊地面、电梯厅墙面光亮清洁无尘、无水迹；各层面电梯按键清洁无污</w:t>
      </w:r>
    </w:p>
    <w:p w14:paraId="1EE4740A">
      <w:pPr>
        <w:ind w:firstLine="420" w:firstLineChars="200"/>
        <w:rPr>
          <w:rFonts w:ascii="宋体" w:hAnsi="宋体" w:cs="宋体"/>
          <w:color w:val="auto"/>
          <w:szCs w:val="21"/>
        </w:rPr>
      </w:pPr>
      <w:r>
        <w:rPr>
          <w:rFonts w:hint="eastAsia" w:ascii="宋体" w:hAnsi="宋体" w:cs="宋体"/>
          <w:color w:val="auto"/>
          <w:szCs w:val="21"/>
        </w:rPr>
        <w:t>2）安全通道、楼梯清洁无垃圾及卫生死角，楼梯扶手、画框、栏杆、灯罩无灰尘</w:t>
      </w:r>
    </w:p>
    <w:p w14:paraId="59598E76">
      <w:pPr>
        <w:ind w:firstLine="420" w:firstLineChars="200"/>
        <w:rPr>
          <w:rFonts w:ascii="宋体" w:hAnsi="宋体" w:cs="宋体"/>
          <w:color w:val="auto"/>
          <w:szCs w:val="21"/>
        </w:rPr>
      </w:pPr>
      <w:r>
        <w:rPr>
          <w:rFonts w:hint="eastAsia" w:ascii="宋体" w:hAnsi="宋体" w:cs="宋体"/>
          <w:color w:val="auto"/>
          <w:szCs w:val="21"/>
        </w:rPr>
        <w:t>3）烟道通风口经常擦拭无积灰</w:t>
      </w:r>
    </w:p>
    <w:p w14:paraId="4FD70BFC">
      <w:pPr>
        <w:ind w:firstLine="420" w:firstLineChars="200"/>
        <w:rPr>
          <w:rFonts w:ascii="宋体" w:hAnsi="宋体" w:cs="宋体"/>
          <w:color w:val="auto"/>
          <w:szCs w:val="21"/>
        </w:rPr>
      </w:pPr>
      <w:r>
        <w:rPr>
          <w:rFonts w:hint="eastAsia" w:ascii="宋体" w:hAnsi="宋体" w:cs="宋体"/>
          <w:color w:val="auto"/>
          <w:szCs w:val="21"/>
        </w:rPr>
        <w:t>4）污洗间、开水间、晾衣间保持干净无积水</w:t>
      </w:r>
    </w:p>
    <w:p w14:paraId="680D11C0">
      <w:pPr>
        <w:ind w:firstLine="420" w:firstLineChars="200"/>
        <w:rPr>
          <w:rFonts w:ascii="宋体" w:hAnsi="宋体" w:cs="宋体"/>
          <w:color w:val="auto"/>
          <w:szCs w:val="21"/>
        </w:rPr>
      </w:pPr>
      <w:r>
        <w:rPr>
          <w:rFonts w:hint="eastAsia" w:ascii="宋体" w:hAnsi="宋体" w:cs="宋体"/>
          <w:color w:val="auto"/>
          <w:szCs w:val="21"/>
        </w:rPr>
        <w:t>5）不锈钢水池等保持光亮，每周上油一次</w:t>
      </w:r>
    </w:p>
    <w:p w14:paraId="2FBC5320">
      <w:pPr>
        <w:ind w:firstLine="420" w:firstLineChars="200"/>
        <w:rPr>
          <w:rFonts w:ascii="宋体" w:hAnsi="宋体" w:cs="宋体"/>
          <w:color w:val="auto"/>
          <w:szCs w:val="21"/>
        </w:rPr>
      </w:pPr>
      <w:r>
        <w:rPr>
          <w:rFonts w:hint="eastAsia" w:ascii="宋体" w:hAnsi="宋体" w:cs="宋体"/>
          <w:color w:val="auto"/>
          <w:szCs w:val="21"/>
        </w:rPr>
        <w:t>6）演示教室保持整洁干净，随时可用</w:t>
      </w:r>
    </w:p>
    <w:p w14:paraId="4794C077">
      <w:pPr>
        <w:ind w:firstLine="420" w:firstLineChars="200"/>
        <w:rPr>
          <w:rFonts w:ascii="宋体" w:hAnsi="宋体" w:cs="宋体"/>
          <w:color w:val="auto"/>
          <w:szCs w:val="21"/>
        </w:rPr>
      </w:pPr>
      <w:r>
        <w:rPr>
          <w:rFonts w:hint="eastAsia" w:ascii="宋体" w:hAnsi="宋体" w:cs="宋体"/>
          <w:color w:val="auto"/>
          <w:szCs w:val="21"/>
        </w:rPr>
        <w:t>7）公共设施、消防设施外表面保持整洁无尘</w:t>
      </w:r>
    </w:p>
    <w:p w14:paraId="104B9860">
      <w:pPr>
        <w:ind w:firstLine="420" w:firstLineChars="200"/>
        <w:rPr>
          <w:rFonts w:ascii="宋体" w:hAnsi="宋体" w:cs="宋体"/>
          <w:color w:val="auto"/>
          <w:szCs w:val="21"/>
        </w:rPr>
      </w:pPr>
      <w:r>
        <w:rPr>
          <w:rFonts w:hint="eastAsia" w:ascii="宋体" w:hAnsi="宋体" w:cs="宋体"/>
          <w:color w:val="auto"/>
          <w:szCs w:val="21"/>
        </w:rPr>
        <w:t>8）保持各诊室、治疗室、护理站、医生办公室、主任办公室、医护值班室等各种台面、地面、家具表面、冰箱表面及椅子洁净无尘</w:t>
      </w:r>
    </w:p>
    <w:p w14:paraId="42DA815A">
      <w:pPr>
        <w:ind w:firstLine="420" w:firstLineChars="200"/>
        <w:rPr>
          <w:rFonts w:ascii="宋体" w:hAnsi="宋体" w:cs="宋体"/>
          <w:color w:val="auto"/>
          <w:szCs w:val="21"/>
        </w:rPr>
      </w:pPr>
      <w:r>
        <w:rPr>
          <w:rFonts w:hint="eastAsia" w:ascii="宋体" w:hAnsi="宋体" w:cs="宋体"/>
          <w:color w:val="auto"/>
          <w:szCs w:val="21"/>
        </w:rPr>
        <w:t>9）保持病区宣传栏、门、玻璃窗内洁净，无乱贴画、广告，无乱堆放杂物</w:t>
      </w:r>
    </w:p>
    <w:p w14:paraId="0632936F">
      <w:pPr>
        <w:ind w:firstLine="420" w:firstLineChars="200"/>
        <w:rPr>
          <w:rFonts w:ascii="宋体" w:hAnsi="宋体" w:cs="宋体"/>
          <w:color w:val="auto"/>
          <w:szCs w:val="21"/>
        </w:rPr>
      </w:pPr>
      <w:r>
        <w:rPr>
          <w:rFonts w:hint="eastAsia" w:ascii="宋体" w:hAnsi="宋体" w:cs="宋体"/>
          <w:color w:val="auto"/>
          <w:szCs w:val="21"/>
        </w:rPr>
        <w:t>10）各病区走廊、墙面、扶手、玻璃窗内必须洁净光亮、整洁，不得有任何污迹、烟头</w:t>
      </w:r>
    </w:p>
    <w:p w14:paraId="2EBF0B17">
      <w:pPr>
        <w:ind w:firstLine="420" w:firstLineChars="200"/>
        <w:rPr>
          <w:rFonts w:ascii="宋体" w:hAnsi="宋体" w:cs="宋体"/>
          <w:color w:val="auto"/>
          <w:szCs w:val="21"/>
        </w:rPr>
      </w:pPr>
      <w:r>
        <w:rPr>
          <w:rFonts w:hint="eastAsia" w:ascii="宋体" w:hAnsi="宋体" w:cs="宋体"/>
          <w:color w:val="auto"/>
          <w:szCs w:val="21"/>
        </w:rPr>
        <w:t>11）分类处理垃圾：垃圾箱内外保持清洁，及时处理，无散乱垃圾，无积水，无异味</w:t>
      </w:r>
    </w:p>
    <w:p w14:paraId="29207675">
      <w:pPr>
        <w:ind w:firstLine="420" w:firstLineChars="200"/>
        <w:rPr>
          <w:rFonts w:ascii="宋体" w:hAnsi="宋体" w:cs="宋体"/>
          <w:color w:val="auto"/>
          <w:szCs w:val="21"/>
        </w:rPr>
      </w:pPr>
      <w:r>
        <w:rPr>
          <w:rFonts w:hint="eastAsia" w:ascii="宋体" w:hAnsi="宋体" w:cs="宋体"/>
          <w:color w:val="auto"/>
          <w:szCs w:val="21"/>
        </w:rPr>
        <w:t>12）每月一次大检查</w:t>
      </w:r>
    </w:p>
    <w:p w14:paraId="265D5F46">
      <w:pPr>
        <w:ind w:firstLine="420" w:firstLineChars="200"/>
        <w:rPr>
          <w:rFonts w:ascii="宋体" w:hAnsi="宋体" w:cs="宋体"/>
          <w:color w:val="auto"/>
          <w:szCs w:val="21"/>
        </w:rPr>
      </w:pPr>
      <w:r>
        <w:rPr>
          <w:rFonts w:hint="eastAsia" w:ascii="宋体" w:hAnsi="宋体" w:cs="宋体"/>
          <w:color w:val="auto"/>
          <w:szCs w:val="21"/>
        </w:rPr>
        <w:t>13）应完成的其余工作</w:t>
      </w:r>
    </w:p>
    <w:p w14:paraId="170D2F2C">
      <w:pPr>
        <w:ind w:firstLine="420" w:firstLineChars="200"/>
        <w:rPr>
          <w:rFonts w:ascii="宋体" w:hAnsi="宋体" w:cs="宋体"/>
          <w:color w:val="auto"/>
          <w:szCs w:val="21"/>
        </w:rPr>
      </w:pPr>
      <w:r>
        <w:rPr>
          <w:rFonts w:hint="eastAsia" w:ascii="宋体" w:hAnsi="宋体" w:cs="宋体"/>
          <w:color w:val="auto"/>
          <w:szCs w:val="21"/>
        </w:rPr>
        <w:t>（5）病房清洁卫生标准</w:t>
      </w:r>
    </w:p>
    <w:p w14:paraId="0D4A32FB">
      <w:pPr>
        <w:ind w:firstLine="420" w:firstLineChars="200"/>
        <w:rPr>
          <w:rFonts w:ascii="宋体" w:hAnsi="宋体" w:cs="宋体"/>
          <w:color w:val="auto"/>
          <w:szCs w:val="21"/>
        </w:rPr>
      </w:pPr>
      <w:r>
        <w:rPr>
          <w:rFonts w:hint="eastAsia" w:ascii="宋体" w:hAnsi="宋体" w:cs="宋体"/>
          <w:color w:val="auto"/>
          <w:szCs w:val="21"/>
        </w:rPr>
        <w:t>1）病房要求：</w:t>
      </w:r>
    </w:p>
    <w:p w14:paraId="76DFD1FA">
      <w:pPr>
        <w:ind w:firstLine="420" w:firstLineChars="200"/>
        <w:rPr>
          <w:rFonts w:ascii="宋体" w:hAnsi="宋体" w:cs="宋体"/>
          <w:color w:val="auto"/>
          <w:szCs w:val="21"/>
        </w:rPr>
      </w:pPr>
      <w:r>
        <w:rPr>
          <w:rFonts w:hint="eastAsia" w:ascii="宋体" w:hAnsi="宋体" w:cs="宋体"/>
          <w:color w:val="auto"/>
          <w:szCs w:val="21"/>
        </w:rPr>
        <w:t>①保持病房安静、整洁、舒适、安全</w:t>
      </w:r>
    </w:p>
    <w:p w14:paraId="23DE8748">
      <w:pPr>
        <w:ind w:firstLine="420" w:firstLineChars="200"/>
        <w:rPr>
          <w:rFonts w:ascii="宋体" w:hAnsi="宋体" w:cs="宋体"/>
          <w:color w:val="auto"/>
          <w:szCs w:val="21"/>
        </w:rPr>
      </w:pPr>
      <w:r>
        <w:rPr>
          <w:rFonts w:hint="eastAsia" w:ascii="宋体" w:hAnsi="宋体" w:cs="宋体"/>
          <w:color w:val="auto"/>
          <w:szCs w:val="21"/>
        </w:rPr>
        <w:t>②病房内墙面、桌面、床档、输液架及物资带清洁、无尘；地面无垃圾、无污迹，保持干净</w:t>
      </w:r>
    </w:p>
    <w:p w14:paraId="5C00D539">
      <w:pPr>
        <w:ind w:firstLine="420" w:firstLineChars="200"/>
        <w:rPr>
          <w:rFonts w:ascii="宋体" w:hAnsi="宋体" w:cs="宋体"/>
          <w:color w:val="auto"/>
          <w:szCs w:val="21"/>
        </w:rPr>
      </w:pPr>
      <w:r>
        <w:rPr>
          <w:rFonts w:hint="eastAsia" w:ascii="宋体" w:hAnsi="宋体" w:cs="宋体"/>
          <w:color w:val="auto"/>
          <w:szCs w:val="21"/>
        </w:rPr>
        <w:t>③病房窗帘、床帘：拆、挂符合标准</w:t>
      </w:r>
    </w:p>
    <w:p w14:paraId="64DF8E35">
      <w:pPr>
        <w:ind w:firstLine="420" w:firstLineChars="200"/>
        <w:rPr>
          <w:rFonts w:ascii="宋体" w:hAnsi="宋体" w:cs="宋体"/>
          <w:color w:val="auto"/>
          <w:szCs w:val="21"/>
        </w:rPr>
      </w:pPr>
      <w:r>
        <w:rPr>
          <w:rFonts w:hint="eastAsia" w:ascii="宋体" w:hAnsi="宋体" w:cs="宋体"/>
          <w:color w:val="auto"/>
          <w:szCs w:val="21"/>
        </w:rPr>
        <w:t>④电视机表面无积灰</w:t>
      </w:r>
    </w:p>
    <w:p w14:paraId="25EF811F">
      <w:pPr>
        <w:ind w:firstLine="420" w:firstLineChars="200"/>
        <w:rPr>
          <w:rFonts w:ascii="宋体" w:hAnsi="宋体" w:cs="宋体"/>
          <w:color w:val="auto"/>
          <w:szCs w:val="21"/>
        </w:rPr>
      </w:pPr>
      <w:r>
        <w:rPr>
          <w:rFonts w:hint="eastAsia" w:ascii="宋体" w:hAnsi="宋体" w:cs="宋体"/>
          <w:color w:val="auto"/>
          <w:szCs w:val="21"/>
        </w:rPr>
        <w:t>⑤病房的冰箱，里外须保持干净</w:t>
      </w:r>
    </w:p>
    <w:p w14:paraId="31A7460B">
      <w:pPr>
        <w:ind w:firstLine="420" w:firstLineChars="200"/>
        <w:rPr>
          <w:rFonts w:ascii="宋体" w:hAnsi="宋体" w:cs="宋体"/>
          <w:color w:val="auto"/>
          <w:szCs w:val="21"/>
        </w:rPr>
      </w:pPr>
      <w:r>
        <w:rPr>
          <w:rFonts w:hint="eastAsia" w:ascii="宋体" w:hAnsi="宋体" w:cs="宋体"/>
          <w:color w:val="auto"/>
          <w:szCs w:val="21"/>
        </w:rPr>
        <w:t>⑥热水瓶外干净无污迹</w:t>
      </w:r>
    </w:p>
    <w:p w14:paraId="0BFDEB04">
      <w:pPr>
        <w:ind w:firstLine="420" w:firstLineChars="200"/>
        <w:rPr>
          <w:rFonts w:ascii="宋体" w:hAnsi="宋体" w:cs="宋体"/>
          <w:color w:val="auto"/>
          <w:szCs w:val="21"/>
        </w:rPr>
      </w:pPr>
      <w:r>
        <w:rPr>
          <w:rFonts w:hint="eastAsia" w:ascii="宋体" w:hAnsi="宋体" w:cs="宋体"/>
          <w:color w:val="auto"/>
          <w:szCs w:val="21"/>
        </w:rPr>
        <w:t>⑦沙发、茶几、电话机表面干净无污迹</w:t>
      </w:r>
    </w:p>
    <w:p w14:paraId="23ED3342">
      <w:pPr>
        <w:ind w:firstLine="420" w:firstLineChars="200"/>
        <w:rPr>
          <w:rFonts w:ascii="宋体" w:hAnsi="宋体" w:cs="宋体"/>
          <w:color w:val="auto"/>
          <w:szCs w:val="21"/>
        </w:rPr>
      </w:pPr>
      <w:r>
        <w:rPr>
          <w:rFonts w:hint="eastAsia" w:ascii="宋体" w:hAnsi="宋体" w:cs="宋体"/>
          <w:color w:val="auto"/>
          <w:szCs w:val="21"/>
        </w:rPr>
        <w:t>⑧橱柜表面无积灰，抽屉表面干净无污迹</w:t>
      </w:r>
    </w:p>
    <w:p w14:paraId="2B31616A">
      <w:pPr>
        <w:ind w:firstLine="420" w:firstLineChars="200"/>
        <w:rPr>
          <w:rFonts w:ascii="宋体" w:hAnsi="宋体" w:cs="宋体"/>
          <w:color w:val="auto"/>
          <w:szCs w:val="21"/>
        </w:rPr>
      </w:pPr>
      <w:r>
        <w:rPr>
          <w:rFonts w:hint="eastAsia" w:ascii="宋体" w:hAnsi="宋体" w:cs="宋体"/>
          <w:color w:val="auto"/>
          <w:szCs w:val="21"/>
        </w:rPr>
        <w:t>⑨垃圾桶内外清洁，垃圾袋按标准套放</w:t>
      </w:r>
    </w:p>
    <w:p w14:paraId="7B7C72C0">
      <w:pPr>
        <w:ind w:firstLine="420" w:firstLineChars="200"/>
        <w:rPr>
          <w:rFonts w:ascii="宋体" w:hAnsi="宋体" w:cs="宋体"/>
          <w:color w:val="auto"/>
          <w:szCs w:val="21"/>
        </w:rPr>
      </w:pPr>
      <w:r>
        <w:rPr>
          <w:rFonts w:hint="eastAsia" w:ascii="宋体" w:hAnsi="宋体" w:cs="宋体"/>
          <w:color w:val="auto"/>
          <w:szCs w:val="21"/>
        </w:rPr>
        <w:t>⑩墙面、空调风口表面无积灰</w:t>
      </w:r>
    </w:p>
    <w:p w14:paraId="32C08469">
      <w:pPr>
        <w:ind w:firstLine="420" w:firstLineChars="200"/>
        <w:rPr>
          <w:rFonts w:ascii="宋体" w:hAnsi="宋体" w:cs="宋体"/>
          <w:color w:val="auto"/>
          <w:szCs w:val="21"/>
        </w:rPr>
      </w:pPr>
      <w:r>
        <w:rPr>
          <w:rFonts w:hint="eastAsia" w:ascii="宋体" w:hAnsi="宋体" w:cs="宋体"/>
          <w:color w:val="auto"/>
          <w:szCs w:val="21"/>
        </w:rPr>
        <w:t>⑪病房四角无蜘蛛网尘埃</w:t>
      </w:r>
    </w:p>
    <w:p w14:paraId="2EE4CF8D">
      <w:pPr>
        <w:ind w:firstLine="420" w:firstLineChars="200"/>
        <w:rPr>
          <w:rFonts w:ascii="宋体" w:hAnsi="宋体" w:cs="宋体"/>
          <w:color w:val="auto"/>
          <w:szCs w:val="21"/>
        </w:rPr>
      </w:pPr>
      <w:r>
        <w:rPr>
          <w:rFonts w:hint="eastAsia" w:ascii="宋体" w:hAnsi="宋体" w:cs="宋体"/>
          <w:color w:val="auto"/>
          <w:szCs w:val="21"/>
        </w:rPr>
        <w:t>⑫玻璃窗清洁光亮、窗台、窗轨清洁无尘</w:t>
      </w:r>
    </w:p>
    <w:p w14:paraId="227A1CBC">
      <w:pPr>
        <w:ind w:firstLine="420" w:firstLineChars="200"/>
        <w:rPr>
          <w:rFonts w:ascii="宋体" w:hAnsi="宋体" w:cs="宋体"/>
          <w:color w:val="auto"/>
          <w:szCs w:val="21"/>
        </w:rPr>
      </w:pPr>
      <w:r>
        <w:rPr>
          <w:rFonts w:hint="eastAsia" w:ascii="宋体" w:hAnsi="宋体" w:cs="宋体"/>
          <w:color w:val="auto"/>
          <w:szCs w:val="21"/>
        </w:rPr>
        <w:t>⑬进入病房，应尽量集中作业，避免在病人休息和用餐时间进行清洁，清洁动作轻，不得碰坏病人用品，要避免发出大的响声，轻拿轻放</w:t>
      </w:r>
    </w:p>
    <w:p w14:paraId="7B9E8863">
      <w:pPr>
        <w:ind w:firstLine="420" w:firstLineChars="200"/>
        <w:rPr>
          <w:rFonts w:ascii="宋体" w:hAnsi="宋体" w:cs="宋体"/>
          <w:color w:val="auto"/>
          <w:szCs w:val="21"/>
        </w:rPr>
      </w:pPr>
      <w:r>
        <w:rPr>
          <w:rFonts w:hint="eastAsia" w:ascii="宋体" w:hAnsi="宋体" w:cs="宋体"/>
          <w:color w:val="auto"/>
          <w:szCs w:val="21"/>
        </w:rPr>
        <w:t>⑭每月一次大检查</w:t>
      </w:r>
    </w:p>
    <w:p w14:paraId="79FBACDE">
      <w:pPr>
        <w:ind w:firstLine="420" w:firstLineChars="200"/>
        <w:rPr>
          <w:rFonts w:ascii="宋体" w:hAnsi="宋体" w:cs="宋体"/>
          <w:color w:val="auto"/>
          <w:szCs w:val="21"/>
        </w:rPr>
      </w:pPr>
      <w:r>
        <w:rPr>
          <w:rFonts w:hint="eastAsia" w:ascii="宋体" w:hAnsi="宋体" w:cs="宋体"/>
          <w:color w:val="auto"/>
          <w:szCs w:val="21"/>
        </w:rPr>
        <w:t>⑮应完成的其余工作</w:t>
      </w:r>
    </w:p>
    <w:p w14:paraId="17AF3118">
      <w:pPr>
        <w:ind w:firstLine="420" w:firstLineChars="200"/>
        <w:rPr>
          <w:rFonts w:ascii="宋体" w:hAnsi="宋体" w:cs="宋体"/>
          <w:color w:val="auto"/>
          <w:szCs w:val="21"/>
        </w:rPr>
      </w:pPr>
      <w:r>
        <w:rPr>
          <w:rFonts w:hint="eastAsia" w:ascii="宋体" w:hAnsi="宋体" w:cs="宋体"/>
          <w:color w:val="auto"/>
          <w:szCs w:val="21"/>
        </w:rPr>
        <w:t>2）卫生间要求（包括公共卫生间）：</w:t>
      </w:r>
    </w:p>
    <w:p w14:paraId="0A51A3F5">
      <w:pPr>
        <w:ind w:firstLine="420" w:firstLineChars="200"/>
        <w:rPr>
          <w:rFonts w:ascii="宋体" w:hAnsi="宋体" w:cs="宋体"/>
          <w:color w:val="auto"/>
          <w:szCs w:val="21"/>
        </w:rPr>
      </w:pPr>
      <w:r>
        <w:rPr>
          <w:rFonts w:hint="eastAsia" w:ascii="宋体" w:hAnsi="宋体" w:cs="宋体"/>
          <w:color w:val="auto"/>
          <w:szCs w:val="21"/>
        </w:rPr>
        <w:t>①镜子明亮，无积灰、水迹及污渍</w:t>
      </w:r>
    </w:p>
    <w:p w14:paraId="0E709325">
      <w:pPr>
        <w:ind w:firstLine="420" w:firstLineChars="200"/>
        <w:rPr>
          <w:rFonts w:ascii="宋体" w:hAnsi="宋体" w:cs="宋体"/>
          <w:color w:val="auto"/>
          <w:szCs w:val="21"/>
        </w:rPr>
      </w:pPr>
      <w:r>
        <w:rPr>
          <w:rFonts w:hint="eastAsia" w:ascii="宋体" w:hAnsi="宋体" w:cs="宋体"/>
          <w:color w:val="auto"/>
          <w:szCs w:val="21"/>
        </w:rPr>
        <w:t>②天花板无积灰，蜘蛛网</w:t>
      </w:r>
    </w:p>
    <w:p w14:paraId="0A0B75BE">
      <w:pPr>
        <w:ind w:firstLine="420" w:firstLineChars="200"/>
        <w:rPr>
          <w:rFonts w:ascii="宋体" w:hAnsi="宋体" w:cs="宋体"/>
          <w:color w:val="auto"/>
          <w:szCs w:val="21"/>
        </w:rPr>
      </w:pPr>
      <w:r>
        <w:rPr>
          <w:rFonts w:hint="eastAsia" w:ascii="宋体" w:hAnsi="宋体" w:cs="宋体"/>
          <w:color w:val="auto"/>
          <w:szCs w:val="21"/>
        </w:rPr>
        <w:t>③灯箱装饰板表面无积灰</w:t>
      </w:r>
    </w:p>
    <w:p w14:paraId="7588F70D">
      <w:pPr>
        <w:ind w:firstLine="420" w:firstLineChars="200"/>
        <w:rPr>
          <w:rFonts w:ascii="宋体" w:hAnsi="宋体" w:cs="宋体"/>
          <w:color w:val="auto"/>
          <w:szCs w:val="21"/>
        </w:rPr>
      </w:pPr>
      <w:r>
        <w:rPr>
          <w:rFonts w:hint="eastAsia" w:ascii="宋体" w:hAnsi="宋体" w:cs="宋体"/>
          <w:color w:val="auto"/>
          <w:szCs w:val="21"/>
        </w:rPr>
        <w:t>④坐厕盖板、座板清洁无水迹、内壁外壁无污迹</w:t>
      </w:r>
    </w:p>
    <w:p w14:paraId="73122CD0">
      <w:pPr>
        <w:ind w:firstLine="420" w:firstLineChars="200"/>
        <w:rPr>
          <w:rFonts w:ascii="宋体" w:hAnsi="宋体" w:cs="宋体"/>
          <w:color w:val="auto"/>
          <w:szCs w:val="21"/>
        </w:rPr>
      </w:pPr>
      <w:r>
        <w:rPr>
          <w:rFonts w:hint="eastAsia" w:ascii="宋体" w:hAnsi="宋体" w:cs="宋体"/>
          <w:color w:val="auto"/>
          <w:szCs w:val="21"/>
        </w:rPr>
        <w:t>⑤洗脸盆和沐浴房所有金属器表面清洁光亮、瓷盆内壁无水珠或皂渍，水塞无毛发</w:t>
      </w:r>
    </w:p>
    <w:p w14:paraId="03F326B0">
      <w:pPr>
        <w:ind w:firstLine="420" w:firstLineChars="200"/>
        <w:rPr>
          <w:rFonts w:ascii="宋体" w:hAnsi="宋体" w:cs="宋体"/>
          <w:color w:val="auto"/>
          <w:szCs w:val="21"/>
        </w:rPr>
      </w:pPr>
      <w:r>
        <w:rPr>
          <w:rFonts w:hint="eastAsia" w:ascii="宋体" w:hAnsi="宋体" w:cs="宋体"/>
          <w:color w:val="auto"/>
          <w:szCs w:val="21"/>
        </w:rPr>
        <w:t>⑥墙面、墙身面砖清洁光亮，无污迹</w:t>
      </w:r>
    </w:p>
    <w:p w14:paraId="77091B47">
      <w:pPr>
        <w:ind w:firstLine="420" w:firstLineChars="200"/>
        <w:rPr>
          <w:rFonts w:ascii="宋体" w:hAnsi="宋体" w:cs="宋体"/>
          <w:color w:val="auto"/>
          <w:szCs w:val="21"/>
        </w:rPr>
      </w:pPr>
      <w:r>
        <w:rPr>
          <w:rFonts w:hint="eastAsia" w:ascii="宋体" w:hAnsi="宋体" w:cs="宋体"/>
          <w:color w:val="auto"/>
          <w:szCs w:val="21"/>
        </w:rPr>
        <w:t>⑦沐浴房玻璃门干净，无污迹</w:t>
      </w:r>
    </w:p>
    <w:p w14:paraId="0EA90FC7">
      <w:pPr>
        <w:ind w:firstLine="420" w:firstLineChars="200"/>
        <w:rPr>
          <w:rFonts w:ascii="宋体" w:hAnsi="宋体" w:cs="宋体"/>
          <w:color w:val="auto"/>
          <w:szCs w:val="21"/>
        </w:rPr>
      </w:pPr>
      <w:r>
        <w:rPr>
          <w:rFonts w:hint="eastAsia" w:ascii="宋体" w:hAnsi="宋体" w:cs="宋体"/>
          <w:color w:val="auto"/>
          <w:szCs w:val="21"/>
        </w:rPr>
        <w:t>⑧毛巾架光亮无水迹</w:t>
      </w:r>
    </w:p>
    <w:p w14:paraId="6B9A41D7">
      <w:pPr>
        <w:ind w:firstLine="420" w:firstLineChars="200"/>
        <w:rPr>
          <w:rFonts w:ascii="宋体" w:hAnsi="宋体" w:cs="宋体"/>
          <w:color w:val="auto"/>
          <w:szCs w:val="21"/>
        </w:rPr>
      </w:pPr>
      <w:r>
        <w:rPr>
          <w:rFonts w:hint="eastAsia" w:ascii="宋体" w:hAnsi="宋体" w:cs="宋体"/>
          <w:color w:val="auto"/>
          <w:szCs w:val="21"/>
        </w:rPr>
        <w:t>⑨地漏无异味，地漏盖盖好，地砖擦拭干净，无烟灰及毛发留下</w:t>
      </w:r>
    </w:p>
    <w:p w14:paraId="1A268C20">
      <w:pPr>
        <w:ind w:firstLine="420" w:firstLineChars="200"/>
        <w:rPr>
          <w:rFonts w:ascii="宋体" w:hAnsi="宋体" w:cs="宋体"/>
          <w:color w:val="auto"/>
          <w:szCs w:val="21"/>
        </w:rPr>
      </w:pPr>
      <w:r>
        <w:rPr>
          <w:rFonts w:hint="eastAsia" w:ascii="宋体" w:hAnsi="宋体" w:cs="宋体"/>
          <w:color w:val="auto"/>
          <w:szCs w:val="21"/>
        </w:rPr>
        <w:t>⑩厕所地面无积水，便池内（含小便器）大小便及时冲净，无尿碱或污垢</w:t>
      </w:r>
    </w:p>
    <w:p w14:paraId="0AB91DD1">
      <w:pPr>
        <w:ind w:firstLine="420" w:firstLineChars="200"/>
        <w:rPr>
          <w:rFonts w:ascii="宋体" w:hAnsi="宋体" w:cs="宋体"/>
          <w:color w:val="auto"/>
          <w:szCs w:val="21"/>
        </w:rPr>
      </w:pPr>
      <w:r>
        <w:rPr>
          <w:rFonts w:hint="eastAsia" w:ascii="宋体" w:hAnsi="宋体" w:cs="宋体"/>
          <w:color w:val="auto"/>
          <w:szCs w:val="21"/>
        </w:rPr>
        <w:t>⑪抹布、拖把、扫把要及时清洗、消毒，保持干净，必须做好标记，挂在固定位置，分别按要求使用</w:t>
      </w:r>
    </w:p>
    <w:p w14:paraId="2E54E1FC">
      <w:pPr>
        <w:ind w:firstLine="420" w:firstLineChars="200"/>
        <w:rPr>
          <w:rFonts w:ascii="宋体" w:hAnsi="宋体" w:cs="宋体"/>
          <w:color w:val="auto"/>
          <w:szCs w:val="21"/>
        </w:rPr>
      </w:pPr>
      <w:r>
        <w:rPr>
          <w:rFonts w:hint="eastAsia" w:ascii="宋体" w:hAnsi="宋体" w:cs="宋体"/>
          <w:color w:val="auto"/>
          <w:szCs w:val="21"/>
        </w:rPr>
        <w:t>⑫垃圾桶必须经常专人检查，如果垃圾量超过三分之二，就应及时清倒，垃圾袋不得有破损，否则会导致垃圾溢出。垃圾袋按标准套入。垃圾筒定期清洗，消毒，内外壁干净、干燥、无异味。</w:t>
      </w:r>
    </w:p>
    <w:p w14:paraId="516003AE">
      <w:pPr>
        <w:ind w:firstLine="420" w:firstLineChars="200"/>
        <w:rPr>
          <w:rFonts w:ascii="宋体" w:hAnsi="宋体" w:cs="宋体"/>
          <w:color w:val="auto"/>
          <w:szCs w:val="21"/>
        </w:rPr>
      </w:pPr>
      <w:r>
        <w:rPr>
          <w:rFonts w:hint="eastAsia" w:ascii="宋体" w:hAnsi="宋体" w:cs="宋体"/>
          <w:color w:val="auto"/>
          <w:szCs w:val="21"/>
        </w:rPr>
        <w:t>⑬每月一次大检查</w:t>
      </w:r>
    </w:p>
    <w:p w14:paraId="1B746CF4">
      <w:pPr>
        <w:ind w:firstLine="420" w:firstLineChars="200"/>
        <w:rPr>
          <w:rFonts w:ascii="宋体" w:hAnsi="宋体" w:cs="宋体"/>
          <w:color w:val="auto"/>
          <w:szCs w:val="21"/>
        </w:rPr>
      </w:pPr>
      <w:r>
        <w:rPr>
          <w:rFonts w:hint="eastAsia" w:ascii="宋体" w:hAnsi="宋体" w:cs="宋体"/>
          <w:color w:val="auto"/>
          <w:szCs w:val="21"/>
        </w:rPr>
        <w:t>⑮病房卫生间是病人和家属倾倒污物的地方，是主要污染源，所以保洁时应彻底清除一切污物和污渍，每天定期进行消毒处理，保洁工具和材料必须专项专用。</w:t>
      </w:r>
    </w:p>
    <w:p w14:paraId="23F011CC">
      <w:pPr>
        <w:ind w:firstLine="420" w:firstLineChars="200"/>
        <w:rPr>
          <w:rFonts w:ascii="宋体" w:hAnsi="宋体" w:cs="宋体"/>
          <w:color w:val="auto"/>
          <w:szCs w:val="21"/>
        </w:rPr>
      </w:pPr>
      <w:r>
        <w:rPr>
          <w:rFonts w:hint="eastAsia" w:ascii="宋体" w:hAnsi="宋体" w:cs="宋体"/>
          <w:color w:val="auto"/>
          <w:szCs w:val="21"/>
        </w:rPr>
        <w:t>（6）行政办公室要求</w:t>
      </w:r>
    </w:p>
    <w:p w14:paraId="2E1246E9">
      <w:pPr>
        <w:ind w:firstLine="420" w:firstLineChars="200"/>
        <w:rPr>
          <w:rFonts w:ascii="宋体" w:hAnsi="宋体" w:cs="宋体"/>
          <w:color w:val="auto"/>
          <w:szCs w:val="21"/>
        </w:rPr>
      </w:pPr>
      <w:r>
        <w:rPr>
          <w:rFonts w:hint="eastAsia" w:ascii="宋体" w:hAnsi="宋体" w:cs="宋体"/>
          <w:color w:val="auto"/>
          <w:szCs w:val="21"/>
        </w:rPr>
        <w:t>1）保持安静、整洁、舒适、安全</w:t>
      </w:r>
    </w:p>
    <w:p w14:paraId="2605D6D8">
      <w:pPr>
        <w:ind w:firstLine="420" w:firstLineChars="200"/>
        <w:rPr>
          <w:rFonts w:ascii="宋体" w:hAnsi="宋体" w:cs="宋体"/>
          <w:color w:val="auto"/>
          <w:szCs w:val="21"/>
        </w:rPr>
      </w:pPr>
      <w:r>
        <w:rPr>
          <w:rFonts w:hint="eastAsia" w:ascii="宋体" w:hAnsi="宋体" w:cs="宋体"/>
          <w:color w:val="auto"/>
          <w:szCs w:val="21"/>
        </w:rPr>
        <w:t>2）墙面、桌面无尘</w:t>
      </w:r>
    </w:p>
    <w:p w14:paraId="0FA66E32">
      <w:pPr>
        <w:ind w:firstLine="420" w:firstLineChars="200"/>
        <w:rPr>
          <w:rFonts w:ascii="宋体" w:hAnsi="宋体" w:cs="宋体"/>
          <w:color w:val="auto"/>
          <w:szCs w:val="21"/>
        </w:rPr>
      </w:pPr>
      <w:r>
        <w:rPr>
          <w:rFonts w:hint="eastAsia" w:ascii="宋体" w:hAnsi="宋体" w:cs="宋体"/>
          <w:color w:val="auto"/>
          <w:szCs w:val="21"/>
        </w:rPr>
        <w:t>3）窗帘干净、整洁、无污染，悬挂符合标准</w:t>
      </w:r>
    </w:p>
    <w:p w14:paraId="1191AE7F">
      <w:pPr>
        <w:ind w:firstLine="420" w:firstLineChars="200"/>
        <w:rPr>
          <w:rFonts w:ascii="宋体" w:hAnsi="宋体" w:cs="宋体"/>
          <w:color w:val="auto"/>
          <w:szCs w:val="21"/>
        </w:rPr>
      </w:pPr>
      <w:r>
        <w:rPr>
          <w:rFonts w:hint="eastAsia" w:ascii="宋体" w:hAnsi="宋体" w:cs="宋体"/>
          <w:color w:val="auto"/>
          <w:szCs w:val="21"/>
        </w:rPr>
        <w:t>4）橱柜外无积灰，抽屉外干净无污迹</w:t>
      </w:r>
    </w:p>
    <w:p w14:paraId="7002AEB1">
      <w:pPr>
        <w:ind w:firstLine="420" w:firstLineChars="200"/>
        <w:rPr>
          <w:rFonts w:ascii="宋体" w:hAnsi="宋体" w:cs="宋体"/>
          <w:color w:val="auto"/>
          <w:szCs w:val="21"/>
        </w:rPr>
      </w:pPr>
      <w:r>
        <w:rPr>
          <w:rFonts w:hint="eastAsia" w:ascii="宋体" w:hAnsi="宋体" w:cs="宋体"/>
          <w:color w:val="auto"/>
          <w:szCs w:val="21"/>
        </w:rPr>
        <w:t>5）垃圾桶内外清洁，垃圾袋按标准套放</w:t>
      </w:r>
    </w:p>
    <w:p w14:paraId="64C0C4A5">
      <w:pPr>
        <w:ind w:firstLine="420" w:firstLineChars="200"/>
        <w:rPr>
          <w:rFonts w:ascii="宋体" w:hAnsi="宋体" w:cs="宋体"/>
          <w:color w:val="auto"/>
          <w:szCs w:val="21"/>
        </w:rPr>
      </w:pPr>
      <w:r>
        <w:rPr>
          <w:rFonts w:hint="eastAsia" w:ascii="宋体" w:hAnsi="宋体" w:cs="宋体"/>
          <w:color w:val="auto"/>
          <w:szCs w:val="21"/>
        </w:rPr>
        <w:t>6）墙面、风口无积灰</w:t>
      </w:r>
    </w:p>
    <w:p w14:paraId="1FBD304B">
      <w:pPr>
        <w:ind w:firstLine="420" w:firstLineChars="200"/>
        <w:rPr>
          <w:rFonts w:ascii="宋体" w:hAnsi="宋体" w:cs="宋体"/>
          <w:color w:val="auto"/>
          <w:szCs w:val="21"/>
        </w:rPr>
      </w:pPr>
      <w:r>
        <w:rPr>
          <w:rFonts w:hint="eastAsia" w:ascii="宋体" w:hAnsi="宋体" w:cs="宋体"/>
          <w:color w:val="auto"/>
          <w:szCs w:val="21"/>
        </w:rPr>
        <w:t>7）四角无蛛网尘埃</w:t>
      </w:r>
    </w:p>
    <w:p w14:paraId="4F48FEBF">
      <w:pPr>
        <w:ind w:firstLine="420" w:firstLineChars="200"/>
        <w:rPr>
          <w:rFonts w:ascii="宋体" w:hAnsi="宋体" w:cs="宋体"/>
          <w:color w:val="auto"/>
          <w:szCs w:val="21"/>
        </w:rPr>
      </w:pPr>
      <w:r>
        <w:rPr>
          <w:rFonts w:hint="eastAsia" w:ascii="宋体" w:hAnsi="宋体" w:cs="宋体"/>
          <w:color w:val="auto"/>
          <w:szCs w:val="21"/>
        </w:rPr>
        <w:t>8）玻璃窗清洁光亮，窗台、窗轨清洁无尘</w:t>
      </w:r>
    </w:p>
    <w:p w14:paraId="509F5FA3">
      <w:pPr>
        <w:ind w:firstLine="420" w:firstLineChars="200"/>
        <w:rPr>
          <w:rFonts w:ascii="宋体" w:hAnsi="宋体" w:cs="宋体"/>
          <w:color w:val="auto"/>
          <w:szCs w:val="21"/>
        </w:rPr>
      </w:pPr>
      <w:r>
        <w:rPr>
          <w:rFonts w:hint="eastAsia" w:ascii="宋体" w:hAnsi="宋体" w:cs="宋体"/>
          <w:color w:val="auto"/>
          <w:szCs w:val="21"/>
        </w:rPr>
        <w:t>9）每月一次大检查</w:t>
      </w:r>
    </w:p>
    <w:p w14:paraId="628C6060">
      <w:pPr>
        <w:ind w:firstLine="420" w:firstLineChars="200"/>
        <w:rPr>
          <w:rFonts w:ascii="宋体" w:hAnsi="宋体" w:cs="宋体"/>
          <w:color w:val="auto"/>
          <w:szCs w:val="21"/>
        </w:rPr>
      </w:pPr>
      <w:r>
        <w:rPr>
          <w:rFonts w:hint="eastAsia" w:ascii="宋体" w:hAnsi="宋体" w:cs="宋体"/>
          <w:color w:val="auto"/>
          <w:szCs w:val="21"/>
        </w:rPr>
        <w:t>10）打开水，其他临时交办的任务</w:t>
      </w:r>
    </w:p>
    <w:p w14:paraId="02B15ADC">
      <w:pPr>
        <w:ind w:firstLine="420" w:firstLineChars="200"/>
        <w:rPr>
          <w:rFonts w:ascii="宋体" w:hAnsi="宋体" w:cs="宋体"/>
          <w:color w:val="auto"/>
          <w:szCs w:val="21"/>
        </w:rPr>
      </w:pPr>
      <w:r>
        <w:rPr>
          <w:rFonts w:hint="eastAsia" w:ascii="宋体" w:hAnsi="宋体" w:cs="宋体"/>
          <w:color w:val="auto"/>
          <w:szCs w:val="21"/>
        </w:rPr>
        <w:t>11）日常保洁不得影响工作，保洁时间征得行政人员同意，如果遇到开会等情况，不得打搅或擅自进行保洁作业</w:t>
      </w:r>
    </w:p>
    <w:p w14:paraId="0ECCD1E8">
      <w:pPr>
        <w:ind w:firstLine="420" w:firstLineChars="200"/>
        <w:rPr>
          <w:rFonts w:ascii="宋体" w:hAnsi="宋体" w:cs="宋体"/>
          <w:color w:val="auto"/>
          <w:szCs w:val="21"/>
        </w:rPr>
      </w:pPr>
      <w:r>
        <w:rPr>
          <w:rFonts w:hint="eastAsia" w:ascii="宋体" w:hAnsi="宋体" w:cs="宋体"/>
          <w:color w:val="auto"/>
          <w:szCs w:val="21"/>
        </w:rPr>
        <w:t>12）不得翻阅资料，整理物品后应及时归位</w:t>
      </w:r>
    </w:p>
    <w:p w14:paraId="2505C456">
      <w:pPr>
        <w:ind w:firstLine="420" w:firstLineChars="200"/>
        <w:rPr>
          <w:rFonts w:ascii="宋体" w:hAnsi="宋体" w:cs="宋体"/>
          <w:color w:val="auto"/>
          <w:szCs w:val="21"/>
        </w:rPr>
      </w:pPr>
      <w:r>
        <w:rPr>
          <w:rFonts w:hint="eastAsia" w:ascii="宋体" w:hAnsi="宋体" w:cs="宋体"/>
          <w:color w:val="auto"/>
          <w:szCs w:val="21"/>
        </w:rPr>
        <w:t>13）应完成的其余工作</w:t>
      </w:r>
    </w:p>
    <w:p w14:paraId="3B2B582B">
      <w:pPr>
        <w:ind w:firstLine="420" w:firstLineChars="200"/>
        <w:rPr>
          <w:rFonts w:ascii="宋体" w:hAnsi="宋体" w:cs="宋体"/>
          <w:color w:val="auto"/>
          <w:szCs w:val="21"/>
        </w:rPr>
      </w:pPr>
      <w:r>
        <w:rPr>
          <w:rFonts w:hint="eastAsia" w:ascii="宋体" w:hAnsi="宋体" w:cs="宋体"/>
          <w:color w:val="auto"/>
          <w:szCs w:val="21"/>
        </w:rPr>
        <w:t>（7）宿舍管理服务内容及要求</w:t>
      </w:r>
    </w:p>
    <w:p w14:paraId="171A18EF">
      <w:pPr>
        <w:ind w:firstLine="420" w:firstLineChars="200"/>
        <w:rPr>
          <w:rFonts w:ascii="宋体" w:hAnsi="宋体" w:cs="宋体"/>
          <w:color w:val="auto"/>
          <w:szCs w:val="21"/>
        </w:rPr>
      </w:pPr>
      <w:r>
        <w:rPr>
          <w:rFonts w:hint="eastAsia" w:ascii="宋体" w:hAnsi="宋体" w:cs="宋体"/>
          <w:color w:val="auto"/>
          <w:szCs w:val="21"/>
        </w:rPr>
        <w:t>1）打扫集体宿舍公共区域卫生，包括走廊、门窗等，定期检查各楼层房间卫生及安全规范工作，协助搞好各宿舍的维修保养工作，以确保职工宿舍的清洁和安全</w:t>
      </w:r>
    </w:p>
    <w:p w14:paraId="2A1ADF23">
      <w:pPr>
        <w:ind w:firstLine="420" w:firstLineChars="200"/>
        <w:rPr>
          <w:rFonts w:ascii="宋体" w:hAnsi="宋体" w:cs="宋体"/>
          <w:color w:val="auto"/>
          <w:highlight w:val="yellow"/>
        </w:rPr>
      </w:pPr>
      <w:r>
        <w:rPr>
          <w:rFonts w:hint="eastAsia" w:ascii="宋体" w:hAnsi="宋体" w:cs="宋体"/>
          <w:color w:val="auto"/>
          <w:szCs w:val="21"/>
        </w:rPr>
        <w:t>2）维护职工宿舍正常秩序，保证宿舍安静</w:t>
      </w:r>
    </w:p>
    <w:p w14:paraId="3697890F">
      <w:pPr>
        <w:numPr>
          <w:ilvl w:val="0"/>
          <w:numId w:val="3"/>
        </w:numPr>
        <w:outlineLvl w:val="2"/>
        <w:rPr>
          <w:rFonts w:ascii="宋体" w:hAnsi="宋体" w:cs="宋体"/>
          <w:b/>
          <w:bCs/>
          <w:color w:val="auto"/>
          <w:sz w:val="24"/>
        </w:rPr>
      </w:pPr>
      <w:r>
        <w:rPr>
          <w:rFonts w:hint="eastAsia" w:ascii="宋体" w:hAnsi="宋体" w:cs="宋体"/>
          <w:b/>
          <w:bCs/>
          <w:color w:val="auto"/>
          <w:sz w:val="24"/>
        </w:rPr>
        <w:t>保洁质量与要求：</w:t>
      </w:r>
    </w:p>
    <w:p w14:paraId="2A90102E">
      <w:pPr>
        <w:ind w:firstLine="422" w:firstLineChars="200"/>
        <w:outlineLvl w:val="2"/>
        <w:rPr>
          <w:rFonts w:ascii="宋体" w:hAnsi="宋体" w:cs="宋体"/>
          <w:color w:val="auto"/>
        </w:rPr>
      </w:pPr>
      <w:r>
        <w:rPr>
          <w:rFonts w:hint="eastAsia" w:ascii="宋体" w:hAnsi="宋体" w:cs="宋体"/>
          <w:b/>
          <w:bCs/>
          <w:color w:val="auto"/>
        </w:rPr>
        <w:t>（一)</w:t>
      </w:r>
      <w:r>
        <w:rPr>
          <w:rFonts w:hint="eastAsia" w:ascii="宋体" w:hAnsi="宋体" w:cs="宋体"/>
          <w:b/>
          <w:bCs/>
          <w:color w:val="auto"/>
          <w:szCs w:val="21"/>
        </w:rPr>
        <w:t>保洁要求</w:t>
      </w:r>
    </w:p>
    <w:p w14:paraId="6A720251">
      <w:pPr>
        <w:ind w:firstLine="420" w:firstLineChars="200"/>
        <w:rPr>
          <w:rFonts w:ascii="宋体" w:hAnsi="宋体" w:cs="宋体"/>
          <w:color w:val="auto"/>
          <w:szCs w:val="21"/>
        </w:rPr>
      </w:pPr>
      <w:r>
        <w:rPr>
          <w:rFonts w:hint="eastAsia" w:ascii="宋体" w:hAnsi="宋体" w:cs="宋体"/>
          <w:color w:val="auto"/>
          <w:szCs w:val="21"/>
        </w:rPr>
        <w:t>1.门诊楼、住院楼：大厅、走廊、楼梯、电梯内、各诊室地面每日湿式清扫二次并至少半小时巡视一遍，以保持整洁；墙面、门、窗、天花板每月擦拭并保洁；内外科门诊每日至少清扫三次，有污染时随时清扫；公共厕所每日清扫二次并至少半小时巡视一遍，以保持整洁、无臭、无污垢；家具、水槽等每日擦拭一次并保持整洁；电梯厅、大厅内及候诊区域的凳子、桌子必须摆放于固定的位置并保持整洁；门诊值班室至少每周清扫一次，使用后及时保洁。</w:t>
      </w:r>
    </w:p>
    <w:p w14:paraId="34F4816D">
      <w:pPr>
        <w:ind w:firstLine="420" w:firstLineChars="200"/>
        <w:rPr>
          <w:rFonts w:ascii="宋体" w:hAnsi="宋体" w:cs="宋体"/>
          <w:color w:val="auto"/>
          <w:szCs w:val="21"/>
        </w:rPr>
      </w:pPr>
      <w:r>
        <w:rPr>
          <w:rFonts w:hint="eastAsia" w:ascii="宋体" w:hAnsi="宋体" w:cs="宋体"/>
          <w:color w:val="auto"/>
          <w:szCs w:val="21"/>
        </w:rPr>
        <w:t>2.护士站、治疗室、护士长办公室、医生办、主任办（演示教室）、病区地面（包括病房内卫生间）每日湿式清扫二次，床头柜、生活柜、电视机、盥洗室内水槽、开水器、护士站吧台、卫生间洗脸盘、马桶每日擦拭；值班室（包括家具、墙面、天棚）每周清扫二次；病区墙面、门、窗（包括卫生间内）、病床、凳子、陪人床、热水瓶架每周擦拭3-4次；病区天花板、空调等每月清洁一次；出院病人整理床单位及清点物品，按要求进行终末消毒；开水房和公共卫生间每日清扫二次。有污染时随时清扫。</w:t>
      </w:r>
    </w:p>
    <w:p w14:paraId="146C8F78">
      <w:pPr>
        <w:ind w:firstLine="420" w:firstLineChars="200"/>
        <w:rPr>
          <w:rFonts w:ascii="宋体" w:hAnsi="宋体" w:cs="宋体"/>
          <w:color w:val="auto"/>
          <w:szCs w:val="21"/>
        </w:rPr>
      </w:pPr>
      <w:r>
        <w:rPr>
          <w:rFonts w:hint="eastAsia" w:ascii="宋体" w:hAnsi="宋体" w:cs="宋体"/>
          <w:color w:val="auto"/>
          <w:szCs w:val="21"/>
        </w:rPr>
        <w:t>3.手术室、供应室、急诊室、输液室、ICU、检验科、放射科、中西药房等科室按各相关科室的要求做好保洁工作，负责部分科室开水供应，并符合院感考核要求。</w:t>
      </w:r>
    </w:p>
    <w:p w14:paraId="18E12234">
      <w:pPr>
        <w:ind w:firstLine="420" w:firstLineChars="200"/>
        <w:rPr>
          <w:rFonts w:ascii="宋体" w:hAnsi="宋体" w:cs="宋体"/>
          <w:color w:val="auto"/>
          <w:szCs w:val="21"/>
        </w:rPr>
      </w:pPr>
      <w:r>
        <w:rPr>
          <w:rFonts w:hint="eastAsia" w:ascii="宋体" w:hAnsi="宋体" w:cs="宋体"/>
          <w:color w:val="auto"/>
          <w:szCs w:val="21"/>
        </w:rPr>
        <w:t>4.集体宿舍走廊、厕所、楼梯至少每日清扫一次，每周拖地三次，每月大扫除（天棚、墙面），并保洁。</w:t>
      </w:r>
    </w:p>
    <w:p w14:paraId="42B509F2">
      <w:pPr>
        <w:ind w:firstLine="420" w:firstLineChars="200"/>
        <w:rPr>
          <w:rFonts w:ascii="宋体" w:hAnsi="宋体" w:cs="宋体"/>
          <w:color w:val="auto"/>
          <w:szCs w:val="21"/>
        </w:rPr>
      </w:pPr>
      <w:r>
        <w:rPr>
          <w:rFonts w:hint="eastAsia" w:ascii="宋体" w:hAnsi="宋体" w:cs="宋体"/>
          <w:color w:val="auto"/>
          <w:szCs w:val="21"/>
        </w:rPr>
        <w:t>5.场外道路、绿化带、地下车库、门前三包区域白天至少半小时巡视一遍，以保持整洁、无垃圾、无烟蒂；发热门诊每日一次清扫。</w:t>
      </w:r>
    </w:p>
    <w:p w14:paraId="75998351">
      <w:pPr>
        <w:ind w:firstLine="420" w:firstLineChars="200"/>
        <w:rPr>
          <w:rFonts w:ascii="宋体" w:hAnsi="宋体" w:cs="宋体"/>
          <w:color w:val="auto"/>
          <w:szCs w:val="21"/>
        </w:rPr>
      </w:pPr>
      <w:r>
        <w:rPr>
          <w:rFonts w:hint="eastAsia" w:ascii="宋体" w:hAnsi="宋体" w:cs="宋体"/>
          <w:color w:val="auto"/>
          <w:szCs w:val="21"/>
        </w:rPr>
        <w:t>6.做好生活垃圾和医疗垃圾分类收集。垃圾收集每日二次，病房内垃圾袋视季节变化更换1-2次，特殊情况随时更换，全院生活垃圾一日二次外运及处置，医院内部垃圾存放区域每天清洗、消毒1次，每周全面清洗消毒1次。</w:t>
      </w:r>
    </w:p>
    <w:p w14:paraId="5D9ED9BA">
      <w:pPr>
        <w:ind w:firstLine="420" w:firstLineChars="200"/>
        <w:rPr>
          <w:rFonts w:ascii="宋体" w:hAnsi="宋体" w:cs="宋体"/>
          <w:color w:val="auto"/>
          <w:szCs w:val="21"/>
        </w:rPr>
      </w:pPr>
      <w:r>
        <w:rPr>
          <w:rFonts w:hint="eastAsia" w:ascii="宋体" w:hAnsi="宋体" w:cs="宋体"/>
          <w:color w:val="auto"/>
          <w:szCs w:val="21"/>
        </w:rPr>
        <w:t>7.医疗垃圾交接、称重、运送、登记及暂存点、运送工具的消毒由专人负责管理，并符合院感要求。</w:t>
      </w:r>
    </w:p>
    <w:p w14:paraId="479F0C2F">
      <w:pPr>
        <w:ind w:firstLine="420" w:firstLineChars="200"/>
        <w:rPr>
          <w:rFonts w:ascii="宋体" w:hAnsi="宋体" w:cs="宋体"/>
          <w:color w:val="auto"/>
        </w:rPr>
      </w:pPr>
      <w:r>
        <w:rPr>
          <w:rFonts w:hint="eastAsia" w:ascii="宋体" w:hAnsi="宋体" w:cs="宋体"/>
          <w:color w:val="auto"/>
          <w:szCs w:val="21"/>
        </w:rPr>
        <w:t>8.中午、晚上医院内整体保洁工作。</w:t>
      </w:r>
    </w:p>
    <w:p w14:paraId="380CE485">
      <w:pPr>
        <w:ind w:firstLine="422" w:firstLineChars="200"/>
        <w:outlineLvl w:val="2"/>
        <w:rPr>
          <w:rFonts w:ascii="宋体" w:hAnsi="宋体" w:cs="宋体"/>
          <w:color w:val="auto"/>
        </w:rPr>
      </w:pPr>
      <w:r>
        <w:rPr>
          <w:rFonts w:hint="eastAsia" w:ascii="宋体" w:hAnsi="宋体" w:cs="宋体"/>
          <w:b/>
          <w:bCs/>
          <w:color w:val="auto"/>
        </w:rPr>
        <w:t>（二)操作要求</w:t>
      </w:r>
    </w:p>
    <w:p w14:paraId="213E1A1B">
      <w:pPr>
        <w:ind w:firstLine="420" w:firstLineChars="200"/>
        <w:rPr>
          <w:rFonts w:ascii="宋体" w:hAnsi="宋体" w:cs="宋体"/>
          <w:color w:val="auto"/>
        </w:rPr>
      </w:pPr>
      <w:r>
        <w:rPr>
          <w:rFonts w:hint="eastAsia" w:ascii="宋体" w:hAnsi="宋体" w:cs="宋体"/>
          <w:color w:val="auto"/>
        </w:rPr>
        <w:t>一)室内环境卫生</w:t>
      </w:r>
    </w:p>
    <w:p w14:paraId="68F73432">
      <w:pPr>
        <w:ind w:firstLine="420" w:firstLineChars="200"/>
        <w:rPr>
          <w:rFonts w:ascii="宋体" w:hAnsi="宋体" w:cs="宋体"/>
          <w:color w:val="auto"/>
        </w:rPr>
      </w:pPr>
      <w:r>
        <w:rPr>
          <w:rFonts w:hint="eastAsia" w:ascii="宋体" w:hAnsi="宋体" w:cs="宋体"/>
          <w:color w:val="auto"/>
        </w:rPr>
        <w:t>1.对各大厅、走廊、电梯厅及科室（病区阳台、病房地面等）每日上、下午两次重点清理，湿式清扫，拖抹、推尘、吸尘（病房地面清洁、垃圾袋更换上午必须8：00前完成）。有污迹随时清除；楼梯、台阶每日不间断清扫。</w:t>
      </w:r>
    </w:p>
    <w:p w14:paraId="5181646B">
      <w:pPr>
        <w:ind w:firstLine="420" w:firstLineChars="200"/>
        <w:rPr>
          <w:rFonts w:ascii="宋体" w:hAnsi="宋体" w:cs="宋体"/>
          <w:color w:val="auto"/>
        </w:rPr>
      </w:pPr>
      <w:r>
        <w:rPr>
          <w:rFonts w:hint="eastAsia" w:ascii="宋体" w:hAnsi="宋体" w:cs="宋体"/>
          <w:color w:val="auto"/>
        </w:rPr>
        <w:t>2.床档、床下、凳子、床头柜、阳台壁橱每日全面擦拭、清洁一次；出院病人的病床、凳子、壁橱及床头柜及时予以清洁。</w:t>
      </w:r>
    </w:p>
    <w:p w14:paraId="458CA509">
      <w:pPr>
        <w:ind w:firstLine="420" w:firstLineChars="200"/>
        <w:rPr>
          <w:rFonts w:ascii="宋体" w:hAnsi="宋体" w:cs="宋体"/>
          <w:color w:val="auto"/>
        </w:rPr>
      </w:pPr>
      <w:r>
        <w:rPr>
          <w:rFonts w:hint="eastAsia" w:ascii="宋体" w:hAnsi="宋体" w:cs="宋体"/>
          <w:color w:val="auto"/>
        </w:rPr>
        <w:t>3.卫生间洗手盆、便槽、墙壁、镜子每日全面擦拭清洁，特殊情况及时清洁；无污垢、臭味，地面无积水。适时使用空气清新剂或配置檀香。</w:t>
      </w:r>
    </w:p>
    <w:p w14:paraId="31937351">
      <w:pPr>
        <w:ind w:firstLine="420" w:firstLineChars="200"/>
        <w:rPr>
          <w:rFonts w:ascii="宋体" w:hAnsi="宋体" w:cs="宋体"/>
          <w:color w:val="auto"/>
        </w:rPr>
      </w:pPr>
      <w:r>
        <w:rPr>
          <w:rFonts w:hint="eastAsia" w:ascii="宋体" w:hAnsi="宋体" w:cs="宋体"/>
          <w:color w:val="auto"/>
        </w:rPr>
        <w:t>4.室内外所有灯具开关、艺术装饰品、图形符号等标识标牌每日加床时按病房一样保洁。</w:t>
      </w:r>
    </w:p>
    <w:p w14:paraId="6860E7CE">
      <w:pPr>
        <w:ind w:firstLine="420" w:firstLineChars="200"/>
        <w:rPr>
          <w:rFonts w:ascii="宋体" w:hAnsi="宋体" w:cs="宋体"/>
          <w:color w:val="auto"/>
        </w:rPr>
      </w:pPr>
      <w:r>
        <w:rPr>
          <w:rFonts w:hint="eastAsia" w:ascii="宋体" w:hAnsi="宋体" w:cs="宋体"/>
          <w:color w:val="auto"/>
        </w:rPr>
        <w:t>5.病室及走廊墙壁每周擦拭至少一次，有污迹及时擦净。活动室加床时按病房一样保洁。</w:t>
      </w:r>
    </w:p>
    <w:p w14:paraId="67ADE963">
      <w:pPr>
        <w:ind w:firstLine="420" w:firstLineChars="200"/>
        <w:rPr>
          <w:rFonts w:ascii="宋体" w:hAnsi="宋体" w:cs="宋体"/>
          <w:color w:val="auto"/>
        </w:rPr>
      </w:pPr>
      <w:r>
        <w:rPr>
          <w:rFonts w:hint="eastAsia" w:ascii="宋体" w:hAnsi="宋体" w:cs="宋体"/>
          <w:color w:val="auto"/>
        </w:rPr>
        <w:t>6.垃圾桶、箱每日清洁，各室的纸篓垃圾袋，上、下各更换一次，特殊情况增加更换次数（垃圾八分满应及时倾倒）。医疗垃圾一律用印有标记的黄色专用包装袋。</w:t>
      </w:r>
    </w:p>
    <w:p w14:paraId="583A4720">
      <w:pPr>
        <w:ind w:firstLine="420" w:firstLineChars="200"/>
        <w:rPr>
          <w:rFonts w:ascii="宋体" w:hAnsi="宋体" w:cs="宋体"/>
          <w:color w:val="auto"/>
        </w:rPr>
      </w:pPr>
      <w:r>
        <w:rPr>
          <w:rFonts w:hint="eastAsia" w:ascii="宋体" w:hAnsi="宋体" w:cs="宋体"/>
          <w:color w:val="auto"/>
        </w:rPr>
        <w:t>7.医生办公室、护理站、检查室、器械间、病室的家具每日全面擦拭，有污迹或需要时随时清洁。</w:t>
      </w:r>
    </w:p>
    <w:p w14:paraId="1AC358C7">
      <w:pPr>
        <w:ind w:firstLine="420" w:firstLineChars="200"/>
        <w:rPr>
          <w:rFonts w:ascii="宋体" w:hAnsi="宋体" w:cs="宋体"/>
          <w:color w:val="auto"/>
        </w:rPr>
      </w:pPr>
      <w:r>
        <w:rPr>
          <w:rFonts w:hint="eastAsia" w:ascii="宋体" w:hAnsi="宋体" w:cs="宋体"/>
          <w:color w:val="auto"/>
        </w:rPr>
        <w:t>8.科主任办公室、医护人员值班室每周全面打扫二次。如有特殊情况随时保洁。</w:t>
      </w:r>
    </w:p>
    <w:p w14:paraId="7AE7CB98">
      <w:pPr>
        <w:ind w:firstLine="420" w:firstLineChars="200"/>
        <w:rPr>
          <w:rFonts w:ascii="宋体" w:hAnsi="宋体" w:cs="宋体"/>
          <w:color w:val="auto"/>
        </w:rPr>
      </w:pPr>
      <w:r>
        <w:rPr>
          <w:rFonts w:hint="eastAsia" w:ascii="宋体" w:hAnsi="宋体" w:cs="宋体"/>
          <w:color w:val="auto"/>
        </w:rPr>
        <w:t>9.ICU室内湿式清洁卫生时建议用0.1%的施康溶液。</w:t>
      </w:r>
    </w:p>
    <w:p w14:paraId="480C3A10">
      <w:pPr>
        <w:ind w:firstLine="420" w:firstLineChars="200"/>
        <w:rPr>
          <w:rFonts w:ascii="宋体" w:hAnsi="宋体" w:cs="宋体"/>
          <w:color w:val="auto"/>
        </w:rPr>
      </w:pPr>
      <w:r>
        <w:rPr>
          <w:rFonts w:hint="eastAsia" w:ascii="宋体" w:hAnsi="宋体" w:cs="宋体"/>
          <w:color w:val="auto"/>
        </w:rPr>
        <w:t>10.所有天花板、灯管、玻璃窗、抽气风口等至少每月清洁一次。出入口的台阶及地面每周用水枪冲刷一次，室外露台、门厅、采光顶、雨棚定期清洁。对每楼层病室外走廊、护理站、电梯厅等地面每月进行洗涤、清洗。</w:t>
      </w:r>
    </w:p>
    <w:p w14:paraId="6FC4F02A">
      <w:pPr>
        <w:ind w:firstLine="420" w:firstLineChars="200"/>
        <w:rPr>
          <w:rFonts w:ascii="宋体" w:hAnsi="宋体" w:cs="宋体"/>
          <w:color w:val="auto"/>
        </w:rPr>
      </w:pPr>
      <w:r>
        <w:rPr>
          <w:rFonts w:hint="eastAsia" w:ascii="宋体" w:hAnsi="宋体" w:cs="宋体"/>
          <w:color w:val="auto"/>
        </w:rPr>
        <w:t>二）室外环境卫生</w:t>
      </w:r>
    </w:p>
    <w:p w14:paraId="3E563D95">
      <w:pPr>
        <w:ind w:firstLine="420" w:firstLineChars="200"/>
        <w:rPr>
          <w:rFonts w:ascii="宋体" w:hAnsi="宋体" w:cs="宋体"/>
          <w:color w:val="auto"/>
        </w:rPr>
      </w:pPr>
      <w:r>
        <w:rPr>
          <w:rFonts w:hint="eastAsia" w:ascii="宋体" w:hAnsi="宋体" w:cs="宋体"/>
          <w:color w:val="auto"/>
        </w:rPr>
        <w:t>1.医院建筑物外部的公共地面（含绿化地带）在每天XX时间前全面清扫为3次，其余时间作巡回保洁；每月用水对全院公共地面清洗为4次</w:t>
      </w:r>
    </w:p>
    <w:p w14:paraId="225DDDD0">
      <w:pPr>
        <w:ind w:firstLine="420" w:firstLineChars="200"/>
        <w:rPr>
          <w:rFonts w:ascii="宋体" w:hAnsi="宋体" w:cs="宋体"/>
          <w:color w:val="auto"/>
        </w:rPr>
      </w:pPr>
      <w:r>
        <w:rPr>
          <w:rFonts w:hint="eastAsia" w:ascii="宋体" w:hAnsi="宋体" w:cs="宋体"/>
          <w:color w:val="auto"/>
        </w:rPr>
        <w:t>2.公共地域地面以上的门、窗、墙、消防栓、公告栏、栏杆、各类标识物等配套设施随时清洁保持干净。公用椅、凳、台每天清抹及消毒为2次，灯具清抹每月为1次。</w:t>
      </w:r>
    </w:p>
    <w:p w14:paraId="34AEFF14">
      <w:pPr>
        <w:ind w:firstLine="420" w:firstLineChars="200"/>
        <w:rPr>
          <w:rFonts w:ascii="宋体" w:hAnsi="宋体" w:cs="宋体"/>
          <w:color w:val="auto"/>
        </w:rPr>
      </w:pPr>
      <w:r>
        <w:rPr>
          <w:rFonts w:hint="eastAsia" w:ascii="宋体" w:hAnsi="宋体" w:cs="宋体"/>
          <w:color w:val="auto"/>
        </w:rPr>
        <w:t>3.公共地域的垃圾箱每天清洁及消毒为2次。</w:t>
      </w:r>
    </w:p>
    <w:p w14:paraId="5FA153FD">
      <w:pPr>
        <w:ind w:firstLine="420" w:firstLineChars="200"/>
        <w:rPr>
          <w:rFonts w:ascii="宋体" w:hAnsi="宋体" w:cs="宋体"/>
          <w:color w:val="auto"/>
        </w:rPr>
      </w:pPr>
      <w:r>
        <w:rPr>
          <w:rFonts w:hint="eastAsia" w:ascii="宋体" w:hAnsi="宋体" w:cs="宋体"/>
          <w:color w:val="auto"/>
        </w:rPr>
        <w:t>4.地面有血、污液的即时清洗及消毒。</w:t>
      </w:r>
    </w:p>
    <w:p w14:paraId="52A5408F">
      <w:pPr>
        <w:ind w:firstLine="420" w:firstLineChars="200"/>
        <w:rPr>
          <w:rFonts w:ascii="宋体" w:hAnsi="宋体" w:cs="宋体"/>
          <w:color w:val="auto"/>
        </w:rPr>
      </w:pPr>
      <w:r>
        <w:rPr>
          <w:rFonts w:hint="eastAsia" w:ascii="宋体" w:hAnsi="宋体" w:cs="宋体"/>
          <w:color w:val="auto"/>
        </w:rPr>
        <w:t>5.每月全面清理为2次，其余时间巡回保洁。</w:t>
      </w:r>
    </w:p>
    <w:p w14:paraId="24044D15">
      <w:pPr>
        <w:ind w:firstLine="420" w:firstLineChars="200"/>
        <w:rPr>
          <w:rFonts w:ascii="宋体" w:hAnsi="宋体" w:cs="宋体"/>
          <w:color w:val="auto"/>
        </w:rPr>
      </w:pPr>
      <w:r>
        <w:rPr>
          <w:rFonts w:hint="eastAsia" w:ascii="宋体" w:hAnsi="宋体" w:cs="宋体"/>
          <w:color w:val="auto"/>
        </w:rPr>
        <w:t>6.公共区域的卫生间每天全面清洁、清理、消毒为3次，其余时间进行巡回保洁。</w:t>
      </w:r>
    </w:p>
    <w:p w14:paraId="0A5B5E0E">
      <w:pPr>
        <w:ind w:firstLine="422" w:firstLineChars="200"/>
        <w:outlineLvl w:val="2"/>
        <w:rPr>
          <w:rFonts w:ascii="宋体" w:hAnsi="宋体" w:cs="宋体"/>
          <w:b/>
          <w:bCs/>
          <w:color w:val="auto"/>
        </w:rPr>
      </w:pPr>
      <w:r>
        <w:rPr>
          <w:rFonts w:hint="eastAsia" w:ascii="宋体" w:hAnsi="宋体" w:cs="宋体"/>
          <w:b/>
          <w:bCs/>
          <w:color w:val="auto"/>
        </w:rPr>
        <w:t>(三）保洁标准（附</w:t>
      </w:r>
      <w:r>
        <w:rPr>
          <w:rFonts w:hint="eastAsia" w:ascii="宋体" w:hAnsi="宋体" w:cs="宋体"/>
          <w:b/>
          <w:bCs/>
          <w:color w:val="auto"/>
          <w:szCs w:val="21"/>
        </w:rPr>
        <w:t>具体保洁标准明细表）</w:t>
      </w:r>
    </w:p>
    <w:p w14:paraId="3560524D">
      <w:pPr>
        <w:ind w:firstLine="630" w:firstLineChars="300"/>
        <w:rPr>
          <w:rFonts w:ascii="宋体" w:hAnsi="宋体" w:cs="宋体"/>
          <w:color w:val="auto"/>
        </w:rPr>
      </w:pPr>
      <w:r>
        <w:rPr>
          <w:rFonts w:hint="eastAsia" w:ascii="宋体" w:hAnsi="宋体" w:cs="宋体"/>
          <w:color w:val="auto"/>
        </w:rPr>
        <w:t>一）室内环境卫生</w:t>
      </w:r>
    </w:p>
    <w:p w14:paraId="4B4FE38D">
      <w:pPr>
        <w:ind w:firstLine="420" w:firstLineChars="200"/>
        <w:rPr>
          <w:rFonts w:ascii="宋体" w:hAnsi="宋体" w:cs="宋体"/>
          <w:color w:val="auto"/>
        </w:rPr>
      </w:pPr>
      <w:r>
        <w:rPr>
          <w:rFonts w:hint="eastAsia" w:ascii="宋体" w:hAnsi="宋体" w:cs="宋体"/>
          <w:color w:val="auto"/>
        </w:rPr>
        <w:t>1.地面无污渍、痰迹，无纸屑杂质；</w:t>
      </w:r>
    </w:p>
    <w:p w14:paraId="1A57E291">
      <w:pPr>
        <w:ind w:firstLine="420" w:firstLineChars="200"/>
        <w:rPr>
          <w:rFonts w:ascii="宋体" w:hAnsi="宋体" w:cs="宋体"/>
          <w:color w:val="auto"/>
        </w:rPr>
      </w:pPr>
      <w:r>
        <w:rPr>
          <w:rFonts w:hint="eastAsia" w:ascii="宋体" w:hAnsi="宋体" w:cs="宋体"/>
          <w:color w:val="auto"/>
        </w:rPr>
        <w:t>2.天花板、墙面、墙角无蜘蛛网，灯3具光亮清洁；</w:t>
      </w:r>
    </w:p>
    <w:p w14:paraId="4100E380">
      <w:pPr>
        <w:ind w:firstLine="420" w:firstLineChars="200"/>
        <w:rPr>
          <w:rFonts w:ascii="宋体" w:hAnsi="宋体" w:cs="宋体"/>
          <w:color w:val="auto"/>
        </w:rPr>
      </w:pPr>
      <w:r>
        <w:rPr>
          <w:rFonts w:hint="eastAsia" w:ascii="宋体" w:hAnsi="宋体" w:cs="宋体"/>
          <w:color w:val="auto"/>
        </w:rPr>
        <w:t>3.室内外所有灯具开关、艺术装饰品、图形符号等标识标牌无污迹、灰尘；</w:t>
      </w:r>
    </w:p>
    <w:p w14:paraId="364FA0FA">
      <w:pPr>
        <w:ind w:firstLine="420" w:firstLineChars="200"/>
        <w:rPr>
          <w:rFonts w:ascii="宋体" w:hAnsi="宋体" w:cs="宋体"/>
          <w:color w:val="auto"/>
        </w:rPr>
      </w:pPr>
      <w:r>
        <w:rPr>
          <w:rFonts w:hint="eastAsia" w:ascii="宋体" w:hAnsi="宋体" w:cs="宋体"/>
          <w:color w:val="auto"/>
        </w:rPr>
        <w:t>4.台面、栏杆、椅子、沙发、床档整洁无灰尘，床头柜无蟑螂、蟑迹；</w:t>
      </w:r>
    </w:p>
    <w:p w14:paraId="55501E82">
      <w:pPr>
        <w:ind w:firstLine="420" w:firstLineChars="200"/>
        <w:rPr>
          <w:rFonts w:ascii="宋体" w:hAnsi="宋体" w:cs="宋体"/>
          <w:color w:val="auto"/>
        </w:rPr>
      </w:pPr>
      <w:r>
        <w:rPr>
          <w:rFonts w:hint="eastAsia" w:ascii="宋体" w:hAnsi="宋体" w:cs="宋体"/>
          <w:color w:val="auto"/>
        </w:rPr>
        <w:t>5.玻璃门、窗光亮、清洁，无污迹、水迹、灰尘及明显手印；</w:t>
      </w:r>
    </w:p>
    <w:p w14:paraId="02E5F07E">
      <w:pPr>
        <w:ind w:firstLine="420" w:firstLineChars="200"/>
        <w:rPr>
          <w:rFonts w:ascii="宋体" w:hAnsi="宋体" w:cs="宋体"/>
          <w:color w:val="auto"/>
        </w:rPr>
      </w:pPr>
      <w:r>
        <w:rPr>
          <w:rFonts w:hint="eastAsia" w:ascii="宋体" w:hAnsi="宋体" w:cs="宋体"/>
          <w:color w:val="auto"/>
        </w:rPr>
        <w:t>6.卫生间无异味、臭味，地面无积水、污渍，墙壁、天棚无蜘蛛网，卫生洁具清洁、镜子明净无灰尘、污痕；</w:t>
      </w:r>
    </w:p>
    <w:p w14:paraId="0C3BFE40">
      <w:pPr>
        <w:ind w:firstLine="420" w:firstLineChars="200"/>
        <w:rPr>
          <w:rFonts w:ascii="宋体" w:hAnsi="宋体" w:cs="宋体"/>
          <w:color w:val="auto"/>
        </w:rPr>
      </w:pPr>
      <w:r>
        <w:rPr>
          <w:rFonts w:hint="eastAsia" w:ascii="宋体" w:hAnsi="宋体" w:cs="宋体"/>
          <w:color w:val="auto"/>
        </w:rPr>
        <w:t>7.垃圾箱内垃圾不高出垃圾箱平面，表面干燥，外表干净，无积垢、臭味；</w:t>
      </w:r>
    </w:p>
    <w:p w14:paraId="21DF20EF">
      <w:pPr>
        <w:ind w:firstLine="420" w:firstLineChars="200"/>
        <w:rPr>
          <w:rFonts w:ascii="宋体" w:hAnsi="宋体" w:cs="宋体"/>
          <w:color w:val="auto"/>
        </w:rPr>
      </w:pPr>
      <w:r>
        <w:rPr>
          <w:rFonts w:hint="eastAsia" w:ascii="宋体" w:hAnsi="宋体" w:cs="宋体"/>
          <w:color w:val="auto"/>
        </w:rPr>
        <w:t>8.保洁设施、用具堆放整洁有序。</w:t>
      </w:r>
    </w:p>
    <w:p w14:paraId="647CF9A6">
      <w:pPr>
        <w:ind w:firstLine="630" w:firstLineChars="300"/>
        <w:rPr>
          <w:rFonts w:ascii="宋体" w:hAnsi="宋体" w:cs="宋体"/>
          <w:color w:val="auto"/>
        </w:rPr>
      </w:pPr>
      <w:r>
        <w:rPr>
          <w:rFonts w:hint="eastAsia" w:ascii="宋体" w:hAnsi="宋体" w:cs="宋体"/>
          <w:color w:val="auto"/>
        </w:rPr>
        <w:t>二）室外环境卫生</w:t>
      </w:r>
    </w:p>
    <w:p w14:paraId="224F7BBA">
      <w:pPr>
        <w:ind w:firstLine="420" w:firstLineChars="200"/>
        <w:rPr>
          <w:rFonts w:ascii="宋体" w:hAnsi="宋体" w:cs="宋体"/>
          <w:color w:val="auto"/>
        </w:rPr>
      </w:pPr>
      <w:r>
        <w:rPr>
          <w:rFonts w:hint="eastAsia" w:ascii="宋体" w:hAnsi="宋体" w:cs="宋体"/>
          <w:color w:val="auto"/>
        </w:rPr>
        <w:t>1.地面保持干净、整洁、非雨季、雨天时保持干爽。</w:t>
      </w:r>
    </w:p>
    <w:p w14:paraId="166D19E0">
      <w:pPr>
        <w:ind w:firstLine="420" w:firstLineChars="200"/>
        <w:rPr>
          <w:rFonts w:ascii="宋体" w:hAnsi="宋体" w:cs="宋体"/>
          <w:color w:val="auto"/>
        </w:rPr>
      </w:pPr>
      <w:r>
        <w:rPr>
          <w:rFonts w:hint="eastAsia" w:ascii="宋体" w:hAnsi="宋体" w:cs="宋体"/>
          <w:color w:val="auto"/>
        </w:rPr>
        <w:t>2.地面杂物及时清理</w:t>
      </w:r>
    </w:p>
    <w:p w14:paraId="28DB7D8B">
      <w:pPr>
        <w:ind w:firstLine="420" w:firstLineChars="200"/>
        <w:rPr>
          <w:rFonts w:ascii="宋体" w:hAnsi="宋体" w:cs="宋体"/>
          <w:color w:val="auto"/>
        </w:rPr>
      </w:pPr>
      <w:r>
        <w:rPr>
          <w:rFonts w:hint="eastAsia" w:ascii="宋体" w:hAnsi="宋体" w:cs="宋体"/>
          <w:color w:val="auto"/>
        </w:rPr>
        <w:t>3.地面有血、污液时及时清洗并按消毒规范进行消毒处理。</w:t>
      </w:r>
    </w:p>
    <w:p w14:paraId="07C21976">
      <w:pPr>
        <w:ind w:firstLine="420" w:firstLineChars="200"/>
        <w:rPr>
          <w:rFonts w:ascii="宋体" w:hAnsi="宋体" w:cs="宋体"/>
          <w:color w:val="auto"/>
        </w:rPr>
      </w:pPr>
      <w:r>
        <w:rPr>
          <w:rFonts w:hint="eastAsia" w:ascii="宋体" w:hAnsi="宋体" w:cs="宋体"/>
          <w:color w:val="auto"/>
        </w:rPr>
        <w:t>4.垃圾箱内垃圾满则清倒，周围无不雅异味，消毒规范。</w:t>
      </w:r>
    </w:p>
    <w:p w14:paraId="0A7A7D47">
      <w:pPr>
        <w:ind w:firstLine="420" w:firstLineChars="200"/>
        <w:rPr>
          <w:rFonts w:ascii="宋体" w:hAnsi="宋体" w:cs="宋体"/>
          <w:color w:val="auto"/>
        </w:rPr>
      </w:pPr>
      <w:r>
        <w:rPr>
          <w:rFonts w:hint="eastAsia" w:ascii="宋体" w:hAnsi="宋体" w:cs="宋体"/>
          <w:color w:val="auto"/>
        </w:rPr>
        <w:t>5.地面及附设物无明显青苔、杂草。</w:t>
      </w:r>
    </w:p>
    <w:p w14:paraId="6FDF7EF3">
      <w:pPr>
        <w:ind w:firstLine="420" w:firstLineChars="200"/>
        <w:rPr>
          <w:rFonts w:ascii="宋体" w:hAnsi="宋体" w:cs="宋体"/>
          <w:color w:val="auto"/>
        </w:rPr>
      </w:pPr>
      <w:r>
        <w:rPr>
          <w:rFonts w:hint="eastAsia" w:ascii="宋体" w:hAnsi="宋体" w:cs="宋体"/>
          <w:color w:val="auto"/>
        </w:rPr>
        <w:t>6.各类标识、墙壁有不当广告、张贴物时要及时清理并不留明显污痕。</w:t>
      </w:r>
    </w:p>
    <w:p w14:paraId="3371F6BB">
      <w:pPr>
        <w:ind w:firstLine="420" w:firstLineChars="200"/>
        <w:rPr>
          <w:rFonts w:ascii="宋体" w:hAnsi="宋体" w:cs="宋体"/>
          <w:color w:val="auto"/>
        </w:rPr>
      </w:pPr>
      <w:r>
        <w:rPr>
          <w:rFonts w:hint="eastAsia" w:ascii="宋体" w:hAnsi="宋体" w:cs="宋体"/>
          <w:color w:val="auto"/>
        </w:rPr>
        <w:t>7.清扫、清洗地面及公共附设物时不过分扬尘、无过分噪音。</w:t>
      </w:r>
    </w:p>
    <w:p w14:paraId="597B6622">
      <w:pPr>
        <w:ind w:firstLine="420" w:firstLineChars="200"/>
        <w:rPr>
          <w:rFonts w:ascii="宋体" w:hAnsi="宋体" w:cs="宋体"/>
          <w:color w:val="auto"/>
        </w:rPr>
      </w:pPr>
      <w:r>
        <w:rPr>
          <w:rFonts w:hint="eastAsia" w:ascii="宋体" w:hAnsi="宋体" w:cs="宋体"/>
          <w:color w:val="auto"/>
        </w:rPr>
        <w:t>三）各区域卫生标准明细</w:t>
      </w:r>
    </w:p>
    <w:p w14:paraId="5120568E">
      <w:pPr>
        <w:ind w:firstLine="420" w:firstLineChars="200"/>
        <w:rPr>
          <w:rFonts w:ascii="宋体" w:hAnsi="宋体" w:cs="宋体"/>
          <w:color w:val="auto"/>
        </w:rPr>
      </w:pPr>
      <w:r>
        <w:rPr>
          <w:rFonts w:hint="eastAsia" w:ascii="宋体" w:hAnsi="宋体" w:cs="宋体"/>
          <w:color w:val="auto"/>
        </w:rPr>
        <w:t>1.楼内区域（各楼层卫生区域）</w:t>
      </w:r>
    </w:p>
    <w:p w14:paraId="4D4E8D6D">
      <w:pPr>
        <w:ind w:firstLine="420" w:firstLineChars="200"/>
        <w:rPr>
          <w:rFonts w:ascii="宋体" w:hAnsi="宋体" w:cs="宋体"/>
          <w:color w:val="auto"/>
        </w:rPr>
      </w:pPr>
      <w:r>
        <w:rPr>
          <w:rFonts w:hint="eastAsia" w:ascii="宋体" w:hAnsi="宋体" w:cs="宋体"/>
          <w:color w:val="auto"/>
        </w:rPr>
        <w:t>（1）地面：无废杂物、纸屑、无污渍。</w:t>
      </w:r>
    </w:p>
    <w:p w14:paraId="527126FD">
      <w:pPr>
        <w:ind w:firstLine="420" w:firstLineChars="200"/>
        <w:rPr>
          <w:rFonts w:ascii="宋体" w:hAnsi="宋体" w:cs="宋体"/>
          <w:color w:val="auto"/>
        </w:rPr>
      </w:pPr>
      <w:r>
        <w:rPr>
          <w:rFonts w:hint="eastAsia" w:ascii="宋体" w:hAnsi="宋体" w:cs="宋体"/>
          <w:color w:val="auto"/>
        </w:rPr>
        <w:t>（2）墙面、踢脚线、消防排烟口、警铃、安全指示灯、各种标牌表面干净，无灰尘、水迹、污迹。</w:t>
      </w:r>
    </w:p>
    <w:p w14:paraId="1E50EB4F">
      <w:pPr>
        <w:ind w:firstLine="420" w:firstLineChars="200"/>
        <w:rPr>
          <w:rFonts w:ascii="宋体" w:hAnsi="宋体" w:cs="宋体"/>
          <w:color w:val="auto"/>
        </w:rPr>
      </w:pPr>
      <w:r>
        <w:rPr>
          <w:rFonts w:hint="eastAsia" w:ascii="宋体" w:hAnsi="宋体" w:cs="宋体"/>
          <w:color w:val="auto"/>
        </w:rPr>
        <w:t>（3）垃圾桶：外表干净整洁、无积垢、臭味。</w:t>
      </w:r>
    </w:p>
    <w:p w14:paraId="023F4E47">
      <w:pPr>
        <w:ind w:firstLine="420" w:firstLineChars="200"/>
        <w:rPr>
          <w:rFonts w:ascii="宋体" w:hAnsi="宋体" w:cs="宋体"/>
          <w:color w:val="auto"/>
        </w:rPr>
      </w:pPr>
      <w:r>
        <w:rPr>
          <w:rFonts w:hint="eastAsia" w:ascii="宋体" w:hAnsi="宋体" w:cs="宋体"/>
          <w:color w:val="auto"/>
        </w:rPr>
        <w:t>（4）玻璃窗、玻璃、窗框、窗帘、窗台明亮光洁、无积尘、斑点。</w:t>
      </w:r>
    </w:p>
    <w:p w14:paraId="5A375EBE">
      <w:pPr>
        <w:ind w:firstLine="420" w:firstLineChars="200"/>
        <w:rPr>
          <w:rFonts w:ascii="宋体" w:hAnsi="宋体" w:cs="宋体"/>
          <w:color w:val="auto"/>
        </w:rPr>
      </w:pPr>
      <w:r>
        <w:rPr>
          <w:rFonts w:hint="eastAsia" w:ascii="宋体" w:hAnsi="宋体" w:cs="宋体"/>
          <w:color w:val="auto"/>
        </w:rPr>
        <w:t>（5）各种设施外表：如大堂前台、广告牌、灯箱、消防栓箱、楼层分布牌等表面干净、无积尘、污迹、斑点。</w:t>
      </w:r>
    </w:p>
    <w:p w14:paraId="62CCA574">
      <w:pPr>
        <w:ind w:firstLine="420" w:firstLineChars="200"/>
        <w:rPr>
          <w:rFonts w:ascii="宋体" w:hAnsi="宋体" w:cs="宋体"/>
          <w:color w:val="auto"/>
        </w:rPr>
      </w:pPr>
      <w:r>
        <w:rPr>
          <w:rFonts w:hint="eastAsia" w:ascii="宋体" w:hAnsi="宋体" w:cs="宋体"/>
          <w:color w:val="auto"/>
        </w:rPr>
        <w:t>（6）楼梯：无灰尘、无杂物。</w:t>
      </w:r>
    </w:p>
    <w:p w14:paraId="7E314AB3">
      <w:pPr>
        <w:ind w:firstLine="420" w:firstLineChars="200"/>
        <w:rPr>
          <w:rFonts w:ascii="宋体" w:hAnsi="宋体" w:cs="宋体"/>
          <w:color w:val="auto"/>
        </w:rPr>
      </w:pPr>
      <w:r>
        <w:rPr>
          <w:rFonts w:hint="eastAsia" w:ascii="宋体" w:hAnsi="宋体" w:cs="宋体"/>
          <w:color w:val="auto"/>
        </w:rPr>
        <w:t>2.卫生间</w:t>
      </w:r>
    </w:p>
    <w:p w14:paraId="56990AE4">
      <w:pPr>
        <w:ind w:firstLine="420" w:firstLineChars="200"/>
        <w:rPr>
          <w:rFonts w:ascii="宋体" w:hAnsi="宋体" w:cs="宋体"/>
          <w:color w:val="auto"/>
        </w:rPr>
      </w:pPr>
      <w:r>
        <w:rPr>
          <w:rFonts w:hint="eastAsia" w:ascii="宋体" w:hAnsi="宋体" w:cs="宋体"/>
          <w:color w:val="auto"/>
        </w:rPr>
        <w:t>（1）大小便池：外内光洁、无污垢、斑点、积水、积尘、无异味（适当地方可以放芳香球、喷空气清新剂）。</w:t>
      </w:r>
    </w:p>
    <w:p w14:paraId="670D081B">
      <w:pPr>
        <w:ind w:firstLine="420" w:firstLineChars="200"/>
        <w:rPr>
          <w:rFonts w:ascii="宋体" w:hAnsi="宋体" w:cs="宋体"/>
          <w:color w:val="auto"/>
        </w:rPr>
      </w:pPr>
      <w:r>
        <w:rPr>
          <w:rFonts w:hint="eastAsia" w:ascii="宋体" w:hAnsi="宋体" w:cs="宋体"/>
          <w:color w:val="auto"/>
        </w:rPr>
        <w:t>（2）洗手盆、镜台、镜面：内外光洁、无污垢、斑点、积水、积尘。</w:t>
      </w:r>
    </w:p>
    <w:p w14:paraId="5FB323CC">
      <w:pPr>
        <w:ind w:firstLine="420" w:firstLineChars="200"/>
        <w:rPr>
          <w:rFonts w:ascii="宋体" w:hAnsi="宋体" w:cs="宋体"/>
          <w:color w:val="auto"/>
        </w:rPr>
      </w:pPr>
      <w:r>
        <w:rPr>
          <w:rFonts w:hint="eastAsia" w:ascii="宋体" w:hAnsi="宋体" w:cs="宋体"/>
          <w:color w:val="auto"/>
        </w:rPr>
        <w:t>（3）地面、墙面：光洁、无污迹、无污物、脏物，无积水、积尘、无蜘蛛网和非法小广告。</w:t>
      </w:r>
    </w:p>
    <w:p w14:paraId="0882A997">
      <w:pPr>
        <w:ind w:firstLine="420" w:firstLineChars="200"/>
        <w:rPr>
          <w:rFonts w:ascii="宋体" w:hAnsi="宋体" w:cs="宋体"/>
          <w:color w:val="auto"/>
        </w:rPr>
      </w:pPr>
      <w:r>
        <w:rPr>
          <w:rFonts w:hint="eastAsia" w:ascii="宋体" w:hAnsi="宋体" w:cs="宋体"/>
          <w:color w:val="auto"/>
        </w:rPr>
        <w:t>（4）卫生间纸篓、垃圾桶：无沉积物、无臭味、外表干净。</w:t>
      </w:r>
    </w:p>
    <w:p w14:paraId="3E0C99D5">
      <w:pPr>
        <w:ind w:firstLine="420" w:firstLineChars="200"/>
        <w:rPr>
          <w:rFonts w:ascii="宋体" w:hAnsi="宋体" w:cs="宋体"/>
          <w:color w:val="auto"/>
        </w:rPr>
      </w:pPr>
      <w:r>
        <w:rPr>
          <w:rFonts w:hint="eastAsia" w:ascii="宋体" w:hAnsi="宋体" w:cs="宋体"/>
          <w:color w:val="auto"/>
        </w:rPr>
        <w:t>3.楼道</w:t>
      </w:r>
    </w:p>
    <w:p w14:paraId="5B679DDF">
      <w:pPr>
        <w:ind w:firstLine="420" w:firstLineChars="200"/>
        <w:rPr>
          <w:rFonts w:ascii="宋体" w:hAnsi="宋体" w:cs="宋体"/>
          <w:color w:val="auto"/>
        </w:rPr>
      </w:pPr>
      <w:r>
        <w:rPr>
          <w:rFonts w:hint="eastAsia" w:ascii="宋体" w:hAnsi="宋体" w:cs="宋体"/>
          <w:color w:val="auto"/>
        </w:rPr>
        <w:t>（1）清洁：范围楼道梯级、扶手、墙面、消防栓、消防管道、楼道门窗、楼道灯开关及灯具的清洁</w:t>
      </w:r>
    </w:p>
    <w:p w14:paraId="2FEC4865">
      <w:pPr>
        <w:ind w:firstLine="420" w:firstLineChars="200"/>
        <w:rPr>
          <w:rFonts w:ascii="宋体" w:hAnsi="宋体" w:cs="宋体"/>
          <w:color w:val="auto"/>
        </w:rPr>
      </w:pPr>
      <w:r>
        <w:rPr>
          <w:rFonts w:hint="eastAsia" w:ascii="宋体" w:hAnsi="宋体" w:cs="宋体"/>
          <w:color w:val="auto"/>
        </w:rPr>
        <w:t>（2）清洁标准：</w:t>
      </w:r>
    </w:p>
    <w:p w14:paraId="609ED075">
      <w:pPr>
        <w:ind w:firstLine="420" w:firstLineChars="200"/>
        <w:rPr>
          <w:rFonts w:ascii="宋体" w:hAnsi="宋体" w:cs="宋体"/>
          <w:color w:val="auto"/>
        </w:rPr>
      </w:pPr>
      <w:r>
        <w:rPr>
          <w:rFonts w:hint="eastAsia" w:ascii="宋体" w:hAnsi="宋体" w:cs="宋体"/>
          <w:color w:val="auto"/>
        </w:rPr>
        <w:t>1）每日清扫、擦拭一次。梯级每周拖抹一次，窗户玻璃定期擦拭。</w:t>
      </w:r>
    </w:p>
    <w:p w14:paraId="73BF54A0">
      <w:pPr>
        <w:ind w:firstLine="420" w:firstLineChars="200"/>
        <w:rPr>
          <w:rFonts w:ascii="宋体" w:hAnsi="宋体" w:cs="宋体"/>
          <w:color w:val="auto"/>
        </w:rPr>
      </w:pPr>
      <w:r>
        <w:rPr>
          <w:rFonts w:hint="eastAsia" w:ascii="宋体" w:hAnsi="宋体" w:cs="宋体"/>
          <w:color w:val="auto"/>
        </w:rPr>
        <w:t>2）目视楼道达到无烟头、果皮、纸屑、广告纸、蜘蛛网、积尘、污痕等。</w:t>
      </w:r>
    </w:p>
    <w:p w14:paraId="292107BD">
      <w:pPr>
        <w:ind w:firstLine="420" w:firstLineChars="200"/>
        <w:rPr>
          <w:rFonts w:ascii="宋体" w:hAnsi="宋体" w:cs="宋体"/>
          <w:color w:val="auto"/>
        </w:rPr>
      </w:pPr>
      <w:r>
        <w:rPr>
          <w:rFonts w:hint="eastAsia" w:ascii="宋体" w:hAnsi="宋体" w:cs="宋体"/>
          <w:color w:val="auto"/>
        </w:rPr>
        <w:t>4.客用电梯的清洁标准 </w:t>
      </w:r>
    </w:p>
    <w:p w14:paraId="07088527">
      <w:pPr>
        <w:ind w:firstLine="420" w:firstLineChars="200"/>
        <w:rPr>
          <w:rFonts w:ascii="宋体" w:hAnsi="宋体" w:cs="宋体"/>
          <w:color w:val="auto"/>
        </w:rPr>
      </w:pPr>
      <w:r>
        <w:rPr>
          <w:rFonts w:hint="eastAsia" w:ascii="宋体" w:hAnsi="宋体" w:cs="宋体"/>
          <w:color w:val="auto"/>
        </w:rPr>
        <w:t>（1）电梯门干净、无手印、无污迹；轨道干净无杂物。</w:t>
      </w:r>
    </w:p>
    <w:p w14:paraId="365C8979">
      <w:pPr>
        <w:ind w:firstLine="420" w:firstLineChars="200"/>
        <w:rPr>
          <w:rFonts w:ascii="宋体" w:hAnsi="宋体" w:cs="宋体"/>
          <w:color w:val="auto"/>
        </w:rPr>
      </w:pPr>
      <w:r>
        <w:rPr>
          <w:rFonts w:hint="eastAsia" w:ascii="宋体" w:hAnsi="宋体" w:cs="宋体"/>
          <w:color w:val="auto"/>
        </w:rPr>
        <w:t>（2）顶板、顶灯等干净无尘土。 </w:t>
      </w:r>
    </w:p>
    <w:p w14:paraId="27404159">
      <w:pPr>
        <w:ind w:firstLine="420" w:firstLineChars="200"/>
        <w:rPr>
          <w:rFonts w:ascii="宋体" w:hAnsi="宋体" w:cs="宋体"/>
          <w:color w:val="auto"/>
        </w:rPr>
      </w:pPr>
      <w:r>
        <w:rPr>
          <w:rFonts w:hint="eastAsia" w:ascii="宋体" w:hAnsi="宋体" w:cs="宋体"/>
          <w:color w:val="auto"/>
        </w:rPr>
        <w:t>（3）轿厢四壁干净无尘土、无污渍、无划痕。 </w:t>
      </w:r>
    </w:p>
    <w:p w14:paraId="106700E0">
      <w:pPr>
        <w:ind w:firstLine="420" w:firstLineChars="200"/>
        <w:rPr>
          <w:rFonts w:ascii="宋体" w:hAnsi="宋体" w:cs="宋体"/>
          <w:color w:val="auto"/>
        </w:rPr>
      </w:pPr>
      <w:r>
        <w:rPr>
          <w:rFonts w:hint="eastAsia" w:ascii="宋体" w:hAnsi="宋体" w:cs="宋体"/>
          <w:color w:val="auto"/>
        </w:rPr>
        <w:t>（4）地板干净无杂物、无尘土、无污渍。 </w:t>
      </w:r>
    </w:p>
    <w:p w14:paraId="26FA80AC">
      <w:pPr>
        <w:ind w:firstLine="420" w:firstLineChars="200"/>
        <w:rPr>
          <w:rFonts w:ascii="宋体" w:hAnsi="宋体" w:cs="宋体"/>
          <w:color w:val="auto"/>
        </w:rPr>
      </w:pPr>
      <w:r>
        <w:rPr>
          <w:rFonts w:hint="eastAsia" w:ascii="宋体" w:hAnsi="宋体" w:cs="宋体"/>
          <w:color w:val="auto"/>
        </w:rPr>
        <w:t>（5）内外按键、控盘干净无尘、无污。 </w:t>
      </w:r>
    </w:p>
    <w:p w14:paraId="740A5E74">
      <w:pPr>
        <w:ind w:firstLine="420" w:firstLineChars="200"/>
        <w:rPr>
          <w:rFonts w:ascii="宋体" w:hAnsi="宋体" w:cs="宋体"/>
          <w:color w:val="auto"/>
        </w:rPr>
      </w:pPr>
      <w:r>
        <w:rPr>
          <w:rFonts w:hint="eastAsia" w:ascii="宋体" w:hAnsi="宋体" w:cs="宋体"/>
          <w:color w:val="auto"/>
        </w:rPr>
        <w:t>（6）轿厢内干净、无尘土。 </w:t>
      </w:r>
    </w:p>
    <w:p w14:paraId="68BEB207">
      <w:pPr>
        <w:ind w:firstLine="420" w:firstLineChars="200"/>
        <w:rPr>
          <w:rFonts w:ascii="宋体" w:hAnsi="宋体" w:cs="宋体"/>
          <w:color w:val="auto"/>
        </w:rPr>
      </w:pPr>
      <w:r>
        <w:rPr>
          <w:rFonts w:hint="eastAsia" w:ascii="宋体" w:hAnsi="宋体" w:cs="宋体"/>
          <w:color w:val="auto"/>
        </w:rPr>
        <w:t>5.步行梯的清洁标准 </w:t>
      </w:r>
    </w:p>
    <w:p w14:paraId="4810F88B">
      <w:pPr>
        <w:ind w:firstLine="420" w:firstLineChars="200"/>
        <w:rPr>
          <w:rFonts w:ascii="宋体" w:hAnsi="宋体" w:cs="宋体"/>
          <w:color w:val="auto"/>
        </w:rPr>
      </w:pPr>
      <w:r>
        <w:rPr>
          <w:rFonts w:hint="eastAsia" w:ascii="宋体" w:hAnsi="宋体" w:cs="宋体"/>
          <w:color w:val="auto"/>
        </w:rPr>
        <w:t>（1）楼梯内的顶板及灯具、排风口无尘、无污迹。 </w:t>
      </w:r>
    </w:p>
    <w:p w14:paraId="7EDEB3DE">
      <w:pPr>
        <w:ind w:firstLine="420" w:firstLineChars="200"/>
        <w:rPr>
          <w:rFonts w:ascii="宋体" w:hAnsi="宋体" w:cs="宋体"/>
          <w:color w:val="auto"/>
        </w:rPr>
      </w:pPr>
      <w:r>
        <w:rPr>
          <w:rFonts w:hint="eastAsia" w:ascii="宋体" w:hAnsi="宋体" w:cs="宋体"/>
          <w:color w:val="auto"/>
        </w:rPr>
        <w:t>（2）墙面及踢脚板干净无尘土、无污迹。 </w:t>
      </w:r>
    </w:p>
    <w:p w14:paraId="7975494B">
      <w:pPr>
        <w:ind w:firstLine="420" w:firstLineChars="200"/>
        <w:rPr>
          <w:rFonts w:ascii="宋体" w:hAnsi="宋体" w:cs="宋体"/>
          <w:color w:val="auto"/>
        </w:rPr>
      </w:pPr>
      <w:r>
        <w:rPr>
          <w:rFonts w:hint="eastAsia" w:ascii="宋体" w:hAnsi="宋体" w:cs="宋体"/>
          <w:color w:val="auto"/>
        </w:rPr>
        <w:t>（3）扶手、栏杆无尘土、无污渍。 </w:t>
      </w:r>
    </w:p>
    <w:p w14:paraId="071F979E">
      <w:pPr>
        <w:ind w:firstLine="420" w:firstLineChars="200"/>
        <w:rPr>
          <w:rFonts w:ascii="宋体" w:hAnsi="宋体" w:cs="宋体"/>
          <w:color w:val="auto"/>
        </w:rPr>
      </w:pPr>
      <w:r>
        <w:rPr>
          <w:rFonts w:hint="eastAsia" w:ascii="宋体" w:hAnsi="宋体" w:cs="宋体"/>
          <w:color w:val="auto"/>
        </w:rPr>
        <w:t>（4）平台及台阶无杂物、头发、无尘土、黑道，干净整洁。 </w:t>
      </w:r>
    </w:p>
    <w:p w14:paraId="68CBC34E">
      <w:pPr>
        <w:ind w:firstLine="420" w:firstLineChars="200"/>
        <w:rPr>
          <w:rFonts w:ascii="宋体" w:hAnsi="宋体" w:cs="宋体"/>
          <w:color w:val="auto"/>
        </w:rPr>
      </w:pPr>
      <w:r>
        <w:rPr>
          <w:rFonts w:hint="eastAsia" w:ascii="宋体" w:hAnsi="宋体" w:cs="宋体"/>
          <w:color w:val="auto"/>
        </w:rPr>
        <w:t>（5）楼道内无堆放杂物。</w:t>
      </w:r>
    </w:p>
    <w:p w14:paraId="27638D0D">
      <w:pPr>
        <w:ind w:firstLine="420" w:firstLineChars="200"/>
        <w:rPr>
          <w:rFonts w:ascii="宋体" w:hAnsi="宋体" w:cs="宋体"/>
          <w:color w:val="auto"/>
        </w:rPr>
      </w:pPr>
      <w:r>
        <w:rPr>
          <w:rFonts w:hint="eastAsia" w:ascii="宋体" w:hAnsi="宋体" w:cs="宋体"/>
          <w:color w:val="auto"/>
        </w:rPr>
        <w:t>6.大厅的清洁质量标准 </w:t>
      </w:r>
    </w:p>
    <w:p w14:paraId="1B37D68C">
      <w:pPr>
        <w:ind w:firstLine="420" w:firstLineChars="200"/>
        <w:rPr>
          <w:rFonts w:ascii="宋体" w:hAnsi="宋体" w:cs="宋体"/>
          <w:color w:val="auto"/>
        </w:rPr>
      </w:pPr>
      <w:r>
        <w:rPr>
          <w:rFonts w:hint="eastAsia" w:ascii="宋体" w:hAnsi="宋体" w:cs="宋体"/>
          <w:color w:val="auto"/>
        </w:rPr>
        <w:t>（1）天花板、灯罩、排风口及龙骨架干净无尘土、无污迹。 </w:t>
      </w:r>
    </w:p>
    <w:p w14:paraId="629E24A0">
      <w:pPr>
        <w:ind w:firstLine="420" w:firstLineChars="200"/>
        <w:rPr>
          <w:rFonts w:ascii="宋体" w:hAnsi="宋体" w:cs="宋体"/>
          <w:color w:val="auto"/>
        </w:rPr>
      </w:pPr>
      <w:r>
        <w:rPr>
          <w:rFonts w:hint="eastAsia" w:ascii="宋体" w:hAnsi="宋体" w:cs="宋体"/>
          <w:color w:val="auto"/>
        </w:rPr>
        <w:t>（2）墙面及踢脚板干净、无尘土、无污渍。 </w:t>
      </w:r>
    </w:p>
    <w:p w14:paraId="53B7F0B1">
      <w:pPr>
        <w:ind w:firstLine="420" w:firstLineChars="200"/>
        <w:rPr>
          <w:rFonts w:ascii="宋体" w:hAnsi="宋体" w:cs="宋体"/>
          <w:color w:val="auto"/>
        </w:rPr>
      </w:pPr>
      <w:r>
        <w:rPr>
          <w:rFonts w:hint="eastAsia" w:ascii="宋体" w:hAnsi="宋体" w:cs="宋体"/>
          <w:color w:val="auto"/>
        </w:rPr>
        <w:t>（3）玻璃门及窗体玻璃干净无手印、无污迹，窗框无尘土。 </w:t>
      </w:r>
    </w:p>
    <w:p w14:paraId="232822FA">
      <w:pPr>
        <w:ind w:firstLine="420" w:firstLineChars="200"/>
        <w:rPr>
          <w:rFonts w:ascii="宋体" w:hAnsi="宋体" w:cs="宋体"/>
          <w:color w:val="auto"/>
        </w:rPr>
      </w:pPr>
      <w:r>
        <w:rPr>
          <w:rFonts w:hint="eastAsia" w:ascii="宋体" w:hAnsi="宋体" w:cs="宋体"/>
          <w:color w:val="auto"/>
        </w:rPr>
        <w:t>（4）前台办公桌面、台面干净无尘土、污迹。 </w:t>
      </w:r>
    </w:p>
    <w:p w14:paraId="2294BCEA">
      <w:pPr>
        <w:ind w:firstLine="420" w:firstLineChars="200"/>
        <w:rPr>
          <w:rFonts w:ascii="宋体" w:hAnsi="宋体" w:cs="宋体"/>
          <w:color w:val="auto"/>
        </w:rPr>
      </w:pPr>
      <w:r>
        <w:rPr>
          <w:rFonts w:hint="eastAsia" w:ascii="宋体" w:hAnsi="宋体" w:cs="宋体"/>
          <w:color w:val="auto"/>
        </w:rPr>
        <w:t>（5）电脑、电话消毒彻底、干净无污。 </w:t>
      </w:r>
    </w:p>
    <w:p w14:paraId="33AC7DF6">
      <w:pPr>
        <w:ind w:firstLine="420" w:firstLineChars="200"/>
        <w:rPr>
          <w:rFonts w:ascii="宋体" w:hAnsi="宋体" w:cs="宋体"/>
          <w:color w:val="auto"/>
        </w:rPr>
      </w:pPr>
      <w:r>
        <w:rPr>
          <w:rFonts w:hint="eastAsia" w:ascii="宋体" w:hAnsi="宋体" w:cs="宋体"/>
          <w:color w:val="auto"/>
        </w:rPr>
        <w:t>（6）地面及边角干净、无水迹、无尘土、污物。 </w:t>
      </w:r>
    </w:p>
    <w:p w14:paraId="2492FDE7">
      <w:pPr>
        <w:ind w:firstLine="420" w:firstLineChars="200"/>
        <w:rPr>
          <w:rFonts w:ascii="宋体" w:hAnsi="宋体" w:cs="宋体"/>
          <w:b/>
          <w:bCs/>
          <w:color w:val="auto"/>
        </w:rPr>
      </w:pPr>
      <w:r>
        <w:rPr>
          <w:rFonts w:hint="eastAsia" w:ascii="宋体" w:hAnsi="宋体" w:cs="宋体"/>
          <w:color w:val="auto"/>
        </w:rPr>
        <w:t>（7）大厅内摆放的绿植等盆体干净无尘土，绿叶无浮沉，盆内无杂物。</w:t>
      </w:r>
    </w:p>
    <w:p w14:paraId="05367193">
      <w:pPr>
        <w:snapToGrid w:val="0"/>
        <w:spacing w:line="360" w:lineRule="auto"/>
        <w:ind w:right="315"/>
        <w:rPr>
          <w:rFonts w:ascii="宋体" w:hAnsi="宋体" w:cs="宋体"/>
          <w:b/>
          <w:bCs/>
          <w:color w:val="auto"/>
          <w:szCs w:val="21"/>
        </w:rPr>
      </w:pPr>
    </w:p>
    <w:p w14:paraId="5A4B0BB9">
      <w:pPr>
        <w:snapToGrid w:val="0"/>
        <w:spacing w:line="360" w:lineRule="auto"/>
        <w:ind w:right="315"/>
        <w:rPr>
          <w:rFonts w:ascii="宋体" w:hAnsi="宋体" w:cs="宋体"/>
          <w:b/>
          <w:bCs/>
          <w:color w:val="auto"/>
          <w:szCs w:val="21"/>
        </w:rPr>
      </w:pPr>
      <w:r>
        <w:rPr>
          <w:rFonts w:hint="eastAsia" w:ascii="宋体" w:hAnsi="宋体" w:cs="宋体"/>
          <w:b/>
          <w:bCs/>
          <w:color w:val="auto"/>
          <w:szCs w:val="21"/>
        </w:rPr>
        <w:t>附：具体保洁标准明细表</w:t>
      </w:r>
    </w:p>
    <w:p w14:paraId="74B48691">
      <w:pPr>
        <w:ind w:firstLine="632" w:firstLineChars="300"/>
        <w:rPr>
          <w:rFonts w:ascii="宋体" w:hAnsi="宋体" w:cs="宋体"/>
          <w:b/>
          <w:bCs/>
          <w:color w:val="auto"/>
          <w:szCs w:val="21"/>
        </w:rPr>
      </w:pPr>
      <w:r>
        <w:rPr>
          <w:rFonts w:hint="eastAsia" w:ascii="宋体" w:hAnsi="宋体" w:cs="宋体"/>
          <w:b/>
          <w:bCs/>
          <w:color w:val="auto"/>
          <w:szCs w:val="21"/>
        </w:rPr>
        <w:t>1、各相关区域及病区洗手间日常保洁项目要求</w:t>
      </w:r>
    </w:p>
    <w:tbl>
      <w:tblPr>
        <w:tblStyle w:val="47"/>
        <w:tblW w:w="7827" w:type="dxa"/>
        <w:jc w:val="center"/>
        <w:tblLayout w:type="fixed"/>
        <w:tblCellMar>
          <w:top w:w="0" w:type="dxa"/>
          <w:left w:w="10" w:type="dxa"/>
          <w:bottom w:w="0" w:type="dxa"/>
          <w:right w:w="10" w:type="dxa"/>
        </w:tblCellMar>
      </w:tblPr>
      <w:tblGrid>
        <w:gridCol w:w="857"/>
        <w:gridCol w:w="2229"/>
        <w:gridCol w:w="2086"/>
        <w:gridCol w:w="2655"/>
      </w:tblGrid>
      <w:tr w14:paraId="7D147571">
        <w:tblPrEx>
          <w:tblCellMar>
            <w:top w:w="0" w:type="dxa"/>
            <w:left w:w="10" w:type="dxa"/>
            <w:bottom w:w="0" w:type="dxa"/>
            <w:right w:w="10" w:type="dxa"/>
          </w:tblCellMar>
        </w:tblPrEx>
        <w:trPr>
          <w:trHeight w:val="457" w:hRule="exact"/>
          <w:jc w:val="center"/>
        </w:trPr>
        <w:tc>
          <w:tcPr>
            <w:tcW w:w="857" w:type="dxa"/>
            <w:tcBorders>
              <w:top w:val="single" w:color="auto" w:sz="4" w:space="0"/>
              <w:left w:val="single" w:color="auto" w:sz="4" w:space="0"/>
            </w:tcBorders>
            <w:shd w:val="clear" w:color="auto" w:fill="FFFFFF"/>
            <w:vAlign w:val="center"/>
          </w:tcPr>
          <w:p w14:paraId="41A786A4">
            <w:pPr>
              <w:pStyle w:val="125"/>
              <w:spacing w:line="360" w:lineRule="atLeast"/>
              <w:ind w:firstLine="0"/>
              <w:jc w:val="center"/>
              <w:rPr>
                <w:b/>
                <w:bCs/>
                <w:color w:val="auto"/>
                <w:sz w:val="21"/>
                <w:szCs w:val="21"/>
              </w:rPr>
            </w:pPr>
            <w:r>
              <w:rPr>
                <w:rFonts w:hint="eastAsia"/>
                <w:b/>
                <w:bCs/>
                <w:color w:val="auto"/>
                <w:sz w:val="21"/>
                <w:szCs w:val="21"/>
              </w:rPr>
              <w:t>项目</w:t>
            </w:r>
          </w:p>
        </w:tc>
        <w:tc>
          <w:tcPr>
            <w:tcW w:w="2229" w:type="dxa"/>
            <w:tcBorders>
              <w:top w:val="single" w:color="auto" w:sz="4" w:space="0"/>
              <w:left w:val="single" w:color="auto" w:sz="4" w:space="0"/>
            </w:tcBorders>
            <w:shd w:val="clear" w:color="auto" w:fill="FFFFFF"/>
            <w:vAlign w:val="center"/>
          </w:tcPr>
          <w:p w14:paraId="1B8C9BC3">
            <w:pPr>
              <w:pStyle w:val="125"/>
              <w:spacing w:line="360" w:lineRule="atLeast"/>
              <w:ind w:firstLine="0"/>
              <w:jc w:val="center"/>
              <w:rPr>
                <w:b/>
                <w:bCs/>
                <w:color w:val="auto"/>
                <w:sz w:val="21"/>
                <w:szCs w:val="21"/>
              </w:rPr>
            </w:pPr>
            <w:r>
              <w:rPr>
                <w:rFonts w:hint="eastAsia"/>
                <w:b/>
                <w:bCs/>
                <w:color w:val="auto"/>
                <w:sz w:val="21"/>
                <w:szCs w:val="21"/>
              </w:rPr>
              <w:t>标准（质量要求）</w:t>
            </w:r>
          </w:p>
        </w:tc>
        <w:tc>
          <w:tcPr>
            <w:tcW w:w="2086" w:type="dxa"/>
            <w:tcBorders>
              <w:top w:val="single" w:color="auto" w:sz="4" w:space="0"/>
              <w:left w:val="single" w:color="auto" w:sz="4" w:space="0"/>
            </w:tcBorders>
            <w:shd w:val="clear" w:color="auto" w:fill="FFFFFF"/>
            <w:vAlign w:val="center"/>
          </w:tcPr>
          <w:p w14:paraId="2DAE5C4A">
            <w:pPr>
              <w:pStyle w:val="125"/>
              <w:spacing w:line="360" w:lineRule="atLeast"/>
              <w:ind w:firstLine="0"/>
              <w:jc w:val="center"/>
              <w:rPr>
                <w:b/>
                <w:bCs/>
                <w:color w:val="auto"/>
                <w:sz w:val="21"/>
                <w:szCs w:val="21"/>
              </w:rPr>
            </w:pPr>
            <w:r>
              <w:rPr>
                <w:rFonts w:hint="eastAsia"/>
                <w:b/>
                <w:bCs/>
                <w:color w:val="auto"/>
                <w:sz w:val="21"/>
                <w:szCs w:val="21"/>
              </w:rPr>
              <w:t>频次</w:t>
            </w:r>
          </w:p>
        </w:tc>
        <w:tc>
          <w:tcPr>
            <w:tcW w:w="2655" w:type="dxa"/>
            <w:tcBorders>
              <w:top w:val="single" w:color="auto" w:sz="4" w:space="0"/>
              <w:left w:val="single" w:color="auto" w:sz="4" w:space="0"/>
              <w:right w:val="single" w:color="auto" w:sz="4" w:space="0"/>
            </w:tcBorders>
            <w:shd w:val="clear" w:color="auto" w:fill="FFFFFF"/>
            <w:vAlign w:val="center"/>
          </w:tcPr>
          <w:p w14:paraId="7FFBE9D7">
            <w:pPr>
              <w:pStyle w:val="125"/>
              <w:spacing w:line="360" w:lineRule="atLeast"/>
              <w:ind w:firstLine="0"/>
              <w:jc w:val="center"/>
              <w:rPr>
                <w:b/>
                <w:bCs/>
                <w:color w:val="auto"/>
                <w:sz w:val="21"/>
                <w:szCs w:val="21"/>
              </w:rPr>
            </w:pPr>
            <w:r>
              <w:rPr>
                <w:rFonts w:hint="eastAsia"/>
                <w:b/>
                <w:bCs/>
                <w:color w:val="auto"/>
                <w:sz w:val="21"/>
                <w:szCs w:val="21"/>
              </w:rPr>
              <w:t>注意事项</w:t>
            </w:r>
          </w:p>
        </w:tc>
      </w:tr>
      <w:tr w14:paraId="11103DA1">
        <w:tblPrEx>
          <w:tblCellMar>
            <w:top w:w="0" w:type="dxa"/>
            <w:left w:w="10" w:type="dxa"/>
            <w:bottom w:w="0" w:type="dxa"/>
            <w:right w:w="10" w:type="dxa"/>
          </w:tblCellMar>
        </w:tblPrEx>
        <w:trPr>
          <w:trHeight w:val="1341" w:hRule="exact"/>
          <w:jc w:val="center"/>
        </w:trPr>
        <w:tc>
          <w:tcPr>
            <w:tcW w:w="857" w:type="dxa"/>
            <w:tcBorders>
              <w:top w:val="single" w:color="auto" w:sz="4" w:space="0"/>
              <w:left w:val="single" w:color="auto" w:sz="4" w:space="0"/>
            </w:tcBorders>
            <w:shd w:val="clear" w:color="auto" w:fill="FFFFFF"/>
            <w:vAlign w:val="center"/>
          </w:tcPr>
          <w:p w14:paraId="77B1E031">
            <w:pPr>
              <w:pStyle w:val="125"/>
              <w:spacing w:line="360" w:lineRule="atLeast"/>
              <w:ind w:firstLine="0"/>
              <w:jc w:val="center"/>
              <w:rPr>
                <w:color w:val="auto"/>
                <w:sz w:val="21"/>
                <w:szCs w:val="21"/>
              </w:rPr>
            </w:pPr>
            <w:r>
              <w:rPr>
                <w:rFonts w:hint="eastAsia"/>
                <w:color w:val="auto"/>
                <w:sz w:val="21"/>
                <w:szCs w:val="21"/>
              </w:rPr>
              <w:t>地面</w:t>
            </w:r>
          </w:p>
        </w:tc>
        <w:tc>
          <w:tcPr>
            <w:tcW w:w="2229" w:type="dxa"/>
            <w:tcBorders>
              <w:top w:val="single" w:color="auto" w:sz="4" w:space="0"/>
              <w:left w:val="single" w:color="auto" w:sz="4" w:space="0"/>
            </w:tcBorders>
            <w:shd w:val="clear" w:color="auto" w:fill="FFFFFF"/>
            <w:vAlign w:val="center"/>
          </w:tcPr>
          <w:p w14:paraId="4C61841D">
            <w:pPr>
              <w:spacing w:line="360" w:lineRule="atLeast"/>
              <w:rPr>
                <w:rFonts w:ascii="宋体" w:hAnsi="宋体" w:cs="宋体"/>
                <w:color w:val="auto"/>
                <w:szCs w:val="21"/>
              </w:rPr>
            </w:pPr>
            <w:r>
              <w:rPr>
                <w:rFonts w:hint="eastAsia" w:ascii="宋体" w:hAnsi="宋体" w:cs="宋体"/>
                <w:color w:val="auto"/>
                <w:szCs w:val="21"/>
              </w:rPr>
              <w:t>无浮灰、水迹、杂物、鞋印及 污迹</w:t>
            </w:r>
          </w:p>
        </w:tc>
        <w:tc>
          <w:tcPr>
            <w:tcW w:w="2086" w:type="dxa"/>
            <w:tcBorders>
              <w:top w:val="single" w:color="auto" w:sz="4" w:space="0"/>
              <w:left w:val="single" w:color="auto" w:sz="4" w:space="0"/>
            </w:tcBorders>
            <w:shd w:val="clear" w:color="auto" w:fill="FFFFFF"/>
          </w:tcPr>
          <w:p w14:paraId="02281F80">
            <w:pPr>
              <w:pStyle w:val="125"/>
              <w:tabs>
                <w:tab w:val="left" w:pos="310"/>
              </w:tabs>
              <w:spacing w:line="360" w:lineRule="atLeast"/>
              <w:ind w:firstLine="0"/>
              <w:rPr>
                <w:color w:val="auto"/>
                <w:sz w:val="21"/>
                <w:szCs w:val="21"/>
              </w:rPr>
            </w:pPr>
            <w:r>
              <w:rPr>
                <w:rFonts w:hint="eastAsia"/>
                <w:color w:val="auto"/>
                <w:sz w:val="21"/>
                <w:szCs w:val="21"/>
              </w:rPr>
              <w:t>1、</w:t>
            </w:r>
            <w:r>
              <w:rPr>
                <w:rFonts w:hint="eastAsia"/>
                <w:color w:val="auto"/>
                <w:sz w:val="21"/>
                <w:szCs w:val="21"/>
              </w:rPr>
              <w:tab/>
            </w:r>
            <w:r>
              <w:rPr>
                <w:rFonts w:hint="eastAsia"/>
                <w:color w:val="auto"/>
                <w:sz w:val="21"/>
                <w:szCs w:val="21"/>
              </w:rPr>
              <w:t>每天上、 下午各一次</w:t>
            </w:r>
          </w:p>
          <w:p w14:paraId="15E015BF">
            <w:pPr>
              <w:pStyle w:val="125"/>
              <w:tabs>
                <w:tab w:val="left" w:pos="230"/>
              </w:tabs>
              <w:spacing w:line="360" w:lineRule="atLeast"/>
              <w:ind w:firstLine="0"/>
              <w:rPr>
                <w:color w:val="auto"/>
                <w:sz w:val="21"/>
                <w:szCs w:val="21"/>
              </w:rPr>
            </w:pPr>
            <w:r>
              <w:rPr>
                <w:rFonts w:hint="eastAsia"/>
                <w:color w:val="auto"/>
                <w:sz w:val="21"/>
                <w:szCs w:val="21"/>
              </w:rPr>
              <w:t>2、</w:t>
            </w:r>
            <w:r>
              <w:rPr>
                <w:rFonts w:hint="eastAsia"/>
                <w:color w:val="auto"/>
                <w:sz w:val="21"/>
                <w:szCs w:val="21"/>
              </w:rPr>
              <w:tab/>
            </w:r>
            <w:r>
              <w:rPr>
                <w:rFonts w:hint="eastAsia"/>
                <w:color w:val="auto"/>
                <w:sz w:val="21"/>
                <w:szCs w:val="21"/>
              </w:rPr>
              <w:t>随脏随拖</w:t>
            </w:r>
          </w:p>
        </w:tc>
        <w:tc>
          <w:tcPr>
            <w:tcW w:w="2655" w:type="dxa"/>
            <w:tcBorders>
              <w:top w:val="single" w:color="auto" w:sz="4" w:space="0"/>
              <w:left w:val="single" w:color="auto" w:sz="4" w:space="0"/>
              <w:right w:val="single" w:color="auto" w:sz="4" w:space="0"/>
            </w:tcBorders>
            <w:shd w:val="clear" w:color="auto" w:fill="FFFFFF"/>
            <w:vAlign w:val="center"/>
          </w:tcPr>
          <w:p w14:paraId="3B849B5F">
            <w:pPr>
              <w:pStyle w:val="125"/>
              <w:spacing w:line="360" w:lineRule="atLeast"/>
              <w:ind w:firstLine="0"/>
              <w:jc w:val="left"/>
              <w:rPr>
                <w:color w:val="auto"/>
                <w:sz w:val="21"/>
                <w:szCs w:val="21"/>
              </w:rPr>
            </w:pPr>
            <w:r>
              <w:rPr>
                <w:rFonts w:hint="eastAsia"/>
                <w:color w:val="auto"/>
                <w:sz w:val="21"/>
                <w:szCs w:val="21"/>
              </w:rPr>
              <w:t>注意踢脚线的清洁。</w:t>
            </w:r>
          </w:p>
        </w:tc>
      </w:tr>
      <w:tr w14:paraId="3E3749DD">
        <w:tblPrEx>
          <w:tblCellMar>
            <w:top w:w="0" w:type="dxa"/>
            <w:left w:w="10" w:type="dxa"/>
            <w:bottom w:w="0" w:type="dxa"/>
            <w:right w:w="10" w:type="dxa"/>
          </w:tblCellMar>
        </w:tblPrEx>
        <w:trPr>
          <w:trHeight w:val="1134" w:hRule="exact"/>
          <w:jc w:val="center"/>
        </w:trPr>
        <w:tc>
          <w:tcPr>
            <w:tcW w:w="857" w:type="dxa"/>
            <w:tcBorders>
              <w:top w:val="single" w:color="auto" w:sz="4" w:space="0"/>
              <w:left w:val="single" w:color="auto" w:sz="4" w:space="0"/>
            </w:tcBorders>
            <w:shd w:val="clear" w:color="auto" w:fill="FFFFFF"/>
            <w:vAlign w:val="center"/>
          </w:tcPr>
          <w:p w14:paraId="2FF34973">
            <w:pPr>
              <w:pStyle w:val="125"/>
              <w:spacing w:line="360" w:lineRule="atLeast"/>
              <w:ind w:firstLine="0"/>
              <w:jc w:val="center"/>
              <w:rPr>
                <w:color w:val="auto"/>
                <w:sz w:val="21"/>
                <w:szCs w:val="21"/>
              </w:rPr>
            </w:pPr>
            <w:r>
              <w:rPr>
                <w:rFonts w:hint="eastAsia"/>
                <w:color w:val="auto"/>
                <w:sz w:val="21"/>
                <w:szCs w:val="21"/>
              </w:rPr>
              <w:t>墙壁瓷砖</w:t>
            </w:r>
          </w:p>
        </w:tc>
        <w:tc>
          <w:tcPr>
            <w:tcW w:w="2229" w:type="dxa"/>
            <w:tcBorders>
              <w:top w:val="single" w:color="auto" w:sz="4" w:space="0"/>
              <w:left w:val="single" w:color="auto" w:sz="4" w:space="0"/>
            </w:tcBorders>
            <w:shd w:val="clear" w:color="auto" w:fill="FFFFFF"/>
            <w:vAlign w:val="center"/>
          </w:tcPr>
          <w:p w14:paraId="7BD7136D">
            <w:pPr>
              <w:pStyle w:val="125"/>
              <w:spacing w:line="360" w:lineRule="atLeast"/>
              <w:ind w:firstLine="0"/>
              <w:jc w:val="center"/>
              <w:rPr>
                <w:color w:val="auto"/>
                <w:sz w:val="21"/>
                <w:szCs w:val="21"/>
              </w:rPr>
            </w:pPr>
            <w:r>
              <w:rPr>
                <w:rFonts w:hint="eastAsia"/>
                <w:color w:val="auto"/>
                <w:sz w:val="21"/>
                <w:szCs w:val="21"/>
              </w:rPr>
              <w:t>无灰尘、水迹、皂迹，瓷砖缝 隙处洁白</w:t>
            </w:r>
          </w:p>
        </w:tc>
        <w:tc>
          <w:tcPr>
            <w:tcW w:w="2086" w:type="dxa"/>
            <w:tcBorders>
              <w:top w:val="single" w:color="auto" w:sz="4" w:space="0"/>
              <w:left w:val="single" w:color="auto" w:sz="4" w:space="0"/>
            </w:tcBorders>
            <w:shd w:val="clear" w:color="auto" w:fill="FFFFFF"/>
            <w:vAlign w:val="center"/>
          </w:tcPr>
          <w:p w14:paraId="52312605">
            <w:pPr>
              <w:pStyle w:val="125"/>
              <w:spacing w:line="360" w:lineRule="atLeast"/>
              <w:ind w:firstLine="0"/>
              <w:jc w:val="center"/>
              <w:rPr>
                <w:color w:val="auto"/>
                <w:sz w:val="21"/>
                <w:szCs w:val="21"/>
              </w:rPr>
            </w:pPr>
            <w:r>
              <w:rPr>
                <w:rFonts w:hint="eastAsia"/>
                <w:color w:val="auto"/>
                <w:sz w:val="21"/>
                <w:szCs w:val="21"/>
              </w:rPr>
              <w:t>每天上午一 次</w:t>
            </w:r>
          </w:p>
        </w:tc>
        <w:tc>
          <w:tcPr>
            <w:tcW w:w="2655" w:type="dxa"/>
            <w:tcBorders>
              <w:top w:val="single" w:color="auto" w:sz="4" w:space="0"/>
              <w:left w:val="single" w:color="auto" w:sz="4" w:space="0"/>
              <w:right w:val="single" w:color="auto" w:sz="4" w:space="0"/>
            </w:tcBorders>
            <w:shd w:val="clear" w:color="auto" w:fill="FFFFFF"/>
            <w:vAlign w:val="center"/>
          </w:tcPr>
          <w:p w14:paraId="1543F9AC">
            <w:pPr>
              <w:pStyle w:val="125"/>
              <w:spacing w:line="360" w:lineRule="atLeast"/>
              <w:ind w:firstLine="0"/>
              <w:jc w:val="center"/>
              <w:rPr>
                <w:color w:val="auto"/>
                <w:sz w:val="21"/>
                <w:szCs w:val="21"/>
              </w:rPr>
            </w:pPr>
            <w:r>
              <w:rPr>
                <w:rFonts w:hint="eastAsia"/>
                <w:color w:val="auto"/>
                <w:sz w:val="21"/>
                <w:szCs w:val="21"/>
              </w:rPr>
              <w:t>先用牙刷醮清洁剂，先刷洗 缝隙，再按程序操作。</w:t>
            </w:r>
          </w:p>
        </w:tc>
      </w:tr>
      <w:tr w14:paraId="524B3514">
        <w:tblPrEx>
          <w:tblCellMar>
            <w:top w:w="0" w:type="dxa"/>
            <w:left w:w="10" w:type="dxa"/>
            <w:bottom w:w="0" w:type="dxa"/>
            <w:right w:w="10" w:type="dxa"/>
          </w:tblCellMar>
        </w:tblPrEx>
        <w:trPr>
          <w:trHeight w:val="1171" w:hRule="exact"/>
          <w:jc w:val="center"/>
        </w:trPr>
        <w:tc>
          <w:tcPr>
            <w:tcW w:w="857" w:type="dxa"/>
            <w:tcBorders>
              <w:top w:val="single" w:color="auto" w:sz="4" w:space="0"/>
              <w:left w:val="single" w:color="auto" w:sz="4" w:space="0"/>
            </w:tcBorders>
            <w:shd w:val="clear" w:color="auto" w:fill="FFFFFF"/>
            <w:vAlign w:val="center"/>
          </w:tcPr>
          <w:p w14:paraId="5C351C12">
            <w:pPr>
              <w:pStyle w:val="125"/>
              <w:spacing w:line="360" w:lineRule="atLeast"/>
              <w:ind w:firstLine="0"/>
              <w:jc w:val="center"/>
              <w:rPr>
                <w:color w:val="auto"/>
                <w:sz w:val="21"/>
                <w:szCs w:val="21"/>
              </w:rPr>
            </w:pPr>
            <w:r>
              <w:rPr>
                <w:rFonts w:hint="eastAsia"/>
                <w:color w:val="auto"/>
                <w:sz w:val="21"/>
                <w:szCs w:val="21"/>
              </w:rPr>
              <w:t>脸盆及台面</w:t>
            </w:r>
          </w:p>
        </w:tc>
        <w:tc>
          <w:tcPr>
            <w:tcW w:w="2229" w:type="dxa"/>
            <w:tcBorders>
              <w:top w:val="single" w:color="auto" w:sz="4" w:space="0"/>
              <w:left w:val="single" w:color="auto" w:sz="4" w:space="0"/>
            </w:tcBorders>
            <w:shd w:val="clear" w:color="auto" w:fill="FFFFFF"/>
            <w:vAlign w:val="center"/>
          </w:tcPr>
          <w:p w14:paraId="4D86E2D5">
            <w:pPr>
              <w:pStyle w:val="125"/>
              <w:spacing w:line="360" w:lineRule="atLeast"/>
              <w:ind w:firstLine="0"/>
              <w:jc w:val="center"/>
              <w:rPr>
                <w:color w:val="auto"/>
                <w:sz w:val="21"/>
                <w:szCs w:val="21"/>
              </w:rPr>
            </w:pPr>
            <w:r>
              <w:rPr>
                <w:rFonts w:hint="eastAsia"/>
                <w:color w:val="auto"/>
                <w:sz w:val="21"/>
                <w:szCs w:val="21"/>
              </w:rPr>
              <w:t>无水迹、黄迹，洁净、光亮</w:t>
            </w:r>
          </w:p>
        </w:tc>
        <w:tc>
          <w:tcPr>
            <w:tcW w:w="2086" w:type="dxa"/>
            <w:tcBorders>
              <w:top w:val="single" w:color="auto" w:sz="4" w:space="0"/>
              <w:left w:val="single" w:color="auto" w:sz="4" w:space="0"/>
            </w:tcBorders>
            <w:shd w:val="clear" w:color="auto" w:fill="FFFFFF"/>
            <w:vAlign w:val="center"/>
          </w:tcPr>
          <w:p w14:paraId="7B25D4DC">
            <w:pPr>
              <w:pStyle w:val="125"/>
              <w:spacing w:line="360" w:lineRule="atLeast"/>
              <w:ind w:firstLine="0"/>
              <w:jc w:val="center"/>
              <w:rPr>
                <w:color w:val="auto"/>
                <w:sz w:val="21"/>
                <w:szCs w:val="21"/>
              </w:rPr>
            </w:pPr>
            <w:r>
              <w:rPr>
                <w:rFonts w:hint="eastAsia"/>
                <w:color w:val="auto"/>
                <w:sz w:val="21"/>
                <w:szCs w:val="21"/>
              </w:rPr>
              <w:t>每天上、下 午各一次</w:t>
            </w:r>
          </w:p>
        </w:tc>
        <w:tc>
          <w:tcPr>
            <w:tcW w:w="2655" w:type="dxa"/>
            <w:tcBorders>
              <w:top w:val="single" w:color="auto" w:sz="4" w:space="0"/>
              <w:left w:val="single" w:color="auto" w:sz="4" w:space="0"/>
              <w:right w:val="single" w:color="auto" w:sz="4" w:space="0"/>
            </w:tcBorders>
            <w:shd w:val="clear" w:color="auto" w:fill="FFFFFF"/>
            <w:vAlign w:val="center"/>
          </w:tcPr>
          <w:p w14:paraId="2ADF225F">
            <w:pPr>
              <w:pStyle w:val="125"/>
              <w:spacing w:line="360" w:lineRule="atLeast"/>
              <w:ind w:firstLine="0"/>
              <w:jc w:val="center"/>
              <w:rPr>
                <w:color w:val="auto"/>
                <w:sz w:val="21"/>
                <w:szCs w:val="21"/>
              </w:rPr>
            </w:pPr>
            <w:r>
              <w:rPr>
                <w:rFonts w:hint="eastAsia"/>
                <w:color w:val="auto"/>
                <w:sz w:val="21"/>
                <w:szCs w:val="21"/>
              </w:rPr>
              <w:t>不可遗漏台面下的弯头。</w:t>
            </w:r>
          </w:p>
        </w:tc>
      </w:tr>
      <w:tr w14:paraId="3A4119C8">
        <w:tblPrEx>
          <w:tblCellMar>
            <w:top w:w="0" w:type="dxa"/>
            <w:left w:w="10" w:type="dxa"/>
            <w:bottom w:w="0" w:type="dxa"/>
            <w:right w:w="10" w:type="dxa"/>
          </w:tblCellMar>
        </w:tblPrEx>
        <w:trPr>
          <w:trHeight w:val="1234" w:hRule="exact"/>
          <w:jc w:val="center"/>
        </w:trPr>
        <w:tc>
          <w:tcPr>
            <w:tcW w:w="857" w:type="dxa"/>
            <w:tcBorders>
              <w:top w:val="single" w:color="auto" w:sz="4" w:space="0"/>
              <w:left w:val="single" w:color="auto" w:sz="4" w:space="0"/>
            </w:tcBorders>
            <w:shd w:val="clear" w:color="auto" w:fill="FFFFFF"/>
            <w:vAlign w:val="center"/>
          </w:tcPr>
          <w:p w14:paraId="2411B053">
            <w:pPr>
              <w:pStyle w:val="125"/>
              <w:spacing w:line="360" w:lineRule="atLeast"/>
              <w:ind w:firstLine="0"/>
              <w:jc w:val="center"/>
              <w:rPr>
                <w:color w:val="auto"/>
                <w:sz w:val="21"/>
                <w:szCs w:val="21"/>
              </w:rPr>
            </w:pPr>
            <w:r>
              <w:rPr>
                <w:rFonts w:hint="eastAsia"/>
                <w:color w:val="auto"/>
                <w:sz w:val="21"/>
                <w:szCs w:val="21"/>
              </w:rPr>
              <w:t>镜面、镜框</w:t>
            </w:r>
          </w:p>
        </w:tc>
        <w:tc>
          <w:tcPr>
            <w:tcW w:w="2229" w:type="dxa"/>
            <w:tcBorders>
              <w:top w:val="single" w:color="auto" w:sz="4" w:space="0"/>
              <w:left w:val="single" w:color="auto" w:sz="4" w:space="0"/>
            </w:tcBorders>
            <w:shd w:val="clear" w:color="auto" w:fill="FFFFFF"/>
            <w:vAlign w:val="center"/>
          </w:tcPr>
          <w:p w14:paraId="53921F37">
            <w:pPr>
              <w:pStyle w:val="125"/>
              <w:spacing w:line="360" w:lineRule="atLeast"/>
              <w:ind w:firstLine="0"/>
              <w:jc w:val="center"/>
              <w:rPr>
                <w:color w:val="auto"/>
                <w:sz w:val="21"/>
                <w:szCs w:val="21"/>
              </w:rPr>
            </w:pPr>
            <w:r>
              <w:rPr>
                <w:rFonts w:hint="eastAsia"/>
                <w:color w:val="auto"/>
                <w:sz w:val="21"/>
                <w:szCs w:val="21"/>
              </w:rPr>
              <w:t>无灰尘、水迹、锈迹，镜面上 无顽垢</w:t>
            </w:r>
          </w:p>
        </w:tc>
        <w:tc>
          <w:tcPr>
            <w:tcW w:w="2086" w:type="dxa"/>
            <w:tcBorders>
              <w:top w:val="single" w:color="auto" w:sz="4" w:space="0"/>
              <w:left w:val="single" w:color="auto" w:sz="4" w:space="0"/>
            </w:tcBorders>
            <w:shd w:val="clear" w:color="auto" w:fill="FFFFFF"/>
            <w:vAlign w:val="center"/>
          </w:tcPr>
          <w:p w14:paraId="2359338D">
            <w:pPr>
              <w:pStyle w:val="125"/>
              <w:spacing w:line="360" w:lineRule="atLeast"/>
              <w:ind w:firstLine="0"/>
              <w:jc w:val="center"/>
              <w:rPr>
                <w:color w:val="auto"/>
                <w:sz w:val="21"/>
                <w:szCs w:val="21"/>
              </w:rPr>
            </w:pPr>
            <w:r>
              <w:rPr>
                <w:rFonts w:hint="eastAsia"/>
                <w:color w:val="auto"/>
                <w:sz w:val="21"/>
                <w:szCs w:val="21"/>
              </w:rPr>
              <w:t>每天上午一 次</w:t>
            </w:r>
          </w:p>
        </w:tc>
        <w:tc>
          <w:tcPr>
            <w:tcW w:w="2655" w:type="dxa"/>
            <w:tcBorders>
              <w:top w:val="single" w:color="auto" w:sz="4" w:space="0"/>
              <w:left w:val="single" w:color="auto" w:sz="4" w:space="0"/>
              <w:right w:val="single" w:color="auto" w:sz="4" w:space="0"/>
            </w:tcBorders>
            <w:shd w:val="clear" w:color="auto" w:fill="FFFFFF"/>
            <w:vAlign w:val="center"/>
          </w:tcPr>
          <w:p w14:paraId="5FDEE3C3">
            <w:pPr>
              <w:pStyle w:val="125"/>
              <w:spacing w:line="360" w:lineRule="atLeast"/>
              <w:ind w:firstLine="0"/>
              <w:jc w:val="center"/>
              <w:rPr>
                <w:color w:val="auto"/>
                <w:sz w:val="21"/>
                <w:szCs w:val="21"/>
              </w:rPr>
            </w:pPr>
            <w:r>
              <w:rPr>
                <w:rFonts w:hint="eastAsia"/>
                <w:color w:val="auto"/>
                <w:sz w:val="21"/>
                <w:szCs w:val="21"/>
              </w:rPr>
              <w:t>玻璃不能擦花。</w:t>
            </w:r>
          </w:p>
        </w:tc>
      </w:tr>
      <w:tr w14:paraId="677A6102">
        <w:tblPrEx>
          <w:tblCellMar>
            <w:top w:w="0" w:type="dxa"/>
            <w:left w:w="10" w:type="dxa"/>
            <w:bottom w:w="0" w:type="dxa"/>
            <w:right w:w="10" w:type="dxa"/>
          </w:tblCellMar>
        </w:tblPrEx>
        <w:trPr>
          <w:trHeight w:val="3693" w:hRule="exact"/>
          <w:jc w:val="center"/>
        </w:trPr>
        <w:tc>
          <w:tcPr>
            <w:tcW w:w="857" w:type="dxa"/>
            <w:tcBorders>
              <w:top w:val="single" w:color="auto" w:sz="4" w:space="0"/>
              <w:left w:val="single" w:color="auto" w:sz="4" w:space="0"/>
            </w:tcBorders>
            <w:shd w:val="clear" w:color="auto" w:fill="FFFFFF"/>
            <w:vAlign w:val="center"/>
          </w:tcPr>
          <w:p w14:paraId="02531036">
            <w:pPr>
              <w:pStyle w:val="125"/>
              <w:spacing w:line="360" w:lineRule="atLeast"/>
              <w:ind w:firstLine="0"/>
              <w:jc w:val="center"/>
              <w:rPr>
                <w:color w:val="auto"/>
                <w:sz w:val="21"/>
                <w:szCs w:val="21"/>
              </w:rPr>
            </w:pPr>
            <w:r>
              <w:rPr>
                <w:rFonts w:hint="eastAsia"/>
                <w:color w:val="auto"/>
                <w:sz w:val="21"/>
                <w:szCs w:val="21"/>
              </w:rPr>
              <w:t>所有金属架、龙 头、污物钩、软管、 下水弯头、开关、 扶手等</w:t>
            </w:r>
          </w:p>
        </w:tc>
        <w:tc>
          <w:tcPr>
            <w:tcW w:w="2229" w:type="dxa"/>
            <w:tcBorders>
              <w:top w:val="single" w:color="auto" w:sz="4" w:space="0"/>
              <w:left w:val="single" w:color="auto" w:sz="4" w:space="0"/>
            </w:tcBorders>
            <w:shd w:val="clear" w:color="auto" w:fill="FFFFFF"/>
            <w:vAlign w:val="center"/>
          </w:tcPr>
          <w:p w14:paraId="0596BB43">
            <w:pPr>
              <w:pStyle w:val="125"/>
              <w:spacing w:line="360" w:lineRule="atLeast"/>
              <w:ind w:firstLine="0"/>
              <w:jc w:val="center"/>
              <w:rPr>
                <w:color w:val="auto"/>
                <w:sz w:val="21"/>
                <w:szCs w:val="21"/>
              </w:rPr>
            </w:pPr>
            <w:r>
              <w:rPr>
                <w:rFonts w:hint="eastAsia"/>
                <w:color w:val="auto"/>
                <w:sz w:val="21"/>
                <w:szCs w:val="21"/>
              </w:rPr>
              <w:t>光亮、无斑迹</w:t>
            </w:r>
          </w:p>
        </w:tc>
        <w:tc>
          <w:tcPr>
            <w:tcW w:w="2086" w:type="dxa"/>
            <w:tcBorders>
              <w:top w:val="single" w:color="auto" w:sz="4" w:space="0"/>
              <w:left w:val="single" w:color="auto" w:sz="4" w:space="0"/>
            </w:tcBorders>
            <w:shd w:val="clear" w:color="auto" w:fill="FFFFFF"/>
            <w:vAlign w:val="center"/>
          </w:tcPr>
          <w:p w14:paraId="1F6D8251">
            <w:pPr>
              <w:pStyle w:val="125"/>
              <w:spacing w:line="360" w:lineRule="atLeast"/>
              <w:ind w:firstLine="0"/>
              <w:jc w:val="center"/>
              <w:rPr>
                <w:color w:val="auto"/>
                <w:sz w:val="21"/>
                <w:szCs w:val="21"/>
              </w:rPr>
            </w:pPr>
            <w:r>
              <w:rPr>
                <w:rFonts w:hint="eastAsia"/>
                <w:color w:val="auto"/>
                <w:sz w:val="21"/>
                <w:szCs w:val="21"/>
              </w:rPr>
              <w:t>每天上午一 次</w:t>
            </w:r>
          </w:p>
        </w:tc>
        <w:tc>
          <w:tcPr>
            <w:tcW w:w="2655" w:type="dxa"/>
            <w:tcBorders>
              <w:top w:val="single" w:color="auto" w:sz="4" w:space="0"/>
              <w:left w:val="single" w:color="auto" w:sz="4" w:space="0"/>
              <w:right w:val="single" w:color="auto" w:sz="4" w:space="0"/>
            </w:tcBorders>
            <w:shd w:val="clear" w:color="auto" w:fill="FFFFFF"/>
            <w:vAlign w:val="center"/>
          </w:tcPr>
          <w:p w14:paraId="06A5F9B4">
            <w:pPr>
              <w:pStyle w:val="125"/>
              <w:spacing w:line="360" w:lineRule="atLeast"/>
              <w:ind w:firstLine="0"/>
              <w:jc w:val="center"/>
              <w:rPr>
                <w:color w:val="auto"/>
                <w:sz w:val="21"/>
                <w:szCs w:val="21"/>
              </w:rPr>
            </w:pPr>
            <w:r>
              <w:rPr>
                <w:rFonts w:hint="eastAsia"/>
                <w:color w:val="auto"/>
                <w:sz w:val="21"/>
                <w:szCs w:val="21"/>
              </w:rPr>
              <w:t>抹布要分开使用。</w:t>
            </w:r>
          </w:p>
        </w:tc>
      </w:tr>
      <w:tr w14:paraId="458C1660">
        <w:tblPrEx>
          <w:tblCellMar>
            <w:top w:w="0" w:type="dxa"/>
            <w:left w:w="10" w:type="dxa"/>
            <w:bottom w:w="0" w:type="dxa"/>
            <w:right w:w="10" w:type="dxa"/>
          </w:tblCellMar>
        </w:tblPrEx>
        <w:trPr>
          <w:trHeight w:val="1456" w:hRule="exact"/>
          <w:jc w:val="center"/>
        </w:trPr>
        <w:tc>
          <w:tcPr>
            <w:tcW w:w="857" w:type="dxa"/>
            <w:vMerge w:val="restart"/>
            <w:tcBorders>
              <w:top w:val="single" w:color="auto" w:sz="4" w:space="0"/>
              <w:left w:val="single" w:color="auto" w:sz="4" w:space="0"/>
            </w:tcBorders>
            <w:shd w:val="clear" w:color="auto" w:fill="FFFFFF"/>
            <w:vAlign w:val="center"/>
          </w:tcPr>
          <w:p w14:paraId="5B2FC9D3">
            <w:pPr>
              <w:pStyle w:val="125"/>
              <w:spacing w:line="360" w:lineRule="atLeast"/>
              <w:ind w:firstLine="0"/>
              <w:jc w:val="center"/>
              <w:rPr>
                <w:color w:val="auto"/>
                <w:sz w:val="21"/>
                <w:szCs w:val="21"/>
              </w:rPr>
            </w:pPr>
            <w:r>
              <w:rPr>
                <w:rFonts w:hint="eastAsia"/>
                <w:color w:val="auto"/>
                <w:sz w:val="21"/>
                <w:szCs w:val="21"/>
              </w:rPr>
              <w:t>抽水马桶及水箱</w:t>
            </w:r>
          </w:p>
        </w:tc>
        <w:tc>
          <w:tcPr>
            <w:tcW w:w="2229" w:type="dxa"/>
            <w:tcBorders>
              <w:top w:val="single" w:color="auto" w:sz="4" w:space="0"/>
              <w:left w:val="single" w:color="auto" w:sz="4" w:space="0"/>
            </w:tcBorders>
            <w:shd w:val="clear" w:color="auto" w:fill="FFFFFF"/>
            <w:vAlign w:val="center"/>
          </w:tcPr>
          <w:p w14:paraId="455DDE39">
            <w:pPr>
              <w:pStyle w:val="125"/>
              <w:spacing w:line="360" w:lineRule="atLeast"/>
              <w:ind w:firstLine="0"/>
              <w:jc w:val="center"/>
              <w:rPr>
                <w:color w:val="auto"/>
                <w:sz w:val="21"/>
                <w:szCs w:val="21"/>
              </w:rPr>
            </w:pPr>
            <w:r>
              <w:rPr>
                <w:rFonts w:hint="eastAsia"/>
                <w:color w:val="auto"/>
                <w:sz w:val="21"/>
                <w:szCs w:val="21"/>
              </w:rPr>
              <w:t>无水痕、锈迹、斑迹、毛发、 尿碱</w:t>
            </w:r>
          </w:p>
        </w:tc>
        <w:tc>
          <w:tcPr>
            <w:tcW w:w="2086" w:type="dxa"/>
            <w:tcBorders>
              <w:top w:val="single" w:color="auto" w:sz="4" w:space="0"/>
              <w:left w:val="single" w:color="auto" w:sz="4" w:space="0"/>
            </w:tcBorders>
            <w:shd w:val="clear" w:color="auto" w:fill="FFFFFF"/>
            <w:vAlign w:val="center"/>
          </w:tcPr>
          <w:p w14:paraId="71EE4AA2">
            <w:pPr>
              <w:pStyle w:val="125"/>
              <w:spacing w:line="360" w:lineRule="atLeast"/>
              <w:ind w:firstLine="0"/>
              <w:jc w:val="center"/>
              <w:rPr>
                <w:color w:val="auto"/>
                <w:sz w:val="21"/>
                <w:szCs w:val="21"/>
              </w:rPr>
            </w:pPr>
            <w:r>
              <w:rPr>
                <w:rFonts w:hint="eastAsia"/>
                <w:color w:val="auto"/>
                <w:sz w:val="21"/>
                <w:szCs w:val="21"/>
              </w:rPr>
              <w:t>每天上、下 午各一次</w:t>
            </w:r>
          </w:p>
        </w:tc>
        <w:tc>
          <w:tcPr>
            <w:tcW w:w="2655" w:type="dxa"/>
            <w:tcBorders>
              <w:top w:val="single" w:color="auto" w:sz="4" w:space="0"/>
              <w:left w:val="single" w:color="auto" w:sz="4" w:space="0"/>
              <w:right w:val="single" w:color="auto" w:sz="4" w:space="0"/>
            </w:tcBorders>
            <w:shd w:val="clear" w:color="auto" w:fill="FFFFFF"/>
            <w:vAlign w:val="center"/>
          </w:tcPr>
          <w:p w14:paraId="093F578A">
            <w:pPr>
              <w:pStyle w:val="125"/>
              <w:spacing w:line="360" w:lineRule="atLeast"/>
              <w:ind w:firstLine="0"/>
              <w:jc w:val="center"/>
              <w:rPr>
                <w:color w:val="auto"/>
                <w:sz w:val="21"/>
                <w:szCs w:val="21"/>
              </w:rPr>
            </w:pPr>
            <w:r>
              <w:rPr>
                <w:rFonts w:hint="eastAsia"/>
                <w:color w:val="auto"/>
                <w:sz w:val="21"/>
                <w:szCs w:val="21"/>
              </w:rPr>
              <w:t>马桶</w:t>
            </w:r>
            <w:r>
              <w:rPr>
                <w:rFonts w:hint="eastAsia"/>
                <w:color w:val="auto"/>
                <w:sz w:val="21"/>
                <w:szCs w:val="21"/>
                <w:lang w:eastAsia="zh-CN"/>
              </w:rPr>
              <w:t>胶圈</w:t>
            </w:r>
            <w:r>
              <w:rPr>
                <w:rFonts w:hint="eastAsia"/>
                <w:color w:val="auto"/>
                <w:sz w:val="21"/>
                <w:szCs w:val="21"/>
              </w:rPr>
              <w:t>、出水口、溢水口、 水阀、控制器、四周瓷砖的 卫生不能忽略。</w:t>
            </w:r>
          </w:p>
        </w:tc>
      </w:tr>
      <w:tr w14:paraId="7E433B4D">
        <w:tblPrEx>
          <w:tblCellMar>
            <w:top w:w="0" w:type="dxa"/>
            <w:left w:w="10" w:type="dxa"/>
            <w:bottom w:w="0" w:type="dxa"/>
            <w:right w:w="10" w:type="dxa"/>
          </w:tblCellMar>
        </w:tblPrEx>
        <w:trPr>
          <w:trHeight w:val="1833" w:hRule="exact"/>
          <w:jc w:val="center"/>
        </w:trPr>
        <w:tc>
          <w:tcPr>
            <w:tcW w:w="857" w:type="dxa"/>
            <w:vMerge w:val="continue"/>
            <w:tcBorders>
              <w:left w:val="single" w:color="auto" w:sz="4" w:space="0"/>
            </w:tcBorders>
            <w:shd w:val="clear" w:color="auto" w:fill="FFFFFF"/>
            <w:vAlign w:val="center"/>
          </w:tcPr>
          <w:p w14:paraId="54B2CF65">
            <w:pPr>
              <w:spacing w:line="360" w:lineRule="atLeast"/>
              <w:jc w:val="center"/>
              <w:rPr>
                <w:rFonts w:ascii="宋体" w:hAnsi="宋体" w:cs="宋体"/>
                <w:color w:val="auto"/>
                <w:szCs w:val="21"/>
              </w:rPr>
            </w:pPr>
          </w:p>
        </w:tc>
        <w:tc>
          <w:tcPr>
            <w:tcW w:w="2229" w:type="dxa"/>
            <w:tcBorders>
              <w:top w:val="single" w:color="auto" w:sz="4" w:space="0"/>
              <w:left w:val="single" w:color="auto" w:sz="4" w:space="0"/>
            </w:tcBorders>
            <w:shd w:val="clear" w:color="auto" w:fill="FFFFFF"/>
            <w:vAlign w:val="center"/>
          </w:tcPr>
          <w:p w14:paraId="63BDA11D">
            <w:pPr>
              <w:pStyle w:val="125"/>
              <w:spacing w:line="360" w:lineRule="atLeast"/>
              <w:ind w:firstLine="0"/>
              <w:jc w:val="center"/>
              <w:rPr>
                <w:color w:val="auto"/>
                <w:sz w:val="21"/>
                <w:szCs w:val="21"/>
              </w:rPr>
            </w:pPr>
            <w:r>
              <w:rPr>
                <w:rFonts w:hint="eastAsia"/>
                <w:color w:val="auto"/>
                <w:sz w:val="21"/>
                <w:szCs w:val="21"/>
              </w:rPr>
              <w:t>无灰尘、无黄迹、无沉淀物</w:t>
            </w:r>
          </w:p>
        </w:tc>
        <w:tc>
          <w:tcPr>
            <w:tcW w:w="2086" w:type="dxa"/>
            <w:tcBorders>
              <w:top w:val="single" w:color="auto" w:sz="4" w:space="0"/>
              <w:left w:val="single" w:color="auto" w:sz="4" w:space="0"/>
            </w:tcBorders>
            <w:shd w:val="clear" w:color="auto" w:fill="FFFFFF"/>
            <w:vAlign w:val="center"/>
          </w:tcPr>
          <w:p w14:paraId="6EEEBA26">
            <w:pPr>
              <w:pStyle w:val="125"/>
              <w:spacing w:line="360" w:lineRule="atLeast"/>
              <w:ind w:firstLine="0"/>
              <w:jc w:val="center"/>
              <w:rPr>
                <w:color w:val="auto"/>
                <w:sz w:val="21"/>
                <w:szCs w:val="21"/>
              </w:rPr>
            </w:pPr>
            <w:r>
              <w:rPr>
                <w:rFonts w:hint="eastAsia"/>
                <w:color w:val="auto"/>
                <w:sz w:val="21"/>
                <w:szCs w:val="21"/>
              </w:rPr>
              <w:t>每天上、下 午各一次</w:t>
            </w:r>
          </w:p>
        </w:tc>
        <w:tc>
          <w:tcPr>
            <w:tcW w:w="2655" w:type="dxa"/>
            <w:tcBorders>
              <w:top w:val="single" w:color="auto" w:sz="4" w:space="0"/>
              <w:left w:val="single" w:color="auto" w:sz="4" w:space="0"/>
              <w:right w:val="single" w:color="auto" w:sz="4" w:space="0"/>
            </w:tcBorders>
            <w:shd w:val="clear" w:color="auto" w:fill="FFFFFF"/>
            <w:vAlign w:val="center"/>
          </w:tcPr>
          <w:p w14:paraId="31AFCD4A">
            <w:pPr>
              <w:pStyle w:val="125"/>
              <w:tabs>
                <w:tab w:val="left" w:pos="324"/>
              </w:tabs>
              <w:spacing w:line="360" w:lineRule="atLeast"/>
              <w:ind w:firstLine="0"/>
              <w:jc w:val="center"/>
              <w:rPr>
                <w:color w:val="auto"/>
                <w:sz w:val="21"/>
                <w:szCs w:val="21"/>
              </w:rPr>
            </w:pPr>
            <w:r>
              <w:rPr>
                <w:rFonts w:hint="eastAsia"/>
                <w:color w:val="auto"/>
                <w:sz w:val="21"/>
                <w:szCs w:val="21"/>
              </w:rPr>
              <w:t>1、</w:t>
            </w:r>
            <w:r>
              <w:rPr>
                <w:rFonts w:hint="eastAsia"/>
                <w:color w:val="auto"/>
                <w:sz w:val="21"/>
                <w:szCs w:val="21"/>
              </w:rPr>
              <w:tab/>
            </w:r>
            <w:r>
              <w:rPr>
                <w:rFonts w:hint="eastAsia"/>
                <w:color w:val="auto"/>
                <w:sz w:val="21"/>
                <w:szCs w:val="21"/>
              </w:rPr>
              <w:t>水箱盖一定要放在安全的 地方，防止打烂；</w:t>
            </w:r>
          </w:p>
          <w:p w14:paraId="3DC0AC18">
            <w:pPr>
              <w:pStyle w:val="125"/>
              <w:tabs>
                <w:tab w:val="left" w:pos="317"/>
              </w:tabs>
              <w:spacing w:line="360" w:lineRule="atLeast"/>
              <w:ind w:firstLine="0"/>
              <w:jc w:val="center"/>
              <w:rPr>
                <w:color w:val="auto"/>
                <w:sz w:val="21"/>
                <w:szCs w:val="21"/>
              </w:rPr>
            </w:pPr>
            <w:r>
              <w:rPr>
                <w:rFonts w:hint="eastAsia"/>
                <w:color w:val="auto"/>
                <w:sz w:val="21"/>
                <w:szCs w:val="21"/>
              </w:rPr>
              <w:t>2、</w:t>
            </w:r>
            <w:r>
              <w:rPr>
                <w:rFonts w:hint="eastAsia"/>
                <w:color w:val="auto"/>
                <w:sz w:val="21"/>
                <w:szCs w:val="21"/>
              </w:rPr>
              <w:tab/>
            </w:r>
            <w:r>
              <w:rPr>
                <w:rFonts w:hint="eastAsia"/>
                <w:color w:val="auto"/>
                <w:sz w:val="21"/>
                <w:szCs w:val="21"/>
              </w:rPr>
              <w:t>刷洗时要小心，避免损坏 内部构件。</w:t>
            </w:r>
          </w:p>
        </w:tc>
      </w:tr>
      <w:tr w14:paraId="109D7EFA">
        <w:tblPrEx>
          <w:tblCellMar>
            <w:top w:w="0" w:type="dxa"/>
            <w:left w:w="10" w:type="dxa"/>
            <w:bottom w:w="0" w:type="dxa"/>
            <w:right w:w="10" w:type="dxa"/>
          </w:tblCellMar>
        </w:tblPrEx>
        <w:trPr>
          <w:trHeight w:val="1514" w:hRule="exact"/>
          <w:jc w:val="center"/>
        </w:trPr>
        <w:tc>
          <w:tcPr>
            <w:tcW w:w="857" w:type="dxa"/>
            <w:tcBorders>
              <w:top w:val="single" w:color="auto" w:sz="4" w:space="0"/>
              <w:left w:val="single" w:color="auto" w:sz="4" w:space="0"/>
            </w:tcBorders>
            <w:shd w:val="clear" w:color="auto" w:fill="FFFFFF"/>
            <w:vAlign w:val="center"/>
          </w:tcPr>
          <w:p w14:paraId="45E2E3DA">
            <w:pPr>
              <w:pStyle w:val="125"/>
              <w:spacing w:line="360" w:lineRule="atLeast"/>
              <w:ind w:firstLine="0"/>
              <w:jc w:val="center"/>
              <w:rPr>
                <w:color w:val="auto"/>
                <w:sz w:val="21"/>
                <w:szCs w:val="21"/>
              </w:rPr>
            </w:pPr>
            <w:r>
              <w:rPr>
                <w:rFonts w:hint="eastAsia"/>
                <w:color w:val="auto"/>
                <w:sz w:val="21"/>
                <w:szCs w:val="21"/>
              </w:rPr>
              <w:t>浴帘、浴帘杆、环</w:t>
            </w:r>
          </w:p>
        </w:tc>
        <w:tc>
          <w:tcPr>
            <w:tcW w:w="2229" w:type="dxa"/>
            <w:tcBorders>
              <w:top w:val="single" w:color="auto" w:sz="4" w:space="0"/>
              <w:left w:val="single" w:color="auto" w:sz="4" w:space="0"/>
            </w:tcBorders>
            <w:shd w:val="clear" w:color="auto" w:fill="FFFFFF"/>
            <w:vAlign w:val="center"/>
          </w:tcPr>
          <w:p w14:paraId="6EBA46E1">
            <w:pPr>
              <w:pStyle w:val="125"/>
              <w:spacing w:line="360" w:lineRule="atLeast"/>
              <w:ind w:firstLine="0"/>
              <w:jc w:val="center"/>
              <w:rPr>
                <w:color w:val="auto"/>
                <w:sz w:val="21"/>
                <w:szCs w:val="21"/>
              </w:rPr>
            </w:pPr>
            <w:r>
              <w:rPr>
                <w:rFonts w:hint="eastAsia"/>
                <w:color w:val="auto"/>
                <w:sz w:val="21"/>
                <w:szCs w:val="21"/>
              </w:rPr>
              <w:t>无皂迹、头发</w:t>
            </w:r>
          </w:p>
        </w:tc>
        <w:tc>
          <w:tcPr>
            <w:tcW w:w="2086" w:type="dxa"/>
            <w:tcBorders>
              <w:top w:val="single" w:color="auto" w:sz="4" w:space="0"/>
              <w:left w:val="single" w:color="auto" w:sz="4" w:space="0"/>
            </w:tcBorders>
            <w:shd w:val="clear" w:color="auto" w:fill="FFFFFF"/>
            <w:vAlign w:val="center"/>
          </w:tcPr>
          <w:p w14:paraId="3A38429A">
            <w:pPr>
              <w:pStyle w:val="125"/>
              <w:spacing w:line="360" w:lineRule="atLeast"/>
              <w:ind w:firstLine="0"/>
              <w:jc w:val="center"/>
              <w:rPr>
                <w:color w:val="auto"/>
                <w:sz w:val="21"/>
                <w:szCs w:val="21"/>
              </w:rPr>
            </w:pPr>
            <w:r>
              <w:rPr>
                <w:rFonts w:hint="eastAsia"/>
                <w:color w:val="auto"/>
                <w:sz w:val="21"/>
                <w:szCs w:val="21"/>
              </w:rPr>
              <w:t>每天上午一 次</w:t>
            </w:r>
          </w:p>
        </w:tc>
        <w:tc>
          <w:tcPr>
            <w:tcW w:w="2655" w:type="dxa"/>
            <w:tcBorders>
              <w:top w:val="single" w:color="auto" w:sz="4" w:space="0"/>
              <w:left w:val="single" w:color="auto" w:sz="4" w:space="0"/>
              <w:right w:val="single" w:color="auto" w:sz="4" w:space="0"/>
            </w:tcBorders>
            <w:shd w:val="clear" w:color="auto" w:fill="FFFFFF"/>
            <w:vAlign w:val="center"/>
          </w:tcPr>
          <w:p w14:paraId="230591D3">
            <w:pPr>
              <w:pStyle w:val="125"/>
              <w:spacing w:line="360" w:lineRule="atLeast"/>
              <w:ind w:firstLine="0"/>
              <w:jc w:val="center"/>
              <w:rPr>
                <w:color w:val="auto"/>
                <w:sz w:val="21"/>
                <w:szCs w:val="21"/>
              </w:rPr>
            </w:pPr>
            <w:r>
              <w:rPr>
                <w:rFonts w:hint="eastAsia"/>
                <w:color w:val="auto"/>
                <w:sz w:val="21"/>
                <w:szCs w:val="21"/>
              </w:rPr>
              <w:t>洗净后抹干，不可滴水。</w:t>
            </w:r>
          </w:p>
        </w:tc>
      </w:tr>
      <w:tr w14:paraId="0A76D2F1">
        <w:tblPrEx>
          <w:tblCellMar>
            <w:top w:w="0" w:type="dxa"/>
            <w:left w:w="10" w:type="dxa"/>
            <w:bottom w:w="0" w:type="dxa"/>
            <w:right w:w="10" w:type="dxa"/>
          </w:tblCellMar>
        </w:tblPrEx>
        <w:trPr>
          <w:trHeight w:val="1405" w:hRule="exact"/>
          <w:jc w:val="center"/>
        </w:trPr>
        <w:tc>
          <w:tcPr>
            <w:tcW w:w="857" w:type="dxa"/>
            <w:tcBorders>
              <w:top w:val="single" w:color="auto" w:sz="4" w:space="0"/>
              <w:left w:val="single" w:color="auto" w:sz="4" w:space="0"/>
            </w:tcBorders>
            <w:shd w:val="clear" w:color="auto" w:fill="FFFFFF"/>
            <w:vAlign w:val="center"/>
          </w:tcPr>
          <w:p w14:paraId="413E8960">
            <w:pPr>
              <w:pStyle w:val="125"/>
              <w:spacing w:line="360" w:lineRule="atLeast"/>
              <w:ind w:firstLine="0"/>
              <w:jc w:val="center"/>
              <w:rPr>
                <w:color w:val="auto"/>
                <w:sz w:val="21"/>
                <w:szCs w:val="21"/>
              </w:rPr>
            </w:pPr>
            <w:r>
              <w:rPr>
                <w:rFonts w:hint="eastAsia"/>
                <w:color w:val="auto"/>
                <w:sz w:val="21"/>
                <w:szCs w:val="21"/>
              </w:rPr>
              <w:t>卫生间垃圾桶</w:t>
            </w:r>
          </w:p>
        </w:tc>
        <w:tc>
          <w:tcPr>
            <w:tcW w:w="2229" w:type="dxa"/>
            <w:tcBorders>
              <w:top w:val="single" w:color="auto" w:sz="4" w:space="0"/>
              <w:left w:val="single" w:color="auto" w:sz="4" w:space="0"/>
            </w:tcBorders>
            <w:shd w:val="clear" w:color="auto" w:fill="FFFFFF"/>
            <w:vAlign w:val="center"/>
          </w:tcPr>
          <w:p w14:paraId="725A5666">
            <w:pPr>
              <w:pStyle w:val="125"/>
              <w:spacing w:line="360" w:lineRule="atLeast"/>
              <w:ind w:firstLine="0"/>
              <w:jc w:val="center"/>
              <w:rPr>
                <w:color w:val="auto"/>
                <w:sz w:val="21"/>
                <w:szCs w:val="21"/>
              </w:rPr>
            </w:pPr>
            <w:r>
              <w:rPr>
                <w:rFonts w:hint="eastAsia"/>
                <w:color w:val="auto"/>
                <w:sz w:val="21"/>
                <w:szCs w:val="21"/>
              </w:rPr>
              <w:t>光亮、无污迹、无水迹，周边 无垃圾</w:t>
            </w:r>
          </w:p>
        </w:tc>
        <w:tc>
          <w:tcPr>
            <w:tcW w:w="2086" w:type="dxa"/>
            <w:tcBorders>
              <w:top w:val="single" w:color="auto" w:sz="4" w:space="0"/>
              <w:left w:val="single" w:color="auto" w:sz="4" w:space="0"/>
            </w:tcBorders>
            <w:shd w:val="clear" w:color="auto" w:fill="FFFFFF"/>
            <w:vAlign w:val="center"/>
          </w:tcPr>
          <w:p w14:paraId="01AD7A50">
            <w:pPr>
              <w:pStyle w:val="125"/>
              <w:tabs>
                <w:tab w:val="left" w:pos="310"/>
              </w:tabs>
              <w:spacing w:line="360" w:lineRule="atLeast"/>
              <w:ind w:firstLine="0"/>
              <w:jc w:val="center"/>
              <w:rPr>
                <w:color w:val="auto"/>
                <w:sz w:val="21"/>
                <w:szCs w:val="21"/>
              </w:rPr>
            </w:pPr>
            <w:r>
              <w:rPr>
                <w:rFonts w:hint="eastAsia"/>
                <w:color w:val="auto"/>
                <w:sz w:val="21"/>
                <w:szCs w:val="21"/>
              </w:rPr>
              <w:t>1、</w:t>
            </w:r>
            <w:r>
              <w:rPr>
                <w:rFonts w:hint="eastAsia"/>
                <w:color w:val="auto"/>
                <w:sz w:val="21"/>
                <w:szCs w:val="21"/>
              </w:rPr>
              <w:tab/>
            </w:r>
            <w:r>
              <w:rPr>
                <w:rFonts w:hint="eastAsia"/>
                <w:color w:val="auto"/>
                <w:sz w:val="21"/>
                <w:szCs w:val="21"/>
              </w:rPr>
              <w:t>每天上、 下午各一次</w:t>
            </w:r>
          </w:p>
          <w:p w14:paraId="6E11F140">
            <w:pPr>
              <w:pStyle w:val="125"/>
              <w:tabs>
                <w:tab w:val="left" w:pos="223"/>
              </w:tabs>
              <w:spacing w:line="360" w:lineRule="atLeast"/>
              <w:ind w:firstLine="0"/>
              <w:jc w:val="center"/>
              <w:rPr>
                <w:color w:val="auto"/>
                <w:sz w:val="21"/>
                <w:szCs w:val="21"/>
              </w:rPr>
            </w:pPr>
            <w:r>
              <w:rPr>
                <w:rFonts w:hint="eastAsia"/>
                <w:color w:val="auto"/>
                <w:sz w:val="21"/>
                <w:szCs w:val="21"/>
              </w:rPr>
              <w:t>2、</w:t>
            </w:r>
            <w:r>
              <w:rPr>
                <w:rFonts w:hint="eastAsia"/>
                <w:color w:val="auto"/>
                <w:sz w:val="21"/>
                <w:szCs w:val="21"/>
              </w:rPr>
              <w:tab/>
            </w:r>
            <w:r>
              <w:rPr>
                <w:rFonts w:hint="eastAsia"/>
                <w:color w:val="auto"/>
                <w:sz w:val="21"/>
                <w:szCs w:val="21"/>
              </w:rPr>
              <w:t>随满随倒</w:t>
            </w:r>
          </w:p>
        </w:tc>
        <w:tc>
          <w:tcPr>
            <w:tcW w:w="2655" w:type="dxa"/>
            <w:tcBorders>
              <w:top w:val="single" w:color="auto" w:sz="4" w:space="0"/>
              <w:left w:val="single" w:color="auto" w:sz="4" w:space="0"/>
              <w:right w:val="single" w:color="auto" w:sz="4" w:space="0"/>
            </w:tcBorders>
            <w:shd w:val="clear" w:color="auto" w:fill="FFFFFF"/>
            <w:vAlign w:val="center"/>
          </w:tcPr>
          <w:p w14:paraId="6C8AAB51">
            <w:pPr>
              <w:pStyle w:val="125"/>
              <w:spacing w:line="360" w:lineRule="atLeast"/>
              <w:ind w:firstLine="0"/>
              <w:jc w:val="center"/>
              <w:rPr>
                <w:color w:val="auto"/>
                <w:sz w:val="21"/>
                <w:szCs w:val="21"/>
              </w:rPr>
            </w:pPr>
            <w:r>
              <w:rPr>
                <w:rFonts w:hint="eastAsia"/>
                <w:color w:val="auto"/>
                <w:sz w:val="21"/>
                <w:szCs w:val="21"/>
              </w:rPr>
              <w:t>垃圾袋平整</w:t>
            </w:r>
            <w:r>
              <w:rPr>
                <w:rFonts w:hint="eastAsia"/>
                <w:color w:val="auto"/>
                <w:sz w:val="21"/>
                <w:szCs w:val="21"/>
                <w:lang w:eastAsia="zh-CN"/>
              </w:rPr>
              <w:t>的</w:t>
            </w:r>
            <w:r>
              <w:rPr>
                <w:rFonts w:hint="eastAsia"/>
                <w:color w:val="auto"/>
                <w:sz w:val="21"/>
                <w:szCs w:val="21"/>
              </w:rPr>
              <w:t>套在垃圾桶 上，与垃圾桶之间无缝隙， 翻边约5厘米，不能漫溢。</w:t>
            </w:r>
          </w:p>
        </w:tc>
      </w:tr>
      <w:tr w14:paraId="285FD267">
        <w:tblPrEx>
          <w:tblCellMar>
            <w:top w:w="0" w:type="dxa"/>
            <w:left w:w="10" w:type="dxa"/>
            <w:bottom w:w="0" w:type="dxa"/>
            <w:right w:w="10" w:type="dxa"/>
          </w:tblCellMar>
        </w:tblPrEx>
        <w:trPr>
          <w:trHeight w:val="1961" w:hRule="exact"/>
          <w:jc w:val="center"/>
        </w:trPr>
        <w:tc>
          <w:tcPr>
            <w:tcW w:w="857" w:type="dxa"/>
            <w:tcBorders>
              <w:top w:val="single" w:color="auto" w:sz="4" w:space="0"/>
              <w:left w:val="single" w:color="auto" w:sz="4" w:space="0"/>
              <w:bottom w:val="single" w:color="auto" w:sz="4" w:space="0"/>
            </w:tcBorders>
            <w:shd w:val="clear" w:color="auto" w:fill="FFFFFF"/>
            <w:vAlign w:val="center"/>
          </w:tcPr>
          <w:p w14:paraId="01060F93">
            <w:pPr>
              <w:pStyle w:val="125"/>
              <w:spacing w:line="360" w:lineRule="atLeast"/>
              <w:ind w:firstLine="0"/>
              <w:jc w:val="center"/>
              <w:rPr>
                <w:color w:val="auto"/>
                <w:sz w:val="21"/>
                <w:szCs w:val="21"/>
              </w:rPr>
            </w:pPr>
            <w:r>
              <w:rPr>
                <w:rFonts w:hint="eastAsia"/>
                <w:color w:val="auto"/>
                <w:sz w:val="21"/>
                <w:szCs w:val="21"/>
              </w:rPr>
              <w:t>门（面、锁把手、锁眼、碰头）、絞 链</w:t>
            </w:r>
          </w:p>
        </w:tc>
        <w:tc>
          <w:tcPr>
            <w:tcW w:w="2229" w:type="dxa"/>
            <w:tcBorders>
              <w:top w:val="single" w:color="auto" w:sz="4" w:space="0"/>
              <w:left w:val="single" w:color="auto" w:sz="4" w:space="0"/>
              <w:bottom w:val="single" w:color="auto" w:sz="4" w:space="0"/>
            </w:tcBorders>
            <w:shd w:val="clear" w:color="auto" w:fill="FFFFFF"/>
            <w:vAlign w:val="center"/>
          </w:tcPr>
          <w:p w14:paraId="0835F5AC">
            <w:pPr>
              <w:pStyle w:val="125"/>
              <w:spacing w:line="360" w:lineRule="atLeast"/>
              <w:ind w:firstLine="0"/>
              <w:jc w:val="center"/>
              <w:rPr>
                <w:color w:val="auto"/>
                <w:sz w:val="21"/>
                <w:szCs w:val="21"/>
              </w:rPr>
            </w:pPr>
            <w:r>
              <w:rPr>
                <w:rFonts w:hint="eastAsia"/>
                <w:color w:val="auto"/>
                <w:sz w:val="21"/>
                <w:szCs w:val="21"/>
              </w:rPr>
              <w:t>无浮灰、手印、斑迹</w:t>
            </w:r>
          </w:p>
        </w:tc>
        <w:tc>
          <w:tcPr>
            <w:tcW w:w="2086" w:type="dxa"/>
            <w:tcBorders>
              <w:top w:val="single" w:color="auto" w:sz="4" w:space="0"/>
              <w:left w:val="single" w:color="auto" w:sz="4" w:space="0"/>
              <w:bottom w:val="single" w:color="auto" w:sz="4" w:space="0"/>
            </w:tcBorders>
            <w:shd w:val="clear" w:color="auto" w:fill="FFFFFF"/>
            <w:vAlign w:val="center"/>
          </w:tcPr>
          <w:p w14:paraId="4D0428C6">
            <w:pPr>
              <w:pStyle w:val="125"/>
              <w:spacing w:line="360" w:lineRule="atLeast"/>
              <w:ind w:firstLine="0"/>
              <w:jc w:val="center"/>
              <w:rPr>
                <w:color w:val="auto"/>
                <w:sz w:val="21"/>
                <w:szCs w:val="21"/>
                <w:lang w:val="en-US" w:eastAsia="zh-CN"/>
              </w:rPr>
            </w:pPr>
            <w:r>
              <w:rPr>
                <w:rFonts w:hint="eastAsia"/>
                <w:color w:val="auto"/>
                <w:sz w:val="21"/>
                <w:szCs w:val="21"/>
              </w:rPr>
              <w:t>每天上午</w:t>
            </w:r>
            <w:r>
              <w:rPr>
                <w:rFonts w:hint="eastAsia"/>
                <w:color w:val="auto"/>
                <w:sz w:val="21"/>
                <w:szCs w:val="21"/>
                <w:lang w:val="en-US" w:eastAsia="zh-CN"/>
              </w:rPr>
              <w:t>一次</w:t>
            </w:r>
          </w:p>
        </w:tc>
        <w:tc>
          <w:tcPr>
            <w:tcW w:w="2655" w:type="dxa"/>
            <w:tcBorders>
              <w:top w:val="single" w:color="auto" w:sz="4" w:space="0"/>
              <w:left w:val="single" w:color="auto" w:sz="4" w:space="0"/>
              <w:bottom w:val="single" w:color="auto" w:sz="4" w:space="0"/>
              <w:right w:val="single" w:color="auto" w:sz="4" w:space="0"/>
            </w:tcBorders>
            <w:shd w:val="clear" w:color="auto" w:fill="FFFFFF"/>
            <w:vAlign w:val="center"/>
          </w:tcPr>
          <w:p w14:paraId="0040070A">
            <w:pPr>
              <w:pStyle w:val="125"/>
              <w:spacing w:line="360" w:lineRule="atLeast"/>
              <w:ind w:firstLine="0"/>
              <w:jc w:val="center"/>
              <w:rPr>
                <w:color w:val="auto"/>
                <w:sz w:val="21"/>
                <w:szCs w:val="21"/>
              </w:rPr>
            </w:pPr>
            <w:r>
              <w:rPr>
                <w:rFonts w:hint="eastAsia"/>
                <w:color w:val="auto"/>
                <w:sz w:val="21"/>
                <w:szCs w:val="21"/>
              </w:rPr>
              <w:t>抹干净，无水迹印。</w:t>
            </w:r>
          </w:p>
        </w:tc>
      </w:tr>
      <w:tr w14:paraId="6702BD99">
        <w:tblPrEx>
          <w:tblCellMar>
            <w:top w:w="0" w:type="dxa"/>
            <w:left w:w="10" w:type="dxa"/>
            <w:bottom w:w="0" w:type="dxa"/>
            <w:right w:w="10" w:type="dxa"/>
          </w:tblCellMar>
        </w:tblPrEx>
        <w:trPr>
          <w:trHeight w:val="1156" w:hRule="exact"/>
          <w:jc w:val="center"/>
        </w:trPr>
        <w:tc>
          <w:tcPr>
            <w:tcW w:w="857" w:type="dxa"/>
            <w:tcBorders>
              <w:top w:val="single" w:color="auto" w:sz="4" w:space="0"/>
              <w:left w:val="single" w:color="auto" w:sz="4" w:space="0"/>
              <w:bottom w:val="single" w:color="auto" w:sz="4" w:space="0"/>
            </w:tcBorders>
            <w:shd w:val="clear" w:color="auto" w:fill="FFFFFF"/>
            <w:vAlign w:val="center"/>
          </w:tcPr>
          <w:p w14:paraId="1C675963">
            <w:pPr>
              <w:pStyle w:val="125"/>
              <w:spacing w:line="360" w:lineRule="atLeast"/>
              <w:ind w:firstLine="0"/>
              <w:jc w:val="center"/>
              <w:rPr>
                <w:color w:val="auto"/>
                <w:sz w:val="21"/>
                <w:szCs w:val="21"/>
              </w:rPr>
            </w:pPr>
            <w:r>
              <w:rPr>
                <w:rFonts w:hint="eastAsia"/>
                <w:color w:val="auto"/>
                <w:sz w:val="21"/>
                <w:szCs w:val="21"/>
              </w:rPr>
              <w:t>门槛、防滑垫、地 漏</w:t>
            </w:r>
          </w:p>
        </w:tc>
        <w:tc>
          <w:tcPr>
            <w:tcW w:w="2229" w:type="dxa"/>
            <w:tcBorders>
              <w:top w:val="single" w:color="auto" w:sz="4" w:space="0"/>
              <w:left w:val="single" w:color="auto" w:sz="4" w:space="0"/>
              <w:bottom w:val="single" w:color="auto" w:sz="4" w:space="0"/>
            </w:tcBorders>
            <w:shd w:val="clear" w:color="auto" w:fill="FFFFFF"/>
            <w:vAlign w:val="center"/>
          </w:tcPr>
          <w:p w14:paraId="675F4A07">
            <w:pPr>
              <w:pStyle w:val="125"/>
              <w:spacing w:line="360" w:lineRule="atLeast"/>
              <w:ind w:firstLine="0"/>
              <w:jc w:val="center"/>
              <w:rPr>
                <w:color w:val="auto"/>
                <w:sz w:val="21"/>
                <w:szCs w:val="21"/>
              </w:rPr>
            </w:pPr>
            <w:r>
              <w:rPr>
                <w:rFonts w:hint="eastAsia"/>
                <w:color w:val="auto"/>
                <w:sz w:val="21"/>
                <w:szCs w:val="21"/>
              </w:rPr>
              <w:t>无头发、纱头，无灰尘、纸屑， 无污迹、水迹</w:t>
            </w:r>
          </w:p>
        </w:tc>
        <w:tc>
          <w:tcPr>
            <w:tcW w:w="2086" w:type="dxa"/>
            <w:tcBorders>
              <w:top w:val="single" w:color="auto" w:sz="4" w:space="0"/>
              <w:left w:val="single" w:color="auto" w:sz="4" w:space="0"/>
              <w:bottom w:val="single" w:color="auto" w:sz="4" w:space="0"/>
            </w:tcBorders>
            <w:shd w:val="clear" w:color="auto" w:fill="FFFFFF"/>
            <w:vAlign w:val="center"/>
          </w:tcPr>
          <w:p w14:paraId="28E8BAD4">
            <w:pPr>
              <w:pStyle w:val="125"/>
              <w:spacing w:after="80" w:line="360" w:lineRule="atLeast"/>
              <w:ind w:firstLine="0"/>
              <w:jc w:val="center"/>
              <w:rPr>
                <w:color w:val="auto"/>
                <w:sz w:val="21"/>
                <w:szCs w:val="21"/>
              </w:rPr>
            </w:pPr>
            <w:r>
              <w:rPr>
                <w:rFonts w:hint="eastAsia"/>
                <w:color w:val="auto"/>
                <w:sz w:val="21"/>
                <w:szCs w:val="21"/>
              </w:rPr>
              <w:t>每天上、下</w:t>
            </w:r>
          </w:p>
          <w:p w14:paraId="783A58F5">
            <w:pPr>
              <w:pStyle w:val="125"/>
              <w:spacing w:line="360" w:lineRule="atLeast"/>
              <w:ind w:firstLine="0"/>
              <w:jc w:val="center"/>
              <w:rPr>
                <w:color w:val="auto"/>
                <w:sz w:val="21"/>
                <w:szCs w:val="21"/>
              </w:rPr>
            </w:pPr>
            <w:r>
              <w:rPr>
                <w:rFonts w:hint="eastAsia"/>
                <w:color w:val="auto"/>
                <w:sz w:val="21"/>
                <w:szCs w:val="21"/>
              </w:rPr>
              <w:t>午一次</w:t>
            </w:r>
          </w:p>
        </w:tc>
        <w:tc>
          <w:tcPr>
            <w:tcW w:w="2655" w:type="dxa"/>
            <w:tcBorders>
              <w:top w:val="single" w:color="auto" w:sz="4" w:space="0"/>
              <w:left w:val="single" w:color="auto" w:sz="4" w:space="0"/>
              <w:bottom w:val="single" w:color="auto" w:sz="4" w:space="0"/>
              <w:right w:val="single" w:color="auto" w:sz="4" w:space="0"/>
            </w:tcBorders>
            <w:shd w:val="clear" w:color="auto" w:fill="FFFFFF"/>
            <w:vAlign w:val="center"/>
          </w:tcPr>
          <w:p w14:paraId="3E6EBCB0">
            <w:pPr>
              <w:pStyle w:val="125"/>
              <w:spacing w:line="360" w:lineRule="atLeast"/>
              <w:ind w:firstLine="0"/>
              <w:jc w:val="center"/>
              <w:rPr>
                <w:color w:val="auto"/>
                <w:sz w:val="21"/>
                <w:szCs w:val="21"/>
              </w:rPr>
            </w:pPr>
            <w:r>
              <w:rPr>
                <w:rFonts w:hint="eastAsia"/>
                <w:color w:val="auto"/>
                <w:sz w:val="21"/>
                <w:szCs w:val="21"/>
              </w:rPr>
              <w:t>地漏清洁后应盖在地漏孔 上，不可有积水。</w:t>
            </w:r>
          </w:p>
        </w:tc>
      </w:tr>
      <w:tr w14:paraId="15CF99CA">
        <w:tblPrEx>
          <w:tblCellMar>
            <w:top w:w="0" w:type="dxa"/>
            <w:left w:w="10" w:type="dxa"/>
            <w:bottom w:w="0" w:type="dxa"/>
            <w:right w:w="10" w:type="dxa"/>
          </w:tblCellMar>
        </w:tblPrEx>
        <w:trPr>
          <w:trHeight w:val="1175" w:hRule="exact"/>
          <w:jc w:val="center"/>
        </w:trPr>
        <w:tc>
          <w:tcPr>
            <w:tcW w:w="857" w:type="dxa"/>
            <w:tcBorders>
              <w:top w:val="single" w:color="auto" w:sz="4" w:space="0"/>
              <w:left w:val="single" w:color="auto" w:sz="4" w:space="0"/>
              <w:bottom w:val="single" w:color="auto" w:sz="4" w:space="0"/>
            </w:tcBorders>
            <w:shd w:val="clear" w:color="auto" w:fill="FFFFFF"/>
            <w:vAlign w:val="center"/>
          </w:tcPr>
          <w:p w14:paraId="504328AB">
            <w:pPr>
              <w:pStyle w:val="125"/>
              <w:spacing w:line="360" w:lineRule="atLeast"/>
              <w:ind w:firstLine="0"/>
              <w:jc w:val="center"/>
              <w:rPr>
                <w:color w:val="auto"/>
                <w:sz w:val="21"/>
                <w:szCs w:val="21"/>
              </w:rPr>
            </w:pPr>
            <w:r>
              <w:rPr>
                <w:rFonts w:hint="eastAsia"/>
                <w:color w:val="auto"/>
                <w:sz w:val="21"/>
                <w:szCs w:val="21"/>
              </w:rPr>
              <w:t>风口及风口挡板</w:t>
            </w:r>
          </w:p>
        </w:tc>
        <w:tc>
          <w:tcPr>
            <w:tcW w:w="2229" w:type="dxa"/>
            <w:tcBorders>
              <w:top w:val="single" w:color="auto" w:sz="4" w:space="0"/>
              <w:left w:val="single" w:color="auto" w:sz="4" w:space="0"/>
              <w:bottom w:val="single" w:color="auto" w:sz="4" w:space="0"/>
            </w:tcBorders>
            <w:shd w:val="clear" w:color="auto" w:fill="FFFFFF"/>
            <w:vAlign w:val="center"/>
          </w:tcPr>
          <w:p w14:paraId="55126EA8">
            <w:pPr>
              <w:pStyle w:val="125"/>
              <w:spacing w:line="360" w:lineRule="atLeast"/>
              <w:ind w:firstLine="0"/>
              <w:jc w:val="center"/>
              <w:rPr>
                <w:color w:val="auto"/>
                <w:sz w:val="21"/>
                <w:szCs w:val="21"/>
              </w:rPr>
            </w:pPr>
            <w:r>
              <w:rPr>
                <w:rFonts w:hint="eastAsia"/>
                <w:color w:val="auto"/>
                <w:sz w:val="21"/>
                <w:szCs w:val="21"/>
              </w:rPr>
              <w:t>无灰尘、无印迹</w:t>
            </w:r>
          </w:p>
        </w:tc>
        <w:tc>
          <w:tcPr>
            <w:tcW w:w="2086" w:type="dxa"/>
            <w:tcBorders>
              <w:top w:val="single" w:color="auto" w:sz="4" w:space="0"/>
              <w:left w:val="single" w:color="auto" w:sz="4" w:space="0"/>
              <w:bottom w:val="single" w:color="auto" w:sz="4" w:space="0"/>
            </w:tcBorders>
            <w:shd w:val="clear" w:color="auto" w:fill="FFFFFF"/>
            <w:vAlign w:val="center"/>
          </w:tcPr>
          <w:p w14:paraId="5FB0FFE8">
            <w:pPr>
              <w:pStyle w:val="125"/>
              <w:spacing w:line="360" w:lineRule="atLeast"/>
              <w:ind w:firstLine="0"/>
              <w:jc w:val="left"/>
              <w:rPr>
                <w:color w:val="auto"/>
                <w:sz w:val="21"/>
                <w:szCs w:val="21"/>
              </w:rPr>
            </w:pPr>
            <w:r>
              <w:rPr>
                <w:rFonts w:hint="eastAsia"/>
                <w:color w:val="auto"/>
                <w:sz w:val="21"/>
                <w:szCs w:val="21"/>
              </w:rPr>
              <w:t>每周一次</w:t>
            </w:r>
          </w:p>
        </w:tc>
        <w:tc>
          <w:tcPr>
            <w:tcW w:w="2655" w:type="dxa"/>
            <w:tcBorders>
              <w:top w:val="single" w:color="auto" w:sz="4" w:space="0"/>
              <w:left w:val="single" w:color="auto" w:sz="4" w:space="0"/>
              <w:bottom w:val="single" w:color="auto" w:sz="4" w:space="0"/>
              <w:right w:val="single" w:color="auto" w:sz="4" w:space="0"/>
            </w:tcBorders>
            <w:shd w:val="clear" w:color="auto" w:fill="FFFFFF"/>
          </w:tcPr>
          <w:p w14:paraId="0785920A">
            <w:pPr>
              <w:pStyle w:val="125"/>
              <w:spacing w:line="360" w:lineRule="atLeast"/>
              <w:ind w:firstLine="0"/>
              <w:jc w:val="left"/>
              <w:rPr>
                <w:color w:val="auto"/>
                <w:sz w:val="21"/>
                <w:szCs w:val="21"/>
              </w:rPr>
            </w:pPr>
            <w:r>
              <w:rPr>
                <w:rFonts w:hint="eastAsia"/>
                <w:color w:val="auto"/>
                <w:sz w:val="21"/>
                <w:szCs w:val="21"/>
              </w:rPr>
              <w:t>风口四周墙壁不可有污迹， 不可站在病人用椅上。</w:t>
            </w:r>
          </w:p>
        </w:tc>
      </w:tr>
      <w:tr w14:paraId="2834F501">
        <w:tblPrEx>
          <w:tblCellMar>
            <w:top w:w="0" w:type="dxa"/>
            <w:left w:w="10" w:type="dxa"/>
            <w:bottom w:w="0" w:type="dxa"/>
            <w:right w:w="10" w:type="dxa"/>
          </w:tblCellMar>
        </w:tblPrEx>
        <w:trPr>
          <w:trHeight w:val="823" w:hRule="exact"/>
          <w:jc w:val="center"/>
        </w:trPr>
        <w:tc>
          <w:tcPr>
            <w:tcW w:w="857" w:type="dxa"/>
            <w:tcBorders>
              <w:top w:val="single" w:color="auto" w:sz="4" w:space="0"/>
              <w:left w:val="single" w:color="auto" w:sz="4" w:space="0"/>
              <w:bottom w:val="single" w:color="auto" w:sz="4" w:space="0"/>
            </w:tcBorders>
            <w:shd w:val="clear" w:color="auto" w:fill="FFFFFF"/>
          </w:tcPr>
          <w:p w14:paraId="14D59F84">
            <w:pPr>
              <w:pStyle w:val="125"/>
              <w:spacing w:line="360" w:lineRule="atLeast"/>
              <w:ind w:firstLine="0"/>
              <w:jc w:val="center"/>
              <w:rPr>
                <w:color w:val="auto"/>
                <w:sz w:val="21"/>
                <w:szCs w:val="21"/>
              </w:rPr>
            </w:pPr>
            <w:r>
              <w:rPr>
                <w:rFonts w:hint="eastAsia"/>
                <w:color w:val="auto"/>
                <w:sz w:val="21"/>
                <w:szCs w:val="21"/>
              </w:rPr>
              <w:t>房顶</w:t>
            </w:r>
          </w:p>
        </w:tc>
        <w:tc>
          <w:tcPr>
            <w:tcW w:w="2229" w:type="dxa"/>
            <w:tcBorders>
              <w:top w:val="single" w:color="auto" w:sz="4" w:space="0"/>
              <w:left w:val="single" w:color="auto" w:sz="4" w:space="0"/>
              <w:bottom w:val="single" w:color="auto" w:sz="4" w:space="0"/>
            </w:tcBorders>
            <w:shd w:val="clear" w:color="auto" w:fill="FFFFFF"/>
          </w:tcPr>
          <w:p w14:paraId="2AE010A1">
            <w:pPr>
              <w:pStyle w:val="125"/>
              <w:spacing w:line="360" w:lineRule="atLeast"/>
              <w:ind w:firstLine="0"/>
              <w:jc w:val="center"/>
              <w:rPr>
                <w:color w:val="auto"/>
                <w:sz w:val="21"/>
                <w:szCs w:val="21"/>
              </w:rPr>
            </w:pPr>
            <w:r>
              <w:rPr>
                <w:rFonts w:hint="eastAsia"/>
                <w:color w:val="auto"/>
                <w:sz w:val="21"/>
                <w:szCs w:val="21"/>
              </w:rPr>
              <w:t>无斑迹、无吊灰、无蜘蛛网</w:t>
            </w:r>
          </w:p>
        </w:tc>
        <w:tc>
          <w:tcPr>
            <w:tcW w:w="2086" w:type="dxa"/>
            <w:tcBorders>
              <w:top w:val="single" w:color="auto" w:sz="4" w:space="0"/>
              <w:left w:val="single" w:color="auto" w:sz="4" w:space="0"/>
              <w:bottom w:val="single" w:color="auto" w:sz="4" w:space="0"/>
            </w:tcBorders>
            <w:shd w:val="clear" w:color="auto" w:fill="FFFFFF"/>
          </w:tcPr>
          <w:p w14:paraId="2A177B4E">
            <w:pPr>
              <w:pStyle w:val="125"/>
              <w:spacing w:line="360" w:lineRule="atLeast"/>
              <w:ind w:firstLine="0"/>
              <w:jc w:val="left"/>
              <w:rPr>
                <w:color w:val="auto"/>
                <w:sz w:val="21"/>
                <w:szCs w:val="21"/>
              </w:rPr>
            </w:pPr>
            <w:r>
              <w:rPr>
                <w:rFonts w:hint="eastAsia"/>
                <w:color w:val="auto"/>
                <w:sz w:val="21"/>
                <w:szCs w:val="21"/>
              </w:rPr>
              <w:t>每周一次</w:t>
            </w:r>
          </w:p>
        </w:tc>
        <w:tc>
          <w:tcPr>
            <w:tcW w:w="2655" w:type="dxa"/>
            <w:tcBorders>
              <w:top w:val="single" w:color="auto" w:sz="4" w:space="0"/>
              <w:left w:val="single" w:color="auto" w:sz="4" w:space="0"/>
              <w:bottom w:val="single" w:color="auto" w:sz="4" w:space="0"/>
              <w:right w:val="single" w:color="auto" w:sz="4" w:space="0"/>
            </w:tcBorders>
            <w:shd w:val="clear" w:color="auto" w:fill="FFFFFF"/>
          </w:tcPr>
          <w:p w14:paraId="42EEC1A0">
            <w:pPr>
              <w:pStyle w:val="125"/>
              <w:spacing w:line="360" w:lineRule="atLeast"/>
              <w:ind w:firstLine="0"/>
              <w:jc w:val="left"/>
              <w:rPr>
                <w:color w:val="auto"/>
                <w:sz w:val="21"/>
                <w:szCs w:val="21"/>
              </w:rPr>
            </w:pPr>
            <w:r>
              <w:rPr>
                <w:rFonts w:hint="eastAsia"/>
                <w:color w:val="auto"/>
                <w:sz w:val="21"/>
                <w:szCs w:val="21"/>
              </w:rPr>
              <w:t>防止灰尘扬起。</w:t>
            </w:r>
          </w:p>
        </w:tc>
      </w:tr>
      <w:tr w14:paraId="5B599BC6">
        <w:tblPrEx>
          <w:tblCellMar>
            <w:top w:w="0" w:type="dxa"/>
            <w:left w:w="10" w:type="dxa"/>
            <w:bottom w:w="0" w:type="dxa"/>
            <w:right w:w="10" w:type="dxa"/>
          </w:tblCellMar>
        </w:tblPrEx>
        <w:trPr>
          <w:trHeight w:val="1007" w:hRule="exact"/>
          <w:jc w:val="center"/>
        </w:trPr>
        <w:tc>
          <w:tcPr>
            <w:tcW w:w="857" w:type="dxa"/>
            <w:tcBorders>
              <w:top w:val="single" w:color="auto" w:sz="4" w:space="0"/>
              <w:left w:val="single" w:color="auto" w:sz="4" w:space="0"/>
              <w:bottom w:val="single" w:color="auto" w:sz="4" w:space="0"/>
            </w:tcBorders>
            <w:shd w:val="clear" w:color="auto" w:fill="FFFFFF"/>
            <w:vAlign w:val="center"/>
          </w:tcPr>
          <w:p w14:paraId="249C7C14">
            <w:pPr>
              <w:pStyle w:val="125"/>
              <w:spacing w:line="360" w:lineRule="atLeast"/>
              <w:ind w:firstLine="0"/>
              <w:jc w:val="center"/>
              <w:rPr>
                <w:color w:val="auto"/>
                <w:sz w:val="21"/>
                <w:szCs w:val="21"/>
              </w:rPr>
            </w:pPr>
            <w:r>
              <w:rPr>
                <w:rFonts w:hint="eastAsia"/>
                <w:color w:val="auto"/>
                <w:sz w:val="21"/>
                <w:szCs w:val="21"/>
              </w:rPr>
              <w:t>顶灯及罩</w:t>
            </w:r>
          </w:p>
        </w:tc>
        <w:tc>
          <w:tcPr>
            <w:tcW w:w="2229" w:type="dxa"/>
            <w:tcBorders>
              <w:top w:val="single" w:color="auto" w:sz="4" w:space="0"/>
              <w:left w:val="single" w:color="auto" w:sz="4" w:space="0"/>
              <w:bottom w:val="single" w:color="auto" w:sz="4" w:space="0"/>
            </w:tcBorders>
            <w:shd w:val="clear" w:color="auto" w:fill="FFFFFF"/>
            <w:vAlign w:val="center"/>
          </w:tcPr>
          <w:p w14:paraId="450B27A8">
            <w:pPr>
              <w:pStyle w:val="125"/>
              <w:spacing w:line="360" w:lineRule="atLeast"/>
              <w:ind w:firstLine="0"/>
              <w:jc w:val="center"/>
              <w:rPr>
                <w:color w:val="auto"/>
                <w:sz w:val="21"/>
                <w:szCs w:val="21"/>
              </w:rPr>
            </w:pPr>
            <w:r>
              <w:rPr>
                <w:rFonts w:hint="eastAsia"/>
                <w:color w:val="auto"/>
                <w:sz w:val="21"/>
                <w:szCs w:val="21"/>
              </w:rPr>
              <w:t>无灰尘</w:t>
            </w:r>
          </w:p>
        </w:tc>
        <w:tc>
          <w:tcPr>
            <w:tcW w:w="2086" w:type="dxa"/>
            <w:tcBorders>
              <w:top w:val="single" w:color="auto" w:sz="4" w:space="0"/>
              <w:left w:val="single" w:color="auto" w:sz="4" w:space="0"/>
              <w:bottom w:val="single" w:color="auto" w:sz="4" w:space="0"/>
            </w:tcBorders>
            <w:shd w:val="clear" w:color="auto" w:fill="FFFFFF"/>
            <w:vAlign w:val="center"/>
          </w:tcPr>
          <w:p w14:paraId="2802FADF">
            <w:pPr>
              <w:pStyle w:val="125"/>
              <w:spacing w:line="360" w:lineRule="atLeast"/>
              <w:ind w:firstLine="0"/>
              <w:jc w:val="left"/>
              <w:rPr>
                <w:color w:val="auto"/>
                <w:sz w:val="21"/>
                <w:szCs w:val="21"/>
              </w:rPr>
            </w:pPr>
            <w:r>
              <w:rPr>
                <w:rFonts w:hint="eastAsia"/>
                <w:color w:val="auto"/>
                <w:sz w:val="21"/>
                <w:szCs w:val="21"/>
              </w:rPr>
              <w:t>每周一次</w:t>
            </w:r>
          </w:p>
        </w:tc>
        <w:tc>
          <w:tcPr>
            <w:tcW w:w="2655" w:type="dxa"/>
            <w:tcBorders>
              <w:top w:val="single" w:color="auto" w:sz="4" w:space="0"/>
              <w:left w:val="single" w:color="auto" w:sz="4" w:space="0"/>
              <w:bottom w:val="single" w:color="auto" w:sz="4" w:space="0"/>
              <w:right w:val="single" w:color="auto" w:sz="4" w:space="0"/>
            </w:tcBorders>
            <w:shd w:val="clear" w:color="auto" w:fill="FFFFFF"/>
          </w:tcPr>
          <w:p w14:paraId="3AFA688D">
            <w:pPr>
              <w:pStyle w:val="125"/>
              <w:spacing w:line="360" w:lineRule="atLeast"/>
              <w:ind w:firstLine="0"/>
              <w:jc w:val="left"/>
              <w:rPr>
                <w:color w:val="auto"/>
                <w:sz w:val="21"/>
                <w:szCs w:val="21"/>
              </w:rPr>
            </w:pPr>
            <w:r>
              <w:rPr>
                <w:rFonts w:hint="eastAsia"/>
                <w:color w:val="auto"/>
                <w:sz w:val="21"/>
                <w:szCs w:val="21"/>
              </w:rPr>
              <w:t>擦时不要把灯罩周围墙壁碰 有印迹。</w:t>
            </w:r>
          </w:p>
        </w:tc>
      </w:tr>
      <w:tr w14:paraId="55FDAD0C">
        <w:tblPrEx>
          <w:tblCellMar>
            <w:top w:w="0" w:type="dxa"/>
            <w:left w:w="10" w:type="dxa"/>
            <w:bottom w:w="0" w:type="dxa"/>
            <w:right w:w="10" w:type="dxa"/>
          </w:tblCellMar>
        </w:tblPrEx>
        <w:trPr>
          <w:trHeight w:val="990" w:hRule="exact"/>
          <w:jc w:val="center"/>
        </w:trPr>
        <w:tc>
          <w:tcPr>
            <w:tcW w:w="857" w:type="dxa"/>
            <w:tcBorders>
              <w:top w:val="single" w:color="auto" w:sz="4" w:space="0"/>
              <w:left w:val="single" w:color="auto" w:sz="4" w:space="0"/>
              <w:bottom w:val="single" w:color="auto" w:sz="4" w:space="0"/>
            </w:tcBorders>
            <w:shd w:val="clear" w:color="auto" w:fill="FFFFFF"/>
            <w:vAlign w:val="center"/>
          </w:tcPr>
          <w:p w14:paraId="77AF140F">
            <w:pPr>
              <w:pStyle w:val="125"/>
              <w:spacing w:line="360" w:lineRule="atLeast"/>
              <w:ind w:firstLine="0"/>
              <w:jc w:val="center"/>
              <w:rPr>
                <w:color w:val="auto"/>
                <w:sz w:val="21"/>
                <w:szCs w:val="21"/>
              </w:rPr>
            </w:pPr>
            <w:r>
              <w:rPr>
                <w:rFonts w:hint="eastAsia"/>
                <w:color w:val="auto"/>
                <w:sz w:val="21"/>
                <w:szCs w:val="21"/>
              </w:rPr>
              <w:t>卫生间空气</w:t>
            </w:r>
          </w:p>
        </w:tc>
        <w:tc>
          <w:tcPr>
            <w:tcW w:w="2229" w:type="dxa"/>
            <w:tcBorders>
              <w:top w:val="single" w:color="auto" w:sz="4" w:space="0"/>
              <w:left w:val="single" w:color="auto" w:sz="4" w:space="0"/>
              <w:bottom w:val="single" w:color="auto" w:sz="4" w:space="0"/>
            </w:tcBorders>
            <w:shd w:val="clear" w:color="auto" w:fill="FFFFFF"/>
            <w:vAlign w:val="center"/>
          </w:tcPr>
          <w:p w14:paraId="545B440D">
            <w:pPr>
              <w:pStyle w:val="125"/>
              <w:spacing w:line="360" w:lineRule="atLeast"/>
              <w:ind w:firstLine="0"/>
              <w:jc w:val="center"/>
              <w:rPr>
                <w:color w:val="auto"/>
                <w:sz w:val="21"/>
                <w:szCs w:val="21"/>
              </w:rPr>
            </w:pPr>
            <w:r>
              <w:rPr>
                <w:rFonts w:hint="eastAsia"/>
                <w:color w:val="auto"/>
                <w:sz w:val="21"/>
                <w:szCs w:val="21"/>
              </w:rPr>
              <w:t>无异味、空气清新</w:t>
            </w:r>
          </w:p>
        </w:tc>
        <w:tc>
          <w:tcPr>
            <w:tcW w:w="2086" w:type="dxa"/>
            <w:tcBorders>
              <w:top w:val="single" w:color="auto" w:sz="4" w:space="0"/>
              <w:left w:val="single" w:color="auto" w:sz="4" w:space="0"/>
              <w:bottom w:val="single" w:color="auto" w:sz="4" w:space="0"/>
            </w:tcBorders>
            <w:shd w:val="clear" w:color="auto" w:fill="FFFFFF"/>
            <w:vAlign w:val="center"/>
          </w:tcPr>
          <w:p w14:paraId="323FA0E1">
            <w:pPr>
              <w:pStyle w:val="125"/>
              <w:spacing w:line="360" w:lineRule="atLeast"/>
              <w:ind w:firstLine="0"/>
              <w:jc w:val="left"/>
              <w:rPr>
                <w:color w:val="auto"/>
                <w:sz w:val="21"/>
                <w:szCs w:val="21"/>
              </w:rPr>
            </w:pPr>
            <w:r>
              <w:rPr>
                <w:rFonts w:hint="eastAsia"/>
                <w:color w:val="auto"/>
                <w:sz w:val="21"/>
                <w:szCs w:val="21"/>
              </w:rPr>
              <w:t>必要时</w:t>
            </w:r>
          </w:p>
        </w:tc>
        <w:tc>
          <w:tcPr>
            <w:tcW w:w="2655" w:type="dxa"/>
            <w:tcBorders>
              <w:top w:val="single" w:color="auto" w:sz="4" w:space="0"/>
              <w:left w:val="single" w:color="auto" w:sz="4" w:space="0"/>
              <w:bottom w:val="single" w:color="auto" w:sz="4" w:space="0"/>
              <w:right w:val="single" w:color="auto" w:sz="4" w:space="0"/>
            </w:tcBorders>
            <w:shd w:val="clear" w:color="auto" w:fill="FFFFFF"/>
          </w:tcPr>
          <w:p w14:paraId="27A51C09">
            <w:pPr>
              <w:pStyle w:val="125"/>
              <w:spacing w:line="360" w:lineRule="atLeast"/>
              <w:ind w:firstLine="0"/>
              <w:jc w:val="left"/>
              <w:rPr>
                <w:color w:val="auto"/>
                <w:sz w:val="21"/>
                <w:szCs w:val="21"/>
              </w:rPr>
            </w:pPr>
            <w:r>
              <w:rPr>
                <w:rFonts w:hint="eastAsia"/>
                <w:color w:val="auto"/>
                <w:sz w:val="21"/>
                <w:szCs w:val="21"/>
              </w:rPr>
              <w:t>喷洒时征求病人及家属意 见。</w:t>
            </w:r>
          </w:p>
        </w:tc>
      </w:tr>
    </w:tbl>
    <w:p w14:paraId="4D872157">
      <w:pPr>
        <w:snapToGrid w:val="0"/>
        <w:spacing w:line="360" w:lineRule="auto"/>
        <w:ind w:right="315"/>
        <w:rPr>
          <w:rFonts w:ascii="宋体" w:hAnsi="宋体" w:cs="宋体"/>
          <w:b/>
          <w:bCs/>
          <w:color w:val="auto"/>
          <w:szCs w:val="21"/>
          <w:lang w:val="zh-CN" w:bidi="zh-CN"/>
        </w:rPr>
      </w:pPr>
    </w:p>
    <w:p w14:paraId="4B3956C1">
      <w:pPr>
        <w:snapToGrid w:val="0"/>
        <w:spacing w:line="360" w:lineRule="auto"/>
        <w:ind w:right="315"/>
        <w:rPr>
          <w:rFonts w:ascii="宋体" w:hAnsi="宋体" w:cs="宋体"/>
          <w:b/>
          <w:bCs/>
          <w:color w:val="auto"/>
          <w:szCs w:val="21"/>
        </w:rPr>
      </w:pPr>
      <w:r>
        <w:rPr>
          <w:rFonts w:hint="eastAsia" w:ascii="宋体" w:hAnsi="宋体" w:cs="宋体"/>
          <w:b/>
          <w:bCs/>
          <w:color w:val="auto"/>
          <w:szCs w:val="21"/>
          <w:lang w:val="zh-CN" w:bidi="zh-CN"/>
        </w:rPr>
        <w:t>2、</w:t>
      </w:r>
      <w:r>
        <w:rPr>
          <w:rFonts w:hint="eastAsia" w:ascii="宋体" w:hAnsi="宋体" w:cs="宋体"/>
          <w:b/>
          <w:bCs/>
          <w:color w:val="auto"/>
          <w:szCs w:val="21"/>
        </w:rPr>
        <w:t>各相关区域及病房内日常保洁项目要求</w:t>
      </w:r>
    </w:p>
    <w:tbl>
      <w:tblPr>
        <w:tblStyle w:val="47"/>
        <w:tblW w:w="0" w:type="auto"/>
        <w:jc w:val="center"/>
        <w:tblLayout w:type="fixed"/>
        <w:tblCellMar>
          <w:top w:w="0" w:type="dxa"/>
          <w:left w:w="10" w:type="dxa"/>
          <w:bottom w:w="0" w:type="dxa"/>
          <w:right w:w="10" w:type="dxa"/>
        </w:tblCellMar>
      </w:tblPr>
      <w:tblGrid>
        <w:gridCol w:w="1153"/>
        <w:gridCol w:w="2873"/>
        <w:gridCol w:w="1354"/>
        <w:gridCol w:w="2599"/>
      </w:tblGrid>
      <w:tr w14:paraId="2EA35F5E">
        <w:tblPrEx>
          <w:tblCellMar>
            <w:top w:w="0" w:type="dxa"/>
            <w:left w:w="10" w:type="dxa"/>
            <w:bottom w:w="0" w:type="dxa"/>
            <w:right w:w="10" w:type="dxa"/>
          </w:tblCellMar>
        </w:tblPrEx>
        <w:trPr>
          <w:trHeight w:val="606" w:hRule="exact"/>
          <w:jc w:val="center"/>
        </w:trPr>
        <w:tc>
          <w:tcPr>
            <w:tcW w:w="1153" w:type="dxa"/>
            <w:tcBorders>
              <w:top w:val="single" w:color="auto" w:sz="4" w:space="0"/>
              <w:left w:val="single" w:color="auto" w:sz="4" w:space="0"/>
            </w:tcBorders>
            <w:shd w:val="clear" w:color="auto" w:fill="FFFFFF"/>
            <w:vAlign w:val="center"/>
          </w:tcPr>
          <w:p w14:paraId="4A6CB606">
            <w:pPr>
              <w:jc w:val="center"/>
              <w:rPr>
                <w:rFonts w:ascii="宋体" w:hAnsi="宋体" w:cs="宋体"/>
                <w:b/>
                <w:bCs/>
                <w:color w:val="auto"/>
                <w:szCs w:val="21"/>
              </w:rPr>
            </w:pPr>
            <w:r>
              <w:rPr>
                <w:rFonts w:hint="eastAsia" w:ascii="宋体" w:hAnsi="宋体" w:cs="宋体"/>
                <w:b/>
                <w:bCs/>
                <w:color w:val="auto"/>
                <w:szCs w:val="21"/>
              </w:rPr>
              <w:t>项目</w:t>
            </w:r>
          </w:p>
        </w:tc>
        <w:tc>
          <w:tcPr>
            <w:tcW w:w="2873" w:type="dxa"/>
            <w:tcBorders>
              <w:top w:val="single" w:color="auto" w:sz="4" w:space="0"/>
              <w:left w:val="single" w:color="auto" w:sz="4" w:space="0"/>
            </w:tcBorders>
            <w:shd w:val="clear" w:color="auto" w:fill="FFFFFF"/>
            <w:vAlign w:val="center"/>
          </w:tcPr>
          <w:p w14:paraId="0097E95F">
            <w:pPr>
              <w:jc w:val="center"/>
              <w:rPr>
                <w:rFonts w:ascii="宋体" w:hAnsi="宋体" w:cs="宋体"/>
                <w:b/>
                <w:bCs/>
                <w:color w:val="auto"/>
                <w:szCs w:val="21"/>
              </w:rPr>
            </w:pPr>
            <w:r>
              <w:rPr>
                <w:rFonts w:hint="eastAsia" w:ascii="宋体" w:hAnsi="宋体" w:cs="宋体"/>
                <w:b/>
                <w:bCs/>
                <w:color w:val="auto"/>
                <w:szCs w:val="21"/>
              </w:rPr>
              <w:t>标准（质量要求）</w:t>
            </w:r>
          </w:p>
        </w:tc>
        <w:tc>
          <w:tcPr>
            <w:tcW w:w="1354" w:type="dxa"/>
            <w:tcBorders>
              <w:top w:val="single" w:color="auto" w:sz="4" w:space="0"/>
              <w:left w:val="single" w:color="auto" w:sz="4" w:space="0"/>
            </w:tcBorders>
            <w:shd w:val="clear" w:color="auto" w:fill="FFFFFF"/>
            <w:vAlign w:val="center"/>
          </w:tcPr>
          <w:p w14:paraId="2D52B7FA">
            <w:pPr>
              <w:jc w:val="center"/>
              <w:rPr>
                <w:rFonts w:ascii="宋体" w:hAnsi="宋体" w:cs="宋体"/>
                <w:b/>
                <w:bCs/>
                <w:color w:val="auto"/>
                <w:szCs w:val="21"/>
              </w:rPr>
            </w:pPr>
            <w:r>
              <w:rPr>
                <w:rFonts w:hint="eastAsia" w:ascii="宋体" w:hAnsi="宋体" w:cs="宋体"/>
                <w:b/>
                <w:bCs/>
                <w:color w:val="auto"/>
                <w:szCs w:val="21"/>
              </w:rPr>
              <w:t>频次</w:t>
            </w:r>
          </w:p>
        </w:tc>
        <w:tc>
          <w:tcPr>
            <w:tcW w:w="2599" w:type="dxa"/>
            <w:tcBorders>
              <w:top w:val="single" w:color="auto" w:sz="4" w:space="0"/>
              <w:left w:val="single" w:color="auto" w:sz="4" w:space="0"/>
              <w:right w:val="single" w:color="auto" w:sz="4" w:space="0"/>
            </w:tcBorders>
            <w:shd w:val="clear" w:color="auto" w:fill="FFFFFF"/>
            <w:vAlign w:val="center"/>
          </w:tcPr>
          <w:p w14:paraId="2BBC2292">
            <w:pPr>
              <w:jc w:val="center"/>
              <w:rPr>
                <w:rFonts w:ascii="宋体" w:hAnsi="宋体" w:cs="宋体"/>
                <w:b/>
                <w:bCs/>
                <w:color w:val="auto"/>
                <w:szCs w:val="21"/>
              </w:rPr>
            </w:pPr>
            <w:r>
              <w:rPr>
                <w:rFonts w:hint="eastAsia" w:ascii="宋体" w:hAnsi="宋体" w:cs="宋体"/>
                <w:b/>
                <w:bCs/>
                <w:color w:val="auto"/>
                <w:szCs w:val="21"/>
              </w:rPr>
              <w:t>注意事项</w:t>
            </w:r>
          </w:p>
        </w:tc>
      </w:tr>
      <w:tr w14:paraId="09E44C2F">
        <w:tblPrEx>
          <w:tblCellMar>
            <w:top w:w="0" w:type="dxa"/>
            <w:left w:w="10" w:type="dxa"/>
            <w:bottom w:w="0" w:type="dxa"/>
            <w:right w:w="10" w:type="dxa"/>
          </w:tblCellMar>
        </w:tblPrEx>
        <w:trPr>
          <w:trHeight w:val="634" w:hRule="exact"/>
          <w:jc w:val="center"/>
        </w:trPr>
        <w:tc>
          <w:tcPr>
            <w:tcW w:w="1153" w:type="dxa"/>
            <w:tcBorders>
              <w:top w:val="single" w:color="auto" w:sz="4" w:space="0"/>
              <w:left w:val="single" w:color="auto" w:sz="4" w:space="0"/>
            </w:tcBorders>
            <w:shd w:val="clear" w:color="auto" w:fill="FFFFFF"/>
            <w:vAlign w:val="center"/>
          </w:tcPr>
          <w:p w14:paraId="7EDEED96">
            <w:pPr>
              <w:jc w:val="center"/>
              <w:rPr>
                <w:rFonts w:ascii="宋体" w:hAnsi="宋体" w:cs="宋体"/>
                <w:color w:val="auto"/>
                <w:szCs w:val="21"/>
              </w:rPr>
            </w:pPr>
            <w:r>
              <w:rPr>
                <w:rFonts w:hint="eastAsia" w:ascii="宋体" w:hAnsi="宋体" w:cs="宋体"/>
                <w:color w:val="auto"/>
                <w:szCs w:val="21"/>
              </w:rPr>
              <w:t>门、防火通道图</w:t>
            </w:r>
          </w:p>
        </w:tc>
        <w:tc>
          <w:tcPr>
            <w:tcW w:w="2873" w:type="dxa"/>
            <w:tcBorders>
              <w:top w:val="single" w:color="auto" w:sz="4" w:space="0"/>
              <w:left w:val="single" w:color="auto" w:sz="4" w:space="0"/>
            </w:tcBorders>
            <w:shd w:val="clear" w:color="auto" w:fill="FFFFFF"/>
            <w:vAlign w:val="center"/>
          </w:tcPr>
          <w:p w14:paraId="60B5DD53">
            <w:pPr>
              <w:jc w:val="center"/>
              <w:rPr>
                <w:rFonts w:ascii="宋体" w:hAnsi="宋体" w:cs="宋体"/>
                <w:color w:val="auto"/>
                <w:szCs w:val="21"/>
              </w:rPr>
            </w:pPr>
            <w:r>
              <w:rPr>
                <w:rFonts w:hint="eastAsia" w:ascii="宋体" w:hAnsi="宋体" w:cs="宋体"/>
                <w:color w:val="auto"/>
                <w:szCs w:val="21"/>
              </w:rPr>
              <w:t>无浮灰、手印、斑迹，光亮</w:t>
            </w:r>
          </w:p>
        </w:tc>
        <w:tc>
          <w:tcPr>
            <w:tcW w:w="1354" w:type="dxa"/>
            <w:tcBorders>
              <w:top w:val="single" w:color="auto" w:sz="4" w:space="0"/>
              <w:left w:val="single" w:color="auto" w:sz="4" w:space="0"/>
            </w:tcBorders>
            <w:shd w:val="clear" w:color="auto" w:fill="FFFFFF"/>
            <w:vAlign w:val="center"/>
          </w:tcPr>
          <w:p w14:paraId="6441B88C">
            <w:pPr>
              <w:jc w:val="center"/>
              <w:rPr>
                <w:rFonts w:ascii="宋体" w:hAnsi="宋体" w:cs="宋体"/>
                <w:color w:val="auto"/>
                <w:szCs w:val="21"/>
              </w:rPr>
            </w:pPr>
            <w:r>
              <w:rPr>
                <w:rFonts w:hint="eastAsia" w:ascii="宋体" w:hAnsi="宋体" w:cs="宋体"/>
                <w:color w:val="auto"/>
                <w:szCs w:val="21"/>
              </w:rPr>
              <w:t>每天上午一 次</w:t>
            </w:r>
          </w:p>
        </w:tc>
        <w:tc>
          <w:tcPr>
            <w:tcW w:w="2599" w:type="dxa"/>
            <w:tcBorders>
              <w:top w:val="single" w:color="auto" w:sz="4" w:space="0"/>
              <w:left w:val="single" w:color="auto" w:sz="4" w:space="0"/>
              <w:right w:val="single" w:color="auto" w:sz="4" w:space="0"/>
            </w:tcBorders>
            <w:shd w:val="clear" w:color="auto" w:fill="FFFFFF"/>
            <w:vAlign w:val="center"/>
          </w:tcPr>
          <w:p w14:paraId="494F183D">
            <w:pPr>
              <w:jc w:val="center"/>
              <w:rPr>
                <w:rFonts w:ascii="宋体" w:hAnsi="宋体" w:cs="宋体"/>
                <w:color w:val="auto"/>
                <w:szCs w:val="21"/>
              </w:rPr>
            </w:pPr>
            <w:r>
              <w:rPr>
                <w:rFonts w:hint="eastAsia" w:ascii="宋体" w:hAnsi="宋体" w:cs="宋体"/>
                <w:color w:val="auto"/>
                <w:szCs w:val="21"/>
              </w:rPr>
              <w:t>防火通道图不可破损、脱落</w:t>
            </w:r>
          </w:p>
        </w:tc>
      </w:tr>
      <w:tr w14:paraId="7148C207">
        <w:tblPrEx>
          <w:tblCellMar>
            <w:top w:w="0" w:type="dxa"/>
            <w:left w:w="10" w:type="dxa"/>
            <w:bottom w:w="0" w:type="dxa"/>
            <w:right w:w="10" w:type="dxa"/>
          </w:tblCellMar>
        </w:tblPrEx>
        <w:trPr>
          <w:trHeight w:val="1215" w:hRule="exact"/>
          <w:jc w:val="center"/>
        </w:trPr>
        <w:tc>
          <w:tcPr>
            <w:tcW w:w="1153" w:type="dxa"/>
            <w:tcBorders>
              <w:top w:val="single" w:color="auto" w:sz="4" w:space="0"/>
              <w:left w:val="single" w:color="auto" w:sz="4" w:space="0"/>
            </w:tcBorders>
            <w:shd w:val="clear" w:color="auto" w:fill="FFFFFF"/>
            <w:vAlign w:val="center"/>
          </w:tcPr>
          <w:p w14:paraId="028F3345">
            <w:pPr>
              <w:jc w:val="center"/>
              <w:rPr>
                <w:rFonts w:ascii="宋体" w:hAnsi="宋体" w:cs="宋体"/>
                <w:color w:val="auto"/>
                <w:szCs w:val="21"/>
              </w:rPr>
            </w:pPr>
            <w:r>
              <w:rPr>
                <w:rFonts w:hint="eastAsia" w:ascii="宋体" w:hAnsi="宋体" w:cs="宋体"/>
                <w:color w:val="auto"/>
                <w:szCs w:val="21"/>
              </w:rPr>
              <w:t>地面</w:t>
            </w:r>
          </w:p>
        </w:tc>
        <w:tc>
          <w:tcPr>
            <w:tcW w:w="2873" w:type="dxa"/>
            <w:tcBorders>
              <w:top w:val="single" w:color="auto" w:sz="4" w:space="0"/>
              <w:left w:val="single" w:color="auto" w:sz="4" w:space="0"/>
            </w:tcBorders>
            <w:shd w:val="clear" w:color="auto" w:fill="FFFFFF"/>
            <w:vAlign w:val="center"/>
          </w:tcPr>
          <w:p w14:paraId="3DF2C461">
            <w:pPr>
              <w:jc w:val="center"/>
              <w:rPr>
                <w:rFonts w:ascii="宋体" w:hAnsi="宋体" w:cs="宋体"/>
                <w:color w:val="auto"/>
                <w:szCs w:val="21"/>
              </w:rPr>
            </w:pPr>
            <w:r>
              <w:rPr>
                <w:rFonts w:hint="eastAsia" w:ascii="宋体" w:hAnsi="宋体" w:cs="宋体"/>
                <w:color w:val="auto"/>
                <w:szCs w:val="21"/>
              </w:rPr>
              <w:t>无灰尘、污迹、水迹，清 洁、干净、无斑迹</w:t>
            </w:r>
          </w:p>
        </w:tc>
        <w:tc>
          <w:tcPr>
            <w:tcW w:w="1354" w:type="dxa"/>
            <w:tcBorders>
              <w:top w:val="single" w:color="auto" w:sz="4" w:space="0"/>
              <w:left w:val="single" w:color="auto" w:sz="4" w:space="0"/>
            </w:tcBorders>
            <w:shd w:val="clear" w:color="auto" w:fill="FFFFFF"/>
            <w:vAlign w:val="center"/>
          </w:tcPr>
          <w:p w14:paraId="3E0F7E66">
            <w:pPr>
              <w:jc w:val="center"/>
              <w:rPr>
                <w:rFonts w:ascii="宋体" w:hAnsi="宋体" w:cs="宋体"/>
                <w:color w:val="auto"/>
                <w:szCs w:val="21"/>
              </w:rPr>
            </w:pPr>
            <w:r>
              <w:rPr>
                <w:rFonts w:hint="eastAsia" w:ascii="宋体" w:hAnsi="宋体" w:cs="宋体"/>
                <w:color w:val="auto"/>
                <w:szCs w:val="21"/>
              </w:rPr>
              <w:t>1、每天二 次</w:t>
            </w:r>
          </w:p>
          <w:p w14:paraId="3C311EBE">
            <w:pPr>
              <w:jc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随脏随 拖</w:t>
            </w:r>
          </w:p>
        </w:tc>
        <w:tc>
          <w:tcPr>
            <w:tcW w:w="2599" w:type="dxa"/>
            <w:tcBorders>
              <w:top w:val="single" w:color="auto" w:sz="4" w:space="0"/>
              <w:left w:val="single" w:color="auto" w:sz="4" w:space="0"/>
              <w:right w:val="single" w:color="auto" w:sz="4" w:space="0"/>
            </w:tcBorders>
            <w:shd w:val="clear" w:color="auto" w:fill="FFFFFF"/>
            <w:vAlign w:val="center"/>
          </w:tcPr>
          <w:p w14:paraId="328C1925">
            <w:pPr>
              <w:jc w:val="center"/>
              <w:rPr>
                <w:rFonts w:ascii="宋体" w:hAnsi="宋体" w:cs="宋体"/>
                <w:color w:val="auto"/>
                <w:szCs w:val="21"/>
              </w:rPr>
            </w:pPr>
            <w:r>
              <w:rPr>
                <w:rFonts w:hint="eastAsia" w:ascii="宋体" w:hAnsi="宋体" w:cs="宋体"/>
                <w:color w:val="auto"/>
                <w:szCs w:val="21"/>
              </w:rPr>
              <w:t>床脚、床头柜脚下的地面卫 生不可忽略</w:t>
            </w:r>
          </w:p>
        </w:tc>
      </w:tr>
      <w:tr w14:paraId="25FE2D87">
        <w:tblPrEx>
          <w:tblCellMar>
            <w:top w:w="0" w:type="dxa"/>
            <w:left w:w="10" w:type="dxa"/>
            <w:bottom w:w="0" w:type="dxa"/>
            <w:right w:w="10" w:type="dxa"/>
          </w:tblCellMar>
        </w:tblPrEx>
        <w:trPr>
          <w:trHeight w:val="1659" w:hRule="exact"/>
          <w:jc w:val="center"/>
        </w:trPr>
        <w:tc>
          <w:tcPr>
            <w:tcW w:w="1153" w:type="dxa"/>
            <w:tcBorders>
              <w:top w:val="single" w:color="auto" w:sz="4" w:space="0"/>
              <w:left w:val="single" w:color="auto" w:sz="4" w:space="0"/>
            </w:tcBorders>
            <w:shd w:val="clear" w:color="auto" w:fill="FFFFFF"/>
            <w:vAlign w:val="center"/>
          </w:tcPr>
          <w:p w14:paraId="2FC5CD7F">
            <w:pPr>
              <w:jc w:val="center"/>
              <w:rPr>
                <w:rFonts w:ascii="宋体" w:hAnsi="宋体" w:cs="宋体"/>
                <w:color w:val="auto"/>
                <w:szCs w:val="21"/>
              </w:rPr>
            </w:pPr>
            <w:r>
              <w:rPr>
                <w:rFonts w:hint="eastAsia" w:ascii="宋体" w:hAnsi="宋体" w:cs="宋体"/>
                <w:color w:val="auto"/>
                <w:szCs w:val="21"/>
              </w:rPr>
              <w:t>壁橱内外</w:t>
            </w:r>
          </w:p>
        </w:tc>
        <w:tc>
          <w:tcPr>
            <w:tcW w:w="2873" w:type="dxa"/>
            <w:tcBorders>
              <w:top w:val="single" w:color="auto" w:sz="4" w:space="0"/>
              <w:left w:val="single" w:color="auto" w:sz="4" w:space="0"/>
            </w:tcBorders>
            <w:shd w:val="clear" w:color="auto" w:fill="FFFFFF"/>
            <w:vAlign w:val="center"/>
          </w:tcPr>
          <w:p w14:paraId="7029015B">
            <w:pPr>
              <w:jc w:val="center"/>
              <w:rPr>
                <w:rFonts w:ascii="宋体" w:hAnsi="宋体" w:cs="宋体"/>
                <w:color w:val="auto"/>
                <w:szCs w:val="21"/>
              </w:rPr>
            </w:pPr>
            <w:r>
              <w:rPr>
                <w:rFonts w:hint="eastAsia" w:ascii="宋体" w:hAnsi="宋体" w:cs="宋体"/>
                <w:color w:val="auto"/>
                <w:szCs w:val="21"/>
              </w:rPr>
              <w:t>无灰尘、污迹、蟑螂，干净</w:t>
            </w:r>
          </w:p>
        </w:tc>
        <w:tc>
          <w:tcPr>
            <w:tcW w:w="1354" w:type="dxa"/>
            <w:tcBorders>
              <w:top w:val="single" w:color="auto" w:sz="4" w:space="0"/>
              <w:left w:val="single" w:color="auto" w:sz="4" w:space="0"/>
            </w:tcBorders>
            <w:shd w:val="clear" w:color="auto" w:fill="FFFFFF"/>
            <w:vAlign w:val="center"/>
          </w:tcPr>
          <w:p w14:paraId="3705F53A">
            <w:pPr>
              <w:jc w:val="center"/>
              <w:rPr>
                <w:rFonts w:ascii="宋体" w:hAnsi="宋体" w:cs="宋体"/>
                <w:color w:val="auto"/>
                <w:szCs w:val="21"/>
              </w:rPr>
            </w:pPr>
            <w:r>
              <w:rPr>
                <w:rFonts w:hint="eastAsia" w:ascii="宋体" w:hAnsi="宋体" w:cs="宋体"/>
                <w:color w:val="auto"/>
                <w:szCs w:val="21"/>
              </w:rPr>
              <w:t>每天一次</w:t>
            </w:r>
          </w:p>
        </w:tc>
        <w:tc>
          <w:tcPr>
            <w:tcW w:w="2599" w:type="dxa"/>
            <w:tcBorders>
              <w:top w:val="single" w:color="auto" w:sz="4" w:space="0"/>
              <w:left w:val="single" w:color="auto" w:sz="4" w:space="0"/>
              <w:right w:val="single" w:color="auto" w:sz="4" w:space="0"/>
            </w:tcBorders>
            <w:shd w:val="clear" w:color="auto" w:fill="FFFFFF"/>
            <w:vAlign w:val="center"/>
          </w:tcPr>
          <w:p w14:paraId="4137373E">
            <w:pPr>
              <w:jc w:val="center"/>
              <w:rPr>
                <w:rFonts w:ascii="宋体" w:hAnsi="宋体" w:cs="宋体"/>
                <w:color w:val="auto"/>
                <w:szCs w:val="21"/>
              </w:rPr>
            </w:pPr>
            <w:r>
              <w:rPr>
                <w:rFonts w:hint="eastAsia" w:ascii="宋体" w:hAnsi="宋体" w:cs="宋体"/>
                <w:color w:val="auto"/>
                <w:szCs w:val="21"/>
              </w:rPr>
              <w:t>家具不能擦花，清除残留在 家具面上的清洁剂泡沬，除 净并擦均匀</w:t>
            </w:r>
          </w:p>
        </w:tc>
      </w:tr>
      <w:tr w14:paraId="32782747">
        <w:tblPrEx>
          <w:tblCellMar>
            <w:top w:w="0" w:type="dxa"/>
            <w:left w:w="10" w:type="dxa"/>
            <w:bottom w:w="0" w:type="dxa"/>
            <w:right w:w="10" w:type="dxa"/>
          </w:tblCellMar>
        </w:tblPrEx>
        <w:trPr>
          <w:trHeight w:val="634" w:hRule="exact"/>
          <w:jc w:val="center"/>
        </w:trPr>
        <w:tc>
          <w:tcPr>
            <w:tcW w:w="1153" w:type="dxa"/>
            <w:tcBorders>
              <w:top w:val="single" w:color="auto" w:sz="4" w:space="0"/>
              <w:left w:val="single" w:color="auto" w:sz="4" w:space="0"/>
            </w:tcBorders>
            <w:shd w:val="clear" w:color="auto" w:fill="FFFFFF"/>
            <w:vAlign w:val="center"/>
          </w:tcPr>
          <w:p w14:paraId="53B39A44">
            <w:pPr>
              <w:jc w:val="center"/>
              <w:rPr>
                <w:rFonts w:ascii="宋体" w:hAnsi="宋体" w:cs="宋体"/>
                <w:color w:val="auto"/>
                <w:szCs w:val="21"/>
              </w:rPr>
            </w:pPr>
            <w:r>
              <w:rPr>
                <w:rFonts w:hint="eastAsia" w:ascii="宋体" w:hAnsi="宋体" w:cs="宋体"/>
                <w:color w:val="auto"/>
                <w:szCs w:val="21"/>
              </w:rPr>
              <w:t>床头柜</w:t>
            </w:r>
          </w:p>
        </w:tc>
        <w:tc>
          <w:tcPr>
            <w:tcW w:w="2873" w:type="dxa"/>
            <w:tcBorders>
              <w:top w:val="single" w:color="auto" w:sz="4" w:space="0"/>
              <w:left w:val="single" w:color="auto" w:sz="4" w:space="0"/>
            </w:tcBorders>
            <w:shd w:val="clear" w:color="auto" w:fill="FFFFFF"/>
            <w:vAlign w:val="center"/>
          </w:tcPr>
          <w:p w14:paraId="6D2C5270">
            <w:pPr>
              <w:jc w:val="center"/>
              <w:rPr>
                <w:rFonts w:ascii="宋体" w:hAnsi="宋体" w:cs="宋体"/>
                <w:color w:val="auto"/>
                <w:szCs w:val="21"/>
              </w:rPr>
            </w:pPr>
            <w:r>
              <w:rPr>
                <w:rFonts w:hint="eastAsia" w:ascii="宋体" w:hAnsi="宋体" w:cs="宋体"/>
                <w:color w:val="auto"/>
                <w:szCs w:val="21"/>
              </w:rPr>
              <w:t>无灰尘、污迹、蟑螂，干净</w:t>
            </w:r>
          </w:p>
        </w:tc>
        <w:tc>
          <w:tcPr>
            <w:tcW w:w="1354" w:type="dxa"/>
            <w:tcBorders>
              <w:top w:val="single" w:color="auto" w:sz="4" w:space="0"/>
              <w:left w:val="single" w:color="auto" w:sz="4" w:space="0"/>
            </w:tcBorders>
            <w:shd w:val="clear" w:color="auto" w:fill="FFFFFF"/>
            <w:vAlign w:val="center"/>
          </w:tcPr>
          <w:p w14:paraId="1C2A6B11">
            <w:pPr>
              <w:jc w:val="center"/>
              <w:rPr>
                <w:rFonts w:ascii="宋体" w:hAnsi="宋体" w:cs="宋体"/>
                <w:color w:val="auto"/>
                <w:szCs w:val="21"/>
              </w:rPr>
            </w:pPr>
            <w:r>
              <w:rPr>
                <w:rFonts w:hint="eastAsia" w:ascii="宋体" w:hAnsi="宋体" w:cs="宋体"/>
                <w:color w:val="auto"/>
                <w:szCs w:val="21"/>
              </w:rPr>
              <w:t>每天一次</w:t>
            </w:r>
          </w:p>
        </w:tc>
        <w:tc>
          <w:tcPr>
            <w:tcW w:w="2599" w:type="dxa"/>
            <w:tcBorders>
              <w:top w:val="single" w:color="auto" w:sz="4" w:space="0"/>
              <w:left w:val="single" w:color="auto" w:sz="4" w:space="0"/>
              <w:right w:val="single" w:color="auto" w:sz="4" w:space="0"/>
            </w:tcBorders>
            <w:shd w:val="clear" w:color="auto" w:fill="FFFFFF"/>
            <w:vAlign w:val="center"/>
          </w:tcPr>
          <w:p w14:paraId="04640723">
            <w:pPr>
              <w:jc w:val="center"/>
              <w:rPr>
                <w:rFonts w:ascii="宋体" w:hAnsi="宋体" w:cs="宋体"/>
                <w:color w:val="auto"/>
                <w:szCs w:val="21"/>
              </w:rPr>
            </w:pPr>
            <w:r>
              <w:rPr>
                <w:rFonts w:hint="eastAsia" w:ascii="宋体" w:hAnsi="宋体" w:cs="宋体"/>
                <w:color w:val="auto"/>
                <w:szCs w:val="21"/>
              </w:rPr>
              <w:t>床头柜脚的卫生不可忽略， 抽屉和手把处不可有污迹</w:t>
            </w:r>
          </w:p>
        </w:tc>
      </w:tr>
      <w:tr w14:paraId="75C32535">
        <w:tblPrEx>
          <w:tblCellMar>
            <w:top w:w="0" w:type="dxa"/>
            <w:left w:w="10" w:type="dxa"/>
            <w:bottom w:w="0" w:type="dxa"/>
            <w:right w:w="10" w:type="dxa"/>
          </w:tblCellMar>
        </w:tblPrEx>
        <w:trPr>
          <w:trHeight w:val="634" w:hRule="exact"/>
          <w:jc w:val="center"/>
        </w:trPr>
        <w:tc>
          <w:tcPr>
            <w:tcW w:w="1153" w:type="dxa"/>
            <w:tcBorders>
              <w:top w:val="single" w:color="auto" w:sz="4" w:space="0"/>
              <w:left w:val="single" w:color="auto" w:sz="4" w:space="0"/>
            </w:tcBorders>
            <w:shd w:val="clear" w:color="auto" w:fill="FFFFFF"/>
            <w:vAlign w:val="center"/>
          </w:tcPr>
          <w:p w14:paraId="367CB244">
            <w:pPr>
              <w:jc w:val="center"/>
              <w:rPr>
                <w:rFonts w:ascii="宋体" w:hAnsi="宋体" w:cs="宋体"/>
                <w:color w:val="auto"/>
                <w:szCs w:val="21"/>
              </w:rPr>
            </w:pPr>
            <w:r>
              <w:rPr>
                <w:rFonts w:hint="eastAsia" w:ascii="宋体" w:hAnsi="宋体" w:cs="宋体"/>
                <w:color w:val="auto"/>
                <w:szCs w:val="21"/>
              </w:rPr>
              <w:t>床、床头板</w:t>
            </w:r>
          </w:p>
        </w:tc>
        <w:tc>
          <w:tcPr>
            <w:tcW w:w="2873" w:type="dxa"/>
            <w:tcBorders>
              <w:top w:val="single" w:color="auto" w:sz="4" w:space="0"/>
              <w:left w:val="single" w:color="auto" w:sz="4" w:space="0"/>
            </w:tcBorders>
            <w:shd w:val="clear" w:color="auto" w:fill="FFFFFF"/>
            <w:vAlign w:val="center"/>
          </w:tcPr>
          <w:p w14:paraId="456D9946">
            <w:pPr>
              <w:jc w:val="center"/>
              <w:rPr>
                <w:rFonts w:ascii="宋体" w:hAnsi="宋体" w:cs="宋体"/>
                <w:color w:val="auto"/>
                <w:szCs w:val="21"/>
              </w:rPr>
            </w:pPr>
            <w:r>
              <w:rPr>
                <w:rFonts w:hint="eastAsia" w:ascii="宋体" w:hAnsi="宋体" w:cs="宋体"/>
                <w:color w:val="auto"/>
                <w:szCs w:val="21"/>
              </w:rPr>
              <w:t>无灰尘、污迹、破损</w:t>
            </w:r>
          </w:p>
        </w:tc>
        <w:tc>
          <w:tcPr>
            <w:tcW w:w="1354" w:type="dxa"/>
            <w:tcBorders>
              <w:top w:val="single" w:color="auto" w:sz="4" w:space="0"/>
              <w:left w:val="single" w:color="auto" w:sz="4" w:space="0"/>
            </w:tcBorders>
            <w:shd w:val="clear" w:color="auto" w:fill="FFFFFF"/>
            <w:vAlign w:val="center"/>
          </w:tcPr>
          <w:p w14:paraId="0FA233E0">
            <w:pPr>
              <w:jc w:val="center"/>
              <w:rPr>
                <w:rFonts w:ascii="宋体" w:hAnsi="宋体" w:cs="宋体"/>
                <w:color w:val="auto"/>
                <w:szCs w:val="21"/>
              </w:rPr>
            </w:pPr>
            <w:r>
              <w:rPr>
                <w:rFonts w:hint="eastAsia" w:ascii="宋体" w:hAnsi="宋体" w:cs="宋体"/>
                <w:color w:val="auto"/>
                <w:szCs w:val="21"/>
              </w:rPr>
              <w:t>每天一次</w:t>
            </w:r>
          </w:p>
        </w:tc>
        <w:tc>
          <w:tcPr>
            <w:tcW w:w="2599" w:type="dxa"/>
            <w:tcBorders>
              <w:top w:val="single" w:color="auto" w:sz="4" w:space="0"/>
              <w:left w:val="single" w:color="auto" w:sz="4" w:space="0"/>
              <w:right w:val="single" w:color="auto" w:sz="4" w:space="0"/>
            </w:tcBorders>
            <w:shd w:val="clear" w:color="auto" w:fill="FFFFFF"/>
            <w:vAlign w:val="center"/>
          </w:tcPr>
          <w:p w14:paraId="68298720">
            <w:pPr>
              <w:jc w:val="center"/>
              <w:rPr>
                <w:rFonts w:ascii="宋体" w:hAnsi="宋体" w:cs="宋体"/>
                <w:color w:val="auto"/>
                <w:szCs w:val="21"/>
              </w:rPr>
            </w:pPr>
            <w:r>
              <w:rPr>
                <w:rFonts w:hint="eastAsia" w:ascii="宋体" w:hAnsi="宋体" w:cs="宋体"/>
                <w:color w:val="auto"/>
                <w:szCs w:val="21"/>
              </w:rPr>
              <w:t>床头板不可有污迹，擦拭时 不可用脱色剂</w:t>
            </w:r>
          </w:p>
        </w:tc>
      </w:tr>
      <w:tr w14:paraId="75D69315">
        <w:tblPrEx>
          <w:tblCellMar>
            <w:top w:w="0" w:type="dxa"/>
            <w:left w:w="10" w:type="dxa"/>
            <w:bottom w:w="0" w:type="dxa"/>
            <w:right w:w="10" w:type="dxa"/>
          </w:tblCellMar>
        </w:tblPrEx>
        <w:trPr>
          <w:trHeight w:val="634" w:hRule="exact"/>
          <w:jc w:val="center"/>
        </w:trPr>
        <w:tc>
          <w:tcPr>
            <w:tcW w:w="1153" w:type="dxa"/>
            <w:tcBorders>
              <w:top w:val="single" w:color="auto" w:sz="4" w:space="0"/>
              <w:left w:val="single" w:color="auto" w:sz="4" w:space="0"/>
            </w:tcBorders>
            <w:shd w:val="clear" w:color="auto" w:fill="FFFFFF"/>
            <w:vAlign w:val="center"/>
          </w:tcPr>
          <w:p w14:paraId="0C177932">
            <w:pPr>
              <w:jc w:val="center"/>
              <w:rPr>
                <w:rFonts w:ascii="宋体" w:hAnsi="宋体" w:cs="宋体"/>
                <w:color w:val="auto"/>
                <w:szCs w:val="21"/>
              </w:rPr>
            </w:pPr>
            <w:r>
              <w:rPr>
                <w:rFonts w:hint="eastAsia" w:ascii="宋体" w:hAnsi="宋体" w:cs="宋体"/>
                <w:color w:val="auto"/>
                <w:szCs w:val="21"/>
              </w:rPr>
              <w:t>椅子</w:t>
            </w:r>
          </w:p>
        </w:tc>
        <w:tc>
          <w:tcPr>
            <w:tcW w:w="2873" w:type="dxa"/>
            <w:tcBorders>
              <w:top w:val="single" w:color="auto" w:sz="4" w:space="0"/>
              <w:left w:val="single" w:color="auto" w:sz="4" w:space="0"/>
            </w:tcBorders>
            <w:shd w:val="clear" w:color="auto" w:fill="FFFFFF"/>
            <w:vAlign w:val="center"/>
          </w:tcPr>
          <w:p w14:paraId="16AA08A1">
            <w:pPr>
              <w:jc w:val="center"/>
              <w:rPr>
                <w:rFonts w:ascii="宋体" w:hAnsi="宋体" w:cs="宋体"/>
                <w:color w:val="auto"/>
                <w:szCs w:val="21"/>
              </w:rPr>
            </w:pPr>
            <w:r>
              <w:rPr>
                <w:rFonts w:hint="eastAsia" w:ascii="宋体" w:hAnsi="宋体" w:cs="宋体"/>
                <w:color w:val="auto"/>
                <w:szCs w:val="21"/>
              </w:rPr>
              <w:t>无灰尘、污迹、水迹、变 形、破损，洁净、稳固、完好</w:t>
            </w:r>
          </w:p>
        </w:tc>
        <w:tc>
          <w:tcPr>
            <w:tcW w:w="1354" w:type="dxa"/>
            <w:tcBorders>
              <w:top w:val="single" w:color="auto" w:sz="4" w:space="0"/>
              <w:left w:val="single" w:color="auto" w:sz="4" w:space="0"/>
            </w:tcBorders>
            <w:shd w:val="clear" w:color="auto" w:fill="FFFFFF"/>
            <w:vAlign w:val="center"/>
          </w:tcPr>
          <w:p w14:paraId="3B7D3B31">
            <w:pPr>
              <w:jc w:val="center"/>
              <w:rPr>
                <w:rFonts w:ascii="宋体" w:hAnsi="宋体" w:cs="宋体"/>
                <w:color w:val="auto"/>
                <w:szCs w:val="21"/>
              </w:rPr>
            </w:pPr>
            <w:r>
              <w:rPr>
                <w:rFonts w:hint="eastAsia" w:ascii="宋体" w:hAnsi="宋体" w:cs="宋体"/>
                <w:color w:val="auto"/>
                <w:szCs w:val="21"/>
              </w:rPr>
              <w:t>每天一次</w:t>
            </w:r>
          </w:p>
        </w:tc>
        <w:tc>
          <w:tcPr>
            <w:tcW w:w="2599" w:type="dxa"/>
            <w:tcBorders>
              <w:top w:val="single" w:color="auto" w:sz="4" w:space="0"/>
              <w:left w:val="single" w:color="auto" w:sz="4" w:space="0"/>
              <w:right w:val="single" w:color="auto" w:sz="4" w:space="0"/>
            </w:tcBorders>
            <w:shd w:val="clear" w:color="auto" w:fill="FFFFFF"/>
            <w:vAlign w:val="center"/>
          </w:tcPr>
          <w:p w14:paraId="09A669C2">
            <w:pPr>
              <w:jc w:val="center"/>
              <w:rPr>
                <w:rFonts w:ascii="宋体" w:hAnsi="宋体" w:cs="宋体"/>
                <w:color w:val="auto"/>
                <w:szCs w:val="21"/>
              </w:rPr>
            </w:pPr>
            <w:r>
              <w:rPr>
                <w:rFonts w:hint="eastAsia" w:ascii="宋体" w:hAnsi="宋体" w:cs="宋体"/>
                <w:color w:val="auto"/>
                <w:szCs w:val="21"/>
              </w:rPr>
              <w:t>如破损及时报修</w:t>
            </w:r>
          </w:p>
        </w:tc>
      </w:tr>
      <w:tr w14:paraId="533DA6C8">
        <w:tblPrEx>
          <w:tblCellMar>
            <w:top w:w="0" w:type="dxa"/>
            <w:left w:w="10" w:type="dxa"/>
            <w:bottom w:w="0" w:type="dxa"/>
            <w:right w:w="10" w:type="dxa"/>
          </w:tblCellMar>
        </w:tblPrEx>
        <w:trPr>
          <w:trHeight w:val="704" w:hRule="exact"/>
          <w:jc w:val="center"/>
        </w:trPr>
        <w:tc>
          <w:tcPr>
            <w:tcW w:w="1153" w:type="dxa"/>
            <w:tcBorders>
              <w:top w:val="single" w:color="auto" w:sz="4" w:space="0"/>
              <w:left w:val="single" w:color="auto" w:sz="4" w:space="0"/>
            </w:tcBorders>
            <w:shd w:val="clear" w:color="auto" w:fill="FFFFFF"/>
            <w:vAlign w:val="center"/>
          </w:tcPr>
          <w:p w14:paraId="5AF0292C">
            <w:pPr>
              <w:jc w:val="center"/>
              <w:rPr>
                <w:rFonts w:ascii="宋体" w:hAnsi="宋体" w:cs="宋体"/>
                <w:color w:val="auto"/>
                <w:szCs w:val="21"/>
              </w:rPr>
            </w:pPr>
            <w:r>
              <w:rPr>
                <w:rFonts w:hint="eastAsia" w:ascii="宋体" w:hAnsi="宋体" w:cs="宋体"/>
                <w:color w:val="auto"/>
                <w:szCs w:val="21"/>
              </w:rPr>
              <w:t>喷淋、烟感器</w:t>
            </w:r>
          </w:p>
        </w:tc>
        <w:tc>
          <w:tcPr>
            <w:tcW w:w="2873" w:type="dxa"/>
            <w:tcBorders>
              <w:top w:val="single" w:color="auto" w:sz="4" w:space="0"/>
              <w:left w:val="single" w:color="auto" w:sz="4" w:space="0"/>
            </w:tcBorders>
            <w:shd w:val="clear" w:color="auto" w:fill="FFFFFF"/>
            <w:vAlign w:val="center"/>
          </w:tcPr>
          <w:p w14:paraId="1E139FC4">
            <w:pPr>
              <w:jc w:val="center"/>
              <w:rPr>
                <w:rFonts w:ascii="宋体" w:hAnsi="宋体" w:cs="宋体"/>
                <w:color w:val="auto"/>
                <w:szCs w:val="21"/>
              </w:rPr>
            </w:pPr>
            <w:r>
              <w:rPr>
                <w:rFonts w:hint="eastAsia" w:ascii="宋体" w:hAnsi="宋体" w:cs="宋体"/>
                <w:color w:val="auto"/>
                <w:szCs w:val="21"/>
              </w:rPr>
              <w:t>无灰尘、吊灰</w:t>
            </w:r>
          </w:p>
        </w:tc>
        <w:tc>
          <w:tcPr>
            <w:tcW w:w="1354" w:type="dxa"/>
            <w:tcBorders>
              <w:top w:val="single" w:color="auto" w:sz="4" w:space="0"/>
              <w:left w:val="single" w:color="auto" w:sz="4" w:space="0"/>
            </w:tcBorders>
            <w:shd w:val="clear" w:color="auto" w:fill="FFFFFF"/>
            <w:vAlign w:val="center"/>
          </w:tcPr>
          <w:p w14:paraId="22EF13CD">
            <w:pPr>
              <w:jc w:val="center"/>
              <w:rPr>
                <w:rFonts w:ascii="宋体" w:hAnsi="宋体" w:cs="宋体"/>
                <w:color w:val="auto"/>
                <w:szCs w:val="21"/>
              </w:rPr>
            </w:pPr>
            <w:r>
              <w:rPr>
                <w:rFonts w:hint="eastAsia" w:ascii="宋体" w:hAnsi="宋体" w:cs="宋体"/>
                <w:color w:val="auto"/>
                <w:szCs w:val="21"/>
              </w:rPr>
              <w:t>每周一次</w:t>
            </w:r>
          </w:p>
        </w:tc>
        <w:tc>
          <w:tcPr>
            <w:tcW w:w="2599" w:type="dxa"/>
            <w:tcBorders>
              <w:top w:val="single" w:color="auto" w:sz="4" w:space="0"/>
              <w:left w:val="single" w:color="auto" w:sz="4" w:space="0"/>
              <w:right w:val="single" w:color="auto" w:sz="4" w:space="0"/>
            </w:tcBorders>
            <w:shd w:val="clear" w:color="auto" w:fill="FFFFFF"/>
            <w:vAlign w:val="center"/>
          </w:tcPr>
          <w:p w14:paraId="16C647BE">
            <w:pPr>
              <w:jc w:val="center"/>
              <w:rPr>
                <w:rFonts w:ascii="宋体" w:hAnsi="宋体" w:cs="宋体"/>
                <w:color w:val="auto"/>
                <w:szCs w:val="21"/>
              </w:rPr>
            </w:pPr>
          </w:p>
        </w:tc>
      </w:tr>
      <w:tr w14:paraId="5DF34F15">
        <w:tblPrEx>
          <w:tblCellMar>
            <w:top w:w="0" w:type="dxa"/>
            <w:left w:w="10" w:type="dxa"/>
            <w:bottom w:w="0" w:type="dxa"/>
            <w:right w:w="10" w:type="dxa"/>
          </w:tblCellMar>
        </w:tblPrEx>
        <w:trPr>
          <w:trHeight w:val="713" w:hRule="exact"/>
          <w:jc w:val="center"/>
        </w:trPr>
        <w:tc>
          <w:tcPr>
            <w:tcW w:w="1153" w:type="dxa"/>
            <w:tcBorders>
              <w:top w:val="single" w:color="auto" w:sz="4" w:space="0"/>
              <w:left w:val="single" w:color="auto" w:sz="4" w:space="0"/>
            </w:tcBorders>
            <w:shd w:val="clear" w:color="auto" w:fill="FFFFFF"/>
            <w:vAlign w:val="center"/>
          </w:tcPr>
          <w:p w14:paraId="6667ACB1">
            <w:pPr>
              <w:jc w:val="center"/>
              <w:rPr>
                <w:rFonts w:ascii="宋体" w:hAnsi="宋体" w:cs="宋体"/>
                <w:color w:val="auto"/>
                <w:szCs w:val="21"/>
              </w:rPr>
            </w:pPr>
            <w:r>
              <w:rPr>
                <w:rFonts w:hint="eastAsia" w:ascii="宋体" w:hAnsi="宋体" w:cs="宋体"/>
                <w:color w:val="auto"/>
                <w:szCs w:val="21"/>
              </w:rPr>
              <w:t>墙壁</w:t>
            </w:r>
          </w:p>
        </w:tc>
        <w:tc>
          <w:tcPr>
            <w:tcW w:w="2873" w:type="dxa"/>
            <w:tcBorders>
              <w:top w:val="single" w:color="auto" w:sz="4" w:space="0"/>
              <w:left w:val="single" w:color="auto" w:sz="4" w:space="0"/>
            </w:tcBorders>
            <w:shd w:val="clear" w:color="auto" w:fill="FFFFFF"/>
            <w:vAlign w:val="center"/>
          </w:tcPr>
          <w:p w14:paraId="4CE91FF6">
            <w:pPr>
              <w:jc w:val="center"/>
              <w:rPr>
                <w:rFonts w:ascii="宋体" w:hAnsi="宋体" w:cs="宋体"/>
                <w:color w:val="auto"/>
                <w:szCs w:val="21"/>
              </w:rPr>
            </w:pPr>
            <w:r>
              <w:rPr>
                <w:rFonts w:hint="eastAsia" w:ascii="宋体" w:hAnsi="宋体" w:cs="宋体"/>
                <w:color w:val="auto"/>
                <w:szCs w:val="21"/>
              </w:rPr>
              <w:t>无灰尘、水迹、污迹，干 净、明亮、无脱落</w:t>
            </w:r>
          </w:p>
        </w:tc>
        <w:tc>
          <w:tcPr>
            <w:tcW w:w="1354" w:type="dxa"/>
            <w:tcBorders>
              <w:top w:val="single" w:color="auto" w:sz="4" w:space="0"/>
              <w:left w:val="single" w:color="auto" w:sz="4" w:space="0"/>
            </w:tcBorders>
            <w:shd w:val="clear" w:color="auto" w:fill="FFFFFF"/>
            <w:vAlign w:val="center"/>
          </w:tcPr>
          <w:p w14:paraId="39A99ADA">
            <w:pPr>
              <w:jc w:val="center"/>
              <w:rPr>
                <w:rFonts w:ascii="宋体" w:hAnsi="宋体" w:cs="宋体"/>
                <w:color w:val="auto"/>
                <w:szCs w:val="21"/>
              </w:rPr>
            </w:pPr>
            <w:r>
              <w:rPr>
                <w:rFonts w:hint="eastAsia" w:ascii="宋体" w:hAnsi="宋体" w:cs="宋体"/>
                <w:color w:val="auto"/>
                <w:szCs w:val="21"/>
              </w:rPr>
              <w:t>每周一次</w:t>
            </w:r>
          </w:p>
        </w:tc>
        <w:tc>
          <w:tcPr>
            <w:tcW w:w="2599" w:type="dxa"/>
            <w:tcBorders>
              <w:top w:val="single" w:color="auto" w:sz="4" w:space="0"/>
              <w:left w:val="single" w:color="auto" w:sz="4" w:space="0"/>
              <w:right w:val="single" w:color="auto" w:sz="4" w:space="0"/>
            </w:tcBorders>
            <w:shd w:val="clear" w:color="auto" w:fill="FFFFFF"/>
            <w:vAlign w:val="center"/>
          </w:tcPr>
          <w:p w14:paraId="550CE4C9">
            <w:pPr>
              <w:jc w:val="center"/>
              <w:rPr>
                <w:rFonts w:ascii="宋体" w:hAnsi="宋体" w:cs="宋体"/>
                <w:color w:val="auto"/>
                <w:szCs w:val="21"/>
              </w:rPr>
            </w:pPr>
            <w:r>
              <w:rPr>
                <w:rFonts w:hint="eastAsia" w:ascii="宋体" w:hAnsi="宋体" w:cs="宋体"/>
                <w:color w:val="auto"/>
                <w:szCs w:val="21"/>
              </w:rPr>
              <w:t>不可损坏墙面，清洁剂不可 脱色</w:t>
            </w:r>
          </w:p>
        </w:tc>
      </w:tr>
      <w:tr w14:paraId="657E19F3">
        <w:tblPrEx>
          <w:tblCellMar>
            <w:top w:w="0" w:type="dxa"/>
            <w:left w:w="10" w:type="dxa"/>
            <w:bottom w:w="0" w:type="dxa"/>
            <w:right w:w="10" w:type="dxa"/>
          </w:tblCellMar>
        </w:tblPrEx>
        <w:trPr>
          <w:trHeight w:val="560" w:hRule="exact"/>
          <w:jc w:val="center"/>
        </w:trPr>
        <w:tc>
          <w:tcPr>
            <w:tcW w:w="1153" w:type="dxa"/>
            <w:tcBorders>
              <w:top w:val="single" w:color="auto" w:sz="4" w:space="0"/>
              <w:left w:val="single" w:color="auto" w:sz="4" w:space="0"/>
            </w:tcBorders>
            <w:shd w:val="clear" w:color="auto" w:fill="FFFFFF"/>
            <w:vAlign w:val="center"/>
          </w:tcPr>
          <w:p w14:paraId="2D2507E2">
            <w:pPr>
              <w:jc w:val="center"/>
              <w:rPr>
                <w:rFonts w:ascii="宋体" w:hAnsi="宋体" w:cs="宋体"/>
                <w:color w:val="auto"/>
                <w:szCs w:val="21"/>
              </w:rPr>
            </w:pPr>
            <w:r>
              <w:rPr>
                <w:rFonts w:hint="eastAsia" w:ascii="宋体" w:hAnsi="宋体" w:cs="宋体"/>
                <w:color w:val="auto"/>
                <w:szCs w:val="21"/>
              </w:rPr>
              <w:t>房顶、输液轨道</w:t>
            </w:r>
          </w:p>
        </w:tc>
        <w:tc>
          <w:tcPr>
            <w:tcW w:w="2873" w:type="dxa"/>
            <w:tcBorders>
              <w:top w:val="single" w:color="auto" w:sz="4" w:space="0"/>
              <w:left w:val="single" w:color="auto" w:sz="4" w:space="0"/>
            </w:tcBorders>
            <w:shd w:val="clear" w:color="auto" w:fill="FFFFFF"/>
            <w:vAlign w:val="center"/>
          </w:tcPr>
          <w:p w14:paraId="5C5A8F9B">
            <w:pPr>
              <w:jc w:val="center"/>
              <w:rPr>
                <w:rFonts w:ascii="宋体" w:hAnsi="宋体" w:cs="宋体"/>
                <w:color w:val="auto"/>
                <w:szCs w:val="21"/>
              </w:rPr>
            </w:pPr>
            <w:r>
              <w:rPr>
                <w:rFonts w:hint="eastAsia" w:ascii="宋体" w:hAnsi="宋体" w:cs="宋体"/>
                <w:color w:val="auto"/>
                <w:szCs w:val="21"/>
              </w:rPr>
              <w:t>无斑迹、吊灰、蜘蛛网</w:t>
            </w:r>
          </w:p>
        </w:tc>
        <w:tc>
          <w:tcPr>
            <w:tcW w:w="1354" w:type="dxa"/>
            <w:tcBorders>
              <w:top w:val="single" w:color="auto" w:sz="4" w:space="0"/>
              <w:left w:val="single" w:color="auto" w:sz="4" w:space="0"/>
            </w:tcBorders>
            <w:shd w:val="clear" w:color="auto" w:fill="FFFFFF"/>
            <w:vAlign w:val="center"/>
          </w:tcPr>
          <w:p w14:paraId="705B4F7B">
            <w:pPr>
              <w:jc w:val="center"/>
              <w:rPr>
                <w:rFonts w:ascii="宋体" w:hAnsi="宋体" w:cs="宋体"/>
                <w:color w:val="auto"/>
                <w:szCs w:val="21"/>
              </w:rPr>
            </w:pPr>
            <w:r>
              <w:rPr>
                <w:rFonts w:hint="eastAsia" w:ascii="宋体" w:hAnsi="宋体" w:cs="宋体"/>
                <w:color w:val="auto"/>
                <w:szCs w:val="21"/>
              </w:rPr>
              <w:t>每周一次</w:t>
            </w:r>
          </w:p>
        </w:tc>
        <w:tc>
          <w:tcPr>
            <w:tcW w:w="2599" w:type="dxa"/>
            <w:tcBorders>
              <w:top w:val="single" w:color="auto" w:sz="4" w:space="0"/>
              <w:left w:val="single" w:color="auto" w:sz="4" w:space="0"/>
              <w:right w:val="single" w:color="auto" w:sz="4" w:space="0"/>
            </w:tcBorders>
            <w:shd w:val="clear" w:color="auto" w:fill="FFFFFF"/>
            <w:vAlign w:val="center"/>
          </w:tcPr>
          <w:p w14:paraId="4FA71D6B">
            <w:pPr>
              <w:jc w:val="center"/>
              <w:rPr>
                <w:rFonts w:ascii="宋体" w:hAnsi="宋体" w:cs="宋体"/>
                <w:color w:val="auto"/>
                <w:szCs w:val="21"/>
              </w:rPr>
            </w:pPr>
          </w:p>
        </w:tc>
      </w:tr>
      <w:tr w14:paraId="02E50D03">
        <w:tblPrEx>
          <w:tblCellMar>
            <w:top w:w="0" w:type="dxa"/>
            <w:left w:w="10" w:type="dxa"/>
            <w:bottom w:w="0" w:type="dxa"/>
            <w:right w:w="10" w:type="dxa"/>
          </w:tblCellMar>
        </w:tblPrEx>
        <w:trPr>
          <w:trHeight w:val="674" w:hRule="exact"/>
          <w:jc w:val="center"/>
        </w:trPr>
        <w:tc>
          <w:tcPr>
            <w:tcW w:w="1153" w:type="dxa"/>
            <w:tcBorders>
              <w:top w:val="single" w:color="auto" w:sz="4" w:space="0"/>
              <w:left w:val="single" w:color="auto" w:sz="4" w:space="0"/>
            </w:tcBorders>
            <w:shd w:val="clear" w:color="auto" w:fill="FFFFFF"/>
            <w:vAlign w:val="center"/>
          </w:tcPr>
          <w:p w14:paraId="33D9F572">
            <w:pPr>
              <w:jc w:val="center"/>
              <w:rPr>
                <w:rFonts w:ascii="宋体" w:hAnsi="宋体" w:cs="宋体"/>
                <w:color w:val="auto"/>
                <w:szCs w:val="21"/>
              </w:rPr>
            </w:pPr>
            <w:r>
              <w:rPr>
                <w:rFonts w:hint="eastAsia" w:ascii="宋体" w:hAnsi="宋体" w:cs="宋体"/>
                <w:color w:val="auto"/>
                <w:szCs w:val="21"/>
              </w:rPr>
              <w:t>顶灯、罩</w:t>
            </w:r>
          </w:p>
        </w:tc>
        <w:tc>
          <w:tcPr>
            <w:tcW w:w="2873" w:type="dxa"/>
            <w:tcBorders>
              <w:top w:val="single" w:color="auto" w:sz="4" w:space="0"/>
              <w:left w:val="single" w:color="auto" w:sz="4" w:space="0"/>
            </w:tcBorders>
            <w:shd w:val="clear" w:color="auto" w:fill="FFFFFF"/>
            <w:vAlign w:val="center"/>
          </w:tcPr>
          <w:p w14:paraId="12E469E7">
            <w:pPr>
              <w:jc w:val="center"/>
              <w:rPr>
                <w:rFonts w:ascii="宋体" w:hAnsi="宋体" w:cs="宋体"/>
                <w:color w:val="auto"/>
                <w:szCs w:val="21"/>
              </w:rPr>
            </w:pPr>
            <w:r>
              <w:rPr>
                <w:rFonts w:hint="eastAsia" w:ascii="宋体" w:hAnsi="宋体" w:cs="宋体"/>
                <w:color w:val="auto"/>
                <w:szCs w:val="21"/>
              </w:rPr>
              <w:t>无灰尘</w:t>
            </w:r>
          </w:p>
        </w:tc>
        <w:tc>
          <w:tcPr>
            <w:tcW w:w="1354" w:type="dxa"/>
            <w:tcBorders>
              <w:top w:val="single" w:color="auto" w:sz="4" w:space="0"/>
              <w:left w:val="single" w:color="auto" w:sz="4" w:space="0"/>
            </w:tcBorders>
            <w:shd w:val="clear" w:color="auto" w:fill="FFFFFF"/>
            <w:vAlign w:val="center"/>
          </w:tcPr>
          <w:p w14:paraId="2B2D409E">
            <w:pPr>
              <w:jc w:val="center"/>
              <w:rPr>
                <w:rFonts w:ascii="宋体" w:hAnsi="宋体" w:cs="宋体"/>
                <w:color w:val="auto"/>
                <w:szCs w:val="21"/>
              </w:rPr>
            </w:pPr>
            <w:r>
              <w:rPr>
                <w:rFonts w:hint="eastAsia" w:ascii="宋体" w:hAnsi="宋体" w:cs="宋体"/>
                <w:color w:val="auto"/>
                <w:szCs w:val="21"/>
              </w:rPr>
              <w:t>每周一次</w:t>
            </w:r>
          </w:p>
        </w:tc>
        <w:tc>
          <w:tcPr>
            <w:tcW w:w="2599" w:type="dxa"/>
            <w:tcBorders>
              <w:top w:val="single" w:color="auto" w:sz="4" w:space="0"/>
              <w:left w:val="single" w:color="auto" w:sz="4" w:space="0"/>
              <w:right w:val="single" w:color="auto" w:sz="4" w:space="0"/>
            </w:tcBorders>
            <w:shd w:val="clear" w:color="auto" w:fill="FFFFFF"/>
            <w:vAlign w:val="center"/>
          </w:tcPr>
          <w:p w14:paraId="75D56036">
            <w:pPr>
              <w:jc w:val="center"/>
              <w:rPr>
                <w:rFonts w:ascii="宋体" w:hAnsi="宋体" w:cs="宋体"/>
                <w:color w:val="auto"/>
                <w:szCs w:val="21"/>
              </w:rPr>
            </w:pPr>
          </w:p>
        </w:tc>
      </w:tr>
      <w:tr w14:paraId="01AB14CF">
        <w:tblPrEx>
          <w:tblCellMar>
            <w:top w:w="0" w:type="dxa"/>
            <w:left w:w="10" w:type="dxa"/>
            <w:bottom w:w="0" w:type="dxa"/>
            <w:right w:w="10" w:type="dxa"/>
          </w:tblCellMar>
        </w:tblPrEx>
        <w:trPr>
          <w:trHeight w:val="819" w:hRule="exact"/>
          <w:jc w:val="center"/>
        </w:trPr>
        <w:tc>
          <w:tcPr>
            <w:tcW w:w="1153" w:type="dxa"/>
            <w:tcBorders>
              <w:top w:val="single" w:color="auto" w:sz="4" w:space="0"/>
              <w:left w:val="single" w:color="auto" w:sz="4" w:space="0"/>
            </w:tcBorders>
            <w:shd w:val="clear" w:color="auto" w:fill="FFFFFF"/>
            <w:vAlign w:val="center"/>
          </w:tcPr>
          <w:p w14:paraId="7684A0E3">
            <w:pPr>
              <w:jc w:val="center"/>
              <w:rPr>
                <w:rFonts w:ascii="宋体" w:hAnsi="宋体" w:cs="宋体"/>
                <w:color w:val="auto"/>
                <w:szCs w:val="21"/>
              </w:rPr>
            </w:pPr>
            <w:r>
              <w:rPr>
                <w:rFonts w:hint="eastAsia" w:ascii="宋体" w:hAnsi="宋体" w:cs="宋体"/>
                <w:color w:val="auto"/>
                <w:szCs w:val="21"/>
              </w:rPr>
              <w:t>开关、插座、空调 调节器</w:t>
            </w:r>
          </w:p>
        </w:tc>
        <w:tc>
          <w:tcPr>
            <w:tcW w:w="2873" w:type="dxa"/>
            <w:tcBorders>
              <w:top w:val="single" w:color="auto" w:sz="4" w:space="0"/>
              <w:left w:val="single" w:color="auto" w:sz="4" w:space="0"/>
            </w:tcBorders>
            <w:shd w:val="clear" w:color="auto" w:fill="FFFFFF"/>
            <w:vAlign w:val="center"/>
          </w:tcPr>
          <w:p w14:paraId="03A5CAAB">
            <w:pPr>
              <w:jc w:val="center"/>
              <w:rPr>
                <w:rFonts w:ascii="宋体" w:hAnsi="宋体" w:cs="宋体"/>
                <w:color w:val="auto"/>
                <w:szCs w:val="21"/>
              </w:rPr>
            </w:pPr>
            <w:r>
              <w:rPr>
                <w:rFonts w:hint="eastAsia" w:ascii="宋体" w:hAnsi="宋体" w:cs="宋体"/>
                <w:color w:val="auto"/>
                <w:szCs w:val="21"/>
              </w:rPr>
              <w:t>无灰尘、污迹，光亮、无破损</w:t>
            </w:r>
          </w:p>
        </w:tc>
        <w:tc>
          <w:tcPr>
            <w:tcW w:w="1354" w:type="dxa"/>
            <w:tcBorders>
              <w:top w:val="single" w:color="auto" w:sz="4" w:space="0"/>
              <w:left w:val="single" w:color="auto" w:sz="4" w:space="0"/>
            </w:tcBorders>
            <w:shd w:val="clear" w:color="auto" w:fill="FFFFFF"/>
            <w:vAlign w:val="center"/>
          </w:tcPr>
          <w:p w14:paraId="7B93C1D9">
            <w:pPr>
              <w:jc w:val="center"/>
              <w:rPr>
                <w:rFonts w:ascii="宋体" w:hAnsi="宋体" w:cs="宋体"/>
                <w:color w:val="auto"/>
                <w:szCs w:val="21"/>
              </w:rPr>
            </w:pPr>
            <w:r>
              <w:rPr>
                <w:rFonts w:hint="eastAsia" w:ascii="宋体" w:hAnsi="宋体" w:cs="宋体"/>
                <w:color w:val="auto"/>
                <w:szCs w:val="21"/>
              </w:rPr>
              <w:t>每天一次</w:t>
            </w:r>
          </w:p>
        </w:tc>
        <w:tc>
          <w:tcPr>
            <w:tcW w:w="2599" w:type="dxa"/>
            <w:tcBorders>
              <w:top w:val="single" w:color="auto" w:sz="4" w:space="0"/>
              <w:left w:val="single" w:color="auto" w:sz="4" w:space="0"/>
              <w:right w:val="single" w:color="auto" w:sz="4" w:space="0"/>
            </w:tcBorders>
            <w:shd w:val="clear" w:color="auto" w:fill="FFFFFF"/>
            <w:vAlign w:val="center"/>
          </w:tcPr>
          <w:p w14:paraId="6024793B">
            <w:pPr>
              <w:jc w:val="center"/>
              <w:rPr>
                <w:rFonts w:ascii="宋体" w:hAnsi="宋体" w:cs="宋体"/>
                <w:color w:val="auto"/>
                <w:szCs w:val="21"/>
              </w:rPr>
            </w:pPr>
          </w:p>
        </w:tc>
      </w:tr>
      <w:tr w14:paraId="4154DD46">
        <w:tblPrEx>
          <w:tblCellMar>
            <w:top w:w="0" w:type="dxa"/>
            <w:left w:w="10" w:type="dxa"/>
            <w:bottom w:w="0" w:type="dxa"/>
            <w:right w:w="10" w:type="dxa"/>
          </w:tblCellMar>
        </w:tblPrEx>
        <w:trPr>
          <w:trHeight w:val="2173" w:hRule="exact"/>
          <w:jc w:val="center"/>
        </w:trPr>
        <w:tc>
          <w:tcPr>
            <w:tcW w:w="1153" w:type="dxa"/>
            <w:tcBorders>
              <w:top w:val="single" w:color="auto" w:sz="4" w:space="0"/>
              <w:left w:val="single" w:color="auto" w:sz="4" w:space="0"/>
            </w:tcBorders>
            <w:shd w:val="clear" w:color="auto" w:fill="FFFFFF"/>
            <w:vAlign w:val="center"/>
          </w:tcPr>
          <w:p w14:paraId="276730EE">
            <w:pPr>
              <w:jc w:val="center"/>
              <w:rPr>
                <w:rFonts w:ascii="宋体" w:hAnsi="宋体" w:cs="宋体"/>
                <w:color w:val="auto"/>
                <w:szCs w:val="21"/>
              </w:rPr>
            </w:pPr>
            <w:r>
              <w:rPr>
                <w:rFonts w:hint="eastAsia" w:ascii="宋体" w:hAnsi="宋体" w:cs="宋体"/>
                <w:color w:val="auto"/>
                <w:szCs w:val="21"/>
              </w:rPr>
              <w:t>窗户玻璃、窗框、 窗台</w:t>
            </w:r>
          </w:p>
        </w:tc>
        <w:tc>
          <w:tcPr>
            <w:tcW w:w="2873" w:type="dxa"/>
            <w:tcBorders>
              <w:top w:val="single" w:color="auto" w:sz="4" w:space="0"/>
              <w:left w:val="single" w:color="auto" w:sz="4" w:space="0"/>
            </w:tcBorders>
            <w:shd w:val="clear" w:color="auto" w:fill="FFFFFF"/>
            <w:vAlign w:val="center"/>
          </w:tcPr>
          <w:p w14:paraId="6D0A1028">
            <w:pPr>
              <w:jc w:val="center"/>
              <w:rPr>
                <w:rFonts w:ascii="宋体" w:hAnsi="宋体" w:cs="宋体"/>
                <w:color w:val="auto"/>
                <w:szCs w:val="21"/>
              </w:rPr>
            </w:pPr>
            <w:r>
              <w:rPr>
                <w:rFonts w:hint="eastAsia" w:ascii="宋体" w:hAnsi="宋体" w:cs="宋体"/>
                <w:color w:val="auto"/>
                <w:szCs w:val="21"/>
              </w:rPr>
              <w:t>玻璃干净、明亮，无灰尘、 污迹，窗框无破损，窗扣完好</w:t>
            </w:r>
          </w:p>
        </w:tc>
        <w:tc>
          <w:tcPr>
            <w:tcW w:w="1354" w:type="dxa"/>
            <w:tcBorders>
              <w:top w:val="single" w:color="auto" w:sz="4" w:space="0"/>
              <w:left w:val="single" w:color="auto" w:sz="4" w:space="0"/>
            </w:tcBorders>
            <w:shd w:val="clear" w:color="auto" w:fill="FFFFFF"/>
            <w:vAlign w:val="center"/>
          </w:tcPr>
          <w:p w14:paraId="4D093826">
            <w:pPr>
              <w:jc w:val="center"/>
              <w:rPr>
                <w:rFonts w:ascii="宋体" w:hAnsi="宋体" w:cs="宋体"/>
                <w:color w:val="auto"/>
                <w:szCs w:val="21"/>
              </w:rPr>
            </w:pPr>
            <w:r>
              <w:rPr>
                <w:rFonts w:hint="eastAsia" w:ascii="宋体" w:hAnsi="宋体" w:cs="宋体"/>
                <w:color w:val="auto"/>
                <w:szCs w:val="21"/>
              </w:rPr>
              <w:t>每周一次</w:t>
            </w:r>
          </w:p>
        </w:tc>
        <w:tc>
          <w:tcPr>
            <w:tcW w:w="2599" w:type="dxa"/>
            <w:tcBorders>
              <w:top w:val="single" w:color="auto" w:sz="4" w:space="0"/>
              <w:left w:val="single" w:color="auto" w:sz="4" w:space="0"/>
              <w:right w:val="single" w:color="auto" w:sz="4" w:space="0"/>
            </w:tcBorders>
            <w:shd w:val="clear" w:color="auto" w:fill="FFFFFF"/>
            <w:vAlign w:val="center"/>
          </w:tcPr>
          <w:p w14:paraId="3CAEF393">
            <w:pPr>
              <w:jc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污水不可滴落楼下</w:t>
            </w:r>
          </w:p>
          <w:p w14:paraId="3A46FD02">
            <w:pPr>
              <w:jc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高空作业必须系牢安全 带，或用升降机、吊篮进行 作业</w:t>
            </w:r>
          </w:p>
          <w:p w14:paraId="23210A5A">
            <w:pPr>
              <w:jc w:val="center"/>
              <w:rPr>
                <w:rFonts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rPr>
              <w:tab/>
            </w:r>
            <w:r>
              <w:rPr>
                <w:rFonts w:hint="eastAsia" w:ascii="宋体" w:hAnsi="宋体" w:cs="宋体"/>
                <w:color w:val="auto"/>
                <w:szCs w:val="21"/>
              </w:rPr>
              <w:t>刮大风、下雨时勿作业</w:t>
            </w:r>
          </w:p>
        </w:tc>
      </w:tr>
      <w:tr w14:paraId="2321AF3D">
        <w:tblPrEx>
          <w:tblCellMar>
            <w:top w:w="0" w:type="dxa"/>
            <w:left w:w="10" w:type="dxa"/>
            <w:bottom w:w="0" w:type="dxa"/>
            <w:right w:w="10" w:type="dxa"/>
          </w:tblCellMar>
        </w:tblPrEx>
        <w:trPr>
          <w:trHeight w:val="1545" w:hRule="exact"/>
          <w:jc w:val="center"/>
        </w:trPr>
        <w:tc>
          <w:tcPr>
            <w:tcW w:w="1153" w:type="dxa"/>
            <w:tcBorders>
              <w:top w:val="single" w:color="auto" w:sz="4" w:space="0"/>
              <w:left w:val="single" w:color="auto" w:sz="4" w:space="0"/>
              <w:bottom w:val="single" w:color="auto" w:sz="4" w:space="0"/>
            </w:tcBorders>
            <w:shd w:val="clear" w:color="auto" w:fill="FFFFFF"/>
            <w:vAlign w:val="center"/>
          </w:tcPr>
          <w:p w14:paraId="534CC713">
            <w:pPr>
              <w:jc w:val="center"/>
              <w:rPr>
                <w:rFonts w:ascii="宋体" w:hAnsi="宋体" w:cs="宋体"/>
                <w:color w:val="auto"/>
                <w:szCs w:val="21"/>
              </w:rPr>
            </w:pPr>
            <w:r>
              <w:rPr>
                <w:rFonts w:hint="eastAsia" w:ascii="宋体" w:hAnsi="宋体" w:cs="宋体"/>
                <w:color w:val="auto"/>
                <w:szCs w:val="21"/>
              </w:rPr>
              <w:t>窗帘、隔离帘、屏 风、开关及拉绳、 轨道</w:t>
            </w:r>
          </w:p>
        </w:tc>
        <w:tc>
          <w:tcPr>
            <w:tcW w:w="2873" w:type="dxa"/>
            <w:tcBorders>
              <w:top w:val="single" w:color="auto" w:sz="4" w:space="0"/>
              <w:left w:val="single" w:color="auto" w:sz="4" w:space="0"/>
              <w:bottom w:val="single" w:color="auto" w:sz="4" w:space="0"/>
            </w:tcBorders>
            <w:shd w:val="clear" w:color="auto" w:fill="FFFFFF"/>
            <w:vAlign w:val="center"/>
          </w:tcPr>
          <w:p w14:paraId="2EEF2691">
            <w:pPr>
              <w:jc w:val="center"/>
              <w:rPr>
                <w:rFonts w:ascii="宋体" w:hAnsi="宋体" w:cs="宋体"/>
                <w:color w:val="auto"/>
                <w:szCs w:val="21"/>
              </w:rPr>
            </w:pPr>
            <w:r>
              <w:rPr>
                <w:rFonts w:hint="eastAsia" w:ascii="宋体" w:hAnsi="宋体" w:cs="宋体"/>
                <w:color w:val="auto"/>
                <w:szCs w:val="21"/>
              </w:rPr>
              <w:t>干净，无破损、脱钩、污迹、 变形</w:t>
            </w:r>
          </w:p>
        </w:tc>
        <w:tc>
          <w:tcPr>
            <w:tcW w:w="1354" w:type="dxa"/>
            <w:tcBorders>
              <w:top w:val="single" w:color="auto" w:sz="4" w:space="0"/>
              <w:left w:val="single" w:color="auto" w:sz="4" w:space="0"/>
              <w:bottom w:val="single" w:color="auto" w:sz="4" w:space="0"/>
            </w:tcBorders>
            <w:shd w:val="clear" w:color="auto" w:fill="FFFFFF"/>
            <w:vAlign w:val="center"/>
          </w:tcPr>
          <w:p w14:paraId="387B79E2">
            <w:pPr>
              <w:jc w:val="center"/>
              <w:rPr>
                <w:rFonts w:ascii="宋体" w:hAnsi="宋体" w:cs="宋体"/>
                <w:color w:val="auto"/>
                <w:szCs w:val="21"/>
              </w:rPr>
            </w:pPr>
            <w:r>
              <w:rPr>
                <w:rFonts w:hint="eastAsia" w:ascii="宋体" w:hAnsi="宋体" w:cs="宋体"/>
                <w:color w:val="auto"/>
                <w:szCs w:val="21"/>
              </w:rPr>
              <w:t>窗帘、 隔离帘每季 度送洗一次2、擦拭每 天一次</w:t>
            </w:r>
          </w:p>
          <w:p w14:paraId="3FE21B54">
            <w:pPr>
              <w:jc w:val="center"/>
              <w:rPr>
                <w:rFonts w:ascii="宋体" w:hAnsi="宋体" w:cs="宋体"/>
                <w:color w:val="auto"/>
                <w:szCs w:val="21"/>
              </w:rPr>
            </w:pPr>
          </w:p>
        </w:tc>
        <w:tc>
          <w:tcPr>
            <w:tcW w:w="2599" w:type="dxa"/>
            <w:tcBorders>
              <w:top w:val="single" w:color="auto" w:sz="4" w:space="0"/>
              <w:left w:val="single" w:color="auto" w:sz="4" w:space="0"/>
              <w:bottom w:val="single" w:color="auto" w:sz="4" w:space="0"/>
              <w:right w:val="single" w:color="auto" w:sz="4" w:space="0"/>
            </w:tcBorders>
            <w:shd w:val="clear" w:color="auto" w:fill="FFFFFF"/>
            <w:vAlign w:val="center"/>
          </w:tcPr>
          <w:p w14:paraId="3A4F271B">
            <w:pPr>
              <w:jc w:val="center"/>
              <w:rPr>
                <w:rFonts w:ascii="宋体" w:hAnsi="宋体" w:cs="宋体"/>
                <w:color w:val="auto"/>
                <w:szCs w:val="21"/>
              </w:rPr>
            </w:pPr>
          </w:p>
          <w:p w14:paraId="7E5638F1">
            <w:pPr>
              <w:jc w:val="center"/>
              <w:rPr>
                <w:rFonts w:ascii="宋体" w:hAnsi="宋体" w:cs="宋体"/>
                <w:color w:val="auto"/>
                <w:szCs w:val="21"/>
              </w:rPr>
            </w:pPr>
          </w:p>
          <w:p w14:paraId="2D40ED18">
            <w:pPr>
              <w:jc w:val="center"/>
              <w:rPr>
                <w:rFonts w:ascii="宋体" w:hAnsi="宋体" w:cs="宋体"/>
                <w:color w:val="auto"/>
                <w:szCs w:val="21"/>
              </w:rPr>
            </w:pPr>
          </w:p>
        </w:tc>
      </w:tr>
      <w:tr w14:paraId="5C5005D9">
        <w:tblPrEx>
          <w:tblCellMar>
            <w:top w:w="0" w:type="dxa"/>
            <w:left w:w="10" w:type="dxa"/>
            <w:bottom w:w="0" w:type="dxa"/>
            <w:right w:w="10" w:type="dxa"/>
          </w:tblCellMar>
        </w:tblPrEx>
        <w:trPr>
          <w:trHeight w:val="1080" w:hRule="exact"/>
          <w:jc w:val="center"/>
        </w:trPr>
        <w:tc>
          <w:tcPr>
            <w:tcW w:w="1153" w:type="dxa"/>
            <w:tcBorders>
              <w:top w:val="single" w:color="auto" w:sz="4" w:space="0"/>
              <w:left w:val="single" w:color="auto" w:sz="4" w:space="0"/>
              <w:bottom w:val="single" w:color="auto" w:sz="4" w:space="0"/>
            </w:tcBorders>
            <w:shd w:val="clear" w:color="auto" w:fill="FFFFFF"/>
            <w:vAlign w:val="center"/>
          </w:tcPr>
          <w:p w14:paraId="7B67AC0D">
            <w:pPr>
              <w:jc w:val="center"/>
              <w:rPr>
                <w:rFonts w:ascii="宋体" w:hAnsi="宋体" w:cs="宋体"/>
                <w:color w:val="auto"/>
                <w:szCs w:val="21"/>
                <w:lang w:val="zh-TW" w:eastAsia="zh-TW"/>
              </w:rPr>
            </w:pPr>
            <w:r>
              <w:rPr>
                <w:rFonts w:hint="eastAsia" w:ascii="宋体" w:hAnsi="宋体" w:cs="宋体"/>
                <w:color w:val="auto"/>
                <w:szCs w:val="21"/>
              </w:rPr>
              <w:t>垃圾桶</w:t>
            </w:r>
          </w:p>
        </w:tc>
        <w:tc>
          <w:tcPr>
            <w:tcW w:w="2873" w:type="dxa"/>
            <w:tcBorders>
              <w:top w:val="single" w:color="auto" w:sz="4" w:space="0"/>
              <w:left w:val="single" w:color="auto" w:sz="4" w:space="0"/>
              <w:bottom w:val="single" w:color="auto" w:sz="4" w:space="0"/>
            </w:tcBorders>
            <w:shd w:val="clear" w:color="auto" w:fill="FFFFFF"/>
            <w:vAlign w:val="center"/>
          </w:tcPr>
          <w:p w14:paraId="4C5DBD29">
            <w:pPr>
              <w:jc w:val="center"/>
              <w:rPr>
                <w:rFonts w:ascii="宋体" w:hAnsi="宋体" w:cs="宋体"/>
                <w:color w:val="auto"/>
                <w:szCs w:val="21"/>
                <w:lang w:val="zh-TW" w:eastAsia="zh-TW"/>
              </w:rPr>
            </w:pPr>
            <w:r>
              <w:rPr>
                <w:rFonts w:hint="eastAsia" w:ascii="宋体" w:hAnsi="宋体" w:cs="宋体"/>
                <w:color w:val="auto"/>
                <w:szCs w:val="21"/>
              </w:rPr>
              <w:t>光亮、无污迹、无水迹， 周边无垃圾</w:t>
            </w:r>
          </w:p>
        </w:tc>
        <w:tc>
          <w:tcPr>
            <w:tcW w:w="1354" w:type="dxa"/>
            <w:tcBorders>
              <w:top w:val="single" w:color="auto" w:sz="4" w:space="0"/>
              <w:left w:val="single" w:color="auto" w:sz="4" w:space="0"/>
              <w:bottom w:val="single" w:color="auto" w:sz="4" w:space="0"/>
            </w:tcBorders>
            <w:shd w:val="clear" w:color="auto" w:fill="FFFFFF"/>
            <w:vAlign w:val="center"/>
          </w:tcPr>
          <w:p w14:paraId="45DB0A4F">
            <w:pPr>
              <w:jc w:val="center"/>
              <w:rPr>
                <w:rFonts w:ascii="宋体" w:hAnsi="宋体" w:cs="宋体"/>
                <w:color w:val="auto"/>
                <w:szCs w:val="21"/>
              </w:rPr>
            </w:pPr>
            <w:r>
              <w:rPr>
                <w:rFonts w:hint="eastAsia" w:ascii="宋体" w:hAnsi="宋体" w:cs="宋体"/>
                <w:color w:val="auto"/>
                <w:szCs w:val="21"/>
              </w:rPr>
              <w:t>1、每天 上、下午各 一次</w:t>
            </w:r>
          </w:p>
          <w:p w14:paraId="74BD5211">
            <w:pPr>
              <w:jc w:val="center"/>
              <w:rPr>
                <w:rFonts w:ascii="宋体" w:hAnsi="宋体" w:cs="宋体"/>
                <w:color w:val="auto"/>
                <w:szCs w:val="21"/>
                <w:lang w:val="zh-TW" w:eastAsia="zh-TW"/>
              </w:rPr>
            </w:pPr>
            <w:r>
              <w:rPr>
                <w:rFonts w:hint="eastAsia" w:ascii="宋体" w:hAnsi="宋体" w:cs="宋体"/>
                <w:color w:val="auto"/>
                <w:szCs w:val="21"/>
              </w:rPr>
              <w:t>2、随满随 倒</w:t>
            </w:r>
          </w:p>
        </w:tc>
        <w:tc>
          <w:tcPr>
            <w:tcW w:w="2599" w:type="dxa"/>
            <w:tcBorders>
              <w:top w:val="single" w:color="auto" w:sz="4" w:space="0"/>
              <w:left w:val="single" w:color="auto" w:sz="4" w:space="0"/>
              <w:bottom w:val="single" w:color="auto" w:sz="4" w:space="0"/>
              <w:right w:val="single" w:color="auto" w:sz="4" w:space="0"/>
            </w:tcBorders>
            <w:shd w:val="clear" w:color="auto" w:fill="FFFFFF"/>
            <w:vAlign w:val="center"/>
          </w:tcPr>
          <w:p w14:paraId="74787F8A">
            <w:pPr>
              <w:jc w:val="center"/>
              <w:rPr>
                <w:rFonts w:ascii="宋体" w:hAnsi="宋体" w:cs="宋体"/>
                <w:color w:val="auto"/>
                <w:szCs w:val="21"/>
                <w:lang w:val="zh-TW" w:eastAsia="zh-TW"/>
              </w:rPr>
            </w:pPr>
            <w:r>
              <w:rPr>
                <w:rFonts w:hint="eastAsia" w:ascii="宋体" w:hAnsi="宋体" w:cs="宋体"/>
                <w:color w:val="auto"/>
                <w:szCs w:val="21"/>
              </w:rPr>
              <w:t>垃圾袋平整的套在垃圾桶 上，与垃圾桶之间无缝隙， 翻边约5厘米，不能漫溢。</w:t>
            </w:r>
          </w:p>
        </w:tc>
      </w:tr>
      <w:tr w14:paraId="0B22FB1E">
        <w:tblPrEx>
          <w:tblCellMar>
            <w:top w:w="0" w:type="dxa"/>
            <w:left w:w="10" w:type="dxa"/>
            <w:bottom w:w="0" w:type="dxa"/>
            <w:right w:w="10" w:type="dxa"/>
          </w:tblCellMar>
        </w:tblPrEx>
        <w:trPr>
          <w:trHeight w:val="926" w:hRule="exact"/>
          <w:jc w:val="center"/>
        </w:trPr>
        <w:tc>
          <w:tcPr>
            <w:tcW w:w="1153" w:type="dxa"/>
            <w:tcBorders>
              <w:top w:val="single" w:color="auto" w:sz="4" w:space="0"/>
              <w:left w:val="single" w:color="auto" w:sz="4" w:space="0"/>
              <w:bottom w:val="single" w:color="auto" w:sz="4" w:space="0"/>
            </w:tcBorders>
            <w:shd w:val="clear" w:color="auto" w:fill="FFFFFF"/>
            <w:vAlign w:val="center"/>
          </w:tcPr>
          <w:p w14:paraId="6FE745DF">
            <w:pPr>
              <w:jc w:val="center"/>
              <w:rPr>
                <w:rFonts w:ascii="宋体" w:hAnsi="宋体" w:cs="宋体"/>
                <w:color w:val="auto"/>
                <w:szCs w:val="21"/>
                <w:lang w:val="zh-TW" w:eastAsia="zh-TW"/>
              </w:rPr>
            </w:pPr>
            <w:r>
              <w:rPr>
                <w:rFonts w:hint="eastAsia" w:ascii="宋体" w:hAnsi="宋体" w:cs="宋体"/>
                <w:color w:val="auto"/>
                <w:szCs w:val="21"/>
              </w:rPr>
              <w:t>电视机、架及遥控 器</w:t>
            </w:r>
          </w:p>
        </w:tc>
        <w:tc>
          <w:tcPr>
            <w:tcW w:w="2873" w:type="dxa"/>
            <w:tcBorders>
              <w:top w:val="single" w:color="auto" w:sz="4" w:space="0"/>
              <w:left w:val="single" w:color="auto" w:sz="4" w:space="0"/>
              <w:bottom w:val="single" w:color="auto" w:sz="4" w:space="0"/>
            </w:tcBorders>
            <w:shd w:val="clear" w:color="auto" w:fill="FFFFFF"/>
            <w:vAlign w:val="center"/>
          </w:tcPr>
          <w:p w14:paraId="27BCE50A">
            <w:pPr>
              <w:jc w:val="center"/>
              <w:rPr>
                <w:rFonts w:ascii="宋体" w:hAnsi="宋体" w:cs="宋体"/>
                <w:color w:val="auto"/>
                <w:szCs w:val="21"/>
                <w:lang w:val="zh-TW" w:eastAsia="zh-TW"/>
              </w:rPr>
            </w:pPr>
            <w:r>
              <w:rPr>
                <w:rFonts w:hint="eastAsia" w:ascii="宋体" w:hAnsi="宋体" w:cs="宋体"/>
                <w:color w:val="auto"/>
                <w:szCs w:val="21"/>
              </w:rPr>
              <w:t>无灰尘、污迹</w:t>
            </w:r>
          </w:p>
        </w:tc>
        <w:tc>
          <w:tcPr>
            <w:tcW w:w="1354" w:type="dxa"/>
            <w:tcBorders>
              <w:top w:val="single" w:color="auto" w:sz="4" w:space="0"/>
              <w:left w:val="single" w:color="auto" w:sz="4" w:space="0"/>
              <w:bottom w:val="single" w:color="auto" w:sz="4" w:space="0"/>
            </w:tcBorders>
            <w:shd w:val="clear" w:color="auto" w:fill="FFFFFF"/>
            <w:vAlign w:val="center"/>
          </w:tcPr>
          <w:p w14:paraId="386BFB00">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2599" w:type="dxa"/>
            <w:tcBorders>
              <w:top w:val="single" w:color="auto" w:sz="4" w:space="0"/>
              <w:left w:val="single" w:color="auto" w:sz="4" w:space="0"/>
              <w:bottom w:val="single" w:color="auto" w:sz="4" w:space="0"/>
              <w:right w:val="single" w:color="auto" w:sz="4" w:space="0"/>
            </w:tcBorders>
            <w:shd w:val="clear" w:color="auto" w:fill="FFFFFF"/>
            <w:vAlign w:val="center"/>
          </w:tcPr>
          <w:p w14:paraId="475D25F4">
            <w:pPr>
              <w:jc w:val="center"/>
              <w:rPr>
                <w:rFonts w:ascii="宋体" w:hAnsi="宋体" w:cs="宋体"/>
                <w:color w:val="auto"/>
                <w:szCs w:val="21"/>
                <w:lang w:val="zh-TW" w:eastAsia="zh-TW"/>
              </w:rPr>
            </w:pPr>
            <w:r>
              <w:rPr>
                <w:rFonts w:hint="eastAsia" w:ascii="宋体" w:hAnsi="宋体" w:cs="宋体"/>
                <w:color w:val="auto"/>
                <w:szCs w:val="21"/>
              </w:rPr>
              <w:t>遥控器不可水洗</w:t>
            </w:r>
          </w:p>
        </w:tc>
      </w:tr>
      <w:tr w14:paraId="1158023B">
        <w:tblPrEx>
          <w:tblCellMar>
            <w:top w:w="0" w:type="dxa"/>
            <w:left w:w="10" w:type="dxa"/>
            <w:bottom w:w="0" w:type="dxa"/>
            <w:right w:w="10" w:type="dxa"/>
          </w:tblCellMar>
        </w:tblPrEx>
        <w:trPr>
          <w:trHeight w:val="665" w:hRule="exact"/>
          <w:jc w:val="center"/>
        </w:trPr>
        <w:tc>
          <w:tcPr>
            <w:tcW w:w="1153" w:type="dxa"/>
            <w:tcBorders>
              <w:top w:val="single" w:color="auto" w:sz="4" w:space="0"/>
              <w:left w:val="single" w:color="auto" w:sz="4" w:space="0"/>
              <w:bottom w:val="single" w:color="auto" w:sz="4" w:space="0"/>
            </w:tcBorders>
            <w:shd w:val="clear" w:color="auto" w:fill="FFFFFF"/>
            <w:vAlign w:val="center"/>
          </w:tcPr>
          <w:p w14:paraId="4D07353A">
            <w:pPr>
              <w:jc w:val="center"/>
              <w:rPr>
                <w:rFonts w:ascii="宋体" w:hAnsi="宋体" w:cs="宋体"/>
                <w:color w:val="auto"/>
                <w:szCs w:val="21"/>
                <w:lang w:val="zh-TW" w:eastAsia="zh-TW"/>
              </w:rPr>
            </w:pPr>
            <w:r>
              <w:rPr>
                <w:rFonts w:hint="eastAsia" w:ascii="宋体" w:hAnsi="宋体" w:cs="宋体"/>
                <w:color w:val="auto"/>
                <w:szCs w:val="21"/>
              </w:rPr>
              <w:t>踢脚板</w:t>
            </w:r>
          </w:p>
        </w:tc>
        <w:tc>
          <w:tcPr>
            <w:tcW w:w="2873" w:type="dxa"/>
            <w:tcBorders>
              <w:top w:val="single" w:color="auto" w:sz="4" w:space="0"/>
              <w:left w:val="single" w:color="auto" w:sz="4" w:space="0"/>
              <w:bottom w:val="single" w:color="auto" w:sz="4" w:space="0"/>
            </w:tcBorders>
            <w:shd w:val="clear" w:color="auto" w:fill="FFFFFF"/>
            <w:vAlign w:val="center"/>
          </w:tcPr>
          <w:p w14:paraId="7919BB55">
            <w:pPr>
              <w:jc w:val="center"/>
              <w:rPr>
                <w:rFonts w:ascii="宋体" w:hAnsi="宋体" w:cs="宋体"/>
                <w:color w:val="auto"/>
                <w:szCs w:val="21"/>
                <w:lang w:val="zh-TW" w:eastAsia="zh-TW"/>
              </w:rPr>
            </w:pPr>
            <w:r>
              <w:rPr>
                <w:rFonts w:hint="eastAsia" w:ascii="宋体" w:hAnsi="宋体" w:cs="宋体"/>
                <w:color w:val="auto"/>
                <w:szCs w:val="21"/>
              </w:rPr>
              <w:t>无污物、斑迹，干净、光亮</w:t>
            </w:r>
          </w:p>
        </w:tc>
        <w:tc>
          <w:tcPr>
            <w:tcW w:w="1354" w:type="dxa"/>
            <w:tcBorders>
              <w:top w:val="single" w:color="auto" w:sz="4" w:space="0"/>
              <w:left w:val="single" w:color="auto" w:sz="4" w:space="0"/>
              <w:bottom w:val="single" w:color="auto" w:sz="4" w:space="0"/>
            </w:tcBorders>
            <w:shd w:val="clear" w:color="auto" w:fill="FFFFFF"/>
            <w:vAlign w:val="center"/>
          </w:tcPr>
          <w:p w14:paraId="6BD8E87C">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2599" w:type="dxa"/>
            <w:tcBorders>
              <w:top w:val="single" w:color="auto" w:sz="4" w:space="0"/>
              <w:left w:val="single" w:color="auto" w:sz="4" w:space="0"/>
              <w:bottom w:val="single" w:color="auto" w:sz="4" w:space="0"/>
              <w:right w:val="single" w:color="auto" w:sz="4" w:space="0"/>
            </w:tcBorders>
            <w:shd w:val="clear" w:color="auto" w:fill="FFFFFF"/>
            <w:vAlign w:val="center"/>
          </w:tcPr>
          <w:p w14:paraId="0C7835A7">
            <w:pPr>
              <w:jc w:val="center"/>
              <w:rPr>
                <w:rFonts w:ascii="宋体" w:hAnsi="宋体" w:cs="宋体"/>
                <w:color w:val="auto"/>
                <w:szCs w:val="21"/>
              </w:rPr>
            </w:pPr>
          </w:p>
        </w:tc>
      </w:tr>
      <w:tr w14:paraId="0948D5D5">
        <w:tblPrEx>
          <w:tblCellMar>
            <w:top w:w="0" w:type="dxa"/>
            <w:left w:w="10" w:type="dxa"/>
            <w:bottom w:w="0" w:type="dxa"/>
            <w:right w:w="10" w:type="dxa"/>
          </w:tblCellMar>
        </w:tblPrEx>
        <w:trPr>
          <w:trHeight w:val="1205" w:hRule="exact"/>
          <w:jc w:val="center"/>
        </w:trPr>
        <w:tc>
          <w:tcPr>
            <w:tcW w:w="1153" w:type="dxa"/>
            <w:tcBorders>
              <w:top w:val="single" w:color="auto" w:sz="4" w:space="0"/>
              <w:left w:val="single" w:color="auto" w:sz="4" w:space="0"/>
              <w:bottom w:val="single" w:color="auto" w:sz="4" w:space="0"/>
            </w:tcBorders>
            <w:shd w:val="clear" w:color="auto" w:fill="FFFFFF"/>
            <w:vAlign w:val="center"/>
          </w:tcPr>
          <w:p w14:paraId="0F5B9799">
            <w:pPr>
              <w:jc w:val="center"/>
              <w:rPr>
                <w:rFonts w:ascii="宋体" w:hAnsi="宋体" w:cs="宋体"/>
                <w:color w:val="auto"/>
                <w:szCs w:val="21"/>
                <w:lang w:val="zh-TW" w:eastAsia="zh-TW"/>
              </w:rPr>
            </w:pPr>
            <w:r>
              <w:rPr>
                <w:rFonts w:hint="eastAsia" w:ascii="宋体" w:hAnsi="宋体" w:cs="宋体"/>
                <w:color w:val="auto"/>
                <w:szCs w:val="21"/>
              </w:rPr>
              <w:t>空调风口及风口 挡板</w:t>
            </w:r>
          </w:p>
        </w:tc>
        <w:tc>
          <w:tcPr>
            <w:tcW w:w="2873" w:type="dxa"/>
            <w:tcBorders>
              <w:top w:val="single" w:color="auto" w:sz="4" w:space="0"/>
              <w:left w:val="single" w:color="auto" w:sz="4" w:space="0"/>
              <w:bottom w:val="single" w:color="auto" w:sz="4" w:space="0"/>
            </w:tcBorders>
            <w:shd w:val="clear" w:color="auto" w:fill="FFFFFF"/>
            <w:vAlign w:val="center"/>
          </w:tcPr>
          <w:p w14:paraId="7E66C556">
            <w:pPr>
              <w:jc w:val="center"/>
              <w:rPr>
                <w:rFonts w:ascii="宋体" w:hAnsi="宋体" w:cs="宋体"/>
                <w:color w:val="auto"/>
                <w:szCs w:val="21"/>
                <w:lang w:val="zh-TW" w:eastAsia="zh-TW"/>
              </w:rPr>
            </w:pPr>
            <w:r>
              <w:rPr>
                <w:rFonts w:hint="eastAsia" w:ascii="宋体" w:hAnsi="宋体" w:cs="宋体"/>
                <w:color w:val="auto"/>
                <w:szCs w:val="21"/>
              </w:rPr>
              <w:t>无冷凝水，清洁无灰尘</w:t>
            </w:r>
          </w:p>
        </w:tc>
        <w:tc>
          <w:tcPr>
            <w:tcW w:w="1354" w:type="dxa"/>
            <w:tcBorders>
              <w:top w:val="single" w:color="auto" w:sz="4" w:space="0"/>
              <w:left w:val="single" w:color="auto" w:sz="4" w:space="0"/>
              <w:bottom w:val="single" w:color="auto" w:sz="4" w:space="0"/>
            </w:tcBorders>
            <w:shd w:val="clear" w:color="auto" w:fill="FFFFFF"/>
            <w:vAlign w:val="center"/>
          </w:tcPr>
          <w:p w14:paraId="758752A7">
            <w:pPr>
              <w:jc w:val="center"/>
              <w:rPr>
                <w:rFonts w:ascii="宋体" w:hAnsi="宋体" w:cs="宋体"/>
                <w:color w:val="auto"/>
                <w:szCs w:val="21"/>
                <w:lang w:val="zh-TW" w:eastAsia="zh-TW"/>
              </w:rPr>
            </w:pPr>
            <w:r>
              <w:rPr>
                <w:rFonts w:hint="eastAsia" w:ascii="宋体" w:hAnsi="宋体" w:cs="宋体"/>
                <w:color w:val="auto"/>
                <w:szCs w:val="21"/>
              </w:rPr>
              <w:t>不可站在病 人用椅上</w:t>
            </w:r>
          </w:p>
        </w:tc>
        <w:tc>
          <w:tcPr>
            <w:tcW w:w="2599" w:type="dxa"/>
            <w:tcBorders>
              <w:top w:val="single" w:color="auto" w:sz="4" w:space="0"/>
              <w:left w:val="single" w:color="auto" w:sz="4" w:space="0"/>
              <w:bottom w:val="single" w:color="auto" w:sz="4" w:space="0"/>
              <w:right w:val="single" w:color="auto" w:sz="4" w:space="0"/>
            </w:tcBorders>
            <w:shd w:val="clear" w:color="auto" w:fill="FFFFFF"/>
            <w:vAlign w:val="center"/>
          </w:tcPr>
          <w:p w14:paraId="534C30D0">
            <w:pPr>
              <w:jc w:val="center"/>
              <w:rPr>
                <w:rFonts w:ascii="宋体" w:hAnsi="宋体" w:cs="宋体"/>
                <w:color w:val="auto"/>
                <w:szCs w:val="21"/>
              </w:rPr>
            </w:pPr>
            <w:r>
              <w:rPr>
                <w:rFonts w:hint="eastAsia" w:ascii="宋体" w:hAnsi="宋体" w:cs="宋体"/>
                <w:color w:val="auto"/>
                <w:szCs w:val="21"/>
              </w:rPr>
              <w:t>梯子、干净抹布</w:t>
            </w:r>
          </w:p>
        </w:tc>
      </w:tr>
    </w:tbl>
    <w:p w14:paraId="31200491">
      <w:pPr>
        <w:snapToGrid w:val="0"/>
        <w:spacing w:line="360" w:lineRule="auto"/>
        <w:ind w:right="315"/>
        <w:rPr>
          <w:rFonts w:ascii="宋体" w:hAnsi="宋体"/>
          <w:color w:val="auto"/>
          <w:szCs w:val="21"/>
        </w:rPr>
      </w:pPr>
    </w:p>
    <w:p w14:paraId="7D2BAE65">
      <w:pPr>
        <w:ind w:firstLine="422" w:firstLineChars="200"/>
        <w:rPr>
          <w:rFonts w:ascii="宋体" w:hAnsi="宋体" w:cs="宋体"/>
          <w:b/>
          <w:bCs/>
          <w:color w:val="auto"/>
          <w:szCs w:val="21"/>
        </w:rPr>
      </w:pPr>
      <w:r>
        <w:rPr>
          <w:rFonts w:hint="eastAsia" w:ascii="宋体" w:hAnsi="宋体" w:cs="宋体"/>
          <w:b/>
          <w:bCs/>
          <w:color w:val="auto"/>
          <w:szCs w:val="21"/>
          <w:lang w:val="zh-CN" w:bidi="zh-CN"/>
        </w:rPr>
        <w:t>3、</w:t>
      </w:r>
      <w:r>
        <w:rPr>
          <w:rFonts w:hint="eastAsia" w:ascii="宋体" w:hAnsi="宋体" w:cs="宋体"/>
          <w:b/>
          <w:bCs/>
          <w:color w:val="auto"/>
          <w:szCs w:val="21"/>
        </w:rPr>
        <w:t>病房内日常保洁项目要求</w:t>
      </w:r>
    </w:p>
    <w:tbl>
      <w:tblPr>
        <w:tblStyle w:val="47"/>
        <w:tblW w:w="0" w:type="auto"/>
        <w:jc w:val="center"/>
        <w:tblLayout w:type="fixed"/>
        <w:tblCellMar>
          <w:top w:w="0" w:type="dxa"/>
          <w:left w:w="10" w:type="dxa"/>
          <w:bottom w:w="0" w:type="dxa"/>
          <w:right w:w="10" w:type="dxa"/>
        </w:tblCellMar>
      </w:tblPr>
      <w:tblGrid>
        <w:gridCol w:w="1607"/>
        <w:gridCol w:w="2592"/>
        <w:gridCol w:w="1438"/>
        <w:gridCol w:w="2437"/>
      </w:tblGrid>
      <w:tr w14:paraId="11ED17EC">
        <w:tblPrEx>
          <w:tblCellMar>
            <w:top w:w="0" w:type="dxa"/>
            <w:left w:w="10" w:type="dxa"/>
            <w:bottom w:w="0" w:type="dxa"/>
            <w:right w:w="10" w:type="dxa"/>
          </w:tblCellMar>
        </w:tblPrEx>
        <w:trPr>
          <w:trHeight w:val="681" w:hRule="exact"/>
          <w:jc w:val="center"/>
        </w:trPr>
        <w:tc>
          <w:tcPr>
            <w:tcW w:w="1607" w:type="dxa"/>
            <w:tcBorders>
              <w:top w:val="single" w:color="auto" w:sz="4" w:space="0"/>
              <w:left w:val="single" w:color="auto" w:sz="4" w:space="0"/>
            </w:tcBorders>
            <w:shd w:val="clear" w:color="auto" w:fill="FFFFFF"/>
            <w:vAlign w:val="center"/>
          </w:tcPr>
          <w:p w14:paraId="6D10780A">
            <w:pPr>
              <w:jc w:val="center"/>
              <w:rPr>
                <w:rFonts w:ascii="宋体" w:hAnsi="宋体" w:cs="宋体"/>
                <w:b/>
                <w:bCs/>
                <w:color w:val="auto"/>
                <w:szCs w:val="21"/>
              </w:rPr>
            </w:pPr>
            <w:r>
              <w:rPr>
                <w:rFonts w:hint="eastAsia" w:ascii="宋体" w:hAnsi="宋体" w:cs="宋体"/>
                <w:b/>
                <w:bCs/>
                <w:color w:val="auto"/>
                <w:szCs w:val="21"/>
              </w:rPr>
              <w:t>项目</w:t>
            </w:r>
          </w:p>
        </w:tc>
        <w:tc>
          <w:tcPr>
            <w:tcW w:w="2592" w:type="dxa"/>
            <w:tcBorders>
              <w:top w:val="single" w:color="auto" w:sz="4" w:space="0"/>
              <w:left w:val="single" w:color="auto" w:sz="4" w:space="0"/>
            </w:tcBorders>
            <w:shd w:val="clear" w:color="auto" w:fill="FFFFFF"/>
            <w:vAlign w:val="center"/>
          </w:tcPr>
          <w:p w14:paraId="535EEF3A">
            <w:pPr>
              <w:jc w:val="center"/>
              <w:rPr>
                <w:rFonts w:ascii="宋体" w:hAnsi="宋体" w:cs="宋体"/>
                <w:b/>
                <w:bCs/>
                <w:color w:val="auto"/>
                <w:szCs w:val="21"/>
              </w:rPr>
            </w:pPr>
            <w:r>
              <w:rPr>
                <w:rFonts w:hint="eastAsia" w:ascii="宋体" w:hAnsi="宋体" w:cs="宋体"/>
                <w:b/>
                <w:bCs/>
                <w:color w:val="auto"/>
                <w:szCs w:val="21"/>
              </w:rPr>
              <w:t>标准（质量要求）</w:t>
            </w:r>
          </w:p>
        </w:tc>
        <w:tc>
          <w:tcPr>
            <w:tcW w:w="1438" w:type="dxa"/>
            <w:tcBorders>
              <w:top w:val="single" w:color="auto" w:sz="4" w:space="0"/>
              <w:left w:val="single" w:color="auto" w:sz="4" w:space="0"/>
            </w:tcBorders>
            <w:shd w:val="clear" w:color="auto" w:fill="FFFFFF"/>
            <w:vAlign w:val="center"/>
          </w:tcPr>
          <w:p w14:paraId="451817AD">
            <w:pPr>
              <w:jc w:val="center"/>
              <w:rPr>
                <w:rFonts w:ascii="宋体" w:hAnsi="宋体" w:cs="宋体"/>
                <w:b/>
                <w:bCs/>
                <w:color w:val="auto"/>
                <w:szCs w:val="21"/>
              </w:rPr>
            </w:pPr>
            <w:r>
              <w:rPr>
                <w:rFonts w:hint="eastAsia" w:ascii="宋体" w:hAnsi="宋体" w:cs="宋体"/>
                <w:b/>
                <w:bCs/>
                <w:color w:val="auto"/>
                <w:szCs w:val="21"/>
              </w:rPr>
              <w:t>频次</w:t>
            </w:r>
          </w:p>
        </w:tc>
        <w:tc>
          <w:tcPr>
            <w:tcW w:w="2437" w:type="dxa"/>
            <w:tcBorders>
              <w:top w:val="single" w:color="auto" w:sz="4" w:space="0"/>
              <w:left w:val="single" w:color="auto" w:sz="4" w:space="0"/>
              <w:right w:val="single" w:color="auto" w:sz="4" w:space="0"/>
            </w:tcBorders>
            <w:shd w:val="clear" w:color="auto" w:fill="FFFFFF"/>
            <w:vAlign w:val="center"/>
          </w:tcPr>
          <w:p w14:paraId="3E8484F8">
            <w:pPr>
              <w:jc w:val="center"/>
              <w:rPr>
                <w:rFonts w:ascii="宋体" w:hAnsi="宋体" w:cs="宋体"/>
                <w:b/>
                <w:bCs/>
                <w:color w:val="auto"/>
                <w:szCs w:val="21"/>
              </w:rPr>
            </w:pPr>
            <w:r>
              <w:rPr>
                <w:rFonts w:hint="eastAsia" w:ascii="宋体" w:hAnsi="宋体" w:cs="宋体"/>
                <w:b/>
                <w:bCs/>
                <w:color w:val="auto"/>
                <w:szCs w:val="21"/>
              </w:rPr>
              <w:t>注意事项</w:t>
            </w:r>
          </w:p>
        </w:tc>
      </w:tr>
      <w:tr w14:paraId="777D6B71">
        <w:tblPrEx>
          <w:tblCellMar>
            <w:top w:w="0" w:type="dxa"/>
            <w:left w:w="10" w:type="dxa"/>
            <w:bottom w:w="0" w:type="dxa"/>
            <w:right w:w="10" w:type="dxa"/>
          </w:tblCellMar>
        </w:tblPrEx>
        <w:trPr>
          <w:trHeight w:val="1124" w:hRule="exact"/>
          <w:jc w:val="center"/>
        </w:trPr>
        <w:tc>
          <w:tcPr>
            <w:tcW w:w="1607" w:type="dxa"/>
            <w:tcBorders>
              <w:top w:val="single" w:color="auto" w:sz="4" w:space="0"/>
              <w:left w:val="single" w:color="auto" w:sz="4" w:space="0"/>
            </w:tcBorders>
            <w:shd w:val="clear" w:color="auto" w:fill="FFFFFF"/>
            <w:vAlign w:val="center"/>
          </w:tcPr>
          <w:p w14:paraId="006E9509">
            <w:pPr>
              <w:jc w:val="center"/>
              <w:rPr>
                <w:rFonts w:ascii="宋体" w:hAnsi="宋体" w:cs="宋体"/>
                <w:color w:val="auto"/>
                <w:szCs w:val="21"/>
              </w:rPr>
            </w:pPr>
            <w:r>
              <w:rPr>
                <w:rFonts w:hint="eastAsia" w:ascii="宋体" w:hAnsi="宋体" w:cs="宋体"/>
                <w:color w:val="auto"/>
                <w:szCs w:val="21"/>
              </w:rPr>
              <w:t>沙发（面、缝隙、 脚）</w:t>
            </w:r>
          </w:p>
        </w:tc>
        <w:tc>
          <w:tcPr>
            <w:tcW w:w="2592" w:type="dxa"/>
            <w:tcBorders>
              <w:top w:val="single" w:color="auto" w:sz="4" w:space="0"/>
              <w:left w:val="single" w:color="auto" w:sz="4" w:space="0"/>
            </w:tcBorders>
            <w:shd w:val="clear" w:color="auto" w:fill="FFFFFF"/>
            <w:vAlign w:val="center"/>
          </w:tcPr>
          <w:p w14:paraId="2EDD5304">
            <w:pPr>
              <w:jc w:val="center"/>
              <w:rPr>
                <w:rFonts w:ascii="宋体" w:hAnsi="宋体" w:cs="宋体"/>
                <w:color w:val="auto"/>
                <w:szCs w:val="21"/>
              </w:rPr>
            </w:pPr>
            <w:r>
              <w:rPr>
                <w:rFonts w:hint="eastAsia" w:ascii="宋体" w:hAnsi="宋体" w:cs="宋体"/>
                <w:color w:val="auto"/>
                <w:szCs w:val="21"/>
              </w:rPr>
              <w:t>无灰尘、污物、斑迹、 破损，干净、整洁</w:t>
            </w:r>
          </w:p>
        </w:tc>
        <w:tc>
          <w:tcPr>
            <w:tcW w:w="1438" w:type="dxa"/>
            <w:tcBorders>
              <w:top w:val="single" w:color="auto" w:sz="4" w:space="0"/>
              <w:left w:val="single" w:color="auto" w:sz="4" w:space="0"/>
            </w:tcBorders>
            <w:shd w:val="clear" w:color="auto" w:fill="FFFFFF"/>
            <w:vAlign w:val="center"/>
          </w:tcPr>
          <w:p w14:paraId="573EB52F">
            <w:pPr>
              <w:jc w:val="center"/>
              <w:rPr>
                <w:rFonts w:ascii="宋体" w:hAnsi="宋体" w:cs="宋体"/>
                <w:color w:val="auto"/>
                <w:szCs w:val="21"/>
              </w:rPr>
            </w:pPr>
            <w:r>
              <w:rPr>
                <w:rFonts w:hint="eastAsia" w:ascii="宋体" w:hAnsi="宋体" w:cs="宋体"/>
                <w:color w:val="auto"/>
                <w:szCs w:val="21"/>
              </w:rPr>
              <w:t>每三月一 次</w:t>
            </w:r>
          </w:p>
        </w:tc>
        <w:tc>
          <w:tcPr>
            <w:tcW w:w="2437" w:type="dxa"/>
            <w:tcBorders>
              <w:top w:val="single" w:color="auto" w:sz="4" w:space="0"/>
              <w:left w:val="single" w:color="auto" w:sz="4" w:space="0"/>
              <w:right w:val="single" w:color="auto" w:sz="4" w:space="0"/>
            </w:tcBorders>
            <w:shd w:val="clear" w:color="auto" w:fill="FFFFFF"/>
            <w:vAlign w:val="center"/>
          </w:tcPr>
          <w:p w14:paraId="51235AB2">
            <w:pPr>
              <w:jc w:val="center"/>
              <w:rPr>
                <w:rFonts w:ascii="宋体" w:hAnsi="宋体" w:cs="宋体"/>
                <w:color w:val="auto"/>
                <w:szCs w:val="21"/>
              </w:rPr>
            </w:pPr>
            <w:r>
              <w:rPr>
                <w:rFonts w:hint="eastAsia" w:ascii="宋体" w:hAnsi="宋体" w:cs="宋体"/>
                <w:color w:val="auto"/>
                <w:szCs w:val="21"/>
              </w:rPr>
              <w:t>对破损的沙发及时更换或报修</w:t>
            </w:r>
          </w:p>
        </w:tc>
      </w:tr>
      <w:tr w14:paraId="41FDFFC0">
        <w:tblPrEx>
          <w:tblCellMar>
            <w:top w:w="0" w:type="dxa"/>
            <w:left w:w="10" w:type="dxa"/>
            <w:bottom w:w="0" w:type="dxa"/>
            <w:right w:w="10" w:type="dxa"/>
          </w:tblCellMar>
        </w:tblPrEx>
        <w:trPr>
          <w:trHeight w:val="689" w:hRule="exact"/>
          <w:jc w:val="center"/>
        </w:trPr>
        <w:tc>
          <w:tcPr>
            <w:tcW w:w="1607" w:type="dxa"/>
            <w:tcBorders>
              <w:top w:val="single" w:color="auto" w:sz="4" w:space="0"/>
              <w:left w:val="single" w:color="auto" w:sz="4" w:space="0"/>
            </w:tcBorders>
            <w:shd w:val="clear" w:color="auto" w:fill="FFFFFF"/>
            <w:vAlign w:val="center"/>
          </w:tcPr>
          <w:p w14:paraId="7AC6949A">
            <w:pPr>
              <w:jc w:val="center"/>
              <w:rPr>
                <w:rFonts w:ascii="宋体" w:hAnsi="宋体" w:cs="宋体"/>
                <w:color w:val="auto"/>
                <w:szCs w:val="21"/>
              </w:rPr>
            </w:pPr>
            <w:r>
              <w:rPr>
                <w:rFonts w:hint="eastAsia" w:ascii="宋体" w:hAnsi="宋体" w:cs="宋体"/>
                <w:color w:val="auto"/>
                <w:szCs w:val="21"/>
              </w:rPr>
              <w:t>电话机</w:t>
            </w:r>
          </w:p>
        </w:tc>
        <w:tc>
          <w:tcPr>
            <w:tcW w:w="2592" w:type="dxa"/>
            <w:tcBorders>
              <w:top w:val="single" w:color="auto" w:sz="4" w:space="0"/>
              <w:left w:val="single" w:color="auto" w:sz="4" w:space="0"/>
            </w:tcBorders>
            <w:shd w:val="clear" w:color="auto" w:fill="FFFFFF"/>
            <w:vAlign w:val="center"/>
          </w:tcPr>
          <w:p w14:paraId="2AB8B3D7">
            <w:pPr>
              <w:jc w:val="center"/>
              <w:rPr>
                <w:rFonts w:ascii="宋体" w:hAnsi="宋体" w:cs="宋体"/>
                <w:color w:val="auto"/>
                <w:szCs w:val="21"/>
              </w:rPr>
            </w:pPr>
            <w:r>
              <w:rPr>
                <w:rFonts w:hint="eastAsia" w:ascii="宋体" w:hAnsi="宋体" w:cs="宋体"/>
                <w:color w:val="auto"/>
                <w:szCs w:val="21"/>
              </w:rPr>
              <w:t>清洁，无污迹、异味</w:t>
            </w:r>
          </w:p>
        </w:tc>
        <w:tc>
          <w:tcPr>
            <w:tcW w:w="1438" w:type="dxa"/>
            <w:tcBorders>
              <w:top w:val="single" w:color="auto" w:sz="4" w:space="0"/>
              <w:left w:val="single" w:color="auto" w:sz="4" w:space="0"/>
            </w:tcBorders>
            <w:shd w:val="clear" w:color="auto" w:fill="FFFFFF"/>
            <w:vAlign w:val="center"/>
          </w:tcPr>
          <w:p w14:paraId="67914207">
            <w:pPr>
              <w:jc w:val="center"/>
              <w:rPr>
                <w:rFonts w:ascii="宋体" w:hAnsi="宋体" w:cs="宋体"/>
                <w:color w:val="auto"/>
                <w:szCs w:val="21"/>
              </w:rPr>
            </w:pPr>
            <w:r>
              <w:rPr>
                <w:rFonts w:hint="eastAsia" w:ascii="宋体" w:hAnsi="宋体" w:cs="宋体"/>
                <w:color w:val="auto"/>
                <w:szCs w:val="21"/>
              </w:rPr>
              <w:t>每2天1次</w:t>
            </w:r>
          </w:p>
        </w:tc>
        <w:tc>
          <w:tcPr>
            <w:tcW w:w="2437" w:type="dxa"/>
            <w:tcBorders>
              <w:top w:val="single" w:color="auto" w:sz="4" w:space="0"/>
              <w:left w:val="single" w:color="auto" w:sz="4" w:space="0"/>
              <w:right w:val="single" w:color="auto" w:sz="4" w:space="0"/>
            </w:tcBorders>
            <w:shd w:val="clear" w:color="auto" w:fill="FFFFFF"/>
            <w:vAlign w:val="center"/>
          </w:tcPr>
          <w:p w14:paraId="53FEE233">
            <w:pPr>
              <w:jc w:val="center"/>
              <w:rPr>
                <w:rFonts w:ascii="宋体" w:hAnsi="宋体" w:cs="宋体"/>
                <w:color w:val="auto"/>
                <w:szCs w:val="21"/>
              </w:rPr>
            </w:pPr>
            <w:r>
              <w:rPr>
                <w:rFonts w:hint="eastAsia" w:ascii="宋体" w:hAnsi="宋体" w:cs="宋体"/>
                <w:color w:val="auto"/>
                <w:szCs w:val="21"/>
              </w:rPr>
              <w:t>清洁时按下电话按键</w:t>
            </w:r>
          </w:p>
        </w:tc>
      </w:tr>
      <w:tr w14:paraId="336C22F3">
        <w:tblPrEx>
          <w:tblCellMar>
            <w:top w:w="0" w:type="dxa"/>
            <w:left w:w="10" w:type="dxa"/>
            <w:bottom w:w="0" w:type="dxa"/>
            <w:right w:w="10" w:type="dxa"/>
          </w:tblCellMar>
        </w:tblPrEx>
        <w:trPr>
          <w:trHeight w:val="1253" w:hRule="exact"/>
          <w:jc w:val="center"/>
        </w:trPr>
        <w:tc>
          <w:tcPr>
            <w:tcW w:w="1607" w:type="dxa"/>
            <w:tcBorders>
              <w:top w:val="single" w:color="auto" w:sz="4" w:space="0"/>
              <w:left w:val="single" w:color="auto" w:sz="4" w:space="0"/>
            </w:tcBorders>
            <w:shd w:val="clear" w:color="auto" w:fill="FFFFFF"/>
            <w:vAlign w:val="center"/>
          </w:tcPr>
          <w:p w14:paraId="33B60EDD">
            <w:pPr>
              <w:jc w:val="center"/>
              <w:rPr>
                <w:rFonts w:ascii="宋体" w:hAnsi="宋体" w:cs="宋体"/>
                <w:color w:val="auto"/>
                <w:szCs w:val="21"/>
              </w:rPr>
            </w:pPr>
            <w:r>
              <w:rPr>
                <w:rFonts w:hint="eastAsia" w:ascii="宋体" w:hAnsi="宋体" w:cs="宋体"/>
                <w:color w:val="auto"/>
                <w:szCs w:val="21"/>
              </w:rPr>
              <w:t>冰箱</w:t>
            </w:r>
          </w:p>
        </w:tc>
        <w:tc>
          <w:tcPr>
            <w:tcW w:w="2592" w:type="dxa"/>
            <w:tcBorders>
              <w:top w:val="single" w:color="auto" w:sz="4" w:space="0"/>
              <w:left w:val="single" w:color="auto" w:sz="4" w:space="0"/>
            </w:tcBorders>
            <w:shd w:val="clear" w:color="auto" w:fill="FFFFFF"/>
            <w:vAlign w:val="center"/>
          </w:tcPr>
          <w:p w14:paraId="0F0BF851">
            <w:pPr>
              <w:jc w:val="center"/>
              <w:rPr>
                <w:rFonts w:ascii="宋体" w:hAnsi="宋体" w:cs="宋体"/>
                <w:color w:val="auto"/>
                <w:szCs w:val="21"/>
              </w:rPr>
            </w:pPr>
            <w:r>
              <w:rPr>
                <w:rFonts w:hint="eastAsia" w:ascii="宋体" w:hAnsi="宋体" w:cs="宋体"/>
                <w:color w:val="auto"/>
                <w:szCs w:val="21"/>
              </w:rPr>
              <w:t>内外清洁，外部光亮， 无异味、斑迹，运转正常</w:t>
            </w:r>
          </w:p>
        </w:tc>
        <w:tc>
          <w:tcPr>
            <w:tcW w:w="1438" w:type="dxa"/>
            <w:tcBorders>
              <w:top w:val="single" w:color="auto" w:sz="4" w:space="0"/>
              <w:left w:val="single" w:color="auto" w:sz="4" w:space="0"/>
            </w:tcBorders>
            <w:shd w:val="clear" w:color="auto" w:fill="FFFFFF"/>
            <w:vAlign w:val="center"/>
          </w:tcPr>
          <w:p w14:paraId="0E8BF262">
            <w:pPr>
              <w:jc w:val="center"/>
              <w:rPr>
                <w:rFonts w:ascii="宋体" w:hAnsi="宋体" w:cs="宋体"/>
                <w:color w:val="auto"/>
                <w:szCs w:val="21"/>
              </w:rPr>
            </w:pPr>
            <w:r>
              <w:rPr>
                <w:rFonts w:hint="eastAsia" w:ascii="宋体" w:hAnsi="宋体" w:cs="宋体"/>
                <w:color w:val="auto"/>
                <w:szCs w:val="21"/>
              </w:rPr>
              <w:t>每月一次</w:t>
            </w:r>
          </w:p>
        </w:tc>
        <w:tc>
          <w:tcPr>
            <w:tcW w:w="2437" w:type="dxa"/>
            <w:tcBorders>
              <w:top w:val="single" w:color="auto" w:sz="4" w:space="0"/>
              <w:left w:val="single" w:color="auto" w:sz="4" w:space="0"/>
              <w:right w:val="single" w:color="auto" w:sz="4" w:space="0"/>
            </w:tcBorders>
            <w:shd w:val="clear" w:color="auto" w:fill="FFFFFF"/>
            <w:vAlign w:val="center"/>
          </w:tcPr>
          <w:p w14:paraId="57FA9453">
            <w:pPr>
              <w:jc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取岀食品时，需征得病人同 意后再行擦拭</w:t>
            </w:r>
          </w:p>
          <w:p w14:paraId="5759BA42">
            <w:pPr>
              <w:jc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冰箱门边缘封胶处的清洁不 可忽略</w:t>
            </w:r>
          </w:p>
        </w:tc>
      </w:tr>
      <w:tr w14:paraId="6C5D7753">
        <w:tblPrEx>
          <w:tblCellMar>
            <w:top w:w="0" w:type="dxa"/>
            <w:left w:w="10" w:type="dxa"/>
            <w:bottom w:w="0" w:type="dxa"/>
            <w:right w:w="10" w:type="dxa"/>
          </w:tblCellMar>
        </w:tblPrEx>
        <w:trPr>
          <w:trHeight w:val="794" w:hRule="exact"/>
          <w:jc w:val="center"/>
        </w:trPr>
        <w:tc>
          <w:tcPr>
            <w:tcW w:w="1607" w:type="dxa"/>
            <w:tcBorders>
              <w:top w:val="single" w:color="auto" w:sz="4" w:space="0"/>
              <w:left w:val="single" w:color="auto" w:sz="4" w:space="0"/>
            </w:tcBorders>
            <w:shd w:val="clear" w:color="auto" w:fill="FFFFFF"/>
            <w:vAlign w:val="center"/>
          </w:tcPr>
          <w:p w14:paraId="11481459">
            <w:pPr>
              <w:jc w:val="center"/>
              <w:rPr>
                <w:rFonts w:ascii="宋体" w:hAnsi="宋体" w:cs="宋体"/>
                <w:color w:val="auto"/>
                <w:szCs w:val="21"/>
              </w:rPr>
            </w:pPr>
            <w:r>
              <w:rPr>
                <w:rFonts w:hint="eastAsia" w:ascii="宋体" w:hAnsi="宋体" w:cs="宋体"/>
                <w:color w:val="auto"/>
                <w:szCs w:val="21"/>
              </w:rPr>
              <w:t>地灯</w:t>
            </w:r>
          </w:p>
        </w:tc>
        <w:tc>
          <w:tcPr>
            <w:tcW w:w="2592" w:type="dxa"/>
            <w:tcBorders>
              <w:top w:val="single" w:color="auto" w:sz="4" w:space="0"/>
              <w:left w:val="single" w:color="auto" w:sz="4" w:space="0"/>
            </w:tcBorders>
            <w:shd w:val="clear" w:color="auto" w:fill="FFFFFF"/>
            <w:vAlign w:val="center"/>
          </w:tcPr>
          <w:p w14:paraId="1FE8AFE8">
            <w:pPr>
              <w:jc w:val="center"/>
              <w:rPr>
                <w:rFonts w:ascii="宋体" w:hAnsi="宋体" w:cs="宋体"/>
                <w:color w:val="auto"/>
                <w:szCs w:val="21"/>
              </w:rPr>
            </w:pPr>
            <w:r>
              <w:rPr>
                <w:rFonts w:hint="eastAsia" w:ascii="宋体" w:hAnsi="宋体" w:cs="宋体"/>
                <w:color w:val="auto"/>
                <w:szCs w:val="21"/>
              </w:rPr>
              <w:t>无灰尘，灯罩完好、光亮</w:t>
            </w:r>
          </w:p>
        </w:tc>
        <w:tc>
          <w:tcPr>
            <w:tcW w:w="1438" w:type="dxa"/>
            <w:tcBorders>
              <w:top w:val="single" w:color="auto" w:sz="4" w:space="0"/>
              <w:left w:val="single" w:color="auto" w:sz="4" w:space="0"/>
            </w:tcBorders>
            <w:shd w:val="clear" w:color="auto" w:fill="FFFFFF"/>
            <w:vAlign w:val="center"/>
          </w:tcPr>
          <w:p w14:paraId="2B9945F1">
            <w:pPr>
              <w:jc w:val="center"/>
              <w:rPr>
                <w:rFonts w:ascii="宋体" w:hAnsi="宋体" w:cs="宋体"/>
                <w:color w:val="auto"/>
                <w:szCs w:val="21"/>
              </w:rPr>
            </w:pPr>
            <w:r>
              <w:rPr>
                <w:rFonts w:hint="eastAsia" w:ascii="宋体" w:hAnsi="宋体" w:cs="宋体"/>
                <w:color w:val="auto"/>
                <w:szCs w:val="21"/>
              </w:rPr>
              <w:t>每天一次</w:t>
            </w:r>
          </w:p>
        </w:tc>
        <w:tc>
          <w:tcPr>
            <w:tcW w:w="2437" w:type="dxa"/>
            <w:tcBorders>
              <w:top w:val="single" w:color="auto" w:sz="4" w:space="0"/>
              <w:left w:val="single" w:color="auto" w:sz="4" w:space="0"/>
              <w:right w:val="single" w:color="auto" w:sz="4" w:space="0"/>
            </w:tcBorders>
            <w:shd w:val="clear" w:color="auto" w:fill="FFFFFF"/>
            <w:vAlign w:val="center"/>
          </w:tcPr>
          <w:p w14:paraId="53DF0CAA">
            <w:pPr>
              <w:jc w:val="center"/>
              <w:rPr>
                <w:rFonts w:ascii="宋体" w:hAnsi="宋体" w:cs="宋体"/>
                <w:color w:val="auto"/>
                <w:szCs w:val="21"/>
              </w:rPr>
            </w:pPr>
            <w:r>
              <w:rPr>
                <w:rFonts w:hint="eastAsia" w:ascii="宋体" w:hAnsi="宋体" w:cs="宋体"/>
                <w:color w:val="auto"/>
                <w:szCs w:val="21"/>
              </w:rPr>
              <w:t>灯罩、灯泡损坏及时报修</w:t>
            </w:r>
          </w:p>
        </w:tc>
      </w:tr>
      <w:tr w14:paraId="3A00260E">
        <w:tblPrEx>
          <w:tblCellMar>
            <w:top w:w="0" w:type="dxa"/>
            <w:left w:w="10" w:type="dxa"/>
            <w:bottom w:w="0" w:type="dxa"/>
            <w:right w:w="10" w:type="dxa"/>
          </w:tblCellMar>
        </w:tblPrEx>
        <w:trPr>
          <w:trHeight w:val="1260" w:hRule="exact"/>
          <w:jc w:val="center"/>
        </w:trPr>
        <w:tc>
          <w:tcPr>
            <w:tcW w:w="1607" w:type="dxa"/>
            <w:tcBorders>
              <w:top w:val="single" w:color="auto" w:sz="4" w:space="0"/>
              <w:left w:val="single" w:color="auto" w:sz="4" w:space="0"/>
            </w:tcBorders>
            <w:shd w:val="clear" w:color="auto" w:fill="FFFFFF"/>
            <w:vAlign w:val="center"/>
          </w:tcPr>
          <w:p w14:paraId="20D85B33">
            <w:pPr>
              <w:jc w:val="center"/>
              <w:rPr>
                <w:rFonts w:ascii="宋体" w:hAnsi="宋体" w:cs="宋体"/>
                <w:color w:val="auto"/>
                <w:szCs w:val="21"/>
              </w:rPr>
            </w:pPr>
            <w:r>
              <w:rPr>
                <w:rFonts w:hint="eastAsia" w:ascii="宋体" w:hAnsi="宋体" w:cs="宋体"/>
                <w:color w:val="auto"/>
                <w:szCs w:val="21"/>
              </w:rPr>
              <w:t>水瓶</w:t>
            </w:r>
          </w:p>
        </w:tc>
        <w:tc>
          <w:tcPr>
            <w:tcW w:w="2592" w:type="dxa"/>
            <w:tcBorders>
              <w:top w:val="single" w:color="auto" w:sz="4" w:space="0"/>
              <w:left w:val="single" w:color="auto" w:sz="4" w:space="0"/>
            </w:tcBorders>
            <w:shd w:val="clear" w:color="auto" w:fill="FFFFFF"/>
            <w:vAlign w:val="center"/>
          </w:tcPr>
          <w:p w14:paraId="7828A721">
            <w:pPr>
              <w:jc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瓶子干净，无污迹</w:t>
            </w:r>
          </w:p>
          <w:p w14:paraId="38151400">
            <w:pPr>
              <w:jc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瓶口无缺损</w:t>
            </w:r>
          </w:p>
          <w:p w14:paraId="3745E3B6">
            <w:pPr>
              <w:jc w:val="center"/>
              <w:rPr>
                <w:rFonts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rPr>
              <w:tab/>
            </w:r>
            <w:r>
              <w:rPr>
                <w:rFonts w:hint="eastAsia" w:ascii="宋体" w:hAnsi="宋体" w:cs="宋体"/>
                <w:color w:val="auto"/>
                <w:szCs w:val="21"/>
              </w:rPr>
              <w:t>瓶塞消毒</w:t>
            </w:r>
          </w:p>
          <w:p w14:paraId="56B225B0">
            <w:pPr>
              <w:jc w:val="center"/>
              <w:rPr>
                <w:rFonts w:ascii="宋体" w:hAnsi="宋体" w:cs="宋体"/>
                <w:color w:val="auto"/>
                <w:szCs w:val="21"/>
              </w:rPr>
            </w:pPr>
            <w:r>
              <w:rPr>
                <w:rFonts w:hint="eastAsia" w:ascii="宋体" w:hAnsi="宋体" w:cs="宋体"/>
                <w:color w:val="auto"/>
                <w:szCs w:val="21"/>
              </w:rPr>
              <w:t>4、</w:t>
            </w:r>
            <w:r>
              <w:rPr>
                <w:rFonts w:hint="eastAsia" w:ascii="宋体" w:hAnsi="宋体" w:cs="宋体"/>
                <w:color w:val="auto"/>
                <w:szCs w:val="21"/>
              </w:rPr>
              <w:tab/>
            </w:r>
            <w:r>
              <w:rPr>
                <w:rFonts w:hint="eastAsia" w:ascii="宋体" w:hAnsi="宋体" w:cs="宋体"/>
                <w:color w:val="auto"/>
                <w:szCs w:val="21"/>
              </w:rPr>
              <w:t>保温</w:t>
            </w:r>
          </w:p>
        </w:tc>
        <w:tc>
          <w:tcPr>
            <w:tcW w:w="1438" w:type="dxa"/>
            <w:tcBorders>
              <w:top w:val="single" w:color="auto" w:sz="4" w:space="0"/>
              <w:left w:val="single" w:color="auto" w:sz="4" w:space="0"/>
            </w:tcBorders>
            <w:shd w:val="clear" w:color="auto" w:fill="FFFFFF"/>
            <w:vAlign w:val="center"/>
          </w:tcPr>
          <w:p w14:paraId="1D257B7D">
            <w:pPr>
              <w:jc w:val="center"/>
              <w:rPr>
                <w:rFonts w:ascii="宋体" w:hAnsi="宋体" w:cs="宋体"/>
                <w:color w:val="auto"/>
                <w:szCs w:val="21"/>
              </w:rPr>
            </w:pPr>
            <w:r>
              <w:rPr>
                <w:rFonts w:hint="eastAsia" w:ascii="宋体" w:hAnsi="宋体" w:cs="宋体"/>
                <w:color w:val="auto"/>
                <w:szCs w:val="21"/>
              </w:rPr>
              <w:t>每天一次</w:t>
            </w:r>
          </w:p>
        </w:tc>
        <w:tc>
          <w:tcPr>
            <w:tcW w:w="2437" w:type="dxa"/>
            <w:tcBorders>
              <w:top w:val="single" w:color="auto" w:sz="4" w:space="0"/>
              <w:left w:val="single" w:color="auto" w:sz="4" w:space="0"/>
              <w:right w:val="single" w:color="auto" w:sz="4" w:space="0"/>
            </w:tcBorders>
            <w:shd w:val="clear" w:color="auto" w:fill="FFFFFF"/>
            <w:vAlign w:val="center"/>
          </w:tcPr>
          <w:p w14:paraId="0F7EA3D2">
            <w:pPr>
              <w:jc w:val="center"/>
              <w:rPr>
                <w:rFonts w:ascii="宋体" w:hAnsi="宋体" w:cs="宋体"/>
                <w:color w:val="auto"/>
                <w:szCs w:val="21"/>
              </w:rPr>
            </w:pPr>
            <w:r>
              <w:rPr>
                <w:rFonts w:hint="eastAsia" w:ascii="宋体" w:hAnsi="宋体" w:cs="宋体"/>
                <w:color w:val="auto"/>
                <w:szCs w:val="21"/>
              </w:rPr>
              <w:t>不保温水瓶及时更换</w:t>
            </w:r>
          </w:p>
        </w:tc>
      </w:tr>
      <w:tr w14:paraId="068CA6CB">
        <w:tblPrEx>
          <w:tblCellMar>
            <w:top w:w="0" w:type="dxa"/>
            <w:left w:w="10" w:type="dxa"/>
            <w:bottom w:w="0" w:type="dxa"/>
            <w:right w:w="10" w:type="dxa"/>
          </w:tblCellMar>
        </w:tblPrEx>
        <w:trPr>
          <w:trHeight w:val="712" w:hRule="exact"/>
          <w:jc w:val="center"/>
        </w:trPr>
        <w:tc>
          <w:tcPr>
            <w:tcW w:w="1607" w:type="dxa"/>
            <w:tcBorders>
              <w:top w:val="single" w:color="auto" w:sz="4" w:space="0"/>
              <w:left w:val="single" w:color="auto" w:sz="4" w:space="0"/>
            </w:tcBorders>
            <w:shd w:val="clear" w:color="auto" w:fill="FFFFFF"/>
            <w:vAlign w:val="center"/>
          </w:tcPr>
          <w:p w14:paraId="2871EC23">
            <w:pPr>
              <w:jc w:val="center"/>
              <w:rPr>
                <w:rFonts w:ascii="宋体" w:hAnsi="宋体" w:cs="宋体"/>
                <w:color w:val="auto"/>
                <w:szCs w:val="21"/>
              </w:rPr>
            </w:pPr>
            <w:r>
              <w:rPr>
                <w:rFonts w:hint="eastAsia" w:ascii="宋体" w:hAnsi="宋体" w:cs="宋体"/>
                <w:color w:val="auto"/>
                <w:szCs w:val="21"/>
              </w:rPr>
              <w:t>纱窗</w:t>
            </w:r>
          </w:p>
        </w:tc>
        <w:tc>
          <w:tcPr>
            <w:tcW w:w="2592" w:type="dxa"/>
            <w:tcBorders>
              <w:top w:val="single" w:color="auto" w:sz="4" w:space="0"/>
              <w:left w:val="single" w:color="auto" w:sz="4" w:space="0"/>
            </w:tcBorders>
            <w:shd w:val="clear" w:color="auto" w:fill="FFFFFF"/>
            <w:vAlign w:val="center"/>
          </w:tcPr>
          <w:p w14:paraId="27905F65">
            <w:pPr>
              <w:jc w:val="center"/>
              <w:rPr>
                <w:rFonts w:ascii="宋体" w:hAnsi="宋体" w:cs="宋体"/>
                <w:color w:val="auto"/>
                <w:szCs w:val="21"/>
              </w:rPr>
            </w:pPr>
            <w:r>
              <w:rPr>
                <w:rFonts w:hint="eastAsia" w:ascii="宋体" w:hAnsi="宋体" w:cs="宋体"/>
                <w:color w:val="auto"/>
                <w:szCs w:val="21"/>
              </w:rPr>
              <w:t>无灰尘、破损</w:t>
            </w:r>
          </w:p>
        </w:tc>
        <w:tc>
          <w:tcPr>
            <w:tcW w:w="1438" w:type="dxa"/>
            <w:tcBorders>
              <w:top w:val="single" w:color="auto" w:sz="4" w:space="0"/>
              <w:left w:val="single" w:color="auto" w:sz="4" w:space="0"/>
            </w:tcBorders>
            <w:shd w:val="clear" w:color="auto" w:fill="FFFFFF"/>
            <w:vAlign w:val="center"/>
          </w:tcPr>
          <w:p w14:paraId="22127E0B">
            <w:pPr>
              <w:jc w:val="center"/>
              <w:rPr>
                <w:rFonts w:ascii="宋体" w:hAnsi="宋体" w:cs="宋体"/>
                <w:color w:val="auto"/>
                <w:szCs w:val="21"/>
              </w:rPr>
            </w:pPr>
            <w:r>
              <w:rPr>
                <w:rFonts w:hint="eastAsia" w:ascii="宋体" w:hAnsi="宋体" w:cs="宋体"/>
                <w:color w:val="auto"/>
                <w:szCs w:val="21"/>
              </w:rPr>
              <w:t>每周一次</w:t>
            </w:r>
          </w:p>
        </w:tc>
        <w:tc>
          <w:tcPr>
            <w:tcW w:w="2437" w:type="dxa"/>
            <w:tcBorders>
              <w:top w:val="single" w:color="auto" w:sz="4" w:space="0"/>
              <w:left w:val="single" w:color="auto" w:sz="4" w:space="0"/>
              <w:right w:val="single" w:color="auto" w:sz="4" w:space="0"/>
            </w:tcBorders>
            <w:shd w:val="clear" w:color="auto" w:fill="FFFFFF"/>
            <w:vAlign w:val="center"/>
          </w:tcPr>
          <w:p w14:paraId="1D1117CF">
            <w:pPr>
              <w:jc w:val="center"/>
              <w:rPr>
                <w:rFonts w:ascii="宋体" w:hAnsi="宋体" w:cs="宋体"/>
                <w:color w:val="auto"/>
                <w:szCs w:val="21"/>
              </w:rPr>
            </w:pPr>
            <w:r>
              <w:rPr>
                <w:rFonts w:hint="eastAsia" w:ascii="宋体" w:hAnsi="宋体" w:cs="宋体"/>
                <w:color w:val="auto"/>
                <w:szCs w:val="21"/>
              </w:rPr>
              <w:t>对破损的纱窗及时报修</w:t>
            </w:r>
          </w:p>
        </w:tc>
      </w:tr>
      <w:tr w14:paraId="24BD8E08">
        <w:tblPrEx>
          <w:tblCellMar>
            <w:top w:w="0" w:type="dxa"/>
            <w:left w:w="10" w:type="dxa"/>
            <w:bottom w:w="0" w:type="dxa"/>
            <w:right w:w="10" w:type="dxa"/>
          </w:tblCellMar>
        </w:tblPrEx>
        <w:trPr>
          <w:trHeight w:val="794" w:hRule="exact"/>
          <w:jc w:val="center"/>
        </w:trPr>
        <w:tc>
          <w:tcPr>
            <w:tcW w:w="1607" w:type="dxa"/>
            <w:tcBorders>
              <w:top w:val="single" w:color="auto" w:sz="4" w:space="0"/>
              <w:left w:val="single" w:color="auto" w:sz="4" w:space="0"/>
            </w:tcBorders>
            <w:shd w:val="clear" w:color="auto" w:fill="FFFFFF"/>
            <w:vAlign w:val="center"/>
          </w:tcPr>
          <w:p w14:paraId="3305A0D0">
            <w:pPr>
              <w:jc w:val="center"/>
              <w:rPr>
                <w:rFonts w:ascii="宋体" w:hAnsi="宋体" w:cs="宋体"/>
                <w:color w:val="auto"/>
                <w:szCs w:val="21"/>
              </w:rPr>
            </w:pPr>
            <w:r>
              <w:rPr>
                <w:rFonts w:hint="eastAsia" w:ascii="宋体" w:hAnsi="宋体" w:cs="宋体"/>
                <w:color w:val="auto"/>
                <w:szCs w:val="21"/>
              </w:rPr>
              <w:t>床头设备带</w:t>
            </w:r>
          </w:p>
        </w:tc>
        <w:tc>
          <w:tcPr>
            <w:tcW w:w="2592" w:type="dxa"/>
            <w:tcBorders>
              <w:top w:val="single" w:color="auto" w:sz="4" w:space="0"/>
              <w:left w:val="single" w:color="auto" w:sz="4" w:space="0"/>
            </w:tcBorders>
            <w:shd w:val="clear" w:color="auto" w:fill="FFFFFF"/>
            <w:vAlign w:val="center"/>
          </w:tcPr>
          <w:p w14:paraId="26FEE930">
            <w:pPr>
              <w:jc w:val="center"/>
              <w:rPr>
                <w:rFonts w:ascii="宋体" w:hAnsi="宋体" w:cs="宋体"/>
                <w:color w:val="auto"/>
                <w:szCs w:val="21"/>
              </w:rPr>
            </w:pPr>
            <w:r>
              <w:rPr>
                <w:rFonts w:hint="eastAsia" w:ascii="宋体" w:hAnsi="宋体" w:cs="宋体"/>
                <w:color w:val="auto"/>
                <w:szCs w:val="21"/>
              </w:rPr>
              <w:t>清洁，无污迹</w:t>
            </w:r>
          </w:p>
        </w:tc>
        <w:tc>
          <w:tcPr>
            <w:tcW w:w="1438" w:type="dxa"/>
            <w:tcBorders>
              <w:top w:val="single" w:color="auto" w:sz="4" w:space="0"/>
              <w:left w:val="single" w:color="auto" w:sz="4" w:space="0"/>
            </w:tcBorders>
            <w:shd w:val="clear" w:color="auto" w:fill="FFFFFF"/>
            <w:vAlign w:val="center"/>
          </w:tcPr>
          <w:p w14:paraId="1DE68F77">
            <w:pPr>
              <w:jc w:val="center"/>
              <w:rPr>
                <w:rFonts w:ascii="宋体" w:hAnsi="宋体" w:cs="宋体"/>
                <w:color w:val="auto"/>
                <w:szCs w:val="21"/>
              </w:rPr>
            </w:pPr>
            <w:r>
              <w:rPr>
                <w:rFonts w:hint="eastAsia" w:ascii="宋体" w:hAnsi="宋体" w:cs="宋体"/>
                <w:color w:val="auto"/>
                <w:szCs w:val="21"/>
              </w:rPr>
              <w:t>每天一次</w:t>
            </w:r>
          </w:p>
        </w:tc>
        <w:tc>
          <w:tcPr>
            <w:tcW w:w="2437" w:type="dxa"/>
            <w:tcBorders>
              <w:top w:val="single" w:color="auto" w:sz="4" w:space="0"/>
              <w:left w:val="single" w:color="auto" w:sz="4" w:space="0"/>
              <w:right w:val="single" w:color="auto" w:sz="4" w:space="0"/>
            </w:tcBorders>
            <w:shd w:val="clear" w:color="auto" w:fill="FFFFFF"/>
            <w:vAlign w:val="center"/>
          </w:tcPr>
          <w:p w14:paraId="22614711">
            <w:pPr>
              <w:jc w:val="center"/>
              <w:rPr>
                <w:rFonts w:ascii="宋体" w:hAnsi="宋体" w:cs="宋体"/>
                <w:color w:val="auto"/>
                <w:szCs w:val="21"/>
              </w:rPr>
            </w:pPr>
            <w:r>
              <w:rPr>
                <w:rFonts w:hint="eastAsia" w:ascii="宋体" w:hAnsi="宋体" w:cs="宋体"/>
                <w:color w:val="auto"/>
                <w:szCs w:val="21"/>
              </w:rPr>
              <w:t>不可带水擦拭</w:t>
            </w:r>
          </w:p>
        </w:tc>
      </w:tr>
      <w:tr w14:paraId="536B6692">
        <w:tblPrEx>
          <w:tblCellMar>
            <w:top w:w="0" w:type="dxa"/>
            <w:left w:w="10" w:type="dxa"/>
            <w:bottom w:w="0" w:type="dxa"/>
            <w:right w:w="10" w:type="dxa"/>
          </w:tblCellMar>
        </w:tblPrEx>
        <w:trPr>
          <w:trHeight w:val="2182" w:hRule="exact"/>
          <w:jc w:val="center"/>
        </w:trPr>
        <w:tc>
          <w:tcPr>
            <w:tcW w:w="1607" w:type="dxa"/>
            <w:tcBorders>
              <w:top w:val="single" w:color="auto" w:sz="4" w:space="0"/>
              <w:left w:val="single" w:color="auto" w:sz="4" w:space="0"/>
            </w:tcBorders>
            <w:shd w:val="clear" w:color="auto" w:fill="FFFFFF"/>
            <w:vAlign w:val="center"/>
          </w:tcPr>
          <w:p w14:paraId="057CA85A">
            <w:pPr>
              <w:jc w:val="center"/>
              <w:rPr>
                <w:rFonts w:ascii="宋体" w:hAnsi="宋体" w:cs="宋体"/>
                <w:color w:val="auto"/>
                <w:szCs w:val="21"/>
              </w:rPr>
            </w:pPr>
            <w:r>
              <w:rPr>
                <w:rFonts w:hint="eastAsia" w:ascii="宋体" w:hAnsi="宋体" w:cs="宋体"/>
                <w:color w:val="auto"/>
                <w:szCs w:val="21"/>
              </w:rPr>
              <w:t>微波炉及框、架</w:t>
            </w:r>
          </w:p>
        </w:tc>
        <w:tc>
          <w:tcPr>
            <w:tcW w:w="2592" w:type="dxa"/>
            <w:tcBorders>
              <w:top w:val="single" w:color="auto" w:sz="4" w:space="0"/>
              <w:left w:val="single" w:color="auto" w:sz="4" w:space="0"/>
            </w:tcBorders>
            <w:shd w:val="clear" w:color="auto" w:fill="FFFFFF"/>
            <w:vAlign w:val="center"/>
          </w:tcPr>
          <w:p w14:paraId="6B3191DC">
            <w:pPr>
              <w:jc w:val="center"/>
              <w:rPr>
                <w:rFonts w:ascii="宋体" w:hAnsi="宋体" w:cs="宋体"/>
                <w:color w:val="auto"/>
                <w:szCs w:val="21"/>
              </w:rPr>
            </w:pPr>
            <w:r>
              <w:rPr>
                <w:rFonts w:hint="eastAsia" w:ascii="宋体" w:hAnsi="宋体" w:cs="宋体"/>
                <w:color w:val="auto"/>
                <w:szCs w:val="21"/>
              </w:rPr>
              <w:t>无灰尘、污迹、油垢</w:t>
            </w:r>
          </w:p>
        </w:tc>
        <w:tc>
          <w:tcPr>
            <w:tcW w:w="1438" w:type="dxa"/>
            <w:tcBorders>
              <w:top w:val="single" w:color="auto" w:sz="4" w:space="0"/>
              <w:left w:val="single" w:color="auto" w:sz="4" w:space="0"/>
            </w:tcBorders>
            <w:shd w:val="clear" w:color="auto" w:fill="FFFFFF"/>
            <w:vAlign w:val="center"/>
          </w:tcPr>
          <w:p w14:paraId="4692ACF7">
            <w:pPr>
              <w:jc w:val="center"/>
              <w:rPr>
                <w:rFonts w:ascii="宋体" w:hAnsi="宋体" w:cs="宋体"/>
                <w:color w:val="auto"/>
                <w:szCs w:val="21"/>
              </w:rPr>
            </w:pPr>
            <w:r>
              <w:rPr>
                <w:rFonts w:hint="eastAsia" w:ascii="宋体" w:hAnsi="宋体" w:cs="宋体"/>
                <w:color w:val="auto"/>
                <w:szCs w:val="21"/>
              </w:rPr>
              <w:t>每天中、晚 各一次</w:t>
            </w:r>
          </w:p>
        </w:tc>
        <w:tc>
          <w:tcPr>
            <w:tcW w:w="2437" w:type="dxa"/>
            <w:tcBorders>
              <w:top w:val="single" w:color="auto" w:sz="4" w:space="0"/>
              <w:left w:val="single" w:color="auto" w:sz="4" w:space="0"/>
              <w:right w:val="single" w:color="auto" w:sz="4" w:space="0"/>
            </w:tcBorders>
            <w:shd w:val="clear" w:color="auto" w:fill="FFFFFF"/>
            <w:vAlign w:val="center"/>
          </w:tcPr>
          <w:p w14:paraId="6D587998">
            <w:pPr>
              <w:jc w:val="center"/>
              <w:rPr>
                <w:rFonts w:ascii="宋体" w:hAnsi="宋体" w:cs="宋体"/>
                <w:color w:val="auto"/>
                <w:szCs w:val="21"/>
              </w:rPr>
            </w:pPr>
            <w:r>
              <w:rPr>
                <w:rFonts w:hint="eastAsia" w:ascii="宋体" w:hAnsi="宋体" w:cs="宋体"/>
                <w:color w:val="auto"/>
                <w:szCs w:val="21"/>
              </w:rPr>
              <w:t>清洁时请勿拆下除转盘、盘架、 滚珠以外的任何部件，以免损坏 微波炉及引起触电的危险； 勿用金属刷子、颗粒状洗涤剂、 酸碱性洗涤剂、溶化剂、去污粉、 碱性肥皂洗刷微波炉的任何部 位。</w:t>
            </w:r>
          </w:p>
        </w:tc>
      </w:tr>
      <w:tr w14:paraId="5D85B118">
        <w:tblPrEx>
          <w:tblCellMar>
            <w:top w:w="0" w:type="dxa"/>
            <w:left w:w="10" w:type="dxa"/>
            <w:bottom w:w="0" w:type="dxa"/>
            <w:right w:w="10" w:type="dxa"/>
          </w:tblCellMar>
        </w:tblPrEx>
        <w:trPr>
          <w:trHeight w:val="1965" w:hRule="exact"/>
          <w:jc w:val="center"/>
        </w:trPr>
        <w:tc>
          <w:tcPr>
            <w:tcW w:w="1607" w:type="dxa"/>
            <w:tcBorders>
              <w:top w:val="single" w:color="auto" w:sz="4" w:space="0"/>
              <w:left w:val="single" w:color="auto" w:sz="4" w:space="0"/>
              <w:bottom w:val="single" w:color="auto" w:sz="4" w:space="0"/>
            </w:tcBorders>
            <w:shd w:val="clear" w:color="auto" w:fill="FFFFFF"/>
            <w:vAlign w:val="center"/>
          </w:tcPr>
          <w:p w14:paraId="728B384B">
            <w:pPr>
              <w:jc w:val="center"/>
              <w:rPr>
                <w:rFonts w:ascii="宋体" w:hAnsi="宋体" w:cs="宋体"/>
                <w:color w:val="auto"/>
                <w:szCs w:val="21"/>
              </w:rPr>
            </w:pPr>
            <w:r>
              <w:rPr>
                <w:rFonts w:hint="eastAsia" w:ascii="宋体" w:hAnsi="宋体" w:cs="宋体"/>
                <w:color w:val="auto"/>
                <w:szCs w:val="21"/>
              </w:rPr>
              <w:t>地毯</w:t>
            </w:r>
          </w:p>
        </w:tc>
        <w:tc>
          <w:tcPr>
            <w:tcW w:w="2592" w:type="dxa"/>
            <w:tcBorders>
              <w:top w:val="single" w:color="auto" w:sz="4" w:space="0"/>
              <w:left w:val="single" w:color="auto" w:sz="4" w:space="0"/>
              <w:bottom w:val="single" w:color="auto" w:sz="4" w:space="0"/>
            </w:tcBorders>
            <w:shd w:val="clear" w:color="auto" w:fill="FFFFFF"/>
            <w:vAlign w:val="center"/>
          </w:tcPr>
          <w:p w14:paraId="7E88B067">
            <w:pPr>
              <w:jc w:val="center"/>
              <w:rPr>
                <w:rFonts w:ascii="宋体" w:hAnsi="宋体" w:cs="宋体"/>
                <w:color w:val="auto"/>
                <w:szCs w:val="21"/>
              </w:rPr>
            </w:pPr>
            <w:r>
              <w:rPr>
                <w:rFonts w:hint="eastAsia" w:ascii="宋体" w:hAnsi="宋体" w:cs="宋体"/>
                <w:color w:val="auto"/>
                <w:szCs w:val="21"/>
              </w:rPr>
              <w:t>无斑迹、杂物，无纤维 疏松，无板结，干净且蓬 松</w:t>
            </w:r>
          </w:p>
        </w:tc>
        <w:tc>
          <w:tcPr>
            <w:tcW w:w="1438" w:type="dxa"/>
            <w:tcBorders>
              <w:top w:val="single" w:color="auto" w:sz="4" w:space="0"/>
              <w:left w:val="single" w:color="auto" w:sz="4" w:space="0"/>
              <w:bottom w:val="single" w:color="auto" w:sz="4" w:space="0"/>
            </w:tcBorders>
            <w:shd w:val="clear" w:color="auto" w:fill="FFFFFF"/>
            <w:vAlign w:val="center"/>
          </w:tcPr>
          <w:p w14:paraId="6352D9E8">
            <w:pPr>
              <w:jc w:val="center"/>
              <w:rPr>
                <w:rFonts w:ascii="宋体" w:hAnsi="宋体" w:cs="宋体"/>
                <w:color w:val="auto"/>
                <w:szCs w:val="21"/>
              </w:rPr>
            </w:pPr>
            <w:r>
              <w:rPr>
                <w:rFonts w:hint="eastAsia" w:ascii="宋体" w:hAnsi="宋体" w:cs="宋体"/>
                <w:color w:val="auto"/>
                <w:szCs w:val="21"/>
              </w:rPr>
              <w:t>每2月1次</w:t>
            </w:r>
          </w:p>
        </w:tc>
        <w:tc>
          <w:tcPr>
            <w:tcW w:w="2437" w:type="dxa"/>
            <w:tcBorders>
              <w:top w:val="single" w:color="auto" w:sz="4" w:space="0"/>
              <w:left w:val="single" w:color="auto" w:sz="4" w:space="0"/>
              <w:bottom w:val="single" w:color="auto" w:sz="4" w:space="0"/>
              <w:right w:val="single" w:color="auto" w:sz="4" w:space="0"/>
            </w:tcBorders>
            <w:shd w:val="clear" w:color="auto" w:fill="FFFFFF"/>
            <w:vAlign w:val="center"/>
          </w:tcPr>
          <w:p w14:paraId="4EEAFEC9">
            <w:pPr>
              <w:jc w:val="center"/>
              <w:rPr>
                <w:rFonts w:ascii="宋体" w:hAnsi="宋体" w:cs="宋体"/>
                <w:color w:val="auto"/>
                <w:szCs w:val="21"/>
              </w:rPr>
            </w:pPr>
          </w:p>
        </w:tc>
      </w:tr>
    </w:tbl>
    <w:p w14:paraId="370BEC30">
      <w:pPr>
        <w:ind w:firstLine="422" w:firstLineChars="200"/>
        <w:rPr>
          <w:rFonts w:ascii="宋体" w:hAnsi="宋体" w:cs="宋体"/>
          <w:b/>
          <w:bCs/>
          <w:color w:val="auto"/>
          <w:szCs w:val="21"/>
        </w:rPr>
      </w:pPr>
    </w:p>
    <w:p w14:paraId="3DA207D1">
      <w:pPr>
        <w:ind w:firstLine="422" w:firstLineChars="200"/>
        <w:rPr>
          <w:rFonts w:ascii="宋体" w:hAnsi="宋体" w:cs="宋体"/>
          <w:b/>
          <w:bCs/>
          <w:color w:val="auto"/>
          <w:szCs w:val="21"/>
        </w:rPr>
      </w:pPr>
    </w:p>
    <w:p w14:paraId="4FB9A107">
      <w:pPr>
        <w:ind w:firstLine="422" w:firstLineChars="200"/>
        <w:rPr>
          <w:rFonts w:ascii="宋体" w:hAnsi="宋体" w:cs="宋体"/>
          <w:b/>
          <w:bCs/>
          <w:color w:val="auto"/>
          <w:szCs w:val="21"/>
        </w:rPr>
      </w:pPr>
      <w:r>
        <w:rPr>
          <w:rFonts w:hint="eastAsia" w:ascii="宋体" w:hAnsi="宋体" w:cs="宋体"/>
          <w:b/>
          <w:bCs/>
          <w:color w:val="auto"/>
          <w:szCs w:val="21"/>
        </w:rPr>
        <w:t>4、门、急诊、公共走廊、厅堂及楼道日常保洁项目要求</w:t>
      </w:r>
    </w:p>
    <w:tbl>
      <w:tblPr>
        <w:tblStyle w:val="47"/>
        <w:tblW w:w="0" w:type="auto"/>
        <w:jc w:val="center"/>
        <w:tblLayout w:type="fixed"/>
        <w:tblCellMar>
          <w:top w:w="0" w:type="dxa"/>
          <w:left w:w="10" w:type="dxa"/>
          <w:bottom w:w="0" w:type="dxa"/>
          <w:right w:w="10" w:type="dxa"/>
        </w:tblCellMar>
      </w:tblPr>
      <w:tblGrid>
        <w:gridCol w:w="950"/>
        <w:gridCol w:w="1552"/>
        <w:gridCol w:w="2554"/>
        <w:gridCol w:w="3132"/>
      </w:tblGrid>
      <w:tr w14:paraId="1AAA21E5">
        <w:tblPrEx>
          <w:tblCellMar>
            <w:top w:w="0" w:type="dxa"/>
            <w:left w:w="10" w:type="dxa"/>
            <w:bottom w:w="0" w:type="dxa"/>
            <w:right w:w="10" w:type="dxa"/>
          </w:tblCellMar>
        </w:tblPrEx>
        <w:trPr>
          <w:trHeight w:val="575" w:hRule="exact"/>
          <w:jc w:val="center"/>
        </w:trPr>
        <w:tc>
          <w:tcPr>
            <w:tcW w:w="950" w:type="dxa"/>
            <w:tcBorders>
              <w:top w:val="single" w:color="auto" w:sz="4" w:space="0"/>
              <w:left w:val="single" w:color="auto" w:sz="4" w:space="0"/>
            </w:tcBorders>
            <w:shd w:val="clear" w:color="auto" w:fill="FFFFFF"/>
            <w:vAlign w:val="center"/>
          </w:tcPr>
          <w:p w14:paraId="164F68E9">
            <w:pPr>
              <w:jc w:val="center"/>
              <w:rPr>
                <w:rFonts w:ascii="宋体" w:hAnsi="宋体" w:cs="宋体"/>
                <w:b/>
                <w:bCs/>
                <w:color w:val="auto"/>
                <w:szCs w:val="21"/>
              </w:rPr>
            </w:pPr>
            <w:r>
              <w:rPr>
                <w:rFonts w:hint="eastAsia" w:ascii="宋体" w:hAnsi="宋体" w:cs="宋体"/>
                <w:b/>
                <w:bCs/>
                <w:color w:val="auto"/>
                <w:szCs w:val="21"/>
              </w:rPr>
              <w:t>项目</w:t>
            </w:r>
          </w:p>
        </w:tc>
        <w:tc>
          <w:tcPr>
            <w:tcW w:w="1552" w:type="dxa"/>
            <w:tcBorders>
              <w:top w:val="single" w:color="auto" w:sz="4" w:space="0"/>
              <w:left w:val="single" w:color="auto" w:sz="4" w:space="0"/>
            </w:tcBorders>
            <w:shd w:val="clear" w:color="auto" w:fill="FFFFFF"/>
            <w:vAlign w:val="center"/>
          </w:tcPr>
          <w:p w14:paraId="3E3320A6">
            <w:pPr>
              <w:jc w:val="center"/>
              <w:rPr>
                <w:rFonts w:ascii="宋体" w:hAnsi="宋体" w:cs="宋体"/>
                <w:b/>
                <w:bCs/>
                <w:color w:val="auto"/>
                <w:szCs w:val="21"/>
              </w:rPr>
            </w:pPr>
            <w:r>
              <w:rPr>
                <w:rFonts w:hint="eastAsia" w:ascii="宋体" w:hAnsi="宋体" w:cs="宋体"/>
                <w:b/>
                <w:bCs/>
                <w:color w:val="auto"/>
                <w:szCs w:val="21"/>
              </w:rPr>
              <w:t>标准（质量要求）</w:t>
            </w:r>
          </w:p>
        </w:tc>
        <w:tc>
          <w:tcPr>
            <w:tcW w:w="2554" w:type="dxa"/>
            <w:tcBorders>
              <w:top w:val="single" w:color="auto" w:sz="4" w:space="0"/>
              <w:left w:val="single" w:color="auto" w:sz="4" w:space="0"/>
            </w:tcBorders>
            <w:shd w:val="clear" w:color="auto" w:fill="FFFFFF"/>
            <w:vAlign w:val="center"/>
          </w:tcPr>
          <w:p w14:paraId="5A905303">
            <w:pPr>
              <w:jc w:val="center"/>
              <w:rPr>
                <w:rFonts w:ascii="宋体" w:hAnsi="宋体" w:cs="宋体"/>
                <w:b/>
                <w:bCs/>
                <w:color w:val="auto"/>
                <w:szCs w:val="21"/>
              </w:rPr>
            </w:pPr>
            <w:r>
              <w:rPr>
                <w:rFonts w:hint="eastAsia" w:ascii="宋体" w:hAnsi="宋体" w:cs="宋体"/>
                <w:b/>
                <w:bCs/>
                <w:color w:val="auto"/>
                <w:szCs w:val="21"/>
              </w:rPr>
              <w:t>频次</w:t>
            </w:r>
          </w:p>
        </w:tc>
        <w:tc>
          <w:tcPr>
            <w:tcW w:w="3132" w:type="dxa"/>
            <w:tcBorders>
              <w:top w:val="single" w:color="auto" w:sz="4" w:space="0"/>
              <w:left w:val="single" w:color="auto" w:sz="4" w:space="0"/>
              <w:right w:val="single" w:color="auto" w:sz="4" w:space="0"/>
            </w:tcBorders>
            <w:shd w:val="clear" w:color="auto" w:fill="FFFFFF"/>
            <w:vAlign w:val="center"/>
          </w:tcPr>
          <w:p w14:paraId="2FBCEBBD">
            <w:pPr>
              <w:jc w:val="center"/>
              <w:rPr>
                <w:rFonts w:ascii="宋体" w:hAnsi="宋体" w:cs="宋体"/>
                <w:b/>
                <w:bCs/>
                <w:color w:val="auto"/>
                <w:szCs w:val="21"/>
              </w:rPr>
            </w:pPr>
            <w:r>
              <w:rPr>
                <w:rFonts w:hint="eastAsia" w:ascii="宋体" w:hAnsi="宋体" w:cs="宋体"/>
                <w:b/>
                <w:bCs/>
                <w:color w:val="auto"/>
                <w:szCs w:val="21"/>
              </w:rPr>
              <w:t>注意事项</w:t>
            </w:r>
          </w:p>
        </w:tc>
      </w:tr>
      <w:tr w14:paraId="19658A4C">
        <w:tblPrEx>
          <w:tblCellMar>
            <w:top w:w="0" w:type="dxa"/>
            <w:left w:w="10" w:type="dxa"/>
            <w:bottom w:w="0" w:type="dxa"/>
            <w:right w:w="10" w:type="dxa"/>
          </w:tblCellMar>
        </w:tblPrEx>
        <w:trPr>
          <w:trHeight w:val="1158"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341A5F21">
            <w:pPr>
              <w:jc w:val="center"/>
              <w:rPr>
                <w:rFonts w:ascii="宋体" w:hAnsi="宋体" w:cs="宋体"/>
                <w:color w:val="auto"/>
                <w:szCs w:val="21"/>
              </w:rPr>
            </w:pPr>
            <w:r>
              <w:rPr>
                <w:rFonts w:hint="eastAsia" w:ascii="宋体" w:hAnsi="宋体" w:cs="宋体"/>
                <w:color w:val="auto"/>
                <w:szCs w:val="21"/>
              </w:rPr>
              <w:t>走廊</w:t>
            </w:r>
          </w:p>
        </w:tc>
        <w:tc>
          <w:tcPr>
            <w:tcW w:w="1552" w:type="dxa"/>
            <w:tcBorders>
              <w:top w:val="single" w:color="auto" w:sz="4" w:space="0"/>
              <w:left w:val="single" w:color="auto" w:sz="4" w:space="0"/>
              <w:bottom w:val="single" w:color="auto" w:sz="4" w:space="0"/>
            </w:tcBorders>
            <w:shd w:val="clear" w:color="auto" w:fill="FFFFFF"/>
            <w:vAlign w:val="center"/>
          </w:tcPr>
          <w:p w14:paraId="455C0998">
            <w:pPr>
              <w:jc w:val="center"/>
              <w:rPr>
                <w:rFonts w:ascii="宋体" w:hAnsi="宋体" w:cs="宋体"/>
                <w:color w:val="auto"/>
                <w:szCs w:val="21"/>
              </w:rPr>
            </w:pPr>
            <w:r>
              <w:rPr>
                <w:rFonts w:hint="eastAsia" w:ascii="宋体" w:hAnsi="宋体" w:cs="宋体"/>
                <w:color w:val="auto"/>
                <w:szCs w:val="21"/>
              </w:rPr>
              <w:t>清洁光亮，无尘、斑迹、油迹、污迹、 烟头</w:t>
            </w:r>
          </w:p>
        </w:tc>
        <w:tc>
          <w:tcPr>
            <w:tcW w:w="2554" w:type="dxa"/>
            <w:tcBorders>
              <w:top w:val="single" w:color="auto" w:sz="4" w:space="0"/>
              <w:left w:val="single" w:color="auto" w:sz="4" w:space="0"/>
              <w:bottom w:val="single" w:color="auto" w:sz="4" w:space="0"/>
            </w:tcBorders>
            <w:shd w:val="clear" w:color="auto" w:fill="FFFFFF"/>
            <w:vAlign w:val="center"/>
          </w:tcPr>
          <w:p w14:paraId="08FD2AB9">
            <w:pPr>
              <w:jc w:val="center"/>
              <w:rPr>
                <w:rFonts w:ascii="宋体" w:hAnsi="宋体" w:cs="宋体"/>
                <w:color w:val="auto"/>
                <w:szCs w:val="21"/>
              </w:rPr>
            </w:pPr>
            <w:r>
              <w:rPr>
                <w:rFonts w:hint="eastAsia" w:ascii="宋体" w:hAnsi="宋体" w:cs="宋体"/>
                <w:color w:val="auto"/>
                <w:szCs w:val="21"/>
              </w:rPr>
              <w:t>1、尘推：2小时1次，随脏随打扫</w:t>
            </w:r>
          </w:p>
          <w:p w14:paraId="353B47D8">
            <w:pPr>
              <w:jc w:val="center"/>
              <w:rPr>
                <w:rFonts w:ascii="宋体" w:hAnsi="宋体" w:cs="宋体"/>
                <w:color w:val="auto"/>
                <w:szCs w:val="21"/>
              </w:rPr>
            </w:pPr>
            <w:r>
              <w:rPr>
                <w:rFonts w:hint="eastAsia" w:ascii="宋体" w:hAnsi="宋体" w:cs="宋体"/>
                <w:color w:val="auto"/>
                <w:szCs w:val="21"/>
              </w:rPr>
              <w:t>2、洗地机：每半月1 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1FAB42F8">
            <w:pPr>
              <w:jc w:val="center"/>
              <w:rPr>
                <w:rFonts w:ascii="宋体" w:hAnsi="宋体" w:cs="宋体"/>
                <w:color w:val="auto"/>
                <w:szCs w:val="21"/>
              </w:rPr>
            </w:pPr>
            <w:r>
              <w:rPr>
                <w:rFonts w:hint="eastAsia" w:ascii="宋体" w:hAnsi="宋体" w:cs="宋体"/>
                <w:color w:val="auto"/>
                <w:szCs w:val="21"/>
              </w:rPr>
              <w:t>1、尘推不可靠近病人及家属2、不可跟在病人后面推尘，应 绕道推尘</w:t>
            </w:r>
          </w:p>
        </w:tc>
      </w:tr>
      <w:tr w14:paraId="7AB176E4">
        <w:tblPrEx>
          <w:tblCellMar>
            <w:top w:w="0" w:type="dxa"/>
            <w:left w:w="10" w:type="dxa"/>
            <w:bottom w:w="0" w:type="dxa"/>
            <w:right w:w="10" w:type="dxa"/>
          </w:tblCellMar>
        </w:tblPrEx>
        <w:trPr>
          <w:trHeight w:val="115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12281CE0">
            <w:pPr>
              <w:jc w:val="center"/>
              <w:rPr>
                <w:rFonts w:ascii="宋体" w:hAnsi="宋体" w:cs="宋体"/>
                <w:color w:val="auto"/>
                <w:szCs w:val="21"/>
                <w:lang w:val="zh-TW" w:eastAsia="zh-TW"/>
              </w:rPr>
            </w:pPr>
            <w:r>
              <w:rPr>
                <w:rFonts w:hint="eastAsia" w:ascii="宋体" w:hAnsi="宋体" w:cs="宋体"/>
                <w:color w:val="auto"/>
                <w:szCs w:val="21"/>
              </w:rPr>
              <w:t>楼梯面</w:t>
            </w:r>
          </w:p>
        </w:tc>
        <w:tc>
          <w:tcPr>
            <w:tcW w:w="1552" w:type="dxa"/>
            <w:tcBorders>
              <w:top w:val="single" w:color="auto" w:sz="4" w:space="0"/>
              <w:left w:val="single" w:color="auto" w:sz="4" w:space="0"/>
              <w:bottom w:val="single" w:color="auto" w:sz="4" w:space="0"/>
            </w:tcBorders>
            <w:shd w:val="clear" w:color="auto" w:fill="FFFFFF"/>
            <w:vAlign w:val="center"/>
          </w:tcPr>
          <w:p w14:paraId="668AC48D">
            <w:pPr>
              <w:jc w:val="center"/>
              <w:rPr>
                <w:rFonts w:ascii="宋体" w:hAnsi="宋体" w:cs="宋体"/>
                <w:color w:val="auto"/>
                <w:szCs w:val="21"/>
                <w:lang w:val="zh-TW" w:eastAsia="zh-TW"/>
              </w:rPr>
            </w:pPr>
            <w:r>
              <w:rPr>
                <w:rFonts w:hint="eastAsia" w:ascii="宋体" w:hAnsi="宋体" w:cs="宋体"/>
                <w:color w:val="auto"/>
                <w:szCs w:val="21"/>
              </w:rPr>
              <w:t>干净，无灰尘、污迹</w:t>
            </w:r>
          </w:p>
        </w:tc>
        <w:tc>
          <w:tcPr>
            <w:tcW w:w="2554" w:type="dxa"/>
            <w:tcBorders>
              <w:top w:val="single" w:color="auto" w:sz="4" w:space="0"/>
              <w:left w:val="single" w:color="auto" w:sz="4" w:space="0"/>
              <w:bottom w:val="single" w:color="auto" w:sz="4" w:space="0"/>
            </w:tcBorders>
            <w:shd w:val="clear" w:color="auto" w:fill="FFFFFF"/>
            <w:vAlign w:val="center"/>
          </w:tcPr>
          <w:p w14:paraId="26BC9F5E">
            <w:pPr>
              <w:jc w:val="center"/>
              <w:rPr>
                <w:rFonts w:ascii="宋体" w:hAnsi="宋体" w:cs="宋体"/>
                <w:color w:val="auto"/>
                <w:szCs w:val="21"/>
                <w:lang w:val="zh-TW" w:eastAsia="zh-TW"/>
              </w:rPr>
            </w:pPr>
            <w:r>
              <w:rPr>
                <w:rFonts w:hint="eastAsia" w:ascii="宋体" w:hAnsi="宋体" w:cs="宋体"/>
                <w:color w:val="auto"/>
                <w:szCs w:val="21"/>
              </w:rPr>
              <w:t>2小时1次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50B00329">
            <w:pPr>
              <w:jc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勿忽略靠近扶手一侧的楼梯 面的清洁</w:t>
            </w:r>
          </w:p>
          <w:p w14:paraId="75FBB302">
            <w:pPr>
              <w:jc w:val="center"/>
              <w:rPr>
                <w:rFonts w:ascii="宋体" w:hAnsi="宋体" w:cs="宋体"/>
                <w:color w:val="auto"/>
                <w:szCs w:val="21"/>
                <w:lang w:val="zh-TW" w:eastAsia="zh-TW"/>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不可污染另-侧墙面</w:t>
            </w:r>
          </w:p>
        </w:tc>
      </w:tr>
      <w:tr w14:paraId="4718F491">
        <w:tblPrEx>
          <w:tblCellMar>
            <w:top w:w="0" w:type="dxa"/>
            <w:left w:w="10" w:type="dxa"/>
            <w:bottom w:w="0" w:type="dxa"/>
            <w:right w:w="10" w:type="dxa"/>
          </w:tblCellMar>
        </w:tblPrEx>
        <w:trPr>
          <w:trHeight w:val="141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203667B4">
            <w:pPr>
              <w:jc w:val="center"/>
              <w:rPr>
                <w:rFonts w:ascii="宋体" w:hAnsi="宋体" w:cs="宋体"/>
                <w:color w:val="auto"/>
                <w:szCs w:val="21"/>
                <w:lang w:val="zh-TW" w:eastAsia="zh-TW"/>
              </w:rPr>
            </w:pPr>
            <w:r>
              <w:rPr>
                <w:rFonts w:hint="eastAsia" w:ascii="宋体" w:hAnsi="宋体" w:cs="宋体"/>
                <w:color w:val="auto"/>
                <w:szCs w:val="21"/>
              </w:rPr>
              <w:t>楼梯扶手、栏 杆、玻璃</w:t>
            </w:r>
          </w:p>
        </w:tc>
        <w:tc>
          <w:tcPr>
            <w:tcW w:w="1552" w:type="dxa"/>
            <w:tcBorders>
              <w:top w:val="single" w:color="auto" w:sz="4" w:space="0"/>
              <w:left w:val="single" w:color="auto" w:sz="4" w:space="0"/>
              <w:bottom w:val="single" w:color="auto" w:sz="4" w:space="0"/>
            </w:tcBorders>
            <w:shd w:val="clear" w:color="auto" w:fill="FFFFFF"/>
            <w:vAlign w:val="center"/>
          </w:tcPr>
          <w:p w14:paraId="11684B6B">
            <w:pPr>
              <w:jc w:val="center"/>
              <w:rPr>
                <w:rFonts w:ascii="宋体" w:hAnsi="宋体" w:cs="宋体"/>
                <w:color w:val="auto"/>
                <w:szCs w:val="21"/>
                <w:lang w:val="zh-TW" w:eastAsia="zh-TW"/>
              </w:rPr>
            </w:pPr>
            <w:r>
              <w:rPr>
                <w:rFonts w:hint="eastAsia" w:ascii="宋体" w:hAnsi="宋体" w:cs="宋体"/>
                <w:color w:val="auto"/>
                <w:szCs w:val="21"/>
              </w:rPr>
              <w:t>无灰尘、斑迹</w:t>
            </w:r>
          </w:p>
        </w:tc>
        <w:tc>
          <w:tcPr>
            <w:tcW w:w="2554" w:type="dxa"/>
            <w:tcBorders>
              <w:top w:val="single" w:color="auto" w:sz="4" w:space="0"/>
              <w:left w:val="single" w:color="auto" w:sz="4" w:space="0"/>
              <w:bottom w:val="single" w:color="auto" w:sz="4" w:space="0"/>
            </w:tcBorders>
            <w:shd w:val="clear" w:color="auto" w:fill="FFFFFF"/>
            <w:vAlign w:val="center"/>
          </w:tcPr>
          <w:p w14:paraId="4DAD3C5D">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0E8FC1F1">
            <w:pPr>
              <w:jc w:val="center"/>
              <w:rPr>
                <w:rFonts w:ascii="宋体" w:hAnsi="宋体" w:cs="宋体"/>
                <w:color w:val="auto"/>
                <w:szCs w:val="21"/>
              </w:rPr>
            </w:pPr>
          </w:p>
        </w:tc>
      </w:tr>
      <w:tr w14:paraId="0350CFF3">
        <w:tblPrEx>
          <w:tblCellMar>
            <w:top w:w="0" w:type="dxa"/>
            <w:left w:w="10" w:type="dxa"/>
            <w:bottom w:w="0" w:type="dxa"/>
            <w:right w:w="10" w:type="dxa"/>
          </w:tblCellMar>
        </w:tblPrEx>
        <w:trPr>
          <w:trHeight w:val="79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3BC7CF29">
            <w:pPr>
              <w:jc w:val="center"/>
              <w:rPr>
                <w:rFonts w:ascii="宋体" w:hAnsi="宋体" w:cs="宋体"/>
                <w:color w:val="auto"/>
                <w:szCs w:val="21"/>
                <w:lang w:val="zh-TW" w:eastAsia="zh-TW"/>
              </w:rPr>
            </w:pPr>
            <w:r>
              <w:rPr>
                <w:rFonts w:hint="eastAsia" w:ascii="宋体" w:hAnsi="宋体" w:cs="宋体"/>
                <w:color w:val="auto"/>
                <w:szCs w:val="21"/>
              </w:rPr>
              <w:t>楼梯防滑铜 条</w:t>
            </w:r>
          </w:p>
        </w:tc>
        <w:tc>
          <w:tcPr>
            <w:tcW w:w="1552" w:type="dxa"/>
            <w:tcBorders>
              <w:top w:val="single" w:color="auto" w:sz="4" w:space="0"/>
              <w:left w:val="single" w:color="auto" w:sz="4" w:space="0"/>
              <w:bottom w:val="single" w:color="auto" w:sz="4" w:space="0"/>
            </w:tcBorders>
            <w:shd w:val="clear" w:color="auto" w:fill="FFFFFF"/>
            <w:vAlign w:val="center"/>
          </w:tcPr>
          <w:p w14:paraId="2735357C">
            <w:pPr>
              <w:jc w:val="center"/>
              <w:rPr>
                <w:rFonts w:ascii="宋体" w:hAnsi="宋体" w:cs="宋体"/>
                <w:color w:val="auto"/>
                <w:szCs w:val="21"/>
                <w:lang w:val="zh-TW" w:eastAsia="zh-TW"/>
              </w:rPr>
            </w:pPr>
            <w:r>
              <w:rPr>
                <w:rFonts w:hint="eastAsia" w:ascii="宋体" w:hAnsi="宋体" w:cs="宋体"/>
                <w:color w:val="auto"/>
                <w:szCs w:val="21"/>
              </w:rPr>
              <w:t>无污迹、锈迹，光亮 清洁</w:t>
            </w:r>
          </w:p>
        </w:tc>
        <w:tc>
          <w:tcPr>
            <w:tcW w:w="2554" w:type="dxa"/>
            <w:tcBorders>
              <w:top w:val="single" w:color="auto" w:sz="4" w:space="0"/>
              <w:left w:val="single" w:color="auto" w:sz="4" w:space="0"/>
              <w:bottom w:val="single" w:color="auto" w:sz="4" w:space="0"/>
            </w:tcBorders>
            <w:shd w:val="clear" w:color="auto" w:fill="FFFFFF"/>
            <w:vAlign w:val="center"/>
          </w:tcPr>
          <w:p w14:paraId="69100CC8">
            <w:pPr>
              <w:jc w:val="center"/>
              <w:rPr>
                <w:rFonts w:ascii="宋体" w:hAnsi="宋体" w:cs="宋体"/>
                <w:color w:val="auto"/>
                <w:szCs w:val="21"/>
                <w:lang w:val="zh-TW" w:eastAsia="zh-TW"/>
              </w:rPr>
            </w:pPr>
            <w:r>
              <w:rPr>
                <w:rFonts w:hint="eastAsia" w:ascii="宋体" w:hAnsi="宋体" w:cs="宋体"/>
                <w:color w:val="auto"/>
                <w:szCs w:val="21"/>
              </w:rPr>
              <w:t>每月一次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7352CEE2">
            <w:pPr>
              <w:jc w:val="center"/>
              <w:rPr>
                <w:rFonts w:ascii="宋体" w:hAnsi="宋体" w:cs="宋体"/>
                <w:color w:val="auto"/>
                <w:szCs w:val="21"/>
                <w:lang w:val="zh-TW" w:eastAsia="zh-TW"/>
              </w:rPr>
            </w:pPr>
            <w:r>
              <w:rPr>
                <w:rFonts w:hint="eastAsia" w:ascii="宋体" w:hAnsi="宋体" w:cs="宋体"/>
                <w:color w:val="auto"/>
                <w:szCs w:val="21"/>
              </w:rPr>
              <w:t>擦桐油不可沾染到墙壁、地毯 上，防止地毯脱色</w:t>
            </w:r>
          </w:p>
        </w:tc>
      </w:tr>
      <w:tr w14:paraId="5E21B33F">
        <w:tblPrEx>
          <w:tblCellMar>
            <w:top w:w="0" w:type="dxa"/>
            <w:left w:w="10" w:type="dxa"/>
            <w:bottom w:w="0" w:type="dxa"/>
            <w:right w:w="10" w:type="dxa"/>
          </w:tblCellMar>
        </w:tblPrEx>
        <w:trPr>
          <w:trHeight w:val="878"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02703A75">
            <w:pPr>
              <w:jc w:val="center"/>
              <w:rPr>
                <w:rFonts w:ascii="宋体" w:hAnsi="宋体" w:cs="宋体"/>
                <w:color w:val="auto"/>
                <w:szCs w:val="21"/>
                <w:lang w:val="zh-TW" w:eastAsia="zh-TW"/>
              </w:rPr>
            </w:pPr>
            <w:r>
              <w:rPr>
                <w:rFonts w:hint="eastAsia" w:ascii="宋体" w:hAnsi="宋体" w:cs="宋体"/>
                <w:color w:val="auto"/>
                <w:szCs w:val="21"/>
              </w:rPr>
              <w:t>防尘垫</w:t>
            </w:r>
          </w:p>
        </w:tc>
        <w:tc>
          <w:tcPr>
            <w:tcW w:w="1552" w:type="dxa"/>
            <w:tcBorders>
              <w:top w:val="single" w:color="auto" w:sz="4" w:space="0"/>
              <w:left w:val="single" w:color="auto" w:sz="4" w:space="0"/>
              <w:bottom w:val="single" w:color="auto" w:sz="4" w:space="0"/>
            </w:tcBorders>
            <w:shd w:val="clear" w:color="auto" w:fill="FFFFFF"/>
            <w:vAlign w:val="center"/>
          </w:tcPr>
          <w:p w14:paraId="480BDAC0">
            <w:pPr>
              <w:jc w:val="center"/>
              <w:rPr>
                <w:rFonts w:ascii="宋体" w:hAnsi="宋体" w:cs="宋体"/>
                <w:color w:val="auto"/>
                <w:szCs w:val="21"/>
                <w:lang w:val="zh-TW" w:eastAsia="zh-TW"/>
              </w:rPr>
            </w:pPr>
            <w:r>
              <w:rPr>
                <w:rFonts w:hint="eastAsia" w:ascii="宋体" w:hAnsi="宋体" w:cs="宋体"/>
                <w:color w:val="auto"/>
                <w:szCs w:val="21"/>
              </w:rPr>
              <w:t>无沙土、杂物、污物 残留，干净、美观</w:t>
            </w:r>
          </w:p>
        </w:tc>
        <w:tc>
          <w:tcPr>
            <w:tcW w:w="2554" w:type="dxa"/>
            <w:tcBorders>
              <w:top w:val="single" w:color="auto" w:sz="4" w:space="0"/>
              <w:left w:val="single" w:color="auto" w:sz="4" w:space="0"/>
              <w:bottom w:val="single" w:color="auto" w:sz="4" w:space="0"/>
            </w:tcBorders>
            <w:shd w:val="clear" w:color="auto" w:fill="FFFFFF"/>
            <w:vAlign w:val="center"/>
          </w:tcPr>
          <w:p w14:paraId="049CC7D0">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7FEB356A">
            <w:pPr>
              <w:jc w:val="center"/>
              <w:rPr>
                <w:rFonts w:ascii="宋体" w:hAnsi="宋体" w:cs="宋体"/>
                <w:color w:val="auto"/>
                <w:szCs w:val="21"/>
                <w:lang w:val="zh-TW" w:eastAsia="zh-TW"/>
              </w:rPr>
            </w:pPr>
            <w:r>
              <w:rPr>
                <w:rFonts w:hint="eastAsia" w:ascii="宋体" w:hAnsi="宋体" w:cs="宋体"/>
                <w:color w:val="auto"/>
                <w:szCs w:val="21"/>
              </w:rPr>
              <w:t>检查清洗后的地垫，对有些镶峡 在地垫中的杂物挑除</w:t>
            </w:r>
          </w:p>
        </w:tc>
      </w:tr>
      <w:tr w14:paraId="2C3FD5A9">
        <w:tblPrEx>
          <w:tblCellMar>
            <w:top w:w="0" w:type="dxa"/>
            <w:left w:w="10" w:type="dxa"/>
            <w:bottom w:w="0" w:type="dxa"/>
            <w:right w:w="10" w:type="dxa"/>
          </w:tblCellMar>
        </w:tblPrEx>
        <w:trPr>
          <w:trHeight w:val="67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52A6753F">
            <w:pPr>
              <w:jc w:val="center"/>
              <w:rPr>
                <w:rFonts w:ascii="宋体" w:hAnsi="宋体" w:cs="宋体"/>
                <w:color w:val="auto"/>
                <w:szCs w:val="21"/>
                <w:lang w:val="zh-TW" w:eastAsia="zh-TW"/>
              </w:rPr>
            </w:pPr>
            <w:r>
              <w:rPr>
                <w:rFonts w:hint="eastAsia" w:ascii="宋体" w:hAnsi="宋体" w:cs="宋体"/>
                <w:color w:val="auto"/>
                <w:szCs w:val="21"/>
              </w:rPr>
              <w:t>门帘</w:t>
            </w:r>
          </w:p>
        </w:tc>
        <w:tc>
          <w:tcPr>
            <w:tcW w:w="1552" w:type="dxa"/>
            <w:tcBorders>
              <w:top w:val="single" w:color="auto" w:sz="4" w:space="0"/>
              <w:left w:val="single" w:color="auto" w:sz="4" w:space="0"/>
              <w:bottom w:val="single" w:color="auto" w:sz="4" w:space="0"/>
            </w:tcBorders>
            <w:shd w:val="clear" w:color="auto" w:fill="FFFFFF"/>
            <w:vAlign w:val="center"/>
          </w:tcPr>
          <w:p w14:paraId="4CCBE61B">
            <w:pPr>
              <w:jc w:val="center"/>
              <w:rPr>
                <w:rFonts w:ascii="宋体" w:hAnsi="宋体" w:cs="宋体"/>
                <w:color w:val="auto"/>
                <w:szCs w:val="21"/>
                <w:lang w:val="zh-TW" w:eastAsia="zh-TW"/>
              </w:rPr>
            </w:pPr>
            <w:r>
              <w:rPr>
                <w:rFonts w:hint="eastAsia" w:ascii="宋体" w:hAnsi="宋体" w:cs="宋体"/>
                <w:color w:val="auto"/>
                <w:szCs w:val="21"/>
              </w:rPr>
              <w:t>无灰尘、污迹、缺损， 清洁</w:t>
            </w:r>
          </w:p>
        </w:tc>
        <w:tc>
          <w:tcPr>
            <w:tcW w:w="2554" w:type="dxa"/>
            <w:tcBorders>
              <w:top w:val="single" w:color="auto" w:sz="4" w:space="0"/>
              <w:left w:val="single" w:color="auto" w:sz="4" w:space="0"/>
              <w:bottom w:val="single" w:color="auto" w:sz="4" w:space="0"/>
            </w:tcBorders>
            <w:shd w:val="clear" w:color="auto" w:fill="FFFFFF"/>
            <w:vAlign w:val="center"/>
          </w:tcPr>
          <w:p w14:paraId="7BB7FF98">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0C6DCD92">
            <w:pPr>
              <w:jc w:val="center"/>
              <w:rPr>
                <w:rFonts w:ascii="宋体" w:hAnsi="宋体" w:cs="宋体"/>
                <w:color w:val="auto"/>
                <w:szCs w:val="21"/>
                <w:lang w:val="zh-TW" w:eastAsia="zh-TW"/>
              </w:rPr>
            </w:pPr>
            <w:r>
              <w:rPr>
                <w:rFonts w:hint="eastAsia" w:ascii="宋体" w:hAnsi="宋体" w:cs="宋体"/>
                <w:color w:val="auto"/>
                <w:szCs w:val="21"/>
              </w:rPr>
              <w:t>避免在人员进出高峰期进行保 洁</w:t>
            </w:r>
          </w:p>
        </w:tc>
      </w:tr>
      <w:tr w14:paraId="361481D6">
        <w:tblPrEx>
          <w:tblCellMar>
            <w:top w:w="0" w:type="dxa"/>
            <w:left w:w="10" w:type="dxa"/>
            <w:bottom w:w="0" w:type="dxa"/>
            <w:right w:w="10" w:type="dxa"/>
          </w:tblCellMar>
        </w:tblPrEx>
        <w:trPr>
          <w:trHeight w:val="121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36CAA435">
            <w:pPr>
              <w:jc w:val="center"/>
              <w:rPr>
                <w:rFonts w:ascii="宋体" w:hAnsi="宋体" w:cs="宋体"/>
                <w:color w:val="auto"/>
                <w:szCs w:val="21"/>
                <w:lang w:val="zh-TW" w:eastAsia="zh-TW"/>
              </w:rPr>
            </w:pPr>
            <w:r>
              <w:rPr>
                <w:rFonts w:hint="eastAsia" w:ascii="宋体" w:hAnsi="宋体" w:cs="宋体"/>
                <w:color w:val="auto"/>
                <w:szCs w:val="21"/>
              </w:rPr>
              <w:t>等候椅</w:t>
            </w:r>
          </w:p>
        </w:tc>
        <w:tc>
          <w:tcPr>
            <w:tcW w:w="1552" w:type="dxa"/>
            <w:tcBorders>
              <w:top w:val="single" w:color="auto" w:sz="4" w:space="0"/>
              <w:left w:val="single" w:color="auto" w:sz="4" w:space="0"/>
              <w:bottom w:val="single" w:color="auto" w:sz="4" w:space="0"/>
            </w:tcBorders>
            <w:shd w:val="clear" w:color="auto" w:fill="FFFFFF"/>
            <w:vAlign w:val="center"/>
          </w:tcPr>
          <w:p w14:paraId="1D49E461">
            <w:pPr>
              <w:jc w:val="center"/>
              <w:rPr>
                <w:rFonts w:ascii="宋体" w:hAnsi="宋体" w:cs="宋体"/>
                <w:color w:val="auto"/>
                <w:szCs w:val="21"/>
                <w:lang w:val="zh-TW" w:eastAsia="zh-TW"/>
              </w:rPr>
            </w:pPr>
            <w:r>
              <w:rPr>
                <w:rFonts w:hint="eastAsia" w:ascii="宋体" w:hAnsi="宋体" w:cs="宋体"/>
                <w:color w:val="auto"/>
                <w:szCs w:val="21"/>
              </w:rPr>
              <w:t>无灰尘、污迹、杂 物、水迹，干净明亮</w:t>
            </w:r>
          </w:p>
        </w:tc>
        <w:tc>
          <w:tcPr>
            <w:tcW w:w="2554" w:type="dxa"/>
            <w:tcBorders>
              <w:top w:val="single" w:color="auto" w:sz="4" w:space="0"/>
              <w:left w:val="single" w:color="auto" w:sz="4" w:space="0"/>
              <w:bottom w:val="single" w:color="auto" w:sz="4" w:space="0"/>
            </w:tcBorders>
            <w:shd w:val="clear" w:color="auto" w:fill="FFFFFF"/>
            <w:vAlign w:val="center"/>
          </w:tcPr>
          <w:p w14:paraId="2ABCA044">
            <w:pPr>
              <w:jc w:val="center"/>
              <w:rPr>
                <w:rFonts w:ascii="宋体" w:hAnsi="宋体" w:cs="宋体"/>
                <w:color w:val="auto"/>
                <w:szCs w:val="21"/>
                <w:lang w:val="zh-TW" w:eastAsia="zh-TW"/>
              </w:rPr>
            </w:pPr>
            <w:r>
              <w:rPr>
                <w:rFonts w:hint="eastAsia" w:ascii="宋体" w:hAnsi="宋体" w:cs="宋体"/>
                <w:color w:val="auto"/>
                <w:szCs w:val="21"/>
              </w:rPr>
              <w:t>每天二次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37E7FD4B">
            <w:pPr>
              <w:jc w:val="center"/>
              <w:rPr>
                <w:rFonts w:ascii="宋体" w:hAnsi="宋体" w:cs="宋体"/>
                <w:color w:val="auto"/>
                <w:szCs w:val="21"/>
                <w:lang w:val="zh-TW" w:eastAsia="zh-TW"/>
              </w:rPr>
            </w:pPr>
            <w:r>
              <w:rPr>
                <w:rFonts w:hint="eastAsia" w:ascii="宋体" w:hAnsi="宋体" w:cs="宋体"/>
                <w:color w:val="auto"/>
                <w:szCs w:val="21"/>
              </w:rPr>
              <w:t>等候椅下方的卫生不要忽略</w:t>
            </w:r>
          </w:p>
        </w:tc>
      </w:tr>
      <w:tr w14:paraId="686F8D4F">
        <w:tblPrEx>
          <w:tblCellMar>
            <w:top w:w="0" w:type="dxa"/>
            <w:left w:w="10" w:type="dxa"/>
            <w:bottom w:w="0" w:type="dxa"/>
            <w:right w:w="10" w:type="dxa"/>
          </w:tblCellMar>
        </w:tblPrEx>
        <w:trPr>
          <w:trHeight w:val="928"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4405D4E2">
            <w:pPr>
              <w:jc w:val="center"/>
              <w:rPr>
                <w:rFonts w:ascii="宋体" w:hAnsi="宋体" w:cs="宋体"/>
                <w:color w:val="auto"/>
                <w:szCs w:val="21"/>
                <w:lang w:val="zh-TW" w:eastAsia="zh-TW"/>
              </w:rPr>
            </w:pPr>
            <w:r>
              <w:rPr>
                <w:rFonts w:hint="eastAsia" w:ascii="宋体" w:hAnsi="宋体" w:cs="宋体"/>
                <w:color w:val="auto"/>
                <w:szCs w:val="21"/>
              </w:rPr>
              <w:t>垃圾桶</w:t>
            </w:r>
          </w:p>
        </w:tc>
        <w:tc>
          <w:tcPr>
            <w:tcW w:w="1552" w:type="dxa"/>
            <w:tcBorders>
              <w:top w:val="single" w:color="auto" w:sz="4" w:space="0"/>
              <w:left w:val="single" w:color="auto" w:sz="4" w:space="0"/>
              <w:bottom w:val="single" w:color="auto" w:sz="4" w:space="0"/>
            </w:tcBorders>
            <w:shd w:val="clear" w:color="auto" w:fill="FFFFFF"/>
            <w:vAlign w:val="center"/>
          </w:tcPr>
          <w:p w14:paraId="46F8B7E9">
            <w:pPr>
              <w:jc w:val="center"/>
              <w:rPr>
                <w:rFonts w:ascii="宋体" w:hAnsi="宋体" w:cs="宋体"/>
                <w:color w:val="auto"/>
                <w:szCs w:val="21"/>
                <w:lang w:val="zh-TW" w:eastAsia="zh-TW"/>
              </w:rPr>
            </w:pPr>
            <w:r>
              <w:rPr>
                <w:rFonts w:hint="eastAsia" w:ascii="宋体" w:hAnsi="宋体" w:cs="宋体"/>
                <w:color w:val="auto"/>
                <w:szCs w:val="21"/>
              </w:rPr>
              <w:t>光亮、无污迹、无水 迹，周边无垃圾</w:t>
            </w:r>
          </w:p>
        </w:tc>
        <w:tc>
          <w:tcPr>
            <w:tcW w:w="2554" w:type="dxa"/>
            <w:tcBorders>
              <w:top w:val="single" w:color="auto" w:sz="4" w:space="0"/>
              <w:left w:val="single" w:color="auto" w:sz="4" w:space="0"/>
              <w:bottom w:val="single" w:color="auto" w:sz="4" w:space="0"/>
            </w:tcBorders>
            <w:shd w:val="clear" w:color="auto" w:fill="FFFFFF"/>
            <w:vAlign w:val="center"/>
          </w:tcPr>
          <w:p w14:paraId="71E290F3">
            <w:pPr>
              <w:jc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每天三次</w:t>
            </w:r>
          </w:p>
          <w:p w14:paraId="261C7658">
            <w:pPr>
              <w:jc w:val="center"/>
              <w:rPr>
                <w:rFonts w:ascii="宋体" w:hAnsi="宋体" w:cs="宋体"/>
                <w:color w:val="auto"/>
                <w:szCs w:val="21"/>
                <w:lang w:val="zh-TW" w:eastAsia="zh-TW"/>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随满随倒</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7A5299BF">
            <w:pPr>
              <w:jc w:val="center"/>
              <w:rPr>
                <w:rFonts w:ascii="宋体" w:hAnsi="宋体" w:cs="宋体"/>
                <w:color w:val="auto"/>
                <w:szCs w:val="21"/>
                <w:lang w:val="zh-TW" w:eastAsia="zh-TW"/>
              </w:rPr>
            </w:pPr>
            <w:r>
              <w:rPr>
                <w:rFonts w:hint="eastAsia" w:ascii="宋体" w:hAnsi="宋体" w:cs="宋体"/>
                <w:color w:val="auto"/>
                <w:szCs w:val="21"/>
              </w:rPr>
              <w:t>不可漫溢</w:t>
            </w:r>
          </w:p>
        </w:tc>
      </w:tr>
      <w:tr w14:paraId="365548A2">
        <w:tblPrEx>
          <w:tblCellMar>
            <w:top w:w="0" w:type="dxa"/>
            <w:left w:w="10" w:type="dxa"/>
            <w:bottom w:w="0" w:type="dxa"/>
            <w:right w:w="10" w:type="dxa"/>
          </w:tblCellMar>
        </w:tblPrEx>
        <w:trPr>
          <w:trHeight w:val="81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6915B50C">
            <w:pPr>
              <w:jc w:val="center"/>
              <w:rPr>
                <w:rFonts w:ascii="宋体" w:hAnsi="宋体" w:cs="宋体"/>
                <w:color w:val="auto"/>
                <w:szCs w:val="21"/>
                <w:lang w:val="zh-TW" w:eastAsia="zh-TW"/>
              </w:rPr>
            </w:pPr>
            <w:r>
              <w:rPr>
                <w:rFonts w:hint="eastAsia" w:ascii="宋体" w:hAnsi="宋体" w:cs="宋体"/>
                <w:color w:val="auto"/>
                <w:szCs w:val="21"/>
              </w:rPr>
              <w:t>标识牌、框</w:t>
            </w:r>
          </w:p>
        </w:tc>
        <w:tc>
          <w:tcPr>
            <w:tcW w:w="1552" w:type="dxa"/>
            <w:tcBorders>
              <w:top w:val="single" w:color="auto" w:sz="4" w:space="0"/>
              <w:left w:val="single" w:color="auto" w:sz="4" w:space="0"/>
              <w:bottom w:val="single" w:color="auto" w:sz="4" w:space="0"/>
            </w:tcBorders>
            <w:shd w:val="clear" w:color="auto" w:fill="FFFFFF"/>
            <w:vAlign w:val="center"/>
          </w:tcPr>
          <w:p w14:paraId="20A232F9">
            <w:pPr>
              <w:jc w:val="center"/>
              <w:rPr>
                <w:rFonts w:ascii="宋体" w:hAnsi="宋体" w:cs="宋体"/>
                <w:color w:val="auto"/>
                <w:szCs w:val="21"/>
                <w:lang w:val="zh-TW" w:eastAsia="zh-TW"/>
              </w:rPr>
            </w:pPr>
            <w:r>
              <w:rPr>
                <w:rFonts w:hint="eastAsia" w:ascii="宋体" w:hAnsi="宋体" w:cs="宋体"/>
                <w:color w:val="auto"/>
                <w:szCs w:val="21"/>
              </w:rPr>
              <w:t>无灰尘、无损坏、无 脱落</w:t>
            </w:r>
          </w:p>
        </w:tc>
        <w:tc>
          <w:tcPr>
            <w:tcW w:w="2554" w:type="dxa"/>
            <w:tcBorders>
              <w:top w:val="single" w:color="auto" w:sz="4" w:space="0"/>
              <w:left w:val="single" w:color="auto" w:sz="4" w:space="0"/>
              <w:bottom w:val="single" w:color="auto" w:sz="4" w:space="0"/>
            </w:tcBorders>
            <w:shd w:val="clear" w:color="auto" w:fill="FFFFFF"/>
            <w:vAlign w:val="center"/>
          </w:tcPr>
          <w:p w14:paraId="2792A4AC">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49A1E22B">
            <w:pPr>
              <w:jc w:val="center"/>
              <w:rPr>
                <w:rFonts w:ascii="宋体" w:hAnsi="宋体" w:cs="宋体"/>
                <w:color w:val="auto"/>
                <w:szCs w:val="21"/>
              </w:rPr>
            </w:pPr>
          </w:p>
        </w:tc>
      </w:tr>
      <w:tr w14:paraId="6CD003F1">
        <w:tblPrEx>
          <w:tblCellMar>
            <w:top w:w="0" w:type="dxa"/>
            <w:left w:w="10" w:type="dxa"/>
            <w:bottom w:w="0" w:type="dxa"/>
            <w:right w:w="10" w:type="dxa"/>
          </w:tblCellMar>
        </w:tblPrEx>
        <w:trPr>
          <w:trHeight w:val="848"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547710C5">
            <w:pPr>
              <w:jc w:val="center"/>
              <w:rPr>
                <w:rFonts w:ascii="宋体" w:hAnsi="宋体" w:cs="宋体"/>
                <w:color w:val="auto"/>
                <w:szCs w:val="21"/>
                <w:lang w:val="zh-TW" w:eastAsia="zh-TW"/>
              </w:rPr>
            </w:pPr>
            <w:r>
              <w:rPr>
                <w:rFonts w:hint="eastAsia" w:ascii="宋体" w:hAnsi="宋体" w:cs="宋体"/>
                <w:color w:val="auto"/>
                <w:szCs w:val="21"/>
              </w:rPr>
              <w:t>走廊医用扶 手</w:t>
            </w:r>
          </w:p>
        </w:tc>
        <w:tc>
          <w:tcPr>
            <w:tcW w:w="1552" w:type="dxa"/>
            <w:tcBorders>
              <w:top w:val="single" w:color="auto" w:sz="4" w:space="0"/>
              <w:left w:val="single" w:color="auto" w:sz="4" w:space="0"/>
              <w:bottom w:val="single" w:color="auto" w:sz="4" w:space="0"/>
            </w:tcBorders>
            <w:shd w:val="clear" w:color="auto" w:fill="FFFFFF"/>
            <w:vAlign w:val="center"/>
          </w:tcPr>
          <w:p w14:paraId="1D8CB3FC">
            <w:pPr>
              <w:jc w:val="center"/>
              <w:rPr>
                <w:rFonts w:ascii="宋体" w:hAnsi="宋体" w:cs="宋体"/>
                <w:color w:val="auto"/>
                <w:szCs w:val="21"/>
                <w:lang w:val="zh-TW" w:eastAsia="zh-TW"/>
              </w:rPr>
            </w:pPr>
            <w:r>
              <w:rPr>
                <w:rFonts w:hint="eastAsia" w:ascii="宋体" w:hAnsi="宋体" w:cs="宋体"/>
                <w:color w:val="auto"/>
                <w:szCs w:val="21"/>
              </w:rPr>
              <w:t>无灰尘、损坏、污迹</w:t>
            </w:r>
          </w:p>
        </w:tc>
        <w:tc>
          <w:tcPr>
            <w:tcW w:w="2554" w:type="dxa"/>
            <w:tcBorders>
              <w:top w:val="single" w:color="auto" w:sz="4" w:space="0"/>
              <w:left w:val="single" w:color="auto" w:sz="4" w:space="0"/>
              <w:bottom w:val="single" w:color="auto" w:sz="4" w:space="0"/>
            </w:tcBorders>
            <w:shd w:val="clear" w:color="auto" w:fill="FFFFFF"/>
            <w:vAlign w:val="center"/>
          </w:tcPr>
          <w:p w14:paraId="23D9AE5E">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5AE889F6">
            <w:pPr>
              <w:jc w:val="center"/>
              <w:rPr>
                <w:rFonts w:ascii="宋体" w:hAnsi="宋体" w:cs="宋体"/>
                <w:color w:val="auto"/>
                <w:szCs w:val="21"/>
              </w:rPr>
            </w:pPr>
          </w:p>
        </w:tc>
      </w:tr>
      <w:tr w14:paraId="0001E946">
        <w:tblPrEx>
          <w:tblCellMar>
            <w:top w:w="0" w:type="dxa"/>
            <w:left w:w="10" w:type="dxa"/>
            <w:bottom w:w="0" w:type="dxa"/>
            <w:right w:w="10" w:type="dxa"/>
          </w:tblCellMar>
        </w:tblPrEx>
        <w:trPr>
          <w:trHeight w:val="1778"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74B49C07">
            <w:pPr>
              <w:jc w:val="center"/>
              <w:rPr>
                <w:rFonts w:ascii="宋体" w:hAnsi="宋体" w:cs="宋体"/>
                <w:color w:val="auto"/>
                <w:szCs w:val="21"/>
                <w:lang w:val="zh-TW" w:eastAsia="zh-TW"/>
              </w:rPr>
            </w:pPr>
            <w:r>
              <w:rPr>
                <w:rFonts w:hint="eastAsia" w:ascii="宋体" w:hAnsi="宋体" w:cs="宋体"/>
                <w:color w:val="auto"/>
                <w:szCs w:val="21"/>
              </w:rPr>
              <w:t>走廊两侧墙 壁</w:t>
            </w:r>
          </w:p>
        </w:tc>
        <w:tc>
          <w:tcPr>
            <w:tcW w:w="1552" w:type="dxa"/>
            <w:tcBorders>
              <w:top w:val="single" w:color="auto" w:sz="4" w:space="0"/>
              <w:left w:val="single" w:color="auto" w:sz="4" w:space="0"/>
              <w:bottom w:val="single" w:color="auto" w:sz="4" w:space="0"/>
            </w:tcBorders>
            <w:shd w:val="clear" w:color="auto" w:fill="FFFFFF"/>
            <w:vAlign w:val="center"/>
          </w:tcPr>
          <w:p w14:paraId="7774EA26">
            <w:pPr>
              <w:jc w:val="center"/>
              <w:rPr>
                <w:rFonts w:ascii="宋体" w:hAnsi="宋体" w:cs="宋体"/>
                <w:color w:val="auto"/>
                <w:szCs w:val="21"/>
                <w:lang w:val="zh-TW" w:eastAsia="zh-TW"/>
              </w:rPr>
            </w:pPr>
            <w:r>
              <w:rPr>
                <w:rFonts w:hint="eastAsia" w:ascii="宋体" w:hAnsi="宋体" w:cs="宋体"/>
                <w:color w:val="auto"/>
                <w:szCs w:val="21"/>
              </w:rPr>
              <w:t>无灰尘、污迹、脱落</w:t>
            </w:r>
          </w:p>
        </w:tc>
        <w:tc>
          <w:tcPr>
            <w:tcW w:w="2554" w:type="dxa"/>
            <w:tcBorders>
              <w:top w:val="single" w:color="auto" w:sz="4" w:space="0"/>
              <w:left w:val="single" w:color="auto" w:sz="4" w:space="0"/>
              <w:bottom w:val="single" w:color="auto" w:sz="4" w:space="0"/>
            </w:tcBorders>
            <w:shd w:val="clear" w:color="auto" w:fill="FFFFFF"/>
            <w:vAlign w:val="center"/>
          </w:tcPr>
          <w:p w14:paraId="7C2FC3BD">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3934E91D">
            <w:pPr>
              <w:jc w:val="center"/>
              <w:rPr>
                <w:rFonts w:ascii="宋体" w:hAnsi="宋体" w:cs="宋体"/>
                <w:color w:val="auto"/>
                <w:szCs w:val="21"/>
                <w:lang w:val="zh-TW" w:eastAsia="zh-TW"/>
              </w:rPr>
            </w:pPr>
            <w:r>
              <w:rPr>
                <w:rFonts w:hint="eastAsia" w:ascii="宋体" w:hAnsi="宋体" w:cs="宋体"/>
                <w:color w:val="auto"/>
                <w:szCs w:val="21"/>
              </w:rPr>
              <w:t>勿忽略踢脚板的卫生，不可将墙 壁擦花</w:t>
            </w:r>
          </w:p>
        </w:tc>
      </w:tr>
      <w:tr w14:paraId="5E071543">
        <w:tblPrEx>
          <w:tblCellMar>
            <w:top w:w="0" w:type="dxa"/>
            <w:left w:w="10" w:type="dxa"/>
            <w:bottom w:w="0" w:type="dxa"/>
            <w:right w:w="10" w:type="dxa"/>
          </w:tblCellMar>
        </w:tblPrEx>
        <w:trPr>
          <w:trHeight w:val="119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4640A0F4">
            <w:pPr>
              <w:jc w:val="center"/>
              <w:rPr>
                <w:rFonts w:ascii="宋体" w:hAnsi="宋体" w:cs="宋体"/>
                <w:color w:val="auto"/>
                <w:szCs w:val="21"/>
                <w:lang w:val="zh-TW" w:eastAsia="zh-TW"/>
              </w:rPr>
            </w:pPr>
            <w:r>
              <w:rPr>
                <w:rFonts w:hint="eastAsia" w:ascii="宋体" w:hAnsi="宋体" w:cs="宋体"/>
                <w:color w:val="auto"/>
                <w:szCs w:val="21"/>
              </w:rPr>
              <w:t>立式烟缸</w:t>
            </w:r>
          </w:p>
        </w:tc>
        <w:tc>
          <w:tcPr>
            <w:tcW w:w="1552" w:type="dxa"/>
            <w:tcBorders>
              <w:top w:val="single" w:color="auto" w:sz="4" w:space="0"/>
              <w:left w:val="single" w:color="auto" w:sz="4" w:space="0"/>
              <w:bottom w:val="single" w:color="auto" w:sz="4" w:space="0"/>
            </w:tcBorders>
            <w:shd w:val="clear" w:color="auto" w:fill="FFFFFF"/>
            <w:vAlign w:val="center"/>
          </w:tcPr>
          <w:p w14:paraId="190994D3">
            <w:pPr>
              <w:jc w:val="center"/>
              <w:rPr>
                <w:rFonts w:ascii="宋体" w:hAnsi="宋体" w:cs="宋体"/>
                <w:color w:val="auto"/>
                <w:szCs w:val="21"/>
                <w:lang w:val="zh-TW" w:eastAsia="zh-TW"/>
              </w:rPr>
            </w:pPr>
            <w:r>
              <w:rPr>
                <w:rFonts w:hint="eastAsia" w:ascii="宋体" w:hAnsi="宋体" w:cs="宋体"/>
                <w:color w:val="auto"/>
                <w:szCs w:val="21"/>
              </w:rPr>
              <w:t>干净，无烟头、烟灰、 痰迹、垃圾</w:t>
            </w:r>
          </w:p>
        </w:tc>
        <w:tc>
          <w:tcPr>
            <w:tcW w:w="2554" w:type="dxa"/>
            <w:tcBorders>
              <w:top w:val="single" w:color="auto" w:sz="4" w:space="0"/>
              <w:left w:val="single" w:color="auto" w:sz="4" w:space="0"/>
              <w:bottom w:val="single" w:color="auto" w:sz="4" w:space="0"/>
            </w:tcBorders>
            <w:shd w:val="clear" w:color="auto" w:fill="FFFFFF"/>
            <w:vAlign w:val="center"/>
          </w:tcPr>
          <w:p w14:paraId="2C4F4182">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5451AECA">
            <w:pPr>
              <w:jc w:val="center"/>
              <w:rPr>
                <w:rFonts w:ascii="宋体" w:hAnsi="宋体" w:cs="宋体"/>
                <w:color w:val="auto"/>
                <w:szCs w:val="21"/>
                <w:lang w:val="zh-TW" w:eastAsia="zh-TW"/>
              </w:rPr>
            </w:pPr>
            <w:r>
              <w:rPr>
                <w:rFonts w:hint="eastAsia" w:ascii="宋体" w:hAnsi="宋体" w:cs="宋体"/>
                <w:color w:val="auto"/>
                <w:szCs w:val="21"/>
              </w:rPr>
              <w:t>定期清洗，更换砂子</w:t>
            </w:r>
          </w:p>
        </w:tc>
      </w:tr>
      <w:tr w14:paraId="34D76B24">
        <w:tblPrEx>
          <w:tblCellMar>
            <w:top w:w="0" w:type="dxa"/>
            <w:left w:w="10" w:type="dxa"/>
            <w:bottom w:w="0" w:type="dxa"/>
            <w:right w:w="10" w:type="dxa"/>
          </w:tblCellMar>
        </w:tblPrEx>
        <w:trPr>
          <w:trHeight w:val="1478"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5D59FC8C">
            <w:pPr>
              <w:jc w:val="center"/>
              <w:rPr>
                <w:rFonts w:ascii="宋体" w:hAnsi="宋体" w:cs="宋体"/>
                <w:color w:val="auto"/>
                <w:szCs w:val="21"/>
                <w:lang w:val="zh-TW" w:eastAsia="zh-TW"/>
              </w:rPr>
            </w:pPr>
            <w:r>
              <w:rPr>
                <w:rFonts w:hint="eastAsia" w:ascii="宋体" w:hAnsi="宋体" w:cs="宋体"/>
                <w:color w:val="auto"/>
                <w:szCs w:val="21"/>
              </w:rPr>
              <w:t>电子触摸屏</w:t>
            </w:r>
          </w:p>
        </w:tc>
        <w:tc>
          <w:tcPr>
            <w:tcW w:w="1552" w:type="dxa"/>
            <w:tcBorders>
              <w:top w:val="single" w:color="auto" w:sz="4" w:space="0"/>
              <w:left w:val="single" w:color="auto" w:sz="4" w:space="0"/>
              <w:bottom w:val="single" w:color="auto" w:sz="4" w:space="0"/>
            </w:tcBorders>
            <w:shd w:val="clear" w:color="auto" w:fill="FFFFFF"/>
            <w:vAlign w:val="center"/>
          </w:tcPr>
          <w:p w14:paraId="493A0E90">
            <w:pPr>
              <w:jc w:val="center"/>
              <w:rPr>
                <w:rFonts w:ascii="宋体" w:hAnsi="宋体" w:cs="宋体"/>
                <w:color w:val="auto"/>
                <w:szCs w:val="21"/>
                <w:lang w:val="zh-TW" w:eastAsia="zh-TW"/>
              </w:rPr>
            </w:pPr>
            <w:r>
              <w:rPr>
                <w:rFonts w:hint="eastAsia" w:ascii="宋体" w:hAnsi="宋体" w:cs="宋体"/>
                <w:color w:val="auto"/>
                <w:szCs w:val="21"/>
              </w:rPr>
              <w:t>无灰尘、污迹，完好</w:t>
            </w:r>
          </w:p>
        </w:tc>
        <w:tc>
          <w:tcPr>
            <w:tcW w:w="2554" w:type="dxa"/>
            <w:tcBorders>
              <w:top w:val="single" w:color="auto" w:sz="4" w:space="0"/>
              <w:left w:val="single" w:color="auto" w:sz="4" w:space="0"/>
              <w:bottom w:val="single" w:color="auto" w:sz="4" w:space="0"/>
            </w:tcBorders>
            <w:shd w:val="clear" w:color="auto" w:fill="FFFFFF"/>
            <w:vAlign w:val="center"/>
          </w:tcPr>
          <w:p w14:paraId="4691AEC1">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3328A3BC">
            <w:pPr>
              <w:jc w:val="center"/>
              <w:rPr>
                <w:rFonts w:ascii="宋体" w:hAnsi="宋体" w:cs="宋体"/>
                <w:color w:val="auto"/>
                <w:szCs w:val="21"/>
                <w:lang w:val="zh-TW" w:eastAsia="zh-TW"/>
              </w:rPr>
            </w:pPr>
            <w:r>
              <w:rPr>
                <w:rFonts w:hint="eastAsia" w:ascii="宋体" w:hAnsi="宋体" w:cs="宋体"/>
                <w:color w:val="auto"/>
                <w:szCs w:val="21"/>
              </w:rPr>
              <w:t>不可沾水</w:t>
            </w:r>
          </w:p>
        </w:tc>
      </w:tr>
      <w:tr w14:paraId="53303AE5">
        <w:tblPrEx>
          <w:tblCellMar>
            <w:top w:w="0" w:type="dxa"/>
            <w:left w:w="10" w:type="dxa"/>
            <w:bottom w:w="0" w:type="dxa"/>
            <w:right w:w="10" w:type="dxa"/>
          </w:tblCellMar>
        </w:tblPrEx>
        <w:trPr>
          <w:trHeight w:val="1483" w:hRule="exact"/>
          <w:jc w:val="center"/>
        </w:trPr>
        <w:tc>
          <w:tcPr>
            <w:tcW w:w="950" w:type="dxa"/>
            <w:tcBorders>
              <w:top w:val="single" w:color="auto" w:sz="4" w:space="0"/>
              <w:left w:val="single" w:color="auto" w:sz="4" w:space="0"/>
              <w:bottom w:val="single" w:color="auto" w:sz="4" w:space="0"/>
            </w:tcBorders>
            <w:shd w:val="clear" w:color="auto" w:fill="FFFFFF"/>
            <w:vAlign w:val="center"/>
          </w:tcPr>
          <w:p w14:paraId="68349F36">
            <w:pPr>
              <w:jc w:val="center"/>
              <w:rPr>
                <w:rFonts w:ascii="宋体" w:hAnsi="宋体" w:cs="宋体"/>
                <w:color w:val="auto"/>
                <w:szCs w:val="21"/>
                <w:lang w:val="zh-TW" w:eastAsia="zh-TW"/>
              </w:rPr>
            </w:pPr>
            <w:r>
              <w:rPr>
                <w:rFonts w:hint="eastAsia" w:ascii="宋体" w:hAnsi="宋体" w:cs="宋体"/>
                <w:color w:val="auto"/>
                <w:szCs w:val="21"/>
              </w:rPr>
              <w:t>大厅所有玻 璃面</w:t>
            </w:r>
          </w:p>
        </w:tc>
        <w:tc>
          <w:tcPr>
            <w:tcW w:w="1552" w:type="dxa"/>
            <w:tcBorders>
              <w:top w:val="single" w:color="auto" w:sz="4" w:space="0"/>
              <w:left w:val="single" w:color="auto" w:sz="4" w:space="0"/>
              <w:bottom w:val="single" w:color="auto" w:sz="4" w:space="0"/>
            </w:tcBorders>
            <w:shd w:val="clear" w:color="auto" w:fill="FFFFFF"/>
            <w:vAlign w:val="center"/>
          </w:tcPr>
          <w:p w14:paraId="44795557">
            <w:pPr>
              <w:jc w:val="center"/>
              <w:rPr>
                <w:rFonts w:ascii="宋体" w:hAnsi="宋体" w:cs="宋体"/>
                <w:color w:val="auto"/>
                <w:szCs w:val="21"/>
                <w:lang w:val="zh-TW" w:eastAsia="zh-TW"/>
              </w:rPr>
            </w:pPr>
            <w:r>
              <w:rPr>
                <w:rFonts w:hint="eastAsia" w:ascii="宋体" w:hAnsi="宋体" w:cs="宋体"/>
                <w:color w:val="auto"/>
                <w:szCs w:val="21"/>
              </w:rPr>
              <w:t>无灰尘、污迹，洁净 明亮</w:t>
            </w:r>
          </w:p>
        </w:tc>
        <w:tc>
          <w:tcPr>
            <w:tcW w:w="2554" w:type="dxa"/>
            <w:tcBorders>
              <w:top w:val="single" w:color="auto" w:sz="4" w:space="0"/>
              <w:left w:val="single" w:color="auto" w:sz="4" w:space="0"/>
              <w:bottom w:val="single" w:color="auto" w:sz="4" w:space="0"/>
            </w:tcBorders>
            <w:shd w:val="clear" w:color="auto" w:fill="FFFFFF"/>
            <w:vAlign w:val="center"/>
          </w:tcPr>
          <w:p w14:paraId="64DF156F">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3132" w:type="dxa"/>
            <w:tcBorders>
              <w:top w:val="single" w:color="auto" w:sz="4" w:space="0"/>
              <w:left w:val="single" w:color="auto" w:sz="4" w:space="0"/>
              <w:bottom w:val="single" w:color="auto" w:sz="4" w:space="0"/>
              <w:right w:val="single" w:color="auto" w:sz="4" w:space="0"/>
            </w:tcBorders>
            <w:shd w:val="clear" w:color="auto" w:fill="FFFFFF"/>
            <w:vAlign w:val="center"/>
          </w:tcPr>
          <w:p w14:paraId="2CE068E0">
            <w:pPr>
              <w:jc w:val="center"/>
              <w:rPr>
                <w:rFonts w:ascii="宋体" w:hAnsi="宋体" w:cs="宋体"/>
                <w:color w:val="auto"/>
                <w:szCs w:val="21"/>
                <w:lang w:val="zh-TW" w:eastAsia="zh-TW"/>
              </w:rPr>
            </w:pPr>
            <w:r>
              <w:rPr>
                <w:rFonts w:hint="eastAsia" w:ascii="宋体" w:hAnsi="宋体" w:cs="宋体"/>
                <w:color w:val="auto"/>
                <w:szCs w:val="21"/>
              </w:rPr>
              <w:t>污水不可滴漏</w:t>
            </w:r>
          </w:p>
        </w:tc>
      </w:tr>
    </w:tbl>
    <w:p w14:paraId="56CAB20D">
      <w:pPr>
        <w:snapToGrid w:val="0"/>
        <w:spacing w:line="360" w:lineRule="auto"/>
        <w:ind w:right="315"/>
        <w:rPr>
          <w:rFonts w:ascii="宋体" w:hAnsi="宋体"/>
          <w:color w:val="auto"/>
          <w:szCs w:val="21"/>
        </w:rPr>
      </w:pPr>
    </w:p>
    <w:p w14:paraId="541E8243">
      <w:pPr>
        <w:ind w:firstLine="422" w:firstLineChars="200"/>
        <w:rPr>
          <w:rFonts w:ascii="宋体" w:hAnsi="宋体" w:cs="宋体"/>
          <w:color w:val="auto"/>
          <w:szCs w:val="21"/>
        </w:rPr>
      </w:pPr>
      <w:r>
        <w:rPr>
          <w:rFonts w:hint="eastAsia" w:ascii="宋体" w:hAnsi="宋体" w:cs="宋体"/>
          <w:b/>
          <w:bCs/>
          <w:color w:val="auto"/>
          <w:szCs w:val="21"/>
        </w:rPr>
        <w:t>5、电梯（客梯、货梯、扶梯）日常保洁项目要求</w:t>
      </w:r>
    </w:p>
    <w:p w14:paraId="384CBCAD">
      <w:pPr>
        <w:snapToGrid w:val="0"/>
        <w:spacing w:line="360" w:lineRule="auto"/>
        <w:ind w:right="315"/>
        <w:rPr>
          <w:rFonts w:ascii="宋体" w:hAnsi="宋体"/>
          <w:color w:val="auto"/>
          <w:szCs w:val="21"/>
        </w:rPr>
      </w:pPr>
    </w:p>
    <w:tbl>
      <w:tblPr>
        <w:tblStyle w:val="47"/>
        <w:tblW w:w="0" w:type="auto"/>
        <w:jc w:val="center"/>
        <w:tblLayout w:type="fixed"/>
        <w:tblCellMar>
          <w:top w:w="0" w:type="dxa"/>
          <w:left w:w="10" w:type="dxa"/>
          <w:bottom w:w="0" w:type="dxa"/>
          <w:right w:w="10" w:type="dxa"/>
        </w:tblCellMar>
      </w:tblPr>
      <w:tblGrid>
        <w:gridCol w:w="969"/>
        <w:gridCol w:w="2131"/>
        <w:gridCol w:w="2254"/>
        <w:gridCol w:w="2992"/>
      </w:tblGrid>
      <w:tr w14:paraId="382B442F">
        <w:tblPrEx>
          <w:tblCellMar>
            <w:top w:w="0" w:type="dxa"/>
            <w:left w:w="10" w:type="dxa"/>
            <w:bottom w:w="0" w:type="dxa"/>
            <w:right w:w="10" w:type="dxa"/>
          </w:tblCellMar>
        </w:tblPrEx>
        <w:trPr>
          <w:trHeight w:val="644" w:hRule="exact"/>
          <w:jc w:val="center"/>
        </w:trPr>
        <w:tc>
          <w:tcPr>
            <w:tcW w:w="969" w:type="dxa"/>
            <w:tcBorders>
              <w:top w:val="single" w:color="auto" w:sz="4" w:space="0"/>
              <w:left w:val="single" w:color="auto" w:sz="4" w:space="0"/>
            </w:tcBorders>
            <w:shd w:val="clear" w:color="auto" w:fill="FFFFFF"/>
            <w:vAlign w:val="center"/>
          </w:tcPr>
          <w:p w14:paraId="67902867">
            <w:pPr>
              <w:jc w:val="center"/>
              <w:rPr>
                <w:rFonts w:ascii="宋体" w:hAnsi="宋体" w:cs="宋体"/>
                <w:b/>
                <w:bCs/>
                <w:color w:val="auto"/>
                <w:szCs w:val="21"/>
              </w:rPr>
            </w:pPr>
            <w:r>
              <w:rPr>
                <w:rFonts w:hint="eastAsia" w:ascii="宋体" w:hAnsi="宋体" w:cs="宋体"/>
                <w:b/>
                <w:bCs/>
                <w:color w:val="auto"/>
                <w:szCs w:val="21"/>
              </w:rPr>
              <w:t>项目</w:t>
            </w:r>
          </w:p>
        </w:tc>
        <w:tc>
          <w:tcPr>
            <w:tcW w:w="2131" w:type="dxa"/>
            <w:tcBorders>
              <w:top w:val="single" w:color="auto" w:sz="4" w:space="0"/>
              <w:left w:val="single" w:color="auto" w:sz="4" w:space="0"/>
            </w:tcBorders>
            <w:shd w:val="clear" w:color="auto" w:fill="FFFFFF"/>
            <w:vAlign w:val="center"/>
          </w:tcPr>
          <w:p w14:paraId="6992A5EA">
            <w:pPr>
              <w:jc w:val="center"/>
              <w:rPr>
                <w:rFonts w:ascii="宋体" w:hAnsi="宋体" w:cs="宋体"/>
                <w:b/>
                <w:bCs/>
                <w:color w:val="auto"/>
                <w:szCs w:val="21"/>
              </w:rPr>
            </w:pPr>
            <w:r>
              <w:rPr>
                <w:rFonts w:hint="eastAsia" w:ascii="宋体" w:hAnsi="宋体" w:cs="宋体"/>
                <w:b/>
                <w:bCs/>
                <w:color w:val="auto"/>
                <w:szCs w:val="21"/>
              </w:rPr>
              <w:t>标准（质量要求）</w:t>
            </w:r>
          </w:p>
        </w:tc>
        <w:tc>
          <w:tcPr>
            <w:tcW w:w="2254" w:type="dxa"/>
            <w:tcBorders>
              <w:top w:val="single" w:color="auto" w:sz="4" w:space="0"/>
              <w:left w:val="single" w:color="auto" w:sz="4" w:space="0"/>
            </w:tcBorders>
            <w:shd w:val="clear" w:color="auto" w:fill="FFFFFF"/>
            <w:vAlign w:val="center"/>
          </w:tcPr>
          <w:p w14:paraId="79EAE62D">
            <w:pPr>
              <w:jc w:val="center"/>
              <w:rPr>
                <w:rFonts w:ascii="宋体" w:hAnsi="宋体" w:cs="宋体"/>
                <w:b/>
                <w:bCs/>
                <w:color w:val="auto"/>
                <w:szCs w:val="21"/>
              </w:rPr>
            </w:pPr>
            <w:r>
              <w:rPr>
                <w:rFonts w:hint="eastAsia" w:ascii="宋体" w:hAnsi="宋体" w:cs="宋体"/>
                <w:b/>
                <w:bCs/>
                <w:color w:val="auto"/>
                <w:szCs w:val="21"/>
              </w:rPr>
              <w:t>频次</w:t>
            </w:r>
          </w:p>
        </w:tc>
        <w:tc>
          <w:tcPr>
            <w:tcW w:w="2992" w:type="dxa"/>
            <w:tcBorders>
              <w:top w:val="single" w:color="auto" w:sz="4" w:space="0"/>
              <w:left w:val="single" w:color="auto" w:sz="4" w:space="0"/>
              <w:right w:val="single" w:color="auto" w:sz="4" w:space="0"/>
            </w:tcBorders>
            <w:shd w:val="clear" w:color="auto" w:fill="FFFFFF"/>
            <w:vAlign w:val="center"/>
          </w:tcPr>
          <w:p w14:paraId="38EC803B">
            <w:pPr>
              <w:jc w:val="center"/>
              <w:rPr>
                <w:rFonts w:ascii="宋体" w:hAnsi="宋体" w:cs="宋体"/>
                <w:b/>
                <w:bCs/>
                <w:color w:val="auto"/>
                <w:szCs w:val="21"/>
              </w:rPr>
            </w:pPr>
            <w:r>
              <w:rPr>
                <w:rFonts w:hint="eastAsia" w:ascii="宋体" w:hAnsi="宋体" w:cs="宋体"/>
                <w:b/>
                <w:bCs/>
                <w:color w:val="auto"/>
                <w:szCs w:val="21"/>
              </w:rPr>
              <w:t>注意事项</w:t>
            </w:r>
          </w:p>
        </w:tc>
      </w:tr>
      <w:tr w14:paraId="4FD1D767">
        <w:tblPrEx>
          <w:tblCellMar>
            <w:top w:w="0" w:type="dxa"/>
            <w:left w:w="10" w:type="dxa"/>
            <w:bottom w:w="0" w:type="dxa"/>
            <w:right w:w="10" w:type="dxa"/>
          </w:tblCellMar>
        </w:tblPrEx>
        <w:trPr>
          <w:trHeight w:val="634" w:hRule="exact"/>
          <w:jc w:val="center"/>
        </w:trPr>
        <w:tc>
          <w:tcPr>
            <w:tcW w:w="969" w:type="dxa"/>
            <w:tcBorders>
              <w:top w:val="single" w:color="auto" w:sz="4" w:space="0"/>
              <w:left w:val="single" w:color="auto" w:sz="4" w:space="0"/>
            </w:tcBorders>
            <w:shd w:val="clear" w:color="auto" w:fill="FFFFFF"/>
            <w:vAlign w:val="center"/>
          </w:tcPr>
          <w:p w14:paraId="68025AF6">
            <w:pPr>
              <w:jc w:val="center"/>
              <w:rPr>
                <w:rFonts w:ascii="宋体" w:hAnsi="宋体" w:cs="宋体"/>
                <w:color w:val="auto"/>
                <w:szCs w:val="21"/>
              </w:rPr>
            </w:pPr>
            <w:r>
              <w:rPr>
                <w:rFonts w:hint="eastAsia" w:ascii="宋体" w:hAnsi="宋体" w:cs="宋体"/>
                <w:color w:val="auto"/>
                <w:szCs w:val="21"/>
              </w:rPr>
              <w:t>内板壁（金属 面板）</w:t>
            </w:r>
          </w:p>
        </w:tc>
        <w:tc>
          <w:tcPr>
            <w:tcW w:w="2131" w:type="dxa"/>
            <w:tcBorders>
              <w:top w:val="single" w:color="auto" w:sz="4" w:space="0"/>
              <w:left w:val="single" w:color="auto" w:sz="4" w:space="0"/>
            </w:tcBorders>
            <w:shd w:val="clear" w:color="auto" w:fill="FFFFFF"/>
            <w:vAlign w:val="center"/>
          </w:tcPr>
          <w:p w14:paraId="10B6C45D">
            <w:pPr>
              <w:jc w:val="center"/>
              <w:rPr>
                <w:rFonts w:ascii="宋体" w:hAnsi="宋体" w:cs="宋体"/>
                <w:color w:val="auto"/>
                <w:szCs w:val="21"/>
              </w:rPr>
            </w:pPr>
            <w:r>
              <w:rPr>
                <w:rFonts w:hint="eastAsia" w:ascii="宋体" w:hAnsi="宋体" w:cs="宋体"/>
                <w:color w:val="auto"/>
                <w:szCs w:val="21"/>
              </w:rPr>
              <w:t>无灰尘、斑迹、手印， 干净、光亮</w:t>
            </w:r>
          </w:p>
        </w:tc>
        <w:tc>
          <w:tcPr>
            <w:tcW w:w="2254" w:type="dxa"/>
            <w:tcBorders>
              <w:top w:val="single" w:color="auto" w:sz="4" w:space="0"/>
              <w:left w:val="single" w:color="auto" w:sz="4" w:space="0"/>
            </w:tcBorders>
            <w:shd w:val="clear" w:color="auto" w:fill="FFFFFF"/>
            <w:vAlign w:val="center"/>
          </w:tcPr>
          <w:p w14:paraId="371D2998">
            <w:pPr>
              <w:jc w:val="center"/>
              <w:rPr>
                <w:rFonts w:ascii="宋体" w:hAnsi="宋体" w:cs="宋体"/>
                <w:color w:val="auto"/>
                <w:szCs w:val="21"/>
              </w:rPr>
            </w:pPr>
            <w:r>
              <w:rPr>
                <w:rFonts w:hint="eastAsia" w:ascii="宋体" w:hAnsi="宋体" w:cs="宋体"/>
                <w:color w:val="auto"/>
                <w:szCs w:val="21"/>
              </w:rPr>
              <w:t>每天一次</w:t>
            </w:r>
          </w:p>
        </w:tc>
        <w:tc>
          <w:tcPr>
            <w:tcW w:w="2992" w:type="dxa"/>
            <w:tcBorders>
              <w:top w:val="single" w:color="auto" w:sz="4" w:space="0"/>
              <w:left w:val="single" w:color="auto" w:sz="4" w:space="0"/>
              <w:right w:val="single" w:color="auto" w:sz="4" w:space="0"/>
            </w:tcBorders>
            <w:shd w:val="clear" w:color="auto" w:fill="FFFFFF"/>
            <w:vAlign w:val="center"/>
          </w:tcPr>
          <w:p w14:paraId="592A7A7B">
            <w:pPr>
              <w:jc w:val="center"/>
              <w:rPr>
                <w:rFonts w:ascii="宋体" w:hAnsi="宋体" w:cs="宋体"/>
                <w:color w:val="auto"/>
                <w:szCs w:val="21"/>
              </w:rPr>
            </w:pPr>
          </w:p>
        </w:tc>
      </w:tr>
      <w:tr w14:paraId="158B8CD4">
        <w:tblPrEx>
          <w:tblCellMar>
            <w:top w:w="0" w:type="dxa"/>
            <w:left w:w="10" w:type="dxa"/>
            <w:bottom w:w="0" w:type="dxa"/>
            <w:right w:w="10" w:type="dxa"/>
          </w:tblCellMar>
        </w:tblPrEx>
        <w:trPr>
          <w:trHeight w:val="1084" w:hRule="exact"/>
          <w:jc w:val="center"/>
        </w:trPr>
        <w:tc>
          <w:tcPr>
            <w:tcW w:w="969" w:type="dxa"/>
            <w:tcBorders>
              <w:top w:val="single" w:color="auto" w:sz="4" w:space="0"/>
              <w:left w:val="single" w:color="auto" w:sz="4" w:space="0"/>
            </w:tcBorders>
            <w:shd w:val="clear" w:color="auto" w:fill="FFFFFF"/>
            <w:vAlign w:val="center"/>
          </w:tcPr>
          <w:p w14:paraId="2F5A9D9F">
            <w:pPr>
              <w:jc w:val="center"/>
              <w:rPr>
                <w:rFonts w:ascii="宋体" w:hAnsi="宋体" w:cs="宋体"/>
                <w:color w:val="auto"/>
                <w:szCs w:val="21"/>
              </w:rPr>
            </w:pPr>
            <w:r>
              <w:rPr>
                <w:rFonts w:hint="eastAsia" w:ascii="宋体" w:hAnsi="宋体" w:cs="宋体"/>
                <w:color w:val="auto"/>
                <w:szCs w:val="21"/>
              </w:rPr>
              <w:t>地面</w:t>
            </w:r>
          </w:p>
        </w:tc>
        <w:tc>
          <w:tcPr>
            <w:tcW w:w="2131" w:type="dxa"/>
            <w:tcBorders>
              <w:top w:val="single" w:color="auto" w:sz="4" w:space="0"/>
              <w:left w:val="single" w:color="auto" w:sz="4" w:space="0"/>
            </w:tcBorders>
            <w:shd w:val="clear" w:color="auto" w:fill="FFFFFF"/>
            <w:vAlign w:val="center"/>
          </w:tcPr>
          <w:p w14:paraId="0322EECD">
            <w:pPr>
              <w:jc w:val="center"/>
              <w:rPr>
                <w:rFonts w:ascii="宋体" w:hAnsi="宋体" w:cs="宋体"/>
                <w:color w:val="auto"/>
                <w:szCs w:val="21"/>
              </w:rPr>
            </w:pPr>
            <w:r>
              <w:rPr>
                <w:rFonts w:hint="eastAsia" w:ascii="宋体" w:hAnsi="宋体" w:cs="宋体"/>
                <w:color w:val="auto"/>
                <w:szCs w:val="21"/>
              </w:rPr>
              <w:t>无灰尘、斑迹、水迹、 污物，干净</w:t>
            </w:r>
          </w:p>
        </w:tc>
        <w:tc>
          <w:tcPr>
            <w:tcW w:w="2254" w:type="dxa"/>
            <w:tcBorders>
              <w:top w:val="single" w:color="auto" w:sz="4" w:space="0"/>
              <w:left w:val="single" w:color="auto" w:sz="4" w:space="0"/>
            </w:tcBorders>
            <w:shd w:val="clear" w:color="auto" w:fill="FFFFFF"/>
            <w:vAlign w:val="center"/>
          </w:tcPr>
          <w:p w14:paraId="0CA1266F">
            <w:pPr>
              <w:jc w:val="center"/>
              <w:rPr>
                <w:rFonts w:ascii="宋体" w:hAnsi="宋体" w:cs="宋体"/>
                <w:color w:val="auto"/>
                <w:szCs w:val="21"/>
              </w:rPr>
            </w:pPr>
            <w:r>
              <w:rPr>
                <w:rFonts w:hint="eastAsia" w:ascii="宋体" w:hAnsi="宋体" w:cs="宋体"/>
                <w:color w:val="auto"/>
                <w:szCs w:val="21"/>
              </w:rPr>
              <w:t>每天二次，随脏随拖</w:t>
            </w:r>
          </w:p>
        </w:tc>
        <w:tc>
          <w:tcPr>
            <w:tcW w:w="2992" w:type="dxa"/>
            <w:tcBorders>
              <w:top w:val="single" w:color="auto" w:sz="4" w:space="0"/>
              <w:left w:val="single" w:color="auto" w:sz="4" w:space="0"/>
              <w:right w:val="single" w:color="auto" w:sz="4" w:space="0"/>
            </w:tcBorders>
            <w:shd w:val="clear" w:color="auto" w:fill="FFFFFF"/>
            <w:vAlign w:val="center"/>
          </w:tcPr>
          <w:p w14:paraId="69F6134F">
            <w:pPr>
              <w:jc w:val="center"/>
              <w:rPr>
                <w:rFonts w:ascii="宋体" w:hAnsi="宋体" w:cs="宋体"/>
                <w:color w:val="auto"/>
                <w:szCs w:val="21"/>
              </w:rPr>
            </w:pPr>
            <w:r>
              <w:rPr>
                <w:rFonts w:hint="eastAsia" w:ascii="宋体" w:hAnsi="宋体" w:cs="宋体"/>
                <w:color w:val="auto"/>
                <w:szCs w:val="21"/>
              </w:rPr>
              <w:t>中午下班前清洁一次，下午下班 前清洁一次</w:t>
            </w:r>
          </w:p>
        </w:tc>
      </w:tr>
      <w:tr w14:paraId="305C1794">
        <w:tblPrEx>
          <w:tblCellMar>
            <w:top w:w="0" w:type="dxa"/>
            <w:left w:w="10" w:type="dxa"/>
            <w:bottom w:w="0" w:type="dxa"/>
            <w:right w:w="10" w:type="dxa"/>
          </w:tblCellMar>
        </w:tblPrEx>
        <w:trPr>
          <w:trHeight w:val="855" w:hRule="exact"/>
          <w:jc w:val="center"/>
        </w:trPr>
        <w:tc>
          <w:tcPr>
            <w:tcW w:w="969" w:type="dxa"/>
            <w:tcBorders>
              <w:top w:val="single" w:color="auto" w:sz="4" w:space="0"/>
              <w:left w:val="single" w:color="auto" w:sz="4" w:space="0"/>
            </w:tcBorders>
            <w:shd w:val="clear" w:color="auto" w:fill="FFFFFF"/>
            <w:vAlign w:val="center"/>
          </w:tcPr>
          <w:p w14:paraId="0C6F3CC1">
            <w:pPr>
              <w:jc w:val="center"/>
              <w:rPr>
                <w:rFonts w:ascii="宋体" w:hAnsi="宋体" w:cs="宋体"/>
                <w:color w:val="auto"/>
                <w:szCs w:val="21"/>
              </w:rPr>
            </w:pPr>
            <w:r>
              <w:rPr>
                <w:rFonts w:hint="eastAsia" w:ascii="宋体" w:hAnsi="宋体" w:cs="宋体"/>
                <w:color w:val="auto"/>
                <w:szCs w:val="21"/>
              </w:rPr>
              <w:t>灯罩</w:t>
            </w:r>
          </w:p>
        </w:tc>
        <w:tc>
          <w:tcPr>
            <w:tcW w:w="2131" w:type="dxa"/>
            <w:tcBorders>
              <w:top w:val="single" w:color="auto" w:sz="4" w:space="0"/>
              <w:left w:val="single" w:color="auto" w:sz="4" w:space="0"/>
            </w:tcBorders>
            <w:shd w:val="clear" w:color="auto" w:fill="FFFFFF"/>
            <w:vAlign w:val="center"/>
          </w:tcPr>
          <w:p w14:paraId="77D56A0D">
            <w:pPr>
              <w:jc w:val="center"/>
              <w:rPr>
                <w:rFonts w:ascii="宋体" w:hAnsi="宋体" w:cs="宋体"/>
                <w:color w:val="auto"/>
                <w:szCs w:val="21"/>
              </w:rPr>
            </w:pPr>
            <w:r>
              <w:rPr>
                <w:rFonts w:hint="eastAsia" w:ascii="宋体" w:hAnsi="宋体" w:cs="宋体"/>
                <w:color w:val="auto"/>
                <w:szCs w:val="21"/>
              </w:rPr>
              <w:t>无灰尘、斑迹，干净</w:t>
            </w:r>
          </w:p>
        </w:tc>
        <w:tc>
          <w:tcPr>
            <w:tcW w:w="2254" w:type="dxa"/>
            <w:tcBorders>
              <w:top w:val="single" w:color="auto" w:sz="4" w:space="0"/>
              <w:left w:val="single" w:color="auto" w:sz="4" w:space="0"/>
            </w:tcBorders>
            <w:shd w:val="clear" w:color="auto" w:fill="FFFFFF"/>
            <w:vAlign w:val="center"/>
          </w:tcPr>
          <w:p w14:paraId="1336C363">
            <w:pPr>
              <w:jc w:val="center"/>
              <w:rPr>
                <w:rFonts w:ascii="宋体" w:hAnsi="宋体" w:cs="宋体"/>
                <w:color w:val="auto"/>
                <w:szCs w:val="21"/>
              </w:rPr>
            </w:pPr>
            <w:r>
              <w:rPr>
                <w:rFonts w:hint="eastAsia" w:ascii="宋体" w:hAnsi="宋体" w:cs="宋体"/>
                <w:color w:val="auto"/>
                <w:szCs w:val="21"/>
              </w:rPr>
              <w:t>每天一次</w:t>
            </w:r>
          </w:p>
        </w:tc>
        <w:tc>
          <w:tcPr>
            <w:tcW w:w="2992" w:type="dxa"/>
            <w:tcBorders>
              <w:top w:val="single" w:color="auto" w:sz="4" w:space="0"/>
              <w:left w:val="single" w:color="auto" w:sz="4" w:space="0"/>
              <w:right w:val="single" w:color="auto" w:sz="4" w:space="0"/>
            </w:tcBorders>
            <w:shd w:val="clear" w:color="auto" w:fill="FFFFFF"/>
            <w:vAlign w:val="center"/>
          </w:tcPr>
          <w:p w14:paraId="6396D5D2">
            <w:pPr>
              <w:jc w:val="center"/>
              <w:rPr>
                <w:rFonts w:ascii="宋体" w:hAnsi="宋体" w:cs="宋体"/>
                <w:color w:val="auto"/>
                <w:szCs w:val="21"/>
              </w:rPr>
            </w:pPr>
            <w:r>
              <w:rPr>
                <w:rFonts w:hint="eastAsia" w:ascii="宋体" w:hAnsi="宋体" w:cs="宋体"/>
                <w:color w:val="auto"/>
                <w:szCs w:val="21"/>
              </w:rPr>
              <w:t>喷金属光亮剂每月一次</w:t>
            </w:r>
          </w:p>
        </w:tc>
      </w:tr>
      <w:tr w14:paraId="51F1E546">
        <w:tblPrEx>
          <w:tblCellMar>
            <w:top w:w="0" w:type="dxa"/>
            <w:left w:w="10" w:type="dxa"/>
            <w:bottom w:w="0" w:type="dxa"/>
            <w:right w:w="10" w:type="dxa"/>
          </w:tblCellMar>
        </w:tblPrEx>
        <w:trPr>
          <w:trHeight w:val="626" w:hRule="exact"/>
          <w:jc w:val="center"/>
        </w:trPr>
        <w:tc>
          <w:tcPr>
            <w:tcW w:w="969" w:type="dxa"/>
            <w:tcBorders>
              <w:top w:val="single" w:color="auto" w:sz="4" w:space="0"/>
              <w:left w:val="single" w:color="auto" w:sz="4" w:space="0"/>
            </w:tcBorders>
            <w:shd w:val="clear" w:color="auto" w:fill="FFFFFF"/>
            <w:vAlign w:val="center"/>
          </w:tcPr>
          <w:p w14:paraId="63D6FADB">
            <w:pPr>
              <w:jc w:val="center"/>
              <w:rPr>
                <w:rFonts w:ascii="宋体" w:hAnsi="宋体" w:cs="宋体"/>
                <w:color w:val="auto"/>
                <w:szCs w:val="21"/>
              </w:rPr>
            </w:pPr>
            <w:r>
              <w:rPr>
                <w:rFonts w:hint="eastAsia" w:ascii="宋体" w:hAnsi="宋体" w:cs="宋体"/>
                <w:color w:val="auto"/>
                <w:szCs w:val="21"/>
              </w:rPr>
              <w:t>指示按钮</w:t>
            </w:r>
          </w:p>
        </w:tc>
        <w:tc>
          <w:tcPr>
            <w:tcW w:w="2131" w:type="dxa"/>
            <w:tcBorders>
              <w:top w:val="single" w:color="auto" w:sz="4" w:space="0"/>
              <w:left w:val="single" w:color="auto" w:sz="4" w:space="0"/>
            </w:tcBorders>
            <w:shd w:val="clear" w:color="auto" w:fill="FFFFFF"/>
            <w:vAlign w:val="center"/>
          </w:tcPr>
          <w:p w14:paraId="42C50C2B">
            <w:pPr>
              <w:jc w:val="center"/>
              <w:rPr>
                <w:rFonts w:ascii="宋体" w:hAnsi="宋体" w:cs="宋体"/>
                <w:color w:val="auto"/>
                <w:szCs w:val="21"/>
              </w:rPr>
            </w:pPr>
            <w:r>
              <w:rPr>
                <w:rFonts w:hint="eastAsia" w:ascii="宋体" w:hAnsi="宋体" w:cs="宋体"/>
                <w:color w:val="auto"/>
                <w:szCs w:val="21"/>
              </w:rPr>
              <w:t>无灰尘、污迹，清晰 无破损</w:t>
            </w:r>
          </w:p>
        </w:tc>
        <w:tc>
          <w:tcPr>
            <w:tcW w:w="2254" w:type="dxa"/>
            <w:tcBorders>
              <w:top w:val="single" w:color="auto" w:sz="4" w:space="0"/>
              <w:left w:val="single" w:color="auto" w:sz="4" w:space="0"/>
            </w:tcBorders>
            <w:shd w:val="clear" w:color="auto" w:fill="FFFFFF"/>
            <w:vAlign w:val="center"/>
          </w:tcPr>
          <w:p w14:paraId="0F34CA1C">
            <w:pPr>
              <w:jc w:val="center"/>
              <w:rPr>
                <w:rFonts w:ascii="宋体" w:hAnsi="宋体" w:cs="宋体"/>
                <w:color w:val="auto"/>
                <w:szCs w:val="21"/>
              </w:rPr>
            </w:pPr>
            <w:r>
              <w:rPr>
                <w:rFonts w:hint="eastAsia" w:ascii="宋体" w:hAnsi="宋体" w:cs="宋体"/>
                <w:color w:val="auto"/>
                <w:szCs w:val="21"/>
              </w:rPr>
              <w:t>每天一次</w:t>
            </w:r>
          </w:p>
        </w:tc>
        <w:tc>
          <w:tcPr>
            <w:tcW w:w="2992" w:type="dxa"/>
            <w:tcBorders>
              <w:top w:val="single" w:color="auto" w:sz="4" w:space="0"/>
              <w:left w:val="single" w:color="auto" w:sz="4" w:space="0"/>
              <w:right w:val="single" w:color="auto" w:sz="4" w:space="0"/>
            </w:tcBorders>
            <w:shd w:val="clear" w:color="auto" w:fill="FFFFFF"/>
            <w:vAlign w:val="center"/>
          </w:tcPr>
          <w:p w14:paraId="1A86C38C">
            <w:pPr>
              <w:jc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擦拭按钮时应在停机状态</w:t>
            </w:r>
          </w:p>
          <w:p w14:paraId="759F2910">
            <w:pPr>
              <w:jc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按钮内不可进水</w:t>
            </w:r>
          </w:p>
        </w:tc>
      </w:tr>
      <w:tr w14:paraId="5613ADD6">
        <w:tblPrEx>
          <w:tblCellMar>
            <w:top w:w="0" w:type="dxa"/>
            <w:left w:w="10" w:type="dxa"/>
            <w:bottom w:w="0" w:type="dxa"/>
            <w:right w:w="10" w:type="dxa"/>
          </w:tblCellMar>
        </w:tblPrEx>
        <w:trPr>
          <w:trHeight w:val="634" w:hRule="exact"/>
          <w:jc w:val="center"/>
        </w:trPr>
        <w:tc>
          <w:tcPr>
            <w:tcW w:w="969" w:type="dxa"/>
            <w:tcBorders>
              <w:top w:val="single" w:color="auto" w:sz="4" w:space="0"/>
              <w:left w:val="single" w:color="auto" w:sz="4" w:space="0"/>
            </w:tcBorders>
            <w:shd w:val="clear" w:color="auto" w:fill="FFFFFF"/>
            <w:vAlign w:val="center"/>
          </w:tcPr>
          <w:p w14:paraId="71681147">
            <w:pPr>
              <w:jc w:val="center"/>
              <w:rPr>
                <w:rFonts w:ascii="宋体" w:hAnsi="宋体" w:cs="宋体"/>
                <w:color w:val="auto"/>
                <w:szCs w:val="21"/>
              </w:rPr>
            </w:pPr>
            <w:r>
              <w:rPr>
                <w:rFonts w:hint="eastAsia" w:ascii="宋体" w:hAnsi="宋体" w:cs="宋体"/>
                <w:color w:val="auto"/>
                <w:szCs w:val="21"/>
              </w:rPr>
              <w:t>门</w:t>
            </w:r>
          </w:p>
        </w:tc>
        <w:tc>
          <w:tcPr>
            <w:tcW w:w="2131" w:type="dxa"/>
            <w:tcBorders>
              <w:top w:val="single" w:color="auto" w:sz="4" w:space="0"/>
              <w:left w:val="single" w:color="auto" w:sz="4" w:space="0"/>
            </w:tcBorders>
            <w:shd w:val="clear" w:color="auto" w:fill="FFFFFF"/>
            <w:vAlign w:val="center"/>
          </w:tcPr>
          <w:p w14:paraId="1A095815">
            <w:pPr>
              <w:jc w:val="center"/>
              <w:rPr>
                <w:rFonts w:ascii="宋体" w:hAnsi="宋体" w:cs="宋体"/>
                <w:color w:val="auto"/>
                <w:szCs w:val="21"/>
              </w:rPr>
            </w:pPr>
            <w:r>
              <w:rPr>
                <w:rFonts w:hint="eastAsia" w:ascii="宋体" w:hAnsi="宋体" w:cs="宋体"/>
                <w:color w:val="auto"/>
                <w:szCs w:val="21"/>
              </w:rPr>
              <w:t>无灰尘、斑迹，干净 明亮</w:t>
            </w:r>
          </w:p>
        </w:tc>
        <w:tc>
          <w:tcPr>
            <w:tcW w:w="2254" w:type="dxa"/>
            <w:tcBorders>
              <w:top w:val="single" w:color="auto" w:sz="4" w:space="0"/>
              <w:left w:val="single" w:color="auto" w:sz="4" w:space="0"/>
            </w:tcBorders>
            <w:shd w:val="clear" w:color="auto" w:fill="FFFFFF"/>
            <w:vAlign w:val="center"/>
          </w:tcPr>
          <w:p w14:paraId="0B1D05C4">
            <w:pPr>
              <w:jc w:val="center"/>
              <w:rPr>
                <w:rFonts w:ascii="宋体" w:hAnsi="宋体" w:cs="宋体"/>
                <w:color w:val="auto"/>
                <w:szCs w:val="21"/>
              </w:rPr>
            </w:pPr>
            <w:r>
              <w:rPr>
                <w:rFonts w:hint="eastAsia" w:ascii="宋体" w:hAnsi="宋体" w:cs="宋体"/>
                <w:color w:val="auto"/>
                <w:szCs w:val="21"/>
              </w:rPr>
              <w:t>每天一次</w:t>
            </w:r>
          </w:p>
        </w:tc>
        <w:tc>
          <w:tcPr>
            <w:tcW w:w="2992" w:type="dxa"/>
            <w:tcBorders>
              <w:top w:val="single" w:color="auto" w:sz="4" w:space="0"/>
              <w:left w:val="single" w:color="auto" w:sz="4" w:space="0"/>
              <w:right w:val="single" w:color="auto" w:sz="4" w:space="0"/>
            </w:tcBorders>
            <w:shd w:val="clear" w:color="auto" w:fill="FFFFFF"/>
            <w:vAlign w:val="center"/>
          </w:tcPr>
          <w:p w14:paraId="38267E68">
            <w:pPr>
              <w:jc w:val="center"/>
              <w:rPr>
                <w:rFonts w:ascii="宋体" w:hAnsi="宋体" w:cs="宋体"/>
                <w:color w:val="auto"/>
                <w:szCs w:val="21"/>
              </w:rPr>
            </w:pPr>
          </w:p>
        </w:tc>
      </w:tr>
      <w:tr w14:paraId="12450A8D">
        <w:tblPrEx>
          <w:tblCellMar>
            <w:top w:w="0" w:type="dxa"/>
            <w:left w:w="10" w:type="dxa"/>
            <w:bottom w:w="0" w:type="dxa"/>
            <w:right w:w="10" w:type="dxa"/>
          </w:tblCellMar>
        </w:tblPrEx>
        <w:trPr>
          <w:trHeight w:val="648" w:hRule="exact"/>
          <w:jc w:val="center"/>
        </w:trPr>
        <w:tc>
          <w:tcPr>
            <w:tcW w:w="969" w:type="dxa"/>
            <w:tcBorders>
              <w:top w:val="single" w:color="auto" w:sz="4" w:space="0"/>
              <w:left w:val="single" w:color="auto" w:sz="4" w:space="0"/>
            </w:tcBorders>
            <w:shd w:val="clear" w:color="auto" w:fill="FFFFFF"/>
            <w:vAlign w:val="center"/>
          </w:tcPr>
          <w:p w14:paraId="65492B14">
            <w:pPr>
              <w:jc w:val="center"/>
              <w:rPr>
                <w:rFonts w:ascii="宋体" w:hAnsi="宋体" w:cs="宋体"/>
                <w:color w:val="auto"/>
                <w:szCs w:val="21"/>
              </w:rPr>
            </w:pPr>
            <w:r>
              <w:rPr>
                <w:rFonts w:hint="eastAsia" w:ascii="宋体" w:hAnsi="宋体" w:cs="宋体"/>
                <w:color w:val="auto"/>
                <w:szCs w:val="21"/>
              </w:rPr>
              <w:t>扶手</w:t>
            </w:r>
          </w:p>
        </w:tc>
        <w:tc>
          <w:tcPr>
            <w:tcW w:w="2131" w:type="dxa"/>
            <w:tcBorders>
              <w:top w:val="single" w:color="auto" w:sz="4" w:space="0"/>
              <w:left w:val="single" w:color="auto" w:sz="4" w:space="0"/>
            </w:tcBorders>
            <w:shd w:val="clear" w:color="auto" w:fill="FFFFFF"/>
            <w:vAlign w:val="center"/>
          </w:tcPr>
          <w:p w14:paraId="537DC88F">
            <w:pPr>
              <w:jc w:val="center"/>
              <w:rPr>
                <w:rFonts w:ascii="宋体" w:hAnsi="宋体" w:cs="宋体"/>
                <w:color w:val="auto"/>
                <w:szCs w:val="21"/>
              </w:rPr>
            </w:pPr>
            <w:r>
              <w:rPr>
                <w:rFonts w:hint="eastAsia" w:ascii="宋体" w:hAnsi="宋体" w:cs="宋体"/>
                <w:color w:val="auto"/>
                <w:szCs w:val="21"/>
              </w:rPr>
              <w:t>无灰尘、斑迹，干净 明亮</w:t>
            </w:r>
          </w:p>
        </w:tc>
        <w:tc>
          <w:tcPr>
            <w:tcW w:w="2254" w:type="dxa"/>
            <w:tcBorders>
              <w:top w:val="single" w:color="auto" w:sz="4" w:space="0"/>
              <w:left w:val="single" w:color="auto" w:sz="4" w:space="0"/>
            </w:tcBorders>
            <w:shd w:val="clear" w:color="auto" w:fill="FFFFFF"/>
            <w:vAlign w:val="center"/>
          </w:tcPr>
          <w:p w14:paraId="70C941C5">
            <w:pPr>
              <w:jc w:val="center"/>
              <w:rPr>
                <w:rFonts w:ascii="宋体" w:hAnsi="宋体" w:cs="宋体"/>
                <w:color w:val="auto"/>
                <w:szCs w:val="21"/>
              </w:rPr>
            </w:pPr>
            <w:r>
              <w:rPr>
                <w:rFonts w:hint="eastAsia" w:ascii="宋体" w:hAnsi="宋体" w:cs="宋体"/>
                <w:color w:val="auto"/>
                <w:szCs w:val="21"/>
              </w:rPr>
              <w:t>每天一次</w:t>
            </w:r>
          </w:p>
        </w:tc>
        <w:tc>
          <w:tcPr>
            <w:tcW w:w="2992" w:type="dxa"/>
            <w:tcBorders>
              <w:top w:val="single" w:color="auto" w:sz="4" w:space="0"/>
              <w:left w:val="single" w:color="auto" w:sz="4" w:space="0"/>
              <w:right w:val="single" w:color="auto" w:sz="4" w:space="0"/>
            </w:tcBorders>
            <w:shd w:val="clear" w:color="auto" w:fill="FFFFFF"/>
            <w:vAlign w:val="center"/>
          </w:tcPr>
          <w:p w14:paraId="54B9D5A8">
            <w:pPr>
              <w:jc w:val="center"/>
              <w:rPr>
                <w:rFonts w:ascii="宋体" w:hAnsi="宋体" w:cs="宋体"/>
                <w:color w:val="auto"/>
                <w:szCs w:val="21"/>
              </w:rPr>
            </w:pPr>
          </w:p>
        </w:tc>
      </w:tr>
      <w:tr w14:paraId="412DC00B">
        <w:tblPrEx>
          <w:tblCellMar>
            <w:top w:w="0" w:type="dxa"/>
            <w:left w:w="10" w:type="dxa"/>
            <w:bottom w:w="0" w:type="dxa"/>
            <w:right w:w="10" w:type="dxa"/>
          </w:tblCellMar>
        </w:tblPrEx>
        <w:trPr>
          <w:trHeight w:val="733" w:hRule="exact"/>
          <w:jc w:val="center"/>
        </w:trPr>
        <w:tc>
          <w:tcPr>
            <w:tcW w:w="969" w:type="dxa"/>
            <w:tcBorders>
              <w:top w:val="single" w:color="auto" w:sz="4" w:space="0"/>
              <w:left w:val="single" w:color="auto" w:sz="4" w:space="0"/>
              <w:bottom w:val="single" w:color="auto" w:sz="4" w:space="0"/>
            </w:tcBorders>
            <w:shd w:val="clear" w:color="auto" w:fill="FFFFFF"/>
            <w:vAlign w:val="center"/>
          </w:tcPr>
          <w:p w14:paraId="456270E3">
            <w:pPr>
              <w:jc w:val="center"/>
              <w:rPr>
                <w:rFonts w:ascii="宋体" w:hAnsi="宋体" w:cs="宋体"/>
                <w:color w:val="auto"/>
                <w:szCs w:val="21"/>
              </w:rPr>
            </w:pPr>
            <w:r>
              <w:rPr>
                <w:rFonts w:hint="eastAsia" w:ascii="宋体" w:hAnsi="宋体" w:cs="宋体"/>
                <w:color w:val="auto"/>
                <w:szCs w:val="21"/>
              </w:rPr>
              <w:t>换气扇及罩</w:t>
            </w:r>
          </w:p>
        </w:tc>
        <w:tc>
          <w:tcPr>
            <w:tcW w:w="2131" w:type="dxa"/>
            <w:tcBorders>
              <w:top w:val="single" w:color="auto" w:sz="4" w:space="0"/>
              <w:left w:val="single" w:color="auto" w:sz="4" w:space="0"/>
              <w:bottom w:val="single" w:color="auto" w:sz="4" w:space="0"/>
            </w:tcBorders>
            <w:shd w:val="clear" w:color="auto" w:fill="FFFFFF"/>
            <w:vAlign w:val="center"/>
          </w:tcPr>
          <w:p w14:paraId="53F3C01F">
            <w:pPr>
              <w:jc w:val="center"/>
              <w:rPr>
                <w:rFonts w:ascii="宋体" w:hAnsi="宋体" w:cs="宋体"/>
                <w:color w:val="auto"/>
                <w:szCs w:val="21"/>
              </w:rPr>
            </w:pPr>
            <w:r>
              <w:rPr>
                <w:rFonts w:hint="eastAsia" w:ascii="宋体" w:hAnsi="宋体" w:cs="宋体"/>
                <w:color w:val="auto"/>
                <w:szCs w:val="21"/>
              </w:rPr>
              <w:t>无灰尘，干净明亮</w:t>
            </w:r>
          </w:p>
        </w:tc>
        <w:tc>
          <w:tcPr>
            <w:tcW w:w="2254" w:type="dxa"/>
            <w:tcBorders>
              <w:top w:val="single" w:color="auto" w:sz="4" w:space="0"/>
              <w:left w:val="single" w:color="auto" w:sz="4" w:space="0"/>
              <w:bottom w:val="single" w:color="auto" w:sz="4" w:space="0"/>
            </w:tcBorders>
            <w:shd w:val="clear" w:color="auto" w:fill="FFFFFF"/>
            <w:vAlign w:val="center"/>
          </w:tcPr>
          <w:p w14:paraId="728C8693">
            <w:pPr>
              <w:jc w:val="center"/>
              <w:rPr>
                <w:rFonts w:ascii="宋体" w:hAnsi="宋体" w:cs="宋体"/>
                <w:color w:val="auto"/>
                <w:szCs w:val="21"/>
              </w:rPr>
            </w:pPr>
            <w:r>
              <w:rPr>
                <w:rFonts w:hint="eastAsia" w:ascii="宋体" w:hAnsi="宋体" w:cs="宋体"/>
                <w:color w:val="auto"/>
                <w:szCs w:val="21"/>
              </w:rPr>
              <w:t>每周一次</w:t>
            </w:r>
          </w:p>
        </w:tc>
        <w:tc>
          <w:tcPr>
            <w:tcW w:w="2992" w:type="dxa"/>
            <w:tcBorders>
              <w:top w:val="single" w:color="auto" w:sz="4" w:space="0"/>
              <w:left w:val="single" w:color="auto" w:sz="4" w:space="0"/>
              <w:bottom w:val="single" w:color="auto" w:sz="4" w:space="0"/>
              <w:right w:val="single" w:color="auto" w:sz="4" w:space="0"/>
            </w:tcBorders>
            <w:shd w:val="clear" w:color="auto" w:fill="FFFFFF"/>
            <w:vAlign w:val="center"/>
          </w:tcPr>
          <w:p w14:paraId="318AA793">
            <w:pPr>
              <w:jc w:val="center"/>
              <w:rPr>
                <w:rFonts w:ascii="宋体" w:hAnsi="宋体" w:cs="宋体"/>
                <w:color w:val="auto"/>
                <w:szCs w:val="21"/>
              </w:rPr>
            </w:pPr>
          </w:p>
        </w:tc>
      </w:tr>
      <w:tr w14:paraId="2546B17C">
        <w:tblPrEx>
          <w:tblCellMar>
            <w:top w:w="0" w:type="dxa"/>
            <w:left w:w="10" w:type="dxa"/>
            <w:bottom w:w="0" w:type="dxa"/>
            <w:right w:w="10" w:type="dxa"/>
          </w:tblCellMar>
        </w:tblPrEx>
        <w:trPr>
          <w:trHeight w:val="778" w:hRule="exact"/>
          <w:jc w:val="center"/>
        </w:trPr>
        <w:tc>
          <w:tcPr>
            <w:tcW w:w="969" w:type="dxa"/>
            <w:tcBorders>
              <w:top w:val="single" w:color="auto" w:sz="4" w:space="0"/>
              <w:left w:val="single" w:color="auto" w:sz="4" w:space="0"/>
              <w:bottom w:val="single" w:color="auto" w:sz="4" w:space="0"/>
            </w:tcBorders>
            <w:shd w:val="clear" w:color="auto" w:fill="FFFFFF"/>
            <w:vAlign w:val="center"/>
          </w:tcPr>
          <w:p w14:paraId="3BC6C6CB">
            <w:pPr>
              <w:jc w:val="center"/>
              <w:rPr>
                <w:rFonts w:ascii="宋体" w:hAnsi="宋体" w:cs="宋体"/>
                <w:color w:val="auto"/>
                <w:szCs w:val="21"/>
                <w:lang w:val="zh-TW" w:eastAsia="zh-TW"/>
              </w:rPr>
            </w:pPr>
            <w:r>
              <w:rPr>
                <w:rFonts w:hint="eastAsia" w:ascii="宋体" w:hAnsi="宋体" w:cs="宋体"/>
                <w:color w:val="auto"/>
                <w:szCs w:val="21"/>
              </w:rPr>
              <w:t>电话机</w:t>
            </w:r>
          </w:p>
        </w:tc>
        <w:tc>
          <w:tcPr>
            <w:tcW w:w="2131" w:type="dxa"/>
            <w:tcBorders>
              <w:top w:val="single" w:color="auto" w:sz="4" w:space="0"/>
              <w:left w:val="single" w:color="auto" w:sz="4" w:space="0"/>
              <w:bottom w:val="single" w:color="auto" w:sz="4" w:space="0"/>
            </w:tcBorders>
            <w:shd w:val="clear" w:color="auto" w:fill="FFFFFF"/>
            <w:vAlign w:val="center"/>
          </w:tcPr>
          <w:p w14:paraId="35AAF395">
            <w:pPr>
              <w:jc w:val="center"/>
              <w:rPr>
                <w:rFonts w:ascii="宋体" w:hAnsi="宋体" w:cs="宋体"/>
                <w:color w:val="auto"/>
                <w:szCs w:val="21"/>
                <w:lang w:val="zh-TW" w:eastAsia="zh-TW"/>
              </w:rPr>
            </w:pPr>
            <w:r>
              <w:rPr>
                <w:rFonts w:hint="eastAsia" w:ascii="宋体" w:hAnsi="宋体" w:cs="宋体"/>
                <w:color w:val="auto"/>
                <w:szCs w:val="21"/>
              </w:rPr>
              <w:t>清洁，无污迹、异味</w:t>
            </w:r>
          </w:p>
        </w:tc>
        <w:tc>
          <w:tcPr>
            <w:tcW w:w="2254" w:type="dxa"/>
            <w:tcBorders>
              <w:top w:val="single" w:color="auto" w:sz="4" w:space="0"/>
              <w:left w:val="single" w:color="auto" w:sz="4" w:space="0"/>
              <w:bottom w:val="single" w:color="auto" w:sz="4" w:space="0"/>
            </w:tcBorders>
            <w:shd w:val="clear" w:color="auto" w:fill="FFFFFF"/>
            <w:vAlign w:val="center"/>
          </w:tcPr>
          <w:p w14:paraId="3879A63E">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2992" w:type="dxa"/>
            <w:tcBorders>
              <w:top w:val="single" w:color="auto" w:sz="4" w:space="0"/>
              <w:left w:val="single" w:color="auto" w:sz="4" w:space="0"/>
              <w:bottom w:val="single" w:color="auto" w:sz="4" w:space="0"/>
              <w:right w:val="single" w:color="auto" w:sz="4" w:space="0"/>
            </w:tcBorders>
            <w:shd w:val="clear" w:color="auto" w:fill="FFFFFF"/>
            <w:vAlign w:val="center"/>
          </w:tcPr>
          <w:p w14:paraId="5C5ED28C">
            <w:pPr>
              <w:jc w:val="center"/>
              <w:rPr>
                <w:rFonts w:ascii="宋体" w:hAnsi="宋体" w:cs="宋体"/>
                <w:color w:val="auto"/>
                <w:szCs w:val="21"/>
              </w:rPr>
            </w:pPr>
          </w:p>
        </w:tc>
      </w:tr>
      <w:tr w14:paraId="1F6C2918">
        <w:tblPrEx>
          <w:tblCellMar>
            <w:top w:w="0" w:type="dxa"/>
            <w:left w:w="10" w:type="dxa"/>
            <w:bottom w:w="0" w:type="dxa"/>
            <w:right w:w="10" w:type="dxa"/>
          </w:tblCellMar>
        </w:tblPrEx>
        <w:trPr>
          <w:trHeight w:val="853" w:hRule="exact"/>
          <w:jc w:val="center"/>
        </w:trPr>
        <w:tc>
          <w:tcPr>
            <w:tcW w:w="969" w:type="dxa"/>
            <w:tcBorders>
              <w:top w:val="single" w:color="auto" w:sz="4" w:space="0"/>
              <w:left w:val="single" w:color="auto" w:sz="4" w:space="0"/>
              <w:bottom w:val="single" w:color="auto" w:sz="4" w:space="0"/>
            </w:tcBorders>
            <w:shd w:val="clear" w:color="auto" w:fill="FFFFFF"/>
            <w:vAlign w:val="center"/>
          </w:tcPr>
          <w:p w14:paraId="588A0689">
            <w:pPr>
              <w:jc w:val="center"/>
              <w:rPr>
                <w:rFonts w:ascii="宋体" w:hAnsi="宋体" w:cs="宋体"/>
                <w:color w:val="auto"/>
                <w:szCs w:val="21"/>
                <w:lang w:val="zh-TW" w:eastAsia="zh-TW"/>
              </w:rPr>
            </w:pPr>
            <w:r>
              <w:rPr>
                <w:rFonts w:hint="eastAsia" w:ascii="宋体" w:hAnsi="宋体" w:cs="宋体"/>
                <w:color w:val="auto"/>
                <w:szCs w:val="21"/>
              </w:rPr>
              <w:t>扶梯</w:t>
            </w:r>
          </w:p>
        </w:tc>
        <w:tc>
          <w:tcPr>
            <w:tcW w:w="2131" w:type="dxa"/>
            <w:tcBorders>
              <w:top w:val="single" w:color="auto" w:sz="4" w:space="0"/>
              <w:left w:val="single" w:color="auto" w:sz="4" w:space="0"/>
              <w:bottom w:val="single" w:color="auto" w:sz="4" w:space="0"/>
            </w:tcBorders>
            <w:shd w:val="clear" w:color="auto" w:fill="FFFFFF"/>
            <w:vAlign w:val="center"/>
          </w:tcPr>
          <w:p w14:paraId="1077A9D9">
            <w:pPr>
              <w:jc w:val="center"/>
              <w:rPr>
                <w:rFonts w:ascii="宋体" w:hAnsi="宋体" w:cs="宋体"/>
                <w:color w:val="auto"/>
                <w:szCs w:val="21"/>
                <w:lang w:val="zh-TW" w:eastAsia="zh-TW"/>
              </w:rPr>
            </w:pPr>
            <w:r>
              <w:rPr>
                <w:rFonts w:hint="eastAsia" w:ascii="宋体" w:hAnsi="宋体" w:cs="宋体"/>
                <w:color w:val="auto"/>
                <w:szCs w:val="21"/>
              </w:rPr>
              <w:t>清洁、无污迹</w:t>
            </w:r>
          </w:p>
        </w:tc>
        <w:tc>
          <w:tcPr>
            <w:tcW w:w="2254" w:type="dxa"/>
            <w:tcBorders>
              <w:top w:val="single" w:color="auto" w:sz="4" w:space="0"/>
              <w:left w:val="single" w:color="auto" w:sz="4" w:space="0"/>
              <w:bottom w:val="single" w:color="auto" w:sz="4" w:space="0"/>
            </w:tcBorders>
            <w:shd w:val="clear" w:color="auto" w:fill="FFFFFF"/>
            <w:vAlign w:val="center"/>
          </w:tcPr>
          <w:p w14:paraId="43BA6AAA">
            <w:pPr>
              <w:jc w:val="center"/>
              <w:rPr>
                <w:rFonts w:ascii="宋体" w:hAnsi="宋体" w:cs="宋体"/>
                <w:color w:val="auto"/>
                <w:szCs w:val="21"/>
                <w:lang w:val="zh-TW" w:eastAsia="zh-TW"/>
              </w:rPr>
            </w:pPr>
            <w:r>
              <w:rPr>
                <w:rFonts w:hint="eastAsia" w:ascii="宋体" w:hAnsi="宋体" w:cs="宋体"/>
                <w:color w:val="auto"/>
                <w:szCs w:val="21"/>
              </w:rPr>
              <w:t>每天二次</w:t>
            </w:r>
          </w:p>
        </w:tc>
        <w:tc>
          <w:tcPr>
            <w:tcW w:w="2992" w:type="dxa"/>
            <w:tcBorders>
              <w:top w:val="single" w:color="auto" w:sz="4" w:space="0"/>
              <w:left w:val="single" w:color="auto" w:sz="4" w:space="0"/>
              <w:bottom w:val="single" w:color="auto" w:sz="4" w:space="0"/>
              <w:right w:val="single" w:color="auto" w:sz="4" w:space="0"/>
            </w:tcBorders>
            <w:shd w:val="clear" w:color="auto" w:fill="FFFFFF"/>
            <w:vAlign w:val="center"/>
          </w:tcPr>
          <w:p w14:paraId="0CF8ED3A">
            <w:pPr>
              <w:jc w:val="center"/>
              <w:rPr>
                <w:rFonts w:ascii="宋体" w:hAnsi="宋体" w:cs="宋体"/>
                <w:color w:val="auto"/>
                <w:szCs w:val="21"/>
                <w:lang w:val="zh-TW" w:eastAsia="zh-TW"/>
              </w:rPr>
            </w:pPr>
            <w:r>
              <w:rPr>
                <w:rFonts w:hint="eastAsia" w:ascii="宋体" w:hAnsi="宋体" w:cs="宋体"/>
                <w:color w:val="auto"/>
                <w:szCs w:val="21"/>
              </w:rPr>
              <w:t>擦拭保洁时应在停机状态</w:t>
            </w:r>
          </w:p>
        </w:tc>
      </w:tr>
    </w:tbl>
    <w:p w14:paraId="0C487DB3">
      <w:pPr>
        <w:snapToGrid w:val="0"/>
        <w:spacing w:line="360" w:lineRule="auto"/>
        <w:ind w:right="315"/>
        <w:rPr>
          <w:rFonts w:ascii="宋体" w:hAnsi="宋体"/>
          <w:color w:val="auto"/>
          <w:szCs w:val="21"/>
        </w:rPr>
      </w:pPr>
    </w:p>
    <w:p w14:paraId="12DD4E5F">
      <w:pPr>
        <w:snapToGrid w:val="0"/>
        <w:spacing w:line="360" w:lineRule="auto"/>
        <w:ind w:right="315"/>
        <w:rPr>
          <w:rFonts w:ascii="宋体" w:hAnsi="宋体"/>
          <w:color w:val="auto"/>
          <w:szCs w:val="21"/>
        </w:rPr>
      </w:pPr>
    </w:p>
    <w:p w14:paraId="72687964">
      <w:pPr>
        <w:tabs>
          <w:tab w:val="center" w:pos="4564"/>
        </w:tabs>
        <w:ind w:firstLine="422" w:firstLineChars="200"/>
        <w:jc w:val="left"/>
        <w:rPr>
          <w:rFonts w:ascii="宋体" w:hAnsi="宋体" w:cs="宋体"/>
          <w:b/>
          <w:bCs/>
          <w:color w:val="auto"/>
          <w:szCs w:val="21"/>
        </w:rPr>
      </w:pPr>
      <w:r>
        <w:rPr>
          <w:rFonts w:hint="eastAsia" w:ascii="宋体" w:hAnsi="宋体" w:cs="宋体"/>
          <w:b/>
          <w:bCs/>
          <w:color w:val="auto"/>
          <w:szCs w:val="21"/>
          <w:lang w:val="zh-CN" w:bidi="zh-CN"/>
        </w:rPr>
        <w:t>6、</w:t>
      </w:r>
      <w:r>
        <w:rPr>
          <w:rFonts w:hint="eastAsia" w:ascii="宋体" w:hAnsi="宋体" w:cs="宋体"/>
          <w:b/>
          <w:bCs/>
          <w:color w:val="auto"/>
          <w:szCs w:val="21"/>
        </w:rPr>
        <w:t>公共洗手间内日常保洁项目要求</w:t>
      </w:r>
    </w:p>
    <w:p w14:paraId="3BAFC19F">
      <w:pPr>
        <w:snapToGrid w:val="0"/>
        <w:spacing w:line="360" w:lineRule="auto"/>
        <w:ind w:right="315"/>
        <w:rPr>
          <w:rFonts w:ascii="宋体" w:hAnsi="宋体"/>
          <w:color w:val="auto"/>
          <w:szCs w:val="21"/>
        </w:rPr>
      </w:pPr>
    </w:p>
    <w:tbl>
      <w:tblPr>
        <w:tblStyle w:val="47"/>
        <w:tblW w:w="0" w:type="auto"/>
        <w:jc w:val="center"/>
        <w:tblLayout w:type="fixed"/>
        <w:tblCellMar>
          <w:top w:w="0" w:type="dxa"/>
          <w:left w:w="10" w:type="dxa"/>
          <w:bottom w:w="0" w:type="dxa"/>
          <w:right w:w="10" w:type="dxa"/>
        </w:tblCellMar>
      </w:tblPr>
      <w:tblGrid>
        <w:gridCol w:w="1039"/>
        <w:gridCol w:w="2359"/>
        <w:gridCol w:w="1812"/>
        <w:gridCol w:w="2724"/>
      </w:tblGrid>
      <w:tr w14:paraId="689BC34E">
        <w:tblPrEx>
          <w:tblCellMar>
            <w:top w:w="0" w:type="dxa"/>
            <w:left w:w="10" w:type="dxa"/>
            <w:bottom w:w="0" w:type="dxa"/>
            <w:right w:w="10" w:type="dxa"/>
          </w:tblCellMar>
        </w:tblPrEx>
        <w:trPr>
          <w:trHeight w:val="783" w:hRule="exact"/>
          <w:jc w:val="center"/>
        </w:trPr>
        <w:tc>
          <w:tcPr>
            <w:tcW w:w="1039" w:type="dxa"/>
            <w:tcBorders>
              <w:top w:val="single" w:color="auto" w:sz="4" w:space="0"/>
              <w:left w:val="single" w:color="auto" w:sz="4" w:space="0"/>
            </w:tcBorders>
            <w:shd w:val="clear" w:color="auto" w:fill="FFFFFF"/>
            <w:vAlign w:val="center"/>
          </w:tcPr>
          <w:p w14:paraId="1FE6905F">
            <w:pPr>
              <w:jc w:val="center"/>
              <w:rPr>
                <w:rFonts w:ascii="宋体" w:hAnsi="宋体" w:cs="宋体"/>
                <w:b/>
                <w:bCs/>
                <w:color w:val="auto"/>
                <w:szCs w:val="21"/>
              </w:rPr>
            </w:pPr>
            <w:r>
              <w:rPr>
                <w:rFonts w:hint="eastAsia" w:ascii="宋体" w:hAnsi="宋体" w:cs="宋体"/>
                <w:b/>
                <w:bCs/>
                <w:color w:val="auto"/>
                <w:szCs w:val="21"/>
              </w:rPr>
              <w:t>项目</w:t>
            </w:r>
          </w:p>
        </w:tc>
        <w:tc>
          <w:tcPr>
            <w:tcW w:w="2359" w:type="dxa"/>
            <w:tcBorders>
              <w:top w:val="single" w:color="auto" w:sz="4" w:space="0"/>
              <w:left w:val="single" w:color="auto" w:sz="4" w:space="0"/>
            </w:tcBorders>
            <w:shd w:val="clear" w:color="auto" w:fill="FFFFFF"/>
            <w:vAlign w:val="center"/>
          </w:tcPr>
          <w:p w14:paraId="24731A9B">
            <w:pPr>
              <w:jc w:val="center"/>
              <w:rPr>
                <w:rFonts w:ascii="宋体" w:hAnsi="宋体" w:cs="宋体"/>
                <w:b/>
                <w:bCs/>
                <w:color w:val="auto"/>
                <w:szCs w:val="21"/>
              </w:rPr>
            </w:pPr>
            <w:r>
              <w:rPr>
                <w:rFonts w:hint="eastAsia" w:ascii="宋体" w:hAnsi="宋体" w:cs="宋体"/>
                <w:b/>
                <w:bCs/>
                <w:color w:val="auto"/>
                <w:szCs w:val="21"/>
              </w:rPr>
              <w:t>标准（质量要求）</w:t>
            </w:r>
          </w:p>
        </w:tc>
        <w:tc>
          <w:tcPr>
            <w:tcW w:w="1812" w:type="dxa"/>
            <w:tcBorders>
              <w:top w:val="single" w:color="auto" w:sz="4" w:space="0"/>
              <w:left w:val="single" w:color="auto" w:sz="4" w:space="0"/>
            </w:tcBorders>
            <w:shd w:val="clear" w:color="auto" w:fill="FFFFFF"/>
            <w:vAlign w:val="center"/>
          </w:tcPr>
          <w:p w14:paraId="4A72D68E">
            <w:pPr>
              <w:jc w:val="center"/>
              <w:rPr>
                <w:rFonts w:ascii="宋体" w:hAnsi="宋体" w:cs="宋体"/>
                <w:b/>
                <w:bCs/>
                <w:color w:val="auto"/>
                <w:szCs w:val="21"/>
              </w:rPr>
            </w:pPr>
            <w:r>
              <w:rPr>
                <w:rFonts w:hint="eastAsia" w:ascii="宋体" w:hAnsi="宋体" w:cs="宋体"/>
                <w:b/>
                <w:bCs/>
                <w:color w:val="auto"/>
                <w:szCs w:val="21"/>
              </w:rPr>
              <w:t>频次</w:t>
            </w:r>
          </w:p>
        </w:tc>
        <w:tc>
          <w:tcPr>
            <w:tcW w:w="2724" w:type="dxa"/>
            <w:tcBorders>
              <w:top w:val="single" w:color="auto" w:sz="4" w:space="0"/>
              <w:left w:val="single" w:color="auto" w:sz="4" w:space="0"/>
              <w:right w:val="single" w:color="auto" w:sz="4" w:space="0"/>
            </w:tcBorders>
            <w:shd w:val="clear" w:color="auto" w:fill="FFFFFF"/>
            <w:vAlign w:val="center"/>
          </w:tcPr>
          <w:p w14:paraId="07069BCA">
            <w:pPr>
              <w:jc w:val="center"/>
              <w:rPr>
                <w:rFonts w:ascii="宋体" w:hAnsi="宋体" w:cs="宋体"/>
                <w:b/>
                <w:bCs/>
                <w:color w:val="auto"/>
                <w:szCs w:val="21"/>
              </w:rPr>
            </w:pPr>
            <w:r>
              <w:rPr>
                <w:rFonts w:hint="eastAsia" w:ascii="宋体" w:hAnsi="宋体" w:cs="宋体"/>
                <w:b/>
                <w:bCs/>
                <w:color w:val="auto"/>
                <w:szCs w:val="21"/>
              </w:rPr>
              <w:t>注意事项</w:t>
            </w:r>
          </w:p>
        </w:tc>
      </w:tr>
      <w:tr w14:paraId="04F2C2C7">
        <w:tblPrEx>
          <w:tblCellMar>
            <w:top w:w="0" w:type="dxa"/>
            <w:left w:w="10" w:type="dxa"/>
            <w:bottom w:w="0" w:type="dxa"/>
            <w:right w:w="10" w:type="dxa"/>
          </w:tblCellMar>
        </w:tblPrEx>
        <w:trPr>
          <w:trHeight w:val="851" w:hRule="exact"/>
          <w:jc w:val="center"/>
        </w:trPr>
        <w:tc>
          <w:tcPr>
            <w:tcW w:w="1039" w:type="dxa"/>
            <w:tcBorders>
              <w:top w:val="single" w:color="auto" w:sz="4" w:space="0"/>
              <w:left w:val="single" w:color="auto" w:sz="4" w:space="0"/>
            </w:tcBorders>
            <w:shd w:val="clear" w:color="auto" w:fill="FFFFFF"/>
            <w:vAlign w:val="center"/>
          </w:tcPr>
          <w:p w14:paraId="110EC505">
            <w:pPr>
              <w:jc w:val="center"/>
              <w:rPr>
                <w:rFonts w:ascii="宋体" w:hAnsi="宋体" w:cs="宋体"/>
                <w:color w:val="auto"/>
                <w:szCs w:val="21"/>
              </w:rPr>
            </w:pPr>
            <w:r>
              <w:rPr>
                <w:rFonts w:hint="eastAsia" w:ascii="宋体" w:hAnsi="宋体" w:cs="宋体"/>
                <w:color w:val="auto"/>
                <w:szCs w:val="21"/>
              </w:rPr>
              <w:t>地面</w:t>
            </w:r>
          </w:p>
        </w:tc>
        <w:tc>
          <w:tcPr>
            <w:tcW w:w="2359" w:type="dxa"/>
            <w:tcBorders>
              <w:top w:val="single" w:color="auto" w:sz="4" w:space="0"/>
              <w:left w:val="single" w:color="auto" w:sz="4" w:space="0"/>
            </w:tcBorders>
            <w:shd w:val="clear" w:color="auto" w:fill="FFFFFF"/>
            <w:vAlign w:val="center"/>
          </w:tcPr>
          <w:p w14:paraId="69DFBF04">
            <w:pPr>
              <w:jc w:val="center"/>
              <w:rPr>
                <w:rFonts w:ascii="宋体" w:hAnsi="宋体" w:cs="宋体"/>
                <w:color w:val="auto"/>
                <w:szCs w:val="21"/>
              </w:rPr>
            </w:pPr>
            <w:r>
              <w:rPr>
                <w:rFonts w:hint="eastAsia" w:ascii="宋体" w:hAnsi="宋体" w:cs="宋体"/>
                <w:color w:val="auto"/>
                <w:szCs w:val="21"/>
              </w:rPr>
              <w:t>无浮灰、水迹、杂物、 鞋印及污迹</w:t>
            </w:r>
          </w:p>
        </w:tc>
        <w:tc>
          <w:tcPr>
            <w:tcW w:w="1812" w:type="dxa"/>
            <w:tcBorders>
              <w:top w:val="single" w:color="auto" w:sz="4" w:space="0"/>
              <w:left w:val="single" w:color="auto" w:sz="4" w:space="0"/>
            </w:tcBorders>
            <w:shd w:val="clear" w:color="auto" w:fill="FFFFFF"/>
            <w:vAlign w:val="center"/>
          </w:tcPr>
          <w:p w14:paraId="725ECD85">
            <w:pPr>
              <w:jc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每小时一次</w:t>
            </w:r>
          </w:p>
          <w:p w14:paraId="1D4C4B14">
            <w:pPr>
              <w:jc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随脏随拖</w:t>
            </w:r>
          </w:p>
        </w:tc>
        <w:tc>
          <w:tcPr>
            <w:tcW w:w="2724" w:type="dxa"/>
            <w:tcBorders>
              <w:top w:val="single" w:color="auto" w:sz="4" w:space="0"/>
              <w:left w:val="single" w:color="auto" w:sz="4" w:space="0"/>
              <w:right w:val="single" w:color="auto" w:sz="4" w:space="0"/>
            </w:tcBorders>
            <w:shd w:val="clear" w:color="auto" w:fill="FFFFFF"/>
            <w:vAlign w:val="center"/>
          </w:tcPr>
          <w:p w14:paraId="1E2C470D">
            <w:pPr>
              <w:jc w:val="center"/>
              <w:rPr>
                <w:rFonts w:ascii="宋体" w:hAnsi="宋体" w:cs="宋体"/>
                <w:color w:val="auto"/>
                <w:szCs w:val="21"/>
              </w:rPr>
            </w:pPr>
            <w:r>
              <w:rPr>
                <w:rFonts w:hint="eastAsia" w:ascii="宋体" w:hAnsi="宋体" w:cs="宋体"/>
                <w:color w:val="auto"/>
                <w:szCs w:val="21"/>
              </w:rPr>
              <w:t>注意马桶后及脸盆下的地面。</w:t>
            </w:r>
          </w:p>
        </w:tc>
      </w:tr>
      <w:tr w14:paraId="55D0CD0C">
        <w:tblPrEx>
          <w:tblCellMar>
            <w:top w:w="0" w:type="dxa"/>
            <w:left w:w="10" w:type="dxa"/>
            <w:bottom w:w="0" w:type="dxa"/>
            <w:right w:w="10" w:type="dxa"/>
          </w:tblCellMar>
        </w:tblPrEx>
        <w:trPr>
          <w:trHeight w:val="1825" w:hRule="exact"/>
          <w:jc w:val="center"/>
        </w:trPr>
        <w:tc>
          <w:tcPr>
            <w:tcW w:w="1039" w:type="dxa"/>
            <w:tcBorders>
              <w:top w:val="single" w:color="auto" w:sz="4" w:space="0"/>
              <w:left w:val="single" w:color="auto" w:sz="4" w:space="0"/>
            </w:tcBorders>
            <w:shd w:val="clear" w:color="auto" w:fill="FFFFFF"/>
            <w:vAlign w:val="center"/>
          </w:tcPr>
          <w:p w14:paraId="591ED6DE">
            <w:pPr>
              <w:jc w:val="center"/>
              <w:rPr>
                <w:rFonts w:ascii="宋体" w:hAnsi="宋体" w:cs="宋体"/>
                <w:color w:val="auto"/>
                <w:szCs w:val="21"/>
              </w:rPr>
            </w:pPr>
            <w:r>
              <w:rPr>
                <w:rFonts w:hint="eastAsia" w:ascii="宋体" w:hAnsi="宋体" w:cs="宋体"/>
                <w:color w:val="auto"/>
                <w:szCs w:val="21"/>
              </w:rPr>
              <w:t>墙壁瓷砖</w:t>
            </w:r>
          </w:p>
        </w:tc>
        <w:tc>
          <w:tcPr>
            <w:tcW w:w="2359" w:type="dxa"/>
            <w:tcBorders>
              <w:top w:val="single" w:color="auto" w:sz="4" w:space="0"/>
              <w:left w:val="single" w:color="auto" w:sz="4" w:space="0"/>
            </w:tcBorders>
            <w:shd w:val="clear" w:color="auto" w:fill="FFFFFF"/>
            <w:vAlign w:val="center"/>
          </w:tcPr>
          <w:p w14:paraId="1F346A00">
            <w:pPr>
              <w:jc w:val="center"/>
              <w:rPr>
                <w:rFonts w:ascii="宋体" w:hAnsi="宋体" w:cs="宋体"/>
                <w:color w:val="auto"/>
                <w:szCs w:val="21"/>
              </w:rPr>
            </w:pPr>
            <w:r>
              <w:rPr>
                <w:rFonts w:hint="eastAsia" w:ascii="宋体" w:hAnsi="宋体" w:cs="宋体"/>
                <w:color w:val="auto"/>
                <w:szCs w:val="21"/>
              </w:rPr>
              <w:t>无灰尘、水迹、皂 迹，瓷砖缝隙处洁白， 无脱落</w:t>
            </w:r>
          </w:p>
        </w:tc>
        <w:tc>
          <w:tcPr>
            <w:tcW w:w="1812" w:type="dxa"/>
            <w:tcBorders>
              <w:top w:val="single" w:color="auto" w:sz="4" w:space="0"/>
              <w:left w:val="single" w:color="auto" w:sz="4" w:space="0"/>
            </w:tcBorders>
            <w:shd w:val="clear" w:color="auto" w:fill="FFFFFF"/>
            <w:vAlign w:val="center"/>
          </w:tcPr>
          <w:p w14:paraId="26C0A6C0">
            <w:pPr>
              <w:jc w:val="center"/>
              <w:rPr>
                <w:rFonts w:ascii="宋体" w:hAnsi="宋体" w:cs="宋体"/>
                <w:color w:val="auto"/>
                <w:szCs w:val="21"/>
              </w:rPr>
            </w:pPr>
            <w:r>
              <w:rPr>
                <w:rFonts w:hint="eastAsia" w:ascii="宋体" w:hAnsi="宋体" w:cs="宋体"/>
                <w:color w:val="auto"/>
                <w:szCs w:val="21"/>
              </w:rPr>
              <w:t>每天上午一次</w:t>
            </w:r>
          </w:p>
        </w:tc>
        <w:tc>
          <w:tcPr>
            <w:tcW w:w="2724" w:type="dxa"/>
            <w:tcBorders>
              <w:top w:val="single" w:color="auto" w:sz="4" w:space="0"/>
              <w:left w:val="single" w:color="auto" w:sz="4" w:space="0"/>
              <w:right w:val="single" w:color="auto" w:sz="4" w:space="0"/>
            </w:tcBorders>
            <w:shd w:val="clear" w:color="auto" w:fill="FFFFFF"/>
            <w:vAlign w:val="center"/>
          </w:tcPr>
          <w:p w14:paraId="1F7A7961">
            <w:pPr>
              <w:jc w:val="center"/>
              <w:rPr>
                <w:rFonts w:ascii="宋体" w:hAnsi="宋体" w:cs="宋体"/>
                <w:color w:val="auto"/>
                <w:szCs w:val="21"/>
              </w:rPr>
            </w:pPr>
            <w:r>
              <w:rPr>
                <w:rFonts w:hint="eastAsia" w:ascii="宋体" w:hAnsi="宋体" w:cs="宋体"/>
                <w:color w:val="auto"/>
                <w:szCs w:val="21"/>
              </w:rPr>
              <w:t>先用牙刷蘸清洁剂，先刷洗缝隙， 再按程序操作。</w:t>
            </w:r>
          </w:p>
        </w:tc>
      </w:tr>
      <w:tr w14:paraId="02C3E8CB">
        <w:tblPrEx>
          <w:tblCellMar>
            <w:top w:w="0" w:type="dxa"/>
            <w:left w:w="10" w:type="dxa"/>
            <w:bottom w:w="0" w:type="dxa"/>
            <w:right w:w="10" w:type="dxa"/>
          </w:tblCellMar>
        </w:tblPrEx>
        <w:trPr>
          <w:trHeight w:val="807" w:hRule="exact"/>
          <w:jc w:val="center"/>
        </w:trPr>
        <w:tc>
          <w:tcPr>
            <w:tcW w:w="1039" w:type="dxa"/>
            <w:tcBorders>
              <w:top w:val="single" w:color="auto" w:sz="4" w:space="0"/>
              <w:left w:val="single" w:color="auto" w:sz="4" w:space="0"/>
            </w:tcBorders>
            <w:shd w:val="clear" w:color="auto" w:fill="FFFFFF"/>
            <w:vAlign w:val="center"/>
          </w:tcPr>
          <w:p w14:paraId="603FA264">
            <w:pPr>
              <w:jc w:val="center"/>
              <w:rPr>
                <w:rFonts w:ascii="宋体" w:hAnsi="宋体" w:cs="宋体"/>
                <w:color w:val="auto"/>
                <w:szCs w:val="21"/>
              </w:rPr>
            </w:pPr>
            <w:r>
              <w:rPr>
                <w:rFonts w:hint="eastAsia" w:ascii="宋体" w:hAnsi="宋体" w:cs="宋体"/>
                <w:color w:val="auto"/>
                <w:szCs w:val="21"/>
              </w:rPr>
              <w:t>洗手盆及台 面</w:t>
            </w:r>
          </w:p>
        </w:tc>
        <w:tc>
          <w:tcPr>
            <w:tcW w:w="2359" w:type="dxa"/>
            <w:tcBorders>
              <w:top w:val="single" w:color="auto" w:sz="4" w:space="0"/>
              <w:left w:val="single" w:color="auto" w:sz="4" w:space="0"/>
            </w:tcBorders>
            <w:shd w:val="clear" w:color="auto" w:fill="FFFFFF"/>
            <w:vAlign w:val="center"/>
          </w:tcPr>
          <w:p w14:paraId="363D5530">
            <w:pPr>
              <w:jc w:val="center"/>
              <w:rPr>
                <w:rFonts w:ascii="宋体" w:hAnsi="宋体" w:cs="宋体"/>
                <w:color w:val="auto"/>
                <w:szCs w:val="21"/>
              </w:rPr>
            </w:pPr>
            <w:r>
              <w:rPr>
                <w:rFonts w:hint="eastAsia" w:ascii="宋体" w:hAnsi="宋体" w:cs="宋体"/>
                <w:color w:val="auto"/>
                <w:szCs w:val="21"/>
              </w:rPr>
              <w:t>无水迹、黄迹，洁净、 光亮、畅通</w:t>
            </w:r>
          </w:p>
        </w:tc>
        <w:tc>
          <w:tcPr>
            <w:tcW w:w="1812" w:type="dxa"/>
            <w:tcBorders>
              <w:top w:val="single" w:color="auto" w:sz="4" w:space="0"/>
              <w:left w:val="single" w:color="auto" w:sz="4" w:space="0"/>
            </w:tcBorders>
            <w:shd w:val="clear" w:color="auto" w:fill="FFFFFF"/>
            <w:vAlign w:val="center"/>
          </w:tcPr>
          <w:p w14:paraId="35FD7C1C">
            <w:pPr>
              <w:jc w:val="center"/>
              <w:rPr>
                <w:rFonts w:ascii="宋体" w:hAnsi="宋体" w:cs="宋体"/>
                <w:color w:val="auto"/>
                <w:szCs w:val="21"/>
              </w:rPr>
            </w:pPr>
            <w:r>
              <w:rPr>
                <w:rFonts w:hint="eastAsia" w:ascii="宋体" w:hAnsi="宋体" w:cs="宋体"/>
                <w:color w:val="auto"/>
                <w:szCs w:val="21"/>
              </w:rPr>
              <w:t>每小时一次</w:t>
            </w:r>
          </w:p>
        </w:tc>
        <w:tc>
          <w:tcPr>
            <w:tcW w:w="2724" w:type="dxa"/>
            <w:tcBorders>
              <w:top w:val="single" w:color="auto" w:sz="4" w:space="0"/>
              <w:left w:val="single" w:color="auto" w:sz="4" w:space="0"/>
              <w:right w:val="single" w:color="auto" w:sz="4" w:space="0"/>
            </w:tcBorders>
            <w:shd w:val="clear" w:color="auto" w:fill="FFFFFF"/>
            <w:vAlign w:val="center"/>
          </w:tcPr>
          <w:p w14:paraId="523ADF2C">
            <w:pPr>
              <w:jc w:val="center"/>
              <w:rPr>
                <w:rFonts w:ascii="宋体" w:hAnsi="宋体" w:cs="宋体"/>
                <w:color w:val="auto"/>
                <w:szCs w:val="21"/>
              </w:rPr>
            </w:pPr>
            <w:r>
              <w:rPr>
                <w:rFonts w:hint="eastAsia" w:ascii="宋体" w:hAnsi="宋体" w:cs="宋体"/>
                <w:color w:val="auto"/>
                <w:szCs w:val="21"/>
              </w:rPr>
              <w:t>不可遗漏台面下的弯头。</w:t>
            </w:r>
          </w:p>
        </w:tc>
      </w:tr>
      <w:tr w14:paraId="009016AA">
        <w:tblPrEx>
          <w:tblCellMar>
            <w:top w:w="0" w:type="dxa"/>
            <w:left w:w="10" w:type="dxa"/>
            <w:bottom w:w="0" w:type="dxa"/>
            <w:right w:w="10" w:type="dxa"/>
          </w:tblCellMar>
        </w:tblPrEx>
        <w:trPr>
          <w:trHeight w:val="797" w:hRule="exact"/>
          <w:jc w:val="center"/>
        </w:trPr>
        <w:tc>
          <w:tcPr>
            <w:tcW w:w="1039" w:type="dxa"/>
            <w:tcBorders>
              <w:top w:val="single" w:color="auto" w:sz="4" w:space="0"/>
              <w:left w:val="single" w:color="auto" w:sz="4" w:space="0"/>
            </w:tcBorders>
            <w:shd w:val="clear" w:color="auto" w:fill="FFFFFF"/>
            <w:vAlign w:val="center"/>
          </w:tcPr>
          <w:p w14:paraId="63E77EFB">
            <w:pPr>
              <w:jc w:val="center"/>
              <w:rPr>
                <w:rFonts w:ascii="宋体" w:hAnsi="宋体" w:cs="宋体"/>
                <w:color w:val="auto"/>
                <w:szCs w:val="21"/>
              </w:rPr>
            </w:pPr>
            <w:r>
              <w:rPr>
                <w:rFonts w:hint="eastAsia" w:ascii="宋体" w:hAnsi="宋体" w:cs="宋体"/>
                <w:color w:val="auto"/>
                <w:szCs w:val="21"/>
              </w:rPr>
              <w:t>镜面、镜框、 镜灯</w:t>
            </w:r>
          </w:p>
        </w:tc>
        <w:tc>
          <w:tcPr>
            <w:tcW w:w="2359" w:type="dxa"/>
            <w:tcBorders>
              <w:top w:val="single" w:color="auto" w:sz="4" w:space="0"/>
              <w:left w:val="single" w:color="auto" w:sz="4" w:space="0"/>
            </w:tcBorders>
            <w:shd w:val="clear" w:color="auto" w:fill="FFFFFF"/>
            <w:vAlign w:val="center"/>
          </w:tcPr>
          <w:p w14:paraId="211BC025">
            <w:pPr>
              <w:jc w:val="center"/>
              <w:rPr>
                <w:rFonts w:ascii="宋体" w:hAnsi="宋体" w:cs="宋体"/>
                <w:color w:val="auto"/>
                <w:szCs w:val="21"/>
              </w:rPr>
            </w:pPr>
            <w:r>
              <w:rPr>
                <w:rFonts w:hint="eastAsia" w:ascii="宋体" w:hAnsi="宋体" w:cs="宋体"/>
                <w:color w:val="auto"/>
                <w:szCs w:val="21"/>
              </w:rPr>
              <w:t>无灰尘、水迹、锈迹， 镜面上无顽垢</w:t>
            </w:r>
          </w:p>
        </w:tc>
        <w:tc>
          <w:tcPr>
            <w:tcW w:w="1812" w:type="dxa"/>
            <w:tcBorders>
              <w:top w:val="single" w:color="auto" w:sz="4" w:space="0"/>
              <w:left w:val="single" w:color="auto" w:sz="4" w:space="0"/>
            </w:tcBorders>
            <w:shd w:val="clear" w:color="auto" w:fill="FFFFFF"/>
            <w:vAlign w:val="center"/>
          </w:tcPr>
          <w:p w14:paraId="3B417C35">
            <w:pPr>
              <w:jc w:val="center"/>
              <w:rPr>
                <w:rFonts w:ascii="宋体" w:hAnsi="宋体" w:cs="宋体"/>
                <w:color w:val="auto"/>
                <w:szCs w:val="21"/>
              </w:rPr>
            </w:pPr>
            <w:r>
              <w:rPr>
                <w:rFonts w:hint="eastAsia" w:ascii="宋体" w:hAnsi="宋体" w:cs="宋体"/>
                <w:color w:val="auto"/>
                <w:szCs w:val="21"/>
              </w:rPr>
              <w:t>每天上午一次</w:t>
            </w:r>
          </w:p>
        </w:tc>
        <w:tc>
          <w:tcPr>
            <w:tcW w:w="2724" w:type="dxa"/>
            <w:tcBorders>
              <w:top w:val="single" w:color="auto" w:sz="4" w:space="0"/>
              <w:left w:val="single" w:color="auto" w:sz="4" w:space="0"/>
              <w:right w:val="single" w:color="auto" w:sz="4" w:space="0"/>
            </w:tcBorders>
            <w:shd w:val="clear" w:color="auto" w:fill="FFFFFF"/>
            <w:vAlign w:val="center"/>
          </w:tcPr>
          <w:p w14:paraId="08D7B0B6">
            <w:pPr>
              <w:jc w:val="center"/>
              <w:rPr>
                <w:rFonts w:ascii="宋体" w:hAnsi="宋体" w:cs="宋体"/>
                <w:color w:val="auto"/>
                <w:szCs w:val="21"/>
              </w:rPr>
            </w:pPr>
            <w:r>
              <w:rPr>
                <w:rFonts w:hint="eastAsia" w:ascii="宋体" w:hAnsi="宋体" w:cs="宋体"/>
                <w:color w:val="auto"/>
                <w:szCs w:val="21"/>
              </w:rPr>
              <w:t>玻璃不能擦花。</w:t>
            </w:r>
          </w:p>
        </w:tc>
      </w:tr>
      <w:tr w14:paraId="4CB812A4">
        <w:tblPrEx>
          <w:tblCellMar>
            <w:top w:w="0" w:type="dxa"/>
            <w:left w:w="10" w:type="dxa"/>
            <w:bottom w:w="0" w:type="dxa"/>
            <w:right w:w="10" w:type="dxa"/>
          </w:tblCellMar>
        </w:tblPrEx>
        <w:trPr>
          <w:trHeight w:val="1285" w:hRule="exact"/>
          <w:jc w:val="center"/>
        </w:trPr>
        <w:tc>
          <w:tcPr>
            <w:tcW w:w="1039" w:type="dxa"/>
            <w:tcBorders>
              <w:top w:val="single" w:color="auto" w:sz="4" w:space="0"/>
              <w:left w:val="single" w:color="auto" w:sz="4" w:space="0"/>
            </w:tcBorders>
            <w:shd w:val="clear" w:color="auto" w:fill="FFFFFF"/>
            <w:vAlign w:val="center"/>
          </w:tcPr>
          <w:p w14:paraId="5EA8A9F5">
            <w:pPr>
              <w:jc w:val="center"/>
              <w:rPr>
                <w:rFonts w:ascii="宋体" w:hAnsi="宋体" w:cs="宋体"/>
                <w:color w:val="auto"/>
                <w:szCs w:val="21"/>
              </w:rPr>
            </w:pPr>
            <w:r>
              <w:rPr>
                <w:rFonts w:hint="eastAsia" w:ascii="宋体" w:hAnsi="宋体" w:cs="宋体"/>
                <w:color w:val="auto"/>
                <w:szCs w:val="21"/>
              </w:rPr>
              <w:t>龙头、挂 钩、下水弯 头、开关、扶 手等</w:t>
            </w:r>
          </w:p>
        </w:tc>
        <w:tc>
          <w:tcPr>
            <w:tcW w:w="2359" w:type="dxa"/>
            <w:tcBorders>
              <w:top w:val="single" w:color="auto" w:sz="4" w:space="0"/>
              <w:left w:val="single" w:color="auto" w:sz="4" w:space="0"/>
            </w:tcBorders>
            <w:shd w:val="clear" w:color="auto" w:fill="FFFFFF"/>
            <w:vAlign w:val="center"/>
          </w:tcPr>
          <w:p w14:paraId="3AD2EC5A">
            <w:pPr>
              <w:jc w:val="center"/>
              <w:rPr>
                <w:rFonts w:ascii="宋体" w:hAnsi="宋体" w:cs="宋体"/>
                <w:color w:val="auto"/>
                <w:szCs w:val="21"/>
              </w:rPr>
            </w:pPr>
            <w:r>
              <w:rPr>
                <w:rFonts w:hint="eastAsia" w:ascii="宋体" w:hAnsi="宋体" w:cs="宋体"/>
                <w:color w:val="auto"/>
                <w:szCs w:val="21"/>
              </w:rPr>
              <w:t>光亮、无斑迹</w:t>
            </w:r>
          </w:p>
        </w:tc>
        <w:tc>
          <w:tcPr>
            <w:tcW w:w="1812" w:type="dxa"/>
            <w:tcBorders>
              <w:top w:val="single" w:color="auto" w:sz="4" w:space="0"/>
              <w:left w:val="single" w:color="auto" w:sz="4" w:space="0"/>
            </w:tcBorders>
            <w:shd w:val="clear" w:color="auto" w:fill="FFFFFF"/>
            <w:vAlign w:val="center"/>
          </w:tcPr>
          <w:p w14:paraId="251EFC44">
            <w:pPr>
              <w:jc w:val="center"/>
              <w:rPr>
                <w:rFonts w:ascii="宋体" w:hAnsi="宋体" w:cs="宋体"/>
                <w:color w:val="auto"/>
                <w:szCs w:val="21"/>
              </w:rPr>
            </w:pPr>
            <w:r>
              <w:rPr>
                <w:rFonts w:hint="eastAsia" w:ascii="宋体" w:hAnsi="宋体" w:cs="宋体"/>
                <w:color w:val="auto"/>
                <w:szCs w:val="21"/>
              </w:rPr>
              <w:t>每2小时一次</w:t>
            </w:r>
          </w:p>
        </w:tc>
        <w:tc>
          <w:tcPr>
            <w:tcW w:w="2724" w:type="dxa"/>
            <w:tcBorders>
              <w:top w:val="single" w:color="auto" w:sz="4" w:space="0"/>
              <w:left w:val="single" w:color="auto" w:sz="4" w:space="0"/>
              <w:right w:val="single" w:color="auto" w:sz="4" w:space="0"/>
            </w:tcBorders>
            <w:shd w:val="clear" w:color="auto" w:fill="FFFFFF"/>
            <w:vAlign w:val="center"/>
          </w:tcPr>
          <w:p w14:paraId="541DC7E1">
            <w:pPr>
              <w:jc w:val="center"/>
              <w:rPr>
                <w:rFonts w:ascii="宋体" w:hAnsi="宋体" w:cs="宋体"/>
                <w:color w:val="auto"/>
                <w:szCs w:val="21"/>
              </w:rPr>
            </w:pPr>
            <w:r>
              <w:rPr>
                <w:rFonts w:hint="eastAsia" w:ascii="宋体" w:hAnsi="宋体" w:cs="宋体"/>
                <w:color w:val="auto"/>
                <w:szCs w:val="21"/>
              </w:rPr>
              <w:t>抹布要分开使用。</w:t>
            </w:r>
          </w:p>
        </w:tc>
      </w:tr>
      <w:tr w14:paraId="338F1ECB">
        <w:tblPrEx>
          <w:tblCellMar>
            <w:top w:w="0" w:type="dxa"/>
            <w:left w:w="10" w:type="dxa"/>
            <w:bottom w:w="0" w:type="dxa"/>
            <w:right w:w="10" w:type="dxa"/>
          </w:tblCellMar>
        </w:tblPrEx>
        <w:trPr>
          <w:trHeight w:val="1665" w:hRule="exact"/>
          <w:jc w:val="center"/>
        </w:trPr>
        <w:tc>
          <w:tcPr>
            <w:tcW w:w="1039" w:type="dxa"/>
            <w:vMerge w:val="restart"/>
            <w:tcBorders>
              <w:top w:val="single" w:color="auto" w:sz="4" w:space="0"/>
              <w:left w:val="single" w:color="auto" w:sz="4" w:space="0"/>
            </w:tcBorders>
            <w:shd w:val="clear" w:color="auto" w:fill="FFFFFF"/>
            <w:vAlign w:val="center"/>
          </w:tcPr>
          <w:p w14:paraId="56EC2CC1">
            <w:pPr>
              <w:jc w:val="center"/>
              <w:rPr>
                <w:rFonts w:ascii="宋体" w:hAnsi="宋体" w:cs="宋体"/>
                <w:color w:val="auto"/>
                <w:szCs w:val="21"/>
              </w:rPr>
            </w:pPr>
            <w:r>
              <w:rPr>
                <w:rFonts w:hint="eastAsia" w:ascii="宋体" w:hAnsi="宋体" w:cs="宋体"/>
                <w:color w:val="auto"/>
                <w:szCs w:val="21"/>
              </w:rPr>
              <w:t>小便池、抽水 马桶及水箱</w:t>
            </w:r>
          </w:p>
        </w:tc>
        <w:tc>
          <w:tcPr>
            <w:tcW w:w="2359" w:type="dxa"/>
            <w:tcBorders>
              <w:top w:val="single" w:color="auto" w:sz="4" w:space="0"/>
              <w:left w:val="single" w:color="auto" w:sz="4" w:space="0"/>
            </w:tcBorders>
            <w:shd w:val="clear" w:color="auto" w:fill="FFFFFF"/>
            <w:vAlign w:val="center"/>
          </w:tcPr>
          <w:p w14:paraId="0A0B0CBC">
            <w:pPr>
              <w:jc w:val="center"/>
              <w:rPr>
                <w:rFonts w:ascii="宋体" w:hAnsi="宋体" w:cs="宋体"/>
                <w:color w:val="auto"/>
                <w:szCs w:val="21"/>
              </w:rPr>
            </w:pPr>
            <w:r>
              <w:rPr>
                <w:rFonts w:hint="eastAsia" w:ascii="宋体" w:hAnsi="宋体" w:cs="宋体"/>
                <w:color w:val="auto"/>
                <w:szCs w:val="21"/>
              </w:rPr>
              <w:t>无水痕、锈迹、斑迹、 毛发、尿碱</w:t>
            </w:r>
          </w:p>
        </w:tc>
        <w:tc>
          <w:tcPr>
            <w:tcW w:w="1812" w:type="dxa"/>
            <w:tcBorders>
              <w:top w:val="single" w:color="auto" w:sz="4" w:space="0"/>
              <w:left w:val="single" w:color="auto" w:sz="4" w:space="0"/>
            </w:tcBorders>
            <w:shd w:val="clear" w:color="auto" w:fill="FFFFFF"/>
            <w:vAlign w:val="center"/>
          </w:tcPr>
          <w:p w14:paraId="19C3A6C6">
            <w:pPr>
              <w:jc w:val="center"/>
              <w:rPr>
                <w:rFonts w:ascii="宋体" w:hAnsi="宋体" w:cs="宋体"/>
                <w:color w:val="auto"/>
                <w:szCs w:val="21"/>
              </w:rPr>
            </w:pPr>
            <w:r>
              <w:rPr>
                <w:rFonts w:hint="eastAsia" w:ascii="宋体" w:hAnsi="宋体" w:cs="宋体"/>
                <w:color w:val="auto"/>
                <w:szCs w:val="21"/>
              </w:rPr>
              <w:t>每天三次</w:t>
            </w:r>
          </w:p>
        </w:tc>
        <w:tc>
          <w:tcPr>
            <w:tcW w:w="2724" w:type="dxa"/>
            <w:tcBorders>
              <w:top w:val="single" w:color="auto" w:sz="4" w:space="0"/>
              <w:left w:val="single" w:color="auto" w:sz="4" w:space="0"/>
              <w:right w:val="single" w:color="auto" w:sz="4" w:space="0"/>
            </w:tcBorders>
            <w:shd w:val="clear" w:color="auto" w:fill="FFFFFF"/>
            <w:vAlign w:val="center"/>
          </w:tcPr>
          <w:p w14:paraId="38E823DA">
            <w:pPr>
              <w:jc w:val="center"/>
              <w:rPr>
                <w:rFonts w:ascii="宋体" w:hAnsi="宋体" w:cs="宋体"/>
                <w:color w:val="auto"/>
                <w:szCs w:val="21"/>
              </w:rPr>
            </w:pPr>
            <w:r>
              <w:rPr>
                <w:rFonts w:hint="eastAsia" w:ascii="宋体" w:hAnsi="宋体" w:cs="宋体"/>
                <w:color w:val="auto"/>
                <w:szCs w:val="21"/>
              </w:rPr>
              <w:t>马桶胶圈、出水口、溢水口、水 阀、控制器、四周瓷砖的卫生不 能忽略。</w:t>
            </w:r>
          </w:p>
        </w:tc>
      </w:tr>
      <w:tr w14:paraId="686A6594">
        <w:tblPrEx>
          <w:tblCellMar>
            <w:top w:w="0" w:type="dxa"/>
            <w:left w:w="10" w:type="dxa"/>
            <w:bottom w:w="0" w:type="dxa"/>
            <w:right w:w="10" w:type="dxa"/>
          </w:tblCellMar>
        </w:tblPrEx>
        <w:trPr>
          <w:trHeight w:val="1099" w:hRule="exact"/>
          <w:jc w:val="center"/>
        </w:trPr>
        <w:tc>
          <w:tcPr>
            <w:tcW w:w="1039" w:type="dxa"/>
            <w:vMerge w:val="continue"/>
            <w:tcBorders>
              <w:left w:val="single" w:color="auto" w:sz="4" w:space="0"/>
            </w:tcBorders>
            <w:shd w:val="clear" w:color="auto" w:fill="FFFFFF"/>
            <w:vAlign w:val="center"/>
          </w:tcPr>
          <w:p w14:paraId="5F03A00B">
            <w:pPr>
              <w:jc w:val="center"/>
              <w:rPr>
                <w:rFonts w:ascii="宋体" w:hAnsi="宋体" w:cs="宋体"/>
                <w:color w:val="auto"/>
                <w:szCs w:val="21"/>
              </w:rPr>
            </w:pPr>
          </w:p>
        </w:tc>
        <w:tc>
          <w:tcPr>
            <w:tcW w:w="2359" w:type="dxa"/>
            <w:tcBorders>
              <w:top w:val="single" w:color="auto" w:sz="4" w:space="0"/>
              <w:left w:val="single" w:color="auto" w:sz="4" w:space="0"/>
            </w:tcBorders>
            <w:shd w:val="clear" w:color="auto" w:fill="FFFFFF"/>
            <w:vAlign w:val="center"/>
          </w:tcPr>
          <w:p w14:paraId="0A04DD28">
            <w:pPr>
              <w:jc w:val="center"/>
              <w:rPr>
                <w:rFonts w:ascii="宋体" w:hAnsi="宋体" w:cs="宋体"/>
                <w:color w:val="auto"/>
                <w:szCs w:val="21"/>
              </w:rPr>
            </w:pPr>
            <w:r>
              <w:rPr>
                <w:rFonts w:hint="eastAsia" w:ascii="宋体" w:hAnsi="宋体" w:cs="宋体"/>
                <w:color w:val="auto"/>
                <w:szCs w:val="21"/>
              </w:rPr>
              <w:t>无灰尘、无黄迹、无 沉淀物</w:t>
            </w:r>
          </w:p>
        </w:tc>
        <w:tc>
          <w:tcPr>
            <w:tcW w:w="1812" w:type="dxa"/>
            <w:tcBorders>
              <w:top w:val="single" w:color="auto" w:sz="4" w:space="0"/>
              <w:left w:val="single" w:color="auto" w:sz="4" w:space="0"/>
            </w:tcBorders>
            <w:shd w:val="clear" w:color="auto" w:fill="FFFFFF"/>
            <w:vAlign w:val="center"/>
          </w:tcPr>
          <w:p w14:paraId="491C2A9D">
            <w:pPr>
              <w:jc w:val="center"/>
              <w:rPr>
                <w:rFonts w:ascii="宋体" w:hAnsi="宋体" w:cs="宋体"/>
                <w:color w:val="auto"/>
                <w:szCs w:val="21"/>
              </w:rPr>
            </w:pPr>
            <w:r>
              <w:rPr>
                <w:rFonts w:hint="eastAsia" w:ascii="宋体" w:hAnsi="宋体" w:cs="宋体"/>
                <w:color w:val="auto"/>
                <w:szCs w:val="21"/>
              </w:rPr>
              <w:t>每天上、下午各一次</w:t>
            </w:r>
          </w:p>
        </w:tc>
        <w:tc>
          <w:tcPr>
            <w:tcW w:w="2724" w:type="dxa"/>
            <w:tcBorders>
              <w:top w:val="single" w:color="auto" w:sz="4" w:space="0"/>
              <w:left w:val="single" w:color="auto" w:sz="4" w:space="0"/>
              <w:right w:val="single" w:color="auto" w:sz="4" w:space="0"/>
            </w:tcBorders>
            <w:shd w:val="clear" w:color="auto" w:fill="FFFFFF"/>
            <w:vAlign w:val="center"/>
          </w:tcPr>
          <w:p w14:paraId="20C3248E">
            <w:pPr>
              <w:jc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水箱盖一定要放在安全的地 方，防止打烂；</w:t>
            </w:r>
          </w:p>
          <w:p w14:paraId="12D601F2">
            <w:pPr>
              <w:jc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刷洗时要小心，避免损坏内部 构件。</w:t>
            </w:r>
          </w:p>
        </w:tc>
      </w:tr>
      <w:tr w14:paraId="423653C4">
        <w:tblPrEx>
          <w:tblCellMar>
            <w:top w:w="0" w:type="dxa"/>
            <w:left w:w="10" w:type="dxa"/>
            <w:bottom w:w="0" w:type="dxa"/>
            <w:right w:w="10" w:type="dxa"/>
          </w:tblCellMar>
        </w:tblPrEx>
        <w:trPr>
          <w:trHeight w:val="1213" w:hRule="exact"/>
          <w:jc w:val="center"/>
        </w:trPr>
        <w:tc>
          <w:tcPr>
            <w:tcW w:w="1039" w:type="dxa"/>
            <w:tcBorders>
              <w:top w:val="single" w:color="auto" w:sz="4" w:space="0"/>
              <w:left w:val="single" w:color="auto" w:sz="4" w:space="0"/>
            </w:tcBorders>
            <w:shd w:val="clear" w:color="auto" w:fill="FFFFFF"/>
            <w:vAlign w:val="center"/>
          </w:tcPr>
          <w:p w14:paraId="598FD0C0">
            <w:pPr>
              <w:jc w:val="center"/>
              <w:rPr>
                <w:rFonts w:ascii="宋体" w:hAnsi="宋体" w:cs="宋体"/>
                <w:color w:val="auto"/>
                <w:szCs w:val="21"/>
              </w:rPr>
            </w:pPr>
            <w:r>
              <w:rPr>
                <w:rFonts w:hint="eastAsia" w:ascii="宋体" w:hAnsi="宋体" w:cs="宋体"/>
                <w:color w:val="auto"/>
                <w:szCs w:val="21"/>
              </w:rPr>
              <w:t>垃圾桶</w:t>
            </w:r>
          </w:p>
        </w:tc>
        <w:tc>
          <w:tcPr>
            <w:tcW w:w="2359" w:type="dxa"/>
            <w:tcBorders>
              <w:top w:val="single" w:color="auto" w:sz="4" w:space="0"/>
              <w:left w:val="single" w:color="auto" w:sz="4" w:space="0"/>
            </w:tcBorders>
            <w:shd w:val="clear" w:color="auto" w:fill="FFFFFF"/>
            <w:vAlign w:val="center"/>
          </w:tcPr>
          <w:p w14:paraId="3CDBD499">
            <w:pPr>
              <w:jc w:val="center"/>
              <w:rPr>
                <w:rFonts w:ascii="宋体" w:hAnsi="宋体" w:cs="宋体"/>
                <w:color w:val="auto"/>
                <w:szCs w:val="21"/>
              </w:rPr>
            </w:pPr>
            <w:r>
              <w:rPr>
                <w:rFonts w:hint="eastAsia" w:ascii="宋体" w:hAnsi="宋体" w:cs="宋体"/>
                <w:color w:val="auto"/>
                <w:szCs w:val="21"/>
              </w:rPr>
              <w:t>光亮、无污迹、无水 迹，周边无垃圾</w:t>
            </w:r>
          </w:p>
        </w:tc>
        <w:tc>
          <w:tcPr>
            <w:tcW w:w="1812" w:type="dxa"/>
            <w:tcBorders>
              <w:top w:val="single" w:color="auto" w:sz="4" w:space="0"/>
              <w:left w:val="single" w:color="auto" w:sz="4" w:space="0"/>
            </w:tcBorders>
            <w:shd w:val="clear" w:color="auto" w:fill="FFFFFF"/>
            <w:vAlign w:val="center"/>
          </w:tcPr>
          <w:p w14:paraId="044BF084">
            <w:pPr>
              <w:jc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每天三次</w:t>
            </w:r>
          </w:p>
          <w:p w14:paraId="32B9FD9A">
            <w:pPr>
              <w:jc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随满随倒</w:t>
            </w:r>
          </w:p>
        </w:tc>
        <w:tc>
          <w:tcPr>
            <w:tcW w:w="2724" w:type="dxa"/>
            <w:tcBorders>
              <w:top w:val="single" w:color="auto" w:sz="4" w:space="0"/>
              <w:left w:val="single" w:color="auto" w:sz="4" w:space="0"/>
              <w:right w:val="single" w:color="auto" w:sz="4" w:space="0"/>
            </w:tcBorders>
            <w:shd w:val="clear" w:color="auto" w:fill="FFFFFF"/>
            <w:vAlign w:val="center"/>
          </w:tcPr>
          <w:p w14:paraId="11DBD24F">
            <w:pPr>
              <w:jc w:val="center"/>
              <w:rPr>
                <w:rFonts w:ascii="宋体" w:hAnsi="宋体" w:cs="宋体"/>
                <w:color w:val="auto"/>
                <w:szCs w:val="21"/>
              </w:rPr>
            </w:pPr>
            <w:r>
              <w:rPr>
                <w:rFonts w:hint="eastAsia" w:ascii="宋体" w:hAnsi="宋体" w:cs="宋体"/>
                <w:color w:val="auto"/>
                <w:szCs w:val="21"/>
              </w:rPr>
              <w:t>垃圾袋平整地套在垃圾桶上，与 垃圾桶之间无缝隙，翻边约5厘 米，不能漫溢。</w:t>
            </w:r>
          </w:p>
        </w:tc>
      </w:tr>
      <w:tr w14:paraId="4FE796F8">
        <w:tblPrEx>
          <w:tblCellMar>
            <w:top w:w="0" w:type="dxa"/>
            <w:left w:w="10" w:type="dxa"/>
            <w:bottom w:w="0" w:type="dxa"/>
            <w:right w:w="10" w:type="dxa"/>
          </w:tblCellMar>
        </w:tblPrEx>
        <w:trPr>
          <w:trHeight w:val="1945" w:hRule="exact"/>
          <w:jc w:val="center"/>
        </w:trPr>
        <w:tc>
          <w:tcPr>
            <w:tcW w:w="1039" w:type="dxa"/>
            <w:tcBorders>
              <w:top w:val="single" w:color="auto" w:sz="4" w:space="0"/>
              <w:left w:val="single" w:color="auto" w:sz="4" w:space="0"/>
            </w:tcBorders>
            <w:shd w:val="clear" w:color="auto" w:fill="FFFFFF"/>
            <w:vAlign w:val="center"/>
          </w:tcPr>
          <w:p w14:paraId="64DE55F4">
            <w:pPr>
              <w:jc w:val="center"/>
              <w:rPr>
                <w:rFonts w:ascii="宋体" w:hAnsi="宋体" w:cs="宋体"/>
                <w:color w:val="auto"/>
                <w:szCs w:val="21"/>
              </w:rPr>
            </w:pPr>
            <w:r>
              <w:rPr>
                <w:rFonts w:hint="eastAsia" w:ascii="宋体" w:hAnsi="宋体" w:cs="宋体"/>
                <w:color w:val="auto"/>
                <w:szCs w:val="21"/>
              </w:rPr>
              <w:t>门（面、锁 把手、锁眼、 碰头）、饺链</w:t>
            </w:r>
          </w:p>
        </w:tc>
        <w:tc>
          <w:tcPr>
            <w:tcW w:w="2359" w:type="dxa"/>
            <w:tcBorders>
              <w:top w:val="single" w:color="auto" w:sz="4" w:space="0"/>
              <w:left w:val="single" w:color="auto" w:sz="4" w:space="0"/>
            </w:tcBorders>
            <w:shd w:val="clear" w:color="auto" w:fill="FFFFFF"/>
            <w:vAlign w:val="center"/>
          </w:tcPr>
          <w:p w14:paraId="6CD044A2">
            <w:pPr>
              <w:jc w:val="center"/>
              <w:rPr>
                <w:rFonts w:ascii="宋体" w:hAnsi="宋体" w:cs="宋体"/>
                <w:color w:val="auto"/>
                <w:szCs w:val="21"/>
              </w:rPr>
            </w:pPr>
            <w:r>
              <w:rPr>
                <w:rFonts w:hint="eastAsia" w:ascii="宋体" w:hAnsi="宋体" w:cs="宋体"/>
                <w:color w:val="auto"/>
                <w:szCs w:val="21"/>
              </w:rPr>
              <w:t>无浮灰、手印、斑迹</w:t>
            </w:r>
          </w:p>
        </w:tc>
        <w:tc>
          <w:tcPr>
            <w:tcW w:w="1812" w:type="dxa"/>
            <w:tcBorders>
              <w:top w:val="single" w:color="auto" w:sz="4" w:space="0"/>
              <w:left w:val="single" w:color="auto" w:sz="4" w:space="0"/>
            </w:tcBorders>
            <w:shd w:val="clear" w:color="auto" w:fill="FFFFFF"/>
            <w:vAlign w:val="center"/>
          </w:tcPr>
          <w:p w14:paraId="5182B19A">
            <w:pPr>
              <w:jc w:val="center"/>
              <w:rPr>
                <w:rFonts w:ascii="宋体" w:hAnsi="宋体" w:cs="宋体"/>
                <w:color w:val="auto"/>
                <w:szCs w:val="21"/>
              </w:rPr>
            </w:pPr>
            <w:r>
              <w:rPr>
                <w:rFonts w:hint="eastAsia" w:ascii="宋体" w:hAnsi="宋体" w:cs="宋体"/>
                <w:color w:val="auto"/>
                <w:szCs w:val="21"/>
              </w:rPr>
              <w:t>每天上午一次</w:t>
            </w:r>
          </w:p>
        </w:tc>
        <w:tc>
          <w:tcPr>
            <w:tcW w:w="2724" w:type="dxa"/>
            <w:tcBorders>
              <w:top w:val="single" w:color="auto" w:sz="4" w:space="0"/>
              <w:left w:val="single" w:color="auto" w:sz="4" w:space="0"/>
              <w:right w:val="single" w:color="auto" w:sz="4" w:space="0"/>
            </w:tcBorders>
            <w:shd w:val="clear" w:color="auto" w:fill="FFFFFF"/>
            <w:vAlign w:val="center"/>
          </w:tcPr>
          <w:p w14:paraId="05CB6E84">
            <w:pPr>
              <w:jc w:val="center"/>
              <w:rPr>
                <w:rFonts w:ascii="宋体" w:hAnsi="宋体" w:cs="宋体"/>
                <w:color w:val="auto"/>
                <w:szCs w:val="21"/>
              </w:rPr>
            </w:pPr>
            <w:r>
              <w:rPr>
                <w:rFonts w:hint="eastAsia" w:ascii="宋体" w:hAnsi="宋体" w:cs="宋体"/>
                <w:color w:val="auto"/>
                <w:szCs w:val="21"/>
              </w:rPr>
              <w:t>用专用工具包抹布清洁锁眼、 校链、碰头，定时给钗链上矿物 油，保洁保养每周一次。</w:t>
            </w:r>
          </w:p>
        </w:tc>
      </w:tr>
      <w:tr w14:paraId="1EB3FA46">
        <w:tblPrEx>
          <w:tblCellMar>
            <w:top w:w="0" w:type="dxa"/>
            <w:left w:w="10" w:type="dxa"/>
            <w:bottom w:w="0" w:type="dxa"/>
            <w:right w:w="10" w:type="dxa"/>
          </w:tblCellMar>
        </w:tblPrEx>
        <w:trPr>
          <w:trHeight w:val="1718" w:hRule="exact"/>
          <w:jc w:val="center"/>
        </w:trPr>
        <w:tc>
          <w:tcPr>
            <w:tcW w:w="1039" w:type="dxa"/>
            <w:tcBorders>
              <w:top w:val="single" w:color="auto" w:sz="4" w:space="0"/>
              <w:left w:val="single" w:color="auto" w:sz="4" w:space="0"/>
            </w:tcBorders>
            <w:shd w:val="clear" w:color="auto" w:fill="FFFFFF"/>
            <w:vAlign w:val="center"/>
          </w:tcPr>
          <w:p w14:paraId="08ECFF58">
            <w:pPr>
              <w:jc w:val="center"/>
              <w:rPr>
                <w:rFonts w:ascii="宋体" w:hAnsi="宋体" w:cs="宋体"/>
                <w:color w:val="auto"/>
                <w:szCs w:val="21"/>
              </w:rPr>
            </w:pPr>
            <w:r>
              <w:rPr>
                <w:rFonts w:hint="eastAsia" w:ascii="宋体" w:hAnsi="宋体" w:cs="宋体"/>
                <w:color w:val="auto"/>
                <w:szCs w:val="21"/>
              </w:rPr>
              <w:t>门槛、防滑 垫、地漏</w:t>
            </w:r>
          </w:p>
        </w:tc>
        <w:tc>
          <w:tcPr>
            <w:tcW w:w="2359" w:type="dxa"/>
            <w:tcBorders>
              <w:top w:val="single" w:color="auto" w:sz="4" w:space="0"/>
              <w:left w:val="single" w:color="auto" w:sz="4" w:space="0"/>
            </w:tcBorders>
            <w:shd w:val="clear" w:color="auto" w:fill="FFFFFF"/>
            <w:vAlign w:val="center"/>
          </w:tcPr>
          <w:p w14:paraId="3CEF6FA2">
            <w:pPr>
              <w:jc w:val="center"/>
              <w:rPr>
                <w:rFonts w:ascii="宋体" w:hAnsi="宋体" w:cs="宋体"/>
                <w:color w:val="auto"/>
                <w:szCs w:val="21"/>
              </w:rPr>
            </w:pPr>
            <w:r>
              <w:rPr>
                <w:rFonts w:hint="eastAsia" w:ascii="宋体" w:hAnsi="宋体" w:cs="宋体"/>
                <w:color w:val="auto"/>
                <w:szCs w:val="21"/>
              </w:rPr>
              <w:t>无头发、纱头，无 灰尘、纸屑，无污迹、 水迹</w:t>
            </w:r>
          </w:p>
        </w:tc>
        <w:tc>
          <w:tcPr>
            <w:tcW w:w="1812" w:type="dxa"/>
            <w:tcBorders>
              <w:top w:val="single" w:color="auto" w:sz="4" w:space="0"/>
              <w:left w:val="single" w:color="auto" w:sz="4" w:space="0"/>
            </w:tcBorders>
            <w:shd w:val="clear" w:color="auto" w:fill="FFFFFF"/>
            <w:vAlign w:val="center"/>
          </w:tcPr>
          <w:p w14:paraId="4B5A6ADB">
            <w:pPr>
              <w:jc w:val="center"/>
              <w:rPr>
                <w:rFonts w:ascii="宋体" w:hAnsi="宋体" w:cs="宋体"/>
                <w:color w:val="auto"/>
                <w:szCs w:val="21"/>
              </w:rPr>
            </w:pPr>
            <w:r>
              <w:rPr>
                <w:rFonts w:hint="eastAsia" w:ascii="宋体" w:hAnsi="宋体" w:cs="宋体"/>
                <w:color w:val="auto"/>
                <w:szCs w:val="21"/>
              </w:rPr>
              <w:t>每天上、下午一次</w:t>
            </w:r>
          </w:p>
        </w:tc>
        <w:tc>
          <w:tcPr>
            <w:tcW w:w="2724" w:type="dxa"/>
            <w:tcBorders>
              <w:top w:val="single" w:color="auto" w:sz="4" w:space="0"/>
              <w:left w:val="single" w:color="auto" w:sz="4" w:space="0"/>
              <w:right w:val="single" w:color="auto" w:sz="4" w:space="0"/>
            </w:tcBorders>
            <w:shd w:val="clear" w:color="auto" w:fill="FFFFFF"/>
            <w:vAlign w:val="center"/>
          </w:tcPr>
          <w:p w14:paraId="5274DCEF">
            <w:pPr>
              <w:jc w:val="center"/>
              <w:rPr>
                <w:rFonts w:ascii="宋体" w:hAnsi="宋体" w:cs="宋体"/>
                <w:color w:val="auto"/>
                <w:szCs w:val="21"/>
              </w:rPr>
            </w:pPr>
            <w:r>
              <w:rPr>
                <w:rFonts w:hint="eastAsia" w:ascii="宋体" w:hAnsi="宋体" w:cs="宋体"/>
                <w:color w:val="auto"/>
                <w:szCs w:val="21"/>
              </w:rPr>
              <w:t>地漏清洁后应盖在地漏孔上，不 可有积水。</w:t>
            </w:r>
          </w:p>
        </w:tc>
      </w:tr>
      <w:tr w14:paraId="2B4C45C5">
        <w:tblPrEx>
          <w:tblCellMar>
            <w:top w:w="0" w:type="dxa"/>
            <w:left w:w="10" w:type="dxa"/>
            <w:bottom w:w="0" w:type="dxa"/>
            <w:right w:w="10" w:type="dxa"/>
          </w:tblCellMar>
        </w:tblPrEx>
        <w:trPr>
          <w:trHeight w:val="723" w:hRule="exact"/>
          <w:jc w:val="center"/>
        </w:trPr>
        <w:tc>
          <w:tcPr>
            <w:tcW w:w="1039" w:type="dxa"/>
            <w:tcBorders>
              <w:top w:val="single" w:color="auto" w:sz="4" w:space="0"/>
              <w:left w:val="single" w:color="auto" w:sz="4" w:space="0"/>
            </w:tcBorders>
            <w:shd w:val="clear" w:color="auto" w:fill="FFFFFF"/>
            <w:vAlign w:val="center"/>
          </w:tcPr>
          <w:p w14:paraId="73B69A53">
            <w:pPr>
              <w:jc w:val="center"/>
              <w:rPr>
                <w:rFonts w:ascii="宋体" w:hAnsi="宋体" w:cs="宋体"/>
                <w:color w:val="auto"/>
                <w:szCs w:val="21"/>
              </w:rPr>
            </w:pPr>
            <w:r>
              <w:rPr>
                <w:rFonts w:hint="eastAsia" w:ascii="宋体" w:hAnsi="宋体" w:cs="宋体"/>
                <w:color w:val="auto"/>
                <w:szCs w:val="21"/>
              </w:rPr>
              <w:t>风口及风口 挡板</w:t>
            </w:r>
          </w:p>
        </w:tc>
        <w:tc>
          <w:tcPr>
            <w:tcW w:w="2359" w:type="dxa"/>
            <w:tcBorders>
              <w:top w:val="single" w:color="auto" w:sz="4" w:space="0"/>
              <w:left w:val="single" w:color="auto" w:sz="4" w:space="0"/>
            </w:tcBorders>
            <w:shd w:val="clear" w:color="auto" w:fill="FFFFFF"/>
            <w:vAlign w:val="center"/>
          </w:tcPr>
          <w:p w14:paraId="447BF769">
            <w:pPr>
              <w:jc w:val="center"/>
              <w:rPr>
                <w:rFonts w:ascii="宋体" w:hAnsi="宋体" w:cs="宋体"/>
                <w:color w:val="auto"/>
                <w:szCs w:val="21"/>
              </w:rPr>
            </w:pPr>
            <w:r>
              <w:rPr>
                <w:rFonts w:hint="eastAsia" w:ascii="宋体" w:hAnsi="宋体" w:cs="宋体"/>
                <w:color w:val="auto"/>
                <w:szCs w:val="21"/>
              </w:rPr>
              <w:t>无灰尘、无印迹</w:t>
            </w:r>
          </w:p>
        </w:tc>
        <w:tc>
          <w:tcPr>
            <w:tcW w:w="1812" w:type="dxa"/>
            <w:tcBorders>
              <w:top w:val="single" w:color="auto" w:sz="4" w:space="0"/>
              <w:left w:val="single" w:color="auto" w:sz="4" w:space="0"/>
            </w:tcBorders>
            <w:shd w:val="clear" w:color="auto" w:fill="FFFFFF"/>
            <w:vAlign w:val="center"/>
          </w:tcPr>
          <w:p w14:paraId="1CBFD727">
            <w:pPr>
              <w:jc w:val="center"/>
              <w:rPr>
                <w:rFonts w:ascii="宋体" w:hAnsi="宋体" w:cs="宋体"/>
                <w:color w:val="auto"/>
                <w:szCs w:val="21"/>
              </w:rPr>
            </w:pPr>
            <w:r>
              <w:rPr>
                <w:rFonts w:hint="eastAsia" w:ascii="宋体" w:hAnsi="宋体" w:cs="宋体"/>
                <w:color w:val="auto"/>
                <w:szCs w:val="21"/>
              </w:rPr>
              <w:t>每周一次</w:t>
            </w:r>
          </w:p>
        </w:tc>
        <w:tc>
          <w:tcPr>
            <w:tcW w:w="2724" w:type="dxa"/>
            <w:tcBorders>
              <w:top w:val="single" w:color="auto" w:sz="4" w:space="0"/>
              <w:left w:val="single" w:color="auto" w:sz="4" w:space="0"/>
              <w:right w:val="single" w:color="auto" w:sz="4" w:space="0"/>
            </w:tcBorders>
            <w:shd w:val="clear" w:color="auto" w:fill="FFFFFF"/>
            <w:vAlign w:val="center"/>
          </w:tcPr>
          <w:p w14:paraId="37BE5397">
            <w:pPr>
              <w:jc w:val="center"/>
              <w:rPr>
                <w:rFonts w:ascii="宋体" w:hAnsi="宋体" w:cs="宋体"/>
                <w:color w:val="auto"/>
                <w:szCs w:val="21"/>
              </w:rPr>
            </w:pPr>
            <w:r>
              <w:rPr>
                <w:rFonts w:hint="eastAsia" w:ascii="宋体" w:hAnsi="宋体" w:cs="宋体"/>
                <w:color w:val="auto"/>
                <w:szCs w:val="21"/>
              </w:rPr>
              <w:t>风口四周墙壁不可有污迹，不可 站在病人用椅上。</w:t>
            </w:r>
          </w:p>
        </w:tc>
      </w:tr>
      <w:tr w14:paraId="4B9196E5">
        <w:tblPrEx>
          <w:tblCellMar>
            <w:top w:w="0" w:type="dxa"/>
            <w:left w:w="10" w:type="dxa"/>
            <w:bottom w:w="0" w:type="dxa"/>
            <w:right w:w="10" w:type="dxa"/>
          </w:tblCellMar>
        </w:tblPrEx>
        <w:trPr>
          <w:trHeight w:val="715" w:hRule="exact"/>
          <w:jc w:val="center"/>
        </w:trPr>
        <w:tc>
          <w:tcPr>
            <w:tcW w:w="1039" w:type="dxa"/>
            <w:tcBorders>
              <w:top w:val="single" w:color="auto" w:sz="4" w:space="0"/>
              <w:left w:val="single" w:color="auto" w:sz="4" w:space="0"/>
            </w:tcBorders>
            <w:shd w:val="clear" w:color="auto" w:fill="FFFFFF"/>
            <w:vAlign w:val="center"/>
          </w:tcPr>
          <w:p w14:paraId="7D469CE8">
            <w:pPr>
              <w:jc w:val="center"/>
              <w:rPr>
                <w:rFonts w:ascii="宋体" w:hAnsi="宋体" w:cs="宋体"/>
                <w:color w:val="auto"/>
                <w:szCs w:val="21"/>
              </w:rPr>
            </w:pPr>
            <w:r>
              <w:rPr>
                <w:rFonts w:hint="eastAsia" w:ascii="宋体" w:hAnsi="宋体" w:cs="宋体"/>
                <w:color w:val="auto"/>
                <w:szCs w:val="21"/>
              </w:rPr>
              <w:t>房顶</w:t>
            </w:r>
          </w:p>
        </w:tc>
        <w:tc>
          <w:tcPr>
            <w:tcW w:w="2359" w:type="dxa"/>
            <w:tcBorders>
              <w:top w:val="single" w:color="auto" w:sz="4" w:space="0"/>
              <w:left w:val="single" w:color="auto" w:sz="4" w:space="0"/>
            </w:tcBorders>
            <w:shd w:val="clear" w:color="auto" w:fill="FFFFFF"/>
            <w:vAlign w:val="center"/>
          </w:tcPr>
          <w:p w14:paraId="2A6C6FBE">
            <w:pPr>
              <w:jc w:val="center"/>
              <w:rPr>
                <w:rFonts w:ascii="宋体" w:hAnsi="宋体" w:cs="宋体"/>
                <w:color w:val="auto"/>
                <w:szCs w:val="21"/>
              </w:rPr>
            </w:pPr>
            <w:r>
              <w:rPr>
                <w:rFonts w:hint="eastAsia" w:ascii="宋体" w:hAnsi="宋体" w:cs="宋体"/>
                <w:color w:val="auto"/>
                <w:szCs w:val="21"/>
              </w:rPr>
              <w:t>无斑迹、无吊灰、无 蜘蛛网</w:t>
            </w:r>
          </w:p>
        </w:tc>
        <w:tc>
          <w:tcPr>
            <w:tcW w:w="1812" w:type="dxa"/>
            <w:tcBorders>
              <w:top w:val="single" w:color="auto" w:sz="4" w:space="0"/>
              <w:left w:val="single" w:color="auto" w:sz="4" w:space="0"/>
            </w:tcBorders>
            <w:shd w:val="clear" w:color="auto" w:fill="FFFFFF"/>
            <w:vAlign w:val="center"/>
          </w:tcPr>
          <w:p w14:paraId="19CFF41D">
            <w:pPr>
              <w:jc w:val="center"/>
              <w:rPr>
                <w:rFonts w:ascii="宋体" w:hAnsi="宋体" w:cs="宋体"/>
                <w:color w:val="auto"/>
                <w:szCs w:val="21"/>
              </w:rPr>
            </w:pPr>
            <w:r>
              <w:rPr>
                <w:rFonts w:hint="eastAsia" w:ascii="宋体" w:hAnsi="宋体" w:cs="宋体"/>
                <w:color w:val="auto"/>
                <w:szCs w:val="21"/>
              </w:rPr>
              <w:t>每周一次</w:t>
            </w:r>
          </w:p>
        </w:tc>
        <w:tc>
          <w:tcPr>
            <w:tcW w:w="2724" w:type="dxa"/>
            <w:tcBorders>
              <w:top w:val="single" w:color="auto" w:sz="4" w:space="0"/>
              <w:left w:val="single" w:color="auto" w:sz="4" w:space="0"/>
              <w:right w:val="single" w:color="auto" w:sz="4" w:space="0"/>
            </w:tcBorders>
            <w:shd w:val="clear" w:color="auto" w:fill="FFFFFF"/>
            <w:vAlign w:val="center"/>
          </w:tcPr>
          <w:p w14:paraId="6B48232E">
            <w:pPr>
              <w:jc w:val="center"/>
              <w:rPr>
                <w:rFonts w:ascii="宋体" w:hAnsi="宋体" w:cs="宋体"/>
                <w:color w:val="auto"/>
                <w:szCs w:val="21"/>
              </w:rPr>
            </w:pPr>
            <w:r>
              <w:rPr>
                <w:rFonts w:hint="eastAsia" w:ascii="宋体" w:hAnsi="宋体" w:cs="宋体"/>
                <w:color w:val="auto"/>
                <w:szCs w:val="21"/>
              </w:rPr>
              <w:t>防止灰尘扬起。</w:t>
            </w:r>
          </w:p>
        </w:tc>
      </w:tr>
      <w:tr w14:paraId="57906749">
        <w:tblPrEx>
          <w:tblCellMar>
            <w:top w:w="0" w:type="dxa"/>
            <w:left w:w="10" w:type="dxa"/>
            <w:bottom w:w="0" w:type="dxa"/>
            <w:right w:w="10" w:type="dxa"/>
          </w:tblCellMar>
        </w:tblPrEx>
        <w:trPr>
          <w:trHeight w:val="1273" w:hRule="exact"/>
          <w:jc w:val="center"/>
        </w:trPr>
        <w:tc>
          <w:tcPr>
            <w:tcW w:w="1039" w:type="dxa"/>
            <w:tcBorders>
              <w:top w:val="single" w:color="auto" w:sz="4" w:space="0"/>
              <w:left w:val="single" w:color="auto" w:sz="4" w:space="0"/>
            </w:tcBorders>
            <w:shd w:val="clear" w:color="auto" w:fill="FFFFFF"/>
            <w:vAlign w:val="center"/>
          </w:tcPr>
          <w:p w14:paraId="429A3DA3">
            <w:pPr>
              <w:jc w:val="center"/>
              <w:rPr>
                <w:rFonts w:ascii="宋体" w:hAnsi="宋体" w:cs="宋体"/>
                <w:color w:val="auto"/>
                <w:szCs w:val="21"/>
              </w:rPr>
            </w:pPr>
            <w:r>
              <w:rPr>
                <w:rFonts w:hint="eastAsia" w:ascii="宋体" w:hAnsi="宋体" w:cs="宋体"/>
                <w:color w:val="auto"/>
                <w:szCs w:val="21"/>
              </w:rPr>
              <w:t>顶灯及罩</w:t>
            </w:r>
          </w:p>
        </w:tc>
        <w:tc>
          <w:tcPr>
            <w:tcW w:w="2359" w:type="dxa"/>
            <w:tcBorders>
              <w:top w:val="single" w:color="auto" w:sz="4" w:space="0"/>
              <w:left w:val="single" w:color="auto" w:sz="4" w:space="0"/>
            </w:tcBorders>
            <w:shd w:val="clear" w:color="auto" w:fill="FFFFFF"/>
            <w:vAlign w:val="center"/>
          </w:tcPr>
          <w:p w14:paraId="222F0317">
            <w:pPr>
              <w:jc w:val="center"/>
              <w:rPr>
                <w:rFonts w:ascii="宋体" w:hAnsi="宋体" w:cs="宋体"/>
                <w:color w:val="auto"/>
                <w:szCs w:val="21"/>
              </w:rPr>
            </w:pPr>
            <w:r>
              <w:rPr>
                <w:rFonts w:hint="eastAsia" w:ascii="宋体" w:hAnsi="宋体" w:cs="宋体"/>
                <w:color w:val="auto"/>
                <w:szCs w:val="21"/>
              </w:rPr>
              <w:t>无灰尘</w:t>
            </w:r>
          </w:p>
        </w:tc>
        <w:tc>
          <w:tcPr>
            <w:tcW w:w="1812" w:type="dxa"/>
            <w:tcBorders>
              <w:top w:val="single" w:color="auto" w:sz="4" w:space="0"/>
              <w:left w:val="single" w:color="auto" w:sz="4" w:space="0"/>
            </w:tcBorders>
            <w:shd w:val="clear" w:color="auto" w:fill="FFFFFF"/>
            <w:vAlign w:val="center"/>
          </w:tcPr>
          <w:p w14:paraId="34BF3F8C">
            <w:pPr>
              <w:jc w:val="center"/>
              <w:rPr>
                <w:rFonts w:ascii="宋体" w:hAnsi="宋体" w:cs="宋体"/>
                <w:color w:val="auto"/>
                <w:szCs w:val="21"/>
              </w:rPr>
            </w:pPr>
            <w:r>
              <w:rPr>
                <w:rFonts w:hint="eastAsia" w:ascii="宋体" w:hAnsi="宋体" w:cs="宋体"/>
                <w:color w:val="auto"/>
                <w:szCs w:val="21"/>
              </w:rPr>
              <w:t>每周一次</w:t>
            </w:r>
          </w:p>
        </w:tc>
        <w:tc>
          <w:tcPr>
            <w:tcW w:w="2724" w:type="dxa"/>
            <w:tcBorders>
              <w:top w:val="single" w:color="auto" w:sz="4" w:space="0"/>
              <w:left w:val="single" w:color="auto" w:sz="4" w:space="0"/>
              <w:right w:val="single" w:color="auto" w:sz="4" w:space="0"/>
            </w:tcBorders>
            <w:shd w:val="clear" w:color="auto" w:fill="FFFFFF"/>
            <w:vAlign w:val="center"/>
          </w:tcPr>
          <w:p w14:paraId="3CE4FE9A">
            <w:pPr>
              <w:jc w:val="center"/>
              <w:rPr>
                <w:rFonts w:ascii="宋体" w:hAnsi="宋体" w:cs="宋体"/>
                <w:color w:val="auto"/>
                <w:szCs w:val="21"/>
              </w:rPr>
            </w:pPr>
            <w:r>
              <w:rPr>
                <w:rFonts w:hint="eastAsia" w:ascii="宋体" w:hAnsi="宋体" w:cs="宋体"/>
                <w:color w:val="auto"/>
                <w:szCs w:val="21"/>
              </w:rPr>
              <w:t>擦时不要把灯罩周围墙壁碰有印 迹。</w:t>
            </w:r>
          </w:p>
        </w:tc>
      </w:tr>
      <w:tr w14:paraId="08443548">
        <w:tblPrEx>
          <w:tblCellMar>
            <w:top w:w="0" w:type="dxa"/>
            <w:left w:w="10" w:type="dxa"/>
            <w:bottom w:w="0" w:type="dxa"/>
            <w:right w:w="10" w:type="dxa"/>
          </w:tblCellMar>
        </w:tblPrEx>
        <w:trPr>
          <w:trHeight w:val="900" w:hRule="exact"/>
          <w:jc w:val="center"/>
        </w:trPr>
        <w:tc>
          <w:tcPr>
            <w:tcW w:w="1039" w:type="dxa"/>
            <w:tcBorders>
              <w:top w:val="single" w:color="auto" w:sz="4" w:space="0"/>
              <w:left w:val="single" w:color="auto" w:sz="4" w:space="0"/>
            </w:tcBorders>
            <w:shd w:val="clear" w:color="auto" w:fill="FFFFFF"/>
            <w:vAlign w:val="center"/>
          </w:tcPr>
          <w:p w14:paraId="611C0D27">
            <w:pPr>
              <w:jc w:val="center"/>
              <w:rPr>
                <w:rFonts w:ascii="宋体" w:hAnsi="宋体" w:cs="宋体"/>
                <w:color w:val="auto"/>
                <w:szCs w:val="21"/>
              </w:rPr>
            </w:pPr>
            <w:r>
              <w:rPr>
                <w:rFonts w:hint="eastAsia" w:ascii="宋体" w:hAnsi="宋体" w:cs="宋体"/>
                <w:color w:val="auto"/>
                <w:szCs w:val="21"/>
              </w:rPr>
              <w:t>卫生间空气</w:t>
            </w:r>
          </w:p>
        </w:tc>
        <w:tc>
          <w:tcPr>
            <w:tcW w:w="2359" w:type="dxa"/>
            <w:tcBorders>
              <w:top w:val="single" w:color="auto" w:sz="4" w:space="0"/>
              <w:left w:val="single" w:color="auto" w:sz="4" w:space="0"/>
            </w:tcBorders>
            <w:shd w:val="clear" w:color="auto" w:fill="FFFFFF"/>
            <w:vAlign w:val="center"/>
          </w:tcPr>
          <w:p w14:paraId="1736BB2E">
            <w:pPr>
              <w:jc w:val="center"/>
              <w:rPr>
                <w:rFonts w:ascii="宋体" w:hAnsi="宋体" w:cs="宋体"/>
                <w:color w:val="auto"/>
                <w:szCs w:val="21"/>
              </w:rPr>
            </w:pPr>
            <w:r>
              <w:rPr>
                <w:rFonts w:hint="eastAsia" w:ascii="宋体" w:hAnsi="宋体" w:cs="宋体"/>
                <w:color w:val="auto"/>
                <w:szCs w:val="21"/>
              </w:rPr>
              <w:t>无异味、空气清新</w:t>
            </w:r>
          </w:p>
        </w:tc>
        <w:tc>
          <w:tcPr>
            <w:tcW w:w="1812" w:type="dxa"/>
            <w:tcBorders>
              <w:top w:val="single" w:color="auto" w:sz="4" w:space="0"/>
              <w:left w:val="single" w:color="auto" w:sz="4" w:space="0"/>
            </w:tcBorders>
            <w:shd w:val="clear" w:color="auto" w:fill="FFFFFF"/>
            <w:vAlign w:val="center"/>
          </w:tcPr>
          <w:p w14:paraId="04931A4C">
            <w:pPr>
              <w:jc w:val="center"/>
              <w:rPr>
                <w:rFonts w:ascii="宋体" w:hAnsi="宋体" w:cs="宋体"/>
                <w:color w:val="auto"/>
                <w:szCs w:val="21"/>
              </w:rPr>
            </w:pPr>
            <w:r>
              <w:rPr>
                <w:rFonts w:hint="eastAsia" w:ascii="宋体" w:hAnsi="宋体" w:cs="宋体"/>
                <w:color w:val="auto"/>
                <w:szCs w:val="21"/>
              </w:rPr>
              <w:t>必要时</w:t>
            </w:r>
          </w:p>
        </w:tc>
        <w:tc>
          <w:tcPr>
            <w:tcW w:w="2724" w:type="dxa"/>
            <w:tcBorders>
              <w:top w:val="single" w:color="auto" w:sz="4" w:space="0"/>
              <w:left w:val="single" w:color="auto" w:sz="4" w:space="0"/>
              <w:right w:val="single" w:color="auto" w:sz="4" w:space="0"/>
            </w:tcBorders>
            <w:shd w:val="clear" w:color="auto" w:fill="FFFFFF"/>
            <w:vAlign w:val="center"/>
          </w:tcPr>
          <w:p w14:paraId="770005E2">
            <w:pPr>
              <w:jc w:val="center"/>
              <w:rPr>
                <w:rFonts w:ascii="宋体" w:hAnsi="宋体" w:cs="宋体"/>
                <w:color w:val="auto"/>
                <w:szCs w:val="21"/>
              </w:rPr>
            </w:pPr>
          </w:p>
        </w:tc>
      </w:tr>
      <w:tr w14:paraId="5DAA0E63">
        <w:tblPrEx>
          <w:tblCellMar>
            <w:top w:w="0" w:type="dxa"/>
            <w:left w:w="10" w:type="dxa"/>
            <w:bottom w:w="0" w:type="dxa"/>
            <w:right w:w="10" w:type="dxa"/>
          </w:tblCellMar>
        </w:tblPrEx>
        <w:trPr>
          <w:trHeight w:val="1388" w:hRule="exact"/>
          <w:jc w:val="center"/>
        </w:trPr>
        <w:tc>
          <w:tcPr>
            <w:tcW w:w="1039" w:type="dxa"/>
            <w:tcBorders>
              <w:top w:val="single" w:color="auto" w:sz="4" w:space="0"/>
              <w:left w:val="single" w:color="auto" w:sz="4" w:space="0"/>
            </w:tcBorders>
            <w:shd w:val="clear" w:color="auto" w:fill="FFFFFF"/>
            <w:vAlign w:val="center"/>
          </w:tcPr>
          <w:p w14:paraId="4E2D34F1">
            <w:pPr>
              <w:jc w:val="center"/>
              <w:rPr>
                <w:rFonts w:ascii="宋体" w:hAnsi="宋体" w:cs="宋体"/>
                <w:color w:val="auto"/>
                <w:szCs w:val="21"/>
              </w:rPr>
            </w:pPr>
            <w:r>
              <w:rPr>
                <w:rFonts w:hint="eastAsia" w:ascii="宋体" w:hAnsi="宋体" w:cs="宋体"/>
                <w:color w:val="auto"/>
                <w:szCs w:val="21"/>
              </w:rPr>
              <w:t>玻璃窗、框、 窗台</w:t>
            </w:r>
          </w:p>
        </w:tc>
        <w:tc>
          <w:tcPr>
            <w:tcW w:w="2359" w:type="dxa"/>
            <w:tcBorders>
              <w:top w:val="single" w:color="auto" w:sz="4" w:space="0"/>
              <w:left w:val="single" w:color="auto" w:sz="4" w:space="0"/>
            </w:tcBorders>
            <w:shd w:val="clear" w:color="auto" w:fill="FFFFFF"/>
            <w:vAlign w:val="center"/>
          </w:tcPr>
          <w:p w14:paraId="3DDECC34">
            <w:pPr>
              <w:jc w:val="center"/>
              <w:rPr>
                <w:rFonts w:ascii="宋体" w:hAnsi="宋体" w:cs="宋体"/>
                <w:color w:val="auto"/>
                <w:szCs w:val="21"/>
              </w:rPr>
            </w:pPr>
            <w:r>
              <w:rPr>
                <w:rFonts w:hint="eastAsia" w:ascii="宋体" w:hAnsi="宋体" w:cs="宋体"/>
                <w:color w:val="auto"/>
                <w:szCs w:val="21"/>
              </w:rPr>
              <w:t>窗框无灰尘、玻璃明 亮无污迹</w:t>
            </w:r>
          </w:p>
        </w:tc>
        <w:tc>
          <w:tcPr>
            <w:tcW w:w="1812" w:type="dxa"/>
            <w:tcBorders>
              <w:top w:val="single" w:color="auto" w:sz="4" w:space="0"/>
              <w:left w:val="single" w:color="auto" w:sz="4" w:space="0"/>
            </w:tcBorders>
            <w:shd w:val="clear" w:color="auto" w:fill="FFFFFF"/>
            <w:vAlign w:val="center"/>
          </w:tcPr>
          <w:p w14:paraId="2D564332">
            <w:pPr>
              <w:jc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玻璃每周一次</w:t>
            </w:r>
          </w:p>
          <w:p w14:paraId="0727AFD5">
            <w:pPr>
              <w:jc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窗框、台每天一次</w:t>
            </w:r>
          </w:p>
        </w:tc>
        <w:tc>
          <w:tcPr>
            <w:tcW w:w="2724" w:type="dxa"/>
            <w:tcBorders>
              <w:top w:val="single" w:color="auto" w:sz="4" w:space="0"/>
              <w:left w:val="single" w:color="auto" w:sz="4" w:space="0"/>
              <w:right w:val="single" w:color="auto" w:sz="4" w:space="0"/>
            </w:tcBorders>
            <w:shd w:val="clear" w:color="auto" w:fill="FFFFFF"/>
            <w:vAlign w:val="center"/>
          </w:tcPr>
          <w:p w14:paraId="28C5F056">
            <w:pPr>
              <w:jc w:val="center"/>
              <w:rPr>
                <w:rFonts w:ascii="宋体" w:hAnsi="宋体" w:cs="宋体"/>
                <w:color w:val="auto"/>
                <w:szCs w:val="21"/>
              </w:rPr>
            </w:pPr>
          </w:p>
        </w:tc>
      </w:tr>
      <w:tr w14:paraId="6CF214D1">
        <w:tblPrEx>
          <w:tblCellMar>
            <w:top w:w="0" w:type="dxa"/>
            <w:left w:w="10" w:type="dxa"/>
            <w:bottom w:w="0" w:type="dxa"/>
            <w:right w:w="10" w:type="dxa"/>
          </w:tblCellMar>
        </w:tblPrEx>
        <w:trPr>
          <w:trHeight w:val="1439" w:hRule="exact"/>
          <w:jc w:val="center"/>
        </w:trPr>
        <w:tc>
          <w:tcPr>
            <w:tcW w:w="1039" w:type="dxa"/>
            <w:tcBorders>
              <w:top w:val="single" w:color="auto" w:sz="4" w:space="0"/>
              <w:left w:val="single" w:color="auto" w:sz="4" w:space="0"/>
              <w:bottom w:val="single" w:color="auto" w:sz="4" w:space="0"/>
            </w:tcBorders>
            <w:shd w:val="clear" w:color="auto" w:fill="FFFFFF"/>
            <w:vAlign w:val="center"/>
          </w:tcPr>
          <w:p w14:paraId="0E2E1E52">
            <w:pPr>
              <w:jc w:val="center"/>
              <w:rPr>
                <w:rFonts w:ascii="宋体" w:hAnsi="宋体" w:cs="宋体"/>
                <w:color w:val="auto"/>
                <w:szCs w:val="21"/>
              </w:rPr>
            </w:pPr>
            <w:r>
              <w:rPr>
                <w:rFonts w:hint="eastAsia" w:ascii="宋体" w:hAnsi="宋体" w:cs="宋体"/>
                <w:color w:val="auto"/>
                <w:szCs w:val="21"/>
              </w:rPr>
              <w:t>便池隔板</w:t>
            </w:r>
          </w:p>
        </w:tc>
        <w:tc>
          <w:tcPr>
            <w:tcW w:w="2359" w:type="dxa"/>
            <w:tcBorders>
              <w:top w:val="single" w:color="auto" w:sz="4" w:space="0"/>
              <w:left w:val="single" w:color="auto" w:sz="4" w:space="0"/>
              <w:bottom w:val="single" w:color="auto" w:sz="4" w:space="0"/>
            </w:tcBorders>
            <w:shd w:val="clear" w:color="auto" w:fill="FFFFFF"/>
            <w:vAlign w:val="center"/>
          </w:tcPr>
          <w:p w14:paraId="3F4C3BD0">
            <w:pPr>
              <w:jc w:val="center"/>
              <w:rPr>
                <w:rFonts w:ascii="宋体" w:hAnsi="宋体" w:cs="宋体"/>
                <w:color w:val="auto"/>
                <w:szCs w:val="21"/>
              </w:rPr>
            </w:pPr>
            <w:r>
              <w:rPr>
                <w:rFonts w:hint="eastAsia" w:ascii="宋体" w:hAnsi="宋体" w:cs="宋体"/>
                <w:color w:val="auto"/>
                <w:szCs w:val="21"/>
              </w:rPr>
              <w:t>无灰尘、污迹、水迹、 鞋印</w:t>
            </w:r>
          </w:p>
        </w:tc>
        <w:tc>
          <w:tcPr>
            <w:tcW w:w="1812" w:type="dxa"/>
            <w:tcBorders>
              <w:top w:val="single" w:color="auto" w:sz="4" w:space="0"/>
              <w:left w:val="single" w:color="auto" w:sz="4" w:space="0"/>
              <w:bottom w:val="single" w:color="auto" w:sz="4" w:space="0"/>
            </w:tcBorders>
            <w:shd w:val="clear" w:color="auto" w:fill="FFFFFF"/>
            <w:vAlign w:val="center"/>
          </w:tcPr>
          <w:p w14:paraId="036A6E5C">
            <w:pPr>
              <w:jc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每天二次</w:t>
            </w:r>
          </w:p>
          <w:p w14:paraId="6C4E5481">
            <w:pPr>
              <w:jc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随脏随擦</w:t>
            </w:r>
          </w:p>
        </w:tc>
        <w:tc>
          <w:tcPr>
            <w:tcW w:w="2724" w:type="dxa"/>
            <w:tcBorders>
              <w:top w:val="single" w:color="auto" w:sz="4" w:space="0"/>
              <w:left w:val="single" w:color="auto" w:sz="4" w:space="0"/>
              <w:bottom w:val="single" w:color="auto" w:sz="4" w:space="0"/>
              <w:right w:val="single" w:color="auto" w:sz="4" w:space="0"/>
            </w:tcBorders>
            <w:shd w:val="clear" w:color="auto" w:fill="FFFFFF"/>
            <w:vAlign w:val="center"/>
          </w:tcPr>
          <w:p w14:paraId="7C4A1565">
            <w:pPr>
              <w:jc w:val="center"/>
              <w:rPr>
                <w:rFonts w:ascii="宋体" w:hAnsi="宋体" w:cs="宋体"/>
                <w:color w:val="auto"/>
                <w:szCs w:val="21"/>
              </w:rPr>
            </w:pPr>
          </w:p>
        </w:tc>
      </w:tr>
    </w:tbl>
    <w:p w14:paraId="4141C07C">
      <w:pPr>
        <w:snapToGrid w:val="0"/>
        <w:spacing w:line="360" w:lineRule="auto"/>
        <w:ind w:right="315"/>
        <w:rPr>
          <w:rFonts w:ascii="宋体" w:hAnsi="宋体"/>
          <w:color w:val="auto"/>
          <w:szCs w:val="21"/>
        </w:rPr>
      </w:pPr>
    </w:p>
    <w:p w14:paraId="39659893">
      <w:pPr>
        <w:numPr>
          <w:ilvl w:val="0"/>
          <w:numId w:val="0"/>
        </w:numPr>
        <w:ind w:leftChars="0"/>
        <w:rPr>
          <w:color w:val="auto"/>
        </w:rPr>
      </w:pPr>
      <w:r>
        <w:rPr>
          <w:rFonts w:hint="eastAsia" w:ascii="宋体" w:hAnsi="宋体" w:cs="宋体"/>
          <w:b/>
          <w:bCs/>
          <w:color w:val="auto"/>
          <w:szCs w:val="21"/>
          <w:lang w:val="en-US" w:eastAsia="zh-CN"/>
        </w:rPr>
        <w:t>7、</w:t>
      </w:r>
      <w:r>
        <w:rPr>
          <w:rFonts w:hint="eastAsia" w:ascii="宋体" w:hAnsi="宋体" w:cs="宋体"/>
          <w:b/>
          <w:bCs/>
          <w:color w:val="auto"/>
          <w:szCs w:val="21"/>
        </w:rPr>
        <w:t>公共医疗用房日常保洁项目要求</w:t>
      </w:r>
    </w:p>
    <w:p w14:paraId="5492E8AA">
      <w:pPr>
        <w:pStyle w:val="5"/>
        <w:rPr>
          <w:color w:val="auto"/>
        </w:rPr>
      </w:pPr>
    </w:p>
    <w:tbl>
      <w:tblPr>
        <w:tblStyle w:val="47"/>
        <w:tblW w:w="0" w:type="auto"/>
        <w:jc w:val="center"/>
        <w:tblLayout w:type="fixed"/>
        <w:tblCellMar>
          <w:top w:w="0" w:type="dxa"/>
          <w:left w:w="10" w:type="dxa"/>
          <w:bottom w:w="0" w:type="dxa"/>
          <w:right w:w="10" w:type="dxa"/>
        </w:tblCellMar>
      </w:tblPr>
      <w:tblGrid>
        <w:gridCol w:w="1314"/>
        <w:gridCol w:w="2981"/>
        <w:gridCol w:w="1692"/>
        <w:gridCol w:w="1872"/>
      </w:tblGrid>
      <w:tr w14:paraId="4FD174EE">
        <w:tblPrEx>
          <w:tblCellMar>
            <w:top w:w="0" w:type="dxa"/>
            <w:left w:w="10" w:type="dxa"/>
            <w:bottom w:w="0" w:type="dxa"/>
            <w:right w:w="10" w:type="dxa"/>
          </w:tblCellMar>
        </w:tblPrEx>
        <w:trPr>
          <w:trHeight w:val="338" w:hRule="exact"/>
          <w:jc w:val="center"/>
        </w:trPr>
        <w:tc>
          <w:tcPr>
            <w:tcW w:w="1314" w:type="dxa"/>
            <w:tcBorders>
              <w:top w:val="single" w:color="auto" w:sz="4" w:space="0"/>
              <w:left w:val="single" w:color="auto" w:sz="4" w:space="0"/>
            </w:tcBorders>
            <w:shd w:val="clear" w:color="auto" w:fill="FFFFFF"/>
            <w:vAlign w:val="bottom"/>
          </w:tcPr>
          <w:p w14:paraId="0C8B0D66">
            <w:pPr>
              <w:pStyle w:val="125"/>
              <w:spacing w:line="240" w:lineRule="auto"/>
              <w:ind w:firstLine="760"/>
              <w:jc w:val="left"/>
              <w:rPr>
                <w:b/>
                <w:bCs/>
                <w:color w:val="auto"/>
                <w:sz w:val="21"/>
                <w:szCs w:val="21"/>
              </w:rPr>
            </w:pPr>
            <w:r>
              <w:rPr>
                <w:rFonts w:hint="eastAsia"/>
                <w:b/>
                <w:bCs/>
                <w:color w:val="auto"/>
                <w:sz w:val="21"/>
                <w:szCs w:val="21"/>
              </w:rPr>
              <w:t>项目</w:t>
            </w:r>
          </w:p>
        </w:tc>
        <w:tc>
          <w:tcPr>
            <w:tcW w:w="2981" w:type="dxa"/>
            <w:tcBorders>
              <w:top w:val="single" w:color="auto" w:sz="4" w:space="0"/>
              <w:left w:val="single" w:color="auto" w:sz="4" w:space="0"/>
            </w:tcBorders>
            <w:shd w:val="clear" w:color="auto" w:fill="FFFFFF"/>
            <w:vAlign w:val="bottom"/>
          </w:tcPr>
          <w:p w14:paraId="0E449511">
            <w:pPr>
              <w:pStyle w:val="125"/>
              <w:spacing w:line="240" w:lineRule="auto"/>
              <w:ind w:firstLine="0"/>
              <w:jc w:val="center"/>
              <w:rPr>
                <w:b/>
                <w:bCs/>
                <w:color w:val="auto"/>
                <w:sz w:val="21"/>
                <w:szCs w:val="21"/>
              </w:rPr>
            </w:pPr>
            <w:r>
              <w:rPr>
                <w:rFonts w:hint="eastAsia"/>
                <w:b/>
                <w:bCs/>
                <w:color w:val="auto"/>
                <w:sz w:val="21"/>
                <w:szCs w:val="21"/>
              </w:rPr>
              <w:t>标准（质量要求）</w:t>
            </w:r>
          </w:p>
        </w:tc>
        <w:tc>
          <w:tcPr>
            <w:tcW w:w="1692" w:type="dxa"/>
            <w:tcBorders>
              <w:top w:val="single" w:color="auto" w:sz="4" w:space="0"/>
              <w:left w:val="single" w:color="auto" w:sz="4" w:space="0"/>
            </w:tcBorders>
            <w:shd w:val="clear" w:color="auto" w:fill="FFFFFF"/>
            <w:vAlign w:val="bottom"/>
          </w:tcPr>
          <w:p w14:paraId="09C0C95F">
            <w:pPr>
              <w:pStyle w:val="125"/>
              <w:spacing w:line="240" w:lineRule="auto"/>
              <w:ind w:firstLine="660"/>
              <w:rPr>
                <w:b/>
                <w:bCs/>
                <w:color w:val="auto"/>
                <w:sz w:val="21"/>
                <w:szCs w:val="21"/>
              </w:rPr>
            </w:pPr>
            <w:r>
              <w:rPr>
                <w:rFonts w:hint="eastAsia"/>
                <w:b/>
                <w:bCs/>
                <w:color w:val="auto"/>
                <w:sz w:val="21"/>
                <w:szCs w:val="21"/>
              </w:rPr>
              <w:t>频次</w:t>
            </w:r>
          </w:p>
        </w:tc>
        <w:tc>
          <w:tcPr>
            <w:tcW w:w="1872" w:type="dxa"/>
            <w:tcBorders>
              <w:top w:val="single" w:color="auto" w:sz="4" w:space="0"/>
              <w:left w:val="single" w:color="auto" w:sz="4" w:space="0"/>
              <w:right w:val="single" w:color="auto" w:sz="4" w:space="0"/>
            </w:tcBorders>
            <w:shd w:val="clear" w:color="auto" w:fill="FFFFFF"/>
            <w:vAlign w:val="bottom"/>
          </w:tcPr>
          <w:p w14:paraId="7996AFE6">
            <w:pPr>
              <w:pStyle w:val="125"/>
              <w:spacing w:line="240" w:lineRule="auto"/>
              <w:ind w:firstLine="0"/>
              <w:jc w:val="center"/>
              <w:rPr>
                <w:b/>
                <w:bCs/>
                <w:color w:val="auto"/>
                <w:sz w:val="21"/>
                <w:szCs w:val="21"/>
              </w:rPr>
            </w:pPr>
            <w:r>
              <w:rPr>
                <w:rFonts w:hint="eastAsia"/>
                <w:b/>
                <w:bCs/>
                <w:color w:val="auto"/>
                <w:sz w:val="21"/>
                <w:szCs w:val="21"/>
              </w:rPr>
              <w:t>注意事项</w:t>
            </w:r>
          </w:p>
        </w:tc>
      </w:tr>
      <w:tr w14:paraId="76A8B5FF">
        <w:tblPrEx>
          <w:tblCellMar>
            <w:top w:w="0" w:type="dxa"/>
            <w:left w:w="10" w:type="dxa"/>
            <w:bottom w:w="0" w:type="dxa"/>
            <w:right w:w="10" w:type="dxa"/>
          </w:tblCellMar>
        </w:tblPrEx>
        <w:trPr>
          <w:trHeight w:val="781" w:hRule="exact"/>
          <w:jc w:val="center"/>
        </w:trPr>
        <w:tc>
          <w:tcPr>
            <w:tcW w:w="1314" w:type="dxa"/>
            <w:tcBorders>
              <w:top w:val="single" w:color="auto" w:sz="4" w:space="0"/>
              <w:left w:val="single" w:color="auto" w:sz="4" w:space="0"/>
            </w:tcBorders>
            <w:shd w:val="clear" w:color="auto" w:fill="FFFFFF"/>
            <w:vAlign w:val="center"/>
          </w:tcPr>
          <w:p w14:paraId="3B84CD61">
            <w:pPr>
              <w:pStyle w:val="125"/>
              <w:spacing w:line="240" w:lineRule="auto"/>
              <w:ind w:firstLine="180"/>
              <w:jc w:val="center"/>
              <w:rPr>
                <w:color w:val="auto"/>
                <w:sz w:val="21"/>
                <w:szCs w:val="21"/>
              </w:rPr>
            </w:pPr>
            <w:r>
              <w:rPr>
                <w:rFonts w:hint="eastAsia"/>
                <w:color w:val="auto"/>
                <w:sz w:val="21"/>
                <w:szCs w:val="21"/>
              </w:rPr>
              <w:t>门（面、框、把手）</w:t>
            </w:r>
          </w:p>
        </w:tc>
        <w:tc>
          <w:tcPr>
            <w:tcW w:w="2981" w:type="dxa"/>
            <w:tcBorders>
              <w:top w:val="single" w:color="auto" w:sz="4" w:space="0"/>
              <w:left w:val="single" w:color="auto" w:sz="4" w:space="0"/>
            </w:tcBorders>
            <w:shd w:val="clear" w:color="auto" w:fill="FFFFFF"/>
            <w:vAlign w:val="center"/>
          </w:tcPr>
          <w:p w14:paraId="0B4C80B7">
            <w:pPr>
              <w:pStyle w:val="125"/>
              <w:spacing w:line="240" w:lineRule="auto"/>
              <w:ind w:firstLine="260"/>
              <w:jc w:val="left"/>
              <w:rPr>
                <w:color w:val="auto"/>
                <w:sz w:val="21"/>
                <w:szCs w:val="21"/>
              </w:rPr>
            </w:pPr>
            <w:r>
              <w:rPr>
                <w:rFonts w:hint="eastAsia"/>
                <w:color w:val="auto"/>
                <w:sz w:val="21"/>
                <w:szCs w:val="21"/>
              </w:rPr>
              <w:t>无浮灰、手印、斑迹，光亮</w:t>
            </w:r>
          </w:p>
        </w:tc>
        <w:tc>
          <w:tcPr>
            <w:tcW w:w="1692" w:type="dxa"/>
            <w:tcBorders>
              <w:top w:val="single" w:color="auto" w:sz="4" w:space="0"/>
              <w:left w:val="single" w:color="auto" w:sz="4" w:space="0"/>
            </w:tcBorders>
            <w:shd w:val="clear" w:color="auto" w:fill="FFFFFF"/>
            <w:vAlign w:val="center"/>
          </w:tcPr>
          <w:p w14:paraId="24934A49">
            <w:pPr>
              <w:pStyle w:val="125"/>
              <w:spacing w:line="240" w:lineRule="auto"/>
              <w:ind w:firstLine="360"/>
              <w:rPr>
                <w:color w:val="auto"/>
                <w:sz w:val="21"/>
                <w:szCs w:val="21"/>
              </w:rPr>
            </w:pPr>
            <w:r>
              <w:rPr>
                <w:rFonts w:hint="eastAsia"/>
                <w:color w:val="auto"/>
                <w:sz w:val="21"/>
                <w:szCs w:val="21"/>
              </w:rPr>
              <w:t>每天上午一次</w:t>
            </w:r>
          </w:p>
        </w:tc>
        <w:tc>
          <w:tcPr>
            <w:tcW w:w="1872" w:type="dxa"/>
            <w:tcBorders>
              <w:top w:val="single" w:color="auto" w:sz="4" w:space="0"/>
              <w:left w:val="single" w:color="auto" w:sz="4" w:space="0"/>
              <w:right w:val="single" w:color="auto" w:sz="4" w:space="0"/>
            </w:tcBorders>
            <w:shd w:val="clear" w:color="auto" w:fill="FFFFFF"/>
            <w:vAlign w:val="bottom"/>
          </w:tcPr>
          <w:p w14:paraId="25F1460D">
            <w:pPr>
              <w:pStyle w:val="125"/>
              <w:spacing w:line="317" w:lineRule="exact"/>
              <w:ind w:firstLine="0"/>
              <w:jc w:val="center"/>
              <w:rPr>
                <w:color w:val="auto"/>
                <w:sz w:val="21"/>
                <w:szCs w:val="21"/>
              </w:rPr>
            </w:pPr>
            <w:r>
              <w:rPr>
                <w:rFonts w:hint="eastAsia"/>
                <w:color w:val="auto"/>
                <w:sz w:val="21"/>
                <w:szCs w:val="21"/>
              </w:rPr>
              <w:t>防火通道图不可破损、脱 落</w:t>
            </w:r>
          </w:p>
        </w:tc>
      </w:tr>
      <w:tr w14:paraId="3766B1C0">
        <w:tblPrEx>
          <w:tblCellMar>
            <w:top w:w="0" w:type="dxa"/>
            <w:left w:w="10" w:type="dxa"/>
            <w:bottom w:w="0" w:type="dxa"/>
            <w:right w:w="10" w:type="dxa"/>
          </w:tblCellMar>
        </w:tblPrEx>
        <w:trPr>
          <w:trHeight w:val="1464" w:hRule="exact"/>
          <w:jc w:val="center"/>
        </w:trPr>
        <w:tc>
          <w:tcPr>
            <w:tcW w:w="1314" w:type="dxa"/>
            <w:tcBorders>
              <w:top w:val="single" w:color="auto" w:sz="4" w:space="0"/>
              <w:left w:val="single" w:color="auto" w:sz="4" w:space="0"/>
            </w:tcBorders>
            <w:shd w:val="clear" w:color="auto" w:fill="FFFFFF"/>
            <w:vAlign w:val="center"/>
          </w:tcPr>
          <w:p w14:paraId="49C74BD6">
            <w:pPr>
              <w:pStyle w:val="125"/>
              <w:spacing w:line="317" w:lineRule="exact"/>
              <w:ind w:left="180" w:firstLine="220"/>
              <w:jc w:val="center"/>
              <w:rPr>
                <w:color w:val="auto"/>
                <w:sz w:val="21"/>
                <w:szCs w:val="21"/>
              </w:rPr>
            </w:pPr>
            <w:r>
              <w:rPr>
                <w:rFonts w:hint="eastAsia"/>
                <w:color w:val="auto"/>
                <w:sz w:val="21"/>
                <w:szCs w:val="21"/>
              </w:rPr>
              <w:t>窗台、框、轨道、 玻璃</w:t>
            </w:r>
          </w:p>
        </w:tc>
        <w:tc>
          <w:tcPr>
            <w:tcW w:w="2981" w:type="dxa"/>
            <w:tcBorders>
              <w:top w:val="single" w:color="auto" w:sz="4" w:space="0"/>
              <w:left w:val="single" w:color="auto" w:sz="4" w:space="0"/>
            </w:tcBorders>
            <w:shd w:val="clear" w:color="auto" w:fill="FFFFFF"/>
            <w:vAlign w:val="center"/>
          </w:tcPr>
          <w:p w14:paraId="30A08DC7">
            <w:pPr>
              <w:pStyle w:val="125"/>
              <w:spacing w:line="310" w:lineRule="exact"/>
              <w:ind w:firstLine="380"/>
              <w:jc w:val="left"/>
              <w:rPr>
                <w:color w:val="auto"/>
                <w:sz w:val="21"/>
                <w:szCs w:val="21"/>
              </w:rPr>
            </w:pPr>
            <w:r>
              <w:rPr>
                <w:rFonts w:hint="eastAsia"/>
                <w:color w:val="auto"/>
                <w:sz w:val="21"/>
                <w:szCs w:val="21"/>
              </w:rPr>
              <w:t>玻璃干净、明亮，无灰尘、 污迹，窗框无破损，窗扣完好</w:t>
            </w:r>
          </w:p>
        </w:tc>
        <w:tc>
          <w:tcPr>
            <w:tcW w:w="1692" w:type="dxa"/>
            <w:tcBorders>
              <w:top w:val="single" w:color="auto" w:sz="4" w:space="0"/>
              <w:left w:val="single" w:color="auto" w:sz="4" w:space="0"/>
            </w:tcBorders>
            <w:shd w:val="clear" w:color="auto" w:fill="FFFFFF"/>
            <w:vAlign w:val="bottom"/>
          </w:tcPr>
          <w:p w14:paraId="6D9B23C8">
            <w:pPr>
              <w:pStyle w:val="125"/>
              <w:spacing w:line="313" w:lineRule="exact"/>
              <w:jc w:val="left"/>
              <w:rPr>
                <w:color w:val="auto"/>
                <w:sz w:val="21"/>
                <w:szCs w:val="21"/>
              </w:rPr>
            </w:pPr>
            <w:r>
              <w:rPr>
                <w:rFonts w:hint="eastAsia"/>
                <w:color w:val="auto"/>
                <w:sz w:val="21"/>
                <w:szCs w:val="21"/>
              </w:rPr>
              <w:t>窗台、窗框每 天一次；轨道、 玻璃每月一次。</w:t>
            </w:r>
          </w:p>
        </w:tc>
        <w:tc>
          <w:tcPr>
            <w:tcW w:w="1872" w:type="dxa"/>
            <w:tcBorders>
              <w:top w:val="single" w:color="auto" w:sz="4" w:space="0"/>
              <w:left w:val="single" w:color="auto" w:sz="4" w:space="0"/>
              <w:right w:val="single" w:color="auto" w:sz="4" w:space="0"/>
            </w:tcBorders>
            <w:shd w:val="clear" w:color="auto" w:fill="FFFFFF"/>
            <w:vAlign w:val="bottom"/>
          </w:tcPr>
          <w:p w14:paraId="3BA00FEF">
            <w:pPr>
              <w:pStyle w:val="125"/>
              <w:tabs>
                <w:tab w:val="left" w:pos="575"/>
              </w:tabs>
              <w:spacing w:line="324" w:lineRule="exact"/>
              <w:ind w:firstLine="280"/>
              <w:jc w:val="left"/>
              <w:rPr>
                <w:color w:val="auto"/>
                <w:sz w:val="21"/>
                <w:szCs w:val="21"/>
              </w:rPr>
            </w:pPr>
            <w:r>
              <w:rPr>
                <w:rFonts w:hint="eastAsia"/>
                <w:color w:val="auto"/>
                <w:sz w:val="21"/>
                <w:szCs w:val="21"/>
              </w:rPr>
              <w:t>1、</w:t>
            </w:r>
            <w:r>
              <w:rPr>
                <w:rFonts w:hint="eastAsia"/>
                <w:color w:val="auto"/>
                <w:sz w:val="21"/>
                <w:szCs w:val="21"/>
              </w:rPr>
              <w:tab/>
            </w:r>
            <w:r>
              <w:rPr>
                <w:rFonts w:hint="eastAsia"/>
                <w:color w:val="auto"/>
                <w:sz w:val="21"/>
                <w:szCs w:val="21"/>
              </w:rPr>
              <w:t>污水不可滴落楼下</w:t>
            </w:r>
          </w:p>
          <w:p w14:paraId="4F4FD3A4">
            <w:pPr>
              <w:pStyle w:val="125"/>
              <w:tabs>
                <w:tab w:val="left" w:pos="554"/>
              </w:tabs>
              <w:spacing w:line="324" w:lineRule="exact"/>
              <w:ind w:firstLine="320"/>
              <w:rPr>
                <w:color w:val="auto"/>
                <w:sz w:val="21"/>
                <w:szCs w:val="21"/>
              </w:rPr>
            </w:pPr>
            <w:r>
              <w:rPr>
                <w:rFonts w:hint="eastAsia"/>
                <w:color w:val="auto"/>
                <w:sz w:val="21"/>
                <w:szCs w:val="21"/>
              </w:rPr>
              <w:t>2、</w:t>
            </w:r>
            <w:r>
              <w:rPr>
                <w:rFonts w:hint="eastAsia"/>
                <w:color w:val="auto"/>
                <w:sz w:val="21"/>
                <w:szCs w:val="21"/>
              </w:rPr>
              <w:tab/>
            </w:r>
            <w:r>
              <w:rPr>
                <w:rFonts w:hint="eastAsia"/>
                <w:color w:val="auto"/>
                <w:sz w:val="21"/>
                <w:szCs w:val="21"/>
              </w:rPr>
              <w:t>刮大风、下雨时勿 作业</w:t>
            </w:r>
          </w:p>
        </w:tc>
      </w:tr>
      <w:tr w14:paraId="652DF9C6">
        <w:tblPrEx>
          <w:tblCellMar>
            <w:top w:w="0" w:type="dxa"/>
            <w:left w:w="10" w:type="dxa"/>
            <w:bottom w:w="0" w:type="dxa"/>
            <w:right w:w="10" w:type="dxa"/>
          </w:tblCellMar>
        </w:tblPrEx>
        <w:trPr>
          <w:trHeight w:val="1526" w:hRule="exact"/>
          <w:jc w:val="center"/>
        </w:trPr>
        <w:tc>
          <w:tcPr>
            <w:tcW w:w="1314" w:type="dxa"/>
            <w:tcBorders>
              <w:top w:val="single" w:color="auto" w:sz="4" w:space="0"/>
              <w:left w:val="single" w:color="auto" w:sz="4" w:space="0"/>
            </w:tcBorders>
            <w:shd w:val="clear" w:color="auto" w:fill="FFFFFF"/>
            <w:vAlign w:val="center"/>
          </w:tcPr>
          <w:p w14:paraId="69F71496">
            <w:pPr>
              <w:pStyle w:val="125"/>
              <w:spacing w:line="240" w:lineRule="auto"/>
              <w:ind w:firstLine="760"/>
              <w:jc w:val="center"/>
              <w:rPr>
                <w:color w:val="auto"/>
                <w:sz w:val="21"/>
                <w:szCs w:val="21"/>
              </w:rPr>
            </w:pPr>
            <w:r>
              <w:rPr>
                <w:rFonts w:hint="eastAsia"/>
                <w:color w:val="auto"/>
                <w:sz w:val="21"/>
                <w:szCs w:val="21"/>
              </w:rPr>
              <w:t>窗帘</w:t>
            </w:r>
          </w:p>
        </w:tc>
        <w:tc>
          <w:tcPr>
            <w:tcW w:w="2981" w:type="dxa"/>
            <w:tcBorders>
              <w:top w:val="single" w:color="auto" w:sz="4" w:space="0"/>
              <w:left w:val="single" w:color="auto" w:sz="4" w:space="0"/>
            </w:tcBorders>
            <w:shd w:val="clear" w:color="auto" w:fill="FFFFFF"/>
            <w:vAlign w:val="center"/>
          </w:tcPr>
          <w:p w14:paraId="46728BB5">
            <w:pPr>
              <w:pStyle w:val="125"/>
              <w:spacing w:line="310" w:lineRule="exact"/>
              <w:ind w:firstLine="380"/>
              <w:jc w:val="left"/>
              <w:rPr>
                <w:color w:val="auto"/>
                <w:sz w:val="21"/>
                <w:szCs w:val="21"/>
              </w:rPr>
            </w:pPr>
            <w:r>
              <w:rPr>
                <w:rFonts w:hint="eastAsia"/>
                <w:color w:val="auto"/>
                <w:sz w:val="21"/>
                <w:szCs w:val="21"/>
              </w:rPr>
              <w:t>干净，无破损、脱钩、污迹、 变形</w:t>
            </w:r>
          </w:p>
        </w:tc>
        <w:tc>
          <w:tcPr>
            <w:tcW w:w="1692" w:type="dxa"/>
            <w:tcBorders>
              <w:top w:val="single" w:color="auto" w:sz="4" w:space="0"/>
              <w:left w:val="single" w:color="auto" w:sz="4" w:space="0"/>
            </w:tcBorders>
            <w:shd w:val="clear" w:color="auto" w:fill="FFFFFF"/>
          </w:tcPr>
          <w:p w14:paraId="65EC632A">
            <w:pPr>
              <w:pStyle w:val="125"/>
              <w:tabs>
                <w:tab w:val="left" w:pos="446"/>
              </w:tabs>
              <w:spacing w:line="324" w:lineRule="exact"/>
              <w:jc w:val="left"/>
              <w:rPr>
                <w:color w:val="auto"/>
                <w:sz w:val="21"/>
                <w:szCs w:val="21"/>
              </w:rPr>
            </w:pPr>
            <w:r>
              <w:rPr>
                <w:rFonts w:hint="eastAsia"/>
                <w:color w:val="auto"/>
                <w:sz w:val="21"/>
                <w:szCs w:val="21"/>
              </w:rPr>
              <w:t>1、</w:t>
            </w:r>
            <w:r>
              <w:rPr>
                <w:rFonts w:hint="eastAsia"/>
                <w:color w:val="auto"/>
                <w:sz w:val="21"/>
                <w:szCs w:val="21"/>
              </w:rPr>
              <w:tab/>
            </w:r>
            <w:r>
              <w:rPr>
                <w:rFonts w:hint="eastAsia"/>
                <w:color w:val="auto"/>
                <w:sz w:val="21"/>
                <w:szCs w:val="21"/>
              </w:rPr>
              <w:t>窗帘每季度 清洗一次</w:t>
            </w:r>
          </w:p>
          <w:p w14:paraId="3AE1547F">
            <w:pPr>
              <w:pStyle w:val="125"/>
              <w:tabs>
                <w:tab w:val="left" w:pos="418"/>
              </w:tabs>
              <w:spacing w:line="324" w:lineRule="exact"/>
              <w:jc w:val="left"/>
              <w:rPr>
                <w:color w:val="auto"/>
                <w:sz w:val="21"/>
                <w:szCs w:val="21"/>
              </w:rPr>
            </w:pPr>
            <w:r>
              <w:rPr>
                <w:rFonts w:hint="eastAsia"/>
                <w:color w:val="auto"/>
                <w:sz w:val="21"/>
                <w:szCs w:val="21"/>
              </w:rPr>
              <w:t>2、</w:t>
            </w:r>
            <w:r>
              <w:rPr>
                <w:rFonts w:hint="eastAsia"/>
                <w:color w:val="auto"/>
                <w:sz w:val="21"/>
                <w:szCs w:val="21"/>
              </w:rPr>
              <w:tab/>
            </w:r>
            <w:r>
              <w:rPr>
                <w:rFonts w:hint="eastAsia"/>
                <w:color w:val="auto"/>
                <w:sz w:val="21"/>
                <w:szCs w:val="21"/>
              </w:rPr>
              <w:t>擦拭每天一 次</w:t>
            </w:r>
          </w:p>
        </w:tc>
        <w:tc>
          <w:tcPr>
            <w:tcW w:w="1872" w:type="dxa"/>
            <w:tcBorders>
              <w:top w:val="single" w:color="auto" w:sz="4" w:space="0"/>
              <w:left w:val="single" w:color="auto" w:sz="4" w:space="0"/>
              <w:right w:val="single" w:color="auto" w:sz="4" w:space="0"/>
            </w:tcBorders>
            <w:shd w:val="clear" w:color="auto" w:fill="FFFFFF"/>
          </w:tcPr>
          <w:p w14:paraId="00E1B667">
            <w:pPr>
              <w:rPr>
                <w:rFonts w:ascii="宋体" w:hAnsi="宋体" w:cs="宋体"/>
                <w:color w:val="auto"/>
                <w:szCs w:val="21"/>
                <w:lang w:eastAsia="zh-TW"/>
              </w:rPr>
            </w:pPr>
          </w:p>
        </w:tc>
      </w:tr>
      <w:tr w14:paraId="63D348F0">
        <w:tblPrEx>
          <w:tblCellMar>
            <w:top w:w="0" w:type="dxa"/>
            <w:left w:w="10" w:type="dxa"/>
            <w:bottom w:w="0" w:type="dxa"/>
            <w:right w:w="10" w:type="dxa"/>
          </w:tblCellMar>
        </w:tblPrEx>
        <w:trPr>
          <w:trHeight w:val="317" w:hRule="exact"/>
          <w:jc w:val="center"/>
        </w:trPr>
        <w:tc>
          <w:tcPr>
            <w:tcW w:w="1314" w:type="dxa"/>
            <w:tcBorders>
              <w:top w:val="single" w:color="auto" w:sz="4" w:space="0"/>
              <w:left w:val="single" w:color="auto" w:sz="4" w:space="0"/>
            </w:tcBorders>
            <w:shd w:val="clear" w:color="auto" w:fill="FFFFFF"/>
            <w:vAlign w:val="center"/>
          </w:tcPr>
          <w:p w14:paraId="4347215F">
            <w:pPr>
              <w:pStyle w:val="125"/>
              <w:spacing w:line="240" w:lineRule="auto"/>
              <w:ind w:firstLine="760"/>
              <w:jc w:val="center"/>
              <w:rPr>
                <w:color w:val="auto"/>
                <w:sz w:val="21"/>
                <w:szCs w:val="21"/>
              </w:rPr>
            </w:pPr>
            <w:r>
              <w:rPr>
                <w:rFonts w:hint="eastAsia"/>
                <w:color w:val="auto"/>
                <w:sz w:val="21"/>
                <w:szCs w:val="21"/>
              </w:rPr>
              <w:t>纱窗</w:t>
            </w:r>
          </w:p>
        </w:tc>
        <w:tc>
          <w:tcPr>
            <w:tcW w:w="2981" w:type="dxa"/>
            <w:tcBorders>
              <w:top w:val="single" w:color="auto" w:sz="4" w:space="0"/>
              <w:left w:val="single" w:color="auto" w:sz="4" w:space="0"/>
            </w:tcBorders>
            <w:shd w:val="clear" w:color="auto" w:fill="FFFFFF"/>
          </w:tcPr>
          <w:p w14:paraId="448BB731">
            <w:pPr>
              <w:pStyle w:val="125"/>
              <w:spacing w:line="240" w:lineRule="auto"/>
              <w:ind w:firstLine="0"/>
              <w:jc w:val="center"/>
              <w:rPr>
                <w:color w:val="auto"/>
                <w:sz w:val="21"/>
                <w:szCs w:val="21"/>
              </w:rPr>
            </w:pPr>
            <w:r>
              <w:rPr>
                <w:rFonts w:hint="eastAsia"/>
                <w:color w:val="auto"/>
                <w:sz w:val="21"/>
                <w:szCs w:val="21"/>
              </w:rPr>
              <w:t>无灰尘</w:t>
            </w:r>
          </w:p>
        </w:tc>
        <w:tc>
          <w:tcPr>
            <w:tcW w:w="1692" w:type="dxa"/>
            <w:tcBorders>
              <w:top w:val="single" w:color="auto" w:sz="4" w:space="0"/>
              <w:left w:val="single" w:color="auto" w:sz="4" w:space="0"/>
            </w:tcBorders>
            <w:shd w:val="clear" w:color="auto" w:fill="FFFFFF"/>
          </w:tcPr>
          <w:p w14:paraId="373C376A">
            <w:pPr>
              <w:pStyle w:val="125"/>
              <w:spacing w:line="240" w:lineRule="auto"/>
              <w:ind w:firstLine="360"/>
              <w:rPr>
                <w:color w:val="auto"/>
                <w:sz w:val="21"/>
                <w:szCs w:val="21"/>
              </w:rPr>
            </w:pPr>
            <w:r>
              <w:rPr>
                <w:rFonts w:hint="eastAsia"/>
                <w:color w:val="auto"/>
                <w:sz w:val="21"/>
                <w:szCs w:val="21"/>
              </w:rPr>
              <w:t>每周一次</w:t>
            </w:r>
          </w:p>
        </w:tc>
        <w:tc>
          <w:tcPr>
            <w:tcW w:w="1872" w:type="dxa"/>
            <w:tcBorders>
              <w:top w:val="single" w:color="auto" w:sz="4" w:space="0"/>
              <w:left w:val="single" w:color="auto" w:sz="4" w:space="0"/>
              <w:right w:val="single" w:color="auto" w:sz="4" w:space="0"/>
            </w:tcBorders>
            <w:shd w:val="clear" w:color="auto" w:fill="FFFFFF"/>
          </w:tcPr>
          <w:p w14:paraId="739AFD7E">
            <w:pPr>
              <w:pStyle w:val="125"/>
              <w:spacing w:line="240" w:lineRule="auto"/>
              <w:ind w:firstLine="0"/>
              <w:jc w:val="center"/>
              <w:rPr>
                <w:color w:val="auto"/>
                <w:sz w:val="21"/>
                <w:szCs w:val="21"/>
              </w:rPr>
            </w:pPr>
            <w:r>
              <w:rPr>
                <w:rFonts w:hint="eastAsia"/>
                <w:color w:val="auto"/>
                <w:sz w:val="21"/>
                <w:szCs w:val="21"/>
              </w:rPr>
              <w:t>纱窗破损及时报修</w:t>
            </w:r>
          </w:p>
        </w:tc>
      </w:tr>
      <w:tr w14:paraId="165F6388">
        <w:tblPrEx>
          <w:tblCellMar>
            <w:top w:w="0" w:type="dxa"/>
            <w:left w:w="10" w:type="dxa"/>
            <w:bottom w:w="0" w:type="dxa"/>
            <w:right w:w="10" w:type="dxa"/>
          </w:tblCellMar>
        </w:tblPrEx>
        <w:trPr>
          <w:trHeight w:val="1235" w:hRule="exact"/>
          <w:jc w:val="center"/>
        </w:trPr>
        <w:tc>
          <w:tcPr>
            <w:tcW w:w="1314" w:type="dxa"/>
            <w:tcBorders>
              <w:top w:val="single" w:color="auto" w:sz="4" w:space="0"/>
              <w:left w:val="single" w:color="auto" w:sz="4" w:space="0"/>
            </w:tcBorders>
            <w:shd w:val="clear" w:color="auto" w:fill="FFFFFF"/>
            <w:vAlign w:val="center"/>
          </w:tcPr>
          <w:p w14:paraId="19ED8FB5">
            <w:pPr>
              <w:pStyle w:val="125"/>
              <w:spacing w:line="240" w:lineRule="auto"/>
              <w:ind w:firstLine="760"/>
              <w:jc w:val="center"/>
              <w:rPr>
                <w:color w:val="auto"/>
                <w:sz w:val="21"/>
                <w:szCs w:val="21"/>
              </w:rPr>
            </w:pPr>
            <w:r>
              <w:rPr>
                <w:rFonts w:hint="eastAsia"/>
                <w:color w:val="auto"/>
                <w:sz w:val="21"/>
                <w:szCs w:val="21"/>
              </w:rPr>
              <w:t>地面</w:t>
            </w:r>
          </w:p>
        </w:tc>
        <w:tc>
          <w:tcPr>
            <w:tcW w:w="2981" w:type="dxa"/>
            <w:tcBorders>
              <w:top w:val="single" w:color="auto" w:sz="4" w:space="0"/>
              <w:left w:val="single" w:color="auto" w:sz="4" w:space="0"/>
            </w:tcBorders>
            <w:shd w:val="clear" w:color="auto" w:fill="FFFFFF"/>
          </w:tcPr>
          <w:p w14:paraId="6CF785FB">
            <w:pPr>
              <w:pStyle w:val="125"/>
              <w:spacing w:line="310" w:lineRule="exact"/>
              <w:ind w:firstLine="300"/>
              <w:rPr>
                <w:color w:val="auto"/>
                <w:sz w:val="21"/>
                <w:szCs w:val="21"/>
              </w:rPr>
            </w:pPr>
            <w:r>
              <w:rPr>
                <w:rFonts w:hint="eastAsia"/>
                <w:color w:val="auto"/>
                <w:sz w:val="21"/>
                <w:szCs w:val="21"/>
              </w:rPr>
              <w:t>无灰尘、污迹、水迹，清洁、 干净、无斑迹</w:t>
            </w:r>
          </w:p>
        </w:tc>
        <w:tc>
          <w:tcPr>
            <w:tcW w:w="1692" w:type="dxa"/>
            <w:tcBorders>
              <w:top w:val="single" w:color="auto" w:sz="4" w:space="0"/>
              <w:left w:val="single" w:color="auto" w:sz="4" w:space="0"/>
            </w:tcBorders>
            <w:shd w:val="clear" w:color="auto" w:fill="FFFFFF"/>
          </w:tcPr>
          <w:p w14:paraId="67DCA51D">
            <w:pPr>
              <w:pStyle w:val="125"/>
              <w:tabs>
                <w:tab w:val="left" w:pos="602"/>
              </w:tabs>
              <w:spacing w:after="60" w:line="240" w:lineRule="auto"/>
              <w:ind w:firstLine="300"/>
              <w:jc w:val="left"/>
              <w:rPr>
                <w:color w:val="auto"/>
                <w:sz w:val="21"/>
                <w:szCs w:val="21"/>
              </w:rPr>
            </w:pPr>
            <w:r>
              <w:rPr>
                <w:rFonts w:hint="eastAsia"/>
                <w:color w:val="auto"/>
                <w:sz w:val="21"/>
                <w:szCs w:val="21"/>
              </w:rPr>
              <w:t>1、</w:t>
            </w:r>
            <w:r>
              <w:rPr>
                <w:rFonts w:hint="eastAsia"/>
                <w:color w:val="auto"/>
                <w:sz w:val="21"/>
                <w:szCs w:val="21"/>
              </w:rPr>
              <w:tab/>
            </w:r>
            <w:r>
              <w:rPr>
                <w:rFonts w:hint="eastAsia"/>
                <w:color w:val="auto"/>
                <w:sz w:val="21"/>
                <w:szCs w:val="21"/>
              </w:rPr>
              <w:t>每天三次</w:t>
            </w:r>
          </w:p>
          <w:p w14:paraId="3F563339">
            <w:pPr>
              <w:pStyle w:val="125"/>
              <w:tabs>
                <w:tab w:val="left" w:pos="617"/>
              </w:tabs>
              <w:spacing w:line="240" w:lineRule="auto"/>
              <w:ind w:firstLine="300"/>
              <w:jc w:val="left"/>
              <w:rPr>
                <w:color w:val="auto"/>
                <w:sz w:val="21"/>
                <w:szCs w:val="21"/>
              </w:rPr>
            </w:pPr>
            <w:r>
              <w:rPr>
                <w:rFonts w:hint="eastAsia"/>
                <w:color w:val="auto"/>
                <w:sz w:val="21"/>
                <w:szCs w:val="21"/>
              </w:rPr>
              <w:t>2、</w:t>
            </w:r>
            <w:r>
              <w:rPr>
                <w:rFonts w:hint="eastAsia"/>
                <w:color w:val="auto"/>
                <w:sz w:val="21"/>
                <w:szCs w:val="21"/>
              </w:rPr>
              <w:tab/>
            </w:r>
            <w:r>
              <w:rPr>
                <w:rFonts w:hint="eastAsia"/>
                <w:color w:val="auto"/>
                <w:sz w:val="21"/>
                <w:szCs w:val="21"/>
              </w:rPr>
              <w:t>随脏随拖</w:t>
            </w:r>
          </w:p>
        </w:tc>
        <w:tc>
          <w:tcPr>
            <w:tcW w:w="1872" w:type="dxa"/>
            <w:tcBorders>
              <w:top w:val="single" w:color="auto" w:sz="4" w:space="0"/>
              <w:left w:val="single" w:color="auto" w:sz="4" w:space="0"/>
              <w:right w:val="single" w:color="auto" w:sz="4" w:space="0"/>
            </w:tcBorders>
            <w:shd w:val="clear" w:color="auto" w:fill="FFFFFF"/>
          </w:tcPr>
          <w:p w14:paraId="65F1E3A4">
            <w:pPr>
              <w:pStyle w:val="125"/>
              <w:spacing w:line="302" w:lineRule="exact"/>
              <w:ind w:firstLine="320"/>
              <w:jc w:val="left"/>
              <w:rPr>
                <w:color w:val="auto"/>
                <w:sz w:val="21"/>
                <w:szCs w:val="21"/>
              </w:rPr>
            </w:pPr>
            <w:r>
              <w:rPr>
                <w:rFonts w:hint="eastAsia"/>
                <w:color w:val="auto"/>
                <w:sz w:val="21"/>
                <w:szCs w:val="21"/>
              </w:rPr>
              <w:t>床脚、床头柜脚下的地 面卫生不可忽略</w:t>
            </w:r>
          </w:p>
        </w:tc>
      </w:tr>
      <w:tr w14:paraId="0E513E69">
        <w:tblPrEx>
          <w:tblCellMar>
            <w:top w:w="0" w:type="dxa"/>
            <w:left w:w="10" w:type="dxa"/>
            <w:bottom w:w="0" w:type="dxa"/>
            <w:right w:w="10" w:type="dxa"/>
          </w:tblCellMar>
        </w:tblPrEx>
        <w:trPr>
          <w:trHeight w:val="634" w:hRule="exact"/>
          <w:jc w:val="center"/>
        </w:trPr>
        <w:tc>
          <w:tcPr>
            <w:tcW w:w="1314" w:type="dxa"/>
            <w:tcBorders>
              <w:top w:val="single" w:color="auto" w:sz="4" w:space="0"/>
              <w:left w:val="single" w:color="auto" w:sz="4" w:space="0"/>
            </w:tcBorders>
            <w:shd w:val="clear" w:color="auto" w:fill="FFFFFF"/>
            <w:vAlign w:val="center"/>
          </w:tcPr>
          <w:p w14:paraId="14EDD4A5">
            <w:pPr>
              <w:pStyle w:val="125"/>
              <w:spacing w:line="240" w:lineRule="auto"/>
              <w:ind w:firstLine="760"/>
              <w:jc w:val="center"/>
              <w:rPr>
                <w:color w:val="auto"/>
                <w:sz w:val="21"/>
                <w:szCs w:val="21"/>
              </w:rPr>
            </w:pPr>
            <w:r>
              <w:rPr>
                <w:rFonts w:hint="eastAsia"/>
                <w:color w:val="auto"/>
                <w:sz w:val="21"/>
                <w:szCs w:val="21"/>
              </w:rPr>
              <w:t>墙壁</w:t>
            </w:r>
          </w:p>
        </w:tc>
        <w:tc>
          <w:tcPr>
            <w:tcW w:w="2981" w:type="dxa"/>
            <w:tcBorders>
              <w:top w:val="single" w:color="auto" w:sz="4" w:space="0"/>
              <w:left w:val="single" w:color="auto" w:sz="4" w:space="0"/>
            </w:tcBorders>
            <w:shd w:val="clear" w:color="auto" w:fill="FFFFFF"/>
          </w:tcPr>
          <w:p w14:paraId="7A595170">
            <w:pPr>
              <w:pStyle w:val="125"/>
              <w:spacing w:line="310" w:lineRule="exact"/>
              <w:ind w:firstLine="300"/>
              <w:rPr>
                <w:color w:val="auto"/>
                <w:sz w:val="21"/>
                <w:szCs w:val="21"/>
              </w:rPr>
            </w:pPr>
            <w:r>
              <w:rPr>
                <w:rFonts w:hint="eastAsia"/>
                <w:color w:val="auto"/>
                <w:sz w:val="21"/>
                <w:szCs w:val="21"/>
              </w:rPr>
              <w:t>无灰尘、水迹、污迹，干净、 明亮、无脱落</w:t>
            </w:r>
          </w:p>
        </w:tc>
        <w:tc>
          <w:tcPr>
            <w:tcW w:w="1692" w:type="dxa"/>
            <w:tcBorders>
              <w:top w:val="single" w:color="auto" w:sz="4" w:space="0"/>
              <w:left w:val="single" w:color="auto" w:sz="4" w:space="0"/>
            </w:tcBorders>
            <w:shd w:val="clear" w:color="auto" w:fill="FFFFFF"/>
            <w:vAlign w:val="center"/>
          </w:tcPr>
          <w:p w14:paraId="670F7D7B">
            <w:pPr>
              <w:pStyle w:val="125"/>
              <w:spacing w:line="240" w:lineRule="auto"/>
              <w:ind w:firstLine="360"/>
              <w:rPr>
                <w:color w:val="auto"/>
                <w:sz w:val="21"/>
                <w:szCs w:val="21"/>
              </w:rPr>
            </w:pPr>
            <w:r>
              <w:rPr>
                <w:rFonts w:hint="eastAsia"/>
                <w:color w:val="auto"/>
                <w:sz w:val="21"/>
                <w:szCs w:val="21"/>
              </w:rPr>
              <w:t>每天一次</w:t>
            </w:r>
          </w:p>
        </w:tc>
        <w:tc>
          <w:tcPr>
            <w:tcW w:w="1872" w:type="dxa"/>
            <w:tcBorders>
              <w:top w:val="single" w:color="auto" w:sz="4" w:space="0"/>
              <w:left w:val="single" w:color="auto" w:sz="4" w:space="0"/>
              <w:right w:val="single" w:color="auto" w:sz="4" w:space="0"/>
            </w:tcBorders>
            <w:shd w:val="clear" w:color="auto" w:fill="FFFFFF"/>
          </w:tcPr>
          <w:p w14:paraId="5E9D90D0">
            <w:pPr>
              <w:pStyle w:val="125"/>
              <w:spacing w:line="310" w:lineRule="exact"/>
              <w:ind w:firstLine="320"/>
              <w:jc w:val="left"/>
              <w:rPr>
                <w:color w:val="auto"/>
                <w:sz w:val="21"/>
                <w:szCs w:val="21"/>
              </w:rPr>
            </w:pPr>
            <w:r>
              <w:rPr>
                <w:rFonts w:hint="eastAsia"/>
                <w:color w:val="auto"/>
                <w:sz w:val="21"/>
                <w:szCs w:val="21"/>
              </w:rPr>
              <w:t>不可损坏墙面，清洁剂 不可脱色</w:t>
            </w:r>
          </w:p>
        </w:tc>
      </w:tr>
      <w:tr w14:paraId="70A7308B">
        <w:tblPrEx>
          <w:tblCellMar>
            <w:top w:w="0" w:type="dxa"/>
            <w:left w:w="10" w:type="dxa"/>
            <w:bottom w:w="0" w:type="dxa"/>
            <w:right w:w="10" w:type="dxa"/>
          </w:tblCellMar>
        </w:tblPrEx>
        <w:trPr>
          <w:trHeight w:val="324" w:hRule="exact"/>
          <w:jc w:val="center"/>
        </w:trPr>
        <w:tc>
          <w:tcPr>
            <w:tcW w:w="1314" w:type="dxa"/>
            <w:tcBorders>
              <w:top w:val="single" w:color="auto" w:sz="4" w:space="0"/>
              <w:left w:val="single" w:color="auto" w:sz="4" w:space="0"/>
            </w:tcBorders>
            <w:shd w:val="clear" w:color="auto" w:fill="FFFFFF"/>
            <w:vAlign w:val="center"/>
          </w:tcPr>
          <w:p w14:paraId="7A5AFE62">
            <w:pPr>
              <w:pStyle w:val="125"/>
              <w:spacing w:line="240" w:lineRule="auto"/>
              <w:ind w:firstLine="760"/>
              <w:jc w:val="center"/>
              <w:rPr>
                <w:color w:val="auto"/>
                <w:sz w:val="21"/>
                <w:szCs w:val="21"/>
              </w:rPr>
            </w:pPr>
            <w:r>
              <w:rPr>
                <w:rFonts w:hint="eastAsia"/>
                <w:color w:val="auto"/>
                <w:sz w:val="21"/>
                <w:szCs w:val="21"/>
              </w:rPr>
              <w:t>房顶</w:t>
            </w:r>
          </w:p>
        </w:tc>
        <w:tc>
          <w:tcPr>
            <w:tcW w:w="2981" w:type="dxa"/>
            <w:tcBorders>
              <w:top w:val="single" w:color="auto" w:sz="4" w:space="0"/>
              <w:left w:val="single" w:color="auto" w:sz="4" w:space="0"/>
            </w:tcBorders>
            <w:shd w:val="clear" w:color="auto" w:fill="FFFFFF"/>
          </w:tcPr>
          <w:p w14:paraId="173ED873">
            <w:pPr>
              <w:pStyle w:val="125"/>
              <w:spacing w:line="240" w:lineRule="auto"/>
              <w:ind w:firstLine="440"/>
              <w:jc w:val="left"/>
              <w:rPr>
                <w:color w:val="auto"/>
                <w:sz w:val="21"/>
                <w:szCs w:val="21"/>
              </w:rPr>
            </w:pPr>
            <w:r>
              <w:rPr>
                <w:rFonts w:hint="eastAsia"/>
                <w:color w:val="auto"/>
                <w:sz w:val="21"/>
                <w:szCs w:val="21"/>
              </w:rPr>
              <w:t>无斑迹、吊灰、蜘蛛网</w:t>
            </w:r>
          </w:p>
        </w:tc>
        <w:tc>
          <w:tcPr>
            <w:tcW w:w="1692" w:type="dxa"/>
            <w:tcBorders>
              <w:top w:val="single" w:color="auto" w:sz="4" w:space="0"/>
              <w:left w:val="single" w:color="auto" w:sz="4" w:space="0"/>
            </w:tcBorders>
            <w:shd w:val="clear" w:color="auto" w:fill="FFFFFF"/>
          </w:tcPr>
          <w:p w14:paraId="50569C29">
            <w:pPr>
              <w:pStyle w:val="125"/>
              <w:spacing w:line="240" w:lineRule="auto"/>
              <w:ind w:firstLine="360"/>
              <w:rPr>
                <w:color w:val="auto"/>
                <w:sz w:val="21"/>
                <w:szCs w:val="21"/>
              </w:rPr>
            </w:pPr>
            <w:r>
              <w:rPr>
                <w:rFonts w:hint="eastAsia"/>
                <w:color w:val="auto"/>
                <w:sz w:val="21"/>
                <w:szCs w:val="21"/>
              </w:rPr>
              <w:t>每周一次</w:t>
            </w:r>
          </w:p>
        </w:tc>
        <w:tc>
          <w:tcPr>
            <w:tcW w:w="1872" w:type="dxa"/>
            <w:tcBorders>
              <w:top w:val="single" w:color="auto" w:sz="4" w:space="0"/>
              <w:left w:val="single" w:color="auto" w:sz="4" w:space="0"/>
              <w:right w:val="single" w:color="auto" w:sz="4" w:space="0"/>
            </w:tcBorders>
            <w:shd w:val="clear" w:color="auto" w:fill="FFFFFF"/>
          </w:tcPr>
          <w:p w14:paraId="78AA80A7">
            <w:pPr>
              <w:rPr>
                <w:rFonts w:ascii="宋体" w:hAnsi="宋体" w:cs="宋体"/>
                <w:color w:val="auto"/>
                <w:szCs w:val="21"/>
              </w:rPr>
            </w:pPr>
          </w:p>
        </w:tc>
      </w:tr>
      <w:tr w14:paraId="5DA2A7F1">
        <w:tblPrEx>
          <w:tblCellMar>
            <w:top w:w="0" w:type="dxa"/>
            <w:left w:w="10" w:type="dxa"/>
            <w:bottom w:w="0" w:type="dxa"/>
            <w:right w:w="10" w:type="dxa"/>
          </w:tblCellMar>
        </w:tblPrEx>
        <w:trPr>
          <w:trHeight w:val="738" w:hRule="exact"/>
          <w:jc w:val="center"/>
        </w:trPr>
        <w:tc>
          <w:tcPr>
            <w:tcW w:w="1314" w:type="dxa"/>
            <w:tcBorders>
              <w:top w:val="single" w:color="auto" w:sz="4" w:space="0"/>
              <w:left w:val="single" w:color="auto" w:sz="4" w:space="0"/>
            </w:tcBorders>
            <w:shd w:val="clear" w:color="auto" w:fill="FFFFFF"/>
            <w:vAlign w:val="center"/>
          </w:tcPr>
          <w:p w14:paraId="4082342D">
            <w:pPr>
              <w:pStyle w:val="125"/>
              <w:spacing w:line="240" w:lineRule="auto"/>
              <w:ind w:firstLine="380"/>
              <w:jc w:val="center"/>
              <w:rPr>
                <w:color w:val="auto"/>
                <w:sz w:val="21"/>
                <w:szCs w:val="21"/>
              </w:rPr>
            </w:pPr>
            <w:r>
              <w:rPr>
                <w:rFonts w:hint="eastAsia"/>
                <w:color w:val="auto"/>
                <w:sz w:val="21"/>
                <w:szCs w:val="21"/>
              </w:rPr>
              <w:t>房顶灯、罩</w:t>
            </w:r>
          </w:p>
        </w:tc>
        <w:tc>
          <w:tcPr>
            <w:tcW w:w="2981" w:type="dxa"/>
            <w:tcBorders>
              <w:top w:val="single" w:color="auto" w:sz="4" w:space="0"/>
              <w:left w:val="single" w:color="auto" w:sz="4" w:space="0"/>
            </w:tcBorders>
            <w:shd w:val="clear" w:color="auto" w:fill="FFFFFF"/>
          </w:tcPr>
          <w:p w14:paraId="26BF2621">
            <w:pPr>
              <w:pStyle w:val="125"/>
              <w:spacing w:line="240" w:lineRule="auto"/>
              <w:ind w:firstLine="0"/>
              <w:jc w:val="center"/>
              <w:rPr>
                <w:color w:val="auto"/>
                <w:sz w:val="21"/>
                <w:szCs w:val="21"/>
              </w:rPr>
            </w:pPr>
            <w:r>
              <w:rPr>
                <w:rFonts w:hint="eastAsia"/>
                <w:color w:val="auto"/>
                <w:sz w:val="21"/>
                <w:szCs w:val="21"/>
              </w:rPr>
              <w:t>无灰尘</w:t>
            </w:r>
          </w:p>
        </w:tc>
        <w:tc>
          <w:tcPr>
            <w:tcW w:w="1692" w:type="dxa"/>
            <w:tcBorders>
              <w:top w:val="single" w:color="auto" w:sz="4" w:space="0"/>
              <w:left w:val="single" w:color="auto" w:sz="4" w:space="0"/>
            </w:tcBorders>
            <w:shd w:val="clear" w:color="auto" w:fill="FFFFFF"/>
          </w:tcPr>
          <w:p w14:paraId="1A61A727">
            <w:pPr>
              <w:pStyle w:val="125"/>
              <w:spacing w:line="240" w:lineRule="auto"/>
              <w:ind w:firstLine="360"/>
              <w:rPr>
                <w:color w:val="auto"/>
                <w:sz w:val="21"/>
                <w:szCs w:val="21"/>
              </w:rPr>
            </w:pPr>
            <w:r>
              <w:rPr>
                <w:rFonts w:hint="eastAsia"/>
                <w:color w:val="auto"/>
                <w:sz w:val="21"/>
                <w:szCs w:val="21"/>
              </w:rPr>
              <w:t>每周一次</w:t>
            </w:r>
          </w:p>
        </w:tc>
        <w:tc>
          <w:tcPr>
            <w:tcW w:w="1872" w:type="dxa"/>
            <w:tcBorders>
              <w:top w:val="single" w:color="auto" w:sz="4" w:space="0"/>
              <w:left w:val="single" w:color="auto" w:sz="4" w:space="0"/>
              <w:right w:val="single" w:color="auto" w:sz="4" w:space="0"/>
            </w:tcBorders>
            <w:shd w:val="clear" w:color="auto" w:fill="FFFFFF"/>
          </w:tcPr>
          <w:p w14:paraId="3CDEAF40">
            <w:pPr>
              <w:rPr>
                <w:rFonts w:ascii="宋体" w:hAnsi="宋体" w:cs="宋体"/>
                <w:color w:val="auto"/>
                <w:szCs w:val="21"/>
              </w:rPr>
            </w:pPr>
          </w:p>
        </w:tc>
      </w:tr>
      <w:tr w14:paraId="5D1AA3D8">
        <w:tblPrEx>
          <w:tblCellMar>
            <w:top w:w="0" w:type="dxa"/>
            <w:left w:w="10" w:type="dxa"/>
            <w:bottom w:w="0" w:type="dxa"/>
            <w:right w:w="10" w:type="dxa"/>
          </w:tblCellMar>
        </w:tblPrEx>
        <w:trPr>
          <w:trHeight w:val="936" w:hRule="exact"/>
          <w:jc w:val="center"/>
        </w:trPr>
        <w:tc>
          <w:tcPr>
            <w:tcW w:w="1314" w:type="dxa"/>
            <w:tcBorders>
              <w:top w:val="single" w:color="auto" w:sz="4" w:space="0"/>
              <w:left w:val="single" w:color="auto" w:sz="4" w:space="0"/>
            </w:tcBorders>
            <w:shd w:val="clear" w:color="auto" w:fill="FFFFFF"/>
            <w:vAlign w:val="center"/>
          </w:tcPr>
          <w:p w14:paraId="42AAE049">
            <w:pPr>
              <w:pStyle w:val="125"/>
              <w:spacing w:line="240" w:lineRule="auto"/>
              <w:ind w:firstLine="0"/>
              <w:jc w:val="center"/>
              <w:rPr>
                <w:color w:val="auto"/>
                <w:sz w:val="21"/>
                <w:szCs w:val="21"/>
              </w:rPr>
            </w:pPr>
            <w:r>
              <w:rPr>
                <w:rFonts w:hint="eastAsia"/>
                <w:color w:val="auto"/>
                <w:sz w:val="21"/>
                <w:szCs w:val="21"/>
              </w:rPr>
              <w:t>壁橱、柜</w:t>
            </w:r>
          </w:p>
        </w:tc>
        <w:tc>
          <w:tcPr>
            <w:tcW w:w="2981" w:type="dxa"/>
            <w:tcBorders>
              <w:top w:val="single" w:color="auto" w:sz="4" w:space="0"/>
              <w:left w:val="single" w:color="auto" w:sz="4" w:space="0"/>
            </w:tcBorders>
            <w:shd w:val="clear" w:color="auto" w:fill="FFFFFF"/>
            <w:vAlign w:val="center"/>
          </w:tcPr>
          <w:p w14:paraId="7C7487E2">
            <w:pPr>
              <w:pStyle w:val="125"/>
              <w:spacing w:line="240" w:lineRule="auto"/>
              <w:ind w:firstLine="220"/>
              <w:jc w:val="left"/>
              <w:rPr>
                <w:color w:val="auto"/>
                <w:sz w:val="21"/>
                <w:szCs w:val="21"/>
              </w:rPr>
            </w:pPr>
            <w:r>
              <w:rPr>
                <w:rFonts w:hint="eastAsia"/>
                <w:color w:val="auto"/>
                <w:sz w:val="21"/>
                <w:szCs w:val="21"/>
              </w:rPr>
              <w:t>无灰尘、污迹、蟬螂，干净</w:t>
            </w:r>
          </w:p>
        </w:tc>
        <w:tc>
          <w:tcPr>
            <w:tcW w:w="1692" w:type="dxa"/>
            <w:tcBorders>
              <w:top w:val="single" w:color="auto" w:sz="4" w:space="0"/>
              <w:left w:val="single" w:color="auto" w:sz="4" w:space="0"/>
            </w:tcBorders>
            <w:shd w:val="clear" w:color="auto" w:fill="FFFFFF"/>
            <w:vAlign w:val="center"/>
          </w:tcPr>
          <w:p w14:paraId="4985B33D">
            <w:pPr>
              <w:pStyle w:val="125"/>
              <w:spacing w:line="240" w:lineRule="auto"/>
              <w:ind w:firstLine="360"/>
              <w:rPr>
                <w:color w:val="auto"/>
                <w:sz w:val="21"/>
                <w:szCs w:val="21"/>
              </w:rPr>
            </w:pPr>
            <w:r>
              <w:rPr>
                <w:rFonts w:hint="eastAsia"/>
                <w:color w:val="auto"/>
                <w:sz w:val="21"/>
                <w:szCs w:val="21"/>
              </w:rPr>
              <w:t>每天一次</w:t>
            </w:r>
          </w:p>
        </w:tc>
        <w:tc>
          <w:tcPr>
            <w:tcW w:w="1872" w:type="dxa"/>
            <w:tcBorders>
              <w:top w:val="single" w:color="auto" w:sz="4" w:space="0"/>
              <w:left w:val="single" w:color="auto" w:sz="4" w:space="0"/>
              <w:right w:val="single" w:color="auto" w:sz="4" w:space="0"/>
            </w:tcBorders>
            <w:shd w:val="clear" w:color="auto" w:fill="FFFFFF"/>
            <w:vAlign w:val="bottom"/>
          </w:tcPr>
          <w:p w14:paraId="3D46A949">
            <w:pPr>
              <w:pStyle w:val="125"/>
              <w:spacing w:line="306" w:lineRule="exact"/>
              <w:ind w:firstLine="320"/>
              <w:jc w:val="left"/>
              <w:rPr>
                <w:color w:val="auto"/>
                <w:sz w:val="21"/>
                <w:szCs w:val="21"/>
              </w:rPr>
            </w:pPr>
            <w:r>
              <w:rPr>
                <w:rFonts w:hint="eastAsia"/>
                <w:color w:val="auto"/>
                <w:sz w:val="21"/>
                <w:szCs w:val="21"/>
              </w:rPr>
              <w:t>家具不能擦花，清除残 留在家具面上的清洁剂 泡沫，除净并擦均匀</w:t>
            </w:r>
          </w:p>
        </w:tc>
      </w:tr>
      <w:tr w14:paraId="11857580">
        <w:tblPrEx>
          <w:tblCellMar>
            <w:top w:w="0" w:type="dxa"/>
            <w:left w:w="10" w:type="dxa"/>
            <w:bottom w:w="0" w:type="dxa"/>
            <w:right w:w="10" w:type="dxa"/>
          </w:tblCellMar>
        </w:tblPrEx>
        <w:trPr>
          <w:trHeight w:val="634" w:hRule="exact"/>
          <w:jc w:val="center"/>
        </w:trPr>
        <w:tc>
          <w:tcPr>
            <w:tcW w:w="1314" w:type="dxa"/>
            <w:tcBorders>
              <w:top w:val="single" w:color="auto" w:sz="4" w:space="0"/>
              <w:left w:val="single" w:color="auto" w:sz="4" w:space="0"/>
            </w:tcBorders>
            <w:shd w:val="clear" w:color="auto" w:fill="FFFFFF"/>
            <w:vAlign w:val="center"/>
          </w:tcPr>
          <w:p w14:paraId="51CAE0E8">
            <w:pPr>
              <w:pStyle w:val="125"/>
              <w:spacing w:line="240" w:lineRule="auto"/>
              <w:ind w:firstLine="600"/>
              <w:jc w:val="center"/>
              <w:rPr>
                <w:color w:val="auto"/>
                <w:sz w:val="21"/>
                <w:szCs w:val="21"/>
              </w:rPr>
            </w:pPr>
            <w:r>
              <w:rPr>
                <w:rFonts w:hint="eastAsia"/>
                <w:color w:val="auto"/>
                <w:sz w:val="21"/>
                <w:szCs w:val="21"/>
              </w:rPr>
              <w:t>桌、椅</w:t>
            </w:r>
          </w:p>
        </w:tc>
        <w:tc>
          <w:tcPr>
            <w:tcW w:w="2981" w:type="dxa"/>
            <w:tcBorders>
              <w:top w:val="single" w:color="auto" w:sz="4" w:space="0"/>
              <w:left w:val="single" w:color="auto" w:sz="4" w:space="0"/>
            </w:tcBorders>
            <w:shd w:val="clear" w:color="auto" w:fill="FFFFFF"/>
          </w:tcPr>
          <w:p w14:paraId="0D741BAA">
            <w:pPr>
              <w:pStyle w:val="125"/>
              <w:spacing w:line="310" w:lineRule="exact"/>
              <w:ind w:firstLine="300"/>
              <w:rPr>
                <w:color w:val="auto"/>
                <w:sz w:val="21"/>
                <w:szCs w:val="21"/>
              </w:rPr>
            </w:pPr>
            <w:r>
              <w:rPr>
                <w:rFonts w:hint="eastAsia"/>
                <w:color w:val="auto"/>
                <w:sz w:val="21"/>
                <w:szCs w:val="21"/>
              </w:rPr>
              <w:t>无灰尘、污迹、水迹、变形、 破损，洁净、稳固、完好</w:t>
            </w:r>
          </w:p>
        </w:tc>
        <w:tc>
          <w:tcPr>
            <w:tcW w:w="1692" w:type="dxa"/>
            <w:tcBorders>
              <w:top w:val="single" w:color="auto" w:sz="4" w:space="0"/>
              <w:left w:val="single" w:color="auto" w:sz="4" w:space="0"/>
            </w:tcBorders>
            <w:shd w:val="clear" w:color="auto" w:fill="FFFFFF"/>
            <w:vAlign w:val="center"/>
          </w:tcPr>
          <w:p w14:paraId="74A1B3E7">
            <w:pPr>
              <w:pStyle w:val="125"/>
              <w:spacing w:line="240" w:lineRule="auto"/>
              <w:ind w:firstLine="360"/>
              <w:rPr>
                <w:color w:val="auto"/>
                <w:sz w:val="21"/>
                <w:szCs w:val="21"/>
              </w:rPr>
            </w:pPr>
            <w:r>
              <w:rPr>
                <w:rFonts w:hint="eastAsia"/>
                <w:color w:val="auto"/>
                <w:sz w:val="21"/>
                <w:szCs w:val="21"/>
              </w:rPr>
              <w:t>每天一次</w:t>
            </w:r>
          </w:p>
        </w:tc>
        <w:tc>
          <w:tcPr>
            <w:tcW w:w="1872" w:type="dxa"/>
            <w:tcBorders>
              <w:top w:val="single" w:color="auto" w:sz="4" w:space="0"/>
              <w:left w:val="single" w:color="auto" w:sz="4" w:space="0"/>
              <w:right w:val="single" w:color="auto" w:sz="4" w:space="0"/>
            </w:tcBorders>
            <w:shd w:val="clear" w:color="auto" w:fill="FFFFFF"/>
            <w:vAlign w:val="center"/>
          </w:tcPr>
          <w:p w14:paraId="5ED5B2C2">
            <w:pPr>
              <w:pStyle w:val="125"/>
              <w:spacing w:line="240" w:lineRule="auto"/>
              <w:ind w:firstLine="0"/>
              <w:jc w:val="center"/>
              <w:rPr>
                <w:color w:val="auto"/>
                <w:sz w:val="21"/>
                <w:szCs w:val="21"/>
              </w:rPr>
            </w:pPr>
            <w:r>
              <w:rPr>
                <w:rFonts w:hint="eastAsia"/>
                <w:color w:val="auto"/>
                <w:sz w:val="21"/>
                <w:szCs w:val="21"/>
              </w:rPr>
              <w:t>如破损及时报修</w:t>
            </w:r>
          </w:p>
        </w:tc>
      </w:tr>
      <w:tr w14:paraId="5DC89601">
        <w:tblPrEx>
          <w:tblCellMar>
            <w:top w:w="0" w:type="dxa"/>
            <w:left w:w="10" w:type="dxa"/>
            <w:bottom w:w="0" w:type="dxa"/>
            <w:right w:w="10" w:type="dxa"/>
          </w:tblCellMar>
        </w:tblPrEx>
        <w:trPr>
          <w:trHeight w:val="882" w:hRule="exact"/>
          <w:jc w:val="center"/>
        </w:trPr>
        <w:tc>
          <w:tcPr>
            <w:tcW w:w="1314" w:type="dxa"/>
            <w:tcBorders>
              <w:top w:val="single" w:color="auto" w:sz="4" w:space="0"/>
              <w:left w:val="single" w:color="auto" w:sz="4" w:space="0"/>
            </w:tcBorders>
            <w:shd w:val="clear" w:color="auto" w:fill="FFFFFF"/>
            <w:vAlign w:val="center"/>
          </w:tcPr>
          <w:p w14:paraId="70B45A56">
            <w:pPr>
              <w:pStyle w:val="125"/>
              <w:spacing w:line="240" w:lineRule="auto"/>
              <w:jc w:val="center"/>
              <w:rPr>
                <w:color w:val="auto"/>
                <w:sz w:val="21"/>
                <w:szCs w:val="21"/>
              </w:rPr>
            </w:pPr>
            <w:r>
              <w:rPr>
                <w:rFonts w:hint="eastAsia"/>
                <w:color w:val="auto"/>
                <w:sz w:val="21"/>
                <w:szCs w:val="21"/>
              </w:rPr>
              <w:t>洗手池、龙头</w:t>
            </w:r>
          </w:p>
        </w:tc>
        <w:tc>
          <w:tcPr>
            <w:tcW w:w="2981" w:type="dxa"/>
            <w:tcBorders>
              <w:top w:val="single" w:color="auto" w:sz="4" w:space="0"/>
              <w:left w:val="single" w:color="auto" w:sz="4" w:space="0"/>
            </w:tcBorders>
            <w:shd w:val="clear" w:color="auto" w:fill="FFFFFF"/>
          </w:tcPr>
          <w:p w14:paraId="72793D5E">
            <w:pPr>
              <w:pStyle w:val="125"/>
              <w:spacing w:line="317" w:lineRule="exact"/>
              <w:ind w:firstLine="300"/>
              <w:rPr>
                <w:color w:val="auto"/>
                <w:sz w:val="21"/>
                <w:szCs w:val="21"/>
              </w:rPr>
            </w:pPr>
            <w:r>
              <w:rPr>
                <w:rFonts w:hint="eastAsia"/>
                <w:color w:val="auto"/>
                <w:sz w:val="21"/>
                <w:szCs w:val="21"/>
              </w:rPr>
              <w:t>无水迹、黄迹，洁净、光亮、 畅通</w:t>
            </w:r>
          </w:p>
        </w:tc>
        <w:tc>
          <w:tcPr>
            <w:tcW w:w="1692" w:type="dxa"/>
            <w:tcBorders>
              <w:top w:val="single" w:color="auto" w:sz="4" w:space="0"/>
              <w:left w:val="single" w:color="auto" w:sz="4" w:space="0"/>
            </w:tcBorders>
            <w:shd w:val="clear" w:color="auto" w:fill="FFFFFF"/>
            <w:vAlign w:val="center"/>
          </w:tcPr>
          <w:p w14:paraId="765E6DFF">
            <w:pPr>
              <w:pStyle w:val="125"/>
              <w:spacing w:line="240" w:lineRule="auto"/>
              <w:ind w:firstLine="360"/>
              <w:rPr>
                <w:color w:val="auto"/>
                <w:sz w:val="21"/>
                <w:szCs w:val="21"/>
              </w:rPr>
            </w:pPr>
            <w:r>
              <w:rPr>
                <w:rFonts w:hint="eastAsia"/>
                <w:color w:val="auto"/>
                <w:sz w:val="21"/>
                <w:szCs w:val="21"/>
              </w:rPr>
              <w:t>每天二次</w:t>
            </w:r>
          </w:p>
        </w:tc>
        <w:tc>
          <w:tcPr>
            <w:tcW w:w="1872" w:type="dxa"/>
            <w:tcBorders>
              <w:top w:val="single" w:color="auto" w:sz="4" w:space="0"/>
              <w:left w:val="single" w:color="auto" w:sz="4" w:space="0"/>
              <w:right w:val="single" w:color="auto" w:sz="4" w:space="0"/>
            </w:tcBorders>
            <w:shd w:val="clear" w:color="auto" w:fill="FFFFFF"/>
            <w:vAlign w:val="center"/>
          </w:tcPr>
          <w:p w14:paraId="53DF77E8">
            <w:pPr>
              <w:pStyle w:val="125"/>
              <w:spacing w:line="240" w:lineRule="auto"/>
              <w:ind w:firstLine="0"/>
              <w:jc w:val="left"/>
              <w:rPr>
                <w:color w:val="auto"/>
                <w:sz w:val="21"/>
                <w:szCs w:val="21"/>
              </w:rPr>
            </w:pPr>
            <w:r>
              <w:rPr>
                <w:rFonts w:hint="eastAsia"/>
                <w:color w:val="auto"/>
                <w:sz w:val="21"/>
                <w:szCs w:val="21"/>
              </w:rPr>
              <w:t>不可遗漏台面下的弯头。</w:t>
            </w:r>
          </w:p>
        </w:tc>
      </w:tr>
      <w:tr w14:paraId="4DB5F011">
        <w:tblPrEx>
          <w:tblCellMar>
            <w:top w:w="0" w:type="dxa"/>
            <w:left w:w="10" w:type="dxa"/>
            <w:bottom w:w="0" w:type="dxa"/>
            <w:right w:w="10" w:type="dxa"/>
          </w:tblCellMar>
        </w:tblPrEx>
        <w:trPr>
          <w:trHeight w:val="317" w:hRule="exact"/>
          <w:jc w:val="center"/>
        </w:trPr>
        <w:tc>
          <w:tcPr>
            <w:tcW w:w="1314" w:type="dxa"/>
            <w:tcBorders>
              <w:top w:val="single" w:color="auto" w:sz="4" w:space="0"/>
              <w:left w:val="single" w:color="auto" w:sz="4" w:space="0"/>
            </w:tcBorders>
            <w:shd w:val="clear" w:color="auto" w:fill="FFFFFF"/>
            <w:vAlign w:val="center"/>
          </w:tcPr>
          <w:p w14:paraId="16B4AA8B">
            <w:pPr>
              <w:pStyle w:val="125"/>
              <w:spacing w:line="240" w:lineRule="auto"/>
              <w:ind w:firstLine="600"/>
              <w:jc w:val="center"/>
              <w:rPr>
                <w:color w:val="auto"/>
                <w:sz w:val="21"/>
                <w:szCs w:val="21"/>
              </w:rPr>
            </w:pPr>
            <w:r>
              <w:rPr>
                <w:rFonts w:hint="eastAsia"/>
                <w:color w:val="auto"/>
                <w:sz w:val="21"/>
                <w:szCs w:val="21"/>
              </w:rPr>
              <w:t>白板框</w:t>
            </w:r>
          </w:p>
        </w:tc>
        <w:tc>
          <w:tcPr>
            <w:tcW w:w="2981" w:type="dxa"/>
            <w:tcBorders>
              <w:top w:val="single" w:color="auto" w:sz="4" w:space="0"/>
              <w:left w:val="single" w:color="auto" w:sz="4" w:space="0"/>
            </w:tcBorders>
            <w:shd w:val="clear" w:color="auto" w:fill="FFFFFF"/>
          </w:tcPr>
          <w:p w14:paraId="356738BC">
            <w:pPr>
              <w:pStyle w:val="125"/>
              <w:spacing w:line="240" w:lineRule="auto"/>
              <w:ind w:firstLine="0"/>
              <w:jc w:val="center"/>
              <w:rPr>
                <w:color w:val="auto"/>
                <w:sz w:val="21"/>
                <w:szCs w:val="21"/>
              </w:rPr>
            </w:pPr>
            <w:r>
              <w:rPr>
                <w:rFonts w:hint="eastAsia"/>
                <w:color w:val="auto"/>
                <w:sz w:val="21"/>
                <w:szCs w:val="21"/>
              </w:rPr>
              <w:t>无灰尘、污迹</w:t>
            </w:r>
          </w:p>
        </w:tc>
        <w:tc>
          <w:tcPr>
            <w:tcW w:w="1692" w:type="dxa"/>
            <w:tcBorders>
              <w:top w:val="single" w:color="auto" w:sz="4" w:space="0"/>
              <w:left w:val="single" w:color="auto" w:sz="4" w:space="0"/>
            </w:tcBorders>
            <w:shd w:val="clear" w:color="auto" w:fill="FFFFFF"/>
          </w:tcPr>
          <w:p w14:paraId="2B55EE0C">
            <w:pPr>
              <w:pStyle w:val="125"/>
              <w:spacing w:line="240" w:lineRule="auto"/>
              <w:ind w:firstLine="360"/>
              <w:rPr>
                <w:color w:val="auto"/>
                <w:sz w:val="21"/>
                <w:szCs w:val="21"/>
              </w:rPr>
            </w:pPr>
            <w:r>
              <w:rPr>
                <w:rFonts w:hint="eastAsia"/>
                <w:color w:val="auto"/>
                <w:sz w:val="21"/>
                <w:szCs w:val="21"/>
              </w:rPr>
              <w:t>每天一次</w:t>
            </w:r>
          </w:p>
        </w:tc>
        <w:tc>
          <w:tcPr>
            <w:tcW w:w="1872" w:type="dxa"/>
            <w:tcBorders>
              <w:top w:val="single" w:color="auto" w:sz="4" w:space="0"/>
              <w:left w:val="single" w:color="auto" w:sz="4" w:space="0"/>
              <w:right w:val="single" w:color="auto" w:sz="4" w:space="0"/>
            </w:tcBorders>
            <w:shd w:val="clear" w:color="auto" w:fill="FFFFFF"/>
          </w:tcPr>
          <w:p w14:paraId="1C836A89">
            <w:pPr>
              <w:rPr>
                <w:rFonts w:ascii="宋体" w:hAnsi="宋体" w:cs="宋体"/>
                <w:color w:val="auto"/>
                <w:szCs w:val="21"/>
              </w:rPr>
            </w:pPr>
          </w:p>
        </w:tc>
      </w:tr>
      <w:tr w14:paraId="2CA8036D">
        <w:tblPrEx>
          <w:tblCellMar>
            <w:top w:w="0" w:type="dxa"/>
            <w:left w:w="10" w:type="dxa"/>
            <w:bottom w:w="0" w:type="dxa"/>
            <w:right w:w="10" w:type="dxa"/>
          </w:tblCellMar>
        </w:tblPrEx>
        <w:trPr>
          <w:trHeight w:val="324" w:hRule="exact"/>
          <w:jc w:val="center"/>
        </w:trPr>
        <w:tc>
          <w:tcPr>
            <w:tcW w:w="1314" w:type="dxa"/>
            <w:tcBorders>
              <w:top w:val="single" w:color="auto" w:sz="4" w:space="0"/>
              <w:left w:val="single" w:color="auto" w:sz="4" w:space="0"/>
            </w:tcBorders>
            <w:shd w:val="clear" w:color="auto" w:fill="FFFFFF"/>
            <w:vAlign w:val="center"/>
          </w:tcPr>
          <w:p w14:paraId="4CAC1D88">
            <w:pPr>
              <w:pStyle w:val="125"/>
              <w:spacing w:line="240" w:lineRule="auto"/>
              <w:ind w:firstLine="0"/>
              <w:jc w:val="center"/>
              <w:rPr>
                <w:color w:val="auto"/>
                <w:sz w:val="21"/>
                <w:szCs w:val="21"/>
              </w:rPr>
            </w:pPr>
            <w:r>
              <w:rPr>
                <w:rFonts w:hint="eastAsia"/>
                <w:color w:val="auto"/>
                <w:sz w:val="21"/>
                <w:szCs w:val="21"/>
              </w:rPr>
              <w:t>标识牌</w:t>
            </w:r>
          </w:p>
        </w:tc>
        <w:tc>
          <w:tcPr>
            <w:tcW w:w="2981" w:type="dxa"/>
            <w:tcBorders>
              <w:top w:val="single" w:color="auto" w:sz="4" w:space="0"/>
              <w:left w:val="single" w:color="auto" w:sz="4" w:space="0"/>
            </w:tcBorders>
            <w:shd w:val="clear" w:color="auto" w:fill="FFFFFF"/>
          </w:tcPr>
          <w:p w14:paraId="44E100C1">
            <w:pPr>
              <w:pStyle w:val="125"/>
              <w:spacing w:line="240" w:lineRule="auto"/>
              <w:ind w:firstLine="800"/>
              <w:jc w:val="left"/>
              <w:rPr>
                <w:color w:val="auto"/>
                <w:sz w:val="21"/>
                <w:szCs w:val="21"/>
              </w:rPr>
            </w:pPr>
            <w:r>
              <w:rPr>
                <w:rFonts w:hint="eastAsia"/>
                <w:color w:val="auto"/>
                <w:sz w:val="21"/>
                <w:szCs w:val="21"/>
              </w:rPr>
              <w:t>清晰，无灰尘</w:t>
            </w:r>
          </w:p>
        </w:tc>
        <w:tc>
          <w:tcPr>
            <w:tcW w:w="1692" w:type="dxa"/>
            <w:tcBorders>
              <w:top w:val="single" w:color="auto" w:sz="4" w:space="0"/>
              <w:left w:val="single" w:color="auto" w:sz="4" w:space="0"/>
            </w:tcBorders>
            <w:shd w:val="clear" w:color="auto" w:fill="FFFFFF"/>
          </w:tcPr>
          <w:p w14:paraId="2A02B524">
            <w:pPr>
              <w:pStyle w:val="125"/>
              <w:spacing w:line="240" w:lineRule="auto"/>
              <w:ind w:firstLine="360"/>
              <w:rPr>
                <w:color w:val="auto"/>
                <w:sz w:val="21"/>
                <w:szCs w:val="21"/>
              </w:rPr>
            </w:pPr>
            <w:r>
              <w:rPr>
                <w:rFonts w:hint="eastAsia"/>
                <w:color w:val="auto"/>
                <w:sz w:val="21"/>
                <w:szCs w:val="21"/>
              </w:rPr>
              <w:t>每天一次</w:t>
            </w:r>
          </w:p>
        </w:tc>
        <w:tc>
          <w:tcPr>
            <w:tcW w:w="1872" w:type="dxa"/>
            <w:tcBorders>
              <w:top w:val="single" w:color="auto" w:sz="4" w:space="0"/>
              <w:left w:val="single" w:color="auto" w:sz="4" w:space="0"/>
              <w:right w:val="single" w:color="auto" w:sz="4" w:space="0"/>
            </w:tcBorders>
            <w:shd w:val="clear" w:color="auto" w:fill="FFFFFF"/>
          </w:tcPr>
          <w:p w14:paraId="51BF5A2B">
            <w:pPr>
              <w:rPr>
                <w:rFonts w:ascii="宋体" w:hAnsi="宋体" w:cs="宋体"/>
                <w:color w:val="auto"/>
                <w:szCs w:val="21"/>
              </w:rPr>
            </w:pPr>
          </w:p>
        </w:tc>
      </w:tr>
      <w:tr w14:paraId="5062F3DB">
        <w:tblPrEx>
          <w:tblCellMar>
            <w:top w:w="0" w:type="dxa"/>
            <w:left w:w="10" w:type="dxa"/>
            <w:bottom w:w="0" w:type="dxa"/>
            <w:right w:w="10" w:type="dxa"/>
          </w:tblCellMar>
        </w:tblPrEx>
        <w:trPr>
          <w:trHeight w:val="1673" w:hRule="exact"/>
          <w:jc w:val="center"/>
        </w:trPr>
        <w:tc>
          <w:tcPr>
            <w:tcW w:w="1314" w:type="dxa"/>
            <w:tcBorders>
              <w:top w:val="single" w:color="auto" w:sz="4" w:space="0"/>
              <w:left w:val="single" w:color="auto" w:sz="4" w:space="0"/>
            </w:tcBorders>
            <w:shd w:val="clear" w:color="auto" w:fill="FFFFFF"/>
            <w:vAlign w:val="center"/>
          </w:tcPr>
          <w:p w14:paraId="5880F003">
            <w:pPr>
              <w:pStyle w:val="125"/>
              <w:spacing w:line="240" w:lineRule="auto"/>
              <w:ind w:firstLine="600"/>
              <w:jc w:val="center"/>
              <w:rPr>
                <w:color w:val="auto"/>
                <w:sz w:val="21"/>
                <w:szCs w:val="21"/>
              </w:rPr>
            </w:pPr>
            <w:r>
              <w:rPr>
                <w:rFonts w:hint="eastAsia"/>
                <w:color w:val="auto"/>
                <w:sz w:val="21"/>
                <w:szCs w:val="21"/>
              </w:rPr>
              <w:t>垃圾桶</w:t>
            </w:r>
          </w:p>
        </w:tc>
        <w:tc>
          <w:tcPr>
            <w:tcW w:w="2981" w:type="dxa"/>
            <w:tcBorders>
              <w:top w:val="single" w:color="auto" w:sz="4" w:space="0"/>
              <w:left w:val="single" w:color="auto" w:sz="4" w:space="0"/>
            </w:tcBorders>
            <w:shd w:val="clear" w:color="auto" w:fill="FFFFFF"/>
            <w:vAlign w:val="center"/>
          </w:tcPr>
          <w:p w14:paraId="19719BB5">
            <w:pPr>
              <w:pStyle w:val="125"/>
              <w:spacing w:line="310" w:lineRule="exact"/>
              <w:ind w:firstLine="300"/>
              <w:rPr>
                <w:color w:val="auto"/>
                <w:sz w:val="21"/>
                <w:szCs w:val="21"/>
              </w:rPr>
            </w:pPr>
            <w:r>
              <w:rPr>
                <w:rFonts w:hint="eastAsia"/>
                <w:color w:val="auto"/>
                <w:sz w:val="21"/>
                <w:szCs w:val="21"/>
              </w:rPr>
              <w:t>光亮、无污迹、无水迹，周 边无垃圾</w:t>
            </w:r>
          </w:p>
        </w:tc>
        <w:tc>
          <w:tcPr>
            <w:tcW w:w="1692" w:type="dxa"/>
            <w:tcBorders>
              <w:top w:val="single" w:color="auto" w:sz="4" w:space="0"/>
              <w:left w:val="single" w:color="auto" w:sz="4" w:space="0"/>
            </w:tcBorders>
            <w:shd w:val="clear" w:color="auto" w:fill="FFFFFF"/>
          </w:tcPr>
          <w:p w14:paraId="13EC962B">
            <w:pPr>
              <w:pStyle w:val="125"/>
              <w:tabs>
                <w:tab w:val="left" w:pos="274"/>
              </w:tabs>
              <w:spacing w:line="317" w:lineRule="exact"/>
              <w:ind w:firstLine="0"/>
              <w:jc w:val="left"/>
              <w:rPr>
                <w:color w:val="auto"/>
                <w:sz w:val="21"/>
                <w:szCs w:val="21"/>
              </w:rPr>
            </w:pPr>
            <w:r>
              <w:rPr>
                <w:rFonts w:hint="eastAsia"/>
                <w:color w:val="auto"/>
                <w:sz w:val="21"/>
                <w:szCs w:val="21"/>
              </w:rPr>
              <w:t>1、</w:t>
            </w:r>
            <w:r>
              <w:rPr>
                <w:rFonts w:hint="eastAsia"/>
                <w:color w:val="auto"/>
                <w:sz w:val="21"/>
                <w:szCs w:val="21"/>
              </w:rPr>
              <w:tab/>
            </w:r>
            <w:r>
              <w:rPr>
                <w:rFonts w:hint="eastAsia"/>
                <w:color w:val="auto"/>
                <w:sz w:val="21"/>
                <w:szCs w:val="21"/>
              </w:rPr>
              <w:t>每天上、下午 各一次</w:t>
            </w:r>
          </w:p>
          <w:p w14:paraId="480D31DC">
            <w:pPr>
              <w:pStyle w:val="125"/>
              <w:tabs>
                <w:tab w:val="left" w:pos="324"/>
              </w:tabs>
              <w:spacing w:line="317" w:lineRule="exact"/>
              <w:ind w:firstLine="0"/>
              <w:rPr>
                <w:color w:val="auto"/>
                <w:sz w:val="21"/>
                <w:szCs w:val="21"/>
              </w:rPr>
            </w:pPr>
            <w:r>
              <w:rPr>
                <w:rFonts w:hint="eastAsia"/>
                <w:color w:val="auto"/>
                <w:sz w:val="21"/>
                <w:szCs w:val="21"/>
              </w:rPr>
              <w:t>2、</w:t>
            </w:r>
            <w:r>
              <w:rPr>
                <w:rFonts w:hint="eastAsia"/>
                <w:color w:val="auto"/>
                <w:sz w:val="21"/>
                <w:szCs w:val="21"/>
              </w:rPr>
              <w:tab/>
            </w:r>
            <w:r>
              <w:rPr>
                <w:rFonts w:hint="eastAsia"/>
                <w:color w:val="auto"/>
                <w:sz w:val="21"/>
                <w:szCs w:val="21"/>
              </w:rPr>
              <w:t>随满随倒</w:t>
            </w:r>
          </w:p>
        </w:tc>
        <w:tc>
          <w:tcPr>
            <w:tcW w:w="1872" w:type="dxa"/>
            <w:tcBorders>
              <w:top w:val="single" w:color="auto" w:sz="4" w:space="0"/>
              <w:left w:val="single" w:color="auto" w:sz="4" w:space="0"/>
              <w:right w:val="single" w:color="auto" w:sz="4" w:space="0"/>
            </w:tcBorders>
            <w:shd w:val="clear" w:color="auto" w:fill="FFFFFF"/>
            <w:vAlign w:val="bottom"/>
          </w:tcPr>
          <w:p w14:paraId="285B586D">
            <w:pPr>
              <w:pStyle w:val="125"/>
              <w:spacing w:line="310" w:lineRule="exact"/>
              <w:ind w:firstLine="0"/>
              <w:rPr>
                <w:color w:val="auto"/>
                <w:sz w:val="21"/>
                <w:szCs w:val="21"/>
              </w:rPr>
            </w:pPr>
            <w:r>
              <w:rPr>
                <w:rFonts w:hint="eastAsia"/>
                <w:color w:val="auto"/>
                <w:sz w:val="21"/>
                <w:szCs w:val="21"/>
              </w:rPr>
              <w:t>垃圾袋平整</w:t>
            </w:r>
            <w:r>
              <w:rPr>
                <w:rFonts w:hint="eastAsia"/>
                <w:color w:val="auto"/>
                <w:sz w:val="21"/>
                <w:szCs w:val="21"/>
                <w:lang w:eastAsia="zh-CN"/>
              </w:rPr>
              <w:t>的</w:t>
            </w:r>
            <w:r>
              <w:rPr>
                <w:rFonts w:hint="eastAsia"/>
                <w:color w:val="auto"/>
                <w:sz w:val="21"/>
                <w:szCs w:val="21"/>
              </w:rPr>
              <w:t>套在垃 圾桶上，与垃圾桶之间无 缝隙，翻边约5厘米，不 能漫溢。</w:t>
            </w:r>
          </w:p>
        </w:tc>
      </w:tr>
      <w:tr w14:paraId="77009A29">
        <w:tblPrEx>
          <w:tblCellMar>
            <w:top w:w="0" w:type="dxa"/>
            <w:left w:w="10" w:type="dxa"/>
            <w:bottom w:w="0" w:type="dxa"/>
            <w:right w:w="10" w:type="dxa"/>
          </w:tblCellMar>
        </w:tblPrEx>
        <w:trPr>
          <w:trHeight w:val="634" w:hRule="exact"/>
          <w:jc w:val="center"/>
        </w:trPr>
        <w:tc>
          <w:tcPr>
            <w:tcW w:w="1314" w:type="dxa"/>
            <w:tcBorders>
              <w:top w:val="single" w:color="auto" w:sz="4" w:space="0"/>
              <w:left w:val="single" w:color="auto" w:sz="4" w:space="0"/>
            </w:tcBorders>
            <w:shd w:val="clear" w:color="auto" w:fill="FFFFFF"/>
            <w:vAlign w:val="center"/>
          </w:tcPr>
          <w:p w14:paraId="5DAC4FA8">
            <w:pPr>
              <w:pStyle w:val="125"/>
              <w:spacing w:line="240" w:lineRule="auto"/>
              <w:jc w:val="center"/>
              <w:rPr>
                <w:color w:val="auto"/>
                <w:sz w:val="21"/>
                <w:szCs w:val="21"/>
              </w:rPr>
            </w:pPr>
            <w:r>
              <w:rPr>
                <w:rFonts w:hint="eastAsia"/>
                <w:color w:val="auto"/>
                <w:sz w:val="21"/>
                <w:szCs w:val="21"/>
              </w:rPr>
              <w:t>护士站吧台</w:t>
            </w:r>
          </w:p>
        </w:tc>
        <w:tc>
          <w:tcPr>
            <w:tcW w:w="2981" w:type="dxa"/>
            <w:tcBorders>
              <w:top w:val="single" w:color="auto" w:sz="4" w:space="0"/>
              <w:left w:val="single" w:color="auto" w:sz="4" w:space="0"/>
            </w:tcBorders>
            <w:shd w:val="clear" w:color="auto" w:fill="FFFFFF"/>
          </w:tcPr>
          <w:p w14:paraId="748C96AB">
            <w:pPr>
              <w:pStyle w:val="125"/>
              <w:spacing w:line="310" w:lineRule="exact"/>
              <w:ind w:firstLine="300"/>
              <w:rPr>
                <w:color w:val="auto"/>
                <w:sz w:val="21"/>
                <w:szCs w:val="21"/>
              </w:rPr>
            </w:pPr>
            <w:r>
              <w:rPr>
                <w:rFonts w:hint="eastAsia"/>
                <w:color w:val="auto"/>
                <w:sz w:val="21"/>
                <w:szCs w:val="21"/>
              </w:rPr>
              <w:t>无灰尘、污迹、水迹、变形、 破损，洁净、稳固、完好</w:t>
            </w:r>
          </w:p>
        </w:tc>
        <w:tc>
          <w:tcPr>
            <w:tcW w:w="1692" w:type="dxa"/>
            <w:tcBorders>
              <w:top w:val="single" w:color="auto" w:sz="4" w:space="0"/>
              <w:left w:val="single" w:color="auto" w:sz="4" w:space="0"/>
            </w:tcBorders>
            <w:shd w:val="clear" w:color="auto" w:fill="FFFFFF"/>
          </w:tcPr>
          <w:p w14:paraId="3B5480FC">
            <w:pPr>
              <w:pStyle w:val="125"/>
              <w:spacing w:line="240" w:lineRule="auto"/>
              <w:ind w:firstLine="0"/>
              <w:jc w:val="left"/>
              <w:rPr>
                <w:color w:val="auto"/>
                <w:sz w:val="21"/>
                <w:szCs w:val="21"/>
              </w:rPr>
            </w:pPr>
            <w:r>
              <w:rPr>
                <w:rFonts w:hint="eastAsia"/>
                <w:color w:val="auto"/>
                <w:sz w:val="21"/>
                <w:szCs w:val="21"/>
              </w:rPr>
              <w:t>每天一次</w:t>
            </w:r>
          </w:p>
        </w:tc>
        <w:tc>
          <w:tcPr>
            <w:tcW w:w="1872" w:type="dxa"/>
            <w:tcBorders>
              <w:top w:val="single" w:color="auto" w:sz="4" w:space="0"/>
              <w:left w:val="single" w:color="auto" w:sz="4" w:space="0"/>
              <w:right w:val="single" w:color="auto" w:sz="4" w:space="0"/>
            </w:tcBorders>
            <w:shd w:val="clear" w:color="auto" w:fill="FFFFFF"/>
            <w:vAlign w:val="center"/>
          </w:tcPr>
          <w:p w14:paraId="15DCDA55">
            <w:pPr>
              <w:pStyle w:val="125"/>
              <w:spacing w:line="240" w:lineRule="auto"/>
              <w:ind w:firstLine="0"/>
              <w:jc w:val="left"/>
              <w:rPr>
                <w:color w:val="auto"/>
                <w:sz w:val="21"/>
                <w:szCs w:val="21"/>
              </w:rPr>
            </w:pPr>
            <w:r>
              <w:rPr>
                <w:rFonts w:hint="eastAsia"/>
                <w:color w:val="auto"/>
                <w:sz w:val="21"/>
                <w:szCs w:val="21"/>
              </w:rPr>
              <w:t>如破损及时报修</w:t>
            </w:r>
          </w:p>
        </w:tc>
      </w:tr>
      <w:tr w14:paraId="5D89D0BD">
        <w:tblPrEx>
          <w:tblCellMar>
            <w:top w:w="0" w:type="dxa"/>
            <w:left w:w="10" w:type="dxa"/>
            <w:bottom w:w="0" w:type="dxa"/>
            <w:right w:w="10" w:type="dxa"/>
          </w:tblCellMar>
        </w:tblPrEx>
        <w:trPr>
          <w:trHeight w:val="592" w:hRule="exact"/>
          <w:jc w:val="center"/>
        </w:trPr>
        <w:tc>
          <w:tcPr>
            <w:tcW w:w="1314" w:type="dxa"/>
            <w:tcBorders>
              <w:top w:val="single" w:color="auto" w:sz="4" w:space="0"/>
              <w:left w:val="single" w:color="auto" w:sz="4" w:space="0"/>
            </w:tcBorders>
            <w:shd w:val="clear" w:color="auto" w:fill="FFFFFF"/>
          </w:tcPr>
          <w:p w14:paraId="04D42DB4">
            <w:pPr>
              <w:pStyle w:val="125"/>
              <w:spacing w:line="240" w:lineRule="auto"/>
              <w:ind w:firstLine="600"/>
              <w:rPr>
                <w:color w:val="auto"/>
                <w:sz w:val="21"/>
                <w:szCs w:val="21"/>
              </w:rPr>
            </w:pPr>
            <w:r>
              <w:rPr>
                <w:rFonts w:hint="eastAsia"/>
                <w:color w:val="auto"/>
                <w:sz w:val="21"/>
                <w:szCs w:val="21"/>
              </w:rPr>
              <w:t>体重秤</w:t>
            </w:r>
          </w:p>
        </w:tc>
        <w:tc>
          <w:tcPr>
            <w:tcW w:w="2981" w:type="dxa"/>
            <w:tcBorders>
              <w:top w:val="single" w:color="auto" w:sz="4" w:space="0"/>
              <w:left w:val="single" w:color="auto" w:sz="4" w:space="0"/>
            </w:tcBorders>
            <w:shd w:val="clear" w:color="auto" w:fill="FFFFFF"/>
          </w:tcPr>
          <w:p w14:paraId="1505B006">
            <w:pPr>
              <w:pStyle w:val="125"/>
              <w:spacing w:line="240" w:lineRule="auto"/>
              <w:ind w:firstLine="800"/>
              <w:jc w:val="left"/>
              <w:rPr>
                <w:color w:val="auto"/>
                <w:sz w:val="21"/>
                <w:szCs w:val="21"/>
              </w:rPr>
            </w:pPr>
            <w:r>
              <w:rPr>
                <w:rFonts w:hint="eastAsia"/>
                <w:color w:val="auto"/>
                <w:sz w:val="21"/>
                <w:szCs w:val="21"/>
              </w:rPr>
              <w:t>无灰尘、污迹</w:t>
            </w:r>
          </w:p>
        </w:tc>
        <w:tc>
          <w:tcPr>
            <w:tcW w:w="1692" w:type="dxa"/>
            <w:tcBorders>
              <w:top w:val="single" w:color="auto" w:sz="4" w:space="0"/>
              <w:left w:val="single" w:color="auto" w:sz="4" w:space="0"/>
            </w:tcBorders>
            <w:shd w:val="clear" w:color="auto" w:fill="FFFFFF"/>
          </w:tcPr>
          <w:p w14:paraId="03AA7430">
            <w:pPr>
              <w:pStyle w:val="125"/>
              <w:spacing w:line="240" w:lineRule="auto"/>
              <w:ind w:firstLine="360"/>
              <w:rPr>
                <w:color w:val="auto"/>
                <w:sz w:val="21"/>
                <w:szCs w:val="21"/>
              </w:rPr>
            </w:pPr>
            <w:r>
              <w:rPr>
                <w:rFonts w:hint="eastAsia"/>
                <w:color w:val="auto"/>
                <w:sz w:val="21"/>
                <w:szCs w:val="21"/>
              </w:rPr>
              <w:t>每天一次</w:t>
            </w:r>
          </w:p>
        </w:tc>
        <w:tc>
          <w:tcPr>
            <w:tcW w:w="1872" w:type="dxa"/>
            <w:tcBorders>
              <w:top w:val="single" w:color="auto" w:sz="4" w:space="0"/>
              <w:left w:val="single" w:color="auto" w:sz="4" w:space="0"/>
              <w:right w:val="single" w:color="auto" w:sz="4" w:space="0"/>
            </w:tcBorders>
            <w:shd w:val="clear" w:color="auto" w:fill="FFFFFF"/>
          </w:tcPr>
          <w:p w14:paraId="168242EB">
            <w:pPr>
              <w:rPr>
                <w:rFonts w:ascii="宋体" w:hAnsi="宋体" w:cs="宋体"/>
                <w:color w:val="auto"/>
                <w:szCs w:val="21"/>
              </w:rPr>
            </w:pPr>
          </w:p>
        </w:tc>
      </w:tr>
      <w:tr w14:paraId="27533456">
        <w:tblPrEx>
          <w:tblCellMar>
            <w:top w:w="0" w:type="dxa"/>
            <w:left w:w="10" w:type="dxa"/>
            <w:bottom w:w="0" w:type="dxa"/>
            <w:right w:w="10" w:type="dxa"/>
          </w:tblCellMar>
        </w:tblPrEx>
        <w:trPr>
          <w:trHeight w:val="708" w:hRule="exact"/>
          <w:jc w:val="center"/>
        </w:trPr>
        <w:tc>
          <w:tcPr>
            <w:tcW w:w="1314" w:type="dxa"/>
            <w:tcBorders>
              <w:top w:val="single" w:color="auto" w:sz="4" w:space="0"/>
              <w:left w:val="single" w:color="auto" w:sz="4" w:space="0"/>
            </w:tcBorders>
            <w:shd w:val="clear" w:color="auto" w:fill="FFFFFF"/>
          </w:tcPr>
          <w:p w14:paraId="1151CA6D">
            <w:pPr>
              <w:pStyle w:val="125"/>
              <w:spacing w:line="240" w:lineRule="auto"/>
              <w:ind w:firstLine="600"/>
              <w:rPr>
                <w:color w:val="auto"/>
                <w:sz w:val="21"/>
                <w:szCs w:val="21"/>
              </w:rPr>
            </w:pPr>
            <w:r>
              <w:rPr>
                <w:rFonts w:hint="eastAsia"/>
                <w:color w:val="auto"/>
                <w:sz w:val="21"/>
                <w:szCs w:val="21"/>
              </w:rPr>
              <w:t>电话机</w:t>
            </w:r>
          </w:p>
        </w:tc>
        <w:tc>
          <w:tcPr>
            <w:tcW w:w="2981" w:type="dxa"/>
            <w:tcBorders>
              <w:top w:val="single" w:color="auto" w:sz="4" w:space="0"/>
              <w:left w:val="single" w:color="auto" w:sz="4" w:space="0"/>
            </w:tcBorders>
            <w:shd w:val="clear" w:color="auto" w:fill="FFFFFF"/>
          </w:tcPr>
          <w:p w14:paraId="1177E634">
            <w:pPr>
              <w:pStyle w:val="125"/>
              <w:spacing w:line="240" w:lineRule="auto"/>
              <w:ind w:firstLine="440"/>
              <w:jc w:val="left"/>
              <w:rPr>
                <w:color w:val="auto"/>
                <w:sz w:val="21"/>
                <w:szCs w:val="21"/>
              </w:rPr>
            </w:pPr>
            <w:r>
              <w:rPr>
                <w:rFonts w:hint="eastAsia"/>
                <w:color w:val="auto"/>
                <w:sz w:val="21"/>
                <w:szCs w:val="21"/>
              </w:rPr>
              <w:t>清洁，无污迹、异味</w:t>
            </w:r>
          </w:p>
        </w:tc>
        <w:tc>
          <w:tcPr>
            <w:tcW w:w="1692" w:type="dxa"/>
            <w:tcBorders>
              <w:top w:val="single" w:color="auto" w:sz="4" w:space="0"/>
              <w:left w:val="single" w:color="auto" w:sz="4" w:space="0"/>
            </w:tcBorders>
            <w:shd w:val="clear" w:color="auto" w:fill="FFFFFF"/>
          </w:tcPr>
          <w:p w14:paraId="2D75B234">
            <w:pPr>
              <w:pStyle w:val="125"/>
              <w:spacing w:line="240" w:lineRule="auto"/>
              <w:ind w:firstLine="260"/>
              <w:jc w:val="left"/>
              <w:rPr>
                <w:color w:val="auto"/>
                <w:sz w:val="21"/>
                <w:szCs w:val="21"/>
              </w:rPr>
            </w:pPr>
            <w:r>
              <w:rPr>
                <w:rFonts w:hint="eastAsia"/>
                <w:color w:val="auto"/>
                <w:sz w:val="21"/>
                <w:szCs w:val="21"/>
              </w:rPr>
              <w:t>每2天1次</w:t>
            </w:r>
          </w:p>
        </w:tc>
        <w:tc>
          <w:tcPr>
            <w:tcW w:w="1872" w:type="dxa"/>
            <w:tcBorders>
              <w:top w:val="single" w:color="auto" w:sz="4" w:space="0"/>
              <w:left w:val="single" w:color="auto" w:sz="4" w:space="0"/>
              <w:right w:val="single" w:color="auto" w:sz="4" w:space="0"/>
            </w:tcBorders>
            <w:shd w:val="clear" w:color="auto" w:fill="FFFFFF"/>
          </w:tcPr>
          <w:p w14:paraId="1242CFD5">
            <w:pPr>
              <w:pStyle w:val="125"/>
              <w:spacing w:line="240" w:lineRule="auto"/>
              <w:ind w:firstLine="260"/>
              <w:jc w:val="left"/>
              <w:rPr>
                <w:color w:val="auto"/>
                <w:sz w:val="21"/>
                <w:szCs w:val="21"/>
              </w:rPr>
            </w:pPr>
            <w:r>
              <w:rPr>
                <w:rFonts w:hint="eastAsia"/>
                <w:color w:val="auto"/>
                <w:sz w:val="21"/>
                <w:szCs w:val="21"/>
              </w:rPr>
              <w:t>清洁时按下电话按键</w:t>
            </w:r>
          </w:p>
        </w:tc>
      </w:tr>
      <w:tr w14:paraId="3446C3BC">
        <w:tblPrEx>
          <w:tblCellMar>
            <w:top w:w="0" w:type="dxa"/>
            <w:left w:w="10" w:type="dxa"/>
            <w:bottom w:w="0" w:type="dxa"/>
            <w:right w:w="10" w:type="dxa"/>
          </w:tblCellMar>
        </w:tblPrEx>
        <w:trPr>
          <w:trHeight w:val="733" w:hRule="exact"/>
          <w:jc w:val="center"/>
        </w:trPr>
        <w:tc>
          <w:tcPr>
            <w:tcW w:w="1314" w:type="dxa"/>
            <w:tcBorders>
              <w:top w:val="single" w:color="auto" w:sz="4" w:space="0"/>
              <w:left w:val="single" w:color="auto" w:sz="4" w:space="0"/>
              <w:bottom w:val="single" w:color="auto" w:sz="4" w:space="0"/>
            </w:tcBorders>
            <w:shd w:val="clear" w:color="auto" w:fill="FFFFFF"/>
          </w:tcPr>
          <w:p w14:paraId="3624A30F">
            <w:pPr>
              <w:pStyle w:val="125"/>
              <w:spacing w:line="240" w:lineRule="auto"/>
              <w:ind w:firstLine="0"/>
              <w:jc w:val="left"/>
              <w:rPr>
                <w:color w:val="auto"/>
                <w:sz w:val="21"/>
                <w:szCs w:val="21"/>
              </w:rPr>
            </w:pPr>
            <w:r>
              <w:rPr>
                <w:rFonts w:hint="eastAsia"/>
                <w:color w:val="auto"/>
                <w:sz w:val="21"/>
                <w:szCs w:val="21"/>
              </w:rPr>
              <w:t>空调出风口</w:t>
            </w:r>
          </w:p>
        </w:tc>
        <w:tc>
          <w:tcPr>
            <w:tcW w:w="2981" w:type="dxa"/>
            <w:tcBorders>
              <w:top w:val="single" w:color="auto" w:sz="4" w:space="0"/>
              <w:left w:val="single" w:color="auto" w:sz="4" w:space="0"/>
              <w:bottom w:val="single" w:color="auto" w:sz="4" w:space="0"/>
            </w:tcBorders>
            <w:shd w:val="clear" w:color="auto" w:fill="FFFFFF"/>
          </w:tcPr>
          <w:p w14:paraId="76A86257">
            <w:pPr>
              <w:pStyle w:val="125"/>
              <w:spacing w:line="240" w:lineRule="auto"/>
              <w:ind w:firstLine="380"/>
              <w:jc w:val="left"/>
              <w:rPr>
                <w:color w:val="auto"/>
                <w:sz w:val="21"/>
                <w:szCs w:val="21"/>
              </w:rPr>
            </w:pPr>
            <w:r>
              <w:rPr>
                <w:rFonts w:hint="eastAsia"/>
                <w:color w:val="auto"/>
                <w:sz w:val="21"/>
                <w:szCs w:val="21"/>
              </w:rPr>
              <w:t>无冷凝水，清洁无灰尘</w:t>
            </w:r>
          </w:p>
        </w:tc>
        <w:tc>
          <w:tcPr>
            <w:tcW w:w="1692" w:type="dxa"/>
            <w:tcBorders>
              <w:top w:val="single" w:color="auto" w:sz="4" w:space="0"/>
              <w:left w:val="single" w:color="auto" w:sz="4" w:space="0"/>
              <w:bottom w:val="single" w:color="auto" w:sz="4" w:space="0"/>
            </w:tcBorders>
            <w:shd w:val="clear" w:color="auto" w:fill="FFFFFF"/>
          </w:tcPr>
          <w:p w14:paraId="3ED0FE77">
            <w:pPr>
              <w:pStyle w:val="125"/>
              <w:spacing w:line="240" w:lineRule="auto"/>
              <w:ind w:firstLine="360"/>
              <w:rPr>
                <w:color w:val="auto"/>
                <w:sz w:val="21"/>
                <w:szCs w:val="21"/>
              </w:rPr>
            </w:pPr>
            <w:r>
              <w:rPr>
                <w:rFonts w:hint="eastAsia"/>
                <w:color w:val="auto"/>
                <w:sz w:val="21"/>
                <w:szCs w:val="21"/>
              </w:rPr>
              <w:t>每周一次</w:t>
            </w:r>
          </w:p>
        </w:tc>
        <w:tc>
          <w:tcPr>
            <w:tcW w:w="1872" w:type="dxa"/>
            <w:tcBorders>
              <w:top w:val="single" w:color="auto" w:sz="4" w:space="0"/>
              <w:left w:val="single" w:color="auto" w:sz="4" w:space="0"/>
              <w:bottom w:val="single" w:color="auto" w:sz="4" w:space="0"/>
              <w:right w:val="single" w:color="auto" w:sz="4" w:space="0"/>
            </w:tcBorders>
            <w:shd w:val="clear" w:color="auto" w:fill="FFFFFF"/>
          </w:tcPr>
          <w:p w14:paraId="6A3F6639">
            <w:pPr>
              <w:pStyle w:val="125"/>
              <w:spacing w:line="240" w:lineRule="auto"/>
              <w:jc w:val="left"/>
              <w:rPr>
                <w:color w:val="auto"/>
                <w:sz w:val="21"/>
                <w:szCs w:val="21"/>
              </w:rPr>
            </w:pPr>
            <w:r>
              <w:rPr>
                <w:rFonts w:hint="eastAsia"/>
                <w:color w:val="auto"/>
                <w:sz w:val="21"/>
                <w:szCs w:val="21"/>
              </w:rPr>
              <w:t>不可站在病人用椅上</w:t>
            </w:r>
          </w:p>
        </w:tc>
      </w:tr>
    </w:tbl>
    <w:p w14:paraId="14E4C038">
      <w:pPr>
        <w:pStyle w:val="126"/>
        <w:spacing w:line="310" w:lineRule="exact"/>
        <w:ind w:left="86" w:firstLine="420" w:firstLineChars="200"/>
        <w:jc w:val="left"/>
        <w:rPr>
          <w:color w:val="auto"/>
          <w:sz w:val="21"/>
          <w:szCs w:val="21"/>
        </w:rPr>
      </w:pPr>
      <w:r>
        <w:rPr>
          <w:rFonts w:hint="eastAsia"/>
          <w:color w:val="auto"/>
          <w:sz w:val="21"/>
          <w:szCs w:val="21"/>
        </w:rPr>
        <w:t>说明：公共医疗用房：医生办公室、护士站、主任办公室、配餐间、开水间、污洗间、值班 房、库房、处置间、诊疗室、专科检查室、清创室、教研活动室。</w:t>
      </w:r>
    </w:p>
    <w:p w14:paraId="02D8BEA0">
      <w:pPr>
        <w:ind w:left="420"/>
        <w:rPr>
          <w:rFonts w:ascii="宋体" w:hAnsi="宋体" w:cs="宋体"/>
          <w:b/>
          <w:bCs/>
          <w:color w:val="auto"/>
          <w:szCs w:val="21"/>
        </w:rPr>
      </w:pPr>
    </w:p>
    <w:p w14:paraId="52B1E02B">
      <w:pPr>
        <w:ind w:left="420"/>
        <w:rPr>
          <w:rFonts w:ascii="宋体" w:hAnsi="宋体" w:cs="宋体"/>
          <w:b/>
          <w:bCs/>
          <w:color w:val="auto"/>
          <w:szCs w:val="21"/>
        </w:rPr>
      </w:pPr>
      <w:r>
        <w:rPr>
          <w:rFonts w:hint="eastAsia" w:ascii="宋体" w:hAnsi="宋体" w:cs="宋体"/>
          <w:b/>
          <w:bCs/>
          <w:color w:val="auto"/>
          <w:szCs w:val="21"/>
        </w:rPr>
        <w:t>8、医院外环境日常保洁项目要求</w:t>
      </w:r>
    </w:p>
    <w:p w14:paraId="70473B89">
      <w:pPr>
        <w:snapToGrid w:val="0"/>
        <w:spacing w:line="360" w:lineRule="auto"/>
        <w:ind w:right="315"/>
        <w:rPr>
          <w:rFonts w:ascii="宋体" w:hAnsi="宋体"/>
          <w:color w:val="auto"/>
          <w:szCs w:val="21"/>
        </w:rPr>
      </w:pPr>
    </w:p>
    <w:tbl>
      <w:tblPr>
        <w:tblStyle w:val="47"/>
        <w:tblW w:w="0" w:type="auto"/>
        <w:jc w:val="center"/>
        <w:tblLayout w:type="fixed"/>
        <w:tblCellMar>
          <w:top w:w="0" w:type="dxa"/>
          <w:left w:w="10" w:type="dxa"/>
          <w:bottom w:w="0" w:type="dxa"/>
          <w:right w:w="10" w:type="dxa"/>
        </w:tblCellMar>
      </w:tblPr>
      <w:tblGrid>
        <w:gridCol w:w="1249"/>
        <w:gridCol w:w="2295"/>
        <w:gridCol w:w="2430"/>
        <w:gridCol w:w="1819"/>
      </w:tblGrid>
      <w:tr w14:paraId="20F9B7C6">
        <w:tblPrEx>
          <w:tblCellMar>
            <w:top w:w="0" w:type="dxa"/>
            <w:left w:w="10" w:type="dxa"/>
            <w:bottom w:w="0" w:type="dxa"/>
            <w:right w:w="10" w:type="dxa"/>
          </w:tblCellMar>
        </w:tblPrEx>
        <w:trPr>
          <w:trHeight w:val="553" w:hRule="exact"/>
          <w:jc w:val="center"/>
        </w:trPr>
        <w:tc>
          <w:tcPr>
            <w:tcW w:w="1249" w:type="dxa"/>
            <w:tcBorders>
              <w:top w:val="single" w:color="auto" w:sz="4" w:space="0"/>
              <w:left w:val="single" w:color="auto" w:sz="4" w:space="0"/>
            </w:tcBorders>
            <w:shd w:val="clear" w:color="auto" w:fill="FFFFFF"/>
            <w:vAlign w:val="center"/>
          </w:tcPr>
          <w:p w14:paraId="71C6D841">
            <w:pPr>
              <w:jc w:val="center"/>
              <w:rPr>
                <w:rFonts w:ascii="宋体" w:hAnsi="宋体" w:cs="宋体"/>
                <w:b/>
                <w:bCs/>
                <w:color w:val="auto"/>
                <w:szCs w:val="21"/>
              </w:rPr>
            </w:pPr>
            <w:r>
              <w:rPr>
                <w:rFonts w:hint="eastAsia" w:ascii="宋体" w:hAnsi="宋体" w:cs="宋体"/>
                <w:b/>
                <w:bCs/>
                <w:color w:val="auto"/>
                <w:szCs w:val="21"/>
              </w:rPr>
              <w:t>项目</w:t>
            </w:r>
          </w:p>
        </w:tc>
        <w:tc>
          <w:tcPr>
            <w:tcW w:w="2295" w:type="dxa"/>
            <w:tcBorders>
              <w:top w:val="single" w:color="auto" w:sz="4" w:space="0"/>
              <w:left w:val="single" w:color="auto" w:sz="4" w:space="0"/>
            </w:tcBorders>
            <w:shd w:val="clear" w:color="auto" w:fill="FFFFFF"/>
            <w:vAlign w:val="center"/>
          </w:tcPr>
          <w:p w14:paraId="6506E4E6">
            <w:pPr>
              <w:jc w:val="center"/>
              <w:rPr>
                <w:rFonts w:ascii="宋体" w:hAnsi="宋体" w:cs="宋体"/>
                <w:b/>
                <w:bCs/>
                <w:color w:val="auto"/>
                <w:szCs w:val="21"/>
              </w:rPr>
            </w:pPr>
            <w:r>
              <w:rPr>
                <w:rFonts w:hint="eastAsia" w:ascii="宋体" w:hAnsi="宋体" w:cs="宋体"/>
                <w:b/>
                <w:bCs/>
                <w:color w:val="auto"/>
                <w:szCs w:val="21"/>
              </w:rPr>
              <w:t>标准（质量要求）</w:t>
            </w:r>
          </w:p>
        </w:tc>
        <w:tc>
          <w:tcPr>
            <w:tcW w:w="2430" w:type="dxa"/>
            <w:tcBorders>
              <w:top w:val="single" w:color="auto" w:sz="4" w:space="0"/>
              <w:left w:val="single" w:color="auto" w:sz="4" w:space="0"/>
            </w:tcBorders>
            <w:shd w:val="clear" w:color="auto" w:fill="FFFFFF"/>
            <w:vAlign w:val="center"/>
          </w:tcPr>
          <w:p w14:paraId="3D0AFCEC">
            <w:pPr>
              <w:jc w:val="center"/>
              <w:rPr>
                <w:rFonts w:ascii="宋体" w:hAnsi="宋体" w:cs="宋体"/>
                <w:b/>
                <w:bCs/>
                <w:color w:val="auto"/>
                <w:szCs w:val="21"/>
              </w:rPr>
            </w:pPr>
            <w:r>
              <w:rPr>
                <w:rFonts w:hint="eastAsia" w:ascii="宋体" w:hAnsi="宋体" w:cs="宋体"/>
                <w:b/>
                <w:bCs/>
                <w:color w:val="auto"/>
                <w:szCs w:val="21"/>
              </w:rPr>
              <w:t>频次</w:t>
            </w:r>
          </w:p>
        </w:tc>
        <w:tc>
          <w:tcPr>
            <w:tcW w:w="1819" w:type="dxa"/>
            <w:tcBorders>
              <w:top w:val="single" w:color="auto" w:sz="4" w:space="0"/>
              <w:left w:val="single" w:color="auto" w:sz="4" w:space="0"/>
              <w:right w:val="single" w:color="auto" w:sz="4" w:space="0"/>
            </w:tcBorders>
            <w:shd w:val="clear" w:color="auto" w:fill="FFFFFF"/>
            <w:vAlign w:val="center"/>
          </w:tcPr>
          <w:p w14:paraId="7308A2C6">
            <w:pPr>
              <w:jc w:val="center"/>
              <w:rPr>
                <w:rFonts w:ascii="宋体" w:hAnsi="宋体" w:cs="宋体"/>
                <w:b/>
                <w:bCs/>
                <w:color w:val="auto"/>
                <w:szCs w:val="21"/>
              </w:rPr>
            </w:pPr>
            <w:r>
              <w:rPr>
                <w:rFonts w:hint="eastAsia" w:ascii="宋体" w:hAnsi="宋体" w:cs="宋体"/>
                <w:b/>
                <w:bCs/>
                <w:color w:val="auto"/>
                <w:szCs w:val="21"/>
              </w:rPr>
              <w:t>注意事项</w:t>
            </w:r>
          </w:p>
        </w:tc>
      </w:tr>
      <w:tr w14:paraId="77732672">
        <w:tblPrEx>
          <w:tblCellMar>
            <w:top w:w="0" w:type="dxa"/>
            <w:left w:w="10" w:type="dxa"/>
            <w:bottom w:w="0" w:type="dxa"/>
            <w:right w:w="10" w:type="dxa"/>
          </w:tblCellMar>
        </w:tblPrEx>
        <w:trPr>
          <w:trHeight w:val="1326"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72C0ACF3">
            <w:pPr>
              <w:jc w:val="center"/>
              <w:rPr>
                <w:rFonts w:ascii="宋体" w:hAnsi="宋体" w:cs="宋体"/>
                <w:color w:val="auto"/>
                <w:szCs w:val="21"/>
              </w:rPr>
            </w:pPr>
            <w:r>
              <w:rPr>
                <w:rFonts w:hint="eastAsia" w:ascii="宋体" w:hAnsi="宋体" w:cs="宋体"/>
                <w:color w:val="auto"/>
                <w:szCs w:val="21"/>
              </w:rPr>
              <w:t>主干道地面、台阶</w:t>
            </w:r>
          </w:p>
        </w:tc>
        <w:tc>
          <w:tcPr>
            <w:tcW w:w="2295" w:type="dxa"/>
            <w:tcBorders>
              <w:top w:val="single" w:color="auto" w:sz="4" w:space="0"/>
              <w:left w:val="single" w:color="auto" w:sz="4" w:space="0"/>
              <w:bottom w:val="single" w:color="auto" w:sz="4" w:space="0"/>
            </w:tcBorders>
            <w:shd w:val="clear" w:color="auto" w:fill="FFFFFF"/>
            <w:vAlign w:val="center"/>
          </w:tcPr>
          <w:p w14:paraId="0673E629">
            <w:pPr>
              <w:jc w:val="center"/>
              <w:rPr>
                <w:rFonts w:ascii="宋体" w:hAnsi="宋体" w:cs="宋体"/>
                <w:color w:val="auto"/>
                <w:szCs w:val="21"/>
              </w:rPr>
            </w:pPr>
            <w:r>
              <w:rPr>
                <w:rFonts w:hint="eastAsia" w:ascii="宋体" w:hAnsi="宋体" w:cs="宋体"/>
                <w:color w:val="auto"/>
                <w:szCs w:val="21"/>
              </w:rPr>
              <w:t>无瓜果皮、纸屑、枯叶、烟头、呕吐物、污物等</w:t>
            </w:r>
          </w:p>
        </w:tc>
        <w:tc>
          <w:tcPr>
            <w:tcW w:w="2430" w:type="dxa"/>
            <w:tcBorders>
              <w:top w:val="single" w:color="auto" w:sz="4" w:space="0"/>
              <w:left w:val="single" w:color="auto" w:sz="4" w:space="0"/>
              <w:bottom w:val="single" w:color="auto" w:sz="4" w:space="0"/>
            </w:tcBorders>
            <w:shd w:val="clear" w:color="auto" w:fill="FFFFFF"/>
            <w:vAlign w:val="center"/>
          </w:tcPr>
          <w:p w14:paraId="0D166BFC">
            <w:pPr>
              <w:jc w:val="center"/>
              <w:rPr>
                <w:rFonts w:ascii="宋体" w:hAnsi="宋体" w:cs="宋体"/>
                <w:color w:val="auto"/>
                <w:szCs w:val="21"/>
              </w:rPr>
            </w:pPr>
            <w:r>
              <w:rPr>
                <w:rFonts w:hint="eastAsia" w:ascii="宋体" w:hAnsi="宋体" w:cs="宋体"/>
                <w:color w:val="auto"/>
                <w:szCs w:val="21"/>
              </w:rPr>
              <w:t>1、每天二次（大扫）</w:t>
            </w:r>
          </w:p>
          <w:p w14:paraId="18694827">
            <w:pPr>
              <w:jc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巡回保洁 维护每</w:t>
            </w:r>
          </w:p>
          <w:p w14:paraId="5EF464FB">
            <w:pPr>
              <w:jc w:val="center"/>
              <w:rPr>
                <w:rFonts w:ascii="宋体" w:hAnsi="宋体" w:cs="宋体"/>
                <w:color w:val="auto"/>
                <w:szCs w:val="21"/>
              </w:rPr>
            </w:pPr>
            <w:r>
              <w:rPr>
                <w:rFonts w:hint="eastAsia" w:ascii="宋体" w:hAnsi="宋体" w:cs="宋体"/>
                <w:color w:val="auto"/>
                <w:szCs w:val="21"/>
              </w:rPr>
              <w:t>小 时一次</w:t>
            </w:r>
          </w:p>
          <w:p w14:paraId="5540E9F3">
            <w:pPr>
              <w:jc w:val="center"/>
              <w:rPr>
                <w:rFonts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rPr>
              <w:tab/>
            </w:r>
            <w:r>
              <w:rPr>
                <w:rFonts w:hint="eastAsia" w:ascii="宋体" w:hAnsi="宋体" w:cs="宋体"/>
                <w:color w:val="auto"/>
                <w:szCs w:val="21"/>
              </w:rPr>
              <w:t>随脏随扫</w:t>
            </w:r>
          </w:p>
        </w:tc>
        <w:tc>
          <w:tcPr>
            <w:tcW w:w="1819" w:type="dxa"/>
            <w:tcBorders>
              <w:top w:val="single" w:color="auto" w:sz="4" w:space="0"/>
              <w:left w:val="single" w:color="auto" w:sz="4" w:space="0"/>
              <w:bottom w:val="single" w:color="auto" w:sz="4" w:space="0"/>
              <w:right w:val="single" w:color="auto" w:sz="4" w:space="0"/>
            </w:tcBorders>
            <w:shd w:val="clear" w:color="auto" w:fill="FFFFFF"/>
            <w:vAlign w:val="center"/>
          </w:tcPr>
          <w:p w14:paraId="509EDF3F">
            <w:pPr>
              <w:jc w:val="center"/>
              <w:rPr>
                <w:rFonts w:ascii="宋体" w:hAnsi="宋体" w:cs="宋体"/>
                <w:color w:val="auto"/>
                <w:szCs w:val="21"/>
              </w:rPr>
            </w:pPr>
            <w:r>
              <w:rPr>
                <w:rFonts w:hint="eastAsia" w:ascii="宋体" w:hAnsi="宋体" w:cs="宋体"/>
                <w:color w:val="auto"/>
                <w:szCs w:val="21"/>
              </w:rPr>
              <w:t>避免扬尘、触碰行人、地面湿滑</w:t>
            </w:r>
          </w:p>
        </w:tc>
      </w:tr>
      <w:tr w14:paraId="31B8654A">
        <w:tblPrEx>
          <w:tblCellMar>
            <w:top w:w="0" w:type="dxa"/>
            <w:left w:w="10" w:type="dxa"/>
            <w:bottom w:w="0" w:type="dxa"/>
            <w:right w:w="10" w:type="dxa"/>
          </w:tblCellMar>
        </w:tblPrEx>
        <w:trPr>
          <w:trHeight w:val="1916"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70951F33">
            <w:pPr>
              <w:jc w:val="center"/>
              <w:rPr>
                <w:rFonts w:ascii="宋体" w:hAnsi="宋体" w:cs="宋体"/>
                <w:color w:val="auto"/>
                <w:szCs w:val="21"/>
                <w:lang w:val="zh-TW" w:eastAsia="zh-TW"/>
              </w:rPr>
            </w:pPr>
            <w:r>
              <w:rPr>
                <w:rFonts w:hint="eastAsia" w:ascii="宋体" w:hAnsi="宋体" w:cs="宋体"/>
                <w:color w:val="auto"/>
                <w:szCs w:val="21"/>
              </w:rPr>
              <w:t>窖井盖</w:t>
            </w:r>
          </w:p>
        </w:tc>
        <w:tc>
          <w:tcPr>
            <w:tcW w:w="2295" w:type="dxa"/>
            <w:tcBorders>
              <w:top w:val="single" w:color="auto" w:sz="4" w:space="0"/>
              <w:left w:val="single" w:color="auto" w:sz="4" w:space="0"/>
              <w:bottom w:val="single" w:color="auto" w:sz="4" w:space="0"/>
            </w:tcBorders>
            <w:shd w:val="clear" w:color="auto" w:fill="FFFFFF"/>
            <w:vAlign w:val="center"/>
          </w:tcPr>
          <w:p w14:paraId="3D402169">
            <w:pPr>
              <w:jc w:val="center"/>
              <w:rPr>
                <w:rFonts w:ascii="宋体" w:hAnsi="宋体" w:cs="宋体"/>
                <w:color w:val="auto"/>
                <w:szCs w:val="21"/>
                <w:lang w:val="zh-TW" w:eastAsia="zh-TW"/>
              </w:rPr>
            </w:pPr>
            <w:r>
              <w:rPr>
                <w:rFonts w:hint="eastAsia" w:ascii="宋体" w:hAnsi="宋体" w:cs="宋体"/>
                <w:color w:val="auto"/>
                <w:szCs w:val="21"/>
              </w:rPr>
              <w:t>无晃动，表面无痕迹、污迹， 下水孔无阻塞、破损</w:t>
            </w:r>
          </w:p>
        </w:tc>
        <w:tc>
          <w:tcPr>
            <w:tcW w:w="2430" w:type="dxa"/>
            <w:tcBorders>
              <w:top w:val="single" w:color="auto" w:sz="4" w:space="0"/>
              <w:left w:val="single" w:color="auto" w:sz="4" w:space="0"/>
              <w:bottom w:val="single" w:color="auto" w:sz="4" w:space="0"/>
            </w:tcBorders>
            <w:shd w:val="clear" w:color="auto" w:fill="FFFFFF"/>
            <w:vAlign w:val="center"/>
          </w:tcPr>
          <w:p w14:paraId="2B4570D2">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1819" w:type="dxa"/>
            <w:tcBorders>
              <w:top w:val="single" w:color="auto" w:sz="4" w:space="0"/>
              <w:left w:val="single" w:color="auto" w:sz="4" w:space="0"/>
              <w:bottom w:val="single" w:color="auto" w:sz="4" w:space="0"/>
              <w:right w:val="single" w:color="auto" w:sz="4" w:space="0"/>
            </w:tcBorders>
            <w:shd w:val="clear" w:color="auto" w:fill="FFFFFF"/>
            <w:vAlign w:val="center"/>
          </w:tcPr>
          <w:p w14:paraId="4181258E">
            <w:pPr>
              <w:jc w:val="center"/>
              <w:rPr>
                <w:rFonts w:ascii="宋体" w:hAnsi="宋体" w:cs="宋体"/>
                <w:color w:val="auto"/>
                <w:szCs w:val="21"/>
                <w:lang w:val="zh-TW" w:eastAsia="zh-TW"/>
              </w:rPr>
            </w:pPr>
            <w:r>
              <w:rPr>
                <w:rFonts w:hint="eastAsia" w:ascii="宋体" w:hAnsi="宋体" w:cs="宋体"/>
                <w:color w:val="auto"/>
                <w:szCs w:val="21"/>
              </w:rPr>
              <w:t>发现缺失、破损、晃动应立即报修，避免行人发生意外，周边无积水</w:t>
            </w:r>
          </w:p>
        </w:tc>
      </w:tr>
      <w:tr w14:paraId="26D0051B">
        <w:tblPrEx>
          <w:tblCellMar>
            <w:top w:w="0" w:type="dxa"/>
            <w:left w:w="10" w:type="dxa"/>
            <w:bottom w:w="0" w:type="dxa"/>
            <w:right w:w="10" w:type="dxa"/>
          </w:tblCellMar>
        </w:tblPrEx>
        <w:trPr>
          <w:trHeight w:val="1071"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19C69AA3">
            <w:pPr>
              <w:jc w:val="center"/>
              <w:rPr>
                <w:rFonts w:ascii="宋体" w:hAnsi="宋体" w:cs="宋体"/>
                <w:color w:val="auto"/>
                <w:szCs w:val="21"/>
                <w:lang w:val="zh-TW" w:eastAsia="zh-TW"/>
              </w:rPr>
            </w:pPr>
            <w:r>
              <w:rPr>
                <w:rFonts w:hint="eastAsia" w:ascii="宋体" w:hAnsi="宋体" w:cs="宋体"/>
                <w:color w:val="auto"/>
                <w:szCs w:val="21"/>
              </w:rPr>
              <w:t>绿化带、花坛</w:t>
            </w:r>
          </w:p>
        </w:tc>
        <w:tc>
          <w:tcPr>
            <w:tcW w:w="2295" w:type="dxa"/>
            <w:tcBorders>
              <w:top w:val="single" w:color="auto" w:sz="4" w:space="0"/>
              <w:left w:val="single" w:color="auto" w:sz="4" w:space="0"/>
              <w:bottom w:val="single" w:color="auto" w:sz="4" w:space="0"/>
            </w:tcBorders>
            <w:shd w:val="clear" w:color="auto" w:fill="FFFFFF"/>
            <w:vAlign w:val="center"/>
          </w:tcPr>
          <w:p w14:paraId="1AB9DF68">
            <w:pPr>
              <w:jc w:val="center"/>
              <w:rPr>
                <w:rFonts w:ascii="宋体" w:hAnsi="宋体" w:cs="宋体"/>
                <w:color w:val="auto"/>
                <w:szCs w:val="21"/>
                <w:lang w:val="zh-TW" w:eastAsia="zh-TW"/>
              </w:rPr>
            </w:pPr>
            <w:r>
              <w:rPr>
                <w:rFonts w:hint="eastAsia" w:ascii="宋体" w:hAnsi="宋体" w:cs="宋体"/>
                <w:color w:val="auto"/>
                <w:szCs w:val="21"/>
              </w:rPr>
              <w:t>无灰尘、枯枝败叶、杂物、虫 害、异味，美观</w:t>
            </w:r>
          </w:p>
        </w:tc>
        <w:tc>
          <w:tcPr>
            <w:tcW w:w="2430" w:type="dxa"/>
            <w:tcBorders>
              <w:top w:val="single" w:color="auto" w:sz="4" w:space="0"/>
              <w:left w:val="single" w:color="auto" w:sz="4" w:space="0"/>
              <w:bottom w:val="single" w:color="auto" w:sz="4" w:space="0"/>
            </w:tcBorders>
            <w:shd w:val="clear" w:color="auto" w:fill="FFFFFF"/>
            <w:vAlign w:val="center"/>
          </w:tcPr>
          <w:p w14:paraId="634EB21B">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1819" w:type="dxa"/>
            <w:tcBorders>
              <w:top w:val="single" w:color="auto" w:sz="4" w:space="0"/>
              <w:left w:val="single" w:color="auto" w:sz="4" w:space="0"/>
              <w:bottom w:val="single" w:color="auto" w:sz="4" w:space="0"/>
              <w:right w:val="single" w:color="auto" w:sz="4" w:space="0"/>
            </w:tcBorders>
            <w:shd w:val="clear" w:color="auto" w:fill="FFFFFF"/>
            <w:vAlign w:val="center"/>
          </w:tcPr>
          <w:p w14:paraId="5A823178">
            <w:pPr>
              <w:jc w:val="center"/>
              <w:rPr>
                <w:rFonts w:ascii="宋体" w:hAnsi="宋体" w:cs="宋体"/>
                <w:color w:val="auto"/>
                <w:szCs w:val="21"/>
              </w:rPr>
            </w:pPr>
          </w:p>
        </w:tc>
      </w:tr>
      <w:tr w14:paraId="140C9729">
        <w:tblPrEx>
          <w:tblCellMar>
            <w:top w:w="0" w:type="dxa"/>
            <w:left w:w="10" w:type="dxa"/>
            <w:bottom w:w="0" w:type="dxa"/>
            <w:right w:w="10" w:type="dxa"/>
          </w:tblCellMar>
        </w:tblPrEx>
        <w:trPr>
          <w:trHeight w:val="776"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4188D9DC">
            <w:pPr>
              <w:jc w:val="center"/>
              <w:rPr>
                <w:rFonts w:ascii="宋体" w:hAnsi="宋体" w:cs="宋体"/>
                <w:color w:val="auto"/>
                <w:szCs w:val="21"/>
                <w:lang w:val="zh-TW" w:eastAsia="zh-TW"/>
              </w:rPr>
            </w:pPr>
            <w:r>
              <w:rPr>
                <w:rFonts w:hint="eastAsia" w:ascii="宋体" w:hAnsi="宋体" w:cs="宋体"/>
                <w:color w:val="auto"/>
                <w:szCs w:val="21"/>
              </w:rPr>
              <w:t>路灯杆、罩</w:t>
            </w:r>
          </w:p>
        </w:tc>
        <w:tc>
          <w:tcPr>
            <w:tcW w:w="2295" w:type="dxa"/>
            <w:tcBorders>
              <w:top w:val="single" w:color="auto" w:sz="4" w:space="0"/>
              <w:left w:val="single" w:color="auto" w:sz="4" w:space="0"/>
              <w:bottom w:val="single" w:color="auto" w:sz="4" w:space="0"/>
            </w:tcBorders>
            <w:shd w:val="clear" w:color="auto" w:fill="FFFFFF"/>
            <w:vAlign w:val="center"/>
          </w:tcPr>
          <w:p w14:paraId="3EC822E2">
            <w:pPr>
              <w:jc w:val="center"/>
              <w:rPr>
                <w:rFonts w:ascii="宋体" w:hAnsi="宋体" w:cs="宋体"/>
                <w:color w:val="auto"/>
                <w:szCs w:val="21"/>
                <w:lang w:val="zh-TW" w:eastAsia="zh-TW"/>
              </w:rPr>
            </w:pPr>
            <w:r>
              <w:rPr>
                <w:rFonts w:hint="eastAsia" w:ascii="宋体" w:hAnsi="宋体" w:cs="宋体"/>
                <w:color w:val="auto"/>
                <w:szCs w:val="21"/>
              </w:rPr>
              <w:t>无灰尘、污迹</w:t>
            </w:r>
          </w:p>
        </w:tc>
        <w:tc>
          <w:tcPr>
            <w:tcW w:w="2430" w:type="dxa"/>
            <w:tcBorders>
              <w:top w:val="single" w:color="auto" w:sz="4" w:space="0"/>
              <w:left w:val="single" w:color="auto" w:sz="4" w:space="0"/>
              <w:bottom w:val="single" w:color="auto" w:sz="4" w:space="0"/>
            </w:tcBorders>
            <w:shd w:val="clear" w:color="auto" w:fill="FFFFFF"/>
            <w:vAlign w:val="center"/>
          </w:tcPr>
          <w:p w14:paraId="32FCA36C">
            <w:pPr>
              <w:jc w:val="center"/>
              <w:rPr>
                <w:rFonts w:ascii="宋体" w:hAnsi="宋体" w:cs="宋体"/>
                <w:color w:val="auto"/>
                <w:szCs w:val="21"/>
                <w:lang w:val="zh-TW" w:eastAsia="zh-TW"/>
              </w:rPr>
            </w:pPr>
            <w:r>
              <w:rPr>
                <w:rFonts w:hint="eastAsia" w:ascii="宋体" w:hAnsi="宋体" w:cs="宋体"/>
                <w:color w:val="auto"/>
                <w:szCs w:val="21"/>
              </w:rPr>
              <w:t>每三天一次</w:t>
            </w:r>
          </w:p>
        </w:tc>
        <w:tc>
          <w:tcPr>
            <w:tcW w:w="1819" w:type="dxa"/>
            <w:tcBorders>
              <w:top w:val="single" w:color="auto" w:sz="4" w:space="0"/>
              <w:left w:val="single" w:color="auto" w:sz="4" w:space="0"/>
              <w:bottom w:val="single" w:color="auto" w:sz="4" w:space="0"/>
              <w:right w:val="single" w:color="auto" w:sz="4" w:space="0"/>
            </w:tcBorders>
            <w:shd w:val="clear" w:color="auto" w:fill="FFFFFF"/>
            <w:vAlign w:val="center"/>
          </w:tcPr>
          <w:p w14:paraId="031CD8DD">
            <w:pPr>
              <w:jc w:val="center"/>
              <w:rPr>
                <w:rFonts w:ascii="宋体" w:hAnsi="宋体" w:cs="宋体"/>
                <w:color w:val="auto"/>
                <w:szCs w:val="21"/>
                <w:lang w:val="zh-TW" w:eastAsia="zh-TW"/>
              </w:rPr>
            </w:pPr>
            <w:r>
              <w:rPr>
                <w:rFonts w:hint="eastAsia" w:ascii="宋体" w:hAnsi="宋体" w:cs="宋体"/>
                <w:color w:val="auto"/>
                <w:szCs w:val="21"/>
              </w:rPr>
              <w:t>防止触电，避免损 坏灯罩、高空坠落</w:t>
            </w:r>
          </w:p>
        </w:tc>
      </w:tr>
      <w:tr w14:paraId="6B49E99C">
        <w:tblPrEx>
          <w:tblCellMar>
            <w:top w:w="0" w:type="dxa"/>
            <w:left w:w="10" w:type="dxa"/>
            <w:bottom w:w="0" w:type="dxa"/>
            <w:right w:w="10" w:type="dxa"/>
          </w:tblCellMar>
        </w:tblPrEx>
        <w:trPr>
          <w:trHeight w:val="1246"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1C9CC6F0">
            <w:pPr>
              <w:jc w:val="center"/>
              <w:rPr>
                <w:rFonts w:ascii="宋体" w:hAnsi="宋体" w:cs="宋体"/>
                <w:color w:val="auto"/>
                <w:szCs w:val="21"/>
                <w:lang w:val="zh-TW" w:eastAsia="zh-TW"/>
              </w:rPr>
            </w:pPr>
            <w:r>
              <w:rPr>
                <w:rFonts w:hint="eastAsia" w:ascii="宋体" w:hAnsi="宋体" w:cs="宋体"/>
                <w:color w:val="auto"/>
                <w:szCs w:val="21"/>
              </w:rPr>
              <w:t>绿化带周边的 石凳、石椅、石 桌</w:t>
            </w:r>
          </w:p>
        </w:tc>
        <w:tc>
          <w:tcPr>
            <w:tcW w:w="2295" w:type="dxa"/>
            <w:tcBorders>
              <w:top w:val="single" w:color="auto" w:sz="4" w:space="0"/>
              <w:left w:val="single" w:color="auto" w:sz="4" w:space="0"/>
              <w:bottom w:val="single" w:color="auto" w:sz="4" w:space="0"/>
            </w:tcBorders>
            <w:shd w:val="clear" w:color="auto" w:fill="FFFFFF"/>
            <w:vAlign w:val="center"/>
          </w:tcPr>
          <w:p w14:paraId="751FD11C">
            <w:pPr>
              <w:jc w:val="center"/>
              <w:rPr>
                <w:rFonts w:ascii="宋体" w:hAnsi="宋体" w:cs="宋体"/>
                <w:color w:val="auto"/>
                <w:szCs w:val="21"/>
                <w:lang w:val="zh-TW" w:eastAsia="zh-TW"/>
              </w:rPr>
            </w:pPr>
            <w:r>
              <w:rPr>
                <w:rFonts w:hint="eastAsia" w:ascii="宋体" w:hAnsi="宋体" w:cs="宋体"/>
                <w:color w:val="auto"/>
                <w:szCs w:val="21"/>
              </w:rPr>
              <w:t>无灰尘、污迹、垃圾、水迹</w:t>
            </w:r>
          </w:p>
        </w:tc>
        <w:tc>
          <w:tcPr>
            <w:tcW w:w="2430" w:type="dxa"/>
            <w:tcBorders>
              <w:top w:val="single" w:color="auto" w:sz="4" w:space="0"/>
              <w:left w:val="single" w:color="auto" w:sz="4" w:space="0"/>
              <w:bottom w:val="single" w:color="auto" w:sz="4" w:space="0"/>
            </w:tcBorders>
            <w:shd w:val="clear" w:color="auto" w:fill="FFFFFF"/>
            <w:vAlign w:val="center"/>
          </w:tcPr>
          <w:p w14:paraId="349ACA14">
            <w:pPr>
              <w:jc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每天三次</w:t>
            </w:r>
          </w:p>
          <w:p w14:paraId="5064E54F">
            <w:pPr>
              <w:jc w:val="center"/>
              <w:rPr>
                <w:rFonts w:ascii="宋体" w:hAnsi="宋体" w:cs="宋体"/>
                <w:color w:val="auto"/>
                <w:szCs w:val="21"/>
                <w:lang w:val="zh-TW" w:eastAsia="zh-TW"/>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随脏随扫</w:t>
            </w:r>
          </w:p>
        </w:tc>
        <w:tc>
          <w:tcPr>
            <w:tcW w:w="1819" w:type="dxa"/>
            <w:tcBorders>
              <w:top w:val="single" w:color="auto" w:sz="4" w:space="0"/>
              <w:left w:val="single" w:color="auto" w:sz="4" w:space="0"/>
              <w:bottom w:val="single" w:color="auto" w:sz="4" w:space="0"/>
              <w:right w:val="single" w:color="auto" w:sz="4" w:space="0"/>
            </w:tcBorders>
            <w:shd w:val="clear" w:color="auto" w:fill="FFFFFF"/>
            <w:vAlign w:val="center"/>
          </w:tcPr>
          <w:p w14:paraId="242FA243">
            <w:pPr>
              <w:jc w:val="center"/>
              <w:rPr>
                <w:rFonts w:ascii="宋体" w:hAnsi="宋体" w:cs="宋体"/>
                <w:color w:val="auto"/>
                <w:szCs w:val="21"/>
              </w:rPr>
            </w:pPr>
          </w:p>
        </w:tc>
      </w:tr>
      <w:tr w14:paraId="474C8F2D">
        <w:tblPrEx>
          <w:tblCellMar>
            <w:top w:w="0" w:type="dxa"/>
            <w:left w:w="10" w:type="dxa"/>
            <w:bottom w:w="0" w:type="dxa"/>
            <w:right w:w="10" w:type="dxa"/>
          </w:tblCellMar>
        </w:tblPrEx>
        <w:trPr>
          <w:trHeight w:val="776"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40B0EB7E">
            <w:pPr>
              <w:jc w:val="center"/>
              <w:rPr>
                <w:rFonts w:ascii="宋体" w:hAnsi="宋体" w:cs="宋体"/>
                <w:color w:val="auto"/>
                <w:szCs w:val="21"/>
                <w:lang w:val="zh-TW" w:eastAsia="zh-TW"/>
              </w:rPr>
            </w:pPr>
            <w:r>
              <w:rPr>
                <w:rFonts w:hint="eastAsia" w:ascii="宋体" w:hAnsi="宋体" w:cs="宋体"/>
                <w:color w:val="auto"/>
                <w:szCs w:val="21"/>
              </w:rPr>
              <w:t>垃圾桶</w:t>
            </w:r>
          </w:p>
        </w:tc>
        <w:tc>
          <w:tcPr>
            <w:tcW w:w="2295" w:type="dxa"/>
            <w:tcBorders>
              <w:top w:val="single" w:color="auto" w:sz="4" w:space="0"/>
              <w:left w:val="single" w:color="auto" w:sz="4" w:space="0"/>
              <w:bottom w:val="single" w:color="auto" w:sz="4" w:space="0"/>
            </w:tcBorders>
            <w:shd w:val="clear" w:color="auto" w:fill="FFFFFF"/>
            <w:vAlign w:val="center"/>
          </w:tcPr>
          <w:p w14:paraId="59CDBF8F">
            <w:pPr>
              <w:jc w:val="center"/>
              <w:rPr>
                <w:rFonts w:ascii="宋体" w:hAnsi="宋体" w:cs="宋体"/>
                <w:color w:val="auto"/>
                <w:szCs w:val="21"/>
                <w:lang w:val="zh-TW" w:eastAsia="zh-TW"/>
              </w:rPr>
            </w:pPr>
            <w:r>
              <w:rPr>
                <w:rFonts w:hint="eastAsia" w:ascii="宋体" w:hAnsi="宋体" w:cs="宋体"/>
                <w:color w:val="auto"/>
                <w:szCs w:val="21"/>
              </w:rPr>
              <w:t>无污迹、漫溢、异味，周边无 蚊蝇</w:t>
            </w:r>
          </w:p>
        </w:tc>
        <w:tc>
          <w:tcPr>
            <w:tcW w:w="2430" w:type="dxa"/>
            <w:tcBorders>
              <w:top w:val="single" w:color="auto" w:sz="4" w:space="0"/>
              <w:left w:val="single" w:color="auto" w:sz="4" w:space="0"/>
              <w:bottom w:val="single" w:color="auto" w:sz="4" w:space="0"/>
            </w:tcBorders>
            <w:shd w:val="clear" w:color="auto" w:fill="FFFFFF"/>
            <w:vAlign w:val="center"/>
          </w:tcPr>
          <w:p w14:paraId="2A01CD62">
            <w:pPr>
              <w:jc w:val="center"/>
              <w:rPr>
                <w:rFonts w:ascii="宋体" w:hAnsi="宋体" w:cs="宋体"/>
                <w:color w:val="auto"/>
                <w:szCs w:val="21"/>
                <w:lang w:val="zh-TW" w:eastAsia="zh-TW"/>
              </w:rPr>
            </w:pPr>
            <w:r>
              <w:rPr>
                <w:rFonts w:hint="eastAsia" w:ascii="宋体" w:hAnsi="宋体" w:cs="宋体"/>
                <w:color w:val="auto"/>
                <w:szCs w:val="21"/>
              </w:rPr>
              <w:t>每天二次</w:t>
            </w:r>
          </w:p>
        </w:tc>
        <w:tc>
          <w:tcPr>
            <w:tcW w:w="1819" w:type="dxa"/>
            <w:tcBorders>
              <w:top w:val="single" w:color="auto" w:sz="4" w:space="0"/>
              <w:left w:val="single" w:color="auto" w:sz="4" w:space="0"/>
              <w:bottom w:val="single" w:color="auto" w:sz="4" w:space="0"/>
              <w:right w:val="single" w:color="auto" w:sz="4" w:space="0"/>
            </w:tcBorders>
            <w:shd w:val="clear" w:color="auto" w:fill="FFFFFF"/>
            <w:vAlign w:val="center"/>
          </w:tcPr>
          <w:p w14:paraId="26347138">
            <w:pPr>
              <w:jc w:val="center"/>
              <w:rPr>
                <w:rFonts w:ascii="宋体" w:hAnsi="宋体" w:cs="宋体"/>
                <w:color w:val="auto"/>
                <w:szCs w:val="21"/>
                <w:lang w:val="zh-TW" w:eastAsia="zh-TW"/>
              </w:rPr>
            </w:pPr>
            <w:r>
              <w:rPr>
                <w:rFonts w:hint="eastAsia" w:ascii="宋体" w:hAnsi="宋体" w:cs="宋体"/>
                <w:color w:val="auto"/>
                <w:szCs w:val="21"/>
              </w:rPr>
              <w:t>无污水滴漏</w:t>
            </w:r>
          </w:p>
        </w:tc>
      </w:tr>
      <w:tr w14:paraId="4945B377">
        <w:tblPrEx>
          <w:tblCellMar>
            <w:top w:w="0" w:type="dxa"/>
            <w:left w:w="10" w:type="dxa"/>
            <w:bottom w:w="0" w:type="dxa"/>
            <w:right w:w="10" w:type="dxa"/>
          </w:tblCellMar>
        </w:tblPrEx>
        <w:trPr>
          <w:trHeight w:val="776" w:hRule="exact"/>
          <w:jc w:val="center"/>
        </w:trPr>
        <w:tc>
          <w:tcPr>
            <w:tcW w:w="1249" w:type="dxa"/>
            <w:tcBorders>
              <w:top w:val="single" w:color="auto" w:sz="4" w:space="0"/>
              <w:left w:val="single" w:color="auto" w:sz="4" w:space="0"/>
              <w:bottom w:val="single" w:color="auto" w:sz="4" w:space="0"/>
            </w:tcBorders>
            <w:shd w:val="clear" w:color="auto" w:fill="FFFFFF"/>
            <w:vAlign w:val="center"/>
          </w:tcPr>
          <w:p w14:paraId="332ABA14">
            <w:pPr>
              <w:jc w:val="center"/>
              <w:rPr>
                <w:rFonts w:ascii="宋体" w:hAnsi="宋体" w:cs="宋体"/>
                <w:color w:val="auto"/>
                <w:szCs w:val="21"/>
                <w:lang w:val="zh-TW" w:eastAsia="zh-TW"/>
              </w:rPr>
            </w:pPr>
            <w:r>
              <w:rPr>
                <w:rFonts w:hint="eastAsia" w:ascii="宋体" w:hAnsi="宋体" w:cs="宋体"/>
                <w:color w:val="auto"/>
                <w:szCs w:val="21"/>
              </w:rPr>
              <w:t>宣传栏、框、面</w:t>
            </w:r>
          </w:p>
        </w:tc>
        <w:tc>
          <w:tcPr>
            <w:tcW w:w="2295" w:type="dxa"/>
            <w:tcBorders>
              <w:top w:val="single" w:color="auto" w:sz="4" w:space="0"/>
              <w:left w:val="single" w:color="auto" w:sz="4" w:space="0"/>
              <w:bottom w:val="single" w:color="auto" w:sz="4" w:space="0"/>
            </w:tcBorders>
            <w:shd w:val="clear" w:color="auto" w:fill="FFFFFF"/>
            <w:vAlign w:val="center"/>
          </w:tcPr>
          <w:p w14:paraId="077A3E75">
            <w:pPr>
              <w:jc w:val="center"/>
              <w:rPr>
                <w:rFonts w:ascii="宋体" w:hAnsi="宋体" w:cs="宋体"/>
                <w:color w:val="auto"/>
                <w:szCs w:val="21"/>
                <w:lang w:val="zh-TW" w:eastAsia="zh-TW"/>
              </w:rPr>
            </w:pPr>
            <w:r>
              <w:rPr>
                <w:rFonts w:hint="eastAsia" w:ascii="宋体" w:hAnsi="宋体" w:cs="宋体"/>
                <w:color w:val="auto"/>
                <w:szCs w:val="21"/>
              </w:rPr>
              <w:t>无灰尘、污迹、脱落</w:t>
            </w:r>
          </w:p>
        </w:tc>
        <w:tc>
          <w:tcPr>
            <w:tcW w:w="2430" w:type="dxa"/>
            <w:tcBorders>
              <w:top w:val="single" w:color="auto" w:sz="4" w:space="0"/>
              <w:left w:val="single" w:color="auto" w:sz="4" w:space="0"/>
              <w:bottom w:val="single" w:color="auto" w:sz="4" w:space="0"/>
            </w:tcBorders>
            <w:shd w:val="clear" w:color="auto" w:fill="FFFFFF"/>
            <w:vAlign w:val="center"/>
          </w:tcPr>
          <w:p w14:paraId="2A3A58EE">
            <w:pPr>
              <w:jc w:val="center"/>
              <w:rPr>
                <w:rFonts w:ascii="宋体" w:hAnsi="宋体" w:cs="宋体"/>
                <w:color w:val="auto"/>
                <w:szCs w:val="21"/>
                <w:lang w:val="zh-TW" w:eastAsia="zh-TW"/>
              </w:rPr>
            </w:pPr>
            <w:r>
              <w:rPr>
                <w:rFonts w:hint="eastAsia" w:ascii="宋体" w:hAnsi="宋体" w:cs="宋体"/>
                <w:color w:val="auto"/>
                <w:szCs w:val="21"/>
              </w:rPr>
              <w:t>每天一次</w:t>
            </w:r>
          </w:p>
        </w:tc>
        <w:tc>
          <w:tcPr>
            <w:tcW w:w="1819" w:type="dxa"/>
            <w:tcBorders>
              <w:top w:val="single" w:color="auto" w:sz="4" w:space="0"/>
              <w:left w:val="single" w:color="auto" w:sz="4" w:space="0"/>
              <w:bottom w:val="single" w:color="auto" w:sz="4" w:space="0"/>
              <w:right w:val="single" w:color="auto" w:sz="4" w:space="0"/>
            </w:tcBorders>
            <w:shd w:val="clear" w:color="auto" w:fill="FFFFFF"/>
            <w:vAlign w:val="center"/>
          </w:tcPr>
          <w:p w14:paraId="02BF7C49">
            <w:pPr>
              <w:jc w:val="center"/>
              <w:rPr>
                <w:rFonts w:ascii="宋体" w:hAnsi="宋体" w:cs="宋体"/>
                <w:color w:val="auto"/>
                <w:szCs w:val="21"/>
                <w:lang w:val="zh-TW" w:eastAsia="zh-TW"/>
              </w:rPr>
            </w:pPr>
            <w:r>
              <w:rPr>
                <w:rFonts w:hint="eastAsia" w:ascii="宋体" w:hAnsi="宋体" w:cs="宋体"/>
                <w:color w:val="auto"/>
                <w:szCs w:val="21"/>
              </w:rPr>
              <w:t>表面不可擦花</w:t>
            </w:r>
          </w:p>
        </w:tc>
      </w:tr>
    </w:tbl>
    <w:p w14:paraId="1461B7C0">
      <w:pPr>
        <w:snapToGrid w:val="0"/>
        <w:spacing w:line="360" w:lineRule="auto"/>
        <w:ind w:right="315"/>
        <w:rPr>
          <w:rFonts w:ascii="宋体" w:hAnsi="宋体"/>
          <w:color w:val="auto"/>
          <w:szCs w:val="21"/>
        </w:rPr>
      </w:pPr>
    </w:p>
    <w:p w14:paraId="0153AE37">
      <w:pPr>
        <w:ind w:firstLine="843" w:firstLineChars="400"/>
        <w:rPr>
          <w:rFonts w:ascii="宋体" w:hAnsi="宋体" w:cs="宋体"/>
          <w:b/>
          <w:bCs/>
          <w:color w:val="auto"/>
          <w:szCs w:val="21"/>
        </w:rPr>
      </w:pPr>
      <w:r>
        <w:rPr>
          <w:rFonts w:hint="eastAsia" w:ascii="宋体" w:hAnsi="宋体" w:cs="宋体"/>
          <w:b/>
          <w:bCs/>
          <w:color w:val="auto"/>
          <w:szCs w:val="21"/>
          <w:lang w:val="zh-CN" w:bidi="zh-CN"/>
        </w:rPr>
        <w:t>9、</w:t>
      </w:r>
      <w:r>
        <w:rPr>
          <w:rFonts w:hint="eastAsia" w:ascii="宋体" w:hAnsi="宋体" w:cs="宋体"/>
          <w:b/>
          <w:bCs/>
          <w:color w:val="auto"/>
          <w:szCs w:val="21"/>
        </w:rPr>
        <w:t>病区医用器物常保洁项目要求</w:t>
      </w:r>
    </w:p>
    <w:tbl>
      <w:tblPr>
        <w:tblStyle w:val="47"/>
        <w:tblW w:w="0" w:type="auto"/>
        <w:jc w:val="center"/>
        <w:tblLayout w:type="fixed"/>
        <w:tblCellMar>
          <w:top w:w="0" w:type="dxa"/>
          <w:left w:w="10" w:type="dxa"/>
          <w:bottom w:w="0" w:type="dxa"/>
          <w:right w:w="10" w:type="dxa"/>
        </w:tblCellMar>
      </w:tblPr>
      <w:tblGrid>
        <w:gridCol w:w="1706"/>
        <w:gridCol w:w="3110"/>
        <w:gridCol w:w="1555"/>
        <w:gridCol w:w="1948"/>
      </w:tblGrid>
      <w:tr w14:paraId="5DD843AD">
        <w:tblPrEx>
          <w:tblCellMar>
            <w:top w:w="0" w:type="dxa"/>
            <w:left w:w="10" w:type="dxa"/>
            <w:bottom w:w="0" w:type="dxa"/>
            <w:right w:w="10" w:type="dxa"/>
          </w:tblCellMar>
        </w:tblPrEx>
        <w:trPr>
          <w:trHeight w:val="568" w:hRule="exact"/>
          <w:jc w:val="center"/>
        </w:trPr>
        <w:tc>
          <w:tcPr>
            <w:tcW w:w="1706" w:type="dxa"/>
            <w:tcBorders>
              <w:top w:val="single" w:color="auto" w:sz="4" w:space="0"/>
              <w:left w:val="single" w:color="auto" w:sz="4" w:space="0"/>
            </w:tcBorders>
            <w:shd w:val="clear" w:color="auto" w:fill="FFFFFF"/>
            <w:vAlign w:val="center"/>
          </w:tcPr>
          <w:p w14:paraId="6601F678">
            <w:pPr>
              <w:jc w:val="center"/>
              <w:rPr>
                <w:rFonts w:ascii="宋体" w:hAnsi="宋体" w:cs="宋体"/>
                <w:b/>
                <w:bCs/>
                <w:color w:val="auto"/>
                <w:szCs w:val="21"/>
              </w:rPr>
            </w:pPr>
            <w:r>
              <w:rPr>
                <w:rFonts w:hint="eastAsia" w:ascii="宋体" w:hAnsi="宋体" w:cs="宋体"/>
                <w:b/>
                <w:bCs/>
                <w:color w:val="auto"/>
                <w:szCs w:val="21"/>
              </w:rPr>
              <w:t>项目</w:t>
            </w:r>
          </w:p>
        </w:tc>
        <w:tc>
          <w:tcPr>
            <w:tcW w:w="3110" w:type="dxa"/>
            <w:tcBorders>
              <w:top w:val="single" w:color="auto" w:sz="4" w:space="0"/>
              <w:left w:val="single" w:color="auto" w:sz="4" w:space="0"/>
            </w:tcBorders>
            <w:shd w:val="clear" w:color="auto" w:fill="FFFFFF"/>
            <w:vAlign w:val="center"/>
          </w:tcPr>
          <w:p w14:paraId="070A23BA">
            <w:pPr>
              <w:jc w:val="center"/>
              <w:rPr>
                <w:rFonts w:ascii="宋体" w:hAnsi="宋体" w:cs="宋体"/>
                <w:b/>
                <w:bCs/>
                <w:color w:val="auto"/>
                <w:szCs w:val="21"/>
              </w:rPr>
            </w:pPr>
            <w:r>
              <w:rPr>
                <w:rFonts w:hint="eastAsia" w:ascii="宋体" w:hAnsi="宋体" w:cs="宋体"/>
                <w:b/>
                <w:bCs/>
                <w:color w:val="auto"/>
                <w:szCs w:val="21"/>
              </w:rPr>
              <w:t>标准（质量要求）</w:t>
            </w:r>
          </w:p>
        </w:tc>
        <w:tc>
          <w:tcPr>
            <w:tcW w:w="1555" w:type="dxa"/>
            <w:tcBorders>
              <w:top w:val="single" w:color="auto" w:sz="4" w:space="0"/>
              <w:left w:val="single" w:color="auto" w:sz="4" w:space="0"/>
            </w:tcBorders>
            <w:shd w:val="clear" w:color="auto" w:fill="FFFFFF"/>
            <w:vAlign w:val="center"/>
          </w:tcPr>
          <w:p w14:paraId="51E8A915">
            <w:pPr>
              <w:jc w:val="center"/>
              <w:rPr>
                <w:rFonts w:ascii="宋体" w:hAnsi="宋体" w:cs="宋体"/>
                <w:b/>
                <w:bCs/>
                <w:color w:val="auto"/>
                <w:szCs w:val="21"/>
              </w:rPr>
            </w:pPr>
            <w:r>
              <w:rPr>
                <w:rFonts w:hint="eastAsia" w:ascii="宋体" w:hAnsi="宋体" w:cs="宋体"/>
                <w:b/>
                <w:bCs/>
                <w:color w:val="auto"/>
                <w:szCs w:val="21"/>
              </w:rPr>
              <w:t>频次</w:t>
            </w:r>
          </w:p>
        </w:tc>
        <w:tc>
          <w:tcPr>
            <w:tcW w:w="1948" w:type="dxa"/>
            <w:tcBorders>
              <w:top w:val="single" w:color="auto" w:sz="4" w:space="0"/>
              <w:left w:val="single" w:color="auto" w:sz="4" w:space="0"/>
              <w:right w:val="single" w:color="auto" w:sz="4" w:space="0"/>
            </w:tcBorders>
            <w:shd w:val="clear" w:color="auto" w:fill="FFFFFF"/>
            <w:vAlign w:val="center"/>
          </w:tcPr>
          <w:p w14:paraId="39204020">
            <w:pPr>
              <w:jc w:val="center"/>
              <w:rPr>
                <w:rFonts w:ascii="宋体" w:hAnsi="宋体" w:cs="宋体"/>
                <w:b/>
                <w:bCs/>
                <w:color w:val="auto"/>
                <w:szCs w:val="21"/>
              </w:rPr>
            </w:pPr>
            <w:r>
              <w:rPr>
                <w:rFonts w:hint="eastAsia" w:ascii="宋体" w:hAnsi="宋体" w:cs="宋体"/>
                <w:b/>
                <w:bCs/>
                <w:color w:val="auto"/>
                <w:szCs w:val="21"/>
              </w:rPr>
              <w:t>注意事项</w:t>
            </w:r>
          </w:p>
        </w:tc>
      </w:tr>
      <w:tr w14:paraId="5FDA5206">
        <w:tblPrEx>
          <w:tblCellMar>
            <w:top w:w="0" w:type="dxa"/>
            <w:left w:w="10" w:type="dxa"/>
            <w:bottom w:w="0" w:type="dxa"/>
            <w:right w:w="10" w:type="dxa"/>
          </w:tblCellMar>
        </w:tblPrEx>
        <w:trPr>
          <w:trHeight w:val="554" w:hRule="exact"/>
          <w:jc w:val="center"/>
        </w:trPr>
        <w:tc>
          <w:tcPr>
            <w:tcW w:w="1706" w:type="dxa"/>
            <w:tcBorders>
              <w:top w:val="single" w:color="auto" w:sz="4" w:space="0"/>
              <w:left w:val="single" w:color="auto" w:sz="4" w:space="0"/>
            </w:tcBorders>
            <w:shd w:val="clear" w:color="auto" w:fill="FFFFFF"/>
            <w:vAlign w:val="center"/>
          </w:tcPr>
          <w:p w14:paraId="2B5F9ACE">
            <w:pPr>
              <w:jc w:val="center"/>
              <w:rPr>
                <w:rFonts w:ascii="宋体" w:hAnsi="宋体" w:cs="宋体"/>
                <w:color w:val="auto"/>
                <w:szCs w:val="21"/>
              </w:rPr>
            </w:pPr>
            <w:r>
              <w:rPr>
                <w:rFonts w:hint="eastAsia" w:ascii="宋体" w:hAnsi="宋体" w:cs="宋体"/>
                <w:color w:val="auto"/>
                <w:szCs w:val="21"/>
              </w:rPr>
              <w:t>电开水炉</w:t>
            </w:r>
          </w:p>
        </w:tc>
        <w:tc>
          <w:tcPr>
            <w:tcW w:w="3110" w:type="dxa"/>
            <w:tcBorders>
              <w:top w:val="single" w:color="auto" w:sz="4" w:space="0"/>
              <w:left w:val="single" w:color="auto" w:sz="4" w:space="0"/>
            </w:tcBorders>
            <w:shd w:val="clear" w:color="auto" w:fill="FFFFFF"/>
            <w:vAlign w:val="center"/>
          </w:tcPr>
          <w:p w14:paraId="545BBDB4">
            <w:pPr>
              <w:jc w:val="center"/>
              <w:rPr>
                <w:rFonts w:ascii="宋体" w:hAnsi="宋体" w:cs="宋体"/>
                <w:color w:val="auto"/>
                <w:szCs w:val="21"/>
              </w:rPr>
            </w:pPr>
            <w:r>
              <w:rPr>
                <w:rFonts w:hint="eastAsia" w:ascii="宋体" w:hAnsi="宋体" w:cs="宋体"/>
                <w:color w:val="auto"/>
                <w:szCs w:val="21"/>
              </w:rPr>
              <w:t>表面无灰尘、污迹，洁净光亮</w:t>
            </w:r>
          </w:p>
        </w:tc>
        <w:tc>
          <w:tcPr>
            <w:tcW w:w="1555" w:type="dxa"/>
            <w:tcBorders>
              <w:top w:val="single" w:color="auto" w:sz="4" w:space="0"/>
              <w:left w:val="single" w:color="auto" w:sz="4" w:space="0"/>
            </w:tcBorders>
            <w:shd w:val="clear" w:color="auto" w:fill="FFFFFF"/>
            <w:vAlign w:val="center"/>
          </w:tcPr>
          <w:p w14:paraId="3DDFB9A3">
            <w:pPr>
              <w:jc w:val="center"/>
              <w:rPr>
                <w:rFonts w:ascii="宋体" w:hAnsi="宋体" w:cs="宋体"/>
                <w:color w:val="auto"/>
                <w:szCs w:val="21"/>
              </w:rPr>
            </w:pPr>
            <w:r>
              <w:rPr>
                <w:rFonts w:hint="eastAsia" w:ascii="宋体" w:hAnsi="宋体" w:cs="宋体"/>
                <w:color w:val="auto"/>
                <w:szCs w:val="21"/>
              </w:rPr>
              <w:t>每天一次</w:t>
            </w:r>
          </w:p>
        </w:tc>
        <w:tc>
          <w:tcPr>
            <w:tcW w:w="1948" w:type="dxa"/>
            <w:tcBorders>
              <w:top w:val="single" w:color="auto" w:sz="4" w:space="0"/>
              <w:left w:val="single" w:color="auto" w:sz="4" w:space="0"/>
              <w:right w:val="single" w:color="auto" w:sz="4" w:space="0"/>
            </w:tcBorders>
            <w:shd w:val="clear" w:color="auto" w:fill="FFFFFF"/>
            <w:vAlign w:val="center"/>
          </w:tcPr>
          <w:p w14:paraId="7EF1C13F">
            <w:pPr>
              <w:jc w:val="center"/>
              <w:rPr>
                <w:rFonts w:ascii="宋体" w:hAnsi="宋体" w:cs="宋体"/>
                <w:color w:val="auto"/>
                <w:szCs w:val="21"/>
              </w:rPr>
            </w:pPr>
            <w:r>
              <w:rPr>
                <w:rFonts w:hint="eastAsia" w:ascii="宋体" w:hAnsi="宋体" w:cs="宋体"/>
                <w:color w:val="auto"/>
                <w:szCs w:val="21"/>
              </w:rPr>
              <w:t>防止烫伤、触电</w:t>
            </w:r>
          </w:p>
        </w:tc>
      </w:tr>
      <w:tr w14:paraId="64556226">
        <w:tblPrEx>
          <w:tblCellMar>
            <w:top w:w="0" w:type="dxa"/>
            <w:left w:w="10" w:type="dxa"/>
            <w:bottom w:w="0" w:type="dxa"/>
            <w:right w:w="10" w:type="dxa"/>
          </w:tblCellMar>
        </w:tblPrEx>
        <w:trPr>
          <w:trHeight w:val="667" w:hRule="exact"/>
          <w:jc w:val="center"/>
        </w:trPr>
        <w:tc>
          <w:tcPr>
            <w:tcW w:w="1706" w:type="dxa"/>
            <w:tcBorders>
              <w:top w:val="single" w:color="auto" w:sz="4" w:space="0"/>
              <w:left w:val="single" w:color="auto" w:sz="4" w:space="0"/>
            </w:tcBorders>
            <w:shd w:val="clear" w:color="auto" w:fill="FFFFFF"/>
            <w:vAlign w:val="center"/>
          </w:tcPr>
          <w:p w14:paraId="01A4DCB7">
            <w:pPr>
              <w:jc w:val="center"/>
              <w:rPr>
                <w:rFonts w:ascii="宋体" w:hAnsi="宋体" w:cs="宋体"/>
                <w:color w:val="auto"/>
                <w:szCs w:val="21"/>
              </w:rPr>
            </w:pPr>
            <w:r>
              <w:rPr>
                <w:rFonts w:hint="eastAsia" w:ascii="宋体" w:hAnsi="宋体" w:cs="宋体"/>
                <w:color w:val="auto"/>
                <w:szCs w:val="21"/>
              </w:rPr>
              <w:t>屏风</w:t>
            </w:r>
          </w:p>
        </w:tc>
        <w:tc>
          <w:tcPr>
            <w:tcW w:w="3110" w:type="dxa"/>
            <w:tcBorders>
              <w:top w:val="single" w:color="auto" w:sz="4" w:space="0"/>
              <w:left w:val="single" w:color="auto" w:sz="4" w:space="0"/>
            </w:tcBorders>
            <w:shd w:val="clear" w:color="auto" w:fill="FFFFFF"/>
            <w:vAlign w:val="center"/>
          </w:tcPr>
          <w:p w14:paraId="682ACD55">
            <w:pPr>
              <w:jc w:val="center"/>
              <w:rPr>
                <w:rFonts w:ascii="宋体" w:hAnsi="宋体" w:cs="宋体"/>
                <w:color w:val="auto"/>
                <w:szCs w:val="21"/>
              </w:rPr>
            </w:pPr>
            <w:r>
              <w:rPr>
                <w:rFonts w:hint="eastAsia" w:ascii="宋体" w:hAnsi="宋体" w:cs="宋体"/>
                <w:color w:val="auto"/>
                <w:szCs w:val="21"/>
              </w:rPr>
              <w:t>无灰尘、破损、污迹、变形</w:t>
            </w:r>
          </w:p>
        </w:tc>
        <w:tc>
          <w:tcPr>
            <w:tcW w:w="1555" w:type="dxa"/>
            <w:tcBorders>
              <w:top w:val="single" w:color="auto" w:sz="4" w:space="0"/>
              <w:left w:val="single" w:color="auto" w:sz="4" w:space="0"/>
            </w:tcBorders>
            <w:shd w:val="clear" w:color="auto" w:fill="FFFFFF"/>
            <w:vAlign w:val="center"/>
          </w:tcPr>
          <w:p w14:paraId="19C04460">
            <w:pPr>
              <w:jc w:val="center"/>
              <w:rPr>
                <w:rFonts w:ascii="宋体" w:hAnsi="宋体" w:cs="宋体"/>
                <w:color w:val="auto"/>
                <w:szCs w:val="21"/>
              </w:rPr>
            </w:pPr>
            <w:r>
              <w:rPr>
                <w:rFonts w:hint="eastAsia" w:ascii="宋体" w:hAnsi="宋体" w:cs="宋体"/>
                <w:color w:val="auto"/>
                <w:szCs w:val="21"/>
              </w:rPr>
              <w:t>每半月一次</w:t>
            </w:r>
          </w:p>
        </w:tc>
        <w:tc>
          <w:tcPr>
            <w:tcW w:w="1948" w:type="dxa"/>
            <w:tcBorders>
              <w:top w:val="single" w:color="auto" w:sz="4" w:space="0"/>
              <w:left w:val="single" w:color="auto" w:sz="4" w:space="0"/>
              <w:right w:val="single" w:color="auto" w:sz="4" w:space="0"/>
            </w:tcBorders>
            <w:shd w:val="clear" w:color="auto" w:fill="FFFFFF"/>
            <w:vAlign w:val="center"/>
          </w:tcPr>
          <w:p w14:paraId="429B83C0">
            <w:pPr>
              <w:jc w:val="center"/>
              <w:rPr>
                <w:rFonts w:ascii="宋体" w:hAnsi="宋体" w:cs="宋体"/>
                <w:color w:val="auto"/>
                <w:szCs w:val="21"/>
              </w:rPr>
            </w:pPr>
          </w:p>
        </w:tc>
      </w:tr>
      <w:tr w14:paraId="20616305">
        <w:tblPrEx>
          <w:tblCellMar>
            <w:top w:w="0" w:type="dxa"/>
            <w:left w:w="10" w:type="dxa"/>
            <w:bottom w:w="0" w:type="dxa"/>
            <w:right w:w="10" w:type="dxa"/>
          </w:tblCellMar>
        </w:tblPrEx>
        <w:trPr>
          <w:trHeight w:val="1136" w:hRule="exact"/>
          <w:jc w:val="center"/>
        </w:trPr>
        <w:tc>
          <w:tcPr>
            <w:tcW w:w="1706" w:type="dxa"/>
            <w:tcBorders>
              <w:top w:val="single" w:color="auto" w:sz="4" w:space="0"/>
              <w:left w:val="single" w:color="auto" w:sz="4" w:space="0"/>
            </w:tcBorders>
            <w:shd w:val="clear" w:color="auto" w:fill="FFFFFF"/>
            <w:vAlign w:val="center"/>
          </w:tcPr>
          <w:p w14:paraId="5C9F8982">
            <w:pPr>
              <w:jc w:val="center"/>
              <w:rPr>
                <w:rFonts w:ascii="宋体" w:hAnsi="宋体" w:cs="宋体"/>
                <w:color w:val="auto"/>
                <w:szCs w:val="21"/>
              </w:rPr>
            </w:pPr>
            <w:r>
              <w:rPr>
                <w:rFonts w:hint="eastAsia" w:ascii="宋体" w:hAnsi="宋体" w:cs="宋体"/>
                <w:color w:val="auto"/>
                <w:szCs w:val="21"/>
              </w:rPr>
              <w:t>氧气瓶、架表面 清洁</w:t>
            </w:r>
          </w:p>
        </w:tc>
        <w:tc>
          <w:tcPr>
            <w:tcW w:w="3110" w:type="dxa"/>
            <w:tcBorders>
              <w:top w:val="single" w:color="auto" w:sz="4" w:space="0"/>
              <w:left w:val="single" w:color="auto" w:sz="4" w:space="0"/>
            </w:tcBorders>
            <w:shd w:val="clear" w:color="auto" w:fill="FFFFFF"/>
            <w:vAlign w:val="center"/>
          </w:tcPr>
          <w:p w14:paraId="12651E9C">
            <w:pPr>
              <w:jc w:val="center"/>
              <w:rPr>
                <w:rFonts w:ascii="宋体" w:hAnsi="宋体" w:cs="宋体"/>
                <w:color w:val="auto"/>
                <w:szCs w:val="21"/>
              </w:rPr>
            </w:pPr>
            <w:r>
              <w:rPr>
                <w:rFonts w:hint="eastAsia" w:ascii="宋体" w:hAnsi="宋体" w:cs="宋体"/>
                <w:color w:val="auto"/>
                <w:szCs w:val="21"/>
              </w:rPr>
              <w:t>无灰尘、污迹、漏气，标识清 晰，分区存放，</w:t>
            </w:r>
            <w:r>
              <w:rPr>
                <w:rFonts w:hint="eastAsia" w:ascii="宋体" w:hAnsi="宋体" w:cs="宋体"/>
                <w:color w:val="auto"/>
                <w:szCs w:val="21"/>
                <w:lang w:val="zh-CN"/>
              </w:rPr>
              <w:t>有“</w:t>
            </w:r>
            <w:r>
              <w:rPr>
                <w:rFonts w:hint="eastAsia" w:ascii="宋体" w:hAnsi="宋体" w:cs="宋体"/>
                <w:color w:val="auto"/>
                <w:szCs w:val="21"/>
              </w:rPr>
              <w:t>空”、</w:t>
            </w:r>
            <w:r>
              <w:rPr>
                <w:rFonts w:hint="eastAsia" w:ascii="宋体" w:hAnsi="宋体" w:cs="宋体"/>
                <w:color w:val="auto"/>
                <w:szCs w:val="21"/>
                <w:lang w:val="zh-CN"/>
              </w:rPr>
              <w:t>“满”</w:t>
            </w:r>
            <w:r>
              <w:rPr>
                <w:rFonts w:hint="eastAsia" w:ascii="宋体" w:hAnsi="宋体" w:cs="宋体"/>
                <w:color w:val="auto"/>
                <w:szCs w:val="21"/>
              </w:rPr>
              <w:t xml:space="preserve">、 </w:t>
            </w:r>
            <w:r>
              <w:rPr>
                <w:rFonts w:hint="eastAsia" w:ascii="宋体" w:hAnsi="宋体" w:cs="宋体"/>
                <w:color w:val="auto"/>
                <w:szCs w:val="21"/>
                <w:lang w:val="zh-CN"/>
              </w:rPr>
              <w:t>“禁</w:t>
            </w:r>
            <w:r>
              <w:rPr>
                <w:rFonts w:hint="eastAsia" w:ascii="宋体" w:hAnsi="宋体" w:cs="宋体"/>
                <w:color w:val="auto"/>
                <w:szCs w:val="21"/>
              </w:rPr>
              <w:t>火”警示标识</w:t>
            </w:r>
          </w:p>
        </w:tc>
        <w:tc>
          <w:tcPr>
            <w:tcW w:w="1555" w:type="dxa"/>
            <w:tcBorders>
              <w:top w:val="single" w:color="auto" w:sz="4" w:space="0"/>
              <w:left w:val="single" w:color="auto" w:sz="4" w:space="0"/>
            </w:tcBorders>
            <w:shd w:val="clear" w:color="auto" w:fill="FFFFFF"/>
            <w:vAlign w:val="center"/>
          </w:tcPr>
          <w:p w14:paraId="0208291F">
            <w:pPr>
              <w:jc w:val="center"/>
              <w:rPr>
                <w:rFonts w:ascii="宋体" w:hAnsi="宋体" w:cs="宋体"/>
                <w:color w:val="auto"/>
                <w:szCs w:val="21"/>
              </w:rPr>
            </w:pPr>
            <w:r>
              <w:rPr>
                <w:rFonts w:hint="eastAsia" w:ascii="宋体" w:hAnsi="宋体" w:cs="宋体"/>
                <w:color w:val="auto"/>
                <w:szCs w:val="21"/>
              </w:rPr>
              <w:t>每天一次</w:t>
            </w:r>
          </w:p>
        </w:tc>
        <w:tc>
          <w:tcPr>
            <w:tcW w:w="1948" w:type="dxa"/>
            <w:tcBorders>
              <w:top w:val="single" w:color="auto" w:sz="4" w:space="0"/>
              <w:left w:val="single" w:color="auto" w:sz="4" w:space="0"/>
              <w:right w:val="single" w:color="auto" w:sz="4" w:space="0"/>
            </w:tcBorders>
            <w:shd w:val="clear" w:color="auto" w:fill="FFFFFF"/>
            <w:vAlign w:val="center"/>
          </w:tcPr>
          <w:p w14:paraId="06AEAB19">
            <w:pPr>
              <w:jc w:val="center"/>
              <w:rPr>
                <w:rFonts w:ascii="宋体" w:hAnsi="宋体" w:cs="宋体"/>
                <w:color w:val="auto"/>
                <w:szCs w:val="21"/>
              </w:rPr>
            </w:pPr>
            <w:r>
              <w:rPr>
                <w:rFonts w:hint="eastAsia" w:ascii="宋体" w:hAnsi="宋体" w:cs="宋体"/>
                <w:color w:val="auto"/>
                <w:szCs w:val="21"/>
              </w:rPr>
              <w:t>抹布不可沾有油脂</w:t>
            </w:r>
          </w:p>
        </w:tc>
      </w:tr>
      <w:tr w14:paraId="69274071">
        <w:tblPrEx>
          <w:tblCellMar>
            <w:top w:w="0" w:type="dxa"/>
            <w:left w:w="10" w:type="dxa"/>
            <w:bottom w:w="0" w:type="dxa"/>
            <w:right w:w="10" w:type="dxa"/>
          </w:tblCellMar>
        </w:tblPrEx>
        <w:trPr>
          <w:trHeight w:val="1707" w:hRule="exact"/>
          <w:jc w:val="center"/>
        </w:trPr>
        <w:tc>
          <w:tcPr>
            <w:tcW w:w="1706" w:type="dxa"/>
            <w:tcBorders>
              <w:top w:val="single" w:color="auto" w:sz="4" w:space="0"/>
              <w:left w:val="single" w:color="auto" w:sz="4" w:space="0"/>
              <w:bottom w:val="single" w:color="auto" w:sz="4" w:space="0"/>
            </w:tcBorders>
            <w:shd w:val="clear" w:color="auto" w:fill="FFFFFF"/>
            <w:vAlign w:val="center"/>
          </w:tcPr>
          <w:p w14:paraId="6C07F817">
            <w:pPr>
              <w:jc w:val="center"/>
              <w:rPr>
                <w:rFonts w:ascii="宋体" w:hAnsi="宋体" w:cs="宋体"/>
                <w:color w:val="auto"/>
                <w:szCs w:val="21"/>
              </w:rPr>
            </w:pPr>
            <w:r>
              <w:rPr>
                <w:rFonts w:hint="eastAsia" w:ascii="宋体" w:hAnsi="宋体" w:cs="宋体"/>
                <w:color w:val="auto"/>
                <w:szCs w:val="21"/>
              </w:rPr>
              <w:t>医疗废弃物容器</w:t>
            </w:r>
          </w:p>
        </w:tc>
        <w:tc>
          <w:tcPr>
            <w:tcW w:w="3110" w:type="dxa"/>
            <w:tcBorders>
              <w:top w:val="single" w:color="auto" w:sz="4" w:space="0"/>
              <w:left w:val="single" w:color="auto" w:sz="4" w:space="0"/>
              <w:bottom w:val="single" w:color="auto" w:sz="4" w:space="0"/>
            </w:tcBorders>
            <w:shd w:val="clear" w:color="auto" w:fill="FFFFFF"/>
            <w:vAlign w:val="center"/>
          </w:tcPr>
          <w:p w14:paraId="1B1C085B">
            <w:pPr>
              <w:jc w:val="center"/>
              <w:rPr>
                <w:rFonts w:ascii="宋体" w:hAnsi="宋体" w:cs="宋体"/>
                <w:color w:val="auto"/>
                <w:szCs w:val="21"/>
              </w:rPr>
            </w:pPr>
            <w:r>
              <w:rPr>
                <w:rFonts w:hint="eastAsia" w:ascii="宋体" w:hAnsi="宋体" w:cs="宋体"/>
                <w:color w:val="auto"/>
                <w:szCs w:val="21"/>
              </w:rPr>
              <w:t>外表无污迹、洁净光亮，无异 味，废弃物勿外露</w:t>
            </w:r>
          </w:p>
        </w:tc>
        <w:tc>
          <w:tcPr>
            <w:tcW w:w="1555" w:type="dxa"/>
            <w:tcBorders>
              <w:top w:val="single" w:color="auto" w:sz="4" w:space="0"/>
              <w:left w:val="single" w:color="auto" w:sz="4" w:space="0"/>
              <w:bottom w:val="single" w:color="auto" w:sz="4" w:space="0"/>
            </w:tcBorders>
            <w:shd w:val="clear" w:color="auto" w:fill="FFFFFF"/>
            <w:vAlign w:val="center"/>
          </w:tcPr>
          <w:p w14:paraId="3017783D">
            <w:pPr>
              <w:jc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每天一次</w:t>
            </w:r>
          </w:p>
          <w:p w14:paraId="34811E52">
            <w:pPr>
              <w:jc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特殊区域 二次</w:t>
            </w:r>
          </w:p>
        </w:tc>
        <w:tc>
          <w:tcPr>
            <w:tcW w:w="1948" w:type="dxa"/>
            <w:tcBorders>
              <w:top w:val="single" w:color="auto" w:sz="4" w:space="0"/>
              <w:left w:val="single" w:color="auto" w:sz="4" w:space="0"/>
              <w:bottom w:val="single" w:color="auto" w:sz="4" w:space="0"/>
              <w:right w:val="single" w:color="auto" w:sz="4" w:space="0"/>
            </w:tcBorders>
            <w:shd w:val="clear" w:color="auto" w:fill="FFFFFF"/>
            <w:vAlign w:val="center"/>
          </w:tcPr>
          <w:p w14:paraId="0893AF43">
            <w:pPr>
              <w:jc w:val="center"/>
              <w:rPr>
                <w:rFonts w:ascii="宋体" w:hAnsi="宋体" w:cs="宋体"/>
                <w:color w:val="auto"/>
                <w:szCs w:val="21"/>
              </w:rPr>
            </w:pPr>
            <w:r>
              <w:rPr>
                <w:rFonts w:hint="eastAsia" w:ascii="宋体" w:hAnsi="宋体" w:cs="宋体"/>
                <w:color w:val="auto"/>
                <w:szCs w:val="21"/>
              </w:rPr>
              <w:t>处置时满足院感规 定，周边墙壁不可有 污迹、不可漫溢</w:t>
            </w:r>
          </w:p>
        </w:tc>
      </w:tr>
    </w:tbl>
    <w:p w14:paraId="0BBBD951">
      <w:pPr>
        <w:snapToGrid w:val="0"/>
        <w:spacing w:line="360" w:lineRule="auto"/>
        <w:ind w:right="315"/>
        <w:rPr>
          <w:rFonts w:ascii="宋体" w:hAnsi="宋体"/>
          <w:color w:val="auto"/>
          <w:szCs w:val="21"/>
        </w:rPr>
      </w:pPr>
    </w:p>
    <w:p w14:paraId="40EDD296">
      <w:pPr>
        <w:ind w:firstLine="843" w:firstLineChars="400"/>
        <w:rPr>
          <w:rFonts w:ascii="宋体" w:hAnsi="宋体" w:cs="宋体"/>
          <w:b/>
          <w:bCs/>
          <w:color w:val="auto"/>
          <w:szCs w:val="21"/>
        </w:rPr>
      </w:pPr>
      <w:r>
        <w:rPr>
          <w:rFonts w:hint="eastAsia" w:ascii="宋体" w:hAnsi="宋体" w:cs="宋体"/>
          <w:b/>
          <w:bCs/>
          <w:color w:val="auto"/>
          <w:szCs w:val="21"/>
        </w:rPr>
        <w:t>10、医院各类材质的地面日常保洁项目要求</w:t>
      </w:r>
    </w:p>
    <w:tbl>
      <w:tblPr>
        <w:tblStyle w:val="47"/>
        <w:tblW w:w="0" w:type="auto"/>
        <w:jc w:val="center"/>
        <w:tblLayout w:type="fixed"/>
        <w:tblCellMar>
          <w:top w:w="0" w:type="dxa"/>
          <w:left w:w="10" w:type="dxa"/>
          <w:bottom w:w="0" w:type="dxa"/>
          <w:right w:w="10" w:type="dxa"/>
        </w:tblCellMar>
      </w:tblPr>
      <w:tblGrid>
        <w:gridCol w:w="1531"/>
        <w:gridCol w:w="3005"/>
        <w:gridCol w:w="3845"/>
      </w:tblGrid>
      <w:tr w14:paraId="6D458CDB">
        <w:tblPrEx>
          <w:tblCellMar>
            <w:top w:w="0" w:type="dxa"/>
            <w:left w:w="10" w:type="dxa"/>
            <w:bottom w:w="0" w:type="dxa"/>
            <w:right w:w="10" w:type="dxa"/>
          </w:tblCellMar>
        </w:tblPrEx>
        <w:trPr>
          <w:trHeight w:val="621" w:hRule="exact"/>
          <w:jc w:val="center"/>
        </w:trPr>
        <w:tc>
          <w:tcPr>
            <w:tcW w:w="1531" w:type="dxa"/>
            <w:tcBorders>
              <w:top w:val="single" w:color="auto" w:sz="4" w:space="0"/>
              <w:left w:val="single" w:color="auto" w:sz="4" w:space="0"/>
            </w:tcBorders>
            <w:shd w:val="clear" w:color="auto" w:fill="FFFFFF"/>
            <w:vAlign w:val="center"/>
          </w:tcPr>
          <w:p w14:paraId="1F81DEAA">
            <w:pPr>
              <w:jc w:val="center"/>
              <w:rPr>
                <w:rFonts w:ascii="宋体" w:hAnsi="宋体" w:cs="宋体"/>
                <w:b/>
                <w:bCs/>
                <w:color w:val="auto"/>
                <w:szCs w:val="21"/>
              </w:rPr>
            </w:pPr>
            <w:r>
              <w:rPr>
                <w:rFonts w:hint="eastAsia" w:ascii="宋体" w:hAnsi="宋体" w:cs="宋体"/>
                <w:b/>
                <w:bCs/>
                <w:color w:val="auto"/>
                <w:szCs w:val="21"/>
              </w:rPr>
              <w:t>项目</w:t>
            </w:r>
          </w:p>
        </w:tc>
        <w:tc>
          <w:tcPr>
            <w:tcW w:w="3005" w:type="dxa"/>
            <w:tcBorders>
              <w:top w:val="single" w:color="auto" w:sz="4" w:space="0"/>
              <w:left w:val="single" w:color="auto" w:sz="4" w:space="0"/>
            </w:tcBorders>
            <w:shd w:val="clear" w:color="auto" w:fill="FFFFFF"/>
            <w:vAlign w:val="center"/>
          </w:tcPr>
          <w:p w14:paraId="537A11C4">
            <w:pPr>
              <w:jc w:val="center"/>
              <w:rPr>
                <w:rFonts w:ascii="宋体" w:hAnsi="宋体" w:cs="宋体"/>
                <w:b/>
                <w:bCs/>
                <w:color w:val="auto"/>
                <w:szCs w:val="21"/>
              </w:rPr>
            </w:pPr>
            <w:r>
              <w:rPr>
                <w:rFonts w:hint="eastAsia" w:ascii="宋体" w:hAnsi="宋体" w:cs="宋体"/>
                <w:b/>
                <w:bCs/>
                <w:color w:val="auto"/>
                <w:szCs w:val="21"/>
              </w:rPr>
              <w:t>标准（质量要求）</w:t>
            </w:r>
          </w:p>
        </w:tc>
        <w:tc>
          <w:tcPr>
            <w:tcW w:w="3845" w:type="dxa"/>
            <w:tcBorders>
              <w:top w:val="single" w:color="auto" w:sz="4" w:space="0"/>
              <w:left w:val="single" w:color="auto" w:sz="4" w:space="0"/>
              <w:right w:val="single" w:color="auto" w:sz="4" w:space="0"/>
            </w:tcBorders>
            <w:shd w:val="clear" w:color="auto" w:fill="FFFFFF"/>
            <w:vAlign w:val="center"/>
          </w:tcPr>
          <w:p w14:paraId="4C6A7C23">
            <w:pPr>
              <w:jc w:val="center"/>
              <w:rPr>
                <w:rFonts w:ascii="宋体" w:hAnsi="宋体" w:cs="宋体"/>
                <w:b/>
                <w:bCs/>
                <w:color w:val="auto"/>
                <w:szCs w:val="21"/>
              </w:rPr>
            </w:pPr>
            <w:r>
              <w:rPr>
                <w:rFonts w:hint="eastAsia" w:ascii="宋体" w:hAnsi="宋体" w:cs="宋体"/>
                <w:b/>
                <w:bCs/>
                <w:color w:val="auto"/>
                <w:szCs w:val="21"/>
              </w:rPr>
              <w:t>频次</w:t>
            </w:r>
          </w:p>
        </w:tc>
      </w:tr>
      <w:tr w14:paraId="10EED87B">
        <w:tblPrEx>
          <w:tblCellMar>
            <w:top w:w="0" w:type="dxa"/>
            <w:left w:w="10" w:type="dxa"/>
            <w:bottom w:w="0" w:type="dxa"/>
            <w:right w:w="10" w:type="dxa"/>
          </w:tblCellMar>
        </w:tblPrEx>
        <w:trPr>
          <w:trHeight w:val="634" w:hRule="exact"/>
          <w:jc w:val="center"/>
        </w:trPr>
        <w:tc>
          <w:tcPr>
            <w:tcW w:w="1531" w:type="dxa"/>
            <w:tcBorders>
              <w:top w:val="single" w:color="auto" w:sz="4" w:space="0"/>
              <w:left w:val="single" w:color="auto" w:sz="4" w:space="0"/>
            </w:tcBorders>
            <w:shd w:val="clear" w:color="auto" w:fill="FFFFFF"/>
            <w:vAlign w:val="center"/>
          </w:tcPr>
          <w:p w14:paraId="707914C5">
            <w:pPr>
              <w:jc w:val="center"/>
              <w:rPr>
                <w:rFonts w:ascii="宋体" w:hAnsi="宋体" w:cs="宋体"/>
                <w:color w:val="auto"/>
                <w:szCs w:val="21"/>
              </w:rPr>
            </w:pPr>
            <w:r>
              <w:rPr>
                <w:rFonts w:hint="eastAsia" w:ascii="宋体" w:hAnsi="宋体" w:cs="宋体"/>
                <w:color w:val="auto"/>
                <w:szCs w:val="21"/>
              </w:rPr>
              <w:t>大理石地面</w:t>
            </w:r>
          </w:p>
        </w:tc>
        <w:tc>
          <w:tcPr>
            <w:tcW w:w="3005" w:type="dxa"/>
            <w:tcBorders>
              <w:top w:val="single" w:color="auto" w:sz="4" w:space="0"/>
              <w:left w:val="single" w:color="auto" w:sz="4" w:space="0"/>
            </w:tcBorders>
            <w:shd w:val="clear" w:color="auto" w:fill="FFFFFF"/>
            <w:vAlign w:val="center"/>
          </w:tcPr>
          <w:p w14:paraId="4BA0C3A8">
            <w:pPr>
              <w:jc w:val="center"/>
              <w:rPr>
                <w:rFonts w:ascii="宋体" w:hAnsi="宋体" w:cs="宋体"/>
                <w:color w:val="auto"/>
                <w:szCs w:val="21"/>
              </w:rPr>
            </w:pPr>
            <w:r>
              <w:rPr>
                <w:rFonts w:hint="eastAsia" w:ascii="宋体" w:hAnsi="宋体" w:cs="宋体"/>
                <w:color w:val="auto"/>
                <w:szCs w:val="21"/>
              </w:rPr>
              <w:t>地面无杂物、沙尘、脚印、斑 迹、水迹，蜡面光亮，无划痕</w:t>
            </w:r>
          </w:p>
        </w:tc>
        <w:tc>
          <w:tcPr>
            <w:tcW w:w="3845" w:type="dxa"/>
            <w:tcBorders>
              <w:top w:val="single" w:color="auto" w:sz="4" w:space="0"/>
              <w:left w:val="single" w:color="auto" w:sz="4" w:space="0"/>
              <w:right w:val="single" w:color="auto" w:sz="4" w:space="0"/>
            </w:tcBorders>
            <w:shd w:val="clear" w:color="auto" w:fill="FFFFFF"/>
            <w:vAlign w:val="center"/>
          </w:tcPr>
          <w:p w14:paraId="3801503C">
            <w:pPr>
              <w:jc w:val="center"/>
              <w:rPr>
                <w:rFonts w:ascii="宋体" w:hAnsi="宋体" w:cs="宋体"/>
                <w:color w:val="auto"/>
                <w:szCs w:val="21"/>
              </w:rPr>
            </w:pPr>
            <w:r>
              <w:rPr>
                <w:rFonts w:hint="eastAsia" w:ascii="宋体" w:hAnsi="宋体" w:cs="宋体"/>
                <w:color w:val="auto"/>
                <w:szCs w:val="21"/>
              </w:rPr>
              <w:t>1、保洁每天1次</w:t>
            </w:r>
          </w:p>
        </w:tc>
      </w:tr>
      <w:tr w14:paraId="63847813">
        <w:tblPrEx>
          <w:tblCellMar>
            <w:top w:w="0" w:type="dxa"/>
            <w:left w:w="10" w:type="dxa"/>
            <w:bottom w:w="0" w:type="dxa"/>
            <w:right w:w="10" w:type="dxa"/>
          </w:tblCellMar>
        </w:tblPrEx>
        <w:trPr>
          <w:trHeight w:val="562" w:hRule="exact"/>
          <w:jc w:val="center"/>
        </w:trPr>
        <w:tc>
          <w:tcPr>
            <w:tcW w:w="1531" w:type="dxa"/>
            <w:tcBorders>
              <w:top w:val="single" w:color="auto" w:sz="4" w:space="0"/>
              <w:left w:val="single" w:color="auto" w:sz="4" w:space="0"/>
            </w:tcBorders>
            <w:shd w:val="clear" w:color="auto" w:fill="FFFFFF"/>
            <w:vAlign w:val="center"/>
          </w:tcPr>
          <w:p w14:paraId="61FBE40F">
            <w:pPr>
              <w:jc w:val="center"/>
              <w:rPr>
                <w:rFonts w:ascii="宋体" w:hAnsi="宋体" w:cs="宋体"/>
                <w:color w:val="auto"/>
                <w:szCs w:val="21"/>
              </w:rPr>
            </w:pPr>
            <w:r>
              <w:rPr>
                <w:rFonts w:hint="eastAsia" w:ascii="宋体" w:hAnsi="宋体" w:cs="宋体"/>
                <w:color w:val="auto"/>
                <w:szCs w:val="21"/>
              </w:rPr>
              <w:t>镜面砖</w:t>
            </w:r>
          </w:p>
        </w:tc>
        <w:tc>
          <w:tcPr>
            <w:tcW w:w="3005" w:type="dxa"/>
            <w:tcBorders>
              <w:top w:val="single" w:color="auto" w:sz="4" w:space="0"/>
              <w:left w:val="single" w:color="auto" w:sz="4" w:space="0"/>
            </w:tcBorders>
            <w:shd w:val="clear" w:color="auto" w:fill="FFFFFF"/>
            <w:vAlign w:val="center"/>
          </w:tcPr>
          <w:p w14:paraId="7AFAC4D0">
            <w:pPr>
              <w:jc w:val="center"/>
              <w:rPr>
                <w:rFonts w:ascii="宋体" w:hAnsi="宋体" w:cs="宋体"/>
                <w:color w:val="auto"/>
                <w:szCs w:val="21"/>
              </w:rPr>
            </w:pPr>
            <w:r>
              <w:rPr>
                <w:rFonts w:hint="eastAsia" w:ascii="宋体" w:hAnsi="宋体" w:cs="宋体"/>
                <w:color w:val="auto"/>
                <w:szCs w:val="21"/>
              </w:rPr>
              <w:t>清洁光亮，无尘、无斑迹</w:t>
            </w:r>
          </w:p>
        </w:tc>
        <w:tc>
          <w:tcPr>
            <w:tcW w:w="3845" w:type="dxa"/>
            <w:tcBorders>
              <w:top w:val="single" w:color="auto" w:sz="4" w:space="0"/>
              <w:left w:val="single" w:color="auto" w:sz="4" w:space="0"/>
              <w:right w:val="single" w:color="auto" w:sz="4" w:space="0"/>
            </w:tcBorders>
            <w:shd w:val="clear" w:color="auto" w:fill="FFFFFF"/>
            <w:vAlign w:val="center"/>
          </w:tcPr>
          <w:p w14:paraId="212DD399">
            <w:pPr>
              <w:jc w:val="center"/>
              <w:rPr>
                <w:rFonts w:ascii="宋体" w:hAnsi="宋体" w:cs="宋体"/>
                <w:color w:val="auto"/>
                <w:szCs w:val="21"/>
              </w:rPr>
            </w:pPr>
            <w:r>
              <w:rPr>
                <w:rFonts w:hint="eastAsia" w:ascii="宋体" w:hAnsi="宋体" w:cs="宋体"/>
                <w:color w:val="auto"/>
                <w:szCs w:val="21"/>
              </w:rPr>
              <w:t>每天1次</w:t>
            </w:r>
          </w:p>
        </w:tc>
      </w:tr>
      <w:tr w14:paraId="24D807AE">
        <w:tblPrEx>
          <w:tblCellMar>
            <w:top w:w="0" w:type="dxa"/>
            <w:left w:w="10" w:type="dxa"/>
            <w:bottom w:w="0" w:type="dxa"/>
            <w:right w:w="10" w:type="dxa"/>
          </w:tblCellMar>
        </w:tblPrEx>
        <w:trPr>
          <w:trHeight w:val="824" w:hRule="exact"/>
          <w:jc w:val="center"/>
        </w:trPr>
        <w:tc>
          <w:tcPr>
            <w:tcW w:w="1531" w:type="dxa"/>
            <w:tcBorders>
              <w:top w:val="single" w:color="auto" w:sz="4" w:space="0"/>
              <w:left w:val="single" w:color="auto" w:sz="4" w:space="0"/>
              <w:bottom w:val="single" w:color="auto" w:sz="4" w:space="0"/>
            </w:tcBorders>
            <w:shd w:val="clear" w:color="auto" w:fill="FFFFFF"/>
            <w:vAlign w:val="center"/>
          </w:tcPr>
          <w:p w14:paraId="3ED2E43A">
            <w:pPr>
              <w:jc w:val="center"/>
              <w:rPr>
                <w:rFonts w:ascii="宋体" w:hAnsi="宋体" w:cs="宋体"/>
                <w:color w:val="auto"/>
                <w:szCs w:val="21"/>
              </w:rPr>
            </w:pPr>
            <w:r>
              <w:rPr>
                <w:rFonts w:hint="eastAsia" w:ascii="宋体" w:hAnsi="宋体" w:cs="宋体"/>
                <w:color w:val="auto"/>
                <w:szCs w:val="21"/>
              </w:rPr>
              <w:t>花冈石</w:t>
            </w:r>
          </w:p>
        </w:tc>
        <w:tc>
          <w:tcPr>
            <w:tcW w:w="3005" w:type="dxa"/>
            <w:tcBorders>
              <w:top w:val="single" w:color="auto" w:sz="4" w:space="0"/>
              <w:left w:val="single" w:color="auto" w:sz="4" w:space="0"/>
              <w:bottom w:val="single" w:color="auto" w:sz="4" w:space="0"/>
            </w:tcBorders>
            <w:shd w:val="clear" w:color="auto" w:fill="FFFFFF"/>
            <w:vAlign w:val="center"/>
          </w:tcPr>
          <w:p w14:paraId="6867A6C8">
            <w:pPr>
              <w:jc w:val="center"/>
              <w:rPr>
                <w:rFonts w:ascii="宋体" w:hAnsi="宋体" w:cs="宋体"/>
                <w:color w:val="auto"/>
                <w:szCs w:val="21"/>
              </w:rPr>
            </w:pPr>
            <w:r>
              <w:rPr>
                <w:rFonts w:hint="eastAsia" w:ascii="宋体" w:hAnsi="宋体" w:cs="宋体"/>
                <w:color w:val="auto"/>
                <w:szCs w:val="21"/>
              </w:rPr>
              <w:t>无灰尘、污迹、油脂，干净、 清洁</w:t>
            </w:r>
          </w:p>
        </w:tc>
        <w:tc>
          <w:tcPr>
            <w:tcW w:w="3845" w:type="dxa"/>
            <w:tcBorders>
              <w:top w:val="single" w:color="auto" w:sz="4" w:space="0"/>
              <w:left w:val="single" w:color="auto" w:sz="4" w:space="0"/>
              <w:bottom w:val="single" w:color="auto" w:sz="4" w:space="0"/>
              <w:right w:val="single" w:color="auto" w:sz="4" w:space="0"/>
            </w:tcBorders>
            <w:shd w:val="clear" w:color="auto" w:fill="FFFFFF"/>
            <w:vAlign w:val="center"/>
          </w:tcPr>
          <w:p w14:paraId="65AD15F6">
            <w:pPr>
              <w:jc w:val="center"/>
              <w:rPr>
                <w:rFonts w:ascii="宋体" w:hAnsi="宋体" w:cs="宋体"/>
                <w:color w:val="auto"/>
                <w:szCs w:val="21"/>
              </w:rPr>
            </w:pPr>
            <w:r>
              <w:rPr>
                <w:rFonts w:hint="eastAsia" w:ascii="宋体" w:hAnsi="宋体" w:cs="宋体"/>
                <w:color w:val="auto"/>
                <w:szCs w:val="21"/>
              </w:rPr>
              <w:t>1、保洁每天1次</w:t>
            </w:r>
          </w:p>
        </w:tc>
      </w:tr>
      <w:tr w14:paraId="6048CCCD">
        <w:tblPrEx>
          <w:tblCellMar>
            <w:top w:w="0" w:type="dxa"/>
            <w:left w:w="10" w:type="dxa"/>
            <w:bottom w:w="0" w:type="dxa"/>
            <w:right w:w="10" w:type="dxa"/>
          </w:tblCellMar>
        </w:tblPrEx>
        <w:trPr>
          <w:trHeight w:val="634" w:hRule="exact"/>
          <w:jc w:val="center"/>
        </w:trPr>
        <w:tc>
          <w:tcPr>
            <w:tcW w:w="1531" w:type="dxa"/>
            <w:tcBorders>
              <w:top w:val="single" w:color="auto" w:sz="4" w:space="0"/>
              <w:left w:val="single" w:color="auto" w:sz="4" w:space="0"/>
              <w:bottom w:val="single" w:color="auto" w:sz="4" w:space="0"/>
            </w:tcBorders>
            <w:shd w:val="clear" w:color="auto" w:fill="FFFFFF"/>
            <w:vAlign w:val="center"/>
          </w:tcPr>
          <w:p w14:paraId="1BC5D26B">
            <w:pPr>
              <w:jc w:val="center"/>
              <w:rPr>
                <w:rFonts w:ascii="宋体" w:hAnsi="宋体" w:cs="宋体"/>
                <w:color w:val="auto"/>
                <w:szCs w:val="21"/>
                <w:lang w:eastAsia="en-US"/>
              </w:rPr>
            </w:pPr>
            <w:r>
              <w:rPr>
                <w:rFonts w:hint="eastAsia" w:ascii="宋体" w:hAnsi="宋体" w:cs="宋体"/>
                <w:color w:val="auto"/>
                <w:szCs w:val="21"/>
              </w:rPr>
              <w:t>实木地板</w:t>
            </w:r>
          </w:p>
        </w:tc>
        <w:tc>
          <w:tcPr>
            <w:tcW w:w="3005" w:type="dxa"/>
            <w:tcBorders>
              <w:top w:val="single" w:color="auto" w:sz="4" w:space="0"/>
              <w:left w:val="single" w:color="auto" w:sz="4" w:space="0"/>
              <w:bottom w:val="single" w:color="auto" w:sz="4" w:space="0"/>
            </w:tcBorders>
            <w:shd w:val="clear" w:color="auto" w:fill="FFFFFF"/>
            <w:vAlign w:val="center"/>
          </w:tcPr>
          <w:p w14:paraId="06ABBCDC">
            <w:pPr>
              <w:jc w:val="center"/>
              <w:rPr>
                <w:rFonts w:ascii="宋体" w:hAnsi="宋体" w:cs="宋体"/>
                <w:color w:val="auto"/>
                <w:szCs w:val="21"/>
                <w:lang w:val="zh-TW" w:eastAsia="zh-TW"/>
              </w:rPr>
            </w:pPr>
            <w:r>
              <w:rPr>
                <w:rFonts w:hint="eastAsia" w:ascii="宋体" w:hAnsi="宋体" w:cs="宋体"/>
                <w:color w:val="auto"/>
                <w:szCs w:val="21"/>
              </w:rPr>
              <w:t>无灰尘、污迹，干净、清洁</w:t>
            </w:r>
          </w:p>
        </w:tc>
        <w:tc>
          <w:tcPr>
            <w:tcW w:w="3845" w:type="dxa"/>
            <w:tcBorders>
              <w:top w:val="single" w:color="auto" w:sz="4" w:space="0"/>
              <w:left w:val="single" w:color="auto" w:sz="4" w:space="0"/>
              <w:bottom w:val="single" w:color="auto" w:sz="4" w:space="0"/>
              <w:right w:val="single" w:color="auto" w:sz="4" w:space="0"/>
            </w:tcBorders>
            <w:shd w:val="clear" w:color="auto" w:fill="FFFFFF"/>
            <w:vAlign w:val="center"/>
          </w:tcPr>
          <w:p w14:paraId="58869A22">
            <w:pPr>
              <w:jc w:val="center"/>
              <w:rPr>
                <w:rFonts w:ascii="宋体" w:hAnsi="宋体" w:cs="宋体"/>
                <w:color w:val="auto"/>
                <w:szCs w:val="21"/>
                <w:lang w:val="zh-TW" w:eastAsia="zh-TW"/>
              </w:rPr>
            </w:pPr>
            <w:r>
              <w:rPr>
                <w:rFonts w:hint="eastAsia" w:ascii="宋体" w:hAnsi="宋体" w:cs="宋体"/>
                <w:color w:val="auto"/>
                <w:szCs w:val="21"/>
              </w:rPr>
              <w:t>每天1次</w:t>
            </w:r>
          </w:p>
        </w:tc>
      </w:tr>
      <w:tr w14:paraId="342D33B3">
        <w:tblPrEx>
          <w:tblCellMar>
            <w:top w:w="0" w:type="dxa"/>
            <w:left w:w="10" w:type="dxa"/>
            <w:bottom w:w="0" w:type="dxa"/>
            <w:right w:w="10" w:type="dxa"/>
          </w:tblCellMar>
        </w:tblPrEx>
        <w:trPr>
          <w:trHeight w:val="634" w:hRule="exact"/>
          <w:jc w:val="center"/>
        </w:trPr>
        <w:tc>
          <w:tcPr>
            <w:tcW w:w="1531" w:type="dxa"/>
            <w:tcBorders>
              <w:top w:val="single" w:color="auto" w:sz="4" w:space="0"/>
              <w:left w:val="single" w:color="auto" w:sz="4" w:space="0"/>
              <w:bottom w:val="single" w:color="auto" w:sz="4" w:space="0"/>
            </w:tcBorders>
            <w:shd w:val="clear" w:color="auto" w:fill="FFFFFF"/>
            <w:vAlign w:val="center"/>
          </w:tcPr>
          <w:p w14:paraId="6A33E89D">
            <w:pPr>
              <w:jc w:val="center"/>
              <w:rPr>
                <w:rFonts w:ascii="宋体" w:hAnsi="宋体" w:cs="宋体"/>
                <w:color w:val="auto"/>
                <w:szCs w:val="21"/>
                <w:lang w:eastAsia="en-US"/>
              </w:rPr>
            </w:pPr>
            <w:r>
              <w:rPr>
                <w:rFonts w:hint="eastAsia" w:ascii="宋体" w:hAnsi="宋体" w:cs="宋体"/>
                <w:color w:val="auto"/>
                <w:szCs w:val="21"/>
              </w:rPr>
              <w:t>复合地板</w:t>
            </w:r>
          </w:p>
        </w:tc>
        <w:tc>
          <w:tcPr>
            <w:tcW w:w="3005" w:type="dxa"/>
            <w:tcBorders>
              <w:top w:val="single" w:color="auto" w:sz="4" w:space="0"/>
              <w:left w:val="single" w:color="auto" w:sz="4" w:space="0"/>
              <w:bottom w:val="single" w:color="auto" w:sz="4" w:space="0"/>
            </w:tcBorders>
            <w:shd w:val="clear" w:color="auto" w:fill="FFFFFF"/>
            <w:vAlign w:val="center"/>
          </w:tcPr>
          <w:p w14:paraId="52BBCD6B">
            <w:pPr>
              <w:jc w:val="center"/>
              <w:rPr>
                <w:rFonts w:ascii="宋体" w:hAnsi="宋体" w:cs="宋体"/>
                <w:color w:val="auto"/>
                <w:szCs w:val="21"/>
                <w:lang w:val="zh-TW" w:eastAsia="zh-TW"/>
              </w:rPr>
            </w:pPr>
            <w:r>
              <w:rPr>
                <w:rFonts w:hint="eastAsia" w:ascii="宋体" w:hAnsi="宋体" w:cs="宋体"/>
                <w:color w:val="auto"/>
                <w:szCs w:val="21"/>
              </w:rPr>
              <w:t>无灰尘、斑迹，光亮、洁净</w:t>
            </w:r>
          </w:p>
        </w:tc>
        <w:tc>
          <w:tcPr>
            <w:tcW w:w="3845" w:type="dxa"/>
            <w:tcBorders>
              <w:top w:val="single" w:color="auto" w:sz="4" w:space="0"/>
              <w:left w:val="single" w:color="auto" w:sz="4" w:space="0"/>
              <w:bottom w:val="single" w:color="auto" w:sz="4" w:space="0"/>
              <w:right w:val="single" w:color="auto" w:sz="4" w:space="0"/>
            </w:tcBorders>
            <w:shd w:val="clear" w:color="auto" w:fill="FFFFFF"/>
            <w:vAlign w:val="center"/>
          </w:tcPr>
          <w:p w14:paraId="5734BB72">
            <w:pPr>
              <w:jc w:val="center"/>
              <w:rPr>
                <w:rFonts w:ascii="宋体" w:hAnsi="宋体" w:cs="宋体"/>
                <w:color w:val="auto"/>
                <w:szCs w:val="21"/>
                <w:lang w:val="zh-TW" w:eastAsia="zh-TW"/>
              </w:rPr>
            </w:pPr>
            <w:r>
              <w:rPr>
                <w:rFonts w:hint="eastAsia" w:ascii="宋体" w:hAnsi="宋体" w:cs="宋体"/>
                <w:color w:val="auto"/>
                <w:szCs w:val="21"/>
              </w:rPr>
              <w:t>每天1次</w:t>
            </w:r>
          </w:p>
        </w:tc>
      </w:tr>
      <w:tr w14:paraId="31C34528">
        <w:tblPrEx>
          <w:tblCellMar>
            <w:top w:w="0" w:type="dxa"/>
            <w:left w:w="10" w:type="dxa"/>
            <w:bottom w:w="0" w:type="dxa"/>
            <w:right w:w="10" w:type="dxa"/>
          </w:tblCellMar>
        </w:tblPrEx>
        <w:trPr>
          <w:trHeight w:val="634" w:hRule="exact"/>
          <w:jc w:val="center"/>
        </w:trPr>
        <w:tc>
          <w:tcPr>
            <w:tcW w:w="1531" w:type="dxa"/>
            <w:tcBorders>
              <w:top w:val="single" w:color="auto" w:sz="4" w:space="0"/>
              <w:left w:val="single" w:color="auto" w:sz="4" w:space="0"/>
              <w:bottom w:val="single" w:color="auto" w:sz="4" w:space="0"/>
            </w:tcBorders>
            <w:shd w:val="clear" w:color="auto" w:fill="FFFFFF"/>
            <w:vAlign w:val="center"/>
          </w:tcPr>
          <w:p w14:paraId="7A6B616B">
            <w:pPr>
              <w:jc w:val="center"/>
              <w:rPr>
                <w:rFonts w:ascii="宋体" w:hAnsi="宋体" w:cs="宋体"/>
                <w:color w:val="auto"/>
                <w:szCs w:val="21"/>
                <w:lang w:eastAsia="en-US"/>
              </w:rPr>
            </w:pPr>
            <w:r>
              <w:rPr>
                <w:rFonts w:hint="eastAsia" w:ascii="宋体" w:hAnsi="宋体" w:cs="宋体"/>
                <w:color w:val="auto"/>
                <w:szCs w:val="21"/>
                <w:lang w:eastAsia="en-US"/>
              </w:rPr>
              <w:t>PVC</w:t>
            </w:r>
            <w:r>
              <w:rPr>
                <w:rFonts w:hint="eastAsia" w:ascii="宋体" w:hAnsi="宋体" w:cs="宋体"/>
                <w:color w:val="auto"/>
                <w:szCs w:val="21"/>
              </w:rPr>
              <w:t>地板</w:t>
            </w:r>
          </w:p>
        </w:tc>
        <w:tc>
          <w:tcPr>
            <w:tcW w:w="3005" w:type="dxa"/>
            <w:tcBorders>
              <w:top w:val="single" w:color="auto" w:sz="4" w:space="0"/>
              <w:left w:val="single" w:color="auto" w:sz="4" w:space="0"/>
              <w:bottom w:val="single" w:color="auto" w:sz="4" w:space="0"/>
            </w:tcBorders>
            <w:shd w:val="clear" w:color="auto" w:fill="FFFFFF"/>
            <w:vAlign w:val="center"/>
          </w:tcPr>
          <w:p w14:paraId="342B2059">
            <w:pPr>
              <w:jc w:val="center"/>
              <w:rPr>
                <w:rFonts w:ascii="宋体" w:hAnsi="宋体" w:cs="宋体"/>
                <w:color w:val="auto"/>
                <w:szCs w:val="21"/>
                <w:lang w:val="zh-TW" w:eastAsia="zh-TW"/>
              </w:rPr>
            </w:pPr>
            <w:r>
              <w:rPr>
                <w:rFonts w:hint="eastAsia" w:ascii="宋体" w:hAnsi="宋体" w:cs="宋体"/>
                <w:color w:val="auto"/>
                <w:szCs w:val="21"/>
              </w:rPr>
              <w:t>无灰尘、污迹，干净、清洁</w:t>
            </w:r>
          </w:p>
        </w:tc>
        <w:tc>
          <w:tcPr>
            <w:tcW w:w="3845" w:type="dxa"/>
            <w:tcBorders>
              <w:top w:val="single" w:color="auto" w:sz="4" w:space="0"/>
              <w:left w:val="single" w:color="auto" w:sz="4" w:space="0"/>
              <w:bottom w:val="single" w:color="auto" w:sz="4" w:space="0"/>
              <w:right w:val="single" w:color="auto" w:sz="4" w:space="0"/>
            </w:tcBorders>
            <w:shd w:val="clear" w:color="auto" w:fill="FFFFFF"/>
            <w:vAlign w:val="center"/>
          </w:tcPr>
          <w:p w14:paraId="503CCF33">
            <w:pPr>
              <w:jc w:val="center"/>
              <w:rPr>
                <w:rFonts w:ascii="宋体" w:hAnsi="宋体" w:cs="宋体"/>
                <w:color w:val="auto"/>
                <w:szCs w:val="21"/>
                <w:lang w:val="zh-TW" w:eastAsia="zh-TW"/>
              </w:rPr>
            </w:pPr>
            <w:r>
              <w:rPr>
                <w:rFonts w:hint="eastAsia" w:ascii="宋体" w:hAnsi="宋体" w:cs="宋体"/>
                <w:color w:val="auto"/>
                <w:szCs w:val="21"/>
              </w:rPr>
              <w:t>每天二次</w:t>
            </w:r>
          </w:p>
        </w:tc>
      </w:tr>
    </w:tbl>
    <w:p w14:paraId="17385C31">
      <w:pPr>
        <w:snapToGrid w:val="0"/>
        <w:spacing w:line="360" w:lineRule="auto"/>
        <w:ind w:right="315"/>
        <w:rPr>
          <w:rFonts w:ascii="宋体" w:hAnsi="宋体"/>
          <w:color w:val="auto"/>
          <w:szCs w:val="21"/>
        </w:rPr>
      </w:pPr>
    </w:p>
    <w:p w14:paraId="7FEC6026">
      <w:pPr>
        <w:ind w:firstLine="422" w:firstLineChars="200"/>
        <w:outlineLvl w:val="2"/>
        <w:rPr>
          <w:rFonts w:ascii="宋体" w:hAnsi="宋体" w:cs="宋体"/>
          <w:b/>
          <w:bCs/>
          <w:color w:val="auto"/>
          <w:szCs w:val="21"/>
        </w:rPr>
      </w:pPr>
    </w:p>
    <w:p w14:paraId="203031A8">
      <w:pPr>
        <w:ind w:firstLine="422" w:firstLineChars="200"/>
        <w:outlineLvl w:val="2"/>
        <w:rPr>
          <w:rFonts w:ascii="宋体" w:hAnsi="宋体" w:cs="宋体"/>
          <w:b/>
          <w:bCs/>
          <w:color w:val="auto"/>
          <w:szCs w:val="21"/>
        </w:rPr>
      </w:pPr>
      <w:r>
        <w:rPr>
          <w:rFonts w:hint="eastAsia" w:ascii="宋体" w:hAnsi="宋体" w:cs="宋体"/>
          <w:b/>
          <w:bCs/>
          <w:color w:val="auto"/>
          <w:szCs w:val="21"/>
        </w:rPr>
        <w:t>（四）院内感染控制、消毒隔离标准及规范</w:t>
      </w:r>
    </w:p>
    <w:p w14:paraId="6F71C571">
      <w:pPr>
        <w:ind w:firstLine="422" w:firstLineChars="200"/>
        <w:rPr>
          <w:rFonts w:ascii="宋体" w:hAnsi="宋体" w:cs="宋体"/>
          <w:b/>
          <w:bCs/>
          <w:color w:val="auto"/>
          <w:szCs w:val="21"/>
        </w:rPr>
      </w:pPr>
      <w:r>
        <w:rPr>
          <w:rFonts w:hint="eastAsia" w:ascii="宋体" w:hAnsi="宋体" w:cs="宋体"/>
          <w:b/>
          <w:bCs/>
          <w:color w:val="auto"/>
          <w:szCs w:val="21"/>
        </w:rPr>
        <w:t>1、消毒质量标准</w:t>
      </w:r>
    </w:p>
    <w:tbl>
      <w:tblPr>
        <w:tblStyle w:val="47"/>
        <w:tblW w:w="0" w:type="auto"/>
        <w:jc w:val="center"/>
        <w:tblLayout w:type="fixed"/>
        <w:tblCellMar>
          <w:top w:w="0" w:type="dxa"/>
          <w:left w:w="10" w:type="dxa"/>
          <w:bottom w:w="0" w:type="dxa"/>
          <w:right w:w="10" w:type="dxa"/>
        </w:tblCellMar>
      </w:tblPr>
      <w:tblGrid>
        <w:gridCol w:w="673"/>
        <w:gridCol w:w="4411"/>
        <w:gridCol w:w="1065"/>
        <w:gridCol w:w="1305"/>
        <w:gridCol w:w="861"/>
      </w:tblGrid>
      <w:tr w14:paraId="3897AF1F">
        <w:tblPrEx>
          <w:tblCellMar>
            <w:top w:w="0" w:type="dxa"/>
            <w:left w:w="10" w:type="dxa"/>
            <w:bottom w:w="0" w:type="dxa"/>
            <w:right w:w="10" w:type="dxa"/>
          </w:tblCellMar>
        </w:tblPrEx>
        <w:trPr>
          <w:trHeight w:val="490" w:hRule="exact"/>
          <w:jc w:val="center"/>
        </w:trPr>
        <w:tc>
          <w:tcPr>
            <w:tcW w:w="673" w:type="dxa"/>
            <w:vMerge w:val="restart"/>
            <w:tcBorders>
              <w:top w:val="single" w:color="auto" w:sz="4" w:space="0"/>
              <w:left w:val="single" w:color="auto" w:sz="4" w:space="0"/>
            </w:tcBorders>
            <w:shd w:val="clear" w:color="auto" w:fill="FFFFFF"/>
            <w:vAlign w:val="center"/>
          </w:tcPr>
          <w:p w14:paraId="16469BE4">
            <w:pPr>
              <w:jc w:val="center"/>
              <w:rPr>
                <w:rFonts w:ascii="宋体" w:hAnsi="宋体" w:cs="宋体"/>
                <w:b/>
                <w:bCs/>
                <w:color w:val="auto"/>
                <w:szCs w:val="21"/>
              </w:rPr>
            </w:pPr>
            <w:r>
              <w:rPr>
                <w:rFonts w:hint="eastAsia" w:ascii="宋体" w:hAnsi="宋体" w:cs="宋体"/>
                <w:b/>
                <w:bCs/>
                <w:color w:val="auto"/>
                <w:szCs w:val="21"/>
              </w:rPr>
              <w:t>环境类别</w:t>
            </w:r>
          </w:p>
        </w:tc>
        <w:tc>
          <w:tcPr>
            <w:tcW w:w="4411" w:type="dxa"/>
            <w:vMerge w:val="restart"/>
            <w:tcBorders>
              <w:top w:val="single" w:color="auto" w:sz="4" w:space="0"/>
              <w:left w:val="single" w:color="auto" w:sz="4" w:space="0"/>
            </w:tcBorders>
            <w:shd w:val="clear" w:color="auto" w:fill="FFFFFF"/>
            <w:vAlign w:val="center"/>
          </w:tcPr>
          <w:p w14:paraId="5C1D5320">
            <w:pPr>
              <w:jc w:val="center"/>
              <w:rPr>
                <w:rFonts w:ascii="宋体" w:hAnsi="宋体" w:cs="宋体"/>
                <w:b/>
                <w:bCs/>
                <w:color w:val="auto"/>
                <w:szCs w:val="21"/>
              </w:rPr>
            </w:pPr>
            <w:r>
              <w:rPr>
                <w:rFonts w:hint="eastAsia" w:ascii="宋体" w:hAnsi="宋体" w:cs="宋体"/>
                <w:b/>
                <w:bCs/>
                <w:color w:val="auto"/>
                <w:szCs w:val="21"/>
              </w:rPr>
              <w:t>范围</w:t>
            </w:r>
          </w:p>
        </w:tc>
        <w:tc>
          <w:tcPr>
            <w:tcW w:w="3231" w:type="dxa"/>
            <w:gridSpan w:val="3"/>
            <w:tcBorders>
              <w:top w:val="single" w:color="auto" w:sz="4" w:space="0"/>
              <w:left w:val="single" w:color="auto" w:sz="4" w:space="0"/>
              <w:right w:val="single" w:color="auto" w:sz="4" w:space="0"/>
            </w:tcBorders>
            <w:shd w:val="clear" w:color="auto" w:fill="FFFFFF"/>
            <w:vAlign w:val="center"/>
          </w:tcPr>
          <w:p w14:paraId="1D7E8E40">
            <w:pPr>
              <w:jc w:val="center"/>
              <w:rPr>
                <w:rFonts w:ascii="宋体" w:hAnsi="宋体" w:cs="宋体"/>
                <w:b/>
                <w:bCs/>
                <w:color w:val="auto"/>
                <w:szCs w:val="21"/>
              </w:rPr>
            </w:pPr>
            <w:r>
              <w:rPr>
                <w:rFonts w:hint="eastAsia" w:ascii="宋体" w:hAnsi="宋体" w:cs="宋体"/>
                <w:b/>
                <w:bCs/>
                <w:color w:val="auto"/>
                <w:szCs w:val="21"/>
              </w:rPr>
              <w:t>标准(</w:t>
            </w:r>
            <w:r>
              <w:rPr>
                <w:rFonts w:hint="eastAsia" w:ascii="宋体" w:hAnsi="宋体" w:cs="宋体"/>
                <w:b/>
                <w:bCs/>
                <w:color w:val="auto"/>
                <w:szCs w:val="21"/>
                <w:lang w:eastAsia="en-US"/>
              </w:rPr>
              <w:t>cfu/m3)</w:t>
            </w:r>
          </w:p>
        </w:tc>
      </w:tr>
      <w:tr w14:paraId="3214C59C">
        <w:tblPrEx>
          <w:tblCellMar>
            <w:top w:w="0" w:type="dxa"/>
            <w:left w:w="10" w:type="dxa"/>
            <w:bottom w:w="0" w:type="dxa"/>
            <w:right w:w="10" w:type="dxa"/>
          </w:tblCellMar>
        </w:tblPrEx>
        <w:trPr>
          <w:trHeight w:val="1138" w:hRule="exact"/>
          <w:jc w:val="center"/>
        </w:trPr>
        <w:tc>
          <w:tcPr>
            <w:tcW w:w="673" w:type="dxa"/>
            <w:vMerge w:val="continue"/>
            <w:tcBorders>
              <w:left w:val="single" w:color="auto" w:sz="4" w:space="0"/>
            </w:tcBorders>
            <w:shd w:val="clear" w:color="auto" w:fill="FFFFFF"/>
            <w:vAlign w:val="center"/>
          </w:tcPr>
          <w:p w14:paraId="43D0B978">
            <w:pPr>
              <w:jc w:val="center"/>
              <w:rPr>
                <w:rFonts w:ascii="宋体" w:hAnsi="宋体" w:cs="宋体"/>
                <w:b/>
                <w:bCs/>
                <w:color w:val="auto"/>
                <w:szCs w:val="21"/>
              </w:rPr>
            </w:pPr>
          </w:p>
        </w:tc>
        <w:tc>
          <w:tcPr>
            <w:tcW w:w="4411" w:type="dxa"/>
            <w:vMerge w:val="continue"/>
            <w:tcBorders>
              <w:left w:val="single" w:color="auto" w:sz="4" w:space="0"/>
            </w:tcBorders>
            <w:shd w:val="clear" w:color="auto" w:fill="FFFFFF"/>
            <w:vAlign w:val="center"/>
          </w:tcPr>
          <w:p w14:paraId="1B8821F6">
            <w:pPr>
              <w:jc w:val="center"/>
              <w:rPr>
                <w:rFonts w:ascii="宋体" w:hAnsi="宋体" w:cs="宋体"/>
                <w:b/>
                <w:bCs/>
                <w:color w:val="auto"/>
                <w:szCs w:val="21"/>
              </w:rPr>
            </w:pPr>
          </w:p>
        </w:tc>
        <w:tc>
          <w:tcPr>
            <w:tcW w:w="1065" w:type="dxa"/>
            <w:tcBorders>
              <w:top w:val="single" w:color="auto" w:sz="4" w:space="0"/>
              <w:left w:val="single" w:color="auto" w:sz="4" w:space="0"/>
            </w:tcBorders>
            <w:shd w:val="clear" w:color="auto" w:fill="FFFFFF"/>
            <w:vAlign w:val="center"/>
          </w:tcPr>
          <w:p w14:paraId="5A39CDC0">
            <w:pPr>
              <w:jc w:val="center"/>
              <w:rPr>
                <w:rFonts w:ascii="宋体" w:hAnsi="宋体" w:cs="宋体"/>
                <w:b/>
                <w:bCs/>
                <w:color w:val="auto"/>
                <w:szCs w:val="21"/>
              </w:rPr>
            </w:pPr>
            <w:r>
              <w:rPr>
                <w:rFonts w:hint="eastAsia" w:ascii="宋体" w:hAnsi="宋体" w:cs="宋体"/>
                <w:b/>
                <w:bCs/>
                <w:color w:val="auto"/>
                <w:szCs w:val="21"/>
              </w:rPr>
              <w:t>空气</w:t>
            </w:r>
          </w:p>
        </w:tc>
        <w:tc>
          <w:tcPr>
            <w:tcW w:w="1305" w:type="dxa"/>
            <w:tcBorders>
              <w:top w:val="single" w:color="auto" w:sz="4" w:space="0"/>
              <w:left w:val="single" w:color="auto" w:sz="4" w:space="0"/>
            </w:tcBorders>
            <w:shd w:val="clear" w:color="auto" w:fill="FFFFFF"/>
            <w:vAlign w:val="center"/>
          </w:tcPr>
          <w:p w14:paraId="6AC90C14">
            <w:pPr>
              <w:jc w:val="center"/>
              <w:rPr>
                <w:rFonts w:ascii="宋体" w:hAnsi="宋体" w:cs="宋体"/>
                <w:b/>
                <w:bCs/>
                <w:color w:val="auto"/>
                <w:szCs w:val="21"/>
              </w:rPr>
            </w:pPr>
            <w:r>
              <w:rPr>
                <w:rFonts w:hint="eastAsia" w:ascii="宋体" w:hAnsi="宋体" w:cs="宋体"/>
                <w:b/>
                <w:bCs/>
                <w:color w:val="auto"/>
                <w:szCs w:val="21"/>
              </w:rPr>
              <w:t>物体表面</w:t>
            </w:r>
          </w:p>
        </w:tc>
        <w:tc>
          <w:tcPr>
            <w:tcW w:w="861" w:type="dxa"/>
            <w:tcBorders>
              <w:top w:val="single" w:color="auto" w:sz="4" w:space="0"/>
              <w:left w:val="single" w:color="auto" w:sz="4" w:space="0"/>
              <w:right w:val="single" w:color="auto" w:sz="4" w:space="0"/>
            </w:tcBorders>
            <w:shd w:val="clear" w:color="auto" w:fill="FFFFFF"/>
            <w:vAlign w:val="center"/>
          </w:tcPr>
          <w:p w14:paraId="5E45CF55">
            <w:pPr>
              <w:jc w:val="center"/>
              <w:rPr>
                <w:rFonts w:ascii="宋体" w:hAnsi="宋体" w:cs="宋体"/>
                <w:b/>
                <w:bCs/>
                <w:color w:val="auto"/>
                <w:szCs w:val="21"/>
              </w:rPr>
            </w:pPr>
            <w:r>
              <w:rPr>
                <w:rFonts w:hint="eastAsia" w:ascii="宋体" w:hAnsi="宋体" w:cs="宋体"/>
                <w:b/>
                <w:bCs/>
                <w:color w:val="auto"/>
                <w:szCs w:val="21"/>
              </w:rPr>
              <w:t>工作人</w:t>
            </w:r>
          </w:p>
          <w:p w14:paraId="4BE90006">
            <w:pPr>
              <w:jc w:val="center"/>
              <w:rPr>
                <w:rFonts w:ascii="宋体" w:hAnsi="宋体" w:cs="宋体"/>
                <w:b/>
                <w:bCs/>
                <w:color w:val="auto"/>
                <w:szCs w:val="21"/>
              </w:rPr>
            </w:pPr>
            <w:r>
              <w:rPr>
                <w:rFonts w:hint="eastAsia" w:ascii="宋体" w:hAnsi="宋体" w:cs="宋体"/>
                <w:b/>
                <w:bCs/>
                <w:color w:val="auto"/>
                <w:szCs w:val="21"/>
              </w:rPr>
              <w:t>员手</w:t>
            </w:r>
          </w:p>
        </w:tc>
      </w:tr>
      <w:tr w14:paraId="29F4F3BE">
        <w:tblPrEx>
          <w:tblCellMar>
            <w:top w:w="0" w:type="dxa"/>
            <w:left w:w="10" w:type="dxa"/>
            <w:bottom w:w="0" w:type="dxa"/>
            <w:right w:w="10" w:type="dxa"/>
          </w:tblCellMar>
        </w:tblPrEx>
        <w:trPr>
          <w:trHeight w:val="667" w:hRule="exact"/>
          <w:jc w:val="center"/>
        </w:trPr>
        <w:tc>
          <w:tcPr>
            <w:tcW w:w="673" w:type="dxa"/>
            <w:tcBorders>
              <w:top w:val="single" w:color="auto" w:sz="4" w:space="0"/>
              <w:left w:val="single" w:color="auto" w:sz="4" w:space="0"/>
            </w:tcBorders>
            <w:shd w:val="clear" w:color="auto" w:fill="FFFFFF"/>
            <w:vAlign w:val="center"/>
          </w:tcPr>
          <w:p w14:paraId="0340170F">
            <w:pPr>
              <w:jc w:val="center"/>
              <w:rPr>
                <w:rFonts w:ascii="宋体" w:hAnsi="宋体" w:cs="宋体"/>
                <w:color w:val="auto"/>
                <w:szCs w:val="21"/>
              </w:rPr>
            </w:pPr>
            <w:r>
              <w:rPr>
                <w:rFonts w:hint="eastAsia" w:ascii="宋体" w:hAnsi="宋体" w:cs="宋体"/>
                <w:color w:val="auto"/>
                <w:szCs w:val="21"/>
              </w:rPr>
              <w:t>1类</w:t>
            </w:r>
          </w:p>
        </w:tc>
        <w:tc>
          <w:tcPr>
            <w:tcW w:w="4411" w:type="dxa"/>
            <w:tcBorders>
              <w:top w:val="single" w:color="auto" w:sz="4" w:space="0"/>
              <w:left w:val="single" w:color="auto" w:sz="4" w:space="0"/>
            </w:tcBorders>
            <w:shd w:val="clear" w:color="auto" w:fill="FFFFFF"/>
            <w:vAlign w:val="center"/>
          </w:tcPr>
          <w:p w14:paraId="3A7FF908">
            <w:pPr>
              <w:jc w:val="center"/>
              <w:rPr>
                <w:rFonts w:ascii="宋体" w:hAnsi="宋体" w:cs="宋体"/>
                <w:color w:val="auto"/>
                <w:szCs w:val="21"/>
              </w:rPr>
            </w:pPr>
            <w:r>
              <w:rPr>
                <w:rFonts w:hint="eastAsia" w:ascii="宋体" w:hAnsi="宋体" w:cs="宋体"/>
                <w:color w:val="auto"/>
                <w:szCs w:val="21"/>
              </w:rPr>
              <w:t>层流洁净手术室、层流洁净病房</w:t>
            </w:r>
          </w:p>
        </w:tc>
        <w:tc>
          <w:tcPr>
            <w:tcW w:w="1065" w:type="dxa"/>
            <w:tcBorders>
              <w:top w:val="single" w:color="auto" w:sz="4" w:space="0"/>
              <w:left w:val="single" w:color="auto" w:sz="4" w:space="0"/>
            </w:tcBorders>
            <w:shd w:val="clear" w:color="auto" w:fill="FFFFFF"/>
            <w:vAlign w:val="center"/>
          </w:tcPr>
          <w:p w14:paraId="645384BA">
            <w:pPr>
              <w:jc w:val="center"/>
              <w:rPr>
                <w:rFonts w:ascii="宋体" w:hAnsi="宋体" w:cs="宋体"/>
                <w:color w:val="auto"/>
                <w:szCs w:val="21"/>
              </w:rPr>
            </w:pPr>
            <w:r>
              <w:rPr>
                <w:rFonts w:hint="eastAsia" w:ascii="宋体" w:hAnsi="宋体" w:cs="宋体"/>
                <w:color w:val="auto"/>
                <w:szCs w:val="21"/>
                <w:lang w:eastAsia="en-US"/>
              </w:rPr>
              <w:t>≦10</w:t>
            </w:r>
          </w:p>
        </w:tc>
        <w:tc>
          <w:tcPr>
            <w:tcW w:w="1305" w:type="dxa"/>
            <w:tcBorders>
              <w:top w:val="single" w:color="auto" w:sz="4" w:space="0"/>
              <w:left w:val="single" w:color="auto" w:sz="4" w:space="0"/>
            </w:tcBorders>
            <w:shd w:val="clear" w:color="auto" w:fill="FFFFFF"/>
            <w:vAlign w:val="center"/>
          </w:tcPr>
          <w:p w14:paraId="09AA6F7E">
            <w:pPr>
              <w:jc w:val="center"/>
              <w:rPr>
                <w:rFonts w:ascii="宋体" w:hAnsi="宋体" w:cs="宋体"/>
                <w:color w:val="auto"/>
                <w:szCs w:val="21"/>
              </w:rPr>
            </w:pPr>
            <w:r>
              <w:rPr>
                <w:rFonts w:hint="eastAsia" w:ascii="宋体" w:hAnsi="宋体" w:cs="宋体"/>
                <w:color w:val="auto"/>
                <w:szCs w:val="21"/>
                <w:lang w:eastAsia="en-US"/>
              </w:rPr>
              <w:t>≦5</w:t>
            </w:r>
          </w:p>
        </w:tc>
        <w:tc>
          <w:tcPr>
            <w:tcW w:w="861" w:type="dxa"/>
            <w:tcBorders>
              <w:top w:val="single" w:color="auto" w:sz="4" w:space="0"/>
              <w:left w:val="single" w:color="auto" w:sz="4" w:space="0"/>
              <w:right w:val="single" w:color="auto" w:sz="4" w:space="0"/>
            </w:tcBorders>
            <w:shd w:val="clear" w:color="auto" w:fill="FFFFFF"/>
            <w:vAlign w:val="center"/>
          </w:tcPr>
          <w:p w14:paraId="04862A79">
            <w:pPr>
              <w:jc w:val="center"/>
              <w:rPr>
                <w:rFonts w:ascii="宋体" w:hAnsi="宋体" w:cs="宋体"/>
                <w:color w:val="auto"/>
                <w:szCs w:val="21"/>
              </w:rPr>
            </w:pPr>
            <w:r>
              <w:rPr>
                <w:rFonts w:hint="eastAsia" w:ascii="宋体" w:hAnsi="宋体" w:cs="宋体"/>
                <w:color w:val="auto"/>
                <w:szCs w:val="21"/>
                <w:lang w:eastAsia="en-US"/>
              </w:rPr>
              <w:t>≦5</w:t>
            </w:r>
          </w:p>
        </w:tc>
      </w:tr>
      <w:tr w14:paraId="6427268A">
        <w:tblPrEx>
          <w:tblCellMar>
            <w:top w:w="0" w:type="dxa"/>
            <w:left w:w="10" w:type="dxa"/>
            <w:bottom w:w="0" w:type="dxa"/>
            <w:right w:w="10" w:type="dxa"/>
          </w:tblCellMar>
        </w:tblPrEx>
        <w:trPr>
          <w:trHeight w:val="1711" w:hRule="exact"/>
          <w:jc w:val="center"/>
        </w:trPr>
        <w:tc>
          <w:tcPr>
            <w:tcW w:w="673" w:type="dxa"/>
            <w:tcBorders>
              <w:top w:val="single" w:color="auto" w:sz="4" w:space="0"/>
              <w:left w:val="single" w:color="auto" w:sz="4" w:space="0"/>
            </w:tcBorders>
            <w:shd w:val="clear" w:color="auto" w:fill="FFFFFF"/>
            <w:vAlign w:val="center"/>
          </w:tcPr>
          <w:p w14:paraId="4E87CD41">
            <w:pPr>
              <w:jc w:val="center"/>
              <w:rPr>
                <w:rFonts w:ascii="宋体" w:hAnsi="宋体" w:cs="宋体"/>
                <w:color w:val="auto"/>
                <w:szCs w:val="21"/>
              </w:rPr>
            </w:pPr>
            <w:r>
              <w:rPr>
                <w:rFonts w:hint="eastAsia" w:ascii="宋体" w:hAnsi="宋体" w:cs="宋体"/>
                <w:color w:val="auto"/>
                <w:szCs w:val="21"/>
              </w:rPr>
              <w:t>II类</w:t>
            </w:r>
          </w:p>
        </w:tc>
        <w:tc>
          <w:tcPr>
            <w:tcW w:w="4411" w:type="dxa"/>
            <w:tcBorders>
              <w:top w:val="single" w:color="auto" w:sz="4" w:space="0"/>
              <w:left w:val="single" w:color="auto" w:sz="4" w:space="0"/>
            </w:tcBorders>
            <w:shd w:val="clear" w:color="auto" w:fill="FFFFFF"/>
            <w:vAlign w:val="center"/>
          </w:tcPr>
          <w:p w14:paraId="206C35F8">
            <w:pPr>
              <w:jc w:val="center"/>
              <w:rPr>
                <w:rFonts w:ascii="宋体" w:hAnsi="宋体" w:cs="宋体"/>
                <w:color w:val="auto"/>
                <w:szCs w:val="21"/>
              </w:rPr>
            </w:pPr>
            <w:r>
              <w:rPr>
                <w:rFonts w:hint="eastAsia" w:ascii="宋体" w:hAnsi="宋体" w:cs="宋体"/>
                <w:color w:val="auto"/>
                <w:szCs w:val="21"/>
              </w:rPr>
              <w:t>普通病房、产房、婴儿室、早产儿室、普通保护性隔</w:t>
            </w:r>
          </w:p>
          <w:p w14:paraId="7ED5ABE5">
            <w:pPr>
              <w:jc w:val="center"/>
              <w:rPr>
                <w:rFonts w:ascii="宋体" w:hAnsi="宋体" w:cs="宋体"/>
                <w:color w:val="auto"/>
                <w:szCs w:val="21"/>
              </w:rPr>
            </w:pPr>
            <w:r>
              <w:rPr>
                <w:rFonts w:hint="eastAsia" w:ascii="宋体" w:hAnsi="宋体" w:cs="宋体"/>
                <w:color w:val="auto"/>
                <w:szCs w:val="21"/>
              </w:rPr>
              <w:t>离室、供应无菌室、烧伤病房、重症监护室</w:t>
            </w:r>
          </w:p>
        </w:tc>
        <w:tc>
          <w:tcPr>
            <w:tcW w:w="1065" w:type="dxa"/>
            <w:tcBorders>
              <w:top w:val="single" w:color="auto" w:sz="4" w:space="0"/>
              <w:left w:val="single" w:color="auto" w:sz="4" w:space="0"/>
            </w:tcBorders>
            <w:shd w:val="clear" w:color="auto" w:fill="FFFFFF"/>
            <w:vAlign w:val="center"/>
          </w:tcPr>
          <w:p w14:paraId="3171E94C">
            <w:pPr>
              <w:jc w:val="center"/>
              <w:rPr>
                <w:rFonts w:ascii="宋体" w:hAnsi="宋体" w:cs="宋体"/>
                <w:color w:val="auto"/>
                <w:szCs w:val="21"/>
              </w:rPr>
            </w:pPr>
            <w:r>
              <w:rPr>
                <w:rFonts w:hint="eastAsia" w:ascii="宋体" w:hAnsi="宋体" w:cs="宋体"/>
                <w:color w:val="auto"/>
                <w:szCs w:val="21"/>
                <w:lang w:eastAsia="en-US"/>
              </w:rPr>
              <w:t>≦200</w:t>
            </w:r>
          </w:p>
        </w:tc>
        <w:tc>
          <w:tcPr>
            <w:tcW w:w="1305" w:type="dxa"/>
            <w:tcBorders>
              <w:top w:val="single" w:color="auto" w:sz="4" w:space="0"/>
              <w:left w:val="single" w:color="auto" w:sz="4" w:space="0"/>
            </w:tcBorders>
            <w:shd w:val="clear" w:color="auto" w:fill="FFFFFF"/>
            <w:vAlign w:val="center"/>
          </w:tcPr>
          <w:p w14:paraId="1AE025AE">
            <w:pPr>
              <w:jc w:val="center"/>
              <w:rPr>
                <w:rFonts w:ascii="宋体" w:hAnsi="宋体" w:cs="宋体"/>
                <w:color w:val="auto"/>
                <w:szCs w:val="21"/>
              </w:rPr>
            </w:pPr>
            <w:r>
              <w:rPr>
                <w:rFonts w:hint="eastAsia" w:ascii="宋体" w:hAnsi="宋体" w:cs="宋体"/>
                <w:color w:val="auto"/>
                <w:szCs w:val="21"/>
                <w:lang w:eastAsia="en-US"/>
              </w:rPr>
              <w:t>≦5</w:t>
            </w:r>
          </w:p>
        </w:tc>
        <w:tc>
          <w:tcPr>
            <w:tcW w:w="861" w:type="dxa"/>
            <w:tcBorders>
              <w:top w:val="single" w:color="auto" w:sz="4" w:space="0"/>
              <w:left w:val="single" w:color="auto" w:sz="4" w:space="0"/>
              <w:right w:val="single" w:color="auto" w:sz="4" w:space="0"/>
            </w:tcBorders>
            <w:shd w:val="clear" w:color="auto" w:fill="FFFFFF"/>
            <w:vAlign w:val="center"/>
          </w:tcPr>
          <w:p w14:paraId="58E7C122">
            <w:pPr>
              <w:jc w:val="center"/>
              <w:rPr>
                <w:rFonts w:ascii="宋体" w:hAnsi="宋体" w:cs="宋体"/>
                <w:color w:val="auto"/>
                <w:szCs w:val="21"/>
              </w:rPr>
            </w:pPr>
            <w:r>
              <w:rPr>
                <w:rFonts w:hint="eastAsia" w:ascii="宋体" w:hAnsi="宋体" w:cs="宋体"/>
                <w:color w:val="auto"/>
                <w:szCs w:val="21"/>
                <w:lang w:eastAsia="en-US"/>
              </w:rPr>
              <w:t>≦5</w:t>
            </w:r>
          </w:p>
        </w:tc>
      </w:tr>
      <w:tr w14:paraId="571F382E">
        <w:tblPrEx>
          <w:tblCellMar>
            <w:top w:w="0" w:type="dxa"/>
            <w:left w:w="10" w:type="dxa"/>
            <w:bottom w:w="0" w:type="dxa"/>
            <w:right w:w="10" w:type="dxa"/>
          </w:tblCellMar>
        </w:tblPrEx>
        <w:trPr>
          <w:trHeight w:val="1753" w:hRule="exact"/>
          <w:jc w:val="center"/>
        </w:trPr>
        <w:tc>
          <w:tcPr>
            <w:tcW w:w="673" w:type="dxa"/>
            <w:tcBorders>
              <w:top w:val="single" w:color="auto" w:sz="4" w:space="0"/>
              <w:left w:val="single" w:color="auto" w:sz="4" w:space="0"/>
            </w:tcBorders>
            <w:shd w:val="clear" w:color="auto" w:fill="FFFFFF"/>
            <w:vAlign w:val="center"/>
          </w:tcPr>
          <w:p w14:paraId="504529CC">
            <w:pPr>
              <w:jc w:val="center"/>
              <w:rPr>
                <w:rFonts w:ascii="宋体" w:hAnsi="宋体" w:cs="宋体"/>
                <w:color w:val="auto"/>
                <w:szCs w:val="21"/>
              </w:rPr>
            </w:pPr>
            <w:r>
              <w:rPr>
                <w:rFonts w:hint="eastAsia" w:ascii="宋体" w:hAnsi="宋体" w:cs="宋体"/>
                <w:color w:val="auto"/>
                <w:szCs w:val="21"/>
                <w:lang w:eastAsia="en-US"/>
              </w:rPr>
              <w:t>III</w:t>
            </w:r>
            <w:r>
              <w:rPr>
                <w:rFonts w:hint="eastAsia" w:ascii="宋体" w:hAnsi="宋体" w:cs="宋体"/>
                <w:color w:val="auto"/>
                <w:szCs w:val="21"/>
              </w:rPr>
              <w:t>类</w:t>
            </w:r>
          </w:p>
        </w:tc>
        <w:tc>
          <w:tcPr>
            <w:tcW w:w="4411" w:type="dxa"/>
            <w:tcBorders>
              <w:top w:val="single" w:color="auto" w:sz="4" w:space="0"/>
              <w:left w:val="single" w:color="auto" w:sz="4" w:space="0"/>
            </w:tcBorders>
            <w:shd w:val="clear" w:color="auto" w:fill="FFFFFF"/>
            <w:vAlign w:val="center"/>
          </w:tcPr>
          <w:p w14:paraId="76C08D06">
            <w:pPr>
              <w:jc w:val="center"/>
              <w:rPr>
                <w:rFonts w:ascii="宋体" w:hAnsi="宋体" w:cs="宋体"/>
                <w:color w:val="auto"/>
                <w:szCs w:val="21"/>
              </w:rPr>
            </w:pPr>
            <w:r>
              <w:rPr>
                <w:rFonts w:hint="eastAsia" w:ascii="宋体" w:hAnsi="宋体" w:cs="宋体"/>
                <w:color w:val="auto"/>
                <w:szCs w:val="21"/>
              </w:rPr>
              <w:t>儿科病房、妇产科检查室、注射室、换药室、治疗室、 供应室、清洁室、急诊室、化验室、各类普通病房和 房间</w:t>
            </w:r>
          </w:p>
        </w:tc>
        <w:tc>
          <w:tcPr>
            <w:tcW w:w="1065" w:type="dxa"/>
            <w:tcBorders>
              <w:top w:val="single" w:color="auto" w:sz="4" w:space="0"/>
              <w:left w:val="single" w:color="auto" w:sz="4" w:space="0"/>
            </w:tcBorders>
            <w:shd w:val="clear" w:color="auto" w:fill="FFFFFF"/>
            <w:vAlign w:val="center"/>
          </w:tcPr>
          <w:p w14:paraId="57768262">
            <w:pPr>
              <w:jc w:val="center"/>
              <w:rPr>
                <w:rFonts w:ascii="宋体" w:hAnsi="宋体" w:cs="宋体"/>
                <w:color w:val="auto"/>
                <w:szCs w:val="21"/>
              </w:rPr>
            </w:pPr>
            <w:r>
              <w:rPr>
                <w:rFonts w:hint="eastAsia" w:ascii="宋体" w:hAnsi="宋体" w:cs="宋体"/>
                <w:color w:val="auto"/>
                <w:szCs w:val="21"/>
                <w:lang w:eastAsia="en-US"/>
              </w:rPr>
              <w:t>≦500</w:t>
            </w:r>
          </w:p>
        </w:tc>
        <w:tc>
          <w:tcPr>
            <w:tcW w:w="1305" w:type="dxa"/>
            <w:tcBorders>
              <w:top w:val="single" w:color="auto" w:sz="4" w:space="0"/>
              <w:left w:val="single" w:color="auto" w:sz="4" w:space="0"/>
            </w:tcBorders>
            <w:shd w:val="clear" w:color="auto" w:fill="FFFFFF"/>
            <w:vAlign w:val="center"/>
          </w:tcPr>
          <w:p w14:paraId="22E3AA06">
            <w:pPr>
              <w:jc w:val="center"/>
              <w:rPr>
                <w:rFonts w:ascii="宋体" w:hAnsi="宋体" w:cs="宋体"/>
                <w:color w:val="auto"/>
                <w:szCs w:val="21"/>
              </w:rPr>
            </w:pPr>
            <w:r>
              <w:rPr>
                <w:rFonts w:hint="eastAsia" w:ascii="宋体" w:hAnsi="宋体" w:cs="宋体"/>
                <w:color w:val="auto"/>
                <w:szCs w:val="21"/>
                <w:lang w:eastAsia="en-US"/>
              </w:rPr>
              <w:t>≦10</w:t>
            </w:r>
          </w:p>
        </w:tc>
        <w:tc>
          <w:tcPr>
            <w:tcW w:w="861" w:type="dxa"/>
            <w:tcBorders>
              <w:top w:val="single" w:color="auto" w:sz="4" w:space="0"/>
              <w:left w:val="single" w:color="auto" w:sz="4" w:space="0"/>
              <w:right w:val="single" w:color="auto" w:sz="4" w:space="0"/>
            </w:tcBorders>
            <w:shd w:val="clear" w:color="auto" w:fill="FFFFFF"/>
            <w:vAlign w:val="center"/>
          </w:tcPr>
          <w:p w14:paraId="44465B3F">
            <w:pPr>
              <w:jc w:val="center"/>
              <w:rPr>
                <w:rFonts w:ascii="宋体" w:hAnsi="宋体" w:cs="宋体"/>
                <w:color w:val="auto"/>
                <w:szCs w:val="21"/>
              </w:rPr>
            </w:pPr>
            <w:r>
              <w:rPr>
                <w:rFonts w:hint="eastAsia" w:ascii="宋体" w:hAnsi="宋体" w:cs="宋体"/>
                <w:color w:val="auto"/>
                <w:szCs w:val="21"/>
                <w:lang w:eastAsia="en-US"/>
              </w:rPr>
              <w:t>≦10</w:t>
            </w:r>
          </w:p>
        </w:tc>
      </w:tr>
      <w:tr w14:paraId="158EEFA8">
        <w:tblPrEx>
          <w:tblCellMar>
            <w:top w:w="0" w:type="dxa"/>
            <w:left w:w="10" w:type="dxa"/>
            <w:bottom w:w="0" w:type="dxa"/>
            <w:right w:w="10" w:type="dxa"/>
          </w:tblCellMar>
        </w:tblPrEx>
        <w:trPr>
          <w:trHeight w:val="862" w:hRule="exact"/>
          <w:jc w:val="center"/>
        </w:trPr>
        <w:tc>
          <w:tcPr>
            <w:tcW w:w="673" w:type="dxa"/>
            <w:tcBorders>
              <w:top w:val="single" w:color="auto" w:sz="4" w:space="0"/>
              <w:left w:val="single" w:color="auto" w:sz="4" w:space="0"/>
              <w:bottom w:val="single" w:color="auto" w:sz="4" w:space="0"/>
            </w:tcBorders>
            <w:shd w:val="clear" w:color="auto" w:fill="FFFFFF"/>
            <w:vAlign w:val="center"/>
          </w:tcPr>
          <w:p w14:paraId="27F2C54B">
            <w:pPr>
              <w:jc w:val="center"/>
              <w:rPr>
                <w:rFonts w:ascii="宋体" w:hAnsi="宋体" w:cs="宋体"/>
                <w:color w:val="auto"/>
                <w:szCs w:val="21"/>
              </w:rPr>
            </w:pPr>
            <w:r>
              <w:rPr>
                <w:rFonts w:hint="eastAsia" w:ascii="宋体" w:hAnsi="宋体" w:cs="宋体"/>
                <w:color w:val="auto"/>
                <w:szCs w:val="21"/>
              </w:rPr>
              <w:t>IV类</w:t>
            </w:r>
          </w:p>
        </w:tc>
        <w:tc>
          <w:tcPr>
            <w:tcW w:w="4411" w:type="dxa"/>
            <w:tcBorders>
              <w:top w:val="single" w:color="auto" w:sz="4" w:space="0"/>
              <w:left w:val="single" w:color="auto" w:sz="4" w:space="0"/>
              <w:bottom w:val="single" w:color="auto" w:sz="4" w:space="0"/>
            </w:tcBorders>
            <w:shd w:val="clear" w:color="auto" w:fill="FFFFFF"/>
            <w:vAlign w:val="center"/>
          </w:tcPr>
          <w:p w14:paraId="54DAEE7B">
            <w:pPr>
              <w:jc w:val="center"/>
              <w:rPr>
                <w:rFonts w:ascii="宋体" w:hAnsi="宋体" w:cs="宋体"/>
                <w:color w:val="auto"/>
                <w:szCs w:val="21"/>
              </w:rPr>
            </w:pPr>
            <w:r>
              <w:rPr>
                <w:rFonts w:hint="eastAsia" w:ascii="宋体" w:hAnsi="宋体" w:cs="宋体"/>
                <w:color w:val="auto"/>
                <w:szCs w:val="21"/>
              </w:rPr>
              <w:t>传染科病房</w:t>
            </w:r>
          </w:p>
        </w:tc>
        <w:tc>
          <w:tcPr>
            <w:tcW w:w="1065" w:type="dxa"/>
            <w:tcBorders>
              <w:top w:val="single" w:color="auto" w:sz="4" w:space="0"/>
              <w:left w:val="single" w:color="auto" w:sz="4" w:space="0"/>
              <w:bottom w:val="single" w:color="auto" w:sz="4" w:space="0"/>
            </w:tcBorders>
            <w:shd w:val="clear" w:color="auto" w:fill="FFFFFF"/>
            <w:vAlign w:val="center"/>
          </w:tcPr>
          <w:p w14:paraId="3A588334">
            <w:pPr>
              <w:jc w:val="center"/>
              <w:rPr>
                <w:rFonts w:ascii="宋体" w:hAnsi="宋体" w:cs="宋体"/>
                <w:color w:val="auto"/>
                <w:szCs w:val="21"/>
              </w:rPr>
            </w:pPr>
            <w:r>
              <w:rPr>
                <w:rFonts w:hint="eastAsia" w:ascii="宋体" w:hAnsi="宋体" w:cs="宋体"/>
                <w:color w:val="auto"/>
                <w:szCs w:val="21"/>
              </w:rPr>
              <w:t>—</w:t>
            </w:r>
          </w:p>
        </w:tc>
        <w:tc>
          <w:tcPr>
            <w:tcW w:w="1305" w:type="dxa"/>
            <w:tcBorders>
              <w:top w:val="single" w:color="auto" w:sz="4" w:space="0"/>
              <w:left w:val="single" w:color="auto" w:sz="4" w:space="0"/>
              <w:bottom w:val="single" w:color="auto" w:sz="4" w:space="0"/>
            </w:tcBorders>
            <w:shd w:val="clear" w:color="auto" w:fill="FFFFFF"/>
            <w:vAlign w:val="center"/>
          </w:tcPr>
          <w:p w14:paraId="5D5DC989">
            <w:pPr>
              <w:jc w:val="center"/>
              <w:rPr>
                <w:rFonts w:ascii="宋体" w:hAnsi="宋体" w:cs="宋体"/>
                <w:color w:val="auto"/>
                <w:szCs w:val="21"/>
              </w:rPr>
            </w:pPr>
            <w:r>
              <w:rPr>
                <w:rFonts w:hint="eastAsia" w:ascii="宋体" w:hAnsi="宋体" w:cs="宋体"/>
                <w:color w:val="auto"/>
                <w:szCs w:val="21"/>
                <w:lang w:eastAsia="en-US"/>
              </w:rPr>
              <w:t>≦15</w:t>
            </w:r>
          </w:p>
        </w:tc>
        <w:tc>
          <w:tcPr>
            <w:tcW w:w="861" w:type="dxa"/>
            <w:tcBorders>
              <w:top w:val="single" w:color="auto" w:sz="4" w:space="0"/>
              <w:left w:val="single" w:color="auto" w:sz="4" w:space="0"/>
              <w:bottom w:val="single" w:color="auto" w:sz="4" w:space="0"/>
              <w:right w:val="single" w:color="auto" w:sz="4" w:space="0"/>
            </w:tcBorders>
            <w:shd w:val="clear" w:color="auto" w:fill="FFFFFF"/>
            <w:vAlign w:val="center"/>
          </w:tcPr>
          <w:p w14:paraId="5AFC3B95">
            <w:pPr>
              <w:jc w:val="center"/>
              <w:rPr>
                <w:rFonts w:ascii="宋体" w:hAnsi="宋体" w:cs="宋体"/>
                <w:color w:val="auto"/>
                <w:szCs w:val="21"/>
              </w:rPr>
            </w:pPr>
            <w:r>
              <w:rPr>
                <w:rFonts w:hint="eastAsia" w:ascii="宋体" w:hAnsi="宋体" w:cs="宋体"/>
                <w:color w:val="auto"/>
                <w:szCs w:val="21"/>
                <w:lang w:eastAsia="en-US"/>
              </w:rPr>
              <w:t>≦15</w:t>
            </w:r>
          </w:p>
        </w:tc>
      </w:tr>
    </w:tbl>
    <w:p w14:paraId="2D194839">
      <w:pPr>
        <w:snapToGrid w:val="0"/>
        <w:spacing w:line="360" w:lineRule="auto"/>
        <w:ind w:right="315"/>
        <w:rPr>
          <w:rFonts w:ascii="宋体" w:hAnsi="宋体"/>
          <w:color w:val="auto"/>
          <w:szCs w:val="21"/>
        </w:rPr>
      </w:pPr>
    </w:p>
    <w:p w14:paraId="2244DE68">
      <w:pPr>
        <w:ind w:firstLine="422" w:firstLineChars="200"/>
        <w:rPr>
          <w:rFonts w:ascii="宋体" w:hAnsi="宋体" w:cs="宋体"/>
          <w:b/>
          <w:bCs/>
          <w:color w:val="auto"/>
        </w:rPr>
      </w:pPr>
      <w:r>
        <w:rPr>
          <w:rFonts w:hint="eastAsia" w:ascii="宋体" w:hAnsi="宋体" w:cs="宋体"/>
          <w:b/>
          <w:bCs/>
          <w:color w:val="auto"/>
        </w:rPr>
        <w:t>2、消毒规范</w:t>
      </w:r>
    </w:p>
    <w:p w14:paraId="506EEFD5">
      <w:pPr>
        <w:ind w:firstLine="422" w:firstLineChars="200"/>
        <w:rPr>
          <w:rFonts w:ascii="宋体" w:hAnsi="宋体" w:cs="宋体"/>
          <w:b/>
          <w:bCs/>
          <w:color w:val="auto"/>
        </w:rPr>
      </w:pPr>
      <w:r>
        <w:rPr>
          <w:rFonts w:hint="eastAsia" w:ascii="宋体" w:hAnsi="宋体" w:cs="宋体"/>
          <w:b/>
          <w:bCs/>
          <w:color w:val="auto"/>
        </w:rPr>
        <w:t>（1）操作注意事项</w:t>
      </w:r>
    </w:p>
    <w:p w14:paraId="51342250">
      <w:pPr>
        <w:ind w:firstLine="420" w:firstLineChars="200"/>
        <w:rPr>
          <w:rFonts w:ascii="宋体" w:hAnsi="宋体" w:cs="宋体"/>
          <w:color w:val="auto"/>
        </w:rPr>
      </w:pPr>
      <w:r>
        <w:rPr>
          <w:rFonts w:hint="eastAsia" w:ascii="宋体" w:hAnsi="宋体" w:cs="宋体"/>
          <w:color w:val="auto"/>
        </w:rPr>
        <w:t>①操作前后要洗手，尤其不得戴手套触摸己清洁的物品、用具。</w:t>
      </w:r>
    </w:p>
    <w:p w14:paraId="24D43169">
      <w:pPr>
        <w:ind w:firstLine="420" w:firstLineChars="200"/>
        <w:rPr>
          <w:rFonts w:ascii="宋体" w:hAnsi="宋体" w:cs="宋体"/>
          <w:color w:val="auto"/>
        </w:rPr>
      </w:pPr>
      <w:r>
        <w:rPr>
          <w:rFonts w:hint="eastAsia" w:ascii="宋体" w:hAnsi="宋体" w:cs="宋体"/>
          <w:color w:val="auto"/>
        </w:rPr>
        <w:t>②对日常使用的医疗设施，应在每次使用后对其进行擦拭消毒。</w:t>
      </w:r>
    </w:p>
    <w:p w14:paraId="155E58E4">
      <w:pPr>
        <w:ind w:firstLine="420" w:firstLineChars="200"/>
        <w:rPr>
          <w:rFonts w:ascii="宋体" w:hAnsi="宋体" w:cs="宋体"/>
          <w:color w:val="auto"/>
        </w:rPr>
      </w:pPr>
      <w:r>
        <w:rPr>
          <w:rFonts w:hint="eastAsia" w:ascii="宋体" w:hAnsi="宋体" w:cs="宋体"/>
          <w:color w:val="auto"/>
        </w:rPr>
        <w:t>③在对传染性物品进行擦拭消毒时，应严格执行一人一巾一用一消毒的原则。当院方有要求 时，对相关无传染性的物品也应遵循一人一巾一用消毒的要求对相关物品进行消毒。</w:t>
      </w:r>
    </w:p>
    <w:p w14:paraId="1833B66A">
      <w:pPr>
        <w:ind w:firstLine="420" w:firstLineChars="200"/>
        <w:rPr>
          <w:rFonts w:ascii="宋体" w:hAnsi="宋体" w:cs="宋体"/>
          <w:color w:val="auto"/>
        </w:rPr>
      </w:pPr>
      <w:r>
        <w:rPr>
          <w:rFonts w:hint="eastAsia" w:ascii="宋体" w:hAnsi="宋体" w:cs="宋体"/>
          <w:color w:val="auto"/>
        </w:rPr>
        <w:t>④在整理相关物品时，应注意将无菌物与污染物分开放置，污物与垃圾分开。</w:t>
      </w:r>
    </w:p>
    <w:p w14:paraId="380CC9C7">
      <w:pPr>
        <w:ind w:firstLine="420" w:firstLineChars="200"/>
        <w:rPr>
          <w:rFonts w:ascii="宋体" w:hAnsi="宋体" w:cs="宋体"/>
          <w:color w:val="auto"/>
        </w:rPr>
      </w:pPr>
      <w:r>
        <w:rPr>
          <w:rFonts w:hint="eastAsia" w:ascii="宋体" w:hAnsi="宋体" w:cs="宋体"/>
          <w:color w:val="auto"/>
        </w:rPr>
        <w:t>⑤使用相关含氯消毒剂时，一般情况下应做到现用现配。需要时，应按要求定期配制消毒液， 配制时应做到按比例精确配制。</w:t>
      </w:r>
    </w:p>
    <w:p w14:paraId="162F581D">
      <w:pPr>
        <w:rPr>
          <w:rFonts w:ascii="宋体" w:hAnsi="宋体" w:cs="宋体"/>
          <w:color w:val="auto"/>
        </w:rPr>
      </w:pPr>
      <w:r>
        <w:rPr>
          <w:rFonts w:hint="eastAsia" w:ascii="宋体" w:hAnsi="宋体" w:cs="宋体"/>
          <w:color w:val="auto"/>
        </w:rPr>
        <w:t>消毒作业完毕后，应将其记录在《病区消毒记录表）/《消毒记录表》中。</w:t>
      </w:r>
    </w:p>
    <w:p w14:paraId="565865D3">
      <w:pPr>
        <w:ind w:firstLine="420" w:firstLineChars="200"/>
        <w:rPr>
          <w:rFonts w:ascii="宋体" w:hAnsi="宋体" w:cs="宋体"/>
          <w:color w:val="auto"/>
        </w:rPr>
      </w:pPr>
      <w:r>
        <w:rPr>
          <w:rFonts w:hint="eastAsia" w:ascii="宋体" w:hAnsi="宋体" w:cs="宋体"/>
          <w:color w:val="auto"/>
        </w:rPr>
        <w:t>⑥凡一次性医疗卫生用品使用后，必须在浸泡消毒后进行毁形和无公害化处理。</w:t>
      </w:r>
    </w:p>
    <w:p w14:paraId="2454578D">
      <w:pPr>
        <w:ind w:firstLine="420" w:firstLineChars="200"/>
        <w:rPr>
          <w:rFonts w:ascii="宋体" w:hAnsi="宋体" w:cs="宋体"/>
          <w:color w:val="auto"/>
        </w:rPr>
      </w:pPr>
      <w:r>
        <w:rPr>
          <w:rFonts w:hint="eastAsia" w:ascii="宋体" w:hAnsi="宋体" w:cs="宋体"/>
          <w:color w:val="auto"/>
        </w:rPr>
        <w:t>⑦对特珠传染病人要严密隔离。</w:t>
      </w:r>
    </w:p>
    <w:p w14:paraId="5B82556C">
      <w:pPr>
        <w:ind w:firstLine="420" w:firstLineChars="200"/>
        <w:rPr>
          <w:rFonts w:ascii="宋体" w:hAnsi="宋体" w:cs="宋体"/>
          <w:color w:val="auto"/>
        </w:rPr>
      </w:pPr>
      <w:r>
        <w:rPr>
          <w:rFonts w:hint="eastAsia" w:ascii="宋体" w:hAnsi="宋体" w:cs="宋体"/>
          <w:color w:val="auto"/>
        </w:rPr>
        <w:t>⑧医用垃圾和普通垃圾分开放，生活垃圾用黑色垃圾袋、医用拉圾用黄色垃圾袋、传染性垃 圾用红色境圾袋、损伤性垃圾用绿色垃圾袋。按时放到指定的地点。</w:t>
      </w:r>
    </w:p>
    <w:p w14:paraId="5791966C">
      <w:pPr>
        <w:ind w:firstLine="420" w:firstLineChars="200"/>
        <w:rPr>
          <w:rFonts w:ascii="宋体" w:hAnsi="宋体" w:cs="宋体"/>
          <w:color w:val="auto"/>
        </w:rPr>
      </w:pPr>
      <w:r>
        <w:rPr>
          <w:rFonts w:hint="eastAsia" w:ascii="宋体" w:hAnsi="宋体" w:cs="宋体"/>
          <w:color w:val="auto"/>
        </w:rPr>
        <w:t>⑨未列出的相关医用科室，均采用500mg / L的含消毒剂对其相关没施和物品进行擦拭消毒。</w:t>
      </w:r>
    </w:p>
    <w:p w14:paraId="3F73BE26">
      <w:pPr>
        <w:ind w:firstLine="422" w:firstLineChars="200"/>
        <w:rPr>
          <w:rFonts w:ascii="宋体" w:hAnsi="宋体" w:cs="宋体"/>
          <w:b/>
          <w:bCs/>
          <w:color w:val="auto"/>
        </w:rPr>
      </w:pPr>
      <w:r>
        <w:rPr>
          <w:rFonts w:hint="eastAsia" w:ascii="宋体" w:hAnsi="宋体" w:cs="宋体"/>
          <w:b/>
          <w:bCs/>
          <w:color w:val="auto"/>
        </w:rPr>
        <w:t>（2）共性消毒规范</w:t>
      </w:r>
    </w:p>
    <w:p w14:paraId="1887E08E">
      <w:pPr>
        <w:ind w:firstLine="420" w:firstLineChars="200"/>
        <w:rPr>
          <w:rFonts w:ascii="宋体" w:hAnsi="宋体" w:cs="宋体"/>
          <w:color w:val="auto"/>
        </w:rPr>
      </w:pPr>
      <w:r>
        <w:rPr>
          <w:rFonts w:hint="eastAsia" w:ascii="宋体" w:hAnsi="宋体" w:cs="宋体"/>
          <w:color w:val="auto"/>
        </w:rPr>
        <w:t>①观察室、抢救室、治疗室、重症监护室空气消毒同诊室的消毒，地面湿式清扫，保持清洁， 遇污染时随时清毒。</w:t>
      </w:r>
    </w:p>
    <w:p w14:paraId="1188479D">
      <w:pPr>
        <w:ind w:firstLine="420" w:firstLineChars="200"/>
        <w:rPr>
          <w:rFonts w:ascii="宋体" w:hAnsi="宋体" w:cs="宋体"/>
          <w:color w:val="auto"/>
        </w:rPr>
      </w:pPr>
      <w:r>
        <w:rPr>
          <w:rFonts w:hint="eastAsia" w:ascii="宋体" w:hAnsi="宋体" w:cs="宋体"/>
          <w:color w:val="auto"/>
        </w:rPr>
        <w:t>②床头柜一桌一抹布，用后用有效氯1000mg/L的含氯消毒剂浸泡消毒，每日擦拭2次，即 要求一桌一抹布，一用一消毒，病人出院、转归随时清洁消毒。</w:t>
      </w:r>
    </w:p>
    <w:p w14:paraId="2335C7CD">
      <w:pPr>
        <w:ind w:firstLine="420" w:firstLineChars="200"/>
        <w:rPr>
          <w:rFonts w:ascii="宋体" w:hAnsi="宋体" w:cs="宋体"/>
          <w:color w:val="auto"/>
        </w:rPr>
      </w:pPr>
      <w:r>
        <w:rPr>
          <w:rFonts w:hint="eastAsia" w:ascii="宋体" w:hAnsi="宋体" w:cs="宋体"/>
          <w:color w:val="auto"/>
        </w:rPr>
        <w:t>③诊察床、诊桌、平车、轮椅每日消毒1 — 2次，被血液、体液污染时及时用有效氯2000mg/L 的含氯消毒液消毒。</w:t>
      </w:r>
    </w:p>
    <w:p w14:paraId="4484B073">
      <w:pPr>
        <w:ind w:firstLine="420" w:firstLineChars="200"/>
        <w:rPr>
          <w:rFonts w:ascii="宋体" w:hAnsi="宋体" w:cs="宋体"/>
          <w:color w:val="auto"/>
        </w:rPr>
      </w:pPr>
      <w:r>
        <w:rPr>
          <w:rFonts w:hint="eastAsia" w:ascii="宋体" w:hAnsi="宋体" w:cs="宋体"/>
          <w:color w:val="auto"/>
        </w:rPr>
        <w:t>④卫生洁具分开使用，治疗室、办公室、病房、卫生间分别设置专用拖布，标记明确，分开 清洗，用后消毒，悬挂晾干备用。</w:t>
      </w:r>
    </w:p>
    <w:p w14:paraId="5391154D">
      <w:pPr>
        <w:ind w:firstLine="420" w:firstLineChars="200"/>
        <w:rPr>
          <w:rFonts w:ascii="宋体" w:hAnsi="宋体" w:cs="宋体"/>
          <w:color w:val="auto"/>
        </w:rPr>
      </w:pPr>
      <w:r>
        <w:rPr>
          <w:rFonts w:hint="eastAsia" w:ascii="宋体" w:hAnsi="宋体" w:cs="宋体"/>
          <w:color w:val="auto"/>
        </w:rPr>
        <w:t>⑤特殊保洁场所要求配备专用清洁工具，即一室一拖把，一桌一抹布，用后立即清洗消毒。</w:t>
      </w:r>
    </w:p>
    <w:p w14:paraId="19AE6162">
      <w:pPr>
        <w:ind w:firstLine="420" w:firstLineChars="200"/>
        <w:rPr>
          <w:rFonts w:ascii="宋体" w:hAnsi="宋体" w:cs="宋体"/>
          <w:color w:val="auto"/>
        </w:rPr>
      </w:pPr>
      <w:r>
        <w:rPr>
          <w:rFonts w:hint="eastAsia" w:ascii="宋体" w:hAnsi="宋体" w:cs="宋体"/>
          <w:color w:val="auto"/>
        </w:rPr>
        <w:t>⑥要有正规的清洁车，避免保洁用品乱放消毒各种清洁用具分区固定使用。</w:t>
      </w:r>
    </w:p>
    <w:p w14:paraId="314F4A23">
      <w:pPr>
        <w:ind w:firstLine="420" w:firstLineChars="200"/>
        <w:rPr>
          <w:rFonts w:ascii="宋体" w:hAnsi="宋体" w:cs="宋体"/>
          <w:color w:val="auto"/>
        </w:rPr>
      </w:pPr>
      <w:r>
        <w:rPr>
          <w:rFonts w:hint="eastAsia" w:ascii="宋体" w:hAnsi="宋体" w:cs="宋体"/>
          <w:color w:val="auto"/>
        </w:rPr>
        <w:t>⑦生活垃圾置黑色塑料袋内，医疗垃圾置黄色垃圾袋运至指定地点。生活医疗垃圾日产日清。</w:t>
      </w:r>
    </w:p>
    <w:p w14:paraId="01676D8D">
      <w:pPr>
        <w:ind w:firstLine="422" w:firstLineChars="200"/>
        <w:rPr>
          <w:rFonts w:ascii="宋体" w:hAnsi="宋体" w:cs="宋体"/>
          <w:b/>
          <w:bCs/>
          <w:color w:val="auto"/>
        </w:rPr>
      </w:pPr>
      <w:r>
        <w:rPr>
          <w:rFonts w:hint="eastAsia" w:ascii="宋体" w:hAnsi="宋体" w:cs="宋体"/>
          <w:b/>
          <w:bCs/>
          <w:color w:val="auto"/>
        </w:rPr>
        <w:t>（3）门诊消毒隔离规范</w:t>
      </w:r>
    </w:p>
    <w:p w14:paraId="5FF5542F">
      <w:pPr>
        <w:ind w:firstLine="420" w:firstLineChars="200"/>
        <w:rPr>
          <w:rFonts w:ascii="宋体" w:hAnsi="宋体" w:cs="宋体"/>
          <w:color w:val="auto"/>
        </w:rPr>
      </w:pPr>
      <w:r>
        <w:rPr>
          <w:rFonts w:hint="eastAsia" w:ascii="宋体" w:hAnsi="宋体" w:cs="宋体"/>
          <w:color w:val="auto"/>
        </w:rPr>
        <w:t>①门诊候诊室必须保持清洁，地面、门窗、内壁每日进行湿式清擦2次，</w:t>
      </w:r>
    </w:p>
    <w:p w14:paraId="5C3824CE">
      <w:pPr>
        <w:ind w:firstLine="420" w:firstLineChars="200"/>
        <w:rPr>
          <w:rFonts w:ascii="宋体" w:hAnsi="宋体" w:cs="宋体"/>
          <w:color w:val="auto"/>
        </w:rPr>
      </w:pPr>
      <w:r>
        <w:rPr>
          <w:rFonts w:hint="eastAsia" w:ascii="宋体" w:hAnsi="宋体" w:cs="宋体"/>
          <w:color w:val="auto"/>
        </w:rPr>
        <w:t>②门诊每天进行空气消毒两次。</w:t>
      </w:r>
    </w:p>
    <w:p w14:paraId="6C3D4057">
      <w:pPr>
        <w:ind w:firstLine="420" w:firstLineChars="200"/>
        <w:rPr>
          <w:rFonts w:ascii="宋体" w:hAnsi="宋体" w:cs="宋体"/>
          <w:color w:val="auto"/>
        </w:rPr>
      </w:pPr>
      <w:r>
        <w:rPr>
          <w:rFonts w:hint="eastAsia" w:ascii="宋体" w:hAnsi="宋体" w:cs="宋体"/>
          <w:color w:val="auto"/>
        </w:rPr>
        <w:t>③门诊观察室要保持空气新鲜，经常通风换气，室内要经常进行消毒，如有污染，随即清除 和消毒，对不明高热病人或疑似传染病人，在病人离开后要进行彻底消毒。</w:t>
      </w:r>
    </w:p>
    <w:p w14:paraId="41A3315B">
      <w:pPr>
        <w:ind w:firstLine="420" w:firstLineChars="200"/>
        <w:rPr>
          <w:rFonts w:ascii="宋体" w:hAnsi="宋体" w:cs="宋体"/>
          <w:color w:val="auto"/>
        </w:rPr>
      </w:pPr>
      <w:r>
        <w:rPr>
          <w:rFonts w:hint="eastAsia" w:ascii="宋体" w:hAnsi="宋体" w:cs="宋体"/>
          <w:color w:val="auto"/>
        </w:rPr>
        <w:t>④卫生间必须保持洁净。每天由卫生员进行两次消毒，卫生间地面及便池内外，不准带有污 染痕迹，如有病人排泄物等，应即消除和消毒。</w:t>
      </w:r>
    </w:p>
    <w:p w14:paraId="5A615FE7">
      <w:pPr>
        <w:ind w:firstLine="420" w:firstLineChars="200"/>
        <w:rPr>
          <w:rFonts w:ascii="宋体" w:hAnsi="宋体" w:cs="宋体"/>
          <w:color w:val="auto"/>
        </w:rPr>
      </w:pPr>
      <w:r>
        <w:rPr>
          <w:rFonts w:hint="eastAsia" w:ascii="宋体" w:hAnsi="宋体" w:cs="宋体"/>
          <w:color w:val="auto"/>
        </w:rPr>
        <w:t>⑤门诊各科室的污染废料、纱布、棉球等，必须集中放在一起，绝不准乱奶、乱放，更不能 混为一般垃圾处理。</w:t>
      </w:r>
    </w:p>
    <w:p w14:paraId="4ABF0824">
      <w:pPr>
        <w:ind w:firstLine="422" w:firstLineChars="200"/>
        <w:rPr>
          <w:rFonts w:ascii="宋体" w:hAnsi="宋体" w:cs="宋体"/>
          <w:b/>
          <w:bCs/>
          <w:color w:val="auto"/>
        </w:rPr>
      </w:pPr>
      <w:r>
        <w:rPr>
          <w:rFonts w:hint="eastAsia" w:ascii="宋体" w:hAnsi="宋体" w:cs="宋体"/>
          <w:b/>
          <w:bCs/>
          <w:color w:val="auto"/>
        </w:rPr>
        <w:t>（4）拉圾污物处理消毒隔离规范</w:t>
      </w:r>
    </w:p>
    <w:p w14:paraId="2FA8FD12">
      <w:pPr>
        <w:ind w:firstLine="420" w:firstLineChars="200"/>
        <w:rPr>
          <w:rFonts w:ascii="宋体" w:hAnsi="宋体" w:cs="宋体"/>
          <w:color w:val="auto"/>
        </w:rPr>
      </w:pPr>
      <w:r>
        <w:rPr>
          <w:rFonts w:hint="eastAsia" w:ascii="宋体" w:hAnsi="宋体" w:cs="宋体"/>
          <w:color w:val="auto"/>
        </w:rPr>
        <w:t>①每日清倒垃圾2次，将垃圾及时送到指定的垃圾桶内，运送时必须将垃圾桶盖盖好，以防 掉撒地上。其中如有污染垃圾，应运到污物桶内。</w:t>
      </w:r>
    </w:p>
    <w:p w14:paraId="3BA5D16D">
      <w:pPr>
        <w:ind w:firstLine="420" w:firstLineChars="200"/>
        <w:rPr>
          <w:rFonts w:ascii="宋体" w:hAnsi="宋体" w:cs="宋体"/>
          <w:color w:val="auto"/>
        </w:rPr>
      </w:pPr>
      <w:r>
        <w:rPr>
          <w:rFonts w:hint="eastAsia" w:ascii="宋体" w:hAnsi="宋体" w:cs="宋体"/>
          <w:color w:val="auto"/>
        </w:rPr>
        <w:t>②院内集中垃圾处理，每日指派专人进行清理和拉运，必须做到日产日清，并每月进行一次到二次杀虫、灭菌消毒，防止蚊、蝇孽生。</w:t>
      </w:r>
    </w:p>
    <w:p w14:paraId="7D534894">
      <w:pPr>
        <w:ind w:firstLine="422" w:firstLineChars="200"/>
        <w:rPr>
          <w:rFonts w:ascii="宋体" w:hAnsi="宋体" w:cs="宋体"/>
          <w:b/>
          <w:bCs/>
          <w:color w:val="auto"/>
        </w:rPr>
      </w:pPr>
      <w:r>
        <w:rPr>
          <w:rFonts w:hint="eastAsia" w:ascii="宋体" w:hAnsi="宋体" w:cs="宋体"/>
          <w:b/>
          <w:bCs/>
          <w:color w:val="auto"/>
        </w:rPr>
        <w:t>（5）医院地面消毒规范</w:t>
      </w:r>
    </w:p>
    <w:p w14:paraId="79BB6DC3">
      <w:pPr>
        <w:ind w:firstLine="420" w:firstLineChars="200"/>
        <w:rPr>
          <w:rFonts w:ascii="宋体" w:hAnsi="宋体" w:cs="宋体"/>
          <w:color w:val="auto"/>
        </w:rPr>
      </w:pPr>
      <w:r>
        <w:rPr>
          <w:rFonts w:hint="eastAsia" w:ascii="宋体" w:hAnsi="宋体" w:cs="宋体"/>
          <w:color w:val="auto"/>
        </w:rPr>
        <w:t>①当地面无明显污染情况下，采用湿拭清扫，用清水或清洁剂拖地每日2次，清除地面的污秽和部分病原微生物。</w:t>
      </w:r>
    </w:p>
    <w:p w14:paraId="371BE234">
      <w:pPr>
        <w:ind w:firstLine="420" w:firstLineChars="200"/>
        <w:rPr>
          <w:rFonts w:ascii="宋体" w:hAnsi="宋体" w:cs="宋体"/>
          <w:color w:val="auto"/>
        </w:rPr>
      </w:pPr>
      <w:r>
        <w:rPr>
          <w:rFonts w:hint="eastAsia" w:ascii="宋体" w:hAnsi="宋体" w:cs="宋体"/>
          <w:color w:val="auto"/>
        </w:rPr>
        <w:t>②当地面受到病原菌污染时，用500mg/L有效氧消毒液擦洗。</w:t>
      </w:r>
    </w:p>
    <w:p w14:paraId="4DCA918A">
      <w:pPr>
        <w:ind w:firstLine="420" w:firstLineChars="200"/>
        <w:rPr>
          <w:rFonts w:ascii="宋体" w:hAnsi="宋体" w:cs="宋体"/>
          <w:color w:val="auto"/>
        </w:rPr>
      </w:pPr>
      <w:r>
        <w:rPr>
          <w:rFonts w:hint="eastAsia" w:ascii="宋体" w:hAnsi="宋体" w:cs="宋体"/>
          <w:color w:val="auto"/>
        </w:rPr>
        <w:t>③对致病性病原菌污染的表面（如：结核杆菌、肝炎病毒、HLV、禽流感病毒等），用2000mg/L 有效氯消毒液擦洗，作用30分钟。</w:t>
      </w:r>
    </w:p>
    <w:p w14:paraId="1957D140">
      <w:pPr>
        <w:ind w:firstLine="422" w:firstLineChars="200"/>
        <w:rPr>
          <w:rFonts w:ascii="宋体" w:hAnsi="宋体" w:cs="宋体"/>
          <w:b/>
          <w:bCs/>
          <w:color w:val="auto"/>
        </w:rPr>
      </w:pPr>
      <w:r>
        <w:rPr>
          <w:rFonts w:hint="eastAsia" w:ascii="宋体" w:hAnsi="宋体" w:cs="宋体"/>
          <w:b/>
          <w:bCs/>
          <w:color w:val="auto"/>
        </w:rPr>
        <w:t>（6）各科室的消毒隔离规范</w:t>
      </w:r>
    </w:p>
    <w:p w14:paraId="38092AE9">
      <w:pPr>
        <w:ind w:firstLine="420" w:firstLineChars="200"/>
        <w:rPr>
          <w:rFonts w:ascii="宋体" w:hAnsi="宋体" w:cs="宋体"/>
          <w:color w:val="auto"/>
        </w:rPr>
      </w:pPr>
      <w:r>
        <w:rPr>
          <w:rFonts w:hint="eastAsia" w:ascii="宋体" w:hAnsi="宋体" w:cs="宋体"/>
          <w:color w:val="auto"/>
        </w:rPr>
        <w:t>①凡生活基础设施及相关用具物品，如无污染则使用清洁抹布擦拭：若有污染则应使用 500mg/L以上含氯消毒剂进行擦拭消毒：对致病性病原菌污染的表面（如：结核杆菌、肝炎病毒、 HIV、禽流感病毒等），用2000mg/L有效氯消毒液擦洗，作用30分钟。</w:t>
      </w:r>
    </w:p>
    <w:p w14:paraId="6203AB77">
      <w:pPr>
        <w:ind w:firstLine="420" w:firstLineChars="200"/>
        <w:rPr>
          <w:rFonts w:ascii="宋体" w:hAnsi="宋体" w:cs="宋体"/>
          <w:color w:val="auto"/>
        </w:rPr>
      </w:pPr>
      <w:r>
        <w:rPr>
          <w:rFonts w:hint="eastAsia" w:ascii="宋体" w:hAnsi="宋体" w:cs="宋体"/>
          <w:color w:val="auto"/>
        </w:rPr>
        <w:t>②一般病室在终末消毒时，应釆用500mg / L含氯消毒剂进行消毒擦拭，再用紫外线照射至少 30分钟：传染病室进行终末消毒时，应釆用2000mg/L含氯消毒剂进行消毒擦拭，再用紫外线照 射至少30分钟。在进行紫外线消毒时，应注意其距物体表面应在1米以内。</w:t>
      </w:r>
    </w:p>
    <w:p w14:paraId="6F1D39A1">
      <w:pPr>
        <w:ind w:firstLine="422" w:firstLineChars="200"/>
        <w:rPr>
          <w:rFonts w:ascii="宋体" w:hAnsi="宋体" w:cs="宋体"/>
          <w:b/>
          <w:bCs/>
          <w:color w:val="auto"/>
        </w:rPr>
      </w:pPr>
      <w:r>
        <w:rPr>
          <w:rFonts w:hint="eastAsia" w:ascii="宋体" w:hAnsi="宋体" w:cs="宋体"/>
          <w:b/>
          <w:bCs/>
          <w:color w:val="auto"/>
        </w:rPr>
        <w:t>（7）手术室消毒隔离规范</w:t>
      </w:r>
    </w:p>
    <w:p w14:paraId="2A438229">
      <w:pPr>
        <w:ind w:firstLine="420" w:firstLineChars="200"/>
        <w:rPr>
          <w:rFonts w:ascii="宋体" w:hAnsi="宋体" w:cs="宋体"/>
          <w:color w:val="auto"/>
        </w:rPr>
      </w:pPr>
      <w:r>
        <w:rPr>
          <w:rFonts w:hint="eastAsia" w:ascii="宋体" w:hAnsi="宋体" w:cs="宋体"/>
          <w:color w:val="auto"/>
        </w:rPr>
        <w:t>①凡未沾染血迹的医疗设施，应用清洁湿抹布进行清洁擦拭。</w:t>
      </w:r>
    </w:p>
    <w:p w14:paraId="65BF0E3A">
      <w:pPr>
        <w:ind w:firstLine="420" w:firstLineChars="200"/>
        <w:rPr>
          <w:rFonts w:ascii="宋体" w:hAnsi="宋体" w:cs="宋体"/>
          <w:color w:val="auto"/>
        </w:rPr>
      </w:pPr>
      <w:r>
        <w:rPr>
          <w:rFonts w:hint="eastAsia" w:ascii="宋体" w:hAnsi="宋体" w:cs="宋体"/>
          <w:color w:val="auto"/>
        </w:rPr>
        <w:t>②凡生活基础设施及相关用具物品，均使用清洁湿抹布进行清洁擦拭。</w:t>
      </w:r>
    </w:p>
    <w:p w14:paraId="1C17A787">
      <w:pPr>
        <w:jc w:val="left"/>
        <w:outlineLvl w:val="2"/>
        <w:rPr>
          <w:rFonts w:ascii="宋体" w:hAnsi="宋体" w:cs="宋体"/>
          <w:b/>
          <w:bCs/>
          <w:color w:val="auto"/>
          <w:sz w:val="36"/>
          <w:szCs w:val="36"/>
        </w:rPr>
      </w:pPr>
      <w:r>
        <w:rPr>
          <w:rFonts w:hint="eastAsia" w:ascii="宋体" w:hAnsi="宋体" w:cs="宋体"/>
          <w:color w:val="auto"/>
        </w:rPr>
        <w:t>③凡科室外部进入得相关没备物品，均应使用500mg/L含氧消毒剂进行消毒，若相关物在进入之前己经消毒，则只諸将其外包装去除即可。</w:t>
      </w:r>
    </w:p>
    <w:p w14:paraId="3083B208">
      <w:pPr>
        <w:outlineLvl w:val="2"/>
        <w:rPr>
          <w:rFonts w:ascii="宋体" w:hAnsi="宋体" w:cs="宋体"/>
          <w:color w:val="auto"/>
        </w:rPr>
      </w:pPr>
      <w:r>
        <w:rPr>
          <w:rFonts w:hint="eastAsia" w:ascii="宋体" w:hAnsi="宋体" w:cs="宋体"/>
          <w:b/>
          <w:bCs/>
          <w:color w:val="auto"/>
          <w:sz w:val="24"/>
        </w:rPr>
        <w:t>四、 保洁工作程序：</w:t>
      </w:r>
    </w:p>
    <w:p w14:paraId="236641FE">
      <w:pPr>
        <w:ind w:firstLine="420" w:firstLineChars="200"/>
        <w:rPr>
          <w:rFonts w:ascii="宋体" w:hAnsi="宋体" w:cs="宋体"/>
          <w:color w:val="auto"/>
        </w:rPr>
      </w:pPr>
      <w:r>
        <w:rPr>
          <w:rFonts w:hint="eastAsia" w:ascii="宋体" w:hAnsi="宋体" w:cs="宋体"/>
          <w:color w:val="auto"/>
        </w:rPr>
        <w:t>（一）、大厅保洁 </w:t>
      </w:r>
    </w:p>
    <w:p w14:paraId="57AC0D53">
      <w:pPr>
        <w:ind w:firstLine="420" w:firstLineChars="200"/>
        <w:rPr>
          <w:rFonts w:ascii="宋体" w:hAnsi="宋体" w:cs="宋体"/>
          <w:color w:val="auto"/>
        </w:rPr>
      </w:pPr>
      <w:r>
        <w:rPr>
          <w:rFonts w:hint="eastAsia" w:ascii="宋体" w:hAnsi="宋体" w:cs="宋体"/>
          <w:color w:val="auto"/>
        </w:rPr>
        <w:t>1.每天分两次重点清理大堂，之间施行流动保洁。 </w:t>
      </w:r>
    </w:p>
    <w:p w14:paraId="33E8735F">
      <w:pPr>
        <w:ind w:firstLine="420" w:firstLineChars="200"/>
        <w:rPr>
          <w:rFonts w:ascii="宋体" w:hAnsi="宋体" w:cs="宋体"/>
          <w:color w:val="auto"/>
        </w:rPr>
      </w:pPr>
      <w:r>
        <w:rPr>
          <w:rFonts w:hint="eastAsia" w:ascii="宋体" w:hAnsi="宋体" w:cs="宋体"/>
          <w:color w:val="auto"/>
        </w:rPr>
        <w:t>2.用扫把清扫大堂地面垃圾，用长柄刷沾洗洁精清除掉污渍和香口胶。 </w:t>
      </w:r>
    </w:p>
    <w:p w14:paraId="30AC52BE">
      <w:pPr>
        <w:ind w:firstLine="420" w:firstLineChars="200"/>
        <w:rPr>
          <w:rFonts w:ascii="宋体" w:hAnsi="宋体" w:cs="宋体"/>
          <w:color w:val="auto"/>
        </w:rPr>
      </w:pPr>
      <w:r>
        <w:rPr>
          <w:rFonts w:hint="eastAsia" w:ascii="宋体" w:hAnsi="宋体" w:cs="宋体"/>
          <w:color w:val="auto"/>
        </w:rPr>
        <w:t>3.清倒不锈钢垃圾筒，洗净后放回原处。 </w:t>
      </w:r>
    </w:p>
    <w:p w14:paraId="7F74FF56">
      <w:pPr>
        <w:ind w:firstLine="420" w:firstLineChars="200"/>
        <w:rPr>
          <w:rFonts w:ascii="宋体" w:hAnsi="宋体" w:cs="宋体"/>
          <w:color w:val="auto"/>
        </w:rPr>
      </w:pPr>
      <w:r>
        <w:rPr>
          <w:rFonts w:hint="eastAsia" w:ascii="宋体" w:hAnsi="宋体" w:cs="宋体"/>
          <w:color w:val="auto"/>
        </w:rPr>
        <w:t>4.用尘拖或拖把拖掉大堂地面尘土和污迹后，将垃圾运至室外垃圾筒。 </w:t>
      </w:r>
    </w:p>
    <w:p w14:paraId="44450A14">
      <w:pPr>
        <w:ind w:firstLine="420" w:firstLineChars="200"/>
        <w:rPr>
          <w:rFonts w:ascii="宋体" w:hAnsi="宋体" w:cs="宋体"/>
          <w:color w:val="auto"/>
        </w:rPr>
      </w:pPr>
      <w:r>
        <w:rPr>
          <w:rFonts w:hint="eastAsia" w:ascii="宋体" w:hAnsi="宋体" w:cs="宋体"/>
          <w:color w:val="auto"/>
        </w:rPr>
        <w:t>5.轻抹大堂内各种不锈钢制品，包括门柱、镶字、宣传栏等。</w:t>
      </w:r>
    </w:p>
    <w:p w14:paraId="1BFA4AE5">
      <w:pPr>
        <w:ind w:firstLine="420" w:firstLineChars="200"/>
        <w:rPr>
          <w:rFonts w:ascii="宋体" w:hAnsi="宋体" w:cs="宋体"/>
          <w:color w:val="auto"/>
        </w:rPr>
      </w:pPr>
      <w:r>
        <w:rPr>
          <w:rFonts w:hint="eastAsia" w:ascii="宋体" w:hAnsi="宋体" w:cs="宋体"/>
          <w:color w:val="auto"/>
        </w:rPr>
        <w:t>6.擦抹大堂门窗框、防火门、消防栓柜、指示牌、内墙面等。 </w:t>
      </w:r>
    </w:p>
    <w:p w14:paraId="23FD264D">
      <w:pPr>
        <w:ind w:firstLine="420" w:firstLineChars="200"/>
        <w:rPr>
          <w:rFonts w:ascii="宋体" w:hAnsi="宋体" w:cs="宋体"/>
          <w:color w:val="auto"/>
        </w:rPr>
      </w:pPr>
    </w:p>
    <w:p w14:paraId="03229231">
      <w:pPr>
        <w:ind w:firstLine="420" w:firstLineChars="200"/>
        <w:rPr>
          <w:rFonts w:ascii="宋体" w:hAnsi="宋体" w:cs="宋体"/>
          <w:color w:val="auto"/>
        </w:rPr>
      </w:pPr>
      <w:r>
        <w:rPr>
          <w:rFonts w:hint="eastAsia" w:ascii="宋体" w:hAnsi="宋体" w:cs="宋体"/>
          <w:color w:val="auto"/>
        </w:rPr>
        <w:t>（二）、楼道保洁 </w:t>
      </w:r>
    </w:p>
    <w:p w14:paraId="008140C5">
      <w:pPr>
        <w:ind w:firstLine="420" w:firstLineChars="200"/>
        <w:rPr>
          <w:rFonts w:ascii="宋体" w:hAnsi="宋体" w:cs="宋体"/>
          <w:color w:val="auto"/>
        </w:rPr>
      </w:pPr>
      <w:r>
        <w:rPr>
          <w:rFonts w:hint="eastAsia" w:ascii="宋体" w:hAnsi="宋体" w:cs="宋体"/>
          <w:color w:val="auto"/>
        </w:rPr>
        <w:t>1.从底层至顶层自下而上清扫楼道梯级，将果皮、烟头、纸屑收集于胶袋中然后倒入垃圾袋；用胶桶装清水，洗净拖把，拧干拖把上的水，用拖把从顶层往下逐级拖抹梯级，拖抹时，清洗拖把数次。 </w:t>
      </w:r>
    </w:p>
    <w:p w14:paraId="20F2B9EA">
      <w:pPr>
        <w:ind w:firstLine="420" w:firstLineChars="200"/>
        <w:rPr>
          <w:rFonts w:ascii="宋体" w:hAnsi="宋体" w:cs="宋体"/>
          <w:color w:val="auto"/>
        </w:rPr>
      </w:pPr>
      <w:r>
        <w:rPr>
          <w:rFonts w:hint="eastAsia" w:ascii="宋体" w:hAnsi="宋体" w:cs="宋体"/>
          <w:color w:val="auto"/>
        </w:rPr>
        <w:t>2.自下而上擦抹楼梯扶手及栏杆，擦抹时，清洗抹布数次。 </w:t>
      </w:r>
    </w:p>
    <w:p w14:paraId="72BC8525">
      <w:pPr>
        <w:ind w:firstLine="420" w:firstLineChars="200"/>
        <w:rPr>
          <w:rFonts w:ascii="宋体" w:hAnsi="宋体" w:cs="宋体"/>
          <w:color w:val="auto"/>
        </w:rPr>
      </w:pPr>
      <w:r>
        <w:rPr>
          <w:rFonts w:hint="eastAsia" w:ascii="宋体" w:hAnsi="宋体" w:cs="宋体"/>
          <w:color w:val="auto"/>
        </w:rPr>
        <w:t>3.用小毛刷清洁踢脚线上灰尘，再用拧干的抹布擦一遍。 </w:t>
      </w:r>
    </w:p>
    <w:p w14:paraId="52F51FBC">
      <w:pPr>
        <w:ind w:firstLine="420" w:firstLineChars="200"/>
        <w:rPr>
          <w:rFonts w:ascii="宋体" w:hAnsi="宋体" w:cs="宋体"/>
          <w:color w:val="auto"/>
        </w:rPr>
      </w:pPr>
      <w:r>
        <w:rPr>
          <w:rFonts w:hint="eastAsia" w:ascii="宋体" w:hAnsi="宋体" w:cs="宋体"/>
          <w:color w:val="auto"/>
        </w:rPr>
        <w:t>4.清洁窗户玻璃：备玻璃刮，清水一桶，干、湿抹布、清洁剂，注意先湿后干。 </w:t>
      </w:r>
    </w:p>
    <w:p w14:paraId="7CE4E816">
      <w:pPr>
        <w:ind w:firstLine="420" w:firstLineChars="200"/>
        <w:rPr>
          <w:rFonts w:ascii="宋体" w:hAnsi="宋体" w:cs="宋体"/>
          <w:color w:val="auto"/>
        </w:rPr>
      </w:pPr>
      <w:r>
        <w:rPr>
          <w:rFonts w:hint="eastAsia" w:ascii="宋体" w:hAnsi="宋体" w:cs="宋体"/>
          <w:color w:val="auto"/>
        </w:rPr>
        <w:t>（三）、各科室办公室、病房保洁 </w:t>
      </w:r>
    </w:p>
    <w:p w14:paraId="38F72431">
      <w:pPr>
        <w:ind w:firstLine="420" w:firstLineChars="200"/>
        <w:rPr>
          <w:rFonts w:ascii="宋体" w:hAnsi="宋体" w:cs="宋体"/>
          <w:color w:val="auto"/>
        </w:rPr>
      </w:pPr>
      <w:r>
        <w:rPr>
          <w:rFonts w:hint="eastAsia" w:ascii="宋体" w:hAnsi="宋体" w:cs="宋体"/>
          <w:color w:val="auto"/>
        </w:rPr>
        <w:t>1.按规定、分类别收集垃圾 </w:t>
      </w:r>
    </w:p>
    <w:p w14:paraId="71CB66E8">
      <w:pPr>
        <w:ind w:firstLine="420" w:firstLineChars="200"/>
        <w:rPr>
          <w:rFonts w:ascii="宋体" w:hAnsi="宋体" w:cs="宋体"/>
          <w:color w:val="auto"/>
        </w:rPr>
      </w:pPr>
      <w:r>
        <w:rPr>
          <w:rFonts w:hint="eastAsia" w:ascii="宋体" w:hAnsi="宋体" w:cs="宋体"/>
          <w:color w:val="auto"/>
        </w:rPr>
        <w:t>2.清拖地面，保持清洁。         </w:t>
      </w:r>
    </w:p>
    <w:p w14:paraId="66019317">
      <w:pPr>
        <w:ind w:firstLine="420" w:firstLineChars="200"/>
        <w:rPr>
          <w:rFonts w:ascii="宋体" w:hAnsi="宋体" w:cs="宋体"/>
          <w:color w:val="auto"/>
        </w:rPr>
      </w:pPr>
      <w:r>
        <w:rPr>
          <w:rFonts w:hint="eastAsia" w:ascii="宋体" w:hAnsi="宋体" w:cs="宋体"/>
          <w:color w:val="auto"/>
        </w:rPr>
        <w:t>3.擦抹病床、氧气槽、床头柜、茶几、办公桌等家具。 </w:t>
      </w:r>
    </w:p>
    <w:p w14:paraId="763926C9">
      <w:pPr>
        <w:ind w:firstLine="420" w:firstLineChars="200"/>
        <w:rPr>
          <w:rFonts w:ascii="宋体" w:hAnsi="宋体" w:cs="宋体"/>
          <w:color w:val="auto"/>
        </w:rPr>
      </w:pPr>
      <w:r>
        <w:rPr>
          <w:rFonts w:hint="eastAsia" w:ascii="宋体" w:hAnsi="宋体" w:cs="宋体"/>
          <w:color w:val="auto"/>
        </w:rPr>
        <w:t>4.对租摆花卉、电话机等摆件进行清洁。 </w:t>
      </w:r>
    </w:p>
    <w:p w14:paraId="5616CC1A">
      <w:pPr>
        <w:ind w:firstLine="420" w:firstLineChars="200"/>
        <w:rPr>
          <w:rFonts w:ascii="宋体" w:hAnsi="宋体" w:cs="宋体"/>
          <w:color w:val="auto"/>
        </w:rPr>
      </w:pPr>
      <w:r>
        <w:rPr>
          <w:rFonts w:hint="eastAsia" w:ascii="宋体" w:hAnsi="宋体" w:cs="宋体"/>
          <w:color w:val="auto"/>
        </w:rPr>
        <w:t>5.如遇大型接待任务，请甲方提早一天通知服务公司进行接待前的准备工作和人员调配，进行重点保洁。 </w:t>
      </w:r>
    </w:p>
    <w:p w14:paraId="47D2EC5B">
      <w:pPr>
        <w:ind w:firstLine="420" w:firstLineChars="200"/>
        <w:rPr>
          <w:rFonts w:ascii="宋体" w:hAnsi="宋体" w:cs="宋体"/>
          <w:color w:val="auto"/>
        </w:rPr>
      </w:pPr>
      <w:r>
        <w:rPr>
          <w:rFonts w:hint="eastAsia" w:ascii="宋体" w:hAnsi="宋体" w:cs="宋体"/>
          <w:color w:val="auto"/>
        </w:rPr>
        <w:t>(四)、公共卫生间保洁 </w:t>
      </w:r>
    </w:p>
    <w:p w14:paraId="0DBFB970">
      <w:pPr>
        <w:ind w:firstLine="420" w:firstLineChars="200"/>
        <w:rPr>
          <w:rFonts w:ascii="宋体" w:hAnsi="宋体" w:cs="宋体"/>
          <w:color w:val="auto"/>
        </w:rPr>
      </w:pPr>
      <w:r>
        <w:rPr>
          <w:rFonts w:hint="eastAsia" w:ascii="宋体" w:hAnsi="宋体" w:cs="宋体"/>
          <w:color w:val="auto"/>
        </w:rPr>
        <w:t>1.进入卫生间前将清洁告示牌挂在门前，打开门窗通风； </w:t>
      </w:r>
    </w:p>
    <w:p w14:paraId="79E3A6E2">
      <w:pPr>
        <w:ind w:firstLine="420" w:firstLineChars="200"/>
        <w:rPr>
          <w:rFonts w:ascii="宋体" w:hAnsi="宋体" w:cs="宋体"/>
          <w:color w:val="auto"/>
        </w:rPr>
      </w:pPr>
      <w:r>
        <w:rPr>
          <w:rFonts w:hint="eastAsia" w:ascii="宋体" w:hAnsi="宋体" w:cs="宋体"/>
          <w:color w:val="auto"/>
        </w:rPr>
        <w:t>2.先用夹子夹出小便池里的烟头杂物，然后按冲水器用清水冲洗洁具； </w:t>
      </w:r>
    </w:p>
    <w:p w14:paraId="0DB30B43">
      <w:pPr>
        <w:ind w:firstLine="420" w:firstLineChars="200"/>
        <w:rPr>
          <w:rFonts w:ascii="宋体" w:hAnsi="宋体" w:cs="宋体"/>
          <w:color w:val="auto"/>
        </w:rPr>
      </w:pPr>
      <w:r>
        <w:rPr>
          <w:rFonts w:hint="eastAsia" w:ascii="宋体" w:hAnsi="宋体" w:cs="宋体"/>
          <w:color w:val="auto"/>
        </w:rPr>
        <w:t>3.清扫地面垃圾，清倒垃圾篓，换新垃圾袋后放回原位。用布或擦垫加上去污剂、洁厕剂溶液上面擦抹洁具除污，较顽固的污渍加去渍剂反复擦抹干净； </w:t>
      </w:r>
    </w:p>
    <w:p w14:paraId="6DC232EB">
      <w:pPr>
        <w:ind w:firstLine="420" w:firstLineChars="200"/>
        <w:rPr>
          <w:rFonts w:ascii="宋体" w:hAnsi="宋体" w:cs="宋体"/>
          <w:color w:val="auto"/>
        </w:rPr>
      </w:pPr>
      <w:r>
        <w:rPr>
          <w:rFonts w:hint="eastAsia" w:ascii="宋体" w:hAnsi="宋体" w:cs="宋体"/>
          <w:color w:val="auto"/>
        </w:rPr>
        <w:t>4.将洁厕水倒入水勺内，用厕刷沾洁厕水刷洗大、小便器，然后用清水冲净； </w:t>
      </w:r>
    </w:p>
    <w:p w14:paraId="1EE4A785">
      <w:pPr>
        <w:ind w:firstLine="420" w:firstLineChars="200"/>
        <w:rPr>
          <w:rFonts w:ascii="宋体" w:hAnsi="宋体" w:cs="宋体"/>
          <w:color w:val="auto"/>
        </w:rPr>
      </w:pPr>
      <w:r>
        <w:rPr>
          <w:rFonts w:hint="eastAsia" w:ascii="宋体" w:hAnsi="宋体" w:cs="宋体"/>
          <w:color w:val="auto"/>
        </w:rPr>
        <w:t>5.用去污剂和布擦抹洁具表面包括水箱、水管、盖板两面基座周围，注意不留卫生死角； </w:t>
      </w:r>
    </w:p>
    <w:p w14:paraId="34D252F9">
      <w:pPr>
        <w:ind w:firstLine="420" w:firstLineChars="200"/>
        <w:rPr>
          <w:rFonts w:ascii="宋体" w:hAnsi="宋体" w:cs="宋体"/>
          <w:color w:val="auto"/>
        </w:rPr>
      </w:pPr>
      <w:r>
        <w:rPr>
          <w:rFonts w:hint="eastAsia" w:ascii="宋体" w:hAnsi="宋体" w:cs="宋体"/>
          <w:color w:val="auto"/>
        </w:rPr>
        <w:t>6.用湿毛巾和洗洁精擦洗面盆，台面，墙面、门窗标牌。镜面和水迹用干布擦抹干净污渍、水印，定期刮洗镜面，然后拖抹干净地面； </w:t>
      </w:r>
    </w:p>
    <w:p w14:paraId="6B6557D1">
      <w:pPr>
        <w:ind w:firstLine="420" w:firstLineChars="200"/>
        <w:rPr>
          <w:rFonts w:ascii="宋体" w:hAnsi="宋体" w:cs="宋体"/>
          <w:color w:val="auto"/>
        </w:rPr>
      </w:pPr>
      <w:r>
        <w:rPr>
          <w:rFonts w:hint="eastAsia" w:ascii="宋体" w:hAnsi="宋体" w:cs="宋体"/>
          <w:color w:val="auto"/>
        </w:rPr>
        <w:t>7.用湿拖把拖干净地面，然后用干拖把拖干； </w:t>
      </w:r>
    </w:p>
    <w:p w14:paraId="38FA2599">
      <w:pPr>
        <w:ind w:firstLine="420" w:firstLineChars="200"/>
        <w:rPr>
          <w:rFonts w:ascii="宋体" w:hAnsi="宋体" w:cs="宋体"/>
          <w:color w:val="auto"/>
        </w:rPr>
      </w:pPr>
      <w:r>
        <w:rPr>
          <w:rFonts w:hint="eastAsia" w:ascii="宋体" w:hAnsi="宋体" w:cs="宋体"/>
          <w:color w:val="auto"/>
        </w:rPr>
        <w:t>8.小便斗内放入香球； </w:t>
      </w:r>
    </w:p>
    <w:p w14:paraId="1881938F">
      <w:pPr>
        <w:ind w:firstLine="420" w:firstLineChars="200"/>
        <w:rPr>
          <w:rFonts w:ascii="宋体" w:hAnsi="宋体" w:cs="宋体"/>
          <w:color w:val="auto"/>
        </w:rPr>
      </w:pPr>
      <w:r>
        <w:rPr>
          <w:rFonts w:hint="eastAsia" w:ascii="宋体" w:hAnsi="宋体" w:cs="宋体"/>
          <w:color w:val="auto"/>
        </w:rPr>
        <w:t>9.发现污渍进行随机保洁； </w:t>
      </w:r>
    </w:p>
    <w:p w14:paraId="1AF171D0">
      <w:pPr>
        <w:ind w:firstLine="420" w:firstLineChars="200"/>
        <w:rPr>
          <w:rFonts w:ascii="宋体" w:hAnsi="宋体" w:cs="宋体"/>
          <w:color w:val="auto"/>
        </w:rPr>
      </w:pPr>
    </w:p>
    <w:p w14:paraId="38DFEC2F">
      <w:pPr>
        <w:ind w:firstLine="420" w:firstLineChars="200"/>
        <w:rPr>
          <w:rFonts w:ascii="宋体" w:hAnsi="宋体" w:cs="宋体"/>
          <w:color w:val="auto"/>
        </w:rPr>
      </w:pPr>
      <w:r>
        <w:rPr>
          <w:rFonts w:hint="eastAsia" w:ascii="宋体" w:hAnsi="宋体" w:cs="宋体"/>
          <w:color w:val="auto"/>
        </w:rPr>
        <w:t>(五)、门窗保洁 </w:t>
      </w:r>
    </w:p>
    <w:p w14:paraId="4B7F97BC">
      <w:pPr>
        <w:ind w:firstLine="420" w:firstLineChars="200"/>
        <w:rPr>
          <w:rFonts w:ascii="宋体" w:hAnsi="宋体" w:cs="宋体"/>
          <w:color w:val="auto"/>
        </w:rPr>
      </w:pPr>
      <w:r>
        <w:rPr>
          <w:rFonts w:hint="eastAsia" w:ascii="宋体" w:hAnsi="宋体" w:cs="宋体"/>
          <w:color w:val="auto"/>
        </w:rPr>
        <w:t>1.用干毛巾擦拭表面灰尘； </w:t>
      </w:r>
    </w:p>
    <w:p w14:paraId="08693C6E">
      <w:pPr>
        <w:ind w:firstLine="420" w:firstLineChars="200"/>
        <w:rPr>
          <w:rFonts w:ascii="宋体" w:hAnsi="宋体" w:cs="宋体"/>
          <w:color w:val="auto"/>
        </w:rPr>
      </w:pPr>
      <w:r>
        <w:rPr>
          <w:rFonts w:hint="eastAsia" w:ascii="宋体" w:hAnsi="宋体" w:cs="宋体"/>
          <w:color w:val="auto"/>
        </w:rPr>
        <w:t>2.按玻璃清洁剂与清水1∶5的比例兑好玻璃清洁溶液；</w:t>
      </w:r>
    </w:p>
    <w:p w14:paraId="04CFE861">
      <w:pPr>
        <w:ind w:firstLine="420" w:firstLineChars="200"/>
        <w:rPr>
          <w:rFonts w:ascii="宋体" w:hAnsi="宋体" w:cs="宋体"/>
          <w:color w:val="auto"/>
        </w:rPr>
      </w:pPr>
      <w:r>
        <w:rPr>
          <w:rFonts w:hint="eastAsia" w:ascii="宋体" w:hAnsi="宋体" w:cs="宋体"/>
          <w:color w:val="auto"/>
        </w:rPr>
        <w:t>3.用毛巾蘸上全能清洁消毒剂擦拭表面； </w:t>
      </w:r>
    </w:p>
    <w:p w14:paraId="4CEA75E6">
      <w:pPr>
        <w:ind w:firstLine="420" w:firstLineChars="200"/>
        <w:rPr>
          <w:rFonts w:ascii="宋体" w:hAnsi="宋体" w:cs="宋体"/>
          <w:color w:val="auto"/>
        </w:rPr>
      </w:pPr>
      <w:r>
        <w:rPr>
          <w:rFonts w:hint="eastAsia" w:ascii="宋体" w:hAnsi="宋体" w:cs="宋体"/>
          <w:color w:val="auto"/>
        </w:rPr>
        <w:t>4.用玻璃刮刀刮去表面水分； </w:t>
      </w:r>
    </w:p>
    <w:p w14:paraId="3AB49CB6">
      <w:pPr>
        <w:ind w:firstLine="420" w:firstLineChars="200"/>
        <w:rPr>
          <w:rFonts w:ascii="宋体" w:hAnsi="宋体" w:cs="宋体"/>
          <w:color w:val="auto"/>
        </w:rPr>
      </w:pPr>
      <w:r>
        <w:rPr>
          <w:rFonts w:hint="eastAsia" w:ascii="宋体" w:hAnsi="宋体" w:cs="宋体"/>
          <w:color w:val="auto"/>
        </w:rPr>
        <w:t>5.用干毛巾擦拭残留水渍； </w:t>
      </w:r>
    </w:p>
    <w:p w14:paraId="1578DF3B">
      <w:pPr>
        <w:ind w:firstLine="420" w:firstLineChars="200"/>
        <w:rPr>
          <w:rFonts w:ascii="宋体" w:hAnsi="宋体" w:cs="宋体"/>
          <w:color w:val="auto"/>
        </w:rPr>
      </w:pPr>
      <w:r>
        <w:rPr>
          <w:rFonts w:hint="eastAsia" w:ascii="宋体" w:hAnsi="宋体" w:cs="宋体"/>
          <w:color w:val="auto"/>
        </w:rPr>
        <w:t>6.把浸有玻璃清洁溶液的毛巾裹在玻璃刮上，然后用适当的力量按在玻璃顶端从上往下垂直洗抹； </w:t>
      </w:r>
    </w:p>
    <w:p w14:paraId="088BCC6D">
      <w:pPr>
        <w:ind w:firstLine="420" w:firstLineChars="200"/>
        <w:rPr>
          <w:rFonts w:ascii="宋体" w:hAnsi="宋体" w:cs="宋体"/>
          <w:color w:val="auto"/>
        </w:rPr>
      </w:pPr>
      <w:r>
        <w:rPr>
          <w:rFonts w:hint="eastAsia" w:ascii="宋体" w:hAnsi="宋体" w:cs="宋体"/>
          <w:color w:val="auto"/>
        </w:rPr>
        <w:t>7.污迹较重的地方重点抹； </w:t>
      </w:r>
    </w:p>
    <w:p w14:paraId="51E0CFFE">
      <w:pPr>
        <w:ind w:firstLine="420" w:firstLineChars="200"/>
        <w:rPr>
          <w:rFonts w:ascii="宋体" w:hAnsi="宋体" w:cs="宋体"/>
          <w:color w:val="auto"/>
        </w:rPr>
      </w:pPr>
      <w:r>
        <w:rPr>
          <w:rFonts w:hint="eastAsia" w:ascii="宋体" w:hAnsi="宋体" w:cs="宋体"/>
          <w:color w:val="auto"/>
        </w:rPr>
        <w:t>8.一洗一刮连贯进行，当玻璃的位置和地面较接近时，可以把刮作横向移动； </w:t>
      </w:r>
    </w:p>
    <w:p w14:paraId="1625585D">
      <w:pPr>
        <w:ind w:firstLine="420" w:firstLineChars="200"/>
        <w:rPr>
          <w:rFonts w:ascii="宋体" w:hAnsi="宋体" w:cs="宋体"/>
          <w:color w:val="auto"/>
        </w:rPr>
      </w:pPr>
      <w:r>
        <w:rPr>
          <w:rFonts w:hint="eastAsia" w:ascii="宋体" w:hAnsi="宋体" w:cs="宋体"/>
          <w:color w:val="auto"/>
        </w:rPr>
        <w:t>9.最后用地拖拖抹地面上的污水。 </w:t>
      </w:r>
    </w:p>
    <w:p w14:paraId="21A10B88">
      <w:pPr>
        <w:ind w:firstLine="420" w:firstLineChars="200"/>
        <w:rPr>
          <w:rFonts w:ascii="宋体" w:hAnsi="宋体" w:cs="宋体"/>
          <w:color w:val="auto"/>
        </w:rPr>
      </w:pPr>
      <w:r>
        <w:rPr>
          <w:rFonts w:hint="eastAsia" w:ascii="宋体" w:hAnsi="宋体" w:cs="宋体"/>
          <w:color w:val="auto"/>
        </w:rPr>
        <w:t>(六)、电梯清洁 </w:t>
      </w:r>
    </w:p>
    <w:p w14:paraId="352F6751">
      <w:pPr>
        <w:ind w:firstLine="420" w:firstLineChars="200"/>
        <w:rPr>
          <w:rFonts w:ascii="宋体" w:hAnsi="宋体" w:cs="宋体"/>
          <w:color w:val="auto"/>
        </w:rPr>
      </w:pPr>
      <w:r>
        <w:rPr>
          <w:rFonts w:hint="eastAsia" w:ascii="宋体" w:hAnsi="宋体" w:cs="宋体"/>
          <w:color w:val="auto"/>
        </w:rPr>
        <w:t>1.为了不妨碍医院方面的正常运作，电梯在进行日常保洁时，一般不停止，并在人少的时候进行。 </w:t>
      </w:r>
    </w:p>
    <w:p w14:paraId="0BC0DDD6">
      <w:pPr>
        <w:ind w:firstLine="420" w:firstLineChars="200"/>
        <w:rPr>
          <w:rFonts w:ascii="宋体" w:hAnsi="宋体" w:cs="宋体"/>
          <w:color w:val="auto"/>
        </w:rPr>
      </w:pPr>
      <w:r>
        <w:rPr>
          <w:rFonts w:hint="eastAsia" w:ascii="宋体" w:hAnsi="宋体" w:cs="宋体"/>
          <w:color w:val="auto"/>
        </w:rPr>
        <w:t>2.电梯厢内清扫、吸尘、或撤换地毡，清扫门缝内泥尘、杂物。 </w:t>
      </w:r>
    </w:p>
    <w:p w14:paraId="5B316A91">
      <w:pPr>
        <w:ind w:firstLine="420" w:firstLineChars="200"/>
        <w:rPr>
          <w:rFonts w:ascii="宋体" w:hAnsi="宋体" w:cs="宋体"/>
          <w:color w:val="auto"/>
        </w:rPr>
      </w:pPr>
      <w:r>
        <w:rPr>
          <w:rFonts w:hint="eastAsia" w:ascii="宋体" w:hAnsi="宋体" w:cs="宋体"/>
          <w:color w:val="auto"/>
        </w:rPr>
        <w:t>3.用干净湿毛巾擦拭门缝、门边，再用干毛巾将污水吸干，用浸泡过的全能水的湿毛巾抹厢内天花、排风口、灯饰、显示屏。 </w:t>
      </w:r>
    </w:p>
    <w:p w14:paraId="64786540">
      <w:pPr>
        <w:ind w:firstLine="420" w:firstLineChars="200"/>
        <w:rPr>
          <w:rFonts w:ascii="宋体" w:hAnsi="宋体" w:cs="宋体"/>
          <w:color w:val="auto"/>
        </w:rPr>
      </w:pPr>
      <w:r>
        <w:rPr>
          <w:rFonts w:hint="eastAsia" w:ascii="宋体" w:hAnsi="宋体" w:cs="宋体"/>
          <w:color w:val="auto"/>
        </w:rPr>
        <w:t>4.将适量的全能去渍剂倒在潮毛巾上，均匀地涂在厢内不锈钢上，再用力来回上下反复擦拭。 </w:t>
      </w:r>
    </w:p>
    <w:p w14:paraId="32E6CF8C">
      <w:pPr>
        <w:ind w:firstLine="420" w:firstLineChars="200"/>
        <w:rPr>
          <w:rFonts w:ascii="宋体" w:hAnsi="宋体" w:cs="宋体"/>
          <w:color w:val="auto"/>
        </w:rPr>
      </w:pPr>
      <w:r>
        <w:rPr>
          <w:rFonts w:hint="eastAsia" w:ascii="宋体" w:hAnsi="宋体" w:cs="宋体"/>
          <w:color w:val="auto"/>
        </w:rPr>
        <w:t>5.用干净的湿毛巾擦拭不锈钢表面，再用干毛巾擦干不锈钢表面的水迹。 </w:t>
      </w:r>
    </w:p>
    <w:p w14:paraId="2A01F0BD">
      <w:pPr>
        <w:ind w:firstLine="420" w:firstLineChars="200"/>
        <w:rPr>
          <w:rFonts w:ascii="宋体" w:hAnsi="宋体" w:cs="宋体"/>
          <w:color w:val="auto"/>
        </w:rPr>
      </w:pPr>
      <w:r>
        <w:rPr>
          <w:rFonts w:hint="eastAsia" w:ascii="宋体" w:hAnsi="宋体" w:cs="宋体"/>
          <w:color w:val="auto"/>
        </w:rPr>
        <w:t>6.将适量的不锈钢保洁剂倒在毛绒布上，均匀地涂在不锈钢表面。</w:t>
      </w:r>
    </w:p>
    <w:p w14:paraId="10FFC86D">
      <w:pPr>
        <w:ind w:firstLine="420" w:firstLineChars="200"/>
        <w:rPr>
          <w:rFonts w:ascii="宋体" w:hAnsi="宋体" w:cs="宋体"/>
          <w:color w:val="auto"/>
        </w:rPr>
      </w:pPr>
      <w:r>
        <w:rPr>
          <w:rFonts w:hint="eastAsia" w:ascii="宋体" w:hAnsi="宋体" w:cs="宋体"/>
          <w:color w:val="auto"/>
        </w:rPr>
        <w:t>7.用干净毛巾进行抛光处理。 </w:t>
      </w:r>
    </w:p>
    <w:p w14:paraId="3433E9B2">
      <w:pPr>
        <w:ind w:firstLine="420" w:firstLineChars="200"/>
        <w:rPr>
          <w:rFonts w:ascii="宋体" w:hAnsi="宋体" w:cs="宋体"/>
          <w:color w:val="auto"/>
        </w:rPr>
      </w:pPr>
      <w:r>
        <w:rPr>
          <w:rFonts w:hint="eastAsia" w:ascii="宋体" w:hAnsi="宋体" w:cs="宋体"/>
          <w:color w:val="auto"/>
        </w:rPr>
        <w:t>(七)、橱窗及各种标志牌保洁 </w:t>
      </w:r>
    </w:p>
    <w:p w14:paraId="65CE5CE2">
      <w:pPr>
        <w:ind w:firstLine="420" w:firstLineChars="200"/>
        <w:rPr>
          <w:rFonts w:ascii="宋体" w:hAnsi="宋体" w:cs="宋体"/>
          <w:color w:val="auto"/>
        </w:rPr>
      </w:pPr>
      <w:r>
        <w:rPr>
          <w:rFonts w:hint="eastAsia" w:ascii="宋体" w:hAnsi="宋体" w:cs="宋体"/>
          <w:color w:val="auto"/>
        </w:rPr>
        <w:t>1.橱窗的清洁：用抹布将橱窗里外周边全面擦抹一遍，玻璃用玻璃刮清洁； </w:t>
      </w:r>
    </w:p>
    <w:p w14:paraId="3FA03C63">
      <w:pPr>
        <w:ind w:firstLine="420" w:firstLineChars="200"/>
        <w:rPr>
          <w:rFonts w:ascii="宋体" w:hAnsi="宋体" w:cs="宋体"/>
          <w:color w:val="auto"/>
        </w:rPr>
      </w:pPr>
      <w:r>
        <w:rPr>
          <w:rFonts w:hint="eastAsia" w:ascii="宋体" w:hAnsi="宋体" w:cs="宋体"/>
          <w:color w:val="auto"/>
        </w:rPr>
        <w:t>2.标识牌的清洁：有广告纸时，先撕下纸，再用湿抹布从上往下擦抹牌，然后用干抹布抹一次；  </w:t>
      </w:r>
    </w:p>
    <w:p w14:paraId="1B430A33">
      <w:pPr>
        <w:ind w:firstLine="420" w:firstLineChars="200"/>
        <w:rPr>
          <w:rFonts w:ascii="宋体" w:hAnsi="宋体" w:cs="宋体"/>
          <w:color w:val="auto"/>
        </w:rPr>
      </w:pPr>
      <w:r>
        <w:rPr>
          <w:rFonts w:hint="eastAsia" w:ascii="宋体" w:hAnsi="宋体" w:cs="宋体"/>
          <w:color w:val="auto"/>
        </w:rPr>
        <w:t>(八)、天花板保洁 </w:t>
      </w:r>
    </w:p>
    <w:p w14:paraId="7C8BD1FE">
      <w:pPr>
        <w:ind w:firstLine="420" w:firstLineChars="200"/>
        <w:rPr>
          <w:rFonts w:ascii="宋体" w:hAnsi="宋体" w:cs="宋体"/>
          <w:color w:val="auto"/>
        </w:rPr>
      </w:pPr>
      <w:r>
        <w:rPr>
          <w:rFonts w:hint="eastAsia" w:ascii="宋体" w:hAnsi="宋体" w:cs="宋体"/>
          <w:color w:val="auto"/>
        </w:rPr>
        <w:t>1.将尘扫和伸缩杆连接起来 </w:t>
      </w:r>
    </w:p>
    <w:p w14:paraId="22FEA836">
      <w:pPr>
        <w:ind w:firstLine="420" w:firstLineChars="200"/>
        <w:rPr>
          <w:rFonts w:ascii="宋体" w:hAnsi="宋体" w:cs="宋体"/>
          <w:color w:val="auto"/>
        </w:rPr>
      </w:pPr>
      <w:r>
        <w:rPr>
          <w:rFonts w:hint="eastAsia" w:ascii="宋体" w:hAnsi="宋体" w:cs="宋体"/>
          <w:color w:val="auto"/>
        </w:rPr>
        <w:t>2.按一定顺序左右来回扫尘</w:t>
      </w:r>
    </w:p>
    <w:p w14:paraId="6A0CC951">
      <w:pPr>
        <w:ind w:firstLine="420" w:firstLineChars="200"/>
        <w:rPr>
          <w:rFonts w:ascii="宋体" w:hAnsi="宋体" w:cs="宋体"/>
          <w:color w:val="auto"/>
        </w:rPr>
      </w:pPr>
      <w:r>
        <w:rPr>
          <w:rFonts w:hint="eastAsia" w:ascii="宋体" w:hAnsi="宋体" w:cs="宋体"/>
          <w:color w:val="auto"/>
        </w:rPr>
        <w:t>(九)、ＩＣＵ病房保洁</w:t>
      </w:r>
    </w:p>
    <w:p w14:paraId="01176D21">
      <w:pPr>
        <w:ind w:firstLine="420" w:firstLineChars="200"/>
        <w:rPr>
          <w:rFonts w:ascii="宋体" w:hAnsi="宋体" w:cs="宋体"/>
          <w:color w:val="auto"/>
        </w:rPr>
      </w:pPr>
      <w:r>
        <w:rPr>
          <w:rFonts w:hint="eastAsia" w:ascii="宋体" w:hAnsi="宋体" w:cs="宋体"/>
          <w:color w:val="auto"/>
        </w:rPr>
        <w:t>1.先里后外，先上后下，先大面后死角。</w:t>
      </w:r>
    </w:p>
    <w:p w14:paraId="7D82ACF4">
      <w:pPr>
        <w:ind w:firstLine="420" w:firstLineChars="200"/>
        <w:rPr>
          <w:rFonts w:ascii="宋体" w:hAnsi="宋体" w:cs="宋体"/>
          <w:color w:val="auto"/>
        </w:rPr>
      </w:pPr>
      <w:r>
        <w:rPr>
          <w:rFonts w:hint="eastAsia" w:ascii="宋体" w:hAnsi="宋体" w:cs="宋体"/>
          <w:color w:val="auto"/>
        </w:rPr>
        <w:t>2.两人分工，湿拖病房，工作区域，上午下午各拖一次，保持地面清洁。地面用0.1%的施康溶液，特殊感染菌病人或有污染（血迹、分泌物等）时用0.1%的施康溶液。</w:t>
      </w:r>
    </w:p>
    <w:p w14:paraId="23A87529">
      <w:pPr>
        <w:ind w:firstLine="420" w:firstLineChars="200"/>
        <w:rPr>
          <w:rFonts w:ascii="宋体" w:hAnsi="宋体" w:cs="宋体"/>
          <w:color w:val="auto"/>
        </w:rPr>
      </w:pPr>
      <w:r>
        <w:rPr>
          <w:rFonts w:hint="eastAsia" w:ascii="宋体" w:hAnsi="宋体" w:cs="宋体"/>
          <w:color w:val="auto"/>
        </w:rPr>
        <w:t>3.集中倾倒垃圾后，有垃圾随时倾倒，垃圾不可超过2/3.（疑似传染性用感染医疗废物袋双层包扎，注明科室，时间，名称）包括：感染垃圾，生活垃圾，医疗废物，损伤性废物，空瓶，塑料用物等称重记录。</w:t>
      </w:r>
    </w:p>
    <w:p w14:paraId="6536BFAE">
      <w:pPr>
        <w:ind w:firstLine="420" w:firstLineChars="200"/>
        <w:rPr>
          <w:rFonts w:ascii="宋体" w:hAnsi="宋体" w:cs="宋体"/>
          <w:color w:val="auto"/>
        </w:rPr>
      </w:pPr>
      <w:r>
        <w:rPr>
          <w:rFonts w:hint="eastAsia" w:ascii="宋体" w:hAnsi="宋体" w:cs="宋体"/>
          <w:color w:val="auto"/>
        </w:rPr>
        <w:t>4.上午，下午各开窗通风一次，时间20-30分钟，不可使病人吹对流风，以防感冒。</w:t>
      </w:r>
    </w:p>
    <w:p w14:paraId="016C64F0">
      <w:pPr>
        <w:ind w:firstLine="420" w:firstLineChars="200"/>
        <w:rPr>
          <w:rFonts w:ascii="宋体" w:hAnsi="宋体" w:cs="宋体"/>
          <w:color w:val="auto"/>
        </w:rPr>
      </w:pPr>
      <w:r>
        <w:rPr>
          <w:rFonts w:hint="eastAsia" w:ascii="宋体" w:hAnsi="宋体" w:cs="宋体"/>
          <w:color w:val="auto"/>
        </w:rPr>
        <w:t>5.与供应室人员清点预洗（清洁）衣物，被服，物品并做好登记。</w:t>
      </w:r>
    </w:p>
    <w:p w14:paraId="1BF06194">
      <w:pPr>
        <w:ind w:firstLine="420" w:firstLineChars="200"/>
        <w:rPr>
          <w:rFonts w:ascii="宋体" w:hAnsi="宋体" w:cs="宋体"/>
          <w:color w:val="auto"/>
        </w:rPr>
      </w:pPr>
      <w:r>
        <w:rPr>
          <w:rFonts w:hint="eastAsia" w:ascii="宋体" w:hAnsi="宋体" w:cs="宋体"/>
          <w:color w:val="auto"/>
        </w:rPr>
        <w:t>6.擦洗床单元，保持清洁，无死角（尤其是功能柱上方，带有输液架一侧功能柱，床头）。做到一床一抹布，不可混合使用，以防交叉感染。擦各处台面、桌椅、床、墙面无感染用清水，感染用0.1%的施康溶液。</w:t>
      </w:r>
    </w:p>
    <w:p w14:paraId="0FB4FB2E">
      <w:pPr>
        <w:ind w:firstLine="420" w:firstLineChars="200"/>
        <w:rPr>
          <w:rFonts w:ascii="宋体" w:hAnsi="宋体" w:cs="宋体"/>
          <w:color w:val="auto"/>
        </w:rPr>
      </w:pPr>
      <w:r>
        <w:rPr>
          <w:rFonts w:hint="eastAsia" w:ascii="宋体" w:hAnsi="宋体" w:cs="宋体"/>
          <w:color w:val="auto"/>
        </w:rPr>
        <w:t>7.拖把分类使用并悬挂晾干备用。污染区：红色。厕所：黄色。治疗室：浅蓝色。医务人员通道及办公区：深蓝色。</w:t>
      </w:r>
    </w:p>
    <w:p w14:paraId="6A05E39C">
      <w:pPr>
        <w:ind w:firstLine="420" w:firstLineChars="200"/>
        <w:rPr>
          <w:rFonts w:ascii="宋体" w:hAnsi="宋体" w:cs="宋体"/>
          <w:color w:val="auto"/>
        </w:rPr>
      </w:pPr>
      <w:r>
        <w:rPr>
          <w:rFonts w:hint="eastAsia" w:ascii="宋体" w:hAnsi="宋体" w:cs="宋体"/>
          <w:color w:val="auto"/>
        </w:rPr>
        <w:t>8.洗手池每天用去污粉擦抹，保持清洁、无积垢。开水器台面保持清洁、无污垢、无积灰。</w:t>
      </w:r>
    </w:p>
    <w:p w14:paraId="479D2244">
      <w:pPr>
        <w:ind w:firstLine="420" w:firstLineChars="200"/>
        <w:rPr>
          <w:rFonts w:ascii="宋体" w:hAnsi="宋体" w:cs="宋体"/>
          <w:color w:val="auto"/>
        </w:rPr>
      </w:pPr>
      <w:r>
        <w:rPr>
          <w:rFonts w:hint="eastAsia" w:ascii="宋体" w:hAnsi="宋体" w:cs="宋体"/>
          <w:color w:val="auto"/>
        </w:rPr>
        <w:t>9.会议室，餐厅保持整洁明亮。</w:t>
      </w:r>
    </w:p>
    <w:p w14:paraId="37637272">
      <w:pPr>
        <w:ind w:firstLine="420" w:firstLineChars="200"/>
        <w:rPr>
          <w:rFonts w:ascii="宋体" w:hAnsi="宋体" w:cs="宋体"/>
          <w:color w:val="auto"/>
        </w:rPr>
      </w:pPr>
      <w:r>
        <w:rPr>
          <w:rFonts w:hint="eastAsia" w:ascii="宋体" w:hAnsi="宋体" w:cs="宋体"/>
          <w:color w:val="auto"/>
        </w:rPr>
        <w:t>10.垃圾桶、被服桶、消毒桶内物品放置不外露。垃圾桶、被服桶等每周清洗，保持外观清洁无污垢。</w:t>
      </w:r>
    </w:p>
    <w:p w14:paraId="254C7146">
      <w:pPr>
        <w:ind w:firstLine="420" w:firstLineChars="200"/>
        <w:rPr>
          <w:rFonts w:ascii="宋体" w:hAnsi="宋体" w:cs="宋体"/>
          <w:color w:val="auto"/>
        </w:rPr>
      </w:pPr>
      <w:r>
        <w:rPr>
          <w:rFonts w:hint="eastAsia" w:ascii="宋体" w:hAnsi="宋体" w:cs="宋体"/>
          <w:color w:val="auto"/>
        </w:rPr>
        <w:t>11.隔离病房（未开放）床单元，功能柱，窗台等每周周二，周五清洁，地面每天湿拖一次。保持病房物品，床单元整洁，有序。</w:t>
      </w:r>
    </w:p>
    <w:p w14:paraId="516D27B9">
      <w:pPr>
        <w:ind w:firstLine="420" w:firstLineChars="200"/>
        <w:rPr>
          <w:rFonts w:ascii="宋体" w:hAnsi="宋体" w:cs="宋体"/>
          <w:color w:val="auto"/>
        </w:rPr>
      </w:pPr>
      <w:r>
        <w:rPr>
          <w:rFonts w:hint="eastAsia" w:ascii="宋体" w:hAnsi="宋体" w:cs="宋体"/>
          <w:color w:val="auto"/>
        </w:rPr>
        <w:t>12.定期联系并监督相关人员清洁纱窗，玻璃，房顶等保持清洁，无污垢，无蜘蛛网。</w:t>
      </w:r>
    </w:p>
    <w:p w14:paraId="23795E9F">
      <w:pPr>
        <w:ind w:firstLine="420" w:firstLineChars="200"/>
        <w:rPr>
          <w:rFonts w:ascii="宋体" w:hAnsi="宋体" w:cs="宋体"/>
          <w:color w:val="auto"/>
        </w:rPr>
      </w:pPr>
      <w:r>
        <w:rPr>
          <w:rFonts w:hint="eastAsia" w:ascii="宋体" w:hAnsi="宋体" w:cs="宋体"/>
          <w:color w:val="auto"/>
        </w:rPr>
        <w:t>13.每周浸泡清洗输液篮一次。</w:t>
      </w:r>
    </w:p>
    <w:p w14:paraId="61F9279C">
      <w:pPr>
        <w:ind w:firstLine="420" w:firstLineChars="200"/>
        <w:rPr>
          <w:rFonts w:ascii="宋体" w:hAnsi="宋体" w:cs="宋体"/>
          <w:color w:val="auto"/>
        </w:rPr>
      </w:pPr>
      <w:r>
        <w:rPr>
          <w:rFonts w:hint="eastAsia" w:ascii="宋体" w:hAnsi="宋体" w:cs="宋体"/>
          <w:color w:val="auto"/>
        </w:rPr>
        <w:t>14.做好出院，转科患者终末处理。床单位、功能柱终未消毒，彻底擦洗，臭氧机消毒并登记。</w:t>
      </w:r>
    </w:p>
    <w:p w14:paraId="465B0816">
      <w:pPr>
        <w:ind w:firstLine="420" w:firstLineChars="200"/>
        <w:rPr>
          <w:rFonts w:ascii="宋体" w:hAnsi="宋体" w:cs="宋体"/>
          <w:color w:val="auto"/>
        </w:rPr>
      </w:pPr>
      <w:r>
        <w:rPr>
          <w:rFonts w:hint="eastAsia" w:ascii="宋体" w:hAnsi="宋体" w:cs="宋体"/>
          <w:color w:val="auto"/>
        </w:rPr>
        <w:t>15.严格掌握含氯消毒液配置及测量方法。</w:t>
      </w:r>
    </w:p>
    <w:p w14:paraId="43C26C4A">
      <w:pPr>
        <w:ind w:firstLine="420" w:firstLineChars="200"/>
        <w:rPr>
          <w:rFonts w:ascii="宋体" w:hAnsi="宋体" w:cs="宋体"/>
          <w:color w:val="auto"/>
        </w:rPr>
      </w:pPr>
      <w:r>
        <w:rPr>
          <w:rFonts w:hint="eastAsia" w:ascii="宋体" w:hAnsi="宋体" w:cs="宋体"/>
          <w:color w:val="auto"/>
        </w:rPr>
        <w:t>16.保持污物处理间，被服间整齐，清洁，无异味。</w:t>
      </w:r>
    </w:p>
    <w:p w14:paraId="4B22F1C9">
      <w:pPr>
        <w:ind w:firstLine="420" w:firstLineChars="200"/>
        <w:rPr>
          <w:rFonts w:ascii="宋体" w:hAnsi="宋体" w:cs="宋体"/>
          <w:color w:val="auto"/>
        </w:rPr>
      </w:pPr>
      <w:r>
        <w:rPr>
          <w:rFonts w:hint="eastAsia" w:ascii="宋体" w:hAnsi="宋体" w:cs="宋体"/>
          <w:color w:val="auto"/>
        </w:rPr>
        <w:t>17.保洁人员按时参加院感相关理论培训，并实施闭卷考核。</w:t>
      </w:r>
    </w:p>
    <w:p w14:paraId="067A3208">
      <w:pPr>
        <w:ind w:firstLine="420" w:firstLineChars="200"/>
        <w:rPr>
          <w:rFonts w:ascii="宋体" w:hAnsi="宋体" w:cs="宋体"/>
          <w:b/>
          <w:bCs/>
          <w:color w:val="auto"/>
          <w:sz w:val="36"/>
          <w:szCs w:val="36"/>
        </w:rPr>
      </w:pPr>
      <w:r>
        <w:rPr>
          <w:rFonts w:hint="eastAsia" w:ascii="宋体" w:hAnsi="宋体" w:cs="宋体"/>
          <w:color w:val="auto"/>
        </w:rPr>
        <w:t>注：实际工作中在护士长、护士的指导下进行。</w:t>
      </w:r>
    </w:p>
    <w:p w14:paraId="18EDE8D3">
      <w:pPr>
        <w:snapToGrid w:val="0"/>
        <w:spacing w:line="360" w:lineRule="auto"/>
        <w:ind w:right="315"/>
        <w:rPr>
          <w:rFonts w:ascii="宋体" w:hAnsi="宋体"/>
          <w:color w:val="auto"/>
          <w:szCs w:val="21"/>
        </w:rPr>
      </w:pPr>
    </w:p>
    <w:p w14:paraId="7F40C679">
      <w:pPr>
        <w:rPr>
          <w:rFonts w:ascii="宋体" w:hAnsi="宋体" w:cs="宋体"/>
          <w:color w:val="auto"/>
        </w:rPr>
      </w:pPr>
      <w:r>
        <w:rPr>
          <w:rFonts w:hint="eastAsia" w:ascii="宋体" w:hAnsi="宋体" w:cs="宋体"/>
          <w:b/>
          <w:bCs/>
          <w:color w:val="auto"/>
          <w:sz w:val="24"/>
        </w:rPr>
        <w:t>五、项目人员配置要求：</w:t>
      </w:r>
    </w:p>
    <w:tbl>
      <w:tblPr>
        <w:tblStyle w:val="47"/>
        <w:tblpPr w:leftFromText="180" w:rightFromText="180" w:vertAnchor="text" w:horzAnchor="page" w:tblpXSpec="center" w:tblpY="489"/>
        <w:tblOverlap w:val="never"/>
        <w:tblW w:w="8136" w:type="dxa"/>
        <w:jc w:val="center"/>
        <w:tblLayout w:type="fixed"/>
        <w:tblCellMar>
          <w:top w:w="0" w:type="dxa"/>
          <w:left w:w="108" w:type="dxa"/>
          <w:bottom w:w="0" w:type="dxa"/>
          <w:right w:w="108" w:type="dxa"/>
        </w:tblCellMar>
      </w:tblPr>
      <w:tblGrid>
        <w:gridCol w:w="500"/>
        <w:gridCol w:w="353"/>
        <w:gridCol w:w="518"/>
        <w:gridCol w:w="666"/>
        <w:gridCol w:w="2094"/>
        <w:gridCol w:w="3057"/>
        <w:gridCol w:w="948"/>
      </w:tblGrid>
      <w:tr w14:paraId="1AE79415">
        <w:tblPrEx>
          <w:tblCellMar>
            <w:top w:w="0" w:type="dxa"/>
            <w:left w:w="108" w:type="dxa"/>
            <w:bottom w:w="0" w:type="dxa"/>
            <w:right w:w="108" w:type="dxa"/>
          </w:tblCellMar>
        </w:tblPrEx>
        <w:trPr>
          <w:trHeight w:val="285" w:hRule="atLeast"/>
          <w:jc w:val="center"/>
        </w:trPr>
        <w:tc>
          <w:tcPr>
            <w:tcW w:w="500" w:type="dxa"/>
            <w:tcBorders>
              <w:top w:val="single" w:color="000000" w:sz="8" w:space="0"/>
              <w:left w:val="single" w:color="000000" w:sz="8" w:space="0"/>
              <w:bottom w:val="single" w:color="000000" w:sz="8" w:space="0"/>
              <w:right w:val="single" w:color="000000" w:sz="8" w:space="0"/>
            </w:tcBorders>
            <w:noWrap/>
            <w:vAlign w:val="center"/>
          </w:tcPr>
          <w:p w14:paraId="7D3BD61F">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序号</w:t>
            </w:r>
          </w:p>
        </w:tc>
        <w:tc>
          <w:tcPr>
            <w:tcW w:w="871" w:type="dxa"/>
            <w:gridSpan w:val="2"/>
            <w:tcBorders>
              <w:top w:val="single" w:color="000000" w:sz="8" w:space="0"/>
              <w:left w:val="nil"/>
              <w:bottom w:val="single" w:color="000000" w:sz="8" w:space="0"/>
              <w:right w:val="single" w:color="000000" w:sz="8" w:space="0"/>
            </w:tcBorders>
            <w:noWrap/>
            <w:vAlign w:val="center"/>
          </w:tcPr>
          <w:p w14:paraId="798A6FD5">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部门</w:t>
            </w:r>
          </w:p>
        </w:tc>
        <w:tc>
          <w:tcPr>
            <w:tcW w:w="666" w:type="dxa"/>
            <w:tcBorders>
              <w:top w:val="single" w:color="000000" w:sz="8" w:space="0"/>
              <w:left w:val="nil"/>
              <w:bottom w:val="single" w:color="000000" w:sz="8" w:space="0"/>
              <w:right w:val="single" w:color="000000" w:sz="8" w:space="0"/>
            </w:tcBorders>
            <w:noWrap/>
            <w:vAlign w:val="center"/>
          </w:tcPr>
          <w:p w14:paraId="0FA76286">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人数</w:t>
            </w:r>
          </w:p>
        </w:tc>
        <w:tc>
          <w:tcPr>
            <w:tcW w:w="2094" w:type="dxa"/>
            <w:tcBorders>
              <w:top w:val="single" w:color="000000" w:sz="8" w:space="0"/>
              <w:left w:val="nil"/>
              <w:bottom w:val="single" w:color="000000" w:sz="8" w:space="0"/>
              <w:right w:val="single" w:color="000000" w:sz="8" w:space="0"/>
            </w:tcBorders>
            <w:vAlign w:val="center"/>
          </w:tcPr>
          <w:p w14:paraId="1CFDE946">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工作区域</w:t>
            </w:r>
          </w:p>
        </w:tc>
        <w:tc>
          <w:tcPr>
            <w:tcW w:w="3057" w:type="dxa"/>
            <w:tcBorders>
              <w:top w:val="single" w:color="000000" w:sz="8" w:space="0"/>
              <w:left w:val="nil"/>
              <w:bottom w:val="single" w:color="000000" w:sz="8" w:space="0"/>
              <w:right w:val="single" w:color="000000" w:sz="8" w:space="0"/>
            </w:tcBorders>
            <w:vAlign w:val="center"/>
          </w:tcPr>
          <w:p w14:paraId="72CC86C4">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工作内容</w:t>
            </w:r>
          </w:p>
        </w:tc>
        <w:tc>
          <w:tcPr>
            <w:tcW w:w="948" w:type="dxa"/>
            <w:tcBorders>
              <w:top w:val="single" w:color="000000" w:sz="8" w:space="0"/>
              <w:left w:val="single" w:color="000000" w:sz="8" w:space="0"/>
              <w:bottom w:val="single" w:color="000000" w:sz="8" w:space="0"/>
              <w:right w:val="single" w:color="000000" w:sz="8" w:space="0"/>
            </w:tcBorders>
            <w:noWrap/>
            <w:vAlign w:val="center"/>
          </w:tcPr>
          <w:p w14:paraId="48C99FBB">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备注</w:t>
            </w:r>
          </w:p>
        </w:tc>
      </w:tr>
      <w:tr w14:paraId="04E3CBBE">
        <w:tblPrEx>
          <w:tblCellMar>
            <w:top w:w="0" w:type="dxa"/>
            <w:left w:w="108" w:type="dxa"/>
            <w:bottom w:w="0" w:type="dxa"/>
            <w:right w:w="108" w:type="dxa"/>
          </w:tblCellMar>
        </w:tblPrEx>
        <w:trPr>
          <w:trHeight w:val="1035" w:hRule="atLeast"/>
          <w:jc w:val="center"/>
        </w:trPr>
        <w:tc>
          <w:tcPr>
            <w:tcW w:w="500" w:type="dxa"/>
            <w:tcBorders>
              <w:top w:val="nil"/>
              <w:left w:val="single" w:color="000000" w:sz="8" w:space="0"/>
              <w:bottom w:val="single" w:color="000000" w:sz="8" w:space="0"/>
              <w:right w:val="single" w:color="000000" w:sz="8" w:space="0"/>
            </w:tcBorders>
            <w:noWrap/>
            <w:vAlign w:val="center"/>
          </w:tcPr>
          <w:p w14:paraId="02EA0C5D">
            <w:pPr>
              <w:widowControl/>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871" w:type="dxa"/>
            <w:gridSpan w:val="2"/>
            <w:tcBorders>
              <w:top w:val="nil"/>
              <w:left w:val="nil"/>
              <w:bottom w:val="single" w:color="000000" w:sz="8" w:space="0"/>
              <w:right w:val="single" w:color="000000" w:sz="8" w:space="0"/>
            </w:tcBorders>
            <w:noWrap/>
            <w:vAlign w:val="center"/>
          </w:tcPr>
          <w:p w14:paraId="7F6CE6E2">
            <w:pPr>
              <w:widowControl/>
              <w:jc w:val="center"/>
              <w:textAlignment w:val="center"/>
              <w:rPr>
                <w:rFonts w:ascii="宋体" w:hAnsi="宋体" w:cs="宋体"/>
                <w:color w:val="auto"/>
                <w:szCs w:val="21"/>
              </w:rPr>
            </w:pPr>
            <w:r>
              <w:rPr>
                <w:rFonts w:hint="eastAsia" w:ascii="宋体" w:hAnsi="宋体" w:cs="宋体"/>
                <w:color w:val="auto"/>
                <w:kern w:val="0"/>
                <w:szCs w:val="21"/>
                <w:lang w:bidi="ar"/>
              </w:rPr>
              <w:t>保洁主管</w:t>
            </w:r>
          </w:p>
        </w:tc>
        <w:tc>
          <w:tcPr>
            <w:tcW w:w="666" w:type="dxa"/>
            <w:tcBorders>
              <w:top w:val="nil"/>
              <w:left w:val="nil"/>
              <w:bottom w:val="single" w:color="000000" w:sz="8" w:space="0"/>
              <w:right w:val="single" w:color="000000" w:sz="8" w:space="0"/>
            </w:tcBorders>
            <w:noWrap/>
            <w:vAlign w:val="center"/>
          </w:tcPr>
          <w:p w14:paraId="54D8EBDE">
            <w:pPr>
              <w:widowControl/>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2094" w:type="dxa"/>
            <w:tcBorders>
              <w:top w:val="nil"/>
              <w:left w:val="nil"/>
              <w:bottom w:val="single" w:color="000000" w:sz="8" w:space="0"/>
              <w:right w:val="single" w:color="000000" w:sz="8" w:space="0"/>
            </w:tcBorders>
            <w:vAlign w:val="center"/>
          </w:tcPr>
          <w:p w14:paraId="508A3749">
            <w:pPr>
              <w:widowControl/>
              <w:jc w:val="center"/>
              <w:textAlignment w:val="center"/>
              <w:rPr>
                <w:rFonts w:ascii="宋体" w:hAnsi="宋体" w:cs="宋体"/>
                <w:color w:val="auto"/>
                <w:szCs w:val="21"/>
              </w:rPr>
            </w:pPr>
            <w:r>
              <w:rPr>
                <w:rFonts w:hint="eastAsia" w:ascii="宋体" w:hAnsi="宋体" w:cs="宋体"/>
                <w:color w:val="auto"/>
                <w:kern w:val="0"/>
                <w:szCs w:val="21"/>
                <w:lang w:bidi="ar"/>
              </w:rPr>
              <w:t>全院所有保洁、洗涤的工作区域</w:t>
            </w:r>
          </w:p>
        </w:tc>
        <w:tc>
          <w:tcPr>
            <w:tcW w:w="3057" w:type="dxa"/>
            <w:tcBorders>
              <w:top w:val="nil"/>
              <w:left w:val="nil"/>
              <w:bottom w:val="single" w:color="000000" w:sz="8" w:space="0"/>
              <w:right w:val="single" w:color="000000" w:sz="8" w:space="0"/>
            </w:tcBorders>
            <w:vAlign w:val="center"/>
          </w:tcPr>
          <w:p w14:paraId="0EAE06D5">
            <w:pPr>
              <w:widowControl/>
              <w:jc w:val="center"/>
              <w:textAlignment w:val="center"/>
              <w:rPr>
                <w:rFonts w:ascii="宋体" w:hAnsi="宋体" w:cs="宋体"/>
                <w:color w:val="auto"/>
                <w:szCs w:val="21"/>
              </w:rPr>
            </w:pPr>
            <w:r>
              <w:rPr>
                <w:rFonts w:hint="eastAsia" w:ascii="宋体" w:hAnsi="宋体" w:cs="宋体"/>
                <w:color w:val="auto"/>
                <w:kern w:val="0"/>
                <w:szCs w:val="21"/>
                <w:lang w:bidi="ar"/>
              </w:rPr>
              <w:t>管理、培训保洁员，做卫生质量考核表，统计洗涤清单、塑料瓶数量等 ，还有公司要求的报表等</w:t>
            </w:r>
          </w:p>
        </w:tc>
        <w:tc>
          <w:tcPr>
            <w:tcW w:w="948" w:type="dxa"/>
            <w:tcBorders>
              <w:top w:val="nil"/>
              <w:left w:val="single" w:color="000000" w:sz="8" w:space="0"/>
              <w:bottom w:val="single" w:color="000000" w:sz="8" w:space="0"/>
              <w:right w:val="single" w:color="000000" w:sz="8" w:space="0"/>
            </w:tcBorders>
            <w:vAlign w:val="center"/>
          </w:tcPr>
          <w:p w14:paraId="12DAB96A">
            <w:pPr>
              <w:jc w:val="center"/>
              <w:rPr>
                <w:rFonts w:ascii="宋体" w:hAnsi="宋体" w:cs="宋体"/>
                <w:color w:val="auto"/>
                <w:szCs w:val="21"/>
              </w:rPr>
            </w:pPr>
          </w:p>
        </w:tc>
      </w:tr>
      <w:tr w14:paraId="73A99879">
        <w:tblPrEx>
          <w:tblCellMar>
            <w:top w:w="0" w:type="dxa"/>
            <w:left w:w="108" w:type="dxa"/>
            <w:bottom w:w="0" w:type="dxa"/>
            <w:right w:w="108" w:type="dxa"/>
          </w:tblCellMar>
        </w:tblPrEx>
        <w:trPr>
          <w:trHeight w:val="1290" w:hRule="atLeast"/>
          <w:jc w:val="center"/>
        </w:trPr>
        <w:tc>
          <w:tcPr>
            <w:tcW w:w="500" w:type="dxa"/>
            <w:tcBorders>
              <w:top w:val="nil"/>
              <w:left w:val="single" w:color="000000" w:sz="8" w:space="0"/>
              <w:bottom w:val="single" w:color="000000" w:sz="8" w:space="0"/>
              <w:right w:val="single" w:color="000000" w:sz="8" w:space="0"/>
            </w:tcBorders>
            <w:noWrap/>
            <w:vAlign w:val="center"/>
          </w:tcPr>
          <w:p w14:paraId="0ECDB74B">
            <w:pPr>
              <w:widowControl/>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871" w:type="dxa"/>
            <w:gridSpan w:val="2"/>
            <w:tcBorders>
              <w:top w:val="nil"/>
              <w:left w:val="nil"/>
              <w:bottom w:val="single" w:color="000000" w:sz="8" w:space="0"/>
              <w:right w:val="single" w:color="000000" w:sz="8" w:space="0"/>
            </w:tcBorders>
            <w:noWrap/>
            <w:vAlign w:val="center"/>
          </w:tcPr>
          <w:p w14:paraId="7ADA5FCC">
            <w:pPr>
              <w:widowControl/>
              <w:jc w:val="center"/>
              <w:textAlignment w:val="center"/>
              <w:rPr>
                <w:rFonts w:ascii="宋体" w:hAnsi="宋体" w:cs="宋体"/>
                <w:color w:val="auto"/>
                <w:szCs w:val="21"/>
              </w:rPr>
            </w:pPr>
            <w:r>
              <w:rPr>
                <w:rFonts w:hint="eastAsia" w:ascii="宋体" w:hAnsi="宋体" w:cs="宋体"/>
                <w:color w:val="auto"/>
                <w:kern w:val="0"/>
                <w:szCs w:val="21"/>
                <w:lang w:bidi="ar"/>
              </w:rPr>
              <w:t>手术室</w:t>
            </w:r>
          </w:p>
        </w:tc>
        <w:tc>
          <w:tcPr>
            <w:tcW w:w="666" w:type="dxa"/>
            <w:tcBorders>
              <w:top w:val="nil"/>
              <w:left w:val="nil"/>
              <w:bottom w:val="single" w:color="000000" w:sz="8" w:space="0"/>
              <w:right w:val="single" w:color="000000" w:sz="8" w:space="0"/>
            </w:tcBorders>
            <w:noWrap/>
            <w:vAlign w:val="center"/>
          </w:tcPr>
          <w:p w14:paraId="418E9EC2">
            <w:pPr>
              <w:widowControl/>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2094" w:type="dxa"/>
            <w:tcBorders>
              <w:top w:val="nil"/>
              <w:left w:val="nil"/>
              <w:bottom w:val="single" w:color="000000" w:sz="8" w:space="0"/>
              <w:right w:val="single" w:color="000000" w:sz="8" w:space="0"/>
            </w:tcBorders>
            <w:vAlign w:val="center"/>
          </w:tcPr>
          <w:p w14:paraId="208250C4">
            <w:pPr>
              <w:widowControl/>
              <w:jc w:val="center"/>
              <w:textAlignment w:val="center"/>
              <w:rPr>
                <w:rFonts w:ascii="宋体" w:hAnsi="宋体" w:cs="宋体"/>
                <w:color w:val="auto"/>
                <w:szCs w:val="21"/>
              </w:rPr>
            </w:pPr>
            <w:r>
              <w:rPr>
                <w:rFonts w:hint="eastAsia" w:ascii="宋体" w:hAnsi="宋体" w:cs="宋体"/>
                <w:color w:val="auto"/>
                <w:kern w:val="0"/>
                <w:szCs w:val="21"/>
                <w:lang w:bidi="ar"/>
              </w:rPr>
              <w:t>住院部6楼，楼梯区域：住院部6楼转角平台至7楼</w:t>
            </w:r>
          </w:p>
        </w:tc>
        <w:tc>
          <w:tcPr>
            <w:tcW w:w="3057" w:type="dxa"/>
            <w:tcBorders>
              <w:top w:val="nil"/>
              <w:left w:val="nil"/>
              <w:bottom w:val="single" w:color="000000" w:sz="8" w:space="0"/>
              <w:right w:val="single" w:color="000000" w:sz="8" w:space="0"/>
            </w:tcBorders>
            <w:vAlign w:val="center"/>
          </w:tcPr>
          <w:p w14:paraId="30386EE1">
            <w:pPr>
              <w:widowControl/>
              <w:jc w:val="center"/>
              <w:textAlignment w:val="center"/>
              <w:rPr>
                <w:rFonts w:ascii="宋体" w:hAnsi="宋体" w:cs="宋体"/>
                <w:color w:val="auto"/>
                <w:szCs w:val="21"/>
              </w:rPr>
            </w:pPr>
            <w:r>
              <w:rPr>
                <w:rFonts w:hint="eastAsia" w:ascii="宋体" w:hAnsi="宋体" w:cs="宋体"/>
                <w:color w:val="auto"/>
                <w:kern w:val="0"/>
                <w:szCs w:val="21"/>
                <w:lang w:bidi="ar"/>
              </w:rPr>
              <w:t>擦仪器，送器械、送标本，领药、领材料、领输液器，叠衣服并打包，消毒并叠洗手巾，洗鞋并消毒，打饮用水，全面清洁、垃圾清理回收</w:t>
            </w:r>
          </w:p>
        </w:tc>
        <w:tc>
          <w:tcPr>
            <w:tcW w:w="948" w:type="dxa"/>
            <w:vMerge w:val="restart"/>
            <w:tcBorders>
              <w:top w:val="nil"/>
              <w:left w:val="single" w:color="000000" w:sz="8" w:space="0"/>
              <w:bottom w:val="single" w:color="000000" w:sz="8" w:space="0"/>
              <w:right w:val="single" w:color="000000" w:sz="8" w:space="0"/>
            </w:tcBorders>
            <w:vAlign w:val="center"/>
          </w:tcPr>
          <w:p w14:paraId="1293AC55">
            <w:pPr>
              <w:widowControl/>
              <w:jc w:val="center"/>
              <w:textAlignment w:val="center"/>
              <w:rPr>
                <w:rFonts w:ascii="宋体" w:hAnsi="宋体" w:cs="宋体"/>
                <w:color w:val="auto"/>
                <w:szCs w:val="21"/>
              </w:rPr>
            </w:pPr>
            <w:r>
              <w:rPr>
                <w:rFonts w:hint="eastAsia" w:ascii="宋体" w:hAnsi="宋体" w:cs="宋体"/>
                <w:color w:val="auto"/>
                <w:kern w:val="0"/>
                <w:szCs w:val="21"/>
                <w:lang w:bidi="ar"/>
              </w:rPr>
              <w:t>含楼梯、电梯、卫生间</w:t>
            </w:r>
          </w:p>
        </w:tc>
      </w:tr>
      <w:tr w14:paraId="7015E2D5">
        <w:tblPrEx>
          <w:tblCellMar>
            <w:top w:w="0" w:type="dxa"/>
            <w:left w:w="108" w:type="dxa"/>
            <w:bottom w:w="0" w:type="dxa"/>
            <w:right w:w="108" w:type="dxa"/>
          </w:tblCellMar>
        </w:tblPrEx>
        <w:trPr>
          <w:trHeight w:val="780" w:hRule="atLeast"/>
          <w:jc w:val="center"/>
        </w:trPr>
        <w:tc>
          <w:tcPr>
            <w:tcW w:w="500" w:type="dxa"/>
            <w:tcBorders>
              <w:top w:val="nil"/>
              <w:left w:val="single" w:color="000000" w:sz="8" w:space="0"/>
              <w:bottom w:val="single" w:color="000000" w:sz="8" w:space="0"/>
              <w:right w:val="single" w:color="000000" w:sz="8" w:space="0"/>
            </w:tcBorders>
            <w:noWrap/>
            <w:vAlign w:val="center"/>
          </w:tcPr>
          <w:p w14:paraId="2BB69360">
            <w:pPr>
              <w:widowControl/>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871" w:type="dxa"/>
            <w:gridSpan w:val="2"/>
            <w:tcBorders>
              <w:top w:val="nil"/>
              <w:left w:val="nil"/>
              <w:bottom w:val="single" w:color="000000" w:sz="8" w:space="0"/>
              <w:right w:val="single" w:color="000000" w:sz="8" w:space="0"/>
            </w:tcBorders>
            <w:vAlign w:val="center"/>
          </w:tcPr>
          <w:p w14:paraId="46FC42FD">
            <w:pPr>
              <w:widowControl/>
              <w:jc w:val="center"/>
              <w:textAlignment w:val="center"/>
              <w:rPr>
                <w:rFonts w:ascii="宋体" w:hAnsi="宋体" w:cs="宋体"/>
                <w:color w:val="auto"/>
                <w:szCs w:val="21"/>
              </w:rPr>
            </w:pPr>
            <w:r>
              <w:rPr>
                <w:rFonts w:hint="eastAsia" w:ascii="宋体" w:hAnsi="宋体" w:cs="宋体"/>
                <w:color w:val="auto"/>
                <w:kern w:val="0"/>
                <w:szCs w:val="21"/>
                <w:lang w:bidi="ar"/>
              </w:rPr>
              <w:t>外二科</w:t>
            </w:r>
          </w:p>
        </w:tc>
        <w:tc>
          <w:tcPr>
            <w:tcW w:w="666" w:type="dxa"/>
            <w:tcBorders>
              <w:top w:val="nil"/>
              <w:left w:val="nil"/>
              <w:bottom w:val="single" w:color="000000" w:sz="8" w:space="0"/>
              <w:right w:val="single" w:color="000000" w:sz="8" w:space="0"/>
            </w:tcBorders>
            <w:noWrap/>
            <w:vAlign w:val="center"/>
          </w:tcPr>
          <w:p w14:paraId="14E1641C">
            <w:pPr>
              <w:widowControl/>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2094" w:type="dxa"/>
            <w:tcBorders>
              <w:top w:val="nil"/>
              <w:left w:val="nil"/>
              <w:bottom w:val="single" w:color="000000" w:sz="8" w:space="0"/>
              <w:right w:val="single" w:color="000000" w:sz="8" w:space="0"/>
            </w:tcBorders>
            <w:vAlign w:val="center"/>
          </w:tcPr>
          <w:p w14:paraId="10D8C07A">
            <w:pPr>
              <w:widowControl/>
              <w:jc w:val="center"/>
              <w:textAlignment w:val="center"/>
              <w:rPr>
                <w:rFonts w:ascii="宋体" w:hAnsi="宋体" w:cs="宋体"/>
                <w:color w:val="auto"/>
                <w:szCs w:val="21"/>
              </w:rPr>
            </w:pPr>
            <w:r>
              <w:rPr>
                <w:rFonts w:hint="eastAsia" w:ascii="宋体" w:hAnsi="宋体" w:cs="宋体"/>
                <w:color w:val="auto"/>
                <w:kern w:val="0"/>
                <w:szCs w:val="21"/>
                <w:lang w:bidi="ar"/>
              </w:rPr>
              <w:t>住院部5楼，楼梯区域：住院部5楼转角平台至6楼转角平台下（两边)</w:t>
            </w:r>
          </w:p>
        </w:tc>
        <w:tc>
          <w:tcPr>
            <w:tcW w:w="3057" w:type="dxa"/>
            <w:vMerge w:val="restart"/>
            <w:tcBorders>
              <w:top w:val="nil"/>
              <w:left w:val="nil"/>
              <w:bottom w:val="single" w:color="000000" w:sz="8" w:space="0"/>
              <w:right w:val="single" w:color="000000" w:sz="8" w:space="0"/>
            </w:tcBorders>
            <w:vAlign w:val="center"/>
          </w:tcPr>
          <w:p w14:paraId="760DF769">
            <w:pPr>
              <w:widowControl/>
              <w:jc w:val="center"/>
              <w:textAlignment w:val="center"/>
              <w:rPr>
                <w:rFonts w:ascii="宋体" w:hAnsi="宋体" w:cs="宋体"/>
                <w:color w:val="auto"/>
                <w:szCs w:val="21"/>
              </w:rPr>
            </w:pPr>
            <w:r>
              <w:rPr>
                <w:rFonts w:hint="eastAsia" w:ascii="宋体" w:hAnsi="宋体" w:cs="宋体"/>
                <w:color w:val="auto"/>
                <w:kern w:val="0"/>
                <w:szCs w:val="21"/>
                <w:lang w:bidi="ar"/>
              </w:rPr>
              <w:t>全面清洁、垃圾清理回收，领注射药水、打开水和饮用水、擦床</w:t>
            </w:r>
          </w:p>
        </w:tc>
        <w:tc>
          <w:tcPr>
            <w:tcW w:w="948" w:type="dxa"/>
            <w:vMerge w:val="continue"/>
            <w:tcBorders>
              <w:top w:val="nil"/>
              <w:left w:val="single" w:color="000000" w:sz="8" w:space="0"/>
              <w:bottom w:val="single" w:color="000000" w:sz="8" w:space="0"/>
              <w:right w:val="single" w:color="000000" w:sz="8" w:space="0"/>
            </w:tcBorders>
            <w:vAlign w:val="center"/>
          </w:tcPr>
          <w:p w14:paraId="29909112">
            <w:pPr>
              <w:jc w:val="center"/>
              <w:rPr>
                <w:rFonts w:ascii="宋体" w:hAnsi="宋体" w:cs="宋体"/>
                <w:color w:val="auto"/>
                <w:szCs w:val="21"/>
              </w:rPr>
            </w:pPr>
          </w:p>
        </w:tc>
      </w:tr>
      <w:tr w14:paraId="6EC2AC8E">
        <w:tblPrEx>
          <w:tblCellMar>
            <w:top w:w="0" w:type="dxa"/>
            <w:left w:w="108" w:type="dxa"/>
            <w:bottom w:w="0" w:type="dxa"/>
            <w:right w:w="108" w:type="dxa"/>
          </w:tblCellMar>
        </w:tblPrEx>
        <w:trPr>
          <w:trHeight w:val="780" w:hRule="atLeast"/>
          <w:jc w:val="center"/>
        </w:trPr>
        <w:tc>
          <w:tcPr>
            <w:tcW w:w="500" w:type="dxa"/>
            <w:tcBorders>
              <w:top w:val="nil"/>
              <w:left w:val="single" w:color="000000" w:sz="8" w:space="0"/>
              <w:bottom w:val="single" w:color="000000" w:sz="8" w:space="0"/>
              <w:right w:val="single" w:color="000000" w:sz="8" w:space="0"/>
            </w:tcBorders>
            <w:noWrap/>
            <w:vAlign w:val="center"/>
          </w:tcPr>
          <w:p w14:paraId="0F3DE76A">
            <w:pPr>
              <w:widowControl/>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871" w:type="dxa"/>
            <w:gridSpan w:val="2"/>
            <w:tcBorders>
              <w:top w:val="nil"/>
              <w:left w:val="nil"/>
              <w:bottom w:val="single" w:color="000000" w:sz="8" w:space="0"/>
              <w:right w:val="single" w:color="000000" w:sz="8" w:space="0"/>
            </w:tcBorders>
            <w:vAlign w:val="center"/>
          </w:tcPr>
          <w:p w14:paraId="65527823">
            <w:pPr>
              <w:widowControl/>
              <w:jc w:val="center"/>
              <w:textAlignment w:val="center"/>
              <w:rPr>
                <w:rFonts w:ascii="宋体" w:hAnsi="宋体" w:cs="宋体"/>
                <w:color w:val="auto"/>
                <w:szCs w:val="21"/>
              </w:rPr>
            </w:pPr>
            <w:r>
              <w:rPr>
                <w:rFonts w:hint="eastAsia" w:ascii="宋体" w:hAnsi="宋体" w:cs="宋体"/>
                <w:color w:val="auto"/>
                <w:kern w:val="0"/>
                <w:szCs w:val="21"/>
                <w:lang w:bidi="ar"/>
              </w:rPr>
              <w:t>外一科</w:t>
            </w:r>
          </w:p>
        </w:tc>
        <w:tc>
          <w:tcPr>
            <w:tcW w:w="666" w:type="dxa"/>
            <w:tcBorders>
              <w:top w:val="nil"/>
              <w:left w:val="nil"/>
              <w:bottom w:val="single" w:color="000000" w:sz="8" w:space="0"/>
              <w:right w:val="single" w:color="000000" w:sz="8" w:space="0"/>
            </w:tcBorders>
            <w:noWrap/>
            <w:vAlign w:val="center"/>
          </w:tcPr>
          <w:p w14:paraId="5528661A">
            <w:pPr>
              <w:widowControl/>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2094" w:type="dxa"/>
            <w:tcBorders>
              <w:top w:val="nil"/>
              <w:left w:val="nil"/>
              <w:bottom w:val="single" w:color="000000" w:sz="8" w:space="0"/>
              <w:right w:val="single" w:color="000000" w:sz="8" w:space="0"/>
            </w:tcBorders>
            <w:vAlign w:val="center"/>
          </w:tcPr>
          <w:p w14:paraId="44A082BB">
            <w:pPr>
              <w:widowControl/>
              <w:jc w:val="center"/>
              <w:textAlignment w:val="center"/>
              <w:rPr>
                <w:rFonts w:ascii="宋体" w:hAnsi="宋体" w:cs="宋体"/>
                <w:color w:val="auto"/>
                <w:szCs w:val="21"/>
              </w:rPr>
            </w:pPr>
            <w:r>
              <w:rPr>
                <w:rFonts w:hint="eastAsia" w:ascii="宋体" w:hAnsi="宋体" w:cs="宋体"/>
                <w:color w:val="auto"/>
                <w:kern w:val="0"/>
                <w:szCs w:val="21"/>
                <w:lang w:bidi="ar"/>
              </w:rPr>
              <w:t>住院部4楼，楼梯区域：住院部4楼转角平台至5楼转角平台下（两边）</w:t>
            </w:r>
          </w:p>
        </w:tc>
        <w:tc>
          <w:tcPr>
            <w:tcW w:w="3057" w:type="dxa"/>
            <w:vMerge w:val="continue"/>
            <w:tcBorders>
              <w:top w:val="nil"/>
              <w:left w:val="nil"/>
              <w:bottom w:val="single" w:color="000000" w:sz="8" w:space="0"/>
              <w:right w:val="single" w:color="000000" w:sz="8" w:space="0"/>
            </w:tcBorders>
            <w:vAlign w:val="center"/>
          </w:tcPr>
          <w:p w14:paraId="7C8F8DF5">
            <w:pPr>
              <w:jc w:val="center"/>
              <w:rPr>
                <w:rFonts w:ascii="宋体" w:hAnsi="宋体" w:cs="宋体"/>
                <w:color w:val="auto"/>
                <w:szCs w:val="21"/>
              </w:rPr>
            </w:pPr>
          </w:p>
        </w:tc>
        <w:tc>
          <w:tcPr>
            <w:tcW w:w="948" w:type="dxa"/>
            <w:vMerge w:val="continue"/>
            <w:tcBorders>
              <w:top w:val="nil"/>
              <w:left w:val="single" w:color="000000" w:sz="8" w:space="0"/>
              <w:bottom w:val="single" w:color="000000" w:sz="8" w:space="0"/>
              <w:right w:val="single" w:color="000000" w:sz="8" w:space="0"/>
            </w:tcBorders>
            <w:vAlign w:val="center"/>
          </w:tcPr>
          <w:p w14:paraId="0CB1E133">
            <w:pPr>
              <w:jc w:val="center"/>
              <w:rPr>
                <w:rFonts w:ascii="宋体" w:hAnsi="宋体" w:cs="宋体"/>
                <w:color w:val="auto"/>
                <w:szCs w:val="21"/>
              </w:rPr>
            </w:pPr>
          </w:p>
        </w:tc>
      </w:tr>
      <w:tr w14:paraId="491FE4E8">
        <w:tblPrEx>
          <w:tblCellMar>
            <w:top w:w="0" w:type="dxa"/>
            <w:left w:w="108" w:type="dxa"/>
            <w:bottom w:w="0" w:type="dxa"/>
            <w:right w:w="108" w:type="dxa"/>
          </w:tblCellMar>
        </w:tblPrEx>
        <w:trPr>
          <w:trHeight w:val="1290" w:hRule="atLeast"/>
          <w:jc w:val="center"/>
        </w:trPr>
        <w:tc>
          <w:tcPr>
            <w:tcW w:w="500" w:type="dxa"/>
            <w:tcBorders>
              <w:top w:val="nil"/>
              <w:left w:val="single" w:color="000000" w:sz="8" w:space="0"/>
              <w:bottom w:val="single" w:color="000000" w:sz="8" w:space="0"/>
              <w:right w:val="single" w:color="000000" w:sz="8" w:space="0"/>
            </w:tcBorders>
            <w:noWrap/>
            <w:vAlign w:val="center"/>
          </w:tcPr>
          <w:p w14:paraId="5EA4BED2">
            <w:pPr>
              <w:widowControl/>
              <w:jc w:val="center"/>
              <w:textAlignment w:val="center"/>
              <w:rPr>
                <w:rFonts w:ascii="宋体" w:hAnsi="宋体" w:cs="宋体"/>
                <w:color w:val="auto"/>
                <w:szCs w:val="21"/>
              </w:rPr>
            </w:pPr>
            <w:r>
              <w:rPr>
                <w:rFonts w:hint="eastAsia" w:ascii="宋体" w:hAnsi="宋体" w:cs="宋体"/>
                <w:color w:val="auto"/>
                <w:kern w:val="0"/>
                <w:szCs w:val="21"/>
                <w:lang w:bidi="ar"/>
              </w:rPr>
              <w:t>5</w:t>
            </w:r>
          </w:p>
        </w:tc>
        <w:tc>
          <w:tcPr>
            <w:tcW w:w="871" w:type="dxa"/>
            <w:gridSpan w:val="2"/>
            <w:tcBorders>
              <w:top w:val="nil"/>
              <w:left w:val="nil"/>
              <w:bottom w:val="single" w:color="000000" w:sz="8" w:space="0"/>
              <w:right w:val="single" w:color="000000" w:sz="8" w:space="0"/>
            </w:tcBorders>
            <w:vAlign w:val="center"/>
          </w:tcPr>
          <w:p w14:paraId="5E43C3B1">
            <w:pPr>
              <w:widowControl/>
              <w:jc w:val="center"/>
              <w:textAlignment w:val="center"/>
              <w:rPr>
                <w:rFonts w:ascii="宋体" w:hAnsi="宋体" w:cs="宋体"/>
                <w:color w:val="auto"/>
                <w:szCs w:val="21"/>
              </w:rPr>
            </w:pPr>
            <w:r>
              <w:rPr>
                <w:rFonts w:hint="eastAsia" w:ascii="宋体" w:hAnsi="宋体" w:cs="宋体"/>
                <w:color w:val="auto"/>
                <w:kern w:val="0"/>
                <w:szCs w:val="21"/>
                <w:lang w:bidi="ar"/>
              </w:rPr>
              <w:t>妇产科、康复科病房</w:t>
            </w:r>
          </w:p>
        </w:tc>
        <w:tc>
          <w:tcPr>
            <w:tcW w:w="666" w:type="dxa"/>
            <w:tcBorders>
              <w:top w:val="nil"/>
              <w:left w:val="nil"/>
              <w:bottom w:val="single" w:color="000000" w:sz="8" w:space="0"/>
              <w:right w:val="single" w:color="000000" w:sz="8" w:space="0"/>
            </w:tcBorders>
            <w:noWrap/>
            <w:vAlign w:val="center"/>
          </w:tcPr>
          <w:p w14:paraId="2FFF6E50">
            <w:pPr>
              <w:widowControl/>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2094" w:type="dxa"/>
            <w:tcBorders>
              <w:top w:val="nil"/>
              <w:left w:val="nil"/>
              <w:bottom w:val="single" w:color="000000" w:sz="8" w:space="0"/>
              <w:right w:val="single" w:color="000000" w:sz="8" w:space="0"/>
            </w:tcBorders>
            <w:vAlign w:val="center"/>
          </w:tcPr>
          <w:p w14:paraId="73A2D9F6">
            <w:pPr>
              <w:widowControl/>
              <w:jc w:val="center"/>
              <w:textAlignment w:val="center"/>
              <w:rPr>
                <w:rFonts w:ascii="宋体" w:hAnsi="宋体" w:cs="宋体"/>
                <w:color w:val="auto"/>
                <w:szCs w:val="21"/>
              </w:rPr>
            </w:pPr>
            <w:r>
              <w:rPr>
                <w:rFonts w:hint="eastAsia" w:ascii="宋体" w:hAnsi="宋体" w:cs="宋体"/>
                <w:color w:val="auto"/>
                <w:kern w:val="0"/>
                <w:szCs w:val="21"/>
                <w:lang w:bidi="ar"/>
              </w:rPr>
              <w:t>住院部3楼，楼梯区域：住院部3楼平转角台至4楼转角平台下（两边）</w:t>
            </w:r>
          </w:p>
        </w:tc>
        <w:tc>
          <w:tcPr>
            <w:tcW w:w="3057" w:type="dxa"/>
            <w:tcBorders>
              <w:top w:val="nil"/>
              <w:left w:val="nil"/>
              <w:bottom w:val="single" w:color="000000" w:sz="8" w:space="0"/>
              <w:right w:val="single" w:color="000000" w:sz="8" w:space="0"/>
            </w:tcBorders>
            <w:vAlign w:val="center"/>
          </w:tcPr>
          <w:p w14:paraId="7994F3FB">
            <w:pPr>
              <w:widowControl/>
              <w:jc w:val="center"/>
              <w:textAlignment w:val="center"/>
              <w:rPr>
                <w:rFonts w:ascii="宋体" w:hAnsi="宋体" w:cs="宋体"/>
                <w:color w:val="auto"/>
                <w:szCs w:val="21"/>
              </w:rPr>
            </w:pPr>
            <w:r>
              <w:rPr>
                <w:rStyle w:val="129"/>
                <w:rFonts w:hint="default"/>
                <w:color w:val="auto"/>
                <w:lang w:bidi="ar"/>
              </w:rPr>
              <w:t>妇产科：全面清洁、垃圾清理回收，领注射药水、打开水和饮用水、擦床、擦仪器                             康复科病房：全面清洁、垃圾清理回收、擦床</w:t>
            </w:r>
          </w:p>
        </w:tc>
        <w:tc>
          <w:tcPr>
            <w:tcW w:w="948" w:type="dxa"/>
            <w:vMerge w:val="continue"/>
            <w:tcBorders>
              <w:top w:val="nil"/>
              <w:left w:val="single" w:color="000000" w:sz="8" w:space="0"/>
              <w:bottom w:val="single" w:color="000000" w:sz="8" w:space="0"/>
              <w:right w:val="single" w:color="000000" w:sz="8" w:space="0"/>
            </w:tcBorders>
            <w:vAlign w:val="center"/>
          </w:tcPr>
          <w:p w14:paraId="4B90121E">
            <w:pPr>
              <w:jc w:val="center"/>
              <w:rPr>
                <w:rFonts w:ascii="宋体" w:hAnsi="宋体" w:cs="宋体"/>
                <w:color w:val="auto"/>
                <w:szCs w:val="21"/>
              </w:rPr>
            </w:pPr>
          </w:p>
        </w:tc>
      </w:tr>
      <w:tr w14:paraId="3C6F874F">
        <w:tblPrEx>
          <w:tblCellMar>
            <w:top w:w="0" w:type="dxa"/>
            <w:left w:w="108" w:type="dxa"/>
            <w:bottom w:w="0" w:type="dxa"/>
            <w:right w:w="108" w:type="dxa"/>
          </w:tblCellMar>
        </w:tblPrEx>
        <w:trPr>
          <w:trHeight w:val="780" w:hRule="atLeast"/>
          <w:jc w:val="center"/>
        </w:trPr>
        <w:tc>
          <w:tcPr>
            <w:tcW w:w="500" w:type="dxa"/>
            <w:tcBorders>
              <w:top w:val="nil"/>
              <w:left w:val="single" w:color="000000" w:sz="8" w:space="0"/>
              <w:bottom w:val="single" w:color="000000" w:sz="8" w:space="0"/>
              <w:right w:val="single" w:color="000000" w:sz="8" w:space="0"/>
            </w:tcBorders>
            <w:noWrap/>
            <w:vAlign w:val="center"/>
          </w:tcPr>
          <w:p w14:paraId="31C7D8E8">
            <w:pPr>
              <w:widowControl/>
              <w:jc w:val="center"/>
              <w:textAlignment w:val="center"/>
              <w:rPr>
                <w:rFonts w:ascii="宋体" w:hAnsi="宋体" w:cs="宋体"/>
                <w:color w:val="auto"/>
                <w:szCs w:val="21"/>
              </w:rPr>
            </w:pPr>
            <w:r>
              <w:rPr>
                <w:rFonts w:hint="eastAsia" w:ascii="宋体" w:hAnsi="宋体" w:cs="宋体"/>
                <w:color w:val="auto"/>
                <w:kern w:val="0"/>
                <w:szCs w:val="21"/>
                <w:lang w:bidi="ar"/>
              </w:rPr>
              <w:t>6</w:t>
            </w:r>
          </w:p>
        </w:tc>
        <w:tc>
          <w:tcPr>
            <w:tcW w:w="871" w:type="dxa"/>
            <w:gridSpan w:val="2"/>
            <w:tcBorders>
              <w:top w:val="nil"/>
              <w:left w:val="nil"/>
              <w:bottom w:val="single" w:color="000000" w:sz="8" w:space="0"/>
              <w:right w:val="single" w:color="000000" w:sz="8" w:space="0"/>
            </w:tcBorders>
            <w:vAlign w:val="center"/>
          </w:tcPr>
          <w:p w14:paraId="7986F75C">
            <w:pPr>
              <w:widowControl/>
              <w:jc w:val="center"/>
              <w:textAlignment w:val="center"/>
              <w:rPr>
                <w:rFonts w:ascii="宋体" w:hAnsi="宋体" w:cs="宋体"/>
                <w:color w:val="auto"/>
                <w:szCs w:val="21"/>
              </w:rPr>
            </w:pPr>
            <w:r>
              <w:rPr>
                <w:rFonts w:hint="eastAsia" w:ascii="宋体" w:hAnsi="宋体" w:cs="宋体"/>
                <w:color w:val="auto"/>
                <w:kern w:val="0"/>
                <w:szCs w:val="21"/>
                <w:lang w:bidi="ar"/>
              </w:rPr>
              <w:t>内一科</w:t>
            </w:r>
          </w:p>
        </w:tc>
        <w:tc>
          <w:tcPr>
            <w:tcW w:w="666" w:type="dxa"/>
            <w:tcBorders>
              <w:top w:val="nil"/>
              <w:left w:val="nil"/>
              <w:bottom w:val="single" w:color="000000" w:sz="8" w:space="0"/>
              <w:right w:val="single" w:color="000000" w:sz="8" w:space="0"/>
            </w:tcBorders>
            <w:noWrap/>
            <w:vAlign w:val="center"/>
          </w:tcPr>
          <w:p w14:paraId="1C7BB495">
            <w:pPr>
              <w:widowControl/>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2094" w:type="dxa"/>
            <w:tcBorders>
              <w:top w:val="nil"/>
              <w:left w:val="nil"/>
              <w:bottom w:val="single" w:color="000000" w:sz="8" w:space="0"/>
              <w:right w:val="single" w:color="000000" w:sz="8" w:space="0"/>
            </w:tcBorders>
            <w:vAlign w:val="center"/>
          </w:tcPr>
          <w:p w14:paraId="0155B585">
            <w:pPr>
              <w:widowControl/>
              <w:jc w:val="center"/>
              <w:textAlignment w:val="center"/>
              <w:rPr>
                <w:rFonts w:ascii="宋体" w:hAnsi="宋体" w:cs="宋体"/>
                <w:color w:val="auto"/>
                <w:szCs w:val="21"/>
              </w:rPr>
            </w:pPr>
            <w:r>
              <w:rPr>
                <w:rFonts w:hint="eastAsia" w:ascii="宋体" w:hAnsi="宋体" w:cs="宋体"/>
                <w:color w:val="auto"/>
                <w:kern w:val="0"/>
                <w:szCs w:val="21"/>
                <w:lang w:bidi="ar"/>
              </w:rPr>
              <w:t>住院部1楼大厅、住院部2楼，住院部1至3楼转角平台下（两边）</w:t>
            </w:r>
          </w:p>
        </w:tc>
        <w:tc>
          <w:tcPr>
            <w:tcW w:w="3057" w:type="dxa"/>
            <w:tcBorders>
              <w:top w:val="nil"/>
              <w:left w:val="nil"/>
              <w:bottom w:val="single" w:color="000000" w:sz="8" w:space="0"/>
              <w:right w:val="single" w:color="000000" w:sz="8" w:space="0"/>
            </w:tcBorders>
            <w:vAlign w:val="center"/>
          </w:tcPr>
          <w:p w14:paraId="55E683A1">
            <w:pPr>
              <w:widowControl/>
              <w:jc w:val="center"/>
              <w:textAlignment w:val="center"/>
              <w:rPr>
                <w:rFonts w:ascii="宋体" w:hAnsi="宋体" w:cs="宋体"/>
                <w:color w:val="auto"/>
                <w:szCs w:val="21"/>
              </w:rPr>
            </w:pPr>
            <w:r>
              <w:rPr>
                <w:rFonts w:hint="eastAsia" w:ascii="宋体" w:hAnsi="宋体" w:cs="宋体"/>
                <w:color w:val="auto"/>
                <w:kern w:val="0"/>
                <w:szCs w:val="21"/>
                <w:lang w:bidi="ar"/>
              </w:rPr>
              <w:t>全面清洁、垃圾清理回收，领注射药水、打开水和饮用水、擦床</w:t>
            </w:r>
          </w:p>
        </w:tc>
        <w:tc>
          <w:tcPr>
            <w:tcW w:w="948" w:type="dxa"/>
            <w:vMerge w:val="restart"/>
            <w:tcBorders>
              <w:top w:val="nil"/>
              <w:left w:val="nil"/>
              <w:bottom w:val="single" w:color="000000" w:sz="8" w:space="0"/>
              <w:right w:val="single" w:color="000000" w:sz="8" w:space="0"/>
            </w:tcBorders>
            <w:vAlign w:val="center"/>
          </w:tcPr>
          <w:p w14:paraId="15613F96">
            <w:pPr>
              <w:widowControl/>
              <w:jc w:val="center"/>
              <w:textAlignment w:val="center"/>
              <w:rPr>
                <w:rFonts w:ascii="宋体" w:hAnsi="宋体" w:cs="宋体"/>
                <w:color w:val="auto"/>
                <w:szCs w:val="21"/>
              </w:rPr>
            </w:pPr>
            <w:r>
              <w:rPr>
                <w:rFonts w:hint="eastAsia" w:ascii="宋体" w:hAnsi="宋体" w:cs="宋体"/>
                <w:color w:val="auto"/>
                <w:kern w:val="0"/>
                <w:szCs w:val="21"/>
                <w:lang w:bidi="ar"/>
              </w:rPr>
              <w:t>含楼梯、电梯、卫生间</w:t>
            </w:r>
          </w:p>
        </w:tc>
      </w:tr>
      <w:tr w14:paraId="4B09911B">
        <w:tblPrEx>
          <w:tblCellMar>
            <w:top w:w="0" w:type="dxa"/>
            <w:left w:w="108" w:type="dxa"/>
            <w:bottom w:w="0" w:type="dxa"/>
            <w:right w:w="108" w:type="dxa"/>
          </w:tblCellMar>
        </w:tblPrEx>
        <w:trPr>
          <w:trHeight w:val="525" w:hRule="atLeast"/>
          <w:jc w:val="center"/>
        </w:trPr>
        <w:tc>
          <w:tcPr>
            <w:tcW w:w="500" w:type="dxa"/>
            <w:tcBorders>
              <w:top w:val="nil"/>
              <w:left w:val="single" w:color="000000" w:sz="8" w:space="0"/>
              <w:bottom w:val="single" w:color="000000" w:sz="8" w:space="0"/>
              <w:right w:val="single" w:color="000000" w:sz="8" w:space="0"/>
            </w:tcBorders>
            <w:noWrap/>
            <w:vAlign w:val="center"/>
          </w:tcPr>
          <w:p w14:paraId="3A5A1816">
            <w:pPr>
              <w:widowControl/>
              <w:jc w:val="center"/>
              <w:textAlignment w:val="center"/>
              <w:rPr>
                <w:rFonts w:ascii="宋体" w:hAnsi="宋体" w:cs="宋体"/>
                <w:color w:val="auto"/>
                <w:szCs w:val="21"/>
              </w:rPr>
            </w:pPr>
            <w:r>
              <w:rPr>
                <w:rFonts w:hint="eastAsia" w:ascii="宋体" w:hAnsi="宋体" w:cs="宋体"/>
                <w:color w:val="auto"/>
                <w:kern w:val="0"/>
                <w:szCs w:val="21"/>
                <w:lang w:bidi="ar"/>
              </w:rPr>
              <w:t>7</w:t>
            </w:r>
          </w:p>
        </w:tc>
        <w:tc>
          <w:tcPr>
            <w:tcW w:w="871" w:type="dxa"/>
            <w:gridSpan w:val="2"/>
            <w:tcBorders>
              <w:top w:val="nil"/>
              <w:left w:val="nil"/>
              <w:bottom w:val="single" w:color="000000" w:sz="8" w:space="0"/>
              <w:right w:val="single" w:color="000000" w:sz="8" w:space="0"/>
            </w:tcBorders>
            <w:noWrap/>
            <w:vAlign w:val="center"/>
          </w:tcPr>
          <w:p w14:paraId="242A5CD6">
            <w:pPr>
              <w:widowControl/>
              <w:jc w:val="center"/>
              <w:textAlignment w:val="center"/>
              <w:rPr>
                <w:rFonts w:ascii="宋体" w:hAnsi="宋体" w:cs="宋体"/>
                <w:color w:val="auto"/>
                <w:szCs w:val="21"/>
              </w:rPr>
            </w:pPr>
            <w:r>
              <w:rPr>
                <w:rFonts w:hint="eastAsia" w:ascii="宋体" w:hAnsi="宋体" w:cs="宋体"/>
                <w:color w:val="auto"/>
                <w:kern w:val="0"/>
                <w:szCs w:val="21"/>
                <w:lang w:bidi="ar"/>
              </w:rPr>
              <w:t>供应室</w:t>
            </w:r>
          </w:p>
        </w:tc>
        <w:tc>
          <w:tcPr>
            <w:tcW w:w="666" w:type="dxa"/>
            <w:tcBorders>
              <w:top w:val="nil"/>
              <w:left w:val="nil"/>
              <w:bottom w:val="single" w:color="000000" w:sz="8" w:space="0"/>
              <w:right w:val="single" w:color="000000" w:sz="8" w:space="0"/>
            </w:tcBorders>
            <w:noWrap/>
            <w:vAlign w:val="center"/>
          </w:tcPr>
          <w:p w14:paraId="5A5A6BDB">
            <w:pPr>
              <w:widowControl/>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2094" w:type="dxa"/>
            <w:tcBorders>
              <w:top w:val="nil"/>
              <w:left w:val="nil"/>
              <w:bottom w:val="single" w:color="000000" w:sz="8" w:space="0"/>
              <w:right w:val="single" w:color="000000" w:sz="8" w:space="0"/>
            </w:tcBorders>
            <w:vAlign w:val="center"/>
          </w:tcPr>
          <w:p w14:paraId="791EF4E3">
            <w:pPr>
              <w:widowControl/>
              <w:jc w:val="center"/>
              <w:textAlignment w:val="center"/>
              <w:rPr>
                <w:rFonts w:ascii="宋体" w:hAnsi="宋体" w:cs="宋体"/>
                <w:color w:val="auto"/>
                <w:szCs w:val="21"/>
              </w:rPr>
            </w:pPr>
            <w:r>
              <w:rPr>
                <w:rFonts w:hint="eastAsia" w:ascii="宋体" w:hAnsi="宋体" w:cs="宋体"/>
                <w:color w:val="auto"/>
                <w:kern w:val="0"/>
                <w:szCs w:val="21"/>
                <w:lang w:bidi="ar"/>
              </w:rPr>
              <w:t>科室所有门窗、玻璃、墙体、标识牌、天花板</w:t>
            </w:r>
          </w:p>
        </w:tc>
        <w:tc>
          <w:tcPr>
            <w:tcW w:w="3057" w:type="dxa"/>
            <w:tcBorders>
              <w:top w:val="nil"/>
              <w:left w:val="nil"/>
              <w:bottom w:val="single" w:color="000000" w:sz="8" w:space="0"/>
              <w:right w:val="single" w:color="000000" w:sz="8" w:space="0"/>
            </w:tcBorders>
            <w:vAlign w:val="center"/>
          </w:tcPr>
          <w:p w14:paraId="54E7640C">
            <w:pPr>
              <w:widowControl/>
              <w:jc w:val="center"/>
              <w:textAlignment w:val="center"/>
              <w:rPr>
                <w:rFonts w:ascii="宋体" w:hAnsi="宋体" w:cs="宋体"/>
                <w:color w:val="auto"/>
                <w:szCs w:val="21"/>
              </w:rPr>
            </w:pPr>
            <w:r>
              <w:rPr>
                <w:rFonts w:hint="eastAsia" w:ascii="宋体" w:hAnsi="宋体" w:cs="宋体"/>
                <w:color w:val="auto"/>
                <w:kern w:val="0"/>
                <w:szCs w:val="21"/>
                <w:lang w:bidi="ar"/>
              </w:rPr>
              <w:t>清洗器械、下收上送器械，全面清洁、垃圾清理回收</w:t>
            </w:r>
          </w:p>
        </w:tc>
        <w:tc>
          <w:tcPr>
            <w:tcW w:w="948" w:type="dxa"/>
            <w:vMerge w:val="continue"/>
            <w:tcBorders>
              <w:top w:val="nil"/>
              <w:left w:val="nil"/>
              <w:bottom w:val="single" w:color="000000" w:sz="8" w:space="0"/>
              <w:right w:val="single" w:color="000000" w:sz="8" w:space="0"/>
            </w:tcBorders>
            <w:vAlign w:val="center"/>
          </w:tcPr>
          <w:p w14:paraId="715AD44B">
            <w:pPr>
              <w:jc w:val="center"/>
              <w:rPr>
                <w:rFonts w:ascii="宋体" w:hAnsi="宋体" w:cs="宋体"/>
                <w:color w:val="auto"/>
                <w:szCs w:val="21"/>
              </w:rPr>
            </w:pPr>
          </w:p>
        </w:tc>
      </w:tr>
      <w:tr w14:paraId="5DC36F7C">
        <w:tblPrEx>
          <w:tblCellMar>
            <w:top w:w="0" w:type="dxa"/>
            <w:left w:w="108" w:type="dxa"/>
            <w:bottom w:w="0" w:type="dxa"/>
            <w:right w:w="108" w:type="dxa"/>
          </w:tblCellMar>
        </w:tblPrEx>
        <w:trPr>
          <w:trHeight w:val="1035" w:hRule="atLeast"/>
          <w:jc w:val="center"/>
        </w:trPr>
        <w:tc>
          <w:tcPr>
            <w:tcW w:w="500" w:type="dxa"/>
            <w:tcBorders>
              <w:top w:val="nil"/>
              <w:left w:val="single" w:color="000000" w:sz="8" w:space="0"/>
              <w:bottom w:val="single" w:color="000000" w:sz="8" w:space="0"/>
              <w:right w:val="single" w:color="000000" w:sz="8" w:space="0"/>
            </w:tcBorders>
            <w:noWrap/>
            <w:vAlign w:val="center"/>
          </w:tcPr>
          <w:p w14:paraId="41492CDC">
            <w:pPr>
              <w:widowControl/>
              <w:jc w:val="center"/>
              <w:textAlignment w:val="center"/>
              <w:rPr>
                <w:rFonts w:ascii="宋体" w:hAnsi="宋体" w:cs="宋体"/>
                <w:color w:val="auto"/>
                <w:szCs w:val="21"/>
              </w:rPr>
            </w:pPr>
            <w:r>
              <w:rPr>
                <w:rFonts w:hint="eastAsia" w:ascii="宋体" w:hAnsi="宋体" w:cs="宋体"/>
                <w:color w:val="auto"/>
                <w:kern w:val="0"/>
                <w:szCs w:val="21"/>
                <w:lang w:bidi="ar"/>
              </w:rPr>
              <w:t>8</w:t>
            </w:r>
          </w:p>
        </w:tc>
        <w:tc>
          <w:tcPr>
            <w:tcW w:w="871" w:type="dxa"/>
            <w:gridSpan w:val="2"/>
            <w:tcBorders>
              <w:top w:val="nil"/>
              <w:left w:val="nil"/>
              <w:bottom w:val="single" w:color="000000" w:sz="8" w:space="0"/>
              <w:right w:val="single" w:color="000000" w:sz="8" w:space="0"/>
            </w:tcBorders>
            <w:noWrap/>
            <w:vAlign w:val="center"/>
          </w:tcPr>
          <w:p w14:paraId="1DC91816">
            <w:pPr>
              <w:widowControl/>
              <w:jc w:val="center"/>
              <w:textAlignment w:val="center"/>
              <w:rPr>
                <w:rFonts w:ascii="宋体" w:hAnsi="宋体" w:cs="宋体"/>
                <w:color w:val="auto"/>
                <w:szCs w:val="21"/>
              </w:rPr>
            </w:pPr>
            <w:r>
              <w:rPr>
                <w:rFonts w:hint="eastAsia" w:ascii="宋体" w:hAnsi="宋体" w:cs="宋体"/>
                <w:color w:val="auto"/>
                <w:kern w:val="0"/>
                <w:szCs w:val="21"/>
                <w:lang w:bidi="ar"/>
              </w:rPr>
              <w:t>内二科、康复科</w:t>
            </w:r>
          </w:p>
        </w:tc>
        <w:tc>
          <w:tcPr>
            <w:tcW w:w="666" w:type="dxa"/>
            <w:tcBorders>
              <w:top w:val="nil"/>
              <w:left w:val="nil"/>
              <w:bottom w:val="single" w:color="000000" w:sz="8" w:space="0"/>
              <w:right w:val="single" w:color="000000" w:sz="8" w:space="0"/>
            </w:tcBorders>
            <w:noWrap/>
            <w:vAlign w:val="center"/>
          </w:tcPr>
          <w:p w14:paraId="7193582C">
            <w:pPr>
              <w:widowControl/>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2094" w:type="dxa"/>
            <w:tcBorders>
              <w:top w:val="nil"/>
              <w:left w:val="nil"/>
              <w:bottom w:val="single" w:color="000000" w:sz="8" w:space="0"/>
              <w:right w:val="single" w:color="000000" w:sz="8" w:space="0"/>
            </w:tcBorders>
            <w:vAlign w:val="center"/>
          </w:tcPr>
          <w:p w14:paraId="0C0A2A40">
            <w:pPr>
              <w:widowControl/>
              <w:jc w:val="center"/>
              <w:textAlignment w:val="center"/>
              <w:rPr>
                <w:rFonts w:ascii="宋体" w:hAnsi="宋体" w:cs="宋体"/>
                <w:color w:val="auto"/>
                <w:szCs w:val="21"/>
              </w:rPr>
            </w:pPr>
            <w:r>
              <w:rPr>
                <w:rFonts w:hint="eastAsia" w:ascii="宋体" w:hAnsi="宋体" w:cs="宋体"/>
                <w:color w:val="auto"/>
                <w:kern w:val="0"/>
                <w:szCs w:val="21"/>
                <w:lang w:bidi="ar"/>
              </w:rPr>
              <w:t>1至3楼(1楼康复科、2、3内二科)      楼梯区域：内二科楼1楼至4楼（两边）</w:t>
            </w:r>
          </w:p>
        </w:tc>
        <w:tc>
          <w:tcPr>
            <w:tcW w:w="3057" w:type="dxa"/>
            <w:tcBorders>
              <w:top w:val="nil"/>
              <w:left w:val="nil"/>
              <w:bottom w:val="single" w:color="000000" w:sz="8" w:space="0"/>
              <w:right w:val="single" w:color="000000" w:sz="8" w:space="0"/>
            </w:tcBorders>
            <w:vAlign w:val="center"/>
          </w:tcPr>
          <w:p w14:paraId="569D1BD0">
            <w:pPr>
              <w:widowControl/>
              <w:jc w:val="center"/>
              <w:textAlignment w:val="center"/>
              <w:rPr>
                <w:rFonts w:ascii="宋体" w:hAnsi="宋体" w:cs="宋体"/>
                <w:color w:val="auto"/>
                <w:szCs w:val="21"/>
              </w:rPr>
            </w:pPr>
            <w:r>
              <w:rPr>
                <w:rStyle w:val="129"/>
                <w:rFonts w:hint="default"/>
                <w:color w:val="auto"/>
                <w:lang w:bidi="ar"/>
              </w:rPr>
              <w:t>内二科：全面清洁、垃圾清理回收，领注射药水、打开水和饮用水、擦床   康复科：全面清洁、垃圾清理回收、擦床</w:t>
            </w:r>
          </w:p>
        </w:tc>
        <w:tc>
          <w:tcPr>
            <w:tcW w:w="948" w:type="dxa"/>
            <w:vMerge w:val="continue"/>
            <w:tcBorders>
              <w:top w:val="nil"/>
              <w:left w:val="nil"/>
              <w:bottom w:val="single" w:color="000000" w:sz="8" w:space="0"/>
              <w:right w:val="single" w:color="000000" w:sz="8" w:space="0"/>
            </w:tcBorders>
            <w:vAlign w:val="center"/>
          </w:tcPr>
          <w:p w14:paraId="55B02D11">
            <w:pPr>
              <w:jc w:val="center"/>
              <w:rPr>
                <w:rFonts w:ascii="宋体" w:hAnsi="宋体" w:cs="宋体"/>
                <w:color w:val="auto"/>
                <w:szCs w:val="21"/>
              </w:rPr>
            </w:pPr>
          </w:p>
        </w:tc>
      </w:tr>
      <w:tr w14:paraId="63EA23BE">
        <w:tblPrEx>
          <w:tblCellMar>
            <w:top w:w="0" w:type="dxa"/>
            <w:left w:w="108" w:type="dxa"/>
            <w:bottom w:w="0" w:type="dxa"/>
            <w:right w:w="108" w:type="dxa"/>
          </w:tblCellMar>
        </w:tblPrEx>
        <w:trPr>
          <w:trHeight w:val="1545" w:hRule="atLeast"/>
          <w:jc w:val="center"/>
        </w:trPr>
        <w:tc>
          <w:tcPr>
            <w:tcW w:w="500" w:type="dxa"/>
            <w:vMerge w:val="restart"/>
            <w:tcBorders>
              <w:top w:val="nil"/>
              <w:left w:val="single" w:color="000000" w:sz="8" w:space="0"/>
              <w:bottom w:val="single" w:color="000000" w:sz="8" w:space="0"/>
              <w:right w:val="single" w:color="000000" w:sz="8" w:space="0"/>
            </w:tcBorders>
            <w:noWrap/>
            <w:vAlign w:val="center"/>
          </w:tcPr>
          <w:p w14:paraId="17217DC6">
            <w:pPr>
              <w:widowControl/>
              <w:jc w:val="center"/>
              <w:textAlignment w:val="center"/>
              <w:rPr>
                <w:rFonts w:ascii="宋体" w:hAnsi="宋体" w:cs="宋体"/>
                <w:color w:val="auto"/>
                <w:szCs w:val="21"/>
              </w:rPr>
            </w:pPr>
            <w:r>
              <w:rPr>
                <w:rFonts w:hint="eastAsia" w:ascii="宋体" w:hAnsi="宋体" w:cs="宋体"/>
                <w:color w:val="auto"/>
                <w:kern w:val="0"/>
                <w:szCs w:val="21"/>
                <w:lang w:bidi="ar"/>
              </w:rPr>
              <w:t>9</w:t>
            </w:r>
          </w:p>
        </w:tc>
        <w:tc>
          <w:tcPr>
            <w:tcW w:w="871" w:type="dxa"/>
            <w:gridSpan w:val="2"/>
            <w:vMerge w:val="restart"/>
            <w:tcBorders>
              <w:top w:val="nil"/>
              <w:left w:val="nil"/>
              <w:bottom w:val="single" w:color="000000" w:sz="8" w:space="0"/>
              <w:right w:val="single" w:color="000000" w:sz="8" w:space="0"/>
            </w:tcBorders>
            <w:noWrap/>
            <w:vAlign w:val="center"/>
          </w:tcPr>
          <w:p w14:paraId="0D292776">
            <w:pPr>
              <w:widowControl/>
              <w:jc w:val="center"/>
              <w:textAlignment w:val="center"/>
              <w:rPr>
                <w:rFonts w:ascii="宋体" w:hAnsi="宋体" w:cs="宋体"/>
                <w:color w:val="auto"/>
                <w:szCs w:val="21"/>
              </w:rPr>
            </w:pPr>
            <w:r>
              <w:rPr>
                <w:rFonts w:hint="eastAsia" w:ascii="宋体" w:hAnsi="宋体" w:cs="宋体"/>
                <w:color w:val="auto"/>
                <w:kern w:val="0"/>
                <w:szCs w:val="21"/>
                <w:lang w:bidi="ar"/>
              </w:rPr>
              <w:t>医技楼</w:t>
            </w:r>
          </w:p>
        </w:tc>
        <w:tc>
          <w:tcPr>
            <w:tcW w:w="666" w:type="dxa"/>
            <w:vMerge w:val="restart"/>
            <w:tcBorders>
              <w:top w:val="nil"/>
              <w:left w:val="nil"/>
              <w:bottom w:val="single" w:color="000000" w:sz="8" w:space="0"/>
              <w:right w:val="single" w:color="000000" w:sz="8" w:space="0"/>
            </w:tcBorders>
            <w:noWrap/>
            <w:vAlign w:val="center"/>
          </w:tcPr>
          <w:p w14:paraId="06F042F0">
            <w:pPr>
              <w:widowControl/>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2094" w:type="dxa"/>
            <w:tcBorders>
              <w:top w:val="nil"/>
              <w:left w:val="nil"/>
              <w:bottom w:val="single" w:color="000000" w:sz="8" w:space="0"/>
              <w:right w:val="single" w:color="000000" w:sz="8" w:space="0"/>
            </w:tcBorders>
            <w:vAlign w:val="center"/>
          </w:tcPr>
          <w:p w14:paraId="2731071A">
            <w:pPr>
              <w:widowControl/>
              <w:jc w:val="center"/>
              <w:textAlignment w:val="center"/>
              <w:rPr>
                <w:rFonts w:ascii="宋体" w:hAnsi="宋体" w:cs="宋体"/>
                <w:color w:val="auto"/>
                <w:szCs w:val="21"/>
              </w:rPr>
            </w:pPr>
            <w:r>
              <w:rPr>
                <w:rFonts w:hint="eastAsia" w:ascii="宋体" w:hAnsi="宋体" w:cs="宋体"/>
                <w:color w:val="auto"/>
                <w:kern w:val="0"/>
                <w:szCs w:val="21"/>
                <w:lang w:bidi="ar"/>
              </w:rPr>
              <w:t>医技楼5楼通道、6楼、7楼，门诊楼、医技楼楼顶，门诊6楼会议室半边，楼梯区域：医技楼5楼转角平台至8楼，门诊楼5楼至7楼</w:t>
            </w:r>
          </w:p>
        </w:tc>
        <w:tc>
          <w:tcPr>
            <w:tcW w:w="3057" w:type="dxa"/>
            <w:vMerge w:val="restart"/>
            <w:tcBorders>
              <w:top w:val="nil"/>
              <w:left w:val="nil"/>
              <w:bottom w:val="single" w:color="000000" w:sz="8" w:space="0"/>
              <w:right w:val="single" w:color="000000" w:sz="8" w:space="0"/>
            </w:tcBorders>
            <w:noWrap/>
            <w:vAlign w:val="center"/>
          </w:tcPr>
          <w:p w14:paraId="025539FC">
            <w:pPr>
              <w:widowControl/>
              <w:jc w:val="center"/>
              <w:textAlignment w:val="center"/>
              <w:rPr>
                <w:rFonts w:ascii="宋体" w:hAnsi="宋体" w:cs="宋体"/>
                <w:color w:val="auto"/>
                <w:szCs w:val="21"/>
              </w:rPr>
            </w:pPr>
            <w:r>
              <w:rPr>
                <w:rFonts w:hint="eastAsia" w:ascii="宋体" w:hAnsi="宋体" w:cs="宋体"/>
                <w:color w:val="auto"/>
                <w:kern w:val="0"/>
                <w:szCs w:val="21"/>
                <w:lang w:bidi="ar"/>
              </w:rPr>
              <w:t>全面清洁、垃圾清理回收、打饮用水</w:t>
            </w:r>
          </w:p>
        </w:tc>
        <w:tc>
          <w:tcPr>
            <w:tcW w:w="948" w:type="dxa"/>
            <w:vMerge w:val="continue"/>
            <w:tcBorders>
              <w:top w:val="nil"/>
              <w:left w:val="nil"/>
              <w:bottom w:val="single" w:color="000000" w:sz="8" w:space="0"/>
              <w:right w:val="single" w:color="000000" w:sz="8" w:space="0"/>
            </w:tcBorders>
            <w:vAlign w:val="center"/>
          </w:tcPr>
          <w:p w14:paraId="2F6B71FB">
            <w:pPr>
              <w:jc w:val="center"/>
              <w:rPr>
                <w:rFonts w:ascii="宋体" w:hAnsi="宋体" w:cs="宋体"/>
                <w:color w:val="auto"/>
                <w:szCs w:val="21"/>
              </w:rPr>
            </w:pPr>
          </w:p>
        </w:tc>
      </w:tr>
      <w:tr w14:paraId="0E023CB1">
        <w:tblPrEx>
          <w:tblCellMar>
            <w:top w:w="0" w:type="dxa"/>
            <w:left w:w="108" w:type="dxa"/>
            <w:bottom w:w="0" w:type="dxa"/>
            <w:right w:w="108" w:type="dxa"/>
          </w:tblCellMar>
        </w:tblPrEx>
        <w:trPr>
          <w:trHeight w:val="1290" w:hRule="atLeast"/>
          <w:jc w:val="center"/>
        </w:trPr>
        <w:tc>
          <w:tcPr>
            <w:tcW w:w="500" w:type="dxa"/>
            <w:vMerge w:val="continue"/>
            <w:tcBorders>
              <w:top w:val="nil"/>
              <w:left w:val="single" w:color="000000" w:sz="8" w:space="0"/>
              <w:bottom w:val="single" w:color="000000" w:sz="8" w:space="0"/>
              <w:right w:val="single" w:color="000000" w:sz="8" w:space="0"/>
            </w:tcBorders>
            <w:noWrap/>
            <w:vAlign w:val="center"/>
          </w:tcPr>
          <w:p w14:paraId="4BDF4202">
            <w:pPr>
              <w:jc w:val="center"/>
              <w:rPr>
                <w:rFonts w:ascii="宋体" w:hAnsi="宋体" w:cs="宋体"/>
                <w:color w:val="auto"/>
                <w:szCs w:val="21"/>
              </w:rPr>
            </w:pPr>
          </w:p>
        </w:tc>
        <w:tc>
          <w:tcPr>
            <w:tcW w:w="871" w:type="dxa"/>
            <w:gridSpan w:val="2"/>
            <w:vMerge w:val="continue"/>
            <w:tcBorders>
              <w:top w:val="nil"/>
              <w:left w:val="nil"/>
              <w:bottom w:val="single" w:color="000000" w:sz="8" w:space="0"/>
              <w:right w:val="single" w:color="000000" w:sz="8" w:space="0"/>
            </w:tcBorders>
            <w:noWrap/>
            <w:vAlign w:val="center"/>
          </w:tcPr>
          <w:p w14:paraId="5EBBB323">
            <w:pPr>
              <w:jc w:val="center"/>
              <w:rPr>
                <w:rFonts w:ascii="宋体" w:hAnsi="宋体" w:cs="宋体"/>
                <w:color w:val="auto"/>
                <w:szCs w:val="21"/>
              </w:rPr>
            </w:pPr>
          </w:p>
        </w:tc>
        <w:tc>
          <w:tcPr>
            <w:tcW w:w="666" w:type="dxa"/>
            <w:vMerge w:val="continue"/>
            <w:tcBorders>
              <w:top w:val="nil"/>
              <w:left w:val="nil"/>
              <w:bottom w:val="single" w:color="000000" w:sz="8" w:space="0"/>
              <w:right w:val="single" w:color="000000" w:sz="8" w:space="0"/>
            </w:tcBorders>
            <w:noWrap/>
            <w:vAlign w:val="center"/>
          </w:tcPr>
          <w:p w14:paraId="3717A327">
            <w:pPr>
              <w:jc w:val="center"/>
              <w:rPr>
                <w:rFonts w:ascii="宋体" w:hAnsi="宋体" w:cs="宋体"/>
                <w:color w:val="auto"/>
                <w:szCs w:val="21"/>
              </w:rPr>
            </w:pPr>
          </w:p>
        </w:tc>
        <w:tc>
          <w:tcPr>
            <w:tcW w:w="2094" w:type="dxa"/>
            <w:tcBorders>
              <w:top w:val="nil"/>
              <w:left w:val="nil"/>
              <w:bottom w:val="single" w:color="000000" w:sz="8" w:space="0"/>
              <w:right w:val="single" w:color="000000" w:sz="8" w:space="0"/>
            </w:tcBorders>
            <w:vAlign w:val="center"/>
          </w:tcPr>
          <w:p w14:paraId="5BD0A63E">
            <w:pPr>
              <w:widowControl/>
              <w:jc w:val="center"/>
              <w:textAlignment w:val="center"/>
              <w:rPr>
                <w:rFonts w:ascii="宋体" w:hAnsi="宋体" w:cs="宋体"/>
                <w:color w:val="auto"/>
                <w:szCs w:val="21"/>
              </w:rPr>
            </w:pPr>
            <w:r>
              <w:rPr>
                <w:rFonts w:hint="eastAsia" w:ascii="宋体" w:hAnsi="宋体" w:cs="宋体"/>
                <w:color w:val="auto"/>
                <w:kern w:val="0"/>
                <w:szCs w:val="21"/>
                <w:lang w:bidi="ar"/>
              </w:rPr>
              <w:t>医技楼2楼、3楼、4楼通道，门诊6楼会议室半边，楼梯区域：医技楼楼2转角平台至5楼转角平台，门诊楼1楼至5楼</w:t>
            </w:r>
          </w:p>
        </w:tc>
        <w:tc>
          <w:tcPr>
            <w:tcW w:w="3057" w:type="dxa"/>
            <w:vMerge w:val="continue"/>
            <w:tcBorders>
              <w:top w:val="nil"/>
              <w:left w:val="nil"/>
              <w:bottom w:val="single" w:color="000000" w:sz="8" w:space="0"/>
              <w:right w:val="single" w:color="000000" w:sz="8" w:space="0"/>
            </w:tcBorders>
            <w:noWrap/>
            <w:vAlign w:val="center"/>
          </w:tcPr>
          <w:p w14:paraId="4B542F5B">
            <w:pPr>
              <w:jc w:val="center"/>
              <w:rPr>
                <w:rFonts w:ascii="宋体" w:hAnsi="宋体" w:cs="宋体"/>
                <w:color w:val="auto"/>
                <w:szCs w:val="21"/>
              </w:rPr>
            </w:pPr>
          </w:p>
        </w:tc>
        <w:tc>
          <w:tcPr>
            <w:tcW w:w="948" w:type="dxa"/>
            <w:vMerge w:val="continue"/>
            <w:tcBorders>
              <w:top w:val="nil"/>
              <w:left w:val="nil"/>
              <w:bottom w:val="single" w:color="000000" w:sz="8" w:space="0"/>
              <w:right w:val="single" w:color="000000" w:sz="8" w:space="0"/>
            </w:tcBorders>
            <w:vAlign w:val="center"/>
          </w:tcPr>
          <w:p w14:paraId="585175FA">
            <w:pPr>
              <w:jc w:val="center"/>
              <w:rPr>
                <w:rFonts w:ascii="宋体" w:hAnsi="宋体" w:cs="宋体"/>
                <w:color w:val="auto"/>
                <w:szCs w:val="21"/>
              </w:rPr>
            </w:pPr>
          </w:p>
        </w:tc>
      </w:tr>
      <w:tr w14:paraId="4951898B">
        <w:tblPrEx>
          <w:tblCellMar>
            <w:top w:w="0" w:type="dxa"/>
            <w:left w:w="108" w:type="dxa"/>
            <w:bottom w:w="0" w:type="dxa"/>
            <w:right w:w="108" w:type="dxa"/>
          </w:tblCellMar>
        </w:tblPrEx>
        <w:trPr>
          <w:trHeight w:val="1035" w:hRule="atLeast"/>
          <w:jc w:val="center"/>
        </w:trPr>
        <w:tc>
          <w:tcPr>
            <w:tcW w:w="500" w:type="dxa"/>
            <w:vMerge w:val="continue"/>
            <w:tcBorders>
              <w:top w:val="nil"/>
              <w:left w:val="single" w:color="000000" w:sz="8" w:space="0"/>
              <w:bottom w:val="single" w:color="000000" w:sz="8" w:space="0"/>
              <w:right w:val="single" w:color="000000" w:sz="8" w:space="0"/>
            </w:tcBorders>
            <w:noWrap/>
            <w:vAlign w:val="center"/>
          </w:tcPr>
          <w:p w14:paraId="60F05FC9">
            <w:pPr>
              <w:jc w:val="center"/>
              <w:rPr>
                <w:rFonts w:ascii="宋体" w:hAnsi="宋体" w:cs="宋体"/>
                <w:color w:val="auto"/>
                <w:szCs w:val="21"/>
              </w:rPr>
            </w:pPr>
          </w:p>
        </w:tc>
        <w:tc>
          <w:tcPr>
            <w:tcW w:w="871" w:type="dxa"/>
            <w:gridSpan w:val="2"/>
            <w:vMerge w:val="continue"/>
            <w:tcBorders>
              <w:top w:val="nil"/>
              <w:left w:val="nil"/>
              <w:bottom w:val="single" w:color="000000" w:sz="8" w:space="0"/>
              <w:right w:val="single" w:color="000000" w:sz="8" w:space="0"/>
            </w:tcBorders>
            <w:noWrap/>
            <w:vAlign w:val="center"/>
          </w:tcPr>
          <w:p w14:paraId="55C0F460">
            <w:pPr>
              <w:jc w:val="center"/>
              <w:rPr>
                <w:rFonts w:ascii="宋体" w:hAnsi="宋体" w:cs="宋体"/>
                <w:color w:val="auto"/>
                <w:szCs w:val="21"/>
              </w:rPr>
            </w:pPr>
          </w:p>
        </w:tc>
        <w:tc>
          <w:tcPr>
            <w:tcW w:w="666" w:type="dxa"/>
            <w:vMerge w:val="continue"/>
            <w:tcBorders>
              <w:top w:val="nil"/>
              <w:left w:val="nil"/>
              <w:bottom w:val="single" w:color="000000" w:sz="8" w:space="0"/>
              <w:right w:val="single" w:color="000000" w:sz="8" w:space="0"/>
            </w:tcBorders>
            <w:noWrap/>
            <w:vAlign w:val="center"/>
          </w:tcPr>
          <w:p w14:paraId="7C5E28CD">
            <w:pPr>
              <w:jc w:val="center"/>
              <w:rPr>
                <w:rFonts w:ascii="宋体" w:hAnsi="宋体" w:cs="宋体"/>
                <w:color w:val="auto"/>
                <w:szCs w:val="21"/>
              </w:rPr>
            </w:pPr>
          </w:p>
        </w:tc>
        <w:tc>
          <w:tcPr>
            <w:tcW w:w="2094" w:type="dxa"/>
            <w:tcBorders>
              <w:top w:val="nil"/>
              <w:left w:val="nil"/>
              <w:bottom w:val="single" w:color="000000" w:sz="8" w:space="0"/>
              <w:right w:val="single" w:color="000000" w:sz="8" w:space="0"/>
            </w:tcBorders>
            <w:vAlign w:val="center"/>
          </w:tcPr>
          <w:p w14:paraId="20D8F1CD">
            <w:pPr>
              <w:widowControl/>
              <w:jc w:val="center"/>
              <w:textAlignment w:val="center"/>
              <w:rPr>
                <w:rFonts w:ascii="宋体" w:hAnsi="宋体" w:cs="宋体"/>
                <w:color w:val="auto"/>
                <w:szCs w:val="21"/>
              </w:rPr>
            </w:pPr>
            <w:r>
              <w:rPr>
                <w:rFonts w:hint="eastAsia" w:ascii="宋体" w:hAnsi="宋体" w:cs="宋体"/>
                <w:color w:val="auto"/>
                <w:kern w:val="0"/>
                <w:szCs w:val="21"/>
                <w:lang w:bidi="ar"/>
              </w:rPr>
              <w:t>医技楼负一楼、1楼，门诊楼负1楼停车场，楼梯区域：医技楼负一楼至2楼转角</w:t>
            </w:r>
          </w:p>
        </w:tc>
        <w:tc>
          <w:tcPr>
            <w:tcW w:w="3057" w:type="dxa"/>
            <w:tcBorders>
              <w:top w:val="nil"/>
              <w:left w:val="nil"/>
              <w:bottom w:val="single" w:color="000000" w:sz="8" w:space="0"/>
              <w:right w:val="single" w:color="000000" w:sz="8" w:space="0"/>
            </w:tcBorders>
            <w:vAlign w:val="center"/>
          </w:tcPr>
          <w:p w14:paraId="45C0BD69">
            <w:pPr>
              <w:widowControl/>
              <w:jc w:val="center"/>
              <w:textAlignment w:val="center"/>
              <w:rPr>
                <w:rFonts w:ascii="宋体" w:hAnsi="宋体" w:cs="宋体"/>
                <w:color w:val="auto"/>
                <w:szCs w:val="21"/>
              </w:rPr>
            </w:pPr>
            <w:r>
              <w:rPr>
                <w:rFonts w:hint="eastAsia" w:ascii="宋体" w:hAnsi="宋体" w:cs="宋体"/>
                <w:color w:val="auto"/>
                <w:kern w:val="0"/>
                <w:szCs w:val="21"/>
                <w:lang w:bidi="ar"/>
              </w:rPr>
              <w:t>全面清洁、垃圾清理回收、打饮用水、领发热门诊耗材</w:t>
            </w:r>
          </w:p>
        </w:tc>
        <w:tc>
          <w:tcPr>
            <w:tcW w:w="948" w:type="dxa"/>
            <w:vMerge w:val="continue"/>
            <w:tcBorders>
              <w:top w:val="nil"/>
              <w:left w:val="nil"/>
              <w:bottom w:val="single" w:color="000000" w:sz="8" w:space="0"/>
              <w:right w:val="single" w:color="000000" w:sz="8" w:space="0"/>
            </w:tcBorders>
            <w:vAlign w:val="center"/>
          </w:tcPr>
          <w:p w14:paraId="45B77330">
            <w:pPr>
              <w:jc w:val="center"/>
              <w:rPr>
                <w:rFonts w:ascii="宋体" w:hAnsi="宋体" w:cs="宋体"/>
                <w:color w:val="auto"/>
                <w:szCs w:val="21"/>
              </w:rPr>
            </w:pPr>
          </w:p>
        </w:tc>
      </w:tr>
      <w:tr w14:paraId="1FE6B4AA">
        <w:tblPrEx>
          <w:tblCellMar>
            <w:top w:w="0" w:type="dxa"/>
            <w:left w:w="108" w:type="dxa"/>
            <w:bottom w:w="0" w:type="dxa"/>
            <w:right w:w="108" w:type="dxa"/>
          </w:tblCellMar>
        </w:tblPrEx>
        <w:trPr>
          <w:trHeight w:val="3075" w:hRule="atLeast"/>
          <w:jc w:val="center"/>
        </w:trPr>
        <w:tc>
          <w:tcPr>
            <w:tcW w:w="500" w:type="dxa"/>
            <w:tcBorders>
              <w:top w:val="nil"/>
              <w:left w:val="single" w:color="000000" w:sz="8" w:space="0"/>
              <w:bottom w:val="single" w:color="000000" w:sz="8" w:space="0"/>
              <w:right w:val="single" w:color="000000" w:sz="8" w:space="0"/>
            </w:tcBorders>
            <w:noWrap/>
            <w:vAlign w:val="center"/>
          </w:tcPr>
          <w:p w14:paraId="1B56E908">
            <w:pPr>
              <w:widowControl/>
              <w:jc w:val="center"/>
              <w:textAlignment w:val="center"/>
              <w:rPr>
                <w:rFonts w:ascii="宋体" w:hAnsi="宋体" w:cs="宋体"/>
                <w:color w:val="auto"/>
                <w:szCs w:val="21"/>
              </w:rPr>
            </w:pPr>
            <w:r>
              <w:rPr>
                <w:rFonts w:hint="eastAsia" w:ascii="宋体" w:hAnsi="宋体" w:cs="宋体"/>
                <w:color w:val="auto"/>
                <w:kern w:val="0"/>
                <w:szCs w:val="21"/>
                <w:lang w:bidi="ar"/>
              </w:rPr>
              <w:t>10</w:t>
            </w:r>
          </w:p>
        </w:tc>
        <w:tc>
          <w:tcPr>
            <w:tcW w:w="871" w:type="dxa"/>
            <w:gridSpan w:val="2"/>
            <w:tcBorders>
              <w:top w:val="nil"/>
              <w:left w:val="nil"/>
              <w:bottom w:val="single" w:color="000000" w:sz="8" w:space="0"/>
              <w:right w:val="single" w:color="000000" w:sz="8" w:space="0"/>
            </w:tcBorders>
            <w:noWrap/>
            <w:vAlign w:val="center"/>
          </w:tcPr>
          <w:p w14:paraId="10B0C21D">
            <w:pPr>
              <w:widowControl/>
              <w:jc w:val="center"/>
              <w:textAlignment w:val="center"/>
              <w:rPr>
                <w:rFonts w:ascii="宋体" w:hAnsi="宋体" w:cs="宋体"/>
                <w:color w:val="auto"/>
                <w:szCs w:val="21"/>
              </w:rPr>
            </w:pPr>
            <w:r>
              <w:rPr>
                <w:rFonts w:hint="eastAsia" w:ascii="宋体" w:hAnsi="宋体" w:cs="宋体"/>
                <w:color w:val="auto"/>
                <w:kern w:val="0"/>
                <w:szCs w:val="21"/>
                <w:lang w:bidi="ar"/>
              </w:rPr>
              <w:t>检验科、病理科</w:t>
            </w:r>
          </w:p>
        </w:tc>
        <w:tc>
          <w:tcPr>
            <w:tcW w:w="666" w:type="dxa"/>
            <w:tcBorders>
              <w:top w:val="nil"/>
              <w:left w:val="nil"/>
              <w:bottom w:val="single" w:color="000000" w:sz="8" w:space="0"/>
              <w:right w:val="single" w:color="000000" w:sz="8" w:space="0"/>
            </w:tcBorders>
            <w:noWrap/>
            <w:vAlign w:val="center"/>
          </w:tcPr>
          <w:p w14:paraId="43702575">
            <w:pPr>
              <w:widowControl/>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2094" w:type="dxa"/>
            <w:tcBorders>
              <w:top w:val="nil"/>
              <w:left w:val="nil"/>
              <w:bottom w:val="single" w:color="000000" w:sz="8" w:space="0"/>
              <w:right w:val="single" w:color="000000" w:sz="8" w:space="0"/>
            </w:tcBorders>
            <w:vAlign w:val="center"/>
          </w:tcPr>
          <w:p w14:paraId="435B7700">
            <w:pPr>
              <w:widowControl/>
              <w:jc w:val="center"/>
              <w:textAlignment w:val="center"/>
              <w:rPr>
                <w:rFonts w:ascii="宋体" w:hAnsi="宋体" w:cs="宋体"/>
                <w:color w:val="auto"/>
                <w:szCs w:val="21"/>
              </w:rPr>
            </w:pPr>
            <w:r>
              <w:rPr>
                <w:rFonts w:hint="eastAsia" w:ascii="宋体" w:hAnsi="宋体" w:cs="宋体"/>
                <w:color w:val="auto"/>
                <w:kern w:val="0"/>
                <w:szCs w:val="21"/>
                <w:lang w:bidi="ar"/>
              </w:rPr>
              <w:t>医技楼4、5楼检验科、病理科室内</w:t>
            </w:r>
          </w:p>
        </w:tc>
        <w:tc>
          <w:tcPr>
            <w:tcW w:w="3057" w:type="dxa"/>
            <w:tcBorders>
              <w:top w:val="nil"/>
              <w:left w:val="nil"/>
              <w:bottom w:val="single" w:color="000000" w:sz="8" w:space="0"/>
              <w:right w:val="single" w:color="000000" w:sz="8" w:space="0"/>
            </w:tcBorders>
            <w:vAlign w:val="center"/>
          </w:tcPr>
          <w:p w14:paraId="3EBCFA93">
            <w:pPr>
              <w:widowControl/>
              <w:jc w:val="center"/>
              <w:textAlignment w:val="center"/>
              <w:rPr>
                <w:rFonts w:ascii="宋体" w:hAnsi="宋体" w:cs="宋体"/>
                <w:color w:val="auto"/>
                <w:szCs w:val="21"/>
              </w:rPr>
            </w:pPr>
            <w:r>
              <w:rPr>
                <w:rFonts w:hint="eastAsia" w:ascii="宋体" w:hAnsi="宋体" w:cs="宋体"/>
                <w:color w:val="auto"/>
                <w:kern w:val="0"/>
                <w:szCs w:val="21"/>
                <w:lang w:bidi="ar"/>
              </w:rPr>
              <w:t>擦仪器；洗涤洗血型板、大小便接放盘子、竹签、玻璃片、血库交叉配血的玻璃管、微生物用的培养板子、玻璃管子、塞子并消毒、浸泡、煮、再次洗涤后高压；高生化室用的吸嘴、生化杯、大小子弹头，洗好并烤干；各科室送上来的输血袋要跟护工交接签字；高压全院病人的标本、领耗材、打饮用水、接生化室用来做化验的两大桶纯净水、全面清洁、垃圾清理回收</w:t>
            </w:r>
          </w:p>
        </w:tc>
        <w:tc>
          <w:tcPr>
            <w:tcW w:w="948" w:type="dxa"/>
            <w:vMerge w:val="restart"/>
            <w:tcBorders>
              <w:top w:val="nil"/>
              <w:left w:val="nil"/>
              <w:bottom w:val="single" w:color="000000" w:sz="8" w:space="0"/>
              <w:right w:val="single" w:color="000000" w:sz="8" w:space="0"/>
            </w:tcBorders>
            <w:vAlign w:val="center"/>
          </w:tcPr>
          <w:p w14:paraId="361E6585">
            <w:pPr>
              <w:widowControl/>
              <w:jc w:val="center"/>
              <w:textAlignment w:val="center"/>
              <w:rPr>
                <w:rFonts w:ascii="宋体" w:hAnsi="宋体" w:cs="宋体"/>
                <w:color w:val="auto"/>
                <w:szCs w:val="21"/>
              </w:rPr>
            </w:pPr>
            <w:r>
              <w:rPr>
                <w:rFonts w:hint="eastAsia" w:ascii="宋体" w:hAnsi="宋体" w:cs="宋体"/>
                <w:color w:val="auto"/>
                <w:kern w:val="0"/>
                <w:szCs w:val="21"/>
                <w:lang w:bidi="ar"/>
              </w:rPr>
              <w:t>含楼梯、电梯、卫生间</w:t>
            </w:r>
          </w:p>
        </w:tc>
      </w:tr>
      <w:tr w14:paraId="23C0F69D">
        <w:tblPrEx>
          <w:tblCellMar>
            <w:top w:w="0" w:type="dxa"/>
            <w:left w:w="108" w:type="dxa"/>
            <w:bottom w:w="0" w:type="dxa"/>
            <w:right w:w="108" w:type="dxa"/>
          </w:tblCellMar>
        </w:tblPrEx>
        <w:trPr>
          <w:trHeight w:val="525" w:hRule="atLeast"/>
          <w:jc w:val="center"/>
        </w:trPr>
        <w:tc>
          <w:tcPr>
            <w:tcW w:w="500" w:type="dxa"/>
            <w:vMerge w:val="restart"/>
            <w:tcBorders>
              <w:top w:val="nil"/>
              <w:left w:val="single" w:color="000000" w:sz="8" w:space="0"/>
              <w:bottom w:val="single" w:color="000000" w:sz="8" w:space="0"/>
              <w:right w:val="single" w:color="000000" w:sz="8" w:space="0"/>
            </w:tcBorders>
            <w:noWrap/>
            <w:vAlign w:val="center"/>
          </w:tcPr>
          <w:p w14:paraId="06613668">
            <w:pPr>
              <w:widowControl/>
              <w:jc w:val="center"/>
              <w:textAlignment w:val="center"/>
              <w:rPr>
                <w:rFonts w:ascii="宋体" w:hAnsi="宋体" w:cs="宋体"/>
                <w:color w:val="auto"/>
                <w:szCs w:val="21"/>
              </w:rPr>
            </w:pPr>
            <w:r>
              <w:rPr>
                <w:rFonts w:hint="eastAsia" w:ascii="宋体" w:hAnsi="宋体" w:cs="宋体"/>
                <w:color w:val="auto"/>
                <w:kern w:val="0"/>
                <w:szCs w:val="21"/>
                <w:lang w:bidi="ar"/>
              </w:rPr>
              <w:t>11</w:t>
            </w:r>
          </w:p>
        </w:tc>
        <w:tc>
          <w:tcPr>
            <w:tcW w:w="871" w:type="dxa"/>
            <w:gridSpan w:val="2"/>
            <w:vMerge w:val="restart"/>
            <w:tcBorders>
              <w:top w:val="nil"/>
              <w:left w:val="nil"/>
              <w:bottom w:val="single" w:color="000000" w:sz="8" w:space="0"/>
              <w:right w:val="single" w:color="000000" w:sz="8" w:space="0"/>
            </w:tcBorders>
            <w:noWrap/>
            <w:vAlign w:val="center"/>
          </w:tcPr>
          <w:p w14:paraId="2AF75DF1">
            <w:pPr>
              <w:widowControl/>
              <w:jc w:val="center"/>
              <w:textAlignment w:val="center"/>
              <w:rPr>
                <w:rFonts w:ascii="宋体" w:hAnsi="宋体" w:cs="宋体"/>
                <w:color w:val="auto"/>
                <w:szCs w:val="21"/>
              </w:rPr>
            </w:pPr>
            <w:r>
              <w:rPr>
                <w:rFonts w:hint="eastAsia" w:ascii="宋体" w:hAnsi="宋体" w:cs="宋体"/>
                <w:color w:val="auto"/>
                <w:kern w:val="0"/>
                <w:szCs w:val="21"/>
                <w:lang w:bidi="ar"/>
              </w:rPr>
              <w:t>门诊楼</w:t>
            </w:r>
          </w:p>
        </w:tc>
        <w:tc>
          <w:tcPr>
            <w:tcW w:w="666" w:type="dxa"/>
            <w:vMerge w:val="restart"/>
            <w:tcBorders>
              <w:top w:val="nil"/>
              <w:left w:val="nil"/>
              <w:bottom w:val="single" w:color="000000" w:sz="8" w:space="0"/>
              <w:right w:val="single" w:color="000000" w:sz="8" w:space="0"/>
            </w:tcBorders>
            <w:noWrap/>
            <w:vAlign w:val="center"/>
          </w:tcPr>
          <w:p w14:paraId="36058167">
            <w:pPr>
              <w:widowControl/>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2094" w:type="dxa"/>
            <w:tcBorders>
              <w:top w:val="nil"/>
              <w:left w:val="nil"/>
              <w:bottom w:val="single" w:color="000000" w:sz="8" w:space="0"/>
              <w:right w:val="single" w:color="000000" w:sz="8" w:space="0"/>
            </w:tcBorders>
            <w:vAlign w:val="center"/>
          </w:tcPr>
          <w:p w14:paraId="46D7E7C7">
            <w:pPr>
              <w:widowControl/>
              <w:jc w:val="center"/>
              <w:textAlignment w:val="center"/>
              <w:rPr>
                <w:rFonts w:ascii="宋体" w:hAnsi="宋体" w:cs="宋体"/>
                <w:color w:val="auto"/>
                <w:szCs w:val="21"/>
              </w:rPr>
            </w:pPr>
            <w:r>
              <w:rPr>
                <w:rFonts w:hint="eastAsia" w:ascii="宋体" w:hAnsi="宋体" w:cs="宋体"/>
                <w:color w:val="auto"/>
                <w:kern w:val="0"/>
                <w:szCs w:val="21"/>
                <w:lang w:bidi="ar"/>
              </w:rPr>
              <w:t>门诊4楼半边（口腔科），楼梯区域：门诊6楼至3楼</w:t>
            </w:r>
          </w:p>
        </w:tc>
        <w:tc>
          <w:tcPr>
            <w:tcW w:w="3057" w:type="dxa"/>
            <w:vMerge w:val="restart"/>
            <w:tcBorders>
              <w:top w:val="nil"/>
              <w:left w:val="nil"/>
              <w:bottom w:val="single" w:color="000000" w:sz="8" w:space="0"/>
              <w:right w:val="single" w:color="000000" w:sz="8" w:space="0"/>
            </w:tcBorders>
            <w:vAlign w:val="center"/>
          </w:tcPr>
          <w:p w14:paraId="2D386202">
            <w:pPr>
              <w:widowControl/>
              <w:jc w:val="center"/>
              <w:textAlignment w:val="center"/>
              <w:rPr>
                <w:rFonts w:ascii="宋体" w:hAnsi="宋体" w:cs="宋体"/>
                <w:color w:val="auto"/>
                <w:szCs w:val="21"/>
              </w:rPr>
            </w:pPr>
            <w:r>
              <w:rPr>
                <w:rFonts w:hint="eastAsia" w:ascii="宋体" w:hAnsi="宋体" w:cs="宋体"/>
                <w:color w:val="auto"/>
                <w:kern w:val="0"/>
                <w:szCs w:val="21"/>
                <w:lang w:bidi="ar"/>
              </w:rPr>
              <w:t>全面清洁、垃圾清理回收，打饮用水、擦仪器</w:t>
            </w:r>
          </w:p>
        </w:tc>
        <w:tc>
          <w:tcPr>
            <w:tcW w:w="948" w:type="dxa"/>
            <w:vMerge w:val="continue"/>
            <w:tcBorders>
              <w:top w:val="nil"/>
              <w:left w:val="nil"/>
              <w:bottom w:val="single" w:color="000000" w:sz="8" w:space="0"/>
              <w:right w:val="single" w:color="000000" w:sz="8" w:space="0"/>
            </w:tcBorders>
            <w:vAlign w:val="center"/>
          </w:tcPr>
          <w:p w14:paraId="781C1F27">
            <w:pPr>
              <w:jc w:val="center"/>
              <w:rPr>
                <w:rFonts w:ascii="宋体" w:hAnsi="宋体" w:cs="宋体"/>
                <w:color w:val="auto"/>
                <w:szCs w:val="21"/>
              </w:rPr>
            </w:pPr>
          </w:p>
        </w:tc>
      </w:tr>
      <w:tr w14:paraId="3EEFBFBD">
        <w:tblPrEx>
          <w:tblCellMar>
            <w:top w:w="0" w:type="dxa"/>
            <w:left w:w="108" w:type="dxa"/>
            <w:bottom w:w="0" w:type="dxa"/>
            <w:right w:w="108" w:type="dxa"/>
          </w:tblCellMar>
        </w:tblPrEx>
        <w:trPr>
          <w:trHeight w:val="2820" w:hRule="atLeast"/>
          <w:jc w:val="center"/>
        </w:trPr>
        <w:tc>
          <w:tcPr>
            <w:tcW w:w="500" w:type="dxa"/>
            <w:vMerge w:val="continue"/>
            <w:tcBorders>
              <w:top w:val="nil"/>
              <w:left w:val="single" w:color="000000" w:sz="8" w:space="0"/>
              <w:bottom w:val="single" w:color="000000" w:sz="8" w:space="0"/>
              <w:right w:val="single" w:color="000000" w:sz="8" w:space="0"/>
            </w:tcBorders>
            <w:noWrap/>
            <w:vAlign w:val="center"/>
          </w:tcPr>
          <w:p w14:paraId="6A0797AD">
            <w:pPr>
              <w:jc w:val="center"/>
              <w:rPr>
                <w:rFonts w:ascii="宋体" w:hAnsi="宋体" w:cs="宋体"/>
                <w:color w:val="auto"/>
                <w:szCs w:val="21"/>
              </w:rPr>
            </w:pPr>
          </w:p>
        </w:tc>
        <w:tc>
          <w:tcPr>
            <w:tcW w:w="871" w:type="dxa"/>
            <w:gridSpan w:val="2"/>
            <w:vMerge w:val="continue"/>
            <w:tcBorders>
              <w:top w:val="nil"/>
              <w:left w:val="nil"/>
              <w:bottom w:val="single" w:color="000000" w:sz="8" w:space="0"/>
              <w:right w:val="single" w:color="000000" w:sz="8" w:space="0"/>
            </w:tcBorders>
            <w:noWrap/>
            <w:vAlign w:val="center"/>
          </w:tcPr>
          <w:p w14:paraId="310F6495">
            <w:pPr>
              <w:jc w:val="center"/>
              <w:rPr>
                <w:rFonts w:ascii="宋体" w:hAnsi="宋体" w:cs="宋体"/>
                <w:color w:val="auto"/>
                <w:szCs w:val="21"/>
              </w:rPr>
            </w:pPr>
          </w:p>
        </w:tc>
        <w:tc>
          <w:tcPr>
            <w:tcW w:w="666" w:type="dxa"/>
            <w:vMerge w:val="continue"/>
            <w:tcBorders>
              <w:top w:val="nil"/>
              <w:left w:val="nil"/>
              <w:bottom w:val="single" w:color="000000" w:sz="8" w:space="0"/>
              <w:right w:val="single" w:color="000000" w:sz="8" w:space="0"/>
            </w:tcBorders>
            <w:noWrap/>
            <w:vAlign w:val="center"/>
          </w:tcPr>
          <w:p w14:paraId="1368DDC7">
            <w:pPr>
              <w:jc w:val="center"/>
              <w:rPr>
                <w:rFonts w:ascii="宋体" w:hAnsi="宋体" w:cs="宋体"/>
                <w:color w:val="auto"/>
                <w:szCs w:val="21"/>
              </w:rPr>
            </w:pPr>
          </w:p>
        </w:tc>
        <w:tc>
          <w:tcPr>
            <w:tcW w:w="2094" w:type="dxa"/>
            <w:tcBorders>
              <w:top w:val="nil"/>
              <w:left w:val="nil"/>
              <w:bottom w:val="single" w:color="000000" w:sz="8" w:space="0"/>
              <w:right w:val="single" w:color="000000" w:sz="8" w:space="0"/>
            </w:tcBorders>
            <w:vAlign w:val="center"/>
          </w:tcPr>
          <w:p w14:paraId="2B5AB64B">
            <w:pPr>
              <w:widowControl/>
              <w:jc w:val="center"/>
              <w:textAlignment w:val="center"/>
              <w:rPr>
                <w:rFonts w:ascii="宋体" w:hAnsi="宋体" w:cs="宋体"/>
                <w:color w:val="auto"/>
                <w:szCs w:val="21"/>
              </w:rPr>
            </w:pPr>
            <w:r>
              <w:rPr>
                <w:rFonts w:hint="eastAsia" w:ascii="宋体" w:hAnsi="宋体" w:cs="宋体"/>
                <w:color w:val="auto"/>
                <w:kern w:val="0"/>
                <w:szCs w:val="21"/>
                <w:lang w:bidi="ar"/>
              </w:rPr>
              <w:t>门诊2楼（内、外、儿、中医、康复门诊）、3楼半边（妇科门诊），门诊2楼露天楼顶，楼梯区域：门诊3楼平台至1楼门诊1楼半边（除西药房外），急救综合楼核酸采样点，住院部通道分诊台2，消控室，急救综合楼2楼，楼梯区域：门诊1楼至负一楼，急救综合楼2楼至1楼（两边）</w:t>
            </w:r>
          </w:p>
        </w:tc>
        <w:tc>
          <w:tcPr>
            <w:tcW w:w="3057" w:type="dxa"/>
            <w:vMerge w:val="continue"/>
            <w:tcBorders>
              <w:top w:val="nil"/>
              <w:left w:val="nil"/>
              <w:bottom w:val="single" w:color="000000" w:sz="8" w:space="0"/>
              <w:right w:val="single" w:color="000000" w:sz="8" w:space="0"/>
            </w:tcBorders>
            <w:vAlign w:val="center"/>
          </w:tcPr>
          <w:p w14:paraId="44ADD5D8">
            <w:pPr>
              <w:jc w:val="center"/>
              <w:rPr>
                <w:rFonts w:ascii="宋体" w:hAnsi="宋体" w:cs="宋体"/>
                <w:color w:val="auto"/>
                <w:szCs w:val="21"/>
              </w:rPr>
            </w:pPr>
          </w:p>
        </w:tc>
        <w:tc>
          <w:tcPr>
            <w:tcW w:w="948" w:type="dxa"/>
            <w:vMerge w:val="continue"/>
            <w:tcBorders>
              <w:top w:val="nil"/>
              <w:left w:val="nil"/>
              <w:bottom w:val="single" w:color="000000" w:sz="8" w:space="0"/>
              <w:right w:val="single" w:color="000000" w:sz="8" w:space="0"/>
            </w:tcBorders>
            <w:vAlign w:val="center"/>
          </w:tcPr>
          <w:p w14:paraId="5D808E9D">
            <w:pPr>
              <w:jc w:val="center"/>
              <w:rPr>
                <w:rFonts w:ascii="宋体" w:hAnsi="宋体" w:cs="宋体"/>
                <w:color w:val="auto"/>
                <w:szCs w:val="21"/>
              </w:rPr>
            </w:pPr>
          </w:p>
        </w:tc>
      </w:tr>
      <w:tr w14:paraId="44DCD96E">
        <w:tblPrEx>
          <w:tblCellMar>
            <w:top w:w="0" w:type="dxa"/>
            <w:left w:w="108" w:type="dxa"/>
            <w:bottom w:w="0" w:type="dxa"/>
            <w:right w:w="108" w:type="dxa"/>
          </w:tblCellMar>
        </w:tblPrEx>
        <w:trPr>
          <w:trHeight w:val="525" w:hRule="atLeast"/>
          <w:jc w:val="center"/>
        </w:trPr>
        <w:tc>
          <w:tcPr>
            <w:tcW w:w="500" w:type="dxa"/>
            <w:tcBorders>
              <w:top w:val="nil"/>
              <w:left w:val="single" w:color="000000" w:sz="8" w:space="0"/>
              <w:bottom w:val="single" w:color="000000" w:sz="8" w:space="0"/>
              <w:right w:val="single" w:color="000000" w:sz="8" w:space="0"/>
            </w:tcBorders>
            <w:noWrap/>
            <w:vAlign w:val="center"/>
          </w:tcPr>
          <w:p w14:paraId="15891590">
            <w:pPr>
              <w:widowControl/>
              <w:jc w:val="center"/>
              <w:textAlignment w:val="center"/>
              <w:rPr>
                <w:rFonts w:ascii="宋体" w:hAnsi="宋体" w:cs="宋体"/>
                <w:color w:val="auto"/>
                <w:szCs w:val="21"/>
              </w:rPr>
            </w:pPr>
            <w:r>
              <w:rPr>
                <w:rFonts w:hint="eastAsia" w:ascii="宋体" w:hAnsi="宋体" w:cs="宋体"/>
                <w:color w:val="auto"/>
                <w:kern w:val="0"/>
                <w:szCs w:val="21"/>
                <w:lang w:bidi="ar"/>
              </w:rPr>
              <w:t>12</w:t>
            </w:r>
          </w:p>
        </w:tc>
        <w:tc>
          <w:tcPr>
            <w:tcW w:w="871" w:type="dxa"/>
            <w:gridSpan w:val="2"/>
            <w:tcBorders>
              <w:top w:val="nil"/>
              <w:left w:val="nil"/>
              <w:bottom w:val="single" w:color="000000" w:sz="8" w:space="0"/>
              <w:right w:val="single" w:color="000000" w:sz="8" w:space="0"/>
            </w:tcBorders>
            <w:noWrap/>
            <w:vAlign w:val="center"/>
          </w:tcPr>
          <w:p w14:paraId="31BD8820">
            <w:pPr>
              <w:widowControl/>
              <w:jc w:val="center"/>
              <w:textAlignment w:val="center"/>
              <w:rPr>
                <w:rFonts w:ascii="宋体" w:hAnsi="宋体" w:cs="宋体"/>
                <w:color w:val="auto"/>
                <w:szCs w:val="21"/>
              </w:rPr>
            </w:pPr>
            <w:r>
              <w:rPr>
                <w:rFonts w:hint="eastAsia" w:ascii="宋体" w:hAnsi="宋体" w:cs="宋体"/>
                <w:color w:val="auto"/>
                <w:kern w:val="0"/>
                <w:szCs w:val="21"/>
                <w:lang w:bidi="ar"/>
              </w:rPr>
              <w:t>体检科</w:t>
            </w:r>
          </w:p>
        </w:tc>
        <w:tc>
          <w:tcPr>
            <w:tcW w:w="666" w:type="dxa"/>
            <w:vMerge w:val="restart"/>
            <w:tcBorders>
              <w:top w:val="nil"/>
              <w:left w:val="nil"/>
              <w:bottom w:val="single" w:color="000000" w:sz="8" w:space="0"/>
              <w:right w:val="single" w:color="000000" w:sz="8" w:space="0"/>
            </w:tcBorders>
            <w:noWrap/>
            <w:vAlign w:val="center"/>
          </w:tcPr>
          <w:p w14:paraId="588F69B9">
            <w:pPr>
              <w:widowControl/>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2094" w:type="dxa"/>
            <w:vMerge w:val="restart"/>
            <w:tcBorders>
              <w:top w:val="nil"/>
              <w:left w:val="nil"/>
              <w:bottom w:val="single" w:color="000000" w:sz="8" w:space="0"/>
              <w:right w:val="single" w:color="000000" w:sz="8" w:space="0"/>
            </w:tcBorders>
            <w:vAlign w:val="center"/>
          </w:tcPr>
          <w:p w14:paraId="1ECAB626">
            <w:pPr>
              <w:widowControl/>
              <w:jc w:val="center"/>
              <w:textAlignment w:val="center"/>
              <w:rPr>
                <w:rFonts w:ascii="宋体" w:hAnsi="宋体" w:cs="宋体"/>
                <w:color w:val="auto"/>
                <w:szCs w:val="21"/>
              </w:rPr>
            </w:pPr>
            <w:r>
              <w:rPr>
                <w:rFonts w:hint="eastAsia" w:ascii="宋体" w:hAnsi="宋体" w:cs="宋体"/>
                <w:color w:val="auto"/>
                <w:kern w:val="0"/>
                <w:szCs w:val="21"/>
                <w:lang w:bidi="ar"/>
              </w:rPr>
              <w:t>急救综合楼5-7楼，急救综合楼7楼楼顶，楼梯区域：急救综合楼5楼到8楼（两边）</w:t>
            </w:r>
          </w:p>
        </w:tc>
        <w:tc>
          <w:tcPr>
            <w:tcW w:w="3057" w:type="dxa"/>
            <w:tcBorders>
              <w:top w:val="nil"/>
              <w:left w:val="nil"/>
              <w:bottom w:val="single" w:color="000000" w:sz="8" w:space="0"/>
              <w:right w:val="single" w:color="000000" w:sz="8" w:space="0"/>
            </w:tcBorders>
            <w:vAlign w:val="center"/>
          </w:tcPr>
          <w:p w14:paraId="7B12A5ED">
            <w:pPr>
              <w:widowControl/>
              <w:jc w:val="center"/>
              <w:textAlignment w:val="center"/>
              <w:rPr>
                <w:rFonts w:ascii="宋体" w:hAnsi="宋体" w:cs="宋体"/>
                <w:color w:val="auto"/>
                <w:szCs w:val="21"/>
              </w:rPr>
            </w:pPr>
            <w:r>
              <w:rPr>
                <w:rFonts w:hint="eastAsia" w:ascii="宋体" w:hAnsi="宋体" w:cs="宋体"/>
                <w:color w:val="auto"/>
                <w:kern w:val="0"/>
                <w:szCs w:val="21"/>
                <w:lang w:bidi="ar"/>
              </w:rPr>
              <w:t>全面清洁、垃圾清理回收、打饮用水</w:t>
            </w:r>
          </w:p>
        </w:tc>
        <w:tc>
          <w:tcPr>
            <w:tcW w:w="948" w:type="dxa"/>
            <w:vMerge w:val="restart"/>
            <w:tcBorders>
              <w:top w:val="nil"/>
              <w:left w:val="nil"/>
              <w:bottom w:val="single" w:color="000000" w:sz="8" w:space="0"/>
              <w:right w:val="single" w:color="000000" w:sz="8" w:space="0"/>
            </w:tcBorders>
            <w:vAlign w:val="center"/>
          </w:tcPr>
          <w:p w14:paraId="2583E8A3">
            <w:pPr>
              <w:widowControl/>
              <w:jc w:val="center"/>
              <w:textAlignment w:val="center"/>
              <w:rPr>
                <w:rFonts w:ascii="宋体" w:hAnsi="宋体" w:cs="宋体"/>
                <w:color w:val="auto"/>
                <w:szCs w:val="21"/>
              </w:rPr>
            </w:pPr>
            <w:r>
              <w:rPr>
                <w:rFonts w:hint="eastAsia" w:ascii="宋体" w:hAnsi="宋体" w:cs="宋体"/>
                <w:color w:val="auto"/>
                <w:kern w:val="0"/>
                <w:szCs w:val="21"/>
                <w:lang w:bidi="ar"/>
              </w:rPr>
              <w:t>含楼梯、电梯、卫生间</w:t>
            </w:r>
          </w:p>
        </w:tc>
      </w:tr>
      <w:tr w14:paraId="02AF3277">
        <w:tblPrEx>
          <w:tblCellMar>
            <w:top w:w="0" w:type="dxa"/>
            <w:left w:w="108" w:type="dxa"/>
            <w:bottom w:w="0" w:type="dxa"/>
            <w:right w:w="108" w:type="dxa"/>
          </w:tblCellMar>
        </w:tblPrEx>
        <w:trPr>
          <w:trHeight w:val="285" w:hRule="atLeast"/>
          <w:jc w:val="center"/>
        </w:trPr>
        <w:tc>
          <w:tcPr>
            <w:tcW w:w="500" w:type="dxa"/>
            <w:tcBorders>
              <w:top w:val="nil"/>
              <w:left w:val="single" w:color="000000" w:sz="8" w:space="0"/>
              <w:bottom w:val="single" w:color="000000" w:sz="8" w:space="0"/>
              <w:right w:val="single" w:color="000000" w:sz="8" w:space="0"/>
            </w:tcBorders>
            <w:noWrap/>
            <w:vAlign w:val="center"/>
          </w:tcPr>
          <w:p w14:paraId="401E8599">
            <w:pPr>
              <w:widowControl/>
              <w:jc w:val="center"/>
              <w:textAlignment w:val="center"/>
              <w:rPr>
                <w:rFonts w:ascii="宋体" w:hAnsi="宋体" w:cs="宋体"/>
                <w:color w:val="auto"/>
                <w:szCs w:val="21"/>
              </w:rPr>
            </w:pPr>
            <w:r>
              <w:rPr>
                <w:rFonts w:hint="eastAsia" w:ascii="宋体" w:hAnsi="宋体" w:cs="宋体"/>
                <w:color w:val="auto"/>
                <w:kern w:val="0"/>
                <w:szCs w:val="21"/>
                <w:lang w:bidi="ar"/>
              </w:rPr>
              <w:t>13</w:t>
            </w:r>
          </w:p>
        </w:tc>
        <w:tc>
          <w:tcPr>
            <w:tcW w:w="871" w:type="dxa"/>
            <w:gridSpan w:val="2"/>
            <w:tcBorders>
              <w:top w:val="nil"/>
              <w:left w:val="nil"/>
              <w:bottom w:val="single" w:color="000000" w:sz="8" w:space="0"/>
              <w:right w:val="single" w:color="000000" w:sz="8" w:space="0"/>
            </w:tcBorders>
            <w:noWrap/>
            <w:vAlign w:val="center"/>
          </w:tcPr>
          <w:p w14:paraId="6DA3273A">
            <w:pPr>
              <w:widowControl/>
              <w:jc w:val="center"/>
              <w:textAlignment w:val="center"/>
              <w:rPr>
                <w:rFonts w:ascii="宋体" w:hAnsi="宋体" w:cs="宋体"/>
                <w:color w:val="auto"/>
                <w:szCs w:val="21"/>
              </w:rPr>
            </w:pPr>
            <w:r>
              <w:rPr>
                <w:rFonts w:hint="eastAsia" w:ascii="宋体" w:hAnsi="宋体" w:cs="宋体"/>
                <w:color w:val="auto"/>
                <w:kern w:val="0"/>
                <w:szCs w:val="21"/>
                <w:lang w:bidi="ar"/>
              </w:rPr>
              <w:t>ICU</w:t>
            </w:r>
          </w:p>
        </w:tc>
        <w:tc>
          <w:tcPr>
            <w:tcW w:w="666" w:type="dxa"/>
            <w:vMerge w:val="continue"/>
            <w:tcBorders>
              <w:top w:val="nil"/>
              <w:left w:val="nil"/>
              <w:bottom w:val="single" w:color="000000" w:sz="8" w:space="0"/>
              <w:right w:val="single" w:color="000000" w:sz="8" w:space="0"/>
            </w:tcBorders>
            <w:noWrap/>
            <w:vAlign w:val="center"/>
          </w:tcPr>
          <w:p w14:paraId="2BFFFA6E">
            <w:pPr>
              <w:jc w:val="center"/>
              <w:rPr>
                <w:rFonts w:ascii="宋体" w:hAnsi="宋体" w:cs="宋体"/>
                <w:color w:val="auto"/>
                <w:szCs w:val="21"/>
              </w:rPr>
            </w:pPr>
          </w:p>
        </w:tc>
        <w:tc>
          <w:tcPr>
            <w:tcW w:w="2094" w:type="dxa"/>
            <w:vMerge w:val="continue"/>
            <w:tcBorders>
              <w:top w:val="nil"/>
              <w:left w:val="nil"/>
              <w:bottom w:val="single" w:color="000000" w:sz="8" w:space="0"/>
              <w:right w:val="single" w:color="000000" w:sz="8" w:space="0"/>
            </w:tcBorders>
            <w:vAlign w:val="center"/>
          </w:tcPr>
          <w:p w14:paraId="745F133D">
            <w:pPr>
              <w:jc w:val="center"/>
              <w:rPr>
                <w:rFonts w:ascii="宋体" w:hAnsi="宋体" w:cs="宋体"/>
                <w:color w:val="auto"/>
                <w:szCs w:val="21"/>
              </w:rPr>
            </w:pPr>
          </w:p>
        </w:tc>
        <w:tc>
          <w:tcPr>
            <w:tcW w:w="3057" w:type="dxa"/>
            <w:vMerge w:val="restart"/>
            <w:tcBorders>
              <w:top w:val="nil"/>
              <w:left w:val="nil"/>
              <w:bottom w:val="single" w:color="000000" w:sz="8" w:space="0"/>
              <w:right w:val="single" w:color="000000" w:sz="8" w:space="0"/>
            </w:tcBorders>
            <w:vAlign w:val="center"/>
          </w:tcPr>
          <w:p w14:paraId="3F6A10B9">
            <w:pPr>
              <w:widowControl/>
              <w:jc w:val="center"/>
              <w:textAlignment w:val="center"/>
              <w:rPr>
                <w:rFonts w:ascii="宋体" w:hAnsi="宋体" w:cs="宋体"/>
                <w:color w:val="auto"/>
                <w:szCs w:val="21"/>
              </w:rPr>
            </w:pPr>
            <w:r>
              <w:rPr>
                <w:rFonts w:hint="eastAsia" w:ascii="宋体" w:hAnsi="宋体" w:cs="宋体"/>
                <w:color w:val="auto"/>
                <w:kern w:val="0"/>
                <w:szCs w:val="21"/>
                <w:lang w:bidi="ar"/>
              </w:rPr>
              <w:t>全面清洁、垃圾清理回收、打饮用水、擦床</w:t>
            </w:r>
          </w:p>
        </w:tc>
        <w:tc>
          <w:tcPr>
            <w:tcW w:w="948" w:type="dxa"/>
            <w:vMerge w:val="continue"/>
            <w:tcBorders>
              <w:top w:val="nil"/>
              <w:left w:val="nil"/>
              <w:bottom w:val="single" w:color="000000" w:sz="8" w:space="0"/>
              <w:right w:val="single" w:color="000000" w:sz="8" w:space="0"/>
            </w:tcBorders>
            <w:vAlign w:val="center"/>
          </w:tcPr>
          <w:p w14:paraId="0CED8557">
            <w:pPr>
              <w:jc w:val="center"/>
              <w:rPr>
                <w:rFonts w:ascii="宋体" w:hAnsi="宋体" w:cs="宋体"/>
                <w:color w:val="auto"/>
                <w:szCs w:val="21"/>
              </w:rPr>
            </w:pPr>
          </w:p>
        </w:tc>
      </w:tr>
      <w:tr w14:paraId="29EF244F">
        <w:tblPrEx>
          <w:tblCellMar>
            <w:top w:w="0" w:type="dxa"/>
            <w:left w:w="108" w:type="dxa"/>
            <w:bottom w:w="0" w:type="dxa"/>
            <w:right w:w="108" w:type="dxa"/>
          </w:tblCellMar>
        </w:tblPrEx>
        <w:trPr>
          <w:trHeight w:val="285" w:hRule="atLeast"/>
          <w:jc w:val="center"/>
        </w:trPr>
        <w:tc>
          <w:tcPr>
            <w:tcW w:w="500" w:type="dxa"/>
            <w:tcBorders>
              <w:top w:val="nil"/>
              <w:left w:val="single" w:color="000000" w:sz="8" w:space="0"/>
              <w:bottom w:val="single" w:color="000000" w:sz="8" w:space="0"/>
              <w:right w:val="single" w:color="000000" w:sz="8" w:space="0"/>
            </w:tcBorders>
            <w:noWrap/>
            <w:vAlign w:val="center"/>
          </w:tcPr>
          <w:p w14:paraId="13DDF72F">
            <w:pPr>
              <w:widowControl/>
              <w:jc w:val="center"/>
              <w:textAlignment w:val="center"/>
              <w:rPr>
                <w:rFonts w:ascii="宋体" w:hAnsi="宋体" w:cs="宋体"/>
                <w:color w:val="auto"/>
                <w:szCs w:val="21"/>
              </w:rPr>
            </w:pPr>
            <w:r>
              <w:rPr>
                <w:rFonts w:hint="eastAsia" w:ascii="宋体" w:hAnsi="宋体" w:cs="宋体"/>
                <w:color w:val="auto"/>
                <w:kern w:val="0"/>
                <w:szCs w:val="21"/>
                <w:lang w:bidi="ar"/>
              </w:rPr>
              <w:t>14</w:t>
            </w:r>
          </w:p>
        </w:tc>
        <w:tc>
          <w:tcPr>
            <w:tcW w:w="871" w:type="dxa"/>
            <w:gridSpan w:val="2"/>
            <w:tcBorders>
              <w:top w:val="nil"/>
              <w:left w:val="nil"/>
              <w:bottom w:val="single" w:color="000000" w:sz="8" w:space="0"/>
              <w:right w:val="single" w:color="000000" w:sz="8" w:space="0"/>
            </w:tcBorders>
            <w:noWrap/>
            <w:vAlign w:val="center"/>
          </w:tcPr>
          <w:p w14:paraId="761C50C5">
            <w:pPr>
              <w:widowControl/>
              <w:jc w:val="center"/>
              <w:textAlignment w:val="center"/>
              <w:rPr>
                <w:rFonts w:ascii="宋体" w:hAnsi="宋体" w:cs="宋体"/>
                <w:color w:val="auto"/>
                <w:szCs w:val="21"/>
              </w:rPr>
            </w:pPr>
            <w:r>
              <w:rPr>
                <w:rFonts w:hint="eastAsia" w:ascii="宋体" w:hAnsi="宋体" w:cs="宋体"/>
                <w:color w:val="auto"/>
                <w:kern w:val="0"/>
                <w:szCs w:val="21"/>
                <w:lang w:bidi="ar"/>
              </w:rPr>
              <w:t>血透室</w:t>
            </w:r>
          </w:p>
        </w:tc>
        <w:tc>
          <w:tcPr>
            <w:tcW w:w="666" w:type="dxa"/>
            <w:vMerge w:val="continue"/>
            <w:tcBorders>
              <w:top w:val="nil"/>
              <w:left w:val="nil"/>
              <w:bottom w:val="single" w:color="000000" w:sz="8" w:space="0"/>
              <w:right w:val="single" w:color="000000" w:sz="8" w:space="0"/>
            </w:tcBorders>
            <w:noWrap/>
            <w:vAlign w:val="center"/>
          </w:tcPr>
          <w:p w14:paraId="73BBEA01">
            <w:pPr>
              <w:jc w:val="center"/>
              <w:rPr>
                <w:rFonts w:ascii="宋体" w:hAnsi="宋体" w:cs="宋体"/>
                <w:color w:val="auto"/>
                <w:szCs w:val="21"/>
              </w:rPr>
            </w:pPr>
          </w:p>
        </w:tc>
        <w:tc>
          <w:tcPr>
            <w:tcW w:w="2094" w:type="dxa"/>
            <w:vMerge w:val="continue"/>
            <w:tcBorders>
              <w:top w:val="nil"/>
              <w:left w:val="nil"/>
              <w:bottom w:val="single" w:color="000000" w:sz="8" w:space="0"/>
              <w:right w:val="single" w:color="000000" w:sz="8" w:space="0"/>
            </w:tcBorders>
            <w:vAlign w:val="center"/>
          </w:tcPr>
          <w:p w14:paraId="6DEB3A2B">
            <w:pPr>
              <w:jc w:val="center"/>
              <w:rPr>
                <w:rFonts w:ascii="宋体" w:hAnsi="宋体" w:cs="宋体"/>
                <w:color w:val="auto"/>
                <w:szCs w:val="21"/>
              </w:rPr>
            </w:pPr>
          </w:p>
        </w:tc>
        <w:tc>
          <w:tcPr>
            <w:tcW w:w="3057" w:type="dxa"/>
            <w:vMerge w:val="continue"/>
            <w:tcBorders>
              <w:top w:val="nil"/>
              <w:left w:val="nil"/>
              <w:bottom w:val="single" w:color="000000" w:sz="8" w:space="0"/>
              <w:right w:val="single" w:color="000000" w:sz="8" w:space="0"/>
            </w:tcBorders>
            <w:vAlign w:val="center"/>
          </w:tcPr>
          <w:p w14:paraId="4A24D1BC">
            <w:pPr>
              <w:jc w:val="center"/>
              <w:rPr>
                <w:rFonts w:ascii="宋体" w:hAnsi="宋体" w:cs="宋体"/>
                <w:color w:val="auto"/>
                <w:szCs w:val="21"/>
              </w:rPr>
            </w:pPr>
          </w:p>
        </w:tc>
        <w:tc>
          <w:tcPr>
            <w:tcW w:w="948" w:type="dxa"/>
            <w:vMerge w:val="continue"/>
            <w:tcBorders>
              <w:top w:val="nil"/>
              <w:left w:val="nil"/>
              <w:bottom w:val="single" w:color="000000" w:sz="8" w:space="0"/>
              <w:right w:val="single" w:color="000000" w:sz="8" w:space="0"/>
            </w:tcBorders>
            <w:vAlign w:val="center"/>
          </w:tcPr>
          <w:p w14:paraId="6B2F86BF">
            <w:pPr>
              <w:jc w:val="center"/>
              <w:rPr>
                <w:rFonts w:ascii="宋体" w:hAnsi="宋体" w:cs="宋体"/>
                <w:color w:val="auto"/>
                <w:szCs w:val="21"/>
              </w:rPr>
            </w:pPr>
          </w:p>
        </w:tc>
      </w:tr>
      <w:tr w14:paraId="20E3D98C">
        <w:tblPrEx>
          <w:tblCellMar>
            <w:top w:w="0" w:type="dxa"/>
            <w:left w:w="108" w:type="dxa"/>
            <w:bottom w:w="0" w:type="dxa"/>
            <w:right w:w="108" w:type="dxa"/>
          </w:tblCellMar>
        </w:tblPrEx>
        <w:trPr>
          <w:trHeight w:val="780" w:hRule="atLeast"/>
          <w:jc w:val="center"/>
        </w:trPr>
        <w:tc>
          <w:tcPr>
            <w:tcW w:w="500" w:type="dxa"/>
            <w:tcBorders>
              <w:top w:val="nil"/>
              <w:left w:val="single" w:color="000000" w:sz="8" w:space="0"/>
              <w:bottom w:val="single" w:color="000000" w:sz="8" w:space="0"/>
              <w:right w:val="single" w:color="000000" w:sz="8" w:space="0"/>
            </w:tcBorders>
            <w:noWrap/>
            <w:vAlign w:val="center"/>
          </w:tcPr>
          <w:p w14:paraId="47EEDE89">
            <w:pPr>
              <w:widowControl/>
              <w:jc w:val="center"/>
              <w:textAlignment w:val="center"/>
              <w:rPr>
                <w:rFonts w:ascii="宋体" w:hAnsi="宋体" w:cs="宋体"/>
                <w:color w:val="auto"/>
                <w:szCs w:val="21"/>
              </w:rPr>
            </w:pPr>
            <w:r>
              <w:rPr>
                <w:rFonts w:hint="eastAsia" w:ascii="宋体" w:hAnsi="宋体" w:cs="宋体"/>
                <w:color w:val="auto"/>
                <w:kern w:val="0"/>
                <w:szCs w:val="21"/>
                <w:lang w:bidi="ar"/>
              </w:rPr>
              <w:t>15</w:t>
            </w:r>
          </w:p>
        </w:tc>
        <w:tc>
          <w:tcPr>
            <w:tcW w:w="871" w:type="dxa"/>
            <w:gridSpan w:val="2"/>
            <w:tcBorders>
              <w:top w:val="nil"/>
              <w:left w:val="nil"/>
              <w:bottom w:val="single" w:color="000000" w:sz="8" w:space="0"/>
              <w:right w:val="single" w:color="000000" w:sz="8" w:space="0"/>
            </w:tcBorders>
            <w:noWrap/>
            <w:vAlign w:val="center"/>
          </w:tcPr>
          <w:p w14:paraId="3432E91C">
            <w:pPr>
              <w:widowControl/>
              <w:jc w:val="center"/>
              <w:textAlignment w:val="center"/>
              <w:rPr>
                <w:rFonts w:ascii="宋体" w:hAnsi="宋体" w:cs="宋体"/>
                <w:color w:val="auto"/>
                <w:szCs w:val="21"/>
              </w:rPr>
            </w:pPr>
            <w:r>
              <w:rPr>
                <w:rFonts w:hint="eastAsia" w:ascii="宋体" w:hAnsi="宋体" w:cs="宋体"/>
                <w:color w:val="auto"/>
                <w:kern w:val="0"/>
                <w:szCs w:val="21"/>
                <w:lang w:bidi="ar"/>
              </w:rPr>
              <w:t>五官科</w:t>
            </w:r>
          </w:p>
        </w:tc>
        <w:tc>
          <w:tcPr>
            <w:tcW w:w="666" w:type="dxa"/>
            <w:tcBorders>
              <w:top w:val="nil"/>
              <w:left w:val="nil"/>
              <w:bottom w:val="single" w:color="000000" w:sz="8" w:space="0"/>
              <w:right w:val="single" w:color="000000" w:sz="8" w:space="0"/>
            </w:tcBorders>
            <w:noWrap/>
            <w:vAlign w:val="center"/>
          </w:tcPr>
          <w:p w14:paraId="37EA2160">
            <w:pPr>
              <w:widowControl/>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2094" w:type="dxa"/>
            <w:tcBorders>
              <w:top w:val="nil"/>
              <w:left w:val="nil"/>
              <w:bottom w:val="single" w:color="000000" w:sz="8" w:space="0"/>
              <w:right w:val="single" w:color="000000" w:sz="8" w:space="0"/>
            </w:tcBorders>
            <w:vAlign w:val="center"/>
          </w:tcPr>
          <w:p w14:paraId="28D7E41F">
            <w:pPr>
              <w:widowControl/>
              <w:jc w:val="center"/>
              <w:textAlignment w:val="center"/>
              <w:rPr>
                <w:rFonts w:ascii="宋体" w:hAnsi="宋体" w:cs="宋体"/>
                <w:color w:val="auto"/>
                <w:szCs w:val="21"/>
              </w:rPr>
            </w:pPr>
            <w:r>
              <w:rPr>
                <w:rFonts w:hint="eastAsia" w:ascii="宋体" w:hAnsi="宋体" w:cs="宋体"/>
                <w:color w:val="auto"/>
                <w:kern w:val="0"/>
                <w:szCs w:val="21"/>
                <w:lang w:bidi="ar"/>
              </w:rPr>
              <w:t>急救综合楼4楼，五官科门诊，楼梯区域：急救综合楼4楼（两边）</w:t>
            </w:r>
          </w:p>
        </w:tc>
        <w:tc>
          <w:tcPr>
            <w:tcW w:w="3057" w:type="dxa"/>
            <w:tcBorders>
              <w:top w:val="nil"/>
              <w:left w:val="nil"/>
              <w:bottom w:val="single" w:color="000000" w:sz="8" w:space="0"/>
              <w:right w:val="single" w:color="000000" w:sz="8" w:space="0"/>
            </w:tcBorders>
            <w:vAlign w:val="center"/>
          </w:tcPr>
          <w:p w14:paraId="4CD7EF64">
            <w:pPr>
              <w:widowControl/>
              <w:jc w:val="center"/>
              <w:textAlignment w:val="center"/>
              <w:rPr>
                <w:rFonts w:ascii="宋体" w:hAnsi="宋体" w:cs="宋体"/>
                <w:color w:val="auto"/>
                <w:szCs w:val="21"/>
              </w:rPr>
            </w:pPr>
            <w:r>
              <w:rPr>
                <w:rFonts w:hint="eastAsia" w:ascii="宋体" w:hAnsi="宋体" w:cs="宋体"/>
                <w:color w:val="auto"/>
                <w:kern w:val="0"/>
                <w:szCs w:val="21"/>
                <w:lang w:bidi="ar"/>
              </w:rPr>
              <w:t>全面清洁、垃圾清理回收，铺床、擦床、送标本、领耗材、领药，打开水和饮用水</w:t>
            </w:r>
          </w:p>
        </w:tc>
        <w:tc>
          <w:tcPr>
            <w:tcW w:w="948" w:type="dxa"/>
            <w:vMerge w:val="continue"/>
            <w:tcBorders>
              <w:top w:val="nil"/>
              <w:left w:val="nil"/>
              <w:bottom w:val="single" w:color="000000" w:sz="8" w:space="0"/>
              <w:right w:val="single" w:color="000000" w:sz="8" w:space="0"/>
            </w:tcBorders>
            <w:vAlign w:val="center"/>
          </w:tcPr>
          <w:p w14:paraId="30469BA9">
            <w:pPr>
              <w:jc w:val="center"/>
              <w:rPr>
                <w:rFonts w:ascii="宋体" w:hAnsi="宋体" w:cs="宋体"/>
                <w:color w:val="auto"/>
                <w:szCs w:val="21"/>
              </w:rPr>
            </w:pPr>
          </w:p>
        </w:tc>
      </w:tr>
      <w:tr w14:paraId="17B618A4">
        <w:tblPrEx>
          <w:tblCellMar>
            <w:top w:w="0" w:type="dxa"/>
            <w:left w:w="108" w:type="dxa"/>
            <w:bottom w:w="0" w:type="dxa"/>
            <w:right w:w="108" w:type="dxa"/>
          </w:tblCellMar>
        </w:tblPrEx>
        <w:trPr>
          <w:trHeight w:val="1035" w:hRule="atLeast"/>
          <w:jc w:val="center"/>
        </w:trPr>
        <w:tc>
          <w:tcPr>
            <w:tcW w:w="500" w:type="dxa"/>
            <w:tcBorders>
              <w:top w:val="nil"/>
              <w:left w:val="single" w:color="000000" w:sz="8" w:space="0"/>
              <w:bottom w:val="single" w:color="000000" w:sz="8" w:space="0"/>
              <w:right w:val="single" w:color="000000" w:sz="8" w:space="0"/>
            </w:tcBorders>
            <w:noWrap/>
            <w:vAlign w:val="center"/>
          </w:tcPr>
          <w:p w14:paraId="3D0D0D69">
            <w:pPr>
              <w:widowControl/>
              <w:jc w:val="center"/>
              <w:textAlignment w:val="center"/>
              <w:rPr>
                <w:rFonts w:ascii="宋体" w:hAnsi="宋体" w:cs="宋体"/>
                <w:color w:val="auto"/>
                <w:szCs w:val="21"/>
              </w:rPr>
            </w:pPr>
            <w:r>
              <w:rPr>
                <w:rFonts w:hint="eastAsia" w:ascii="宋体" w:hAnsi="宋体" w:cs="宋体"/>
                <w:color w:val="auto"/>
                <w:kern w:val="0"/>
                <w:szCs w:val="21"/>
                <w:lang w:bidi="ar"/>
              </w:rPr>
              <w:t>16</w:t>
            </w:r>
          </w:p>
        </w:tc>
        <w:tc>
          <w:tcPr>
            <w:tcW w:w="871" w:type="dxa"/>
            <w:gridSpan w:val="2"/>
            <w:tcBorders>
              <w:top w:val="nil"/>
              <w:left w:val="nil"/>
              <w:bottom w:val="single" w:color="000000" w:sz="8" w:space="0"/>
              <w:right w:val="single" w:color="000000" w:sz="8" w:space="0"/>
            </w:tcBorders>
            <w:noWrap/>
            <w:vAlign w:val="center"/>
          </w:tcPr>
          <w:p w14:paraId="155F6372">
            <w:pPr>
              <w:widowControl/>
              <w:jc w:val="center"/>
              <w:textAlignment w:val="center"/>
              <w:rPr>
                <w:rFonts w:ascii="宋体" w:hAnsi="宋体" w:cs="宋体"/>
                <w:color w:val="auto"/>
                <w:szCs w:val="21"/>
              </w:rPr>
            </w:pPr>
            <w:r>
              <w:rPr>
                <w:rFonts w:hint="eastAsia" w:ascii="宋体" w:hAnsi="宋体" w:cs="宋体"/>
                <w:color w:val="auto"/>
                <w:kern w:val="0"/>
                <w:szCs w:val="21"/>
                <w:lang w:bidi="ar"/>
              </w:rPr>
              <w:t>儿科</w:t>
            </w:r>
          </w:p>
        </w:tc>
        <w:tc>
          <w:tcPr>
            <w:tcW w:w="666" w:type="dxa"/>
            <w:tcBorders>
              <w:top w:val="nil"/>
              <w:left w:val="nil"/>
              <w:bottom w:val="single" w:color="000000" w:sz="8" w:space="0"/>
              <w:right w:val="single" w:color="000000" w:sz="8" w:space="0"/>
            </w:tcBorders>
            <w:noWrap/>
            <w:vAlign w:val="center"/>
          </w:tcPr>
          <w:p w14:paraId="53462ADC">
            <w:pPr>
              <w:widowControl/>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2094" w:type="dxa"/>
            <w:tcBorders>
              <w:top w:val="nil"/>
              <w:left w:val="nil"/>
              <w:bottom w:val="single" w:color="000000" w:sz="8" w:space="0"/>
              <w:right w:val="single" w:color="000000" w:sz="8" w:space="0"/>
            </w:tcBorders>
            <w:vAlign w:val="center"/>
          </w:tcPr>
          <w:p w14:paraId="675C61B4">
            <w:pPr>
              <w:widowControl/>
              <w:jc w:val="center"/>
              <w:textAlignment w:val="center"/>
              <w:rPr>
                <w:rFonts w:ascii="宋体" w:hAnsi="宋体" w:cs="宋体"/>
                <w:color w:val="auto"/>
                <w:szCs w:val="21"/>
              </w:rPr>
            </w:pPr>
            <w:r>
              <w:rPr>
                <w:rFonts w:hint="eastAsia" w:ascii="宋体" w:hAnsi="宋体" w:cs="宋体"/>
                <w:color w:val="auto"/>
                <w:kern w:val="0"/>
                <w:szCs w:val="21"/>
                <w:lang w:bidi="ar"/>
              </w:rPr>
              <w:t>急救综合楼3楼，门诊3楼半边，门诊4楼口腔科候诊室大厅，楼梯区域：急救综合楼3楼（两边）</w:t>
            </w:r>
          </w:p>
        </w:tc>
        <w:tc>
          <w:tcPr>
            <w:tcW w:w="3057" w:type="dxa"/>
            <w:tcBorders>
              <w:top w:val="nil"/>
              <w:left w:val="nil"/>
              <w:bottom w:val="single" w:color="000000" w:sz="8" w:space="0"/>
              <w:right w:val="single" w:color="000000" w:sz="8" w:space="0"/>
            </w:tcBorders>
            <w:vAlign w:val="center"/>
          </w:tcPr>
          <w:p w14:paraId="6A04C9C0">
            <w:pPr>
              <w:widowControl/>
              <w:jc w:val="center"/>
              <w:textAlignment w:val="center"/>
              <w:rPr>
                <w:rFonts w:ascii="宋体" w:hAnsi="宋体" w:cs="宋体"/>
                <w:color w:val="auto"/>
                <w:szCs w:val="21"/>
              </w:rPr>
            </w:pPr>
            <w:r>
              <w:rPr>
                <w:rFonts w:hint="eastAsia" w:ascii="宋体" w:hAnsi="宋体" w:cs="宋体"/>
                <w:color w:val="auto"/>
                <w:kern w:val="0"/>
                <w:szCs w:val="21"/>
                <w:lang w:bidi="ar"/>
              </w:rPr>
              <w:t>全面清洁、垃圾清理回收，领注射药水、打饮用水、擦床</w:t>
            </w:r>
          </w:p>
        </w:tc>
        <w:tc>
          <w:tcPr>
            <w:tcW w:w="948" w:type="dxa"/>
            <w:vMerge w:val="continue"/>
            <w:tcBorders>
              <w:top w:val="nil"/>
              <w:left w:val="nil"/>
              <w:bottom w:val="single" w:color="000000" w:sz="8" w:space="0"/>
              <w:right w:val="single" w:color="000000" w:sz="8" w:space="0"/>
            </w:tcBorders>
            <w:vAlign w:val="center"/>
          </w:tcPr>
          <w:p w14:paraId="373BFA0F">
            <w:pPr>
              <w:jc w:val="center"/>
              <w:rPr>
                <w:rFonts w:ascii="宋体" w:hAnsi="宋体" w:cs="宋体"/>
                <w:color w:val="auto"/>
                <w:szCs w:val="21"/>
              </w:rPr>
            </w:pPr>
          </w:p>
        </w:tc>
      </w:tr>
      <w:tr w14:paraId="30F3B36C">
        <w:tblPrEx>
          <w:tblCellMar>
            <w:top w:w="0" w:type="dxa"/>
            <w:left w:w="108" w:type="dxa"/>
            <w:bottom w:w="0" w:type="dxa"/>
            <w:right w:w="108" w:type="dxa"/>
          </w:tblCellMar>
        </w:tblPrEx>
        <w:trPr>
          <w:trHeight w:val="780" w:hRule="atLeast"/>
          <w:jc w:val="center"/>
        </w:trPr>
        <w:tc>
          <w:tcPr>
            <w:tcW w:w="500" w:type="dxa"/>
            <w:tcBorders>
              <w:top w:val="nil"/>
              <w:left w:val="single" w:color="000000" w:sz="8" w:space="0"/>
              <w:bottom w:val="single" w:color="000000" w:sz="8" w:space="0"/>
              <w:right w:val="single" w:color="000000" w:sz="8" w:space="0"/>
            </w:tcBorders>
            <w:noWrap/>
            <w:vAlign w:val="center"/>
          </w:tcPr>
          <w:p w14:paraId="18F659CA">
            <w:pPr>
              <w:widowControl/>
              <w:jc w:val="center"/>
              <w:textAlignment w:val="center"/>
              <w:rPr>
                <w:rFonts w:ascii="宋体" w:hAnsi="宋体" w:cs="宋体"/>
                <w:color w:val="auto"/>
                <w:szCs w:val="21"/>
              </w:rPr>
            </w:pPr>
            <w:r>
              <w:rPr>
                <w:rFonts w:hint="eastAsia" w:ascii="宋体" w:hAnsi="宋体" w:cs="宋体"/>
                <w:color w:val="auto"/>
                <w:kern w:val="0"/>
                <w:szCs w:val="21"/>
                <w:lang w:bidi="ar"/>
              </w:rPr>
              <w:t>17</w:t>
            </w:r>
          </w:p>
        </w:tc>
        <w:tc>
          <w:tcPr>
            <w:tcW w:w="871" w:type="dxa"/>
            <w:gridSpan w:val="2"/>
            <w:tcBorders>
              <w:top w:val="nil"/>
              <w:left w:val="nil"/>
              <w:bottom w:val="single" w:color="000000" w:sz="8" w:space="0"/>
              <w:right w:val="single" w:color="000000" w:sz="8" w:space="0"/>
            </w:tcBorders>
            <w:noWrap/>
            <w:vAlign w:val="center"/>
          </w:tcPr>
          <w:p w14:paraId="21B612E2">
            <w:pPr>
              <w:widowControl/>
              <w:jc w:val="center"/>
              <w:textAlignment w:val="center"/>
              <w:rPr>
                <w:rFonts w:ascii="宋体" w:hAnsi="宋体" w:cs="宋体"/>
                <w:color w:val="auto"/>
                <w:szCs w:val="21"/>
              </w:rPr>
            </w:pPr>
            <w:r>
              <w:rPr>
                <w:rFonts w:hint="eastAsia" w:ascii="宋体" w:hAnsi="宋体" w:cs="宋体"/>
                <w:color w:val="auto"/>
                <w:kern w:val="0"/>
                <w:szCs w:val="21"/>
                <w:lang w:bidi="ar"/>
              </w:rPr>
              <w:t>急诊科</w:t>
            </w:r>
          </w:p>
        </w:tc>
        <w:tc>
          <w:tcPr>
            <w:tcW w:w="666" w:type="dxa"/>
            <w:tcBorders>
              <w:top w:val="nil"/>
              <w:left w:val="nil"/>
              <w:bottom w:val="single" w:color="000000" w:sz="8" w:space="0"/>
              <w:right w:val="single" w:color="000000" w:sz="8" w:space="0"/>
            </w:tcBorders>
            <w:noWrap/>
            <w:vAlign w:val="center"/>
          </w:tcPr>
          <w:p w14:paraId="3E0F14A8">
            <w:pPr>
              <w:widowControl/>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2094" w:type="dxa"/>
            <w:tcBorders>
              <w:top w:val="nil"/>
              <w:left w:val="nil"/>
              <w:bottom w:val="single" w:color="000000" w:sz="8" w:space="0"/>
              <w:right w:val="single" w:color="000000" w:sz="8" w:space="0"/>
            </w:tcBorders>
            <w:vAlign w:val="center"/>
          </w:tcPr>
          <w:p w14:paraId="1176DF66">
            <w:pPr>
              <w:widowControl/>
              <w:jc w:val="center"/>
              <w:textAlignment w:val="center"/>
              <w:rPr>
                <w:rFonts w:ascii="宋体" w:hAnsi="宋体" w:cs="宋体"/>
                <w:color w:val="auto"/>
                <w:szCs w:val="21"/>
              </w:rPr>
            </w:pPr>
            <w:r>
              <w:rPr>
                <w:rFonts w:hint="eastAsia" w:ascii="宋体" w:hAnsi="宋体" w:cs="宋体"/>
                <w:color w:val="auto"/>
                <w:kern w:val="0"/>
                <w:szCs w:val="21"/>
                <w:lang w:bidi="ar"/>
              </w:rPr>
              <w:t>急救综合楼1楼，门诊楼1楼半边，楼梯区域：急救综合楼负一楼至1楼(两边)</w:t>
            </w:r>
          </w:p>
        </w:tc>
        <w:tc>
          <w:tcPr>
            <w:tcW w:w="3057" w:type="dxa"/>
            <w:tcBorders>
              <w:top w:val="nil"/>
              <w:left w:val="nil"/>
              <w:bottom w:val="single" w:color="000000" w:sz="8" w:space="0"/>
              <w:right w:val="single" w:color="000000" w:sz="8" w:space="0"/>
            </w:tcBorders>
            <w:vAlign w:val="center"/>
          </w:tcPr>
          <w:p w14:paraId="0278BA56">
            <w:pPr>
              <w:widowControl/>
              <w:jc w:val="center"/>
              <w:textAlignment w:val="center"/>
              <w:rPr>
                <w:rFonts w:ascii="宋体" w:hAnsi="宋体" w:cs="宋体"/>
                <w:color w:val="auto"/>
                <w:szCs w:val="21"/>
              </w:rPr>
            </w:pPr>
            <w:r>
              <w:rPr>
                <w:rFonts w:hint="eastAsia" w:ascii="宋体" w:hAnsi="宋体" w:cs="宋体"/>
                <w:color w:val="auto"/>
                <w:kern w:val="0"/>
                <w:szCs w:val="21"/>
                <w:lang w:bidi="ar"/>
              </w:rPr>
              <w:t>领耗材、打饮用水、找平车、轮椅、软担架等，全面清洁、垃圾清理回收</w:t>
            </w:r>
          </w:p>
        </w:tc>
        <w:tc>
          <w:tcPr>
            <w:tcW w:w="948" w:type="dxa"/>
            <w:vMerge w:val="continue"/>
            <w:tcBorders>
              <w:top w:val="nil"/>
              <w:left w:val="nil"/>
              <w:bottom w:val="single" w:color="000000" w:sz="8" w:space="0"/>
              <w:right w:val="single" w:color="000000" w:sz="8" w:space="0"/>
            </w:tcBorders>
            <w:vAlign w:val="center"/>
          </w:tcPr>
          <w:p w14:paraId="41069441">
            <w:pPr>
              <w:jc w:val="center"/>
              <w:rPr>
                <w:rFonts w:ascii="宋体" w:hAnsi="宋体" w:cs="宋体"/>
                <w:color w:val="auto"/>
                <w:szCs w:val="21"/>
              </w:rPr>
            </w:pPr>
          </w:p>
        </w:tc>
      </w:tr>
      <w:tr w14:paraId="04525C99">
        <w:tblPrEx>
          <w:tblCellMar>
            <w:top w:w="0" w:type="dxa"/>
            <w:left w:w="108" w:type="dxa"/>
            <w:bottom w:w="0" w:type="dxa"/>
            <w:right w:w="108" w:type="dxa"/>
          </w:tblCellMar>
        </w:tblPrEx>
        <w:trPr>
          <w:trHeight w:val="780" w:hRule="atLeast"/>
          <w:jc w:val="center"/>
        </w:trPr>
        <w:tc>
          <w:tcPr>
            <w:tcW w:w="500" w:type="dxa"/>
            <w:tcBorders>
              <w:top w:val="nil"/>
              <w:left w:val="single" w:color="000000" w:sz="8" w:space="0"/>
              <w:bottom w:val="single" w:color="000000" w:sz="8" w:space="0"/>
              <w:right w:val="single" w:color="000000" w:sz="8" w:space="0"/>
            </w:tcBorders>
            <w:noWrap/>
            <w:vAlign w:val="center"/>
          </w:tcPr>
          <w:p w14:paraId="0100AC89">
            <w:pPr>
              <w:widowControl/>
              <w:jc w:val="center"/>
              <w:textAlignment w:val="center"/>
              <w:rPr>
                <w:rFonts w:ascii="宋体" w:hAnsi="宋体" w:cs="宋体"/>
                <w:color w:val="auto"/>
                <w:szCs w:val="21"/>
              </w:rPr>
            </w:pPr>
            <w:r>
              <w:rPr>
                <w:rFonts w:hint="eastAsia" w:ascii="宋体" w:hAnsi="宋体" w:cs="宋体"/>
                <w:color w:val="auto"/>
                <w:kern w:val="0"/>
                <w:szCs w:val="21"/>
                <w:lang w:bidi="ar"/>
              </w:rPr>
              <w:t>18</w:t>
            </w:r>
          </w:p>
        </w:tc>
        <w:tc>
          <w:tcPr>
            <w:tcW w:w="871" w:type="dxa"/>
            <w:gridSpan w:val="2"/>
            <w:tcBorders>
              <w:top w:val="nil"/>
              <w:left w:val="nil"/>
              <w:bottom w:val="single" w:color="000000" w:sz="8" w:space="0"/>
              <w:right w:val="single" w:color="000000" w:sz="8" w:space="0"/>
            </w:tcBorders>
            <w:noWrap/>
            <w:vAlign w:val="center"/>
          </w:tcPr>
          <w:p w14:paraId="3F12CED5">
            <w:pPr>
              <w:widowControl/>
              <w:jc w:val="center"/>
              <w:textAlignment w:val="center"/>
              <w:rPr>
                <w:rFonts w:ascii="宋体" w:hAnsi="宋体" w:cs="宋体"/>
                <w:color w:val="auto"/>
                <w:szCs w:val="21"/>
              </w:rPr>
            </w:pPr>
            <w:r>
              <w:rPr>
                <w:rFonts w:hint="eastAsia" w:ascii="宋体" w:hAnsi="宋体" w:cs="宋体"/>
                <w:color w:val="auto"/>
                <w:kern w:val="0"/>
                <w:szCs w:val="21"/>
                <w:lang w:bidi="ar"/>
              </w:rPr>
              <w:t>西药房</w:t>
            </w:r>
          </w:p>
        </w:tc>
        <w:tc>
          <w:tcPr>
            <w:tcW w:w="666" w:type="dxa"/>
            <w:tcBorders>
              <w:top w:val="nil"/>
              <w:left w:val="nil"/>
              <w:bottom w:val="single" w:color="000000" w:sz="8" w:space="0"/>
              <w:right w:val="single" w:color="000000" w:sz="8" w:space="0"/>
            </w:tcBorders>
            <w:noWrap/>
            <w:vAlign w:val="center"/>
          </w:tcPr>
          <w:p w14:paraId="1642FD5E">
            <w:pPr>
              <w:widowControl/>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2094" w:type="dxa"/>
            <w:tcBorders>
              <w:top w:val="nil"/>
              <w:left w:val="nil"/>
              <w:bottom w:val="single" w:color="000000" w:sz="8" w:space="0"/>
              <w:right w:val="single" w:color="000000" w:sz="8" w:space="0"/>
            </w:tcBorders>
            <w:vAlign w:val="center"/>
          </w:tcPr>
          <w:p w14:paraId="3F25F41B">
            <w:pPr>
              <w:widowControl/>
              <w:jc w:val="center"/>
              <w:textAlignment w:val="center"/>
              <w:rPr>
                <w:rFonts w:ascii="宋体" w:hAnsi="宋体" w:cs="宋体"/>
                <w:color w:val="auto"/>
                <w:szCs w:val="21"/>
              </w:rPr>
            </w:pPr>
            <w:r>
              <w:rPr>
                <w:rFonts w:hint="eastAsia" w:ascii="宋体" w:hAnsi="宋体" w:cs="宋体"/>
                <w:color w:val="auto"/>
                <w:kern w:val="0"/>
                <w:szCs w:val="21"/>
                <w:lang w:bidi="ar"/>
              </w:rPr>
              <w:t>科室所有门窗、玻璃、墙体、标识牌、天花板</w:t>
            </w:r>
          </w:p>
        </w:tc>
        <w:tc>
          <w:tcPr>
            <w:tcW w:w="3057" w:type="dxa"/>
            <w:tcBorders>
              <w:top w:val="nil"/>
              <w:left w:val="nil"/>
              <w:bottom w:val="single" w:color="000000" w:sz="8" w:space="0"/>
              <w:right w:val="single" w:color="000000" w:sz="8" w:space="0"/>
            </w:tcBorders>
            <w:vAlign w:val="center"/>
          </w:tcPr>
          <w:p w14:paraId="46B03ECD">
            <w:pPr>
              <w:widowControl/>
              <w:jc w:val="center"/>
              <w:textAlignment w:val="center"/>
              <w:rPr>
                <w:rFonts w:ascii="宋体" w:hAnsi="宋体" w:cs="宋体"/>
                <w:color w:val="auto"/>
                <w:szCs w:val="21"/>
              </w:rPr>
            </w:pPr>
            <w:r>
              <w:rPr>
                <w:rFonts w:hint="eastAsia" w:ascii="宋体" w:hAnsi="宋体" w:cs="宋体"/>
                <w:color w:val="auto"/>
                <w:kern w:val="0"/>
                <w:szCs w:val="21"/>
                <w:lang w:bidi="ar"/>
              </w:rPr>
              <w:t>全面清洁、垃圾清理回收，打饮用水、拉药、上架、送药、整理纸壳</w:t>
            </w:r>
          </w:p>
        </w:tc>
        <w:tc>
          <w:tcPr>
            <w:tcW w:w="948" w:type="dxa"/>
            <w:vMerge w:val="continue"/>
            <w:tcBorders>
              <w:top w:val="nil"/>
              <w:left w:val="nil"/>
              <w:bottom w:val="single" w:color="000000" w:sz="8" w:space="0"/>
              <w:right w:val="single" w:color="000000" w:sz="8" w:space="0"/>
            </w:tcBorders>
            <w:vAlign w:val="center"/>
          </w:tcPr>
          <w:p w14:paraId="3FB61EB7">
            <w:pPr>
              <w:jc w:val="center"/>
              <w:rPr>
                <w:rFonts w:ascii="宋体" w:hAnsi="宋体" w:cs="宋体"/>
                <w:color w:val="auto"/>
                <w:szCs w:val="21"/>
              </w:rPr>
            </w:pPr>
          </w:p>
        </w:tc>
      </w:tr>
      <w:tr w14:paraId="5362BF35">
        <w:tblPrEx>
          <w:tblCellMar>
            <w:top w:w="0" w:type="dxa"/>
            <w:left w:w="108" w:type="dxa"/>
            <w:bottom w:w="0" w:type="dxa"/>
            <w:right w:w="108" w:type="dxa"/>
          </w:tblCellMar>
        </w:tblPrEx>
        <w:trPr>
          <w:trHeight w:val="1035" w:hRule="atLeast"/>
          <w:jc w:val="center"/>
        </w:trPr>
        <w:tc>
          <w:tcPr>
            <w:tcW w:w="500" w:type="dxa"/>
            <w:tcBorders>
              <w:top w:val="nil"/>
              <w:left w:val="single" w:color="000000" w:sz="8" w:space="0"/>
              <w:bottom w:val="single" w:color="000000" w:sz="8" w:space="0"/>
              <w:right w:val="single" w:color="000000" w:sz="8" w:space="0"/>
            </w:tcBorders>
            <w:noWrap/>
            <w:vAlign w:val="center"/>
          </w:tcPr>
          <w:p w14:paraId="12592654">
            <w:pPr>
              <w:widowControl/>
              <w:jc w:val="center"/>
              <w:textAlignment w:val="center"/>
              <w:rPr>
                <w:rFonts w:ascii="宋体" w:hAnsi="宋体" w:cs="宋体"/>
                <w:color w:val="auto"/>
                <w:szCs w:val="21"/>
              </w:rPr>
            </w:pPr>
            <w:r>
              <w:rPr>
                <w:rFonts w:hint="eastAsia" w:ascii="宋体" w:hAnsi="宋体" w:cs="宋体"/>
                <w:color w:val="auto"/>
                <w:kern w:val="0"/>
                <w:szCs w:val="21"/>
                <w:lang w:bidi="ar"/>
              </w:rPr>
              <w:t>19</w:t>
            </w:r>
          </w:p>
        </w:tc>
        <w:tc>
          <w:tcPr>
            <w:tcW w:w="871" w:type="dxa"/>
            <w:gridSpan w:val="2"/>
            <w:tcBorders>
              <w:top w:val="nil"/>
              <w:left w:val="nil"/>
              <w:bottom w:val="single" w:color="000000" w:sz="8" w:space="0"/>
              <w:right w:val="single" w:color="000000" w:sz="8" w:space="0"/>
            </w:tcBorders>
            <w:noWrap/>
            <w:vAlign w:val="center"/>
          </w:tcPr>
          <w:p w14:paraId="385E5969">
            <w:pPr>
              <w:widowControl/>
              <w:jc w:val="center"/>
              <w:textAlignment w:val="center"/>
              <w:rPr>
                <w:rFonts w:ascii="宋体" w:hAnsi="宋体" w:cs="宋体"/>
                <w:color w:val="auto"/>
                <w:szCs w:val="21"/>
              </w:rPr>
            </w:pPr>
            <w:r>
              <w:rPr>
                <w:rFonts w:hint="eastAsia" w:ascii="宋体" w:hAnsi="宋体" w:cs="宋体"/>
                <w:color w:val="auto"/>
                <w:kern w:val="0"/>
                <w:szCs w:val="21"/>
                <w:lang w:bidi="ar"/>
              </w:rPr>
              <w:t>外围保洁</w:t>
            </w:r>
          </w:p>
        </w:tc>
        <w:tc>
          <w:tcPr>
            <w:tcW w:w="666" w:type="dxa"/>
            <w:tcBorders>
              <w:top w:val="nil"/>
              <w:left w:val="nil"/>
              <w:bottom w:val="single" w:color="000000" w:sz="8" w:space="0"/>
              <w:right w:val="single" w:color="000000" w:sz="8" w:space="0"/>
            </w:tcBorders>
            <w:noWrap/>
            <w:vAlign w:val="center"/>
          </w:tcPr>
          <w:p w14:paraId="1DF5FB92">
            <w:pPr>
              <w:widowControl/>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2094" w:type="dxa"/>
            <w:tcBorders>
              <w:top w:val="nil"/>
              <w:left w:val="nil"/>
              <w:bottom w:val="single" w:color="000000" w:sz="8" w:space="0"/>
              <w:right w:val="single" w:color="000000" w:sz="8" w:space="0"/>
            </w:tcBorders>
            <w:vAlign w:val="center"/>
          </w:tcPr>
          <w:p w14:paraId="174083CD">
            <w:pPr>
              <w:widowControl/>
              <w:jc w:val="center"/>
              <w:textAlignment w:val="center"/>
              <w:rPr>
                <w:rFonts w:ascii="宋体" w:hAnsi="宋体" w:cs="宋体"/>
                <w:color w:val="auto"/>
                <w:szCs w:val="21"/>
              </w:rPr>
            </w:pPr>
            <w:r>
              <w:rPr>
                <w:rFonts w:hint="eastAsia" w:ascii="宋体" w:hAnsi="宋体" w:cs="宋体"/>
                <w:color w:val="auto"/>
                <w:kern w:val="0"/>
                <w:szCs w:val="21"/>
                <w:lang w:bidi="ar"/>
              </w:rPr>
              <w:t>医院公共部份、停车场、职工住宿区、院内核酸采样点、县医院城区卫生责任区</w:t>
            </w:r>
          </w:p>
        </w:tc>
        <w:tc>
          <w:tcPr>
            <w:tcW w:w="3057" w:type="dxa"/>
            <w:tcBorders>
              <w:top w:val="nil"/>
              <w:left w:val="nil"/>
              <w:bottom w:val="single" w:color="000000" w:sz="8" w:space="0"/>
              <w:right w:val="single" w:color="000000" w:sz="8" w:space="0"/>
            </w:tcBorders>
            <w:vAlign w:val="center"/>
          </w:tcPr>
          <w:p w14:paraId="054A388A">
            <w:pPr>
              <w:widowControl/>
              <w:jc w:val="center"/>
              <w:textAlignment w:val="center"/>
              <w:rPr>
                <w:rFonts w:ascii="宋体" w:hAnsi="宋体" w:cs="宋体"/>
                <w:color w:val="auto"/>
                <w:szCs w:val="21"/>
              </w:rPr>
            </w:pPr>
            <w:r>
              <w:rPr>
                <w:rFonts w:hint="eastAsia" w:ascii="宋体" w:hAnsi="宋体" w:cs="宋体"/>
                <w:color w:val="auto"/>
                <w:kern w:val="0"/>
                <w:szCs w:val="21"/>
                <w:lang w:bidi="ar"/>
              </w:rPr>
              <w:t>全面清洁、垃圾清理回收</w:t>
            </w:r>
          </w:p>
        </w:tc>
        <w:tc>
          <w:tcPr>
            <w:tcW w:w="948" w:type="dxa"/>
            <w:vMerge w:val="restart"/>
            <w:tcBorders>
              <w:top w:val="nil"/>
              <w:left w:val="nil"/>
              <w:bottom w:val="single" w:color="000000" w:sz="8" w:space="0"/>
              <w:right w:val="single" w:color="000000" w:sz="8" w:space="0"/>
            </w:tcBorders>
            <w:vAlign w:val="center"/>
          </w:tcPr>
          <w:p w14:paraId="34C4E57C">
            <w:pPr>
              <w:widowControl/>
              <w:jc w:val="center"/>
              <w:textAlignment w:val="center"/>
              <w:rPr>
                <w:rFonts w:ascii="宋体" w:hAnsi="宋体" w:cs="宋体"/>
                <w:color w:val="auto"/>
                <w:szCs w:val="21"/>
              </w:rPr>
            </w:pPr>
            <w:r>
              <w:rPr>
                <w:rFonts w:hint="eastAsia" w:ascii="宋体" w:hAnsi="宋体" w:cs="宋体"/>
                <w:color w:val="auto"/>
                <w:kern w:val="0"/>
                <w:szCs w:val="21"/>
                <w:lang w:bidi="ar"/>
              </w:rPr>
              <w:t>含楼梯、电梯、卫生间</w:t>
            </w:r>
          </w:p>
        </w:tc>
      </w:tr>
      <w:tr w14:paraId="7E860263">
        <w:tblPrEx>
          <w:tblCellMar>
            <w:top w:w="0" w:type="dxa"/>
            <w:left w:w="108" w:type="dxa"/>
            <w:bottom w:w="0" w:type="dxa"/>
            <w:right w:w="108" w:type="dxa"/>
          </w:tblCellMar>
        </w:tblPrEx>
        <w:trPr>
          <w:trHeight w:val="2310" w:hRule="atLeast"/>
          <w:jc w:val="center"/>
        </w:trPr>
        <w:tc>
          <w:tcPr>
            <w:tcW w:w="500" w:type="dxa"/>
            <w:tcBorders>
              <w:top w:val="nil"/>
              <w:left w:val="single" w:color="000000" w:sz="8" w:space="0"/>
              <w:bottom w:val="single" w:color="000000" w:sz="8" w:space="0"/>
              <w:right w:val="single" w:color="000000" w:sz="8" w:space="0"/>
            </w:tcBorders>
            <w:noWrap/>
            <w:vAlign w:val="center"/>
          </w:tcPr>
          <w:p w14:paraId="2698B39C">
            <w:pPr>
              <w:widowControl/>
              <w:jc w:val="center"/>
              <w:textAlignment w:val="center"/>
              <w:rPr>
                <w:rFonts w:ascii="宋体" w:hAnsi="宋体" w:cs="宋体"/>
                <w:color w:val="auto"/>
                <w:szCs w:val="21"/>
              </w:rPr>
            </w:pPr>
            <w:r>
              <w:rPr>
                <w:rFonts w:hint="eastAsia" w:ascii="宋体" w:hAnsi="宋体" w:cs="宋体"/>
                <w:color w:val="auto"/>
                <w:kern w:val="0"/>
                <w:szCs w:val="21"/>
                <w:lang w:bidi="ar"/>
              </w:rPr>
              <w:t>20</w:t>
            </w:r>
          </w:p>
        </w:tc>
        <w:tc>
          <w:tcPr>
            <w:tcW w:w="871" w:type="dxa"/>
            <w:gridSpan w:val="2"/>
            <w:tcBorders>
              <w:top w:val="nil"/>
              <w:left w:val="nil"/>
              <w:bottom w:val="single" w:color="000000" w:sz="8" w:space="0"/>
              <w:right w:val="single" w:color="000000" w:sz="8" w:space="0"/>
            </w:tcBorders>
            <w:noWrap/>
            <w:vAlign w:val="center"/>
          </w:tcPr>
          <w:p w14:paraId="6CDAB49C">
            <w:pPr>
              <w:widowControl/>
              <w:jc w:val="center"/>
              <w:textAlignment w:val="center"/>
              <w:rPr>
                <w:rFonts w:ascii="宋体" w:hAnsi="宋体" w:cs="宋体"/>
                <w:color w:val="auto"/>
                <w:szCs w:val="21"/>
              </w:rPr>
            </w:pPr>
            <w:r>
              <w:rPr>
                <w:rFonts w:hint="eastAsia" w:ascii="宋体" w:hAnsi="宋体" w:cs="宋体"/>
                <w:color w:val="auto"/>
                <w:kern w:val="0"/>
                <w:szCs w:val="21"/>
                <w:lang w:bidi="ar"/>
              </w:rPr>
              <w:t>开水房</w:t>
            </w:r>
          </w:p>
        </w:tc>
        <w:tc>
          <w:tcPr>
            <w:tcW w:w="666" w:type="dxa"/>
            <w:tcBorders>
              <w:top w:val="nil"/>
              <w:left w:val="nil"/>
              <w:bottom w:val="single" w:color="000000" w:sz="8" w:space="0"/>
              <w:right w:val="single" w:color="000000" w:sz="8" w:space="0"/>
            </w:tcBorders>
            <w:noWrap/>
            <w:vAlign w:val="center"/>
          </w:tcPr>
          <w:p w14:paraId="603313DF">
            <w:pPr>
              <w:widowControl/>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2094" w:type="dxa"/>
            <w:tcBorders>
              <w:top w:val="nil"/>
              <w:left w:val="nil"/>
              <w:bottom w:val="single" w:color="000000" w:sz="8" w:space="0"/>
              <w:right w:val="single" w:color="000000" w:sz="8" w:space="0"/>
            </w:tcBorders>
            <w:vAlign w:val="center"/>
          </w:tcPr>
          <w:p w14:paraId="3100A29E">
            <w:pPr>
              <w:widowControl/>
              <w:jc w:val="center"/>
              <w:textAlignment w:val="center"/>
              <w:rPr>
                <w:rFonts w:ascii="宋体" w:hAnsi="宋体" w:cs="宋体"/>
                <w:color w:val="auto"/>
                <w:szCs w:val="21"/>
              </w:rPr>
            </w:pPr>
            <w:r>
              <w:rPr>
                <w:rFonts w:hint="eastAsia" w:ascii="宋体" w:hAnsi="宋体" w:cs="宋体"/>
                <w:color w:val="auto"/>
                <w:kern w:val="0"/>
                <w:szCs w:val="21"/>
                <w:lang w:bidi="ar"/>
              </w:rPr>
              <w:t>烧热水，烧开水（因不是自动掉闸，怕短路起火，所以烧水时必须要人守，等加热温度够才能关电放水），清理锅炉，打扫急救综合楼楼顶、2楼外围，住院部楼顶，还有七部电梯轿箱，门诊负一楼4、5号电梯门口</w:t>
            </w:r>
          </w:p>
        </w:tc>
        <w:tc>
          <w:tcPr>
            <w:tcW w:w="3057" w:type="dxa"/>
            <w:tcBorders>
              <w:top w:val="nil"/>
              <w:left w:val="nil"/>
              <w:bottom w:val="single" w:color="000000" w:sz="8" w:space="0"/>
              <w:right w:val="single" w:color="000000" w:sz="8" w:space="0"/>
            </w:tcBorders>
            <w:vAlign w:val="center"/>
          </w:tcPr>
          <w:p w14:paraId="1117B4BF">
            <w:pPr>
              <w:widowControl/>
              <w:jc w:val="center"/>
              <w:textAlignment w:val="center"/>
              <w:rPr>
                <w:rFonts w:ascii="宋体" w:hAnsi="宋体" w:cs="宋体"/>
                <w:color w:val="auto"/>
                <w:szCs w:val="21"/>
              </w:rPr>
            </w:pPr>
            <w:r>
              <w:rPr>
                <w:rFonts w:hint="eastAsia" w:ascii="宋体" w:hAnsi="宋体" w:cs="宋体"/>
                <w:color w:val="auto"/>
                <w:kern w:val="0"/>
                <w:szCs w:val="21"/>
                <w:lang w:bidi="ar"/>
              </w:rPr>
              <w:t>负责全院的开水、热水、清理锅炉、打扫七部电梯轿箱</w:t>
            </w:r>
          </w:p>
        </w:tc>
        <w:tc>
          <w:tcPr>
            <w:tcW w:w="948" w:type="dxa"/>
            <w:vMerge w:val="continue"/>
            <w:tcBorders>
              <w:top w:val="nil"/>
              <w:left w:val="nil"/>
              <w:bottom w:val="single" w:color="000000" w:sz="8" w:space="0"/>
              <w:right w:val="single" w:color="000000" w:sz="8" w:space="0"/>
            </w:tcBorders>
            <w:vAlign w:val="center"/>
          </w:tcPr>
          <w:p w14:paraId="6970FACF">
            <w:pPr>
              <w:jc w:val="center"/>
              <w:rPr>
                <w:rFonts w:ascii="宋体" w:hAnsi="宋体" w:cs="宋体"/>
                <w:color w:val="auto"/>
                <w:szCs w:val="21"/>
              </w:rPr>
            </w:pPr>
          </w:p>
        </w:tc>
      </w:tr>
      <w:tr w14:paraId="3C2FB49A">
        <w:tblPrEx>
          <w:tblCellMar>
            <w:top w:w="0" w:type="dxa"/>
            <w:left w:w="108" w:type="dxa"/>
            <w:bottom w:w="0" w:type="dxa"/>
            <w:right w:w="108" w:type="dxa"/>
          </w:tblCellMar>
        </w:tblPrEx>
        <w:trPr>
          <w:trHeight w:val="780" w:hRule="atLeast"/>
          <w:jc w:val="center"/>
        </w:trPr>
        <w:tc>
          <w:tcPr>
            <w:tcW w:w="500" w:type="dxa"/>
            <w:tcBorders>
              <w:top w:val="nil"/>
              <w:left w:val="single" w:color="000000" w:sz="8" w:space="0"/>
              <w:bottom w:val="single" w:color="000000" w:sz="8" w:space="0"/>
              <w:right w:val="single" w:color="000000" w:sz="8" w:space="0"/>
            </w:tcBorders>
            <w:noWrap/>
            <w:vAlign w:val="center"/>
          </w:tcPr>
          <w:p w14:paraId="5E8C42D8">
            <w:pPr>
              <w:widowControl/>
              <w:jc w:val="center"/>
              <w:textAlignment w:val="center"/>
              <w:rPr>
                <w:rFonts w:ascii="宋体" w:hAnsi="宋体" w:cs="宋体"/>
                <w:color w:val="auto"/>
                <w:szCs w:val="21"/>
              </w:rPr>
            </w:pPr>
            <w:r>
              <w:rPr>
                <w:rFonts w:hint="eastAsia" w:ascii="宋体" w:hAnsi="宋体" w:cs="宋体"/>
                <w:color w:val="auto"/>
                <w:kern w:val="0"/>
                <w:szCs w:val="21"/>
                <w:lang w:bidi="ar"/>
              </w:rPr>
              <w:t>21</w:t>
            </w:r>
          </w:p>
        </w:tc>
        <w:tc>
          <w:tcPr>
            <w:tcW w:w="871" w:type="dxa"/>
            <w:gridSpan w:val="2"/>
            <w:tcBorders>
              <w:top w:val="nil"/>
              <w:left w:val="nil"/>
              <w:bottom w:val="single" w:color="000000" w:sz="8" w:space="0"/>
              <w:right w:val="single" w:color="000000" w:sz="8" w:space="0"/>
            </w:tcBorders>
            <w:noWrap/>
            <w:vAlign w:val="center"/>
          </w:tcPr>
          <w:p w14:paraId="3B4567F5">
            <w:pPr>
              <w:widowControl/>
              <w:jc w:val="center"/>
              <w:textAlignment w:val="center"/>
              <w:rPr>
                <w:rFonts w:ascii="宋体" w:hAnsi="宋体" w:cs="宋体"/>
                <w:color w:val="auto"/>
                <w:szCs w:val="21"/>
              </w:rPr>
            </w:pPr>
            <w:r>
              <w:rPr>
                <w:rFonts w:hint="eastAsia" w:ascii="宋体" w:hAnsi="宋体" w:cs="宋体"/>
                <w:color w:val="auto"/>
                <w:kern w:val="0"/>
                <w:szCs w:val="21"/>
                <w:lang w:bidi="ar"/>
              </w:rPr>
              <w:t>医疗废物</w:t>
            </w:r>
          </w:p>
        </w:tc>
        <w:tc>
          <w:tcPr>
            <w:tcW w:w="666" w:type="dxa"/>
            <w:tcBorders>
              <w:top w:val="nil"/>
              <w:left w:val="nil"/>
              <w:bottom w:val="single" w:color="000000" w:sz="8" w:space="0"/>
              <w:right w:val="single" w:color="000000" w:sz="8" w:space="0"/>
            </w:tcBorders>
            <w:noWrap/>
            <w:vAlign w:val="center"/>
          </w:tcPr>
          <w:p w14:paraId="07F5D678">
            <w:pPr>
              <w:widowControl/>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2094" w:type="dxa"/>
            <w:tcBorders>
              <w:top w:val="nil"/>
              <w:left w:val="nil"/>
              <w:bottom w:val="single" w:color="000000" w:sz="8" w:space="0"/>
              <w:right w:val="single" w:color="000000" w:sz="8" w:space="0"/>
            </w:tcBorders>
            <w:vAlign w:val="center"/>
          </w:tcPr>
          <w:p w14:paraId="6A1758FF">
            <w:pPr>
              <w:widowControl/>
              <w:jc w:val="center"/>
              <w:textAlignment w:val="center"/>
              <w:rPr>
                <w:rFonts w:ascii="宋体" w:hAnsi="宋体" w:cs="宋体"/>
                <w:color w:val="auto"/>
                <w:szCs w:val="21"/>
              </w:rPr>
            </w:pPr>
            <w:r>
              <w:rPr>
                <w:rFonts w:hint="eastAsia" w:ascii="宋体" w:hAnsi="宋体" w:cs="宋体"/>
                <w:color w:val="auto"/>
                <w:kern w:val="0"/>
                <w:szCs w:val="21"/>
                <w:lang w:bidi="ar"/>
              </w:rPr>
              <w:t>打扫医疗垃圾交接登记室、输液瓶暂存室、医疗垃圾暂存室</w:t>
            </w:r>
          </w:p>
        </w:tc>
        <w:tc>
          <w:tcPr>
            <w:tcW w:w="3057" w:type="dxa"/>
            <w:tcBorders>
              <w:top w:val="nil"/>
              <w:left w:val="nil"/>
              <w:bottom w:val="single" w:color="000000" w:sz="8" w:space="0"/>
              <w:right w:val="single" w:color="000000" w:sz="8" w:space="0"/>
            </w:tcBorders>
            <w:vAlign w:val="center"/>
          </w:tcPr>
          <w:p w14:paraId="73E4BF83">
            <w:pPr>
              <w:widowControl/>
              <w:jc w:val="center"/>
              <w:textAlignment w:val="center"/>
              <w:rPr>
                <w:rFonts w:ascii="宋体" w:hAnsi="宋体" w:cs="宋体"/>
                <w:color w:val="auto"/>
                <w:szCs w:val="21"/>
              </w:rPr>
            </w:pPr>
            <w:r>
              <w:rPr>
                <w:rFonts w:hint="eastAsia" w:ascii="宋体" w:hAnsi="宋体" w:cs="宋体"/>
                <w:color w:val="auto"/>
                <w:kern w:val="0"/>
                <w:szCs w:val="21"/>
                <w:lang w:bidi="ar"/>
              </w:rPr>
              <w:t>负责对医疗垃圾进行收集并与第三方对接清运工作，做好各类台账，清洁、消毒暂存室</w:t>
            </w:r>
          </w:p>
        </w:tc>
        <w:tc>
          <w:tcPr>
            <w:tcW w:w="948" w:type="dxa"/>
            <w:vMerge w:val="continue"/>
            <w:tcBorders>
              <w:top w:val="nil"/>
              <w:left w:val="nil"/>
              <w:bottom w:val="single" w:color="000000" w:sz="8" w:space="0"/>
              <w:right w:val="single" w:color="000000" w:sz="8" w:space="0"/>
            </w:tcBorders>
            <w:vAlign w:val="center"/>
          </w:tcPr>
          <w:p w14:paraId="51DFBFB2">
            <w:pPr>
              <w:jc w:val="center"/>
              <w:rPr>
                <w:rFonts w:ascii="宋体" w:hAnsi="宋体" w:cs="宋体"/>
                <w:color w:val="auto"/>
                <w:szCs w:val="21"/>
              </w:rPr>
            </w:pPr>
          </w:p>
        </w:tc>
      </w:tr>
      <w:tr w14:paraId="292CACC7">
        <w:tblPrEx>
          <w:tblCellMar>
            <w:top w:w="0" w:type="dxa"/>
            <w:left w:w="108" w:type="dxa"/>
            <w:bottom w:w="0" w:type="dxa"/>
            <w:right w:w="108" w:type="dxa"/>
          </w:tblCellMar>
        </w:tblPrEx>
        <w:trPr>
          <w:trHeight w:val="780" w:hRule="atLeast"/>
          <w:jc w:val="center"/>
        </w:trPr>
        <w:tc>
          <w:tcPr>
            <w:tcW w:w="500" w:type="dxa"/>
            <w:tcBorders>
              <w:top w:val="nil"/>
              <w:left w:val="single" w:color="000000" w:sz="8" w:space="0"/>
              <w:bottom w:val="single" w:color="000000" w:sz="8" w:space="0"/>
              <w:right w:val="single" w:color="000000" w:sz="8" w:space="0"/>
            </w:tcBorders>
            <w:noWrap/>
            <w:vAlign w:val="center"/>
          </w:tcPr>
          <w:p w14:paraId="59B0E92E">
            <w:pPr>
              <w:widowControl/>
              <w:jc w:val="center"/>
              <w:textAlignment w:val="center"/>
              <w:rPr>
                <w:rFonts w:ascii="宋体" w:hAnsi="宋体" w:cs="宋体"/>
                <w:color w:val="auto"/>
                <w:szCs w:val="21"/>
              </w:rPr>
            </w:pPr>
            <w:r>
              <w:rPr>
                <w:rFonts w:hint="eastAsia" w:ascii="宋体" w:hAnsi="宋体" w:cs="宋体"/>
                <w:color w:val="auto"/>
                <w:kern w:val="0"/>
                <w:szCs w:val="21"/>
                <w:lang w:bidi="ar"/>
              </w:rPr>
              <w:t>22</w:t>
            </w:r>
          </w:p>
        </w:tc>
        <w:tc>
          <w:tcPr>
            <w:tcW w:w="353" w:type="dxa"/>
            <w:vMerge w:val="restart"/>
            <w:tcBorders>
              <w:top w:val="nil"/>
              <w:left w:val="nil"/>
              <w:bottom w:val="single" w:color="000000" w:sz="8" w:space="0"/>
              <w:right w:val="single" w:color="000000" w:sz="8" w:space="0"/>
            </w:tcBorders>
            <w:noWrap/>
            <w:vAlign w:val="center"/>
          </w:tcPr>
          <w:p w14:paraId="70D3A9E6">
            <w:pPr>
              <w:widowControl/>
              <w:jc w:val="center"/>
              <w:textAlignment w:val="center"/>
              <w:rPr>
                <w:rFonts w:ascii="宋体" w:hAnsi="宋体" w:cs="宋体"/>
                <w:color w:val="auto"/>
                <w:szCs w:val="21"/>
              </w:rPr>
            </w:pPr>
            <w:r>
              <w:rPr>
                <w:rFonts w:hint="eastAsia" w:ascii="宋体" w:hAnsi="宋体" w:cs="宋体"/>
                <w:color w:val="auto"/>
                <w:kern w:val="0"/>
                <w:szCs w:val="21"/>
                <w:lang w:bidi="ar"/>
              </w:rPr>
              <w:t>洗衣房</w:t>
            </w:r>
          </w:p>
        </w:tc>
        <w:tc>
          <w:tcPr>
            <w:tcW w:w="518" w:type="dxa"/>
            <w:tcBorders>
              <w:top w:val="nil"/>
              <w:left w:val="nil"/>
              <w:bottom w:val="single" w:color="000000" w:sz="8" w:space="0"/>
              <w:right w:val="single" w:color="000000" w:sz="8" w:space="0"/>
            </w:tcBorders>
            <w:noWrap/>
            <w:vAlign w:val="center"/>
          </w:tcPr>
          <w:p w14:paraId="246492A0">
            <w:pPr>
              <w:widowControl/>
              <w:jc w:val="center"/>
              <w:textAlignment w:val="center"/>
              <w:rPr>
                <w:rFonts w:ascii="宋体" w:hAnsi="宋体" w:cs="宋体"/>
                <w:color w:val="auto"/>
                <w:szCs w:val="21"/>
              </w:rPr>
            </w:pPr>
            <w:r>
              <w:rPr>
                <w:rFonts w:hint="eastAsia" w:ascii="宋体" w:hAnsi="宋体" w:cs="宋体"/>
                <w:color w:val="auto"/>
                <w:kern w:val="0"/>
                <w:szCs w:val="21"/>
                <w:lang w:bidi="ar"/>
              </w:rPr>
              <w:t>被服</w:t>
            </w:r>
          </w:p>
        </w:tc>
        <w:tc>
          <w:tcPr>
            <w:tcW w:w="666" w:type="dxa"/>
            <w:tcBorders>
              <w:top w:val="nil"/>
              <w:left w:val="nil"/>
              <w:bottom w:val="single" w:color="000000" w:sz="8" w:space="0"/>
              <w:right w:val="single" w:color="000000" w:sz="8" w:space="0"/>
            </w:tcBorders>
            <w:noWrap/>
            <w:vAlign w:val="center"/>
          </w:tcPr>
          <w:p w14:paraId="14971C3F">
            <w:pPr>
              <w:widowControl/>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2094" w:type="dxa"/>
            <w:tcBorders>
              <w:top w:val="nil"/>
              <w:left w:val="nil"/>
              <w:bottom w:val="single" w:color="000000" w:sz="8" w:space="0"/>
              <w:right w:val="single" w:color="000000" w:sz="8" w:space="0"/>
            </w:tcBorders>
            <w:vAlign w:val="center"/>
          </w:tcPr>
          <w:p w14:paraId="15F76AB0">
            <w:pPr>
              <w:widowControl/>
              <w:jc w:val="center"/>
              <w:textAlignment w:val="center"/>
              <w:rPr>
                <w:rFonts w:ascii="宋体" w:hAnsi="宋体" w:cs="宋体"/>
                <w:color w:val="auto"/>
                <w:szCs w:val="21"/>
              </w:rPr>
            </w:pPr>
            <w:r>
              <w:rPr>
                <w:rFonts w:hint="eastAsia" w:ascii="宋体" w:hAnsi="宋体" w:cs="宋体"/>
                <w:color w:val="auto"/>
                <w:kern w:val="0"/>
                <w:szCs w:val="21"/>
                <w:lang w:bidi="ar"/>
              </w:rPr>
              <w:t>打扫洗衣房、垃圾场、整个内二科楼顶（指晒被服区域）</w:t>
            </w:r>
          </w:p>
        </w:tc>
        <w:tc>
          <w:tcPr>
            <w:tcW w:w="3057" w:type="dxa"/>
            <w:tcBorders>
              <w:top w:val="single" w:color="000000" w:sz="8" w:space="0"/>
              <w:left w:val="nil"/>
              <w:bottom w:val="single" w:color="000000" w:sz="8" w:space="0"/>
              <w:right w:val="single" w:color="000000" w:sz="8" w:space="0"/>
            </w:tcBorders>
            <w:vAlign w:val="center"/>
          </w:tcPr>
          <w:p w14:paraId="7511D3D5">
            <w:pPr>
              <w:widowControl/>
              <w:jc w:val="center"/>
              <w:textAlignment w:val="center"/>
              <w:rPr>
                <w:rFonts w:ascii="宋体" w:hAnsi="宋体" w:cs="宋体"/>
                <w:color w:val="auto"/>
                <w:szCs w:val="21"/>
              </w:rPr>
            </w:pPr>
            <w:r>
              <w:rPr>
                <w:rFonts w:hint="eastAsia" w:ascii="宋体" w:hAnsi="宋体" w:cs="宋体"/>
                <w:color w:val="auto"/>
                <w:kern w:val="0"/>
                <w:szCs w:val="21"/>
                <w:lang w:bidi="ar"/>
              </w:rPr>
              <w:t>洗涤、下收上送全院的被服（含接种点、院内和院外核酸采样点）</w:t>
            </w:r>
          </w:p>
        </w:tc>
        <w:tc>
          <w:tcPr>
            <w:tcW w:w="948" w:type="dxa"/>
            <w:vMerge w:val="restart"/>
            <w:tcBorders>
              <w:top w:val="nil"/>
              <w:left w:val="nil"/>
              <w:right w:val="single" w:color="000000" w:sz="8" w:space="0"/>
            </w:tcBorders>
            <w:vAlign w:val="center"/>
          </w:tcPr>
          <w:p w14:paraId="117CAAAB">
            <w:pPr>
              <w:jc w:val="center"/>
              <w:rPr>
                <w:rFonts w:ascii="宋体" w:hAnsi="宋体" w:cs="宋体"/>
                <w:color w:val="auto"/>
                <w:szCs w:val="21"/>
              </w:rPr>
            </w:pPr>
          </w:p>
        </w:tc>
      </w:tr>
      <w:tr w14:paraId="4DA6F636">
        <w:tblPrEx>
          <w:tblCellMar>
            <w:top w:w="0" w:type="dxa"/>
            <w:left w:w="108" w:type="dxa"/>
            <w:bottom w:w="0" w:type="dxa"/>
            <w:right w:w="108" w:type="dxa"/>
          </w:tblCellMar>
        </w:tblPrEx>
        <w:trPr>
          <w:trHeight w:val="780" w:hRule="atLeast"/>
          <w:jc w:val="center"/>
        </w:trPr>
        <w:tc>
          <w:tcPr>
            <w:tcW w:w="500" w:type="dxa"/>
            <w:tcBorders>
              <w:top w:val="nil"/>
              <w:left w:val="single" w:color="000000" w:sz="8" w:space="0"/>
              <w:bottom w:val="single" w:color="000000" w:sz="8" w:space="0"/>
              <w:right w:val="single" w:color="000000" w:sz="8" w:space="0"/>
            </w:tcBorders>
            <w:noWrap/>
            <w:vAlign w:val="center"/>
          </w:tcPr>
          <w:p w14:paraId="68393FDC">
            <w:pPr>
              <w:widowControl/>
              <w:jc w:val="center"/>
              <w:textAlignment w:val="center"/>
              <w:rPr>
                <w:rFonts w:ascii="宋体" w:hAnsi="宋体" w:cs="宋体"/>
                <w:color w:val="auto"/>
                <w:szCs w:val="21"/>
              </w:rPr>
            </w:pPr>
            <w:r>
              <w:rPr>
                <w:rFonts w:hint="eastAsia" w:ascii="宋体" w:hAnsi="宋体" w:cs="宋体"/>
                <w:color w:val="auto"/>
                <w:kern w:val="0"/>
                <w:szCs w:val="21"/>
                <w:lang w:bidi="ar"/>
              </w:rPr>
              <w:t>23</w:t>
            </w:r>
          </w:p>
        </w:tc>
        <w:tc>
          <w:tcPr>
            <w:tcW w:w="353" w:type="dxa"/>
            <w:vMerge w:val="continue"/>
            <w:tcBorders>
              <w:top w:val="nil"/>
              <w:left w:val="nil"/>
              <w:bottom w:val="single" w:color="000000" w:sz="8" w:space="0"/>
              <w:right w:val="single" w:color="000000" w:sz="8" w:space="0"/>
            </w:tcBorders>
            <w:noWrap/>
            <w:vAlign w:val="center"/>
          </w:tcPr>
          <w:p w14:paraId="730F51AB">
            <w:pPr>
              <w:jc w:val="center"/>
              <w:rPr>
                <w:rFonts w:ascii="宋体" w:hAnsi="宋体" w:cs="宋体"/>
                <w:color w:val="auto"/>
                <w:szCs w:val="21"/>
              </w:rPr>
            </w:pPr>
          </w:p>
        </w:tc>
        <w:tc>
          <w:tcPr>
            <w:tcW w:w="518" w:type="dxa"/>
            <w:tcBorders>
              <w:top w:val="nil"/>
              <w:left w:val="nil"/>
              <w:bottom w:val="single" w:color="000000" w:sz="8" w:space="0"/>
              <w:right w:val="single" w:color="000000" w:sz="8" w:space="0"/>
            </w:tcBorders>
            <w:noWrap/>
            <w:vAlign w:val="center"/>
          </w:tcPr>
          <w:p w14:paraId="190D1B4B">
            <w:pPr>
              <w:widowControl/>
              <w:jc w:val="center"/>
              <w:textAlignment w:val="center"/>
              <w:rPr>
                <w:rFonts w:ascii="宋体" w:hAnsi="宋体" w:cs="宋体"/>
                <w:color w:val="auto"/>
                <w:szCs w:val="21"/>
              </w:rPr>
            </w:pPr>
            <w:r>
              <w:rPr>
                <w:rFonts w:hint="eastAsia" w:ascii="宋体" w:hAnsi="宋体" w:cs="宋体"/>
                <w:color w:val="auto"/>
                <w:kern w:val="0"/>
                <w:szCs w:val="21"/>
                <w:lang w:bidi="ar"/>
              </w:rPr>
              <w:t>工作服</w:t>
            </w:r>
          </w:p>
        </w:tc>
        <w:tc>
          <w:tcPr>
            <w:tcW w:w="666" w:type="dxa"/>
            <w:tcBorders>
              <w:top w:val="nil"/>
              <w:left w:val="nil"/>
              <w:bottom w:val="single" w:color="000000" w:sz="8" w:space="0"/>
              <w:right w:val="single" w:color="000000" w:sz="8" w:space="0"/>
            </w:tcBorders>
            <w:noWrap/>
            <w:vAlign w:val="center"/>
          </w:tcPr>
          <w:p w14:paraId="7B83FEB2">
            <w:pPr>
              <w:widowControl/>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2094" w:type="dxa"/>
            <w:tcBorders>
              <w:top w:val="nil"/>
              <w:left w:val="nil"/>
              <w:bottom w:val="single" w:color="000000" w:sz="8" w:space="0"/>
              <w:right w:val="single" w:color="000000" w:sz="8" w:space="0"/>
            </w:tcBorders>
            <w:vAlign w:val="center"/>
          </w:tcPr>
          <w:p w14:paraId="44B8211D">
            <w:pPr>
              <w:widowControl/>
              <w:jc w:val="center"/>
              <w:textAlignment w:val="center"/>
              <w:rPr>
                <w:rFonts w:ascii="宋体" w:hAnsi="宋体" w:cs="宋体"/>
                <w:color w:val="auto"/>
                <w:szCs w:val="21"/>
              </w:rPr>
            </w:pPr>
            <w:r>
              <w:rPr>
                <w:rFonts w:hint="eastAsia" w:ascii="宋体" w:hAnsi="宋体" w:cs="宋体"/>
                <w:color w:val="auto"/>
                <w:kern w:val="0"/>
                <w:szCs w:val="21"/>
                <w:lang w:bidi="ar"/>
              </w:rPr>
              <w:t>和洗衣房人员一起打扫洗衣房、垃圾场、整个内二科楼顶（指晒被服区域）</w:t>
            </w:r>
          </w:p>
        </w:tc>
        <w:tc>
          <w:tcPr>
            <w:tcW w:w="3057" w:type="dxa"/>
            <w:tcBorders>
              <w:top w:val="nil"/>
              <w:left w:val="nil"/>
              <w:bottom w:val="single" w:color="000000" w:sz="8" w:space="0"/>
              <w:right w:val="single" w:color="000000" w:sz="8" w:space="0"/>
            </w:tcBorders>
            <w:vAlign w:val="center"/>
          </w:tcPr>
          <w:p w14:paraId="6856FA27">
            <w:pPr>
              <w:widowControl/>
              <w:jc w:val="center"/>
              <w:textAlignment w:val="center"/>
              <w:rPr>
                <w:rFonts w:ascii="宋体" w:hAnsi="宋体" w:cs="宋体"/>
                <w:color w:val="auto"/>
                <w:szCs w:val="21"/>
              </w:rPr>
            </w:pPr>
            <w:r>
              <w:rPr>
                <w:rFonts w:hint="eastAsia" w:ascii="宋体" w:hAnsi="宋体" w:cs="宋体"/>
                <w:color w:val="auto"/>
                <w:kern w:val="0"/>
                <w:szCs w:val="21"/>
                <w:lang w:bidi="ar"/>
              </w:rPr>
              <w:t>洗涤、下收上送全院工作服（含接种点、院内和院外核酸采样点）</w:t>
            </w:r>
          </w:p>
        </w:tc>
        <w:tc>
          <w:tcPr>
            <w:tcW w:w="948" w:type="dxa"/>
            <w:vMerge w:val="continue"/>
            <w:tcBorders>
              <w:top w:val="nil"/>
              <w:left w:val="nil"/>
              <w:bottom w:val="single" w:color="000000" w:sz="8" w:space="0"/>
              <w:right w:val="single" w:color="000000" w:sz="8" w:space="0"/>
            </w:tcBorders>
            <w:vAlign w:val="center"/>
          </w:tcPr>
          <w:p w14:paraId="18B1A118">
            <w:pPr>
              <w:jc w:val="center"/>
              <w:rPr>
                <w:rFonts w:ascii="宋体" w:hAnsi="宋体" w:cs="宋体"/>
                <w:color w:val="auto"/>
                <w:szCs w:val="21"/>
              </w:rPr>
            </w:pPr>
          </w:p>
        </w:tc>
      </w:tr>
      <w:tr w14:paraId="5DE7EC06">
        <w:tblPrEx>
          <w:tblCellMar>
            <w:top w:w="0" w:type="dxa"/>
            <w:left w:w="108" w:type="dxa"/>
            <w:bottom w:w="0" w:type="dxa"/>
            <w:right w:w="108" w:type="dxa"/>
          </w:tblCellMar>
        </w:tblPrEx>
        <w:trPr>
          <w:trHeight w:val="780" w:hRule="atLeast"/>
          <w:jc w:val="center"/>
        </w:trPr>
        <w:tc>
          <w:tcPr>
            <w:tcW w:w="500" w:type="dxa"/>
            <w:tcBorders>
              <w:top w:val="nil"/>
              <w:left w:val="single" w:color="000000" w:sz="8" w:space="0"/>
              <w:bottom w:val="single" w:color="000000" w:sz="8" w:space="0"/>
              <w:right w:val="single" w:color="000000" w:sz="8" w:space="0"/>
            </w:tcBorders>
            <w:noWrap/>
            <w:vAlign w:val="center"/>
          </w:tcPr>
          <w:p w14:paraId="24E77E01">
            <w:pPr>
              <w:widowControl/>
              <w:jc w:val="center"/>
              <w:textAlignment w:val="center"/>
              <w:rPr>
                <w:rFonts w:ascii="宋体" w:hAnsi="宋体" w:cs="宋体"/>
                <w:color w:val="auto"/>
                <w:szCs w:val="21"/>
              </w:rPr>
            </w:pPr>
            <w:r>
              <w:rPr>
                <w:rFonts w:hint="eastAsia" w:ascii="宋体" w:hAnsi="宋体" w:cs="宋体"/>
                <w:color w:val="auto"/>
                <w:kern w:val="0"/>
                <w:szCs w:val="21"/>
                <w:lang w:bidi="ar"/>
              </w:rPr>
              <w:t>24</w:t>
            </w:r>
          </w:p>
        </w:tc>
        <w:tc>
          <w:tcPr>
            <w:tcW w:w="353" w:type="dxa"/>
            <w:vMerge w:val="restart"/>
            <w:tcBorders>
              <w:top w:val="nil"/>
              <w:left w:val="nil"/>
              <w:bottom w:val="single" w:color="000000" w:sz="8" w:space="0"/>
              <w:right w:val="single" w:color="000000" w:sz="8" w:space="0"/>
            </w:tcBorders>
            <w:noWrap/>
            <w:vAlign w:val="center"/>
          </w:tcPr>
          <w:p w14:paraId="56EE5514">
            <w:pPr>
              <w:widowControl/>
              <w:jc w:val="center"/>
              <w:textAlignment w:val="center"/>
              <w:rPr>
                <w:rFonts w:ascii="宋体" w:hAnsi="宋体" w:cs="宋体"/>
                <w:color w:val="auto"/>
                <w:szCs w:val="21"/>
              </w:rPr>
            </w:pPr>
            <w:r>
              <w:rPr>
                <w:rFonts w:hint="eastAsia" w:ascii="宋体" w:hAnsi="宋体" w:cs="宋体"/>
                <w:color w:val="auto"/>
                <w:kern w:val="0"/>
                <w:szCs w:val="21"/>
                <w:lang w:bidi="ar"/>
              </w:rPr>
              <w:t>洗衣房</w:t>
            </w:r>
          </w:p>
        </w:tc>
        <w:tc>
          <w:tcPr>
            <w:tcW w:w="518" w:type="dxa"/>
            <w:tcBorders>
              <w:top w:val="nil"/>
              <w:left w:val="nil"/>
              <w:bottom w:val="single" w:color="000000" w:sz="8" w:space="0"/>
              <w:right w:val="single" w:color="000000" w:sz="8" w:space="0"/>
            </w:tcBorders>
            <w:noWrap/>
            <w:vAlign w:val="center"/>
          </w:tcPr>
          <w:p w14:paraId="7D80AC81">
            <w:pPr>
              <w:widowControl/>
              <w:jc w:val="center"/>
              <w:textAlignment w:val="center"/>
              <w:rPr>
                <w:rFonts w:ascii="宋体" w:hAnsi="宋体" w:cs="宋体"/>
                <w:color w:val="auto"/>
                <w:szCs w:val="21"/>
              </w:rPr>
            </w:pPr>
            <w:r>
              <w:rPr>
                <w:rFonts w:hint="eastAsia" w:ascii="宋体" w:hAnsi="宋体" w:cs="宋体"/>
                <w:color w:val="auto"/>
                <w:kern w:val="0"/>
                <w:szCs w:val="21"/>
                <w:lang w:bidi="ar"/>
              </w:rPr>
              <w:t>缝 补</w:t>
            </w:r>
          </w:p>
        </w:tc>
        <w:tc>
          <w:tcPr>
            <w:tcW w:w="666" w:type="dxa"/>
            <w:tcBorders>
              <w:top w:val="nil"/>
              <w:left w:val="nil"/>
              <w:bottom w:val="single" w:color="000000" w:sz="8" w:space="0"/>
              <w:right w:val="single" w:color="000000" w:sz="8" w:space="0"/>
            </w:tcBorders>
            <w:noWrap/>
            <w:vAlign w:val="center"/>
          </w:tcPr>
          <w:p w14:paraId="406E7BA3">
            <w:pPr>
              <w:widowControl/>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2094" w:type="dxa"/>
            <w:tcBorders>
              <w:top w:val="nil"/>
              <w:left w:val="nil"/>
              <w:bottom w:val="single" w:color="000000" w:sz="8" w:space="0"/>
              <w:right w:val="single" w:color="000000" w:sz="8" w:space="0"/>
            </w:tcBorders>
            <w:vAlign w:val="center"/>
          </w:tcPr>
          <w:p w14:paraId="77B3F919">
            <w:pPr>
              <w:widowControl/>
              <w:jc w:val="center"/>
              <w:textAlignment w:val="center"/>
              <w:rPr>
                <w:rFonts w:ascii="宋体" w:hAnsi="宋体" w:cs="宋体"/>
                <w:color w:val="auto"/>
                <w:szCs w:val="21"/>
              </w:rPr>
            </w:pPr>
            <w:r>
              <w:rPr>
                <w:rFonts w:hint="eastAsia" w:ascii="宋体" w:hAnsi="宋体" w:cs="宋体"/>
                <w:color w:val="auto"/>
                <w:kern w:val="0"/>
                <w:szCs w:val="21"/>
                <w:lang w:bidi="ar"/>
              </w:rPr>
              <w:t>打扫住院部门口绿化带并剪草，和洗衣房人员一起打扫垃圾场</w:t>
            </w:r>
          </w:p>
        </w:tc>
        <w:tc>
          <w:tcPr>
            <w:tcW w:w="3057" w:type="dxa"/>
            <w:tcBorders>
              <w:top w:val="nil"/>
              <w:left w:val="nil"/>
              <w:bottom w:val="single" w:color="000000" w:sz="8" w:space="0"/>
              <w:right w:val="single" w:color="000000" w:sz="8" w:space="0"/>
            </w:tcBorders>
            <w:vAlign w:val="center"/>
          </w:tcPr>
          <w:p w14:paraId="4FCDA073">
            <w:pPr>
              <w:widowControl/>
              <w:jc w:val="center"/>
              <w:textAlignment w:val="center"/>
              <w:rPr>
                <w:rFonts w:ascii="宋体" w:hAnsi="宋体" w:cs="宋体"/>
                <w:color w:val="auto"/>
                <w:szCs w:val="21"/>
              </w:rPr>
            </w:pPr>
            <w:r>
              <w:rPr>
                <w:rFonts w:hint="eastAsia" w:ascii="宋体" w:hAnsi="宋体" w:cs="宋体"/>
                <w:color w:val="auto"/>
                <w:kern w:val="0"/>
                <w:szCs w:val="21"/>
                <w:lang w:bidi="ar"/>
              </w:rPr>
              <w:t>缝补全院破损的衣服、被服（含接种点、院内和院外核酸采样点）</w:t>
            </w:r>
          </w:p>
        </w:tc>
        <w:tc>
          <w:tcPr>
            <w:tcW w:w="948" w:type="dxa"/>
            <w:vMerge w:val="restart"/>
            <w:tcBorders>
              <w:top w:val="nil"/>
              <w:left w:val="nil"/>
              <w:bottom w:val="single" w:color="000000" w:sz="8" w:space="0"/>
              <w:right w:val="single" w:color="000000" w:sz="8" w:space="0"/>
            </w:tcBorders>
            <w:vAlign w:val="center"/>
          </w:tcPr>
          <w:p w14:paraId="5A83D923">
            <w:pPr>
              <w:widowControl/>
              <w:jc w:val="center"/>
              <w:textAlignment w:val="center"/>
              <w:rPr>
                <w:rFonts w:ascii="宋体" w:hAnsi="宋体" w:cs="宋体"/>
                <w:color w:val="auto"/>
                <w:szCs w:val="21"/>
              </w:rPr>
            </w:pPr>
            <w:r>
              <w:rPr>
                <w:rFonts w:hint="eastAsia" w:ascii="宋体" w:hAnsi="宋体" w:cs="宋体"/>
                <w:color w:val="auto"/>
                <w:kern w:val="0"/>
                <w:szCs w:val="21"/>
                <w:lang w:bidi="ar"/>
              </w:rPr>
              <w:t>含楼梯、电梯、卫生间</w:t>
            </w:r>
          </w:p>
        </w:tc>
      </w:tr>
      <w:tr w14:paraId="2EF7702F">
        <w:tblPrEx>
          <w:tblCellMar>
            <w:top w:w="0" w:type="dxa"/>
            <w:left w:w="108" w:type="dxa"/>
            <w:bottom w:w="0" w:type="dxa"/>
            <w:right w:w="108" w:type="dxa"/>
          </w:tblCellMar>
        </w:tblPrEx>
        <w:trPr>
          <w:trHeight w:val="780" w:hRule="atLeast"/>
          <w:jc w:val="center"/>
        </w:trPr>
        <w:tc>
          <w:tcPr>
            <w:tcW w:w="500" w:type="dxa"/>
            <w:tcBorders>
              <w:top w:val="nil"/>
              <w:left w:val="single" w:color="000000" w:sz="8" w:space="0"/>
              <w:bottom w:val="single" w:color="000000" w:sz="8" w:space="0"/>
              <w:right w:val="single" w:color="000000" w:sz="8" w:space="0"/>
            </w:tcBorders>
            <w:noWrap/>
            <w:vAlign w:val="center"/>
          </w:tcPr>
          <w:p w14:paraId="2DA819D0">
            <w:pPr>
              <w:widowControl/>
              <w:jc w:val="center"/>
              <w:textAlignment w:val="center"/>
              <w:rPr>
                <w:rFonts w:ascii="宋体" w:hAnsi="宋体" w:cs="宋体"/>
                <w:color w:val="auto"/>
                <w:szCs w:val="21"/>
              </w:rPr>
            </w:pPr>
            <w:r>
              <w:rPr>
                <w:rFonts w:hint="eastAsia" w:ascii="宋体" w:hAnsi="宋体" w:cs="宋体"/>
                <w:color w:val="auto"/>
                <w:kern w:val="0"/>
                <w:szCs w:val="21"/>
                <w:lang w:bidi="ar"/>
              </w:rPr>
              <w:t>25</w:t>
            </w:r>
          </w:p>
        </w:tc>
        <w:tc>
          <w:tcPr>
            <w:tcW w:w="353" w:type="dxa"/>
            <w:vMerge w:val="continue"/>
            <w:tcBorders>
              <w:top w:val="nil"/>
              <w:left w:val="nil"/>
              <w:bottom w:val="single" w:color="000000" w:sz="8" w:space="0"/>
              <w:right w:val="single" w:color="000000" w:sz="8" w:space="0"/>
            </w:tcBorders>
            <w:noWrap/>
            <w:vAlign w:val="center"/>
          </w:tcPr>
          <w:p w14:paraId="77510920">
            <w:pPr>
              <w:jc w:val="center"/>
              <w:rPr>
                <w:rFonts w:ascii="宋体" w:hAnsi="宋体" w:cs="宋体"/>
                <w:color w:val="auto"/>
                <w:szCs w:val="21"/>
              </w:rPr>
            </w:pPr>
          </w:p>
        </w:tc>
        <w:tc>
          <w:tcPr>
            <w:tcW w:w="518" w:type="dxa"/>
            <w:tcBorders>
              <w:top w:val="nil"/>
              <w:left w:val="nil"/>
              <w:bottom w:val="single" w:color="000000" w:sz="8" w:space="0"/>
              <w:right w:val="single" w:color="000000" w:sz="8" w:space="0"/>
            </w:tcBorders>
            <w:noWrap/>
            <w:vAlign w:val="center"/>
          </w:tcPr>
          <w:p w14:paraId="3317001A">
            <w:pPr>
              <w:widowControl/>
              <w:jc w:val="center"/>
              <w:textAlignment w:val="center"/>
              <w:rPr>
                <w:rFonts w:ascii="宋体" w:hAnsi="宋体" w:cs="宋体"/>
                <w:color w:val="auto"/>
                <w:szCs w:val="21"/>
              </w:rPr>
            </w:pPr>
            <w:r>
              <w:rPr>
                <w:rFonts w:hint="eastAsia" w:ascii="宋体" w:hAnsi="宋体" w:cs="宋体"/>
                <w:color w:val="auto"/>
                <w:kern w:val="0"/>
                <w:szCs w:val="21"/>
                <w:lang w:bidi="ar"/>
              </w:rPr>
              <w:t>手术衣</w:t>
            </w:r>
          </w:p>
        </w:tc>
        <w:tc>
          <w:tcPr>
            <w:tcW w:w="666" w:type="dxa"/>
            <w:tcBorders>
              <w:top w:val="nil"/>
              <w:left w:val="nil"/>
              <w:bottom w:val="single" w:color="000000" w:sz="8" w:space="0"/>
              <w:right w:val="single" w:color="000000" w:sz="8" w:space="0"/>
            </w:tcBorders>
            <w:noWrap/>
            <w:vAlign w:val="center"/>
          </w:tcPr>
          <w:p w14:paraId="6C6D4AB1">
            <w:pPr>
              <w:widowControl/>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2094" w:type="dxa"/>
            <w:tcBorders>
              <w:top w:val="nil"/>
              <w:left w:val="nil"/>
              <w:bottom w:val="single" w:color="000000" w:sz="8" w:space="0"/>
              <w:right w:val="single" w:color="000000" w:sz="8" w:space="0"/>
            </w:tcBorders>
            <w:vAlign w:val="center"/>
          </w:tcPr>
          <w:p w14:paraId="15BC078E">
            <w:pPr>
              <w:widowControl/>
              <w:jc w:val="center"/>
              <w:textAlignment w:val="center"/>
              <w:rPr>
                <w:rFonts w:ascii="宋体" w:hAnsi="宋体" w:cs="宋体"/>
                <w:color w:val="auto"/>
                <w:szCs w:val="21"/>
              </w:rPr>
            </w:pPr>
            <w:r>
              <w:rPr>
                <w:rFonts w:hint="eastAsia" w:ascii="宋体" w:hAnsi="宋体" w:cs="宋体"/>
                <w:color w:val="auto"/>
                <w:kern w:val="0"/>
                <w:szCs w:val="21"/>
                <w:lang w:bidi="ar"/>
              </w:rPr>
              <w:t>打扫大小烘干机、洗衣机表面和地面卫生，和洗衣房人员一起打扫垃圾场</w:t>
            </w:r>
          </w:p>
        </w:tc>
        <w:tc>
          <w:tcPr>
            <w:tcW w:w="3057" w:type="dxa"/>
            <w:tcBorders>
              <w:top w:val="nil"/>
              <w:left w:val="nil"/>
              <w:bottom w:val="single" w:color="000000" w:sz="8" w:space="0"/>
              <w:right w:val="single" w:color="000000" w:sz="8" w:space="0"/>
            </w:tcBorders>
            <w:vAlign w:val="center"/>
          </w:tcPr>
          <w:p w14:paraId="76C84828">
            <w:pPr>
              <w:widowControl/>
              <w:jc w:val="center"/>
              <w:textAlignment w:val="center"/>
              <w:rPr>
                <w:rFonts w:ascii="宋体" w:hAnsi="宋体" w:cs="宋体"/>
                <w:color w:val="auto"/>
                <w:szCs w:val="21"/>
              </w:rPr>
            </w:pPr>
            <w:r>
              <w:rPr>
                <w:rFonts w:hint="eastAsia" w:ascii="宋体" w:hAnsi="宋体" w:cs="宋体"/>
                <w:color w:val="auto"/>
                <w:kern w:val="0"/>
                <w:szCs w:val="21"/>
                <w:lang w:bidi="ar"/>
              </w:rPr>
              <w:t>洗涤、下收全院手术衣、防护服，上送到供应室（含接种点、院内和院外核酸采样点）</w:t>
            </w:r>
          </w:p>
        </w:tc>
        <w:tc>
          <w:tcPr>
            <w:tcW w:w="948" w:type="dxa"/>
            <w:vMerge w:val="continue"/>
            <w:tcBorders>
              <w:top w:val="nil"/>
              <w:left w:val="nil"/>
              <w:bottom w:val="single" w:color="000000" w:sz="8" w:space="0"/>
              <w:right w:val="single" w:color="000000" w:sz="8" w:space="0"/>
            </w:tcBorders>
            <w:vAlign w:val="center"/>
          </w:tcPr>
          <w:p w14:paraId="7257C741">
            <w:pPr>
              <w:jc w:val="center"/>
              <w:rPr>
                <w:rFonts w:ascii="宋体" w:hAnsi="宋体" w:cs="宋体"/>
                <w:color w:val="auto"/>
                <w:szCs w:val="21"/>
              </w:rPr>
            </w:pPr>
          </w:p>
        </w:tc>
      </w:tr>
      <w:tr w14:paraId="084F0C07">
        <w:tblPrEx>
          <w:tblCellMar>
            <w:top w:w="0" w:type="dxa"/>
            <w:left w:w="108" w:type="dxa"/>
            <w:bottom w:w="0" w:type="dxa"/>
            <w:right w:w="108" w:type="dxa"/>
          </w:tblCellMar>
        </w:tblPrEx>
        <w:trPr>
          <w:trHeight w:val="285" w:hRule="atLeast"/>
          <w:jc w:val="center"/>
        </w:trPr>
        <w:tc>
          <w:tcPr>
            <w:tcW w:w="500" w:type="dxa"/>
            <w:tcBorders>
              <w:top w:val="nil"/>
              <w:left w:val="single" w:color="000000" w:sz="8" w:space="0"/>
              <w:bottom w:val="single" w:color="auto" w:sz="4" w:space="0"/>
              <w:right w:val="single" w:color="000000" w:sz="8" w:space="0"/>
            </w:tcBorders>
            <w:noWrap/>
            <w:vAlign w:val="center"/>
          </w:tcPr>
          <w:p w14:paraId="0BFAD858">
            <w:pPr>
              <w:widowControl/>
              <w:jc w:val="center"/>
              <w:textAlignment w:val="center"/>
              <w:rPr>
                <w:rFonts w:ascii="宋体" w:hAnsi="宋体" w:cs="宋体"/>
                <w:color w:val="auto"/>
                <w:szCs w:val="21"/>
              </w:rPr>
            </w:pPr>
            <w:r>
              <w:rPr>
                <w:rFonts w:hint="eastAsia" w:ascii="宋体" w:hAnsi="宋体" w:cs="宋体"/>
                <w:color w:val="auto"/>
                <w:kern w:val="0"/>
                <w:szCs w:val="21"/>
                <w:lang w:bidi="ar"/>
              </w:rPr>
              <w:t>合计</w:t>
            </w:r>
          </w:p>
        </w:tc>
        <w:tc>
          <w:tcPr>
            <w:tcW w:w="7636" w:type="dxa"/>
            <w:gridSpan w:val="6"/>
            <w:tcBorders>
              <w:top w:val="nil"/>
              <w:left w:val="nil"/>
              <w:bottom w:val="single" w:color="auto" w:sz="4" w:space="0"/>
              <w:right w:val="single" w:color="000000" w:sz="8" w:space="0"/>
            </w:tcBorders>
            <w:vAlign w:val="center"/>
          </w:tcPr>
          <w:p w14:paraId="41B2678B">
            <w:pPr>
              <w:widowControl/>
              <w:jc w:val="center"/>
              <w:textAlignment w:val="center"/>
              <w:rPr>
                <w:rFonts w:ascii="宋体" w:hAnsi="宋体" w:cs="宋体"/>
                <w:color w:val="auto"/>
                <w:szCs w:val="21"/>
              </w:rPr>
            </w:pPr>
            <w:r>
              <w:rPr>
                <w:rFonts w:hint="eastAsia" w:ascii="宋体" w:hAnsi="宋体" w:cs="宋体"/>
                <w:color w:val="auto"/>
                <w:kern w:val="0"/>
                <w:szCs w:val="21"/>
                <w:lang w:bidi="ar"/>
              </w:rPr>
              <w:t>43人</w:t>
            </w:r>
          </w:p>
        </w:tc>
      </w:tr>
      <w:tr w14:paraId="6CD5B80F">
        <w:tblPrEx>
          <w:tblCellMar>
            <w:top w:w="0" w:type="dxa"/>
            <w:left w:w="108" w:type="dxa"/>
            <w:bottom w:w="0" w:type="dxa"/>
            <w:right w:w="108" w:type="dxa"/>
          </w:tblCellMar>
        </w:tblPrEx>
        <w:trPr>
          <w:trHeight w:val="285" w:hRule="atLeast"/>
          <w:jc w:val="center"/>
        </w:trPr>
        <w:tc>
          <w:tcPr>
            <w:tcW w:w="8136" w:type="dxa"/>
            <w:gridSpan w:val="7"/>
            <w:tcBorders>
              <w:top w:val="single" w:color="auto" w:sz="4" w:space="0"/>
              <w:left w:val="single" w:color="auto" w:sz="4" w:space="0"/>
              <w:bottom w:val="single" w:color="auto" w:sz="4" w:space="0"/>
              <w:right w:val="single" w:color="auto" w:sz="4" w:space="0"/>
            </w:tcBorders>
            <w:vAlign w:val="center"/>
          </w:tcPr>
          <w:p w14:paraId="37AF962F">
            <w:pPr>
              <w:widowControl/>
              <w:jc w:val="center"/>
              <w:textAlignment w:val="center"/>
              <w:rPr>
                <w:rFonts w:ascii="宋体" w:hAnsi="宋体" w:cs="宋体"/>
                <w:color w:val="auto"/>
                <w:szCs w:val="21"/>
              </w:rPr>
            </w:pPr>
            <w:r>
              <w:rPr>
                <w:rFonts w:hint="eastAsia" w:ascii="宋体" w:hAnsi="宋体" w:cs="宋体"/>
                <w:color w:val="auto"/>
                <w:kern w:val="0"/>
                <w:szCs w:val="21"/>
                <w:lang w:bidi="ar"/>
              </w:rPr>
              <w:t>备注：感染楼目前还在建设中，到投入使用后再根据实际情况配置人员及增加费用。</w:t>
            </w:r>
          </w:p>
        </w:tc>
      </w:tr>
    </w:tbl>
    <w:p w14:paraId="4CE845E1">
      <w:pPr>
        <w:snapToGrid w:val="0"/>
        <w:spacing w:line="360" w:lineRule="auto"/>
        <w:ind w:right="315"/>
        <w:rPr>
          <w:rFonts w:ascii="宋体" w:hAnsi="宋体"/>
          <w:color w:val="auto"/>
          <w:szCs w:val="21"/>
        </w:rPr>
      </w:pPr>
    </w:p>
    <w:p w14:paraId="38789A89">
      <w:pPr>
        <w:spacing w:line="360" w:lineRule="auto"/>
        <w:ind w:firstLine="422" w:firstLineChars="200"/>
        <w:rPr>
          <w:rFonts w:hint="eastAsia" w:cs="宋体"/>
          <w:b/>
          <w:bCs/>
          <w:color w:val="auto"/>
        </w:rPr>
      </w:pPr>
    </w:p>
    <w:p w14:paraId="4AA5A3AA">
      <w:pPr>
        <w:spacing w:line="360" w:lineRule="auto"/>
        <w:ind w:firstLine="422" w:firstLineChars="200"/>
        <w:rPr>
          <w:rFonts w:hint="eastAsia" w:cs="宋体"/>
          <w:b/>
          <w:bCs/>
          <w:color w:val="auto"/>
        </w:rPr>
      </w:pPr>
    </w:p>
    <w:p w14:paraId="7E4735E4">
      <w:pPr>
        <w:spacing w:line="360" w:lineRule="auto"/>
        <w:ind w:firstLine="422" w:firstLineChars="200"/>
        <w:rPr>
          <w:rFonts w:hint="eastAsia" w:cs="宋体"/>
          <w:b/>
          <w:bCs/>
          <w:color w:val="auto"/>
        </w:rPr>
      </w:pPr>
    </w:p>
    <w:p w14:paraId="1E94F502">
      <w:pPr>
        <w:spacing w:line="360" w:lineRule="auto"/>
        <w:ind w:firstLine="422" w:firstLineChars="200"/>
        <w:rPr>
          <w:rFonts w:hint="eastAsia" w:cs="宋体"/>
          <w:b/>
          <w:bCs/>
          <w:color w:val="auto"/>
        </w:rPr>
      </w:pPr>
    </w:p>
    <w:p w14:paraId="6ACDF890">
      <w:pPr>
        <w:spacing w:line="360" w:lineRule="auto"/>
        <w:ind w:firstLine="422" w:firstLineChars="200"/>
        <w:rPr>
          <w:rFonts w:hint="eastAsia" w:cs="宋体"/>
          <w:b/>
          <w:bCs/>
          <w:color w:val="auto"/>
        </w:rPr>
      </w:pPr>
    </w:p>
    <w:p w14:paraId="48AB4196">
      <w:pPr>
        <w:spacing w:line="360" w:lineRule="auto"/>
        <w:ind w:firstLine="422" w:firstLineChars="200"/>
        <w:rPr>
          <w:rFonts w:hint="eastAsia" w:cs="宋体"/>
          <w:b/>
          <w:bCs/>
          <w:color w:val="auto"/>
        </w:rPr>
      </w:pPr>
    </w:p>
    <w:p w14:paraId="39699976">
      <w:pPr>
        <w:spacing w:line="360" w:lineRule="auto"/>
        <w:ind w:firstLine="422" w:firstLineChars="200"/>
        <w:rPr>
          <w:rFonts w:hint="eastAsia" w:cs="宋体"/>
          <w:b/>
          <w:bCs/>
          <w:color w:val="auto"/>
        </w:rPr>
      </w:pPr>
    </w:p>
    <w:p w14:paraId="40CEF7B6">
      <w:pPr>
        <w:spacing w:line="360" w:lineRule="auto"/>
        <w:ind w:firstLine="422" w:firstLineChars="200"/>
        <w:rPr>
          <w:rFonts w:hint="eastAsia" w:cs="宋体"/>
          <w:b/>
          <w:bCs/>
          <w:color w:val="auto"/>
        </w:rPr>
      </w:pPr>
    </w:p>
    <w:p w14:paraId="7F6A2157">
      <w:pPr>
        <w:spacing w:line="360" w:lineRule="auto"/>
        <w:ind w:firstLine="422" w:firstLineChars="200"/>
        <w:rPr>
          <w:rFonts w:hint="eastAsia" w:cs="宋体"/>
          <w:b/>
          <w:bCs/>
          <w:color w:val="auto"/>
        </w:rPr>
      </w:pPr>
    </w:p>
    <w:p w14:paraId="4985D790">
      <w:pPr>
        <w:spacing w:line="360" w:lineRule="auto"/>
        <w:ind w:firstLine="422" w:firstLineChars="200"/>
        <w:rPr>
          <w:rFonts w:hint="eastAsia" w:cs="宋体"/>
          <w:b/>
          <w:bCs/>
          <w:color w:val="auto"/>
        </w:rPr>
      </w:pPr>
    </w:p>
    <w:p w14:paraId="1A0C6CD3">
      <w:pPr>
        <w:spacing w:line="360" w:lineRule="auto"/>
        <w:ind w:firstLine="422" w:firstLineChars="200"/>
        <w:rPr>
          <w:rFonts w:hint="eastAsia" w:cs="宋体"/>
          <w:b/>
          <w:bCs/>
          <w:color w:val="auto"/>
        </w:rPr>
      </w:pPr>
    </w:p>
    <w:p w14:paraId="1C5D1656">
      <w:pPr>
        <w:spacing w:line="360" w:lineRule="auto"/>
        <w:ind w:firstLine="422" w:firstLineChars="200"/>
        <w:rPr>
          <w:rFonts w:hint="eastAsia" w:cs="宋体"/>
          <w:b/>
          <w:bCs/>
          <w:color w:val="auto"/>
        </w:rPr>
      </w:pPr>
    </w:p>
    <w:p w14:paraId="505EEF91">
      <w:pPr>
        <w:spacing w:line="360" w:lineRule="auto"/>
        <w:ind w:firstLine="422" w:firstLineChars="200"/>
        <w:rPr>
          <w:rFonts w:hint="eastAsia" w:cs="宋体"/>
          <w:b/>
          <w:bCs/>
          <w:color w:val="auto"/>
        </w:rPr>
      </w:pPr>
    </w:p>
    <w:p w14:paraId="5AE08A52">
      <w:pPr>
        <w:spacing w:line="360" w:lineRule="auto"/>
        <w:ind w:firstLine="422" w:firstLineChars="200"/>
        <w:rPr>
          <w:rFonts w:hint="eastAsia" w:cs="宋体"/>
          <w:b/>
          <w:bCs/>
          <w:color w:val="auto"/>
        </w:rPr>
      </w:pPr>
    </w:p>
    <w:p w14:paraId="4EBFB61A">
      <w:pPr>
        <w:spacing w:line="360" w:lineRule="auto"/>
        <w:ind w:firstLine="422" w:firstLineChars="200"/>
        <w:rPr>
          <w:rFonts w:hint="eastAsia" w:cs="宋体"/>
          <w:b/>
          <w:bCs/>
          <w:color w:val="auto"/>
        </w:rPr>
      </w:pPr>
    </w:p>
    <w:p w14:paraId="5FA179C7">
      <w:pPr>
        <w:spacing w:line="360" w:lineRule="auto"/>
        <w:ind w:firstLine="422" w:firstLineChars="200"/>
        <w:rPr>
          <w:rFonts w:hint="eastAsia" w:cs="宋体"/>
          <w:b/>
          <w:bCs/>
          <w:color w:val="auto"/>
        </w:rPr>
      </w:pPr>
    </w:p>
    <w:p w14:paraId="4081B64B">
      <w:pPr>
        <w:spacing w:line="360" w:lineRule="auto"/>
        <w:ind w:firstLine="422" w:firstLineChars="200"/>
        <w:rPr>
          <w:rFonts w:hint="eastAsia" w:cs="宋体"/>
          <w:b/>
          <w:bCs/>
          <w:color w:val="auto"/>
        </w:rPr>
      </w:pPr>
    </w:p>
    <w:p w14:paraId="7D49D2D4">
      <w:pPr>
        <w:spacing w:line="360" w:lineRule="auto"/>
        <w:ind w:firstLine="422" w:firstLineChars="200"/>
        <w:rPr>
          <w:rFonts w:hint="eastAsia" w:cs="宋体"/>
          <w:b/>
          <w:bCs/>
          <w:color w:val="auto"/>
        </w:rPr>
      </w:pPr>
    </w:p>
    <w:p w14:paraId="0ACD5076">
      <w:pPr>
        <w:spacing w:line="360" w:lineRule="auto"/>
        <w:ind w:firstLine="422" w:firstLineChars="200"/>
        <w:rPr>
          <w:rFonts w:hint="eastAsia" w:cs="宋体"/>
          <w:b/>
          <w:bCs/>
          <w:color w:val="auto"/>
        </w:rPr>
      </w:pPr>
    </w:p>
    <w:p w14:paraId="4F0355C7">
      <w:pPr>
        <w:spacing w:line="360" w:lineRule="auto"/>
        <w:ind w:firstLine="422" w:firstLineChars="200"/>
        <w:rPr>
          <w:rFonts w:hint="eastAsia" w:cs="宋体"/>
          <w:b/>
          <w:bCs/>
          <w:color w:val="auto"/>
        </w:rPr>
      </w:pPr>
    </w:p>
    <w:p w14:paraId="1ADD7191">
      <w:pPr>
        <w:spacing w:line="360" w:lineRule="auto"/>
        <w:ind w:firstLine="422" w:firstLineChars="200"/>
        <w:rPr>
          <w:rFonts w:hint="eastAsia" w:cs="宋体"/>
          <w:b/>
          <w:bCs/>
          <w:color w:val="auto"/>
        </w:rPr>
      </w:pPr>
    </w:p>
    <w:p w14:paraId="190304EC">
      <w:pPr>
        <w:spacing w:line="360" w:lineRule="auto"/>
        <w:ind w:firstLine="422" w:firstLineChars="200"/>
        <w:rPr>
          <w:rFonts w:hint="eastAsia" w:cs="宋体"/>
          <w:b/>
          <w:bCs/>
          <w:color w:val="auto"/>
        </w:rPr>
      </w:pPr>
    </w:p>
    <w:p w14:paraId="22ECAB59">
      <w:pPr>
        <w:spacing w:line="360" w:lineRule="auto"/>
        <w:ind w:firstLine="422" w:firstLineChars="200"/>
        <w:rPr>
          <w:rFonts w:hint="eastAsia" w:cs="宋体"/>
          <w:b/>
          <w:bCs/>
          <w:color w:val="auto"/>
        </w:rPr>
      </w:pPr>
    </w:p>
    <w:p w14:paraId="5C0A6D77">
      <w:pPr>
        <w:spacing w:line="360" w:lineRule="auto"/>
        <w:ind w:firstLine="422" w:firstLineChars="200"/>
        <w:rPr>
          <w:rFonts w:hint="eastAsia" w:cs="宋体"/>
          <w:b/>
          <w:bCs/>
          <w:color w:val="auto"/>
        </w:rPr>
      </w:pPr>
    </w:p>
    <w:p w14:paraId="3373BB68">
      <w:pPr>
        <w:spacing w:line="360" w:lineRule="auto"/>
        <w:ind w:firstLine="422" w:firstLineChars="200"/>
        <w:rPr>
          <w:rFonts w:hint="eastAsia" w:cs="宋体"/>
          <w:b/>
          <w:bCs/>
          <w:color w:val="auto"/>
        </w:rPr>
      </w:pPr>
    </w:p>
    <w:p w14:paraId="28AE7A62">
      <w:pPr>
        <w:spacing w:line="360" w:lineRule="auto"/>
        <w:ind w:firstLine="422" w:firstLineChars="200"/>
        <w:rPr>
          <w:rFonts w:hint="eastAsia" w:cs="宋体"/>
          <w:b/>
          <w:bCs/>
          <w:color w:val="auto"/>
        </w:rPr>
      </w:pPr>
    </w:p>
    <w:p w14:paraId="6D56FB8B">
      <w:pPr>
        <w:spacing w:line="360" w:lineRule="auto"/>
        <w:ind w:firstLine="422" w:firstLineChars="200"/>
        <w:rPr>
          <w:rFonts w:hint="eastAsia" w:cs="宋体"/>
          <w:b/>
          <w:bCs/>
          <w:color w:val="auto"/>
        </w:rPr>
      </w:pPr>
    </w:p>
    <w:p w14:paraId="20BFED1D">
      <w:pPr>
        <w:spacing w:line="360" w:lineRule="auto"/>
        <w:ind w:firstLine="422" w:firstLineChars="200"/>
        <w:rPr>
          <w:b/>
          <w:bCs/>
          <w:color w:val="auto"/>
        </w:rPr>
      </w:pPr>
      <w:r>
        <w:rPr>
          <w:rFonts w:hint="eastAsia" w:cs="宋体"/>
          <w:b/>
          <w:bCs/>
          <w:color w:val="auto"/>
        </w:rPr>
        <w:t>第六条、保洁工作质量检查、考核及奖惩</w:t>
      </w:r>
    </w:p>
    <w:p w14:paraId="54F9DF2A">
      <w:pPr>
        <w:spacing w:line="360" w:lineRule="auto"/>
        <w:ind w:firstLine="420" w:firstLineChars="200"/>
        <w:rPr>
          <w:color w:val="auto"/>
        </w:rPr>
      </w:pPr>
      <w:r>
        <w:rPr>
          <w:color w:val="auto"/>
        </w:rPr>
        <w:t>1</w:t>
      </w:r>
      <w:r>
        <w:rPr>
          <w:rFonts w:hint="eastAsia" w:cs="宋体"/>
          <w:color w:val="auto"/>
        </w:rPr>
        <w:t>、乙方内部质量监控体系</w:t>
      </w:r>
    </w:p>
    <w:p w14:paraId="766599E0">
      <w:pPr>
        <w:spacing w:line="360" w:lineRule="auto"/>
        <w:ind w:firstLine="420" w:firstLineChars="200"/>
        <w:rPr>
          <w:color w:val="auto"/>
        </w:rPr>
      </w:pPr>
      <w:r>
        <w:rPr>
          <w:rFonts w:hint="eastAsia" w:cs="宋体"/>
          <w:color w:val="auto"/>
        </w:rPr>
        <w:t>乙方要建立健全的质量监控体系，每时、每天、每周、每月都有专人或专门部门进行检查，确保清洁保洁达到既定标准；清洁作业按计划顺利完成，质量记录完整。</w:t>
      </w:r>
    </w:p>
    <w:p w14:paraId="680FB3C7">
      <w:pPr>
        <w:spacing w:line="360" w:lineRule="auto"/>
        <w:ind w:firstLine="420" w:firstLineChars="200"/>
        <w:rPr>
          <w:color w:val="auto"/>
        </w:rPr>
      </w:pPr>
      <w:r>
        <w:rPr>
          <w:rFonts w:hint="eastAsia" w:cs="宋体"/>
          <w:color w:val="auto"/>
        </w:rPr>
        <w:t>（</w:t>
      </w:r>
      <w:r>
        <w:rPr>
          <w:color w:val="auto"/>
        </w:rPr>
        <w:t>1</w:t>
      </w:r>
      <w:r>
        <w:rPr>
          <w:rFonts w:hint="eastAsia" w:cs="宋体"/>
          <w:color w:val="auto"/>
        </w:rPr>
        <w:t>）员工自查：清洁工对各自的负责区域循环保沽、检查。</w:t>
      </w:r>
    </w:p>
    <w:p w14:paraId="5F56FADA">
      <w:pPr>
        <w:spacing w:line="360" w:lineRule="auto"/>
        <w:ind w:firstLine="420" w:firstLineChars="200"/>
        <w:rPr>
          <w:color w:val="auto"/>
        </w:rPr>
      </w:pPr>
      <w:r>
        <w:rPr>
          <w:rFonts w:hint="eastAsia" w:cs="宋体"/>
          <w:color w:val="auto"/>
        </w:rPr>
        <w:t>（</w:t>
      </w:r>
      <w:r>
        <w:rPr>
          <w:color w:val="auto"/>
        </w:rPr>
        <w:t>2</w:t>
      </w:r>
      <w:r>
        <w:rPr>
          <w:rFonts w:hint="eastAsia" w:cs="宋体"/>
          <w:color w:val="auto"/>
        </w:rPr>
        <w:t>）项目主管、保洁领班巡查：领班对辖区内的区域、岗位进行巡查或抽查，井结合巡查所发现的问题检验纠正后的效果，把检查结果和未能解决的问题上报管理处经理，并做好记录。</w:t>
      </w:r>
    </w:p>
    <w:p w14:paraId="5044ACAC">
      <w:pPr>
        <w:spacing w:line="360" w:lineRule="auto"/>
        <w:ind w:firstLine="420" w:firstLineChars="200"/>
        <w:rPr>
          <w:color w:val="auto"/>
        </w:rPr>
      </w:pPr>
      <w:r>
        <w:rPr>
          <w:rFonts w:hint="eastAsia" w:cs="宋体"/>
          <w:color w:val="auto"/>
        </w:rPr>
        <w:t>（</w:t>
      </w:r>
      <w:r>
        <w:rPr>
          <w:color w:val="auto"/>
        </w:rPr>
        <w:t>3</w:t>
      </w:r>
      <w:r>
        <w:rPr>
          <w:rFonts w:hint="eastAsia" w:cs="宋体"/>
          <w:color w:val="auto"/>
        </w:rPr>
        <w:t>）公司品质部抽查：不定期进行抽查，及时解决问题。</w:t>
      </w:r>
    </w:p>
    <w:p w14:paraId="54C84F56">
      <w:pPr>
        <w:spacing w:line="360" w:lineRule="auto"/>
        <w:ind w:firstLine="420" w:firstLineChars="200"/>
        <w:rPr>
          <w:color w:val="auto"/>
        </w:rPr>
      </w:pPr>
      <w:r>
        <w:rPr>
          <w:color w:val="auto"/>
        </w:rPr>
        <w:t>2</w:t>
      </w:r>
      <w:r>
        <w:rPr>
          <w:rFonts w:hint="eastAsia" w:cs="宋体"/>
          <w:color w:val="auto"/>
        </w:rPr>
        <w:t>、严格的考核制度</w:t>
      </w:r>
    </w:p>
    <w:p w14:paraId="6E0F223C">
      <w:pPr>
        <w:spacing w:line="360" w:lineRule="auto"/>
        <w:ind w:firstLine="420" w:firstLineChars="200"/>
        <w:rPr>
          <w:color w:val="auto"/>
        </w:rPr>
      </w:pPr>
      <w:r>
        <w:rPr>
          <w:rFonts w:hint="eastAsia" w:cs="宋体"/>
          <w:color w:val="auto"/>
        </w:rPr>
        <w:t>（</w:t>
      </w:r>
      <w:r>
        <w:rPr>
          <w:color w:val="auto"/>
        </w:rPr>
        <w:t>1</w:t>
      </w:r>
      <w:r>
        <w:rPr>
          <w:rFonts w:hint="eastAsia" w:cs="宋体"/>
          <w:color w:val="auto"/>
        </w:rPr>
        <w:t>）每月对员工专业操作技能、工作业绩进行考核，每半年进行一次专业基础知识考试，结合日常工作业绩，实行末尾淘汰。</w:t>
      </w:r>
    </w:p>
    <w:p w14:paraId="6DAF4BB7">
      <w:pPr>
        <w:spacing w:line="360" w:lineRule="auto"/>
        <w:ind w:firstLine="420" w:firstLineChars="200"/>
        <w:rPr>
          <w:color w:val="auto"/>
        </w:rPr>
      </w:pPr>
      <w:r>
        <w:rPr>
          <w:rFonts w:hint="eastAsia" w:cs="宋体"/>
          <w:color w:val="auto"/>
        </w:rPr>
        <w:t>（</w:t>
      </w:r>
      <w:r>
        <w:rPr>
          <w:color w:val="auto"/>
        </w:rPr>
        <w:t>2</w:t>
      </w:r>
      <w:r>
        <w:rPr>
          <w:rFonts w:hint="eastAsia" w:cs="宋体"/>
          <w:color w:val="auto"/>
        </w:rPr>
        <w:t>）乙方在投标文件中要提供各类人员的管理和质量考核方案和相关的表格，以证明该单位的管理水平能力。</w:t>
      </w:r>
    </w:p>
    <w:p w14:paraId="4204EEE2">
      <w:pPr>
        <w:spacing w:line="360" w:lineRule="auto"/>
        <w:ind w:firstLine="420" w:firstLineChars="200"/>
        <w:rPr>
          <w:color w:val="auto"/>
        </w:rPr>
      </w:pPr>
      <w:r>
        <w:rPr>
          <w:color w:val="auto"/>
        </w:rPr>
        <w:t>3</w:t>
      </w:r>
      <w:r>
        <w:rPr>
          <w:rFonts w:hint="eastAsia" w:cs="宋体"/>
          <w:color w:val="auto"/>
        </w:rPr>
        <w:t>、清洁作业改进</w:t>
      </w:r>
    </w:p>
    <w:p w14:paraId="6848BA9E">
      <w:pPr>
        <w:spacing w:line="360" w:lineRule="auto"/>
        <w:ind w:firstLine="420" w:firstLineChars="200"/>
        <w:rPr>
          <w:color w:val="auto"/>
        </w:rPr>
      </w:pPr>
      <w:r>
        <w:rPr>
          <w:rFonts w:hint="eastAsia" w:cs="宋体"/>
          <w:color w:val="auto"/>
        </w:rPr>
        <w:t>（</w:t>
      </w:r>
      <w:r>
        <w:rPr>
          <w:color w:val="auto"/>
        </w:rPr>
        <w:t>1</w:t>
      </w:r>
      <w:r>
        <w:rPr>
          <w:rFonts w:hint="eastAsia" w:cs="宋体"/>
          <w:color w:val="auto"/>
        </w:rPr>
        <w:t>）检查出的问题及时改进。</w:t>
      </w:r>
    </w:p>
    <w:p w14:paraId="1BD9EC09">
      <w:pPr>
        <w:spacing w:line="360" w:lineRule="auto"/>
        <w:ind w:firstLine="420" w:firstLineChars="200"/>
        <w:rPr>
          <w:color w:val="auto"/>
        </w:rPr>
      </w:pPr>
      <w:r>
        <w:rPr>
          <w:rFonts w:hint="eastAsia" w:cs="宋体"/>
          <w:color w:val="auto"/>
        </w:rPr>
        <w:t>（</w:t>
      </w:r>
      <w:r>
        <w:rPr>
          <w:color w:val="auto"/>
        </w:rPr>
        <w:t>2</w:t>
      </w:r>
      <w:r>
        <w:rPr>
          <w:rFonts w:hint="eastAsia" w:cs="宋体"/>
          <w:color w:val="auto"/>
        </w:rPr>
        <w:t>）加强员工的培。理论与实际相结合，请专业人士定点、定时进行言传身教，以使每个员工达到各项工作标准要求。每位员工都做“一熟、二勤、三快”：一熟，即对各项工作标准熟悉，明白自己所做的工作细则；二勤，脑勤、手勤；三快，在保证清洁质量的前提下，正硫判断问题快，应变能力快，处理问题快，工作效率高。</w:t>
      </w:r>
    </w:p>
    <w:p w14:paraId="1E100208">
      <w:pPr>
        <w:spacing w:line="360" w:lineRule="auto"/>
        <w:ind w:firstLine="420" w:firstLineChars="200"/>
        <w:rPr>
          <w:color w:val="auto"/>
        </w:rPr>
      </w:pPr>
      <w:r>
        <w:rPr>
          <w:rFonts w:hint="eastAsia" w:cs="宋体"/>
          <w:color w:val="auto"/>
        </w:rPr>
        <w:t>（</w:t>
      </w:r>
      <w:r>
        <w:rPr>
          <w:color w:val="auto"/>
        </w:rPr>
        <w:t>3</w:t>
      </w:r>
      <w:r>
        <w:rPr>
          <w:rFonts w:hint="eastAsia" w:cs="宋体"/>
          <w:color w:val="auto"/>
        </w:rPr>
        <w:t>）鼓励员工多提合理化建议，以不断改进工作。</w:t>
      </w:r>
    </w:p>
    <w:p w14:paraId="196515A5">
      <w:pPr>
        <w:spacing w:line="360" w:lineRule="auto"/>
        <w:ind w:firstLine="420" w:firstLineChars="200"/>
        <w:rPr>
          <w:color w:val="auto"/>
        </w:rPr>
      </w:pPr>
      <w:r>
        <w:rPr>
          <w:color w:val="auto"/>
        </w:rPr>
        <w:t>4</w:t>
      </w:r>
      <w:r>
        <w:rPr>
          <w:rFonts w:hint="eastAsia" w:cs="宋体"/>
          <w:color w:val="auto"/>
        </w:rPr>
        <w:t>、考核标准及奖罚办法</w:t>
      </w:r>
    </w:p>
    <w:tbl>
      <w:tblPr>
        <w:tblStyle w:val="47"/>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6991"/>
        <w:gridCol w:w="2205"/>
      </w:tblGrid>
      <w:tr w14:paraId="2DD1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20" w:type="dxa"/>
            <w:vMerge w:val="restart"/>
            <w:vAlign w:val="center"/>
          </w:tcPr>
          <w:p w14:paraId="359BA1F5">
            <w:pPr>
              <w:spacing w:line="460" w:lineRule="exact"/>
              <w:rPr>
                <w:rFonts w:ascii="宋体" w:cs="宋体"/>
                <w:color w:val="auto"/>
              </w:rPr>
            </w:pPr>
          </w:p>
          <w:p w14:paraId="48486CB3">
            <w:pPr>
              <w:spacing w:line="460" w:lineRule="exact"/>
              <w:rPr>
                <w:rFonts w:ascii="宋体" w:cs="宋体"/>
                <w:color w:val="auto"/>
              </w:rPr>
            </w:pPr>
            <w:r>
              <w:rPr>
                <w:rFonts w:hint="eastAsia" w:ascii="宋体" w:hAnsi="宋体" w:cs="宋体"/>
                <w:color w:val="auto"/>
              </w:rPr>
              <w:t>卫</w:t>
            </w:r>
          </w:p>
          <w:p w14:paraId="2B624770">
            <w:pPr>
              <w:spacing w:line="460" w:lineRule="exact"/>
              <w:rPr>
                <w:rFonts w:ascii="宋体" w:cs="宋体"/>
                <w:color w:val="auto"/>
              </w:rPr>
            </w:pPr>
            <w:r>
              <w:rPr>
                <w:rFonts w:hint="eastAsia" w:ascii="宋体" w:hAnsi="宋体" w:cs="宋体"/>
                <w:color w:val="auto"/>
              </w:rPr>
              <w:t>生</w:t>
            </w:r>
          </w:p>
          <w:p w14:paraId="083C0E33">
            <w:pPr>
              <w:spacing w:line="460" w:lineRule="exact"/>
              <w:rPr>
                <w:rFonts w:ascii="宋体" w:cs="宋体"/>
                <w:color w:val="auto"/>
              </w:rPr>
            </w:pPr>
            <w:r>
              <w:rPr>
                <w:rFonts w:hint="eastAsia" w:ascii="宋体" w:hAnsi="宋体" w:cs="宋体"/>
                <w:color w:val="auto"/>
              </w:rPr>
              <w:t>保</w:t>
            </w:r>
          </w:p>
          <w:p w14:paraId="57685151">
            <w:pPr>
              <w:spacing w:line="460" w:lineRule="exact"/>
              <w:rPr>
                <w:rFonts w:ascii="宋体" w:cs="宋体"/>
                <w:color w:val="auto"/>
              </w:rPr>
            </w:pPr>
            <w:r>
              <w:rPr>
                <w:rFonts w:hint="eastAsia" w:ascii="宋体" w:hAnsi="宋体" w:cs="宋体"/>
                <w:color w:val="auto"/>
              </w:rPr>
              <w:t>洁</w:t>
            </w:r>
          </w:p>
          <w:p w14:paraId="7842D38F">
            <w:pPr>
              <w:spacing w:line="460" w:lineRule="exact"/>
              <w:rPr>
                <w:rFonts w:ascii="宋体" w:cs="宋体"/>
                <w:color w:val="auto"/>
              </w:rPr>
            </w:pPr>
            <w:r>
              <w:rPr>
                <w:rFonts w:hint="eastAsia" w:ascii="宋体" w:hAnsi="宋体" w:cs="宋体"/>
                <w:color w:val="auto"/>
              </w:rPr>
              <w:t>管</w:t>
            </w:r>
          </w:p>
          <w:p w14:paraId="19AF0C0B">
            <w:pPr>
              <w:spacing w:line="460" w:lineRule="exact"/>
              <w:rPr>
                <w:rFonts w:ascii="宋体" w:cs="宋体"/>
                <w:color w:val="auto"/>
              </w:rPr>
            </w:pPr>
            <w:r>
              <w:rPr>
                <w:rFonts w:hint="eastAsia" w:ascii="宋体" w:hAnsi="宋体" w:cs="宋体"/>
                <w:color w:val="auto"/>
              </w:rPr>
              <w:t>理</w:t>
            </w:r>
          </w:p>
          <w:p w14:paraId="683C5959">
            <w:pPr>
              <w:spacing w:line="460" w:lineRule="exact"/>
              <w:rPr>
                <w:rFonts w:ascii="宋体" w:cs="宋体"/>
                <w:color w:val="auto"/>
              </w:rPr>
            </w:pPr>
          </w:p>
          <w:p w14:paraId="6B2AA31C">
            <w:pPr>
              <w:spacing w:line="460" w:lineRule="exact"/>
              <w:rPr>
                <w:rFonts w:ascii="宋体" w:cs="宋体"/>
                <w:color w:val="auto"/>
              </w:rPr>
            </w:pPr>
          </w:p>
        </w:tc>
        <w:tc>
          <w:tcPr>
            <w:tcW w:w="6991" w:type="dxa"/>
          </w:tcPr>
          <w:p w14:paraId="2AE80927">
            <w:pPr>
              <w:spacing w:line="460" w:lineRule="exact"/>
              <w:rPr>
                <w:rFonts w:ascii="宋体" w:cs="宋体"/>
                <w:color w:val="auto"/>
              </w:rPr>
            </w:pPr>
            <w:r>
              <w:rPr>
                <w:rFonts w:hint="eastAsia" w:ascii="宋体" w:hAnsi="宋体" w:cs="宋体"/>
                <w:color w:val="auto"/>
              </w:rPr>
              <w:t>楼宇内保洁</w:t>
            </w:r>
          </w:p>
        </w:tc>
        <w:tc>
          <w:tcPr>
            <w:tcW w:w="2205" w:type="dxa"/>
            <w:vAlign w:val="center"/>
          </w:tcPr>
          <w:p w14:paraId="202F0A4B">
            <w:pPr>
              <w:spacing w:line="460" w:lineRule="exact"/>
              <w:rPr>
                <w:rFonts w:ascii="宋体" w:cs="宋体"/>
                <w:color w:val="auto"/>
              </w:rPr>
            </w:pPr>
          </w:p>
        </w:tc>
      </w:tr>
      <w:tr w14:paraId="0E70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20" w:type="dxa"/>
            <w:vMerge w:val="continue"/>
            <w:vAlign w:val="center"/>
          </w:tcPr>
          <w:p w14:paraId="209D2913">
            <w:pPr>
              <w:spacing w:line="460" w:lineRule="exact"/>
              <w:rPr>
                <w:rFonts w:ascii="宋体" w:cs="宋体"/>
                <w:color w:val="auto"/>
              </w:rPr>
            </w:pPr>
          </w:p>
        </w:tc>
        <w:tc>
          <w:tcPr>
            <w:tcW w:w="6991" w:type="dxa"/>
          </w:tcPr>
          <w:p w14:paraId="6ED0B056">
            <w:pPr>
              <w:spacing w:line="460" w:lineRule="exact"/>
              <w:rPr>
                <w:rFonts w:ascii="宋体" w:cs="宋体"/>
                <w:color w:val="auto"/>
              </w:rPr>
            </w:pPr>
            <w:r>
              <w:rPr>
                <w:rFonts w:ascii="宋体" w:hAnsi="宋体" w:cs="宋体"/>
                <w:color w:val="auto"/>
              </w:rPr>
              <w:t>1</w:t>
            </w:r>
            <w:r>
              <w:rPr>
                <w:rFonts w:hint="eastAsia" w:ascii="宋体" w:hAnsi="宋体" w:cs="宋体"/>
                <w:color w:val="auto"/>
              </w:rPr>
              <w:t>、定人（人员配备）定岗（责任范围）定时（完成时间）定项（工作项目），人员排班和工作安排合理，服务状态良好。</w:t>
            </w:r>
          </w:p>
        </w:tc>
        <w:tc>
          <w:tcPr>
            <w:tcW w:w="2205" w:type="dxa"/>
            <w:vAlign w:val="center"/>
          </w:tcPr>
          <w:p w14:paraId="1DF0E060">
            <w:pPr>
              <w:spacing w:line="460" w:lineRule="exact"/>
              <w:rPr>
                <w:rFonts w:ascii="宋体" w:cs="宋体"/>
                <w:color w:val="auto"/>
              </w:rPr>
            </w:pPr>
            <w:r>
              <w:rPr>
                <w:rFonts w:hint="eastAsia" w:ascii="宋体" w:hAnsi="宋体" w:cs="宋体"/>
                <w:color w:val="auto"/>
              </w:rPr>
              <w:t>一项不明确或不符要求扣</w:t>
            </w:r>
            <w:r>
              <w:rPr>
                <w:rFonts w:ascii="宋体" w:hAnsi="宋体" w:cs="宋体"/>
                <w:color w:val="auto"/>
              </w:rPr>
              <w:t>1</w:t>
            </w:r>
            <w:r>
              <w:rPr>
                <w:rFonts w:hint="eastAsia" w:ascii="宋体" w:hAnsi="宋体" w:cs="宋体"/>
                <w:color w:val="auto"/>
              </w:rPr>
              <w:t>分。</w:t>
            </w:r>
          </w:p>
        </w:tc>
      </w:tr>
      <w:tr w14:paraId="6C97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20" w:type="dxa"/>
            <w:vMerge w:val="continue"/>
            <w:vAlign w:val="center"/>
          </w:tcPr>
          <w:p w14:paraId="6EE786CF">
            <w:pPr>
              <w:spacing w:line="460" w:lineRule="exact"/>
              <w:rPr>
                <w:rFonts w:ascii="宋体" w:cs="宋体"/>
                <w:color w:val="auto"/>
              </w:rPr>
            </w:pPr>
          </w:p>
        </w:tc>
        <w:tc>
          <w:tcPr>
            <w:tcW w:w="6991" w:type="dxa"/>
          </w:tcPr>
          <w:p w14:paraId="2C2031DB">
            <w:pPr>
              <w:spacing w:line="460" w:lineRule="exact"/>
              <w:rPr>
                <w:rFonts w:ascii="宋体" w:cs="宋体"/>
                <w:color w:val="auto"/>
              </w:rPr>
            </w:pPr>
            <w:r>
              <w:rPr>
                <w:rFonts w:ascii="宋体" w:hAnsi="宋体" w:cs="宋体"/>
                <w:color w:val="auto"/>
              </w:rPr>
              <w:t>2</w:t>
            </w:r>
            <w:r>
              <w:rPr>
                <w:rFonts w:hint="eastAsia" w:ascii="宋体" w:hAnsi="宋体" w:cs="宋体"/>
                <w:color w:val="auto"/>
              </w:rPr>
              <w:t>、各区域保洁按相应流程规范操作</w:t>
            </w:r>
          </w:p>
        </w:tc>
        <w:tc>
          <w:tcPr>
            <w:tcW w:w="2205" w:type="dxa"/>
            <w:vAlign w:val="center"/>
          </w:tcPr>
          <w:p w14:paraId="19B7AFBD">
            <w:pPr>
              <w:spacing w:line="460" w:lineRule="exact"/>
              <w:rPr>
                <w:rFonts w:ascii="宋体" w:cs="宋体"/>
                <w:color w:val="auto"/>
              </w:rPr>
            </w:pPr>
            <w:r>
              <w:rPr>
                <w:rFonts w:hint="eastAsia" w:ascii="宋体" w:hAnsi="宋体" w:cs="宋体"/>
                <w:color w:val="auto"/>
              </w:rPr>
              <w:t>未按流程操作，一例次扣</w:t>
            </w:r>
            <w:r>
              <w:rPr>
                <w:rFonts w:ascii="宋体" w:hAnsi="宋体" w:cs="宋体"/>
                <w:color w:val="auto"/>
              </w:rPr>
              <w:t>1</w:t>
            </w:r>
            <w:r>
              <w:rPr>
                <w:rFonts w:hint="eastAsia" w:ascii="宋体" w:hAnsi="宋体" w:cs="宋体"/>
                <w:color w:val="auto"/>
              </w:rPr>
              <w:t>分。</w:t>
            </w:r>
          </w:p>
        </w:tc>
      </w:tr>
      <w:tr w14:paraId="737E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20" w:type="dxa"/>
            <w:vMerge w:val="continue"/>
            <w:vAlign w:val="center"/>
          </w:tcPr>
          <w:p w14:paraId="649DD3B0">
            <w:pPr>
              <w:spacing w:line="460" w:lineRule="exact"/>
              <w:rPr>
                <w:rFonts w:ascii="宋体" w:cs="宋体"/>
                <w:color w:val="auto"/>
              </w:rPr>
            </w:pPr>
          </w:p>
        </w:tc>
        <w:tc>
          <w:tcPr>
            <w:tcW w:w="6991" w:type="dxa"/>
          </w:tcPr>
          <w:p w14:paraId="35A48471">
            <w:pPr>
              <w:spacing w:line="460" w:lineRule="exact"/>
              <w:rPr>
                <w:rFonts w:ascii="宋体" w:cs="宋体"/>
                <w:color w:val="auto"/>
              </w:rPr>
            </w:pPr>
            <w:r>
              <w:rPr>
                <w:rFonts w:ascii="宋体" w:hAnsi="宋体" w:cs="宋体"/>
                <w:color w:val="auto"/>
              </w:rPr>
              <w:t>3</w:t>
            </w:r>
            <w:r>
              <w:rPr>
                <w:rFonts w:hint="eastAsia" w:ascii="宋体" w:hAnsi="宋体" w:cs="宋体"/>
                <w:color w:val="auto"/>
              </w:rPr>
              <w:t>、在规定时间完成保洁</w:t>
            </w:r>
          </w:p>
        </w:tc>
        <w:tc>
          <w:tcPr>
            <w:tcW w:w="2205" w:type="dxa"/>
            <w:vAlign w:val="center"/>
          </w:tcPr>
          <w:p w14:paraId="7816A380">
            <w:pPr>
              <w:spacing w:line="460" w:lineRule="exact"/>
              <w:rPr>
                <w:rFonts w:ascii="宋体" w:cs="宋体"/>
                <w:color w:val="auto"/>
              </w:rPr>
            </w:pPr>
            <w:r>
              <w:rPr>
                <w:rFonts w:hint="eastAsia" w:ascii="宋体" w:hAnsi="宋体" w:cs="宋体"/>
                <w:color w:val="auto"/>
              </w:rPr>
              <w:t>不符合规定要求，一例次扣</w:t>
            </w:r>
            <w:r>
              <w:rPr>
                <w:rFonts w:ascii="宋体" w:hAnsi="宋体" w:cs="宋体"/>
                <w:color w:val="auto"/>
              </w:rPr>
              <w:t>1</w:t>
            </w:r>
            <w:r>
              <w:rPr>
                <w:rFonts w:hint="eastAsia" w:ascii="宋体" w:hAnsi="宋体" w:cs="宋体"/>
                <w:color w:val="auto"/>
              </w:rPr>
              <w:t>分。</w:t>
            </w:r>
          </w:p>
        </w:tc>
      </w:tr>
      <w:tr w14:paraId="1ECD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20" w:type="dxa"/>
            <w:vMerge w:val="continue"/>
            <w:vAlign w:val="center"/>
          </w:tcPr>
          <w:p w14:paraId="68DE1561">
            <w:pPr>
              <w:spacing w:line="460" w:lineRule="exact"/>
              <w:rPr>
                <w:rFonts w:ascii="宋体" w:cs="宋体"/>
                <w:color w:val="auto"/>
              </w:rPr>
            </w:pPr>
          </w:p>
        </w:tc>
        <w:tc>
          <w:tcPr>
            <w:tcW w:w="6991" w:type="dxa"/>
          </w:tcPr>
          <w:p w14:paraId="52229A1F">
            <w:pPr>
              <w:spacing w:line="460" w:lineRule="exact"/>
              <w:rPr>
                <w:rFonts w:ascii="宋体" w:cs="宋体"/>
                <w:color w:val="auto"/>
              </w:rPr>
            </w:pPr>
            <w:r>
              <w:rPr>
                <w:rFonts w:ascii="宋体" w:hAnsi="宋体" w:cs="宋体"/>
                <w:color w:val="auto"/>
              </w:rPr>
              <w:t>4</w:t>
            </w:r>
            <w:r>
              <w:rPr>
                <w:rFonts w:hint="eastAsia" w:ascii="宋体" w:hAnsi="宋体" w:cs="宋体"/>
                <w:color w:val="auto"/>
              </w:rPr>
              <w:t>、保洁工具、用品配备符合要求；保洁工具摆放规范、清洗干净；保洁工具及用品使用、清洗、消毒、存放符合分类要求；无乱丢乱放保洁工具，不得使用有可能损伤、污染保洁对象的工具和试剂材料。</w:t>
            </w:r>
          </w:p>
        </w:tc>
        <w:tc>
          <w:tcPr>
            <w:tcW w:w="2205" w:type="dxa"/>
            <w:vAlign w:val="center"/>
          </w:tcPr>
          <w:p w14:paraId="299A1DBA">
            <w:pPr>
              <w:spacing w:line="460" w:lineRule="exact"/>
              <w:rPr>
                <w:rFonts w:ascii="宋体" w:cs="宋体"/>
                <w:color w:val="auto"/>
              </w:rPr>
            </w:pPr>
            <w:r>
              <w:rPr>
                <w:rFonts w:hint="eastAsia" w:ascii="宋体" w:hAnsi="宋体" w:cs="宋体"/>
                <w:color w:val="auto"/>
              </w:rPr>
              <w:t>不符合要求，一项或一次扣</w:t>
            </w:r>
            <w:r>
              <w:rPr>
                <w:rFonts w:ascii="宋体" w:hAnsi="宋体" w:cs="宋体"/>
                <w:color w:val="auto"/>
              </w:rPr>
              <w:t>1</w:t>
            </w:r>
            <w:r>
              <w:rPr>
                <w:rFonts w:hint="eastAsia" w:ascii="宋体" w:hAnsi="宋体" w:cs="宋体"/>
                <w:color w:val="auto"/>
              </w:rPr>
              <w:t>分；造成地面、家具及其他设施设备损伤，一次扣</w:t>
            </w:r>
            <w:r>
              <w:rPr>
                <w:rFonts w:ascii="宋体" w:hAnsi="宋体" w:cs="宋体"/>
                <w:color w:val="auto"/>
              </w:rPr>
              <w:t>2</w:t>
            </w:r>
            <w:r>
              <w:rPr>
                <w:rFonts w:hint="eastAsia" w:ascii="宋体" w:hAnsi="宋体" w:cs="宋体"/>
                <w:color w:val="auto"/>
              </w:rPr>
              <w:t>分，并予以赔偿或修复。</w:t>
            </w:r>
          </w:p>
        </w:tc>
      </w:tr>
      <w:tr w14:paraId="1876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20" w:type="dxa"/>
            <w:vMerge w:val="continue"/>
            <w:vAlign w:val="center"/>
          </w:tcPr>
          <w:p w14:paraId="5B8A2CC4">
            <w:pPr>
              <w:spacing w:line="460" w:lineRule="exact"/>
              <w:rPr>
                <w:rFonts w:ascii="宋体" w:cs="宋体"/>
                <w:color w:val="auto"/>
              </w:rPr>
            </w:pPr>
          </w:p>
        </w:tc>
        <w:tc>
          <w:tcPr>
            <w:tcW w:w="6991" w:type="dxa"/>
          </w:tcPr>
          <w:p w14:paraId="56AA831F">
            <w:pPr>
              <w:spacing w:line="460" w:lineRule="exact"/>
              <w:rPr>
                <w:rFonts w:ascii="宋体" w:cs="宋体"/>
                <w:color w:val="auto"/>
              </w:rPr>
            </w:pPr>
            <w:r>
              <w:rPr>
                <w:rFonts w:ascii="宋体" w:hAnsi="宋体" w:cs="宋体"/>
                <w:color w:val="auto"/>
              </w:rPr>
              <w:t>5</w:t>
            </w:r>
            <w:r>
              <w:rPr>
                <w:rFonts w:hint="eastAsia" w:ascii="宋体" w:hAnsi="宋体" w:cs="宋体"/>
                <w:color w:val="auto"/>
              </w:rPr>
              <w:t>、室内地面保洁标准：</w:t>
            </w:r>
          </w:p>
          <w:p w14:paraId="11C5B556">
            <w:pPr>
              <w:spacing w:line="460" w:lineRule="exact"/>
              <w:rPr>
                <w:rFonts w:ascii="宋体" w:cs="宋体"/>
                <w:color w:val="auto"/>
              </w:rPr>
            </w:pPr>
            <w:r>
              <w:rPr>
                <w:rFonts w:hint="eastAsia" w:ascii="宋体" w:hAnsi="宋体" w:cs="宋体"/>
                <w:color w:val="auto"/>
              </w:rPr>
              <w:t>干净、干燥，无垃圾废物，无烟蒂纸屑，无灰尘泥土，无痰迹，无其他可擦洗污迹，墙角、沟、边保洁到位，走动式维护，每小时至少巡扫一次。</w:t>
            </w:r>
          </w:p>
        </w:tc>
        <w:tc>
          <w:tcPr>
            <w:tcW w:w="2205" w:type="dxa"/>
            <w:vAlign w:val="center"/>
          </w:tcPr>
          <w:p w14:paraId="6ECE1351">
            <w:pPr>
              <w:spacing w:line="460" w:lineRule="exact"/>
              <w:rPr>
                <w:rFonts w:ascii="宋体" w:cs="宋体"/>
                <w:color w:val="auto"/>
              </w:rPr>
            </w:pPr>
            <w:r>
              <w:rPr>
                <w:rFonts w:hint="eastAsia" w:ascii="宋体" w:hAnsi="宋体" w:cs="宋体"/>
                <w:color w:val="auto"/>
              </w:rPr>
              <w:t>地面不洁或其他不符合要求，一处扣</w:t>
            </w:r>
            <w:r>
              <w:rPr>
                <w:rFonts w:ascii="宋体" w:hAnsi="宋体" w:cs="宋体"/>
                <w:color w:val="auto"/>
              </w:rPr>
              <w:t>1</w:t>
            </w:r>
            <w:r>
              <w:rPr>
                <w:rFonts w:hint="eastAsia" w:ascii="宋体" w:hAnsi="宋体" w:cs="宋体"/>
                <w:color w:val="auto"/>
              </w:rPr>
              <w:t>分。</w:t>
            </w:r>
          </w:p>
        </w:tc>
      </w:tr>
      <w:tr w14:paraId="7B86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20" w:type="dxa"/>
            <w:vMerge w:val="continue"/>
            <w:vAlign w:val="center"/>
          </w:tcPr>
          <w:p w14:paraId="078968FA">
            <w:pPr>
              <w:spacing w:line="460" w:lineRule="exact"/>
              <w:rPr>
                <w:rFonts w:ascii="宋体" w:cs="宋体"/>
                <w:color w:val="auto"/>
              </w:rPr>
            </w:pPr>
          </w:p>
        </w:tc>
        <w:tc>
          <w:tcPr>
            <w:tcW w:w="6991" w:type="dxa"/>
          </w:tcPr>
          <w:p w14:paraId="166A1051">
            <w:pPr>
              <w:spacing w:line="460" w:lineRule="exact"/>
              <w:rPr>
                <w:rFonts w:ascii="宋体" w:cs="宋体"/>
                <w:color w:val="auto"/>
              </w:rPr>
            </w:pPr>
            <w:r>
              <w:rPr>
                <w:rFonts w:ascii="宋体" w:hAnsi="宋体" w:cs="宋体"/>
                <w:color w:val="auto"/>
              </w:rPr>
              <w:t>6</w:t>
            </w:r>
            <w:r>
              <w:rPr>
                <w:rFonts w:hint="eastAsia" w:ascii="宋体" w:hAnsi="宋体" w:cs="宋体"/>
                <w:color w:val="auto"/>
              </w:rPr>
              <w:t>、墙壁、天蓬保洁标准：</w:t>
            </w:r>
          </w:p>
          <w:p w14:paraId="7CFE6838">
            <w:pPr>
              <w:spacing w:line="460" w:lineRule="exact"/>
              <w:rPr>
                <w:rFonts w:ascii="宋体" w:cs="宋体"/>
                <w:color w:val="auto"/>
              </w:rPr>
            </w:pPr>
            <w:r>
              <w:rPr>
                <w:rFonts w:hint="eastAsia" w:ascii="宋体" w:hAnsi="宋体" w:cs="宋体"/>
                <w:color w:val="auto"/>
              </w:rPr>
              <w:t>目视干净无尘，无蛛网，无可擦洗污迹，无牛皮癣，</w:t>
            </w:r>
            <w:r>
              <w:rPr>
                <w:rFonts w:ascii="宋体" w:hAnsi="宋体" w:cs="宋体"/>
                <w:color w:val="auto"/>
              </w:rPr>
              <w:t xml:space="preserve"> </w:t>
            </w:r>
            <w:r>
              <w:rPr>
                <w:rFonts w:hint="eastAsia" w:ascii="宋体" w:hAnsi="宋体" w:cs="宋体"/>
                <w:color w:val="auto"/>
              </w:rPr>
              <w:t>保洁工具、材料适合相应墙体材质，不得损伤、污染墙体。</w:t>
            </w:r>
          </w:p>
        </w:tc>
        <w:tc>
          <w:tcPr>
            <w:tcW w:w="2205" w:type="dxa"/>
            <w:vAlign w:val="center"/>
          </w:tcPr>
          <w:p w14:paraId="7EEE599D">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1</w:t>
            </w:r>
            <w:r>
              <w:rPr>
                <w:rFonts w:hint="eastAsia" w:ascii="宋体" w:hAnsi="宋体" w:cs="宋体"/>
                <w:color w:val="auto"/>
              </w:rPr>
              <w:t>分。</w:t>
            </w:r>
          </w:p>
        </w:tc>
      </w:tr>
      <w:tr w14:paraId="6E56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20" w:type="dxa"/>
            <w:vMerge w:val="continue"/>
            <w:vAlign w:val="center"/>
          </w:tcPr>
          <w:p w14:paraId="094976E0">
            <w:pPr>
              <w:spacing w:line="460" w:lineRule="exact"/>
              <w:rPr>
                <w:rFonts w:ascii="宋体" w:cs="宋体"/>
                <w:color w:val="auto"/>
              </w:rPr>
            </w:pPr>
          </w:p>
        </w:tc>
        <w:tc>
          <w:tcPr>
            <w:tcW w:w="6991" w:type="dxa"/>
          </w:tcPr>
          <w:p w14:paraId="1E61996F">
            <w:pPr>
              <w:spacing w:line="460" w:lineRule="exact"/>
              <w:rPr>
                <w:rFonts w:ascii="宋体" w:cs="宋体"/>
                <w:color w:val="auto"/>
              </w:rPr>
            </w:pPr>
            <w:r>
              <w:rPr>
                <w:rFonts w:ascii="宋体" w:hAnsi="宋体" w:cs="宋体"/>
                <w:color w:val="auto"/>
              </w:rPr>
              <w:t>7</w:t>
            </w:r>
            <w:r>
              <w:rPr>
                <w:rFonts w:hint="eastAsia" w:ascii="宋体" w:hAnsi="宋体" w:cs="宋体"/>
                <w:color w:val="auto"/>
              </w:rPr>
              <w:t>、墙壁、天蓬附着物保洁标准：</w:t>
            </w:r>
          </w:p>
          <w:p w14:paraId="3B5CF456">
            <w:pPr>
              <w:spacing w:line="460" w:lineRule="exact"/>
              <w:rPr>
                <w:rFonts w:ascii="宋体" w:cs="宋体"/>
                <w:color w:val="auto"/>
              </w:rPr>
            </w:pPr>
            <w:r>
              <w:rPr>
                <w:rFonts w:hint="eastAsia" w:ascii="宋体" w:hAnsi="宋体" w:cs="宋体"/>
                <w:color w:val="auto"/>
              </w:rPr>
              <w:t>设备带、开关插座、电扇、消防箱、消毒箱、钩、框及其他外凸物、附属设备目视干净端正，手摸无灰尘。</w:t>
            </w:r>
          </w:p>
        </w:tc>
        <w:tc>
          <w:tcPr>
            <w:tcW w:w="2205" w:type="dxa"/>
            <w:vAlign w:val="center"/>
          </w:tcPr>
          <w:p w14:paraId="71B28821">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1</w:t>
            </w:r>
            <w:r>
              <w:rPr>
                <w:rFonts w:hint="eastAsia" w:ascii="宋体" w:hAnsi="宋体" w:cs="宋体"/>
                <w:color w:val="auto"/>
              </w:rPr>
              <w:t>分。</w:t>
            </w:r>
          </w:p>
        </w:tc>
      </w:tr>
      <w:tr w14:paraId="0466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20" w:type="dxa"/>
            <w:vMerge w:val="continue"/>
            <w:vAlign w:val="center"/>
          </w:tcPr>
          <w:p w14:paraId="618D829C">
            <w:pPr>
              <w:spacing w:line="460" w:lineRule="exact"/>
              <w:rPr>
                <w:rFonts w:ascii="宋体" w:cs="宋体"/>
                <w:color w:val="auto"/>
              </w:rPr>
            </w:pPr>
          </w:p>
        </w:tc>
        <w:tc>
          <w:tcPr>
            <w:tcW w:w="6991" w:type="dxa"/>
          </w:tcPr>
          <w:p w14:paraId="5ADF5FD9">
            <w:pPr>
              <w:spacing w:line="460" w:lineRule="exact"/>
              <w:rPr>
                <w:rFonts w:ascii="宋体" w:cs="宋体"/>
                <w:color w:val="auto"/>
              </w:rPr>
            </w:pPr>
            <w:r>
              <w:rPr>
                <w:rFonts w:ascii="宋体" w:hAnsi="宋体" w:cs="宋体"/>
                <w:color w:val="auto"/>
              </w:rPr>
              <w:t>8</w:t>
            </w:r>
            <w:r>
              <w:rPr>
                <w:rFonts w:hint="eastAsia" w:ascii="宋体" w:hAnsi="宋体" w:cs="宋体"/>
                <w:color w:val="auto"/>
              </w:rPr>
              <w:t>、门、窗、洞、台保洁标准：</w:t>
            </w:r>
          </w:p>
          <w:p w14:paraId="417B3047">
            <w:pPr>
              <w:spacing w:line="460" w:lineRule="exact"/>
              <w:rPr>
                <w:rFonts w:ascii="宋体" w:cs="宋体"/>
                <w:color w:val="auto"/>
              </w:rPr>
            </w:pPr>
            <w:r>
              <w:rPr>
                <w:rFonts w:hint="eastAsia" w:ascii="宋体" w:hAnsi="宋体" w:cs="宋体"/>
                <w:color w:val="auto"/>
              </w:rPr>
              <w:t>目视干净整洁，无可擦洗污迹，门窗手摸无灰尘，其他无积灰，无蛛网，无隐藏垃圾、废物、烟蒂等。</w:t>
            </w:r>
          </w:p>
        </w:tc>
        <w:tc>
          <w:tcPr>
            <w:tcW w:w="2205" w:type="dxa"/>
            <w:vAlign w:val="center"/>
          </w:tcPr>
          <w:p w14:paraId="06EE4D31">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1</w:t>
            </w:r>
            <w:r>
              <w:rPr>
                <w:rFonts w:hint="eastAsia" w:ascii="宋体" w:hAnsi="宋体" w:cs="宋体"/>
                <w:color w:val="auto"/>
              </w:rPr>
              <w:t>分。</w:t>
            </w:r>
          </w:p>
        </w:tc>
      </w:tr>
      <w:tr w14:paraId="72CD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20" w:type="dxa"/>
            <w:vMerge w:val="continue"/>
            <w:vAlign w:val="center"/>
          </w:tcPr>
          <w:p w14:paraId="14D347DC">
            <w:pPr>
              <w:spacing w:line="460" w:lineRule="exact"/>
              <w:rPr>
                <w:rFonts w:ascii="宋体" w:cs="宋体"/>
                <w:color w:val="auto"/>
              </w:rPr>
            </w:pPr>
          </w:p>
        </w:tc>
        <w:tc>
          <w:tcPr>
            <w:tcW w:w="6991" w:type="dxa"/>
          </w:tcPr>
          <w:p w14:paraId="7406F92C">
            <w:pPr>
              <w:spacing w:line="460" w:lineRule="exact"/>
              <w:rPr>
                <w:rFonts w:ascii="宋体" w:cs="宋体"/>
                <w:color w:val="auto"/>
              </w:rPr>
            </w:pPr>
            <w:r>
              <w:rPr>
                <w:rFonts w:ascii="宋体" w:hAnsi="宋体" w:cs="宋体"/>
                <w:color w:val="auto"/>
              </w:rPr>
              <w:t>9</w:t>
            </w:r>
            <w:r>
              <w:rPr>
                <w:rFonts w:hint="eastAsia" w:ascii="宋体" w:hAnsi="宋体" w:cs="宋体"/>
                <w:color w:val="auto"/>
              </w:rPr>
              <w:t>、病房家具保洁标准：</w:t>
            </w:r>
          </w:p>
          <w:p w14:paraId="6C35001B">
            <w:pPr>
              <w:spacing w:line="460" w:lineRule="exact"/>
              <w:rPr>
                <w:rFonts w:ascii="宋体" w:cs="宋体"/>
                <w:color w:val="auto"/>
              </w:rPr>
            </w:pPr>
            <w:r>
              <w:rPr>
                <w:rFonts w:hint="eastAsia" w:ascii="宋体" w:hAnsi="宋体" w:cs="宋体"/>
                <w:color w:val="auto"/>
              </w:rPr>
              <w:t>清洁无结垢、无灰尘，如有污染，及时清洁消毒，保证一房一巾，目视干净，摆放整齐，手摸无灰尘，不得使用有可能损伤家具的工具和材料。</w:t>
            </w:r>
          </w:p>
        </w:tc>
        <w:tc>
          <w:tcPr>
            <w:tcW w:w="2205" w:type="dxa"/>
            <w:vAlign w:val="center"/>
          </w:tcPr>
          <w:p w14:paraId="760AA35F">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1</w:t>
            </w:r>
            <w:r>
              <w:rPr>
                <w:rFonts w:hint="eastAsia" w:ascii="宋体" w:hAnsi="宋体" w:cs="宋体"/>
                <w:color w:val="auto"/>
              </w:rPr>
              <w:t>分。</w:t>
            </w:r>
          </w:p>
        </w:tc>
      </w:tr>
      <w:tr w14:paraId="6C73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20" w:type="dxa"/>
            <w:vMerge w:val="continue"/>
            <w:vAlign w:val="center"/>
          </w:tcPr>
          <w:p w14:paraId="43FB905E">
            <w:pPr>
              <w:spacing w:line="460" w:lineRule="exact"/>
              <w:rPr>
                <w:rFonts w:ascii="宋体" w:cs="宋体"/>
                <w:color w:val="auto"/>
              </w:rPr>
            </w:pPr>
          </w:p>
        </w:tc>
        <w:tc>
          <w:tcPr>
            <w:tcW w:w="6991" w:type="dxa"/>
          </w:tcPr>
          <w:p w14:paraId="30BE0D9D">
            <w:pPr>
              <w:spacing w:line="460" w:lineRule="exact"/>
              <w:rPr>
                <w:rFonts w:ascii="宋体" w:cs="宋体"/>
                <w:color w:val="auto"/>
              </w:rPr>
            </w:pPr>
            <w:r>
              <w:rPr>
                <w:rFonts w:ascii="宋体" w:hAnsi="宋体" w:cs="宋体"/>
                <w:color w:val="auto"/>
              </w:rPr>
              <w:t>10</w:t>
            </w:r>
            <w:r>
              <w:rPr>
                <w:rFonts w:hint="eastAsia" w:ascii="宋体" w:hAnsi="宋体" w:cs="宋体"/>
                <w:color w:val="auto"/>
              </w:rPr>
              <w:t>、病房床单元保洁标准：</w:t>
            </w:r>
          </w:p>
          <w:p w14:paraId="315CEEE4">
            <w:pPr>
              <w:spacing w:line="460" w:lineRule="exact"/>
              <w:rPr>
                <w:rFonts w:ascii="宋体" w:cs="宋体"/>
                <w:color w:val="auto"/>
              </w:rPr>
            </w:pPr>
            <w:r>
              <w:rPr>
                <w:rFonts w:hint="eastAsia" w:ascii="宋体" w:hAnsi="宋体" w:cs="宋体"/>
                <w:color w:val="auto"/>
              </w:rPr>
              <w:t>清洁无结垢、无灰尘，如有污染，及时清洁消毒，保证一床一巾，目视干净，无可擦洗污迹，手摸无灰尘。</w:t>
            </w:r>
          </w:p>
        </w:tc>
        <w:tc>
          <w:tcPr>
            <w:tcW w:w="2205" w:type="dxa"/>
            <w:vAlign w:val="center"/>
          </w:tcPr>
          <w:p w14:paraId="009B2B52">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2</w:t>
            </w:r>
            <w:r>
              <w:rPr>
                <w:rFonts w:hint="eastAsia" w:ascii="宋体" w:hAnsi="宋体" w:cs="宋体"/>
                <w:color w:val="auto"/>
              </w:rPr>
              <w:t>分。</w:t>
            </w:r>
          </w:p>
        </w:tc>
      </w:tr>
      <w:tr w14:paraId="11C9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20" w:type="dxa"/>
            <w:vMerge w:val="continue"/>
            <w:vAlign w:val="center"/>
          </w:tcPr>
          <w:p w14:paraId="140EC733">
            <w:pPr>
              <w:spacing w:line="460" w:lineRule="exact"/>
              <w:rPr>
                <w:rFonts w:ascii="宋体" w:cs="宋体"/>
                <w:color w:val="auto"/>
              </w:rPr>
            </w:pPr>
          </w:p>
        </w:tc>
        <w:tc>
          <w:tcPr>
            <w:tcW w:w="6991" w:type="dxa"/>
          </w:tcPr>
          <w:p w14:paraId="6680A0C7">
            <w:pPr>
              <w:spacing w:line="460" w:lineRule="exact"/>
              <w:rPr>
                <w:rFonts w:ascii="宋体" w:cs="宋体"/>
                <w:color w:val="auto"/>
              </w:rPr>
            </w:pPr>
            <w:r>
              <w:rPr>
                <w:rFonts w:ascii="宋体" w:hAnsi="宋体" w:cs="宋体"/>
                <w:color w:val="auto"/>
              </w:rPr>
              <w:t>11</w:t>
            </w:r>
            <w:r>
              <w:rPr>
                <w:rFonts w:hint="eastAsia" w:ascii="宋体" w:hAnsi="宋体" w:cs="宋体"/>
                <w:color w:val="auto"/>
              </w:rPr>
              <w:t>、病房卫生洁具保洁标准：</w:t>
            </w:r>
          </w:p>
          <w:p w14:paraId="201E79CE">
            <w:pPr>
              <w:spacing w:line="460" w:lineRule="exact"/>
              <w:rPr>
                <w:rFonts w:ascii="宋体" w:cs="宋体"/>
                <w:color w:val="auto"/>
              </w:rPr>
            </w:pPr>
            <w:r>
              <w:rPr>
                <w:rFonts w:hint="eastAsia" w:ascii="宋体" w:hAnsi="宋体" w:cs="宋体"/>
                <w:color w:val="auto"/>
              </w:rPr>
              <w:t>面盆、水池、水龙头、便器及其他洗浴清洁设备每日清洁，便器每日消毒，目视干净整洁，无污垢，台面等无积水，保持通风正常、排水通畅，无异味</w:t>
            </w:r>
          </w:p>
        </w:tc>
        <w:tc>
          <w:tcPr>
            <w:tcW w:w="2205" w:type="dxa"/>
            <w:vAlign w:val="center"/>
          </w:tcPr>
          <w:p w14:paraId="279F3540">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2</w:t>
            </w:r>
            <w:r>
              <w:rPr>
                <w:rFonts w:hint="eastAsia" w:ascii="宋体" w:hAnsi="宋体" w:cs="宋体"/>
                <w:color w:val="auto"/>
              </w:rPr>
              <w:t>分。</w:t>
            </w:r>
          </w:p>
        </w:tc>
      </w:tr>
      <w:tr w14:paraId="0994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20" w:type="dxa"/>
            <w:vMerge w:val="continue"/>
            <w:vAlign w:val="center"/>
          </w:tcPr>
          <w:p w14:paraId="66CB5D3E">
            <w:pPr>
              <w:spacing w:line="460" w:lineRule="exact"/>
              <w:rPr>
                <w:rFonts w:ascii="宋体" w:cs="宋体"/>
                <w:color w:val="auto"/>
              </w:rPr>
            </w:pPr>
          </w:p>
        </w:tc>
        <w:tc>
          <w:tcPr>
            <w:tcW w:w="6991" w:type="dxa"/>
          </w:tcPr>
          <w:p w14:paraId="7E03BE5E">
            <w:pPr>
              <w:spacing w:line="460" w:lineRule="exact"/>
              <w:rPr>
                <w:rFonts w:ascii="宋体" w:cs="宋体"/>
                <w:color w:val="auto"/>
              </w:rPr>
            </w:pPr>
            <w:r>
              <w:rPr>
                <w:rFonts w:ascii="宋体" w:hAnsi="宋体" w:cs="宋体"/>
                <w:color w:val="auto"/>
              </w:rPr>
              <w:t>12</w:t>
            </w:r>
            <w:r>
              <w:rPr>
                <w:rFonts w:hint="eastAsia" w:ascii="宋体" w:hAnsi="宋体" w:cs="宋体"/>
                <w:color w:val="auto"/>
              </w:rPr>
              <w:t>、公共卫生间洁具保洁标准：</w:t>
            </w:r>
          </w:p>
          <w:p w14:paraId="0A000C30">
            <w:pPr>
              <w:spacing w:line="460" w:lineRule="exact"/>
              <w:rPr>
                <w:rFonts w:ascii="宋体" w:hAnsi="宋体" w:cs="宋体"/>
                <w:color w:val="auto"/>
              </w:rPr>
            </w:pPr>
            <w:r>
              <w:rPr>
                <w:rFonts w:hint="eastAsia" w:ascii="宋体" w:hAnsi="宋体" w:cs="宋体"/>
                <w:color w:val="auto"/>
              </w:rPr>
              <w:t>每日保洁、消毒，专人负责，至少每半小时巡查一次，目视干净整洁，无污垢，台面等无积水，保持通风正常、排水通畅，无异味，按规定投放卫生球等除味材料。</w:t>
            </w:r>
            <w:r>
              <w:rPr>
                <w:rFonts w:ascii="宋体" w:hAnsi="宋体" w:cs="宋体"/>
                <w:color w:val="auto"/>
              </w:rPr>
              <w:t xml:space="preserve"> </w:t>
            </w:r>
          </w:p>
        </w:tc>
        <w:tc>
          <w:tcPr>
            <w:tcW w:w="2205" w:type="dxa"/>
            <w:vAlign w:val="center"/>
          </w:tcPr>
          <w:p w14:paraId="50ECF8C9">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2</w:t>
            </w:r>
            <w:r>
              <w:rPr>
                <w:rFonts w:hint="eastAsia" w:ascii="宋体" w:hAnsi="宋体" w:cs="宋体"/>
                <w:color w:val="auto"/>
              </w:rPr>
              <w:t>分。</w:t>
            </w:r>
          </w:p>
        </w:tc>
      </w:tr>
      <w:tr w14:paraId="61C7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20" w:type="dxa"/>
            <w:vMerge w:val="continue"/>
            <w:vAlign w:val="center"/>
          </w:tcPr>
          <w:p w14:paraId="466752CA">
            <w:pPr>
              <w:spacing w:line="460" w:lineRule="exact"/>
              <w:rPr>
                <w:rFonts w:ascii="宋体" w:cs="宋体"/>
                <w:color w:val="auto"/>
              </w:rPr>
            </w:pPr>
          </w:p>
        </w:tc>
        <w:tc>
          <w:tcPr>
            <w:tcW w:w="6991" w:type="dxa"/>
          </w:tcPr>
          <w:p w14:paraId="12C82C2A">
            <w:pPr>
              <w:spacing w:line="460" w:lineRule="exact"/>
              <w:rPr>
                <w:rFonts w:ascii="宋体" w:cs="宋体"/>
                <w:color w:val="auto"/>
              </w:rPr>
            </w:pPr>
            <w:r>
              <w:rPr>
                <w:rFonts w:ascii="宋体" w:hAnsi="宋体" w:cs="宋体"/>
                <w:color w:val="auto"/>
              </w:rPr>
              <w:t>13</w:t>
            </w:r>
            <w:r>
              <w:rPr>
                <w:rFonts w:hint="eastAsia" w:ascii="宋体" w:hAnsi="宋体" w:cs="宋体"/>
                <w:color w:val="auto"/>
              </w:rPr>
              <w:t>、玻璃、镜子保洁标准：</w:t>
            </w:r>
          </w:p>
          <w:p w14:paraId="699D87C8">
            <w:pPr>
              <w:spacing w:line="460" w:lineRule="exact"/>
              <w:rPr>
                <w:rFonts w:ascii="宋体" w:cs="宋体"/>
                <w:color w:val="auto"/>
              </w:rPr>
            </w:pPr>
            <w:r>
              <w:rPr>
                <w:rFonts w:hint="eastAsia" w:ascii="宋体" w:hAnsi="宋体" w:cs="宋体"/>
                <w:color w:val="auto"/>
              </w:rPr>
              <w:t>每日擦洗，使用专用清洁试剂，保持干净明亮，目视无灰尘，无污迹，无水渍，手摸边框无灰尘。</w:t>
            </w:r>
          </w:p>
        </w:tc>
        <w:tc>
          <w:tcPr>
            <w:tcW w:w="2205" w:type="dxa"/>
            <w:vAlign w:val="center"/>
          </w:tcPr>
          <w:p w14:paraId="4518194A">
            <w:pPr>
              <w:spacing w:line="460" w:lineRule="exact"/>
              <w:rPr>
                <w:rFonts w:ascii="宋体" w:cs="宋体"/>
                <w:color w:val="auto"/>
              </w:rPr>
            </w:pPr>
            <w:r>
              <w:rPr>
                <w:rFonts w:hint="eastAsia" w:ascii="宋体" w:hAnsi="宋体" w:cs="宋体"/>
                <w:color w:val="auto"/>
              </w:rPr>
              <w:t>不符合标准每次扣</w:t>
            </w:r>
            <w:r>
              <w:rPr>
                <w:rFonts w:ascii="宋体" w:hAnsi="宋体" w:cs="宋体"/>
                <w:color w:val="auto"/>
              </w:rPr>
              <w:t>1</w:t>
            </w:r>
            <w:r>
              <w:rPr>
                <w:rFonts w:hint="eastAsia" w:ascii="宋体" w:hAnsi="宋体" w:cs="宋体"/>
                <w:color w:val="auto"/>
              </w:rPr>
              <w:t>分。</w:t>
            </w:r>
          </w:p>
        </w:tc>
      </w:tr>
      <w:tr w14:paraId="6FC4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20" w:type="dxa"/>
            <w:vMerge w:val="continue"/>
            <w:vAlign w:val="center"/>
          </w:tcPr>
          <w:p w14:paraId="17712D66">
            <w:pPr>
              <w:spacing w:line="460" w:lineRule="exact"/>
              <w:rPr>
                <w:rFonts w:ascii="宋体" w:cs="宋体"/>
                <w:color w:val="auto"/>
              </w:rPr>
            </w:pPr>
          </w:p>
        </w:tc>
        <w:tc>
          <w:tcPr>
            <w:tcW w:w="6991" w:type="dxa"/>
          </w:tcPr>
          <w:p w14:paraId="336F779B">
            <w:pPr>
              <w:spacing w:line="460" w:lineRule="exact"/>
              <w:rPr>
                <w:rFonts w:ascii="宋体" w:cs="宋体"/>
                <w:color w:val="auto"/>
              </w:rPr>
            </w:pPr>
            <w:r>
              <w:rPr>
                <w:rFonts w:ascii="宋体" w:hAnsi="宋体" w:cs="宋体"/>
                <w:color w:val="auto"/>
              </w:rPr>
              <w:t>14</w:t>
            </w:r>
            <w:r>
              <w:rPr>
                <w:rFonts w:hint="eastAsia" w:ascii="宋体" w:hAnsi="宋体" w:cs="宋体"/>
                <w:color w:val="auto"/>
              </w:rPr>
              <w:t>、治疗室、处置室及其他特殊医疗用房保洁标准：垃圾按规定分类存放收集，台面、污染墙壁每日擦洗消毒，无蚊蝇，无污迹，无积水。</w:t>
            </w:r>
          </w:p>
        </w:tc>
        <w:tc>
          <w:tcPr>
            <w:tcW w:w="2205" w:type="dxa"/>
            <w:vAlign w:val="center"/>
          </w:tcPr>
          <w:p w14:paraId="503E474F">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1</w:t>
            </w:r>
            <w:r>
              <w:rPr>
                <w:rFonts w:hint="eastAsia" w:ascii="宋体" w:hAnsi="宋体" w:cs="宋体"/>
                <w:color w:val="auto"/>
              </w:rPr>
              <w:t>分。</w:t>
            </w:r>
          </w:p>
        </w:tc>
      </w:tr>
      <w:tr w14:paraId="73E9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20" w:type="dxa"/>
            <w:vMerge w:val="continue"/>
            <w:vAlign w:val="center"/>
          </w:tcPr>
          <w:p w14:paraId="3F9F4918">
            <w:pPr>
              <w:spacing w:line="460" w:lineRule="exact"/>
              <w:rPr>
                <w:rFonts w:ascii="宋体" w:cs="宋体"/>
                <w:color w:val="auto"/>
              </w:rPr>
            </w:pPr>
          </w:p>
        </w:tc>
        <w:tc>
          <w:tcPr>
            <w:tcW w:w="6991" w:type="dxa"/>
          </w:tcPr>
          <w:p w14:paraId="0BD16344">
            <w:pPr>
              <w:spacing w:line="460" w:lineRule="exact"/>
              <w:rPr>
                <w:rFonts w:ascii="宋体" w:cs="宋体"/>
                <w:color w:val="auto"/>
              </w:rPr>
            </w:pPr>
            <w:r>
              <w:rPr>
                <w:rFonts w:ascii="宋体" w:hAnsi="宋体" w:cs="宋体"/>
                <w:color w:val="auto"/>
              </w:rPr>
              <w:t>15</w:t>
            </w:r>
            <w:r>
              <w:rPr>
                <w:rFonts w:hint="eastAsia" w:ascii="宋体" w:hAnsi="宋体" w:cs="宋体"/>
                <w:color w:val="auto"/>
              </w:rPr>
              <w:t>、手术室、</w:t>
            </w:r>
            <w:r>
              <w:rPr>
                <w:rFonts w:ascii="宋体" w:hAnsi="宋体" w:cs="宋体"/>
                <w:color w:val="auto"/>
              </w:rPr>
              <w:t>ICU</w:t>
            </w:r>
            <w:r>
              <w:rPr>
                <w:rFonts w:hint="eastAsia" w:ascii="宋体" w:hAnsi="宋体" w:cs="宋体"/>
                <w:color w:val="auto"/>
              </w:rPr>
              <w:t>、移植病房：执行卫计委《消毒技术规范》进行，手术间地、墙无灰尘，无污迹，无蛛网等。</w:t>
            </w:r>
          </w:p>
        </w:tc>
        <w:tc>
          <w:tcPr>
            <w:tcW w:w="2205" w:type="dxa"/>
            <w:vAlign w:val="center"/>
          </w:tcPr>
          <w:p w14:paraId="6306E03C">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1</w:t>
            </w:r>
            <w:r>
              <w:rPr>
                <w:rFonts w:hint="eastAsia" w:ascii="宋体" w:hAnsi="宋体" w:cs="宋体"/>
                <w:color w:val="auto"/>
              </w:rPr>
              <w:t>分。</w:t>
            </w:r>
          </w:p>
        </w:tc>
      </w:tr>
      <w:tr w14:paraId="7BB2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20" w:type="dxa"/>
            <w:vMerge w:val="continue"/>
            <w:vAlign w:val="center"/>
          </w:tcPr>
          <w:p w14:paraId="32259561">
            <w:pPr>
              <w:spacing w:line="460" w:lineRule="exact"/>
              <w:rPr>
                <w:rFonts w:ascii="宋体" w:cs="宋体"/>
                <w:color w:val="auto"/>
              </w:rPr>
            </w:pPr>
          </w:p>
        </w:tc>
        <w:tc>
          <w:tcPr>
            <w:tcW w:w="6991" w:type="dxa"/>
          </w:tcPr>
          <w:p w14:paraId="4D80D5AF">
            <w:pPr>
              <w:spacing w:line="460" w:lineRule="exact"/>
              <w:rPr>
                <w:rFonts w:ascii="宋体" w:cs="宋体"/>
                <w:color w:val="auto"/>
              </w:rPr>
            </w:pPr>
            <w:r>
              <w:rPr>
                <w:rFonts w:ascii="宋体" w:hAnsi="宋体" w:cs="宋体"/>
                <w:color w:val="auto"/>
              </w:rPr>
              <w:t>16</w:t>
            </w:r>
            <w:r>
              <w:rPr>
                <w:rFonts w:hint="eastAsia" w:ascii="宋体" w:hAnsi="宋体" w:cs="宋体"/>
                <w:color w:val="auto"/>
              </w:rPr>
              <w:t>、卫生（废物）桶、篓保洁标准：</w:t>
            </w:r>
          </w:p>
          <w:p w14:paraId="4B6EDC91">
            <w:pPr>
              <w:spacing w:line="460" w:lineRule="exact"/>
              <w:rPr>
                <w:rFonts w:ascii="宋体" w:cs="宋体"/>
                <w:color w:val="auto"/>
              </w:rPr>
            </w:pPr>
            <w:r>
              <w:rPr>
                <w:rFonts w:hint="eastAsia" w:ascii="宋体" w:hAnsi="宋体" w:cs="宋体"/>
                <w:color w:val="auto"/>
              </w:rPr>
              <w:t>专用垃圾袋完好，铺放整齐符合要求，及时回收更换，保证内容物不超容积</w:t>
            </w:r>
            <w:r>
              <w:rPr>
                <w:rFonts w:ascii="宋体" w:hAnsi="宋体" w:cs="宋体"/>
                <w:color w:val="auto"/>
              </w:rPr>
              <w:t>2/3</w:t>
            </w:r>
            <w:r>
              <w:rPr>
                <w:rFonts w:hint="eastAsia" w:ascii="宋体" w:hAnsi="宋体" w:cs="宋体"/>
                <w:color w:val="auto"/>
              </w:rPr>
              <w:t>，有污秽物时及时清理更换，每日对桶（篓）体定时清洁，无污迹，无积灰，无异味，无溢满。</w:t>
            </w:r>
          </w:p>
        </w:tc>
        <w:tc>
          <w:tcPr>
            <w:tcW w:w="2205" w:type="dxa"/>
            <w:vAlign w:val="center"/>
          </w:tcPr>
          <w:p w14:paraId="1DC26733">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2</w:t>
            </w:r>
            <w:r>
              <w:rPr>
                <w:rFonts w:hint="eastAsia" w:ascii="宋体" w:hAnsi="宋体" w:cs="宋体"/>
                <w:color w:val="auto"/>
              </w:rPr>
              <w:t>分。</w:t>
            </w:r>
          </w:p>
        </w:tc>
      </w:tr>
      <w:tr w14:paraId="3A19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20" w:type="dxa"/>
            <w:vMerge w:val="continue"/>
            <w:vAlign w:val="center"/>
          </w:tcPr>
          <w:p w14:paraId="768B7C4E">
            <w:pPr>
              <w:spacing w:line="460" w:lineRule="exact"/>
              <w:rPr>
                <w:rFonts w:ascii="宋体" w:cs="宋体"/>
                <w:color w:val="auto"/>
              </w:rPr>
            </w:pPr>
          </w:p>
        </w:tc>
        <w:tc>
          <w:tcPr>
            <w:tcW w:w="6991" w:type="dxa"/>
          </w:tcPr>
          <w:p w14:paraId="6BD1758C">
            <w:pPr>
              <w:spacing w:line="460" w:lineRule="exact"/>
              <w:rPr>
                <w:rFonts w:ascii="宋体" w:hAnsi="宋体" w:cs="宋体"/>
                <w:color w:val="auto"/>
              </w:rPr>
            </w:pPr>
            <w:r>
              <w:rPr>
                <w:rFonts w:ascii="宋体" w:hAnsi="宋体" w:cs="宋体"/>
                <w:color w:val="auto"/>
              </w:rPr>
              <w:t>17</w:t>
            </w:r>
            <w:r>
              <w:rPr>
                <w:rFonts w:hint="eastAsia" w:ascii="宋体" w:hAnsi="宋体" w:cs="宋体"/>
                <w:color w:val="auto"/>
              </w:rPr>
              <w:t>、大厅、走廊、楼梯有人走动维护，每</w:t>
            </w:r>
            <w:r>
              <w:rPr>
                <w:rFonts w:ascii="宋体" w:hAnsi="宋体" w:cs="宋体"/>
                <w:color w:val="auto"/>
              </w:rPr>
              <w:t>15—30</w:t>
            </w:r>
            <w:r>
              <w:rPr>
                <w:rFonts w:hint="eastAsia" w:ascii="宋体" w:hAnsi="宋体" w:cs="宋体"/>
                <w:color w:val="auto"/>
              </w:rPr>
              <w:t>分钟完成一个巡回；保洁区域干净明亮，地面无纸屑、果皮、烟头等丢弃物，无污迹；雨天，地面有防滑、干燥措施并摆放防滑告示牌；门柱、扶手每日擦拭，墙角及可擦洗墙壁每周全面擦洗两次，保持干净整洁，无张贴，无污渍，无蛛网，无积尘。</w:t>
            </w:r>
            <w:r>
              <w:rPr>
                <w:rFonts w:ascii="宋体" w:hAnsi="宋体" w:cs="宋体"/>
                <w:color w:val="auto"/>
              </w:rPr>
              <w:t xml:space="preserve"> </w:t>
            </w:r>
          </w:p>
        </w:tc>
        <w:tc>
          <w:tcPr>
            <w:tcW w:w="2205" w:type="dxa"/>
            <w:vAlign w:val="center"/>
          </w:tcPr>
          <w:p w14:paraId="68FC609C">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2</w:t>
            </w:r>
            <w:r>
              <w:rPr>
                <w:rFonts w:hint="eastAsia" w:ascii="宋体" w:hAnsi="宋体" w:cs="宋体"/>
                <w:color w:val="auto"/>
              </w:rPr>
              <w:t>分。</w:t>
            </w:r>
          </w:p>
        </w:tc>
      </w:tr>
      <w:tr w14:paraId="434A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20" w:type="dxa"/>
            <w:vMerge w:val="continue"/>
            <w:vAlign w:val="center"/>
          </w:tcPr>
          <w:p w14:paraId="72B6517A">
            <w:pPr>
              <w:spacing w:line="460" w:lineRule="exact"/>
              <w:rPr>
                <w:rFonts w:ascii="宋体" w:cs="宋体"/>
                <w:color w:val="auto"/>
              </w:rPr>
            </w:pPr>
          </w:p>
        </w:tc>
        <w:tc>
          <w:tcPr>
            <w:tcW w:w="6991" w:type="dxa"/>
          </w:tcPr>
          <w:p w14:paraId="4DC932F5">
            <w:pPr>
              <w:spacing w:line="460" w:lineRule="exact"/>
              <w:rPr>
                <w:rFonts w:ascii="宋体" w:cs="宋体"/>
                <w:color w:val="auto"/>
              </w:rPr>
            </w:pPr>
            <w:r>
              <w:rPr>
                <w:rFonts w:ascii="宋体" w:hAnsi="宋体" w:cs="宋体"/>
                <w:color w:val="auto"/>
              </w:rPr>
              <w:t>18</w:t>
            </w:r>
            <w:r>
              <w:rPr>
                <w:rFonts w:hint="eastAsia" w:ascii="宋体" w:hAnsi="宋体" w:cs="宋体"/>
                <w:color w:val="auto"/>
              </w:rPr>
              <w:t>、开水间：开水间清洁整齐，无杂物，无晾挂；地面清洁，无污迹，无积水，无异味；开水炉清洁干净。按院方规定时间开放开水间，住院病人开水送至床前每日</w:t>
            </w:r>
            <w:r>
              <w:rPr>
                <w:rFonts w:ascii="宋体" w:hAnsi="宋体" w:cs="宋体"/>
                <w:color w:val="auto"/>
              </w:rPr>
              <w:t>2</w:t>
            </w:r>
            <w:r>
              <w:rPr>
                <w:rFonts w:hint="eastAsia" w:ascii="宋体" w:hAnsi="宋体" w:cs="宋体"/>
                <w:color w:val="auto"/>
              </w:rPr>
              <w:t>次，非供水时间开水间应锁门，确保供水安全。</w:t>
            </w:r>
          </w:p>
        </w:tc>
        <w:tc>
          <w:tcPr>
            <w:tcW w:w="2205" w:type="dxa"/>
            <w:vAlign w:val="center"/>
          </w:tcPr>
          <w:p w14:paraId="19CFDAF6">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1</w:t>
            </w:r>
            <w:r>
              <w:rPr>
                <w:rFonts w:hint="eastAsia" w:ascii="宋体" w:hAnsi="宋体" w:cs="宋体"/>
                <w:color w:val="auto"/>
              </w:rPr>
              <w:t>分。</w:t>
            </w:r>
          </w:p>
        </w:tc>
      </w:tr>
      <w:tr w14:paraId="5E56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20" w:type="dxa"/>
            <w:vMerge w:val="continue"/>
            <w:vAlign w:val="center"/>
          </w:tcPr>
          <w:p w14:paraId="532AEB73">
            <w:pPr>
              <w:spacing w:line="460" w:lineRule="exact"/>
              <w:rPr>
                <w:rFonts w:ascii="宋体" w:cs="宋体"/>
                <w:color w:val="auto"/>
              </w:rPr>
            </w:pPr>
          </w:p>
        </w:tc>
        <w:tc>
          <w:tcPr>
            <w:tcW w:w="6991" w:type="dxa"/>
          </w:tcPr>
          <w:p w14:paraId="702E5CAA">
            <w:pPr>
              <w:spacing w:line="460" w:lineRule="exact"/>
              <w:rPr>
                <w:rFonts w:ascii="宋体" w:cs="宋体"/>
                <w:color w:val="auto"/>
              </w:rPr>
            </w:pPr>
            <w:r>
              <w:rPr>
                <w:rFonts w:ascii="宋体" w:hAnsi="宋体" w:cs="宋体"/>
                <w:color w:val="auto"/>
              </w:rPr>
              <w:t>19</w:t>
            </w:r>
            <w:r>
              <w:rPr>
                <w:rFonts w:hint="eastAsia" w:ascii="宋体" w:hAnsi="宋体" w:cs="宋体"/>
                <w:color w:val="auto"/>
              </w:rPr>
              <w:t>、</w:t>
            </w:r>
            <w:r>
              <w:rPr>
                <w:rFonts w:ascii="宋体" w:hAnsi="宋体" w:cs="宋体"/>
                <w:color w:val="auto"/>
              </w:rPr>
              <w:t>PVC</w:t>
            </w:r>
            <w:r>
              <w:rPr>
                <w:rFonts w:hint="eastAsia" w:ascii="宋体" w:hAnsi="宋体" w:cs="宋体"/>
                <w:color w:val="auto"/>
              </w:rPr>
              <w:t>、花岗岩地面保养标准：每天对楼宇内公共区域的</w:t>
            </w:r>
            <w:r>
              <w:rPr>
                <w:rFonts w:ascii="宋体" w:hAnsi="宋体" w:cs="宋体"/>
                <w:color w:val="auto"/>
              </w:rPr>
              <w:t>PVC</w:t>
            </w:r>
            <w:r>
              <w:rPr>
                <w:rFonts w:hint="eastAsia" w:ascii="宋体" w:hAnsi="宋体" w:cs="宋体"/>
                <w:color w:val="auto"/>
              </w:rPr>
              <w:t>、地砖、花岗岩等地面清洗；地面按规定频率保养，保持地面光泽、亮度。</w:t>
            </w:r>
            <w:r>
              <w:rPr>
                <w:rFonts w:ascii="宋体" w:hAnsi="宋体" w:cs="宋体"/>
                <w:color w:val="auto"/>
              </w:rPr>
              <w:t>PVC</w:t>
            </w:r>
            <w:r>
              <w:rPr>
                <w:rFonts w:hint="eastAsia" w:ascii="宋体" w:hAnsi="宋体" w:cs="宋体"/>
                <w:color w:val="auto"/>
              </w:rPr>
              <w:t>清洗保养制剂使用以不损伤釉面为宜；</w:t>
            </w:r>
          </w:p>
        </w:tc>
        <w:tc>
          <w:tcPr>
            <w:tcW w:w="2205" w:type="dxa"/>
            <w:vAlign w:val="center"/>
          </w:tcPr>
          <w:p w14:paraId="767C8909">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1</w:t>
            </w:r>
            <w:r>
              <w:rPr>
                <w:rFonts w:hint="eastAsia" w:ascii="宋体" w:hAnsi="宋体" w:cs="宋体"/>
                <w:color w:val="auto"/>
              </w:rPr>
              <w:t>分。</w:t>
            </w:r>
          </w:p>
        </w:tc>
      </w:tr>
      <w:tr w14:paraId="2E54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20" w:type="dxa"/>
            <w:vMerge w:val="continue"/>
            <w:vAlign w:val="center"/>
          </w:tcPr>
          <w:p w14:paraId="560AE3FA">
            <w:pPr>
              <w:spacing w:line="460" w:lineRule="exact"/>
              <w:rPr>
                <w:rFonts w:ascii="宋体" w:cs="宋体"/>
                <w:color w:val="auto"/>
              </w:rPr>
            </w:pPr>
          </w:p>
        </w:tc>
        <w:tc>
          <w:tcPr>
            <w:tcW w:w="6991" w:type="dxa"/>
          </w:tcPr>
          <w:p w14:paraId="132E2C39">
            <w:pPr>
              <w:spacing w:line="460" w:lineRule="exact"/>
              <w:rPr>
                <w:rFonts w:ascii="宋体" w:cs="宋体"/>
                <w:color w:val="auto"/>
              </w:rPr>
            </w:pPr>
            <w:r>
              <w:rPr>
                <w:rFonts w:ascii="宋体" w:hAnsi="宋体" w:cs="宋体"/>
                <w:color w:val="auto"/>
              </w:rPr>
              <w:t>20</w:t>
            </w:r>
            <w:r>
              <w:rPr>
                <w:rFonts w:hint="eastAsia" w:ascii="宋体" w:hAnsi="宋体" w:cs="宋体"/>
                <w:color w:val="auto"/>
              </w:rPr>
              <w:t>、生活垃圾运送规范：</w:t>
            </w:r>
          </w:p>
          <w:p w14:paraId="7FCE1A0A">
            <w:pPr>
              <w:spacing w:line="460" w:lineRule="exact"/>
              <w:rPr>
                <w:rFonts w:ascii="宋体" w:cs="宋体"/>
                <w:color w:val="auto"/>
              </w:rPr>
            </w:pPr>
            <w:r>
              <w:rPr>
                <w:rFonts w:hint="eastAsia" w:ascii="宋体" w:hAnsi="宋体" w:cs="宋体"/>
                <w:color w:val="auto"/>
              </w:rPr>
              <w:t>（</w:t>
            </w:r>
            <w:r>
              <w:rPr>
                <w:rFonts w:ascii="宋体" w:hAnsi="宋体" w:cs="宋体"/>
                <w:color w:val="auto"/>
              </w:rPr>
              <w:t>1</w:t>
            </w:r>
            <w:r>
              <w:rPr>
                <w:rFonts w:hint="eastAsia" w:ascii="宋体" w:hAnsi="宋体" w:cs="宋体"/>
                <w:color w:val="auto"/>
              </w:rPr>
              <w:t>）每日</w:t>
            </w:r>
            <w:r>
              <w:rPr>
                <w:rFonts w:ascii="宋体" w:hAnsi="宋体" w:cs="宋体"/>
                <w:color w:val="auto"/>
              </w:rPr>
              <w:t>6</w:t>
            </w:r>
            <w:r>
              <w:rPr>
                <w:rFonts w:hint="eastAsia" w:ascii="宋体" w:hAnsi="宋体" w:cs="宋体"/>
                <w:color w:val="auto"/>
              </w:rPr>
              <w:t>：</w:t>
            </w:r>
            <w:r>
              <w:rPr>
                <w:rFonts w:ascii="宋体" w:hAnsi="宋体" w:cs="宋体"/>
                <w:color w:val="auto"/>
              </w:rPr>
              <w:t>00</w:t>
            </w:r>
            <w:r>
              <w:rPr>
                <w:rFonts w:hint="eastAsia" w:ascii="宋体" w:hAnsi="宋体" w:cs="宋体"/>
                <w:color w:val="auto"/>
              </w:rPr>
              <w:t>～</w:t>
            </w:r>
            <w:r>
              <w:rPr>
                <w:rFonts w:ascii="宋体" w:hAnsi="宋体" w:cs="宋体"/>
                <w:color w:val="auto"/>
              </w:rPr>
              <w:t>7:30</w:t>
            </w:r>
            <w:r>
              <w:rPr>
                <w:rFonts w:hint="eastAsia" w:ascii="宋体" w:hAnsi="宋体" w:cs="宋体"/>
                <w:color w:val="auto"/>
              </w:rPr>
              <w:t>、</w:t>
            </w:r>
            <w:r>
              <w:rPr>
                <w:rFonts w:ascii="宋体" w:hAnsi="宋体" w:cs="宋体"/>
                <w:color w:val="auto"/>
              </w:rPr>
              <w:t>11:00</w:t>
            </w:r>
            <w:r>
              <w:rPr>
                <w:rFonts w:hint="eastAsia" w:ascii="宋体" w:hAnsi="宋体" w:cs="宋体"/>
                <w:color w:val="auto"/>
              </w:rPr>
              <w:t>～</w:t>
            </w:r>
            <w:r>
              <w:rPr>
                <w:rFonts w:ascii="宋体" w:hAnsi="宋体" w:cs="宋体"/>
                <w:color w:val="auto"/>
              </w:rPr>
              <w:t>12:30</w:t>
            </w:r>
            <w:r>
              <w:rPr>
                <w:rFonts w:hint="eastAsia" w:ascii="宋体" w:hAnsi="宋体" w:cs="宋体"/>
                <w:color w:val="auto"/>
              </w:rPr>
              <w:t>、</w:t>
            </w:r>
            <w:r>
              <w:rPr>
                <w:rFonts w:ascii="宋体" w:hAnsi="宋体" w:cs="宋体"/>
                <w:color w:val="auto"/>
              </w:rPr>
              <w:t>17:00</w:t>
            </w:r>
            <w:r>
              <w:rPr>
                <w:rFonts w:hint="eastAsia" w:ascii="宋体" w:hAnsi="宋体" w:cs="宋体"/>
                <w:color w:val="auto"/>
              </w:rPr>
              <w:t>～</w:t>
            </w:r>
            <w:r>
              <w:rPr>
                <w:rFonts w:ascii="宋体" w:hAnsi="宋体" w:cs="宋体"/>
                <w:color w:val="auto"/>
              </w:rPr>
              <w:t>18:30</w:t>
            </w:r>
            <w:r>
              <w:rPr>
                <w:rFonts w:hint="eastAsia" w:ascii="宋体" w:hAnsi="宋体" w:cs="宋体"/>
                <w:color w:val="auto"/>
              </w:rPr>
              <w:t>到达所有部门</w:t>
            </w:r>
            <w:r>
              <w:rPr>
                <w:rFonts w:ascii="宋体" w:hAnsi="宋体" w:cs="宋体"/>
                <w:color w:val="auto"/>
              </w:rPr>
              <w:t>/</w:t>
            </w:r>
            <w:r>
              <w:rPr>
                <w:rFonts w:hint="eastAsia" w:ascii="宋体" w:hAnsi="宋体" w:cs="宋体"/>
                <w:color w:val="auto"/>
              </w:rPr>
              <w:t>科室暂存点回收；</w:t>
            </w:r>
          </w:p>
          <w:p w14:paraId="7BBE2A49">
            <w:pPr>
              <w:spacing w:line="460" w:lineRule="exact"/>
              <w:rPr>
                <w:rFonts w:ascii="宋体" w:cs="宋体"/>
                <w:color w:val="auto"/>
              </w:rPr>
            </w:pPr>
            <w:r>
              <w:rPr>
                <w:rFonts w:hint="eastAsia" w:ascii="宋体" w:hAnsi="宋体" w:cs="宋体"/>
                <w:color w:val="auto"/>
              </w:rPr>
              <w:t>（</w:t>
            </w:r>
            <w:r>
              <w:rPr>
                <w:rFonts w:ascii="宋体" w:hAnsi="宋体" w:cs="宋体"/>
                <w:color w:val="auto"/>
              </w:rPr>
              <w:t>2</w:t>
            </w:r>
            <w:r>
              <w:rPr>
                <w:rFonts w:hint="eastAsia" w:ascii="宋体" w:hAnsi="宋体" w:cs="宋体"/>
                <w:color w:val="auto"/>
              </w:rPr>
              <w:t>）按指定或专用路线运输，车辆不得与物体、墙壁、行人发生碰撞；</w:t>
            </w:r>
          </w:p>
          <w:p w14:paraId="6674F68A">
            <w:pPr>
              <w:spacing w:line="460" w:lineRule="exact"/>
              <w:rPr>
                <w:rFonts w:ascii="宋体" w:cs="宋体"/>
                <w:color w:val="auto"/>
              </w:rPr>
            </w:pPr>
            <w:r>
              <w:rPr>
                <w:rFonts w:hint="eastAsia" w:ascii="宋体" w:hAnsi="宋体" w:cs="宋体"/>
                <w:color w:val="auto"/>
              </w:rPr>
              <w:t>（</w:t>
            </w:r>
            <w:r>
              <w:rPr>
                <w:rFonts w:ascii="宋体" w:hAnsi="宋体" w:cs="宋体"/>
                <w:color w:val="auto"/>
              </w:rPr>
              <w:t>3</w:t>
            </w:r>
            <w:r>
              <w:rPr>
                <w:rFonts w:hint="eastAsia" w:ascii="宋体" w:hAnsi="宋体" w:cs="宋体"/>
                <w:color w:val="auto"/>
              </w:rPr>
              <w:t>）运输车辆须加盖，垃圾不得高出车箱体，运输途中无污物污水撒漏、丢弃等；</w:t>
            </w:r>
          </w:p>
          <w:p w14:paraId="43B74BEE">
            <w:pPr>
              <w:spacing w:line="460" w:lineRule="exact"/>
              <w:rPr>
                <w:rFonts w:ascii="宋体" w:cs="宋体"/>
                <w:color w:val="auto"/>
              </w:rPr>
            </w:pPr>
            <w:r>
              <w:rPr>
                <w:rFonts w:hint="eastAsia" w:ascii="宋体" w:hAnsi="宋体" w:cs="宋体"/>
                <w:color w:val="auto"/>
              </w:rPr>
              <w:t>（</w:t>
            </w:r>
            <w:r>
              <w:rPr>
                <w:rFonts w:ascii="宋体" w:hAnsi="宋体" w:cs="宋体"/>
                <w:color w:val="auto"/>
              </w:rPr>
              <w:t>4</w:t>
            </w:r>
            <w:r>
              <w:rPr>
                <w:rFonts w:hint="eastAsia" w:ascii="宋体" w:hAnsi="宋体" w:cs="宋体"/>
                <w:color w:val="auto"/>
              </w:rPr>
              <w:t>）垃圾及时装车压缩，每日清运；</w:t>
            </w:r>
          </w:p>
          <w:p w14:paraId="58105C95">
            <w:pPr>
              <w:spacing w:line="460" w:lineRule="exact"/>
              <w:rPr>
                <w:rFonts w:ascii="宋体" w:cs="宋体"/>
                <w:color w:val="auto"/>
              </w:rPr>
            </w:pPr>
            <w:r>
              <w:rPr>
                <w:rFonts w:hint="eastAsia" w:ascii="宋体" w:hAnsi="宋体" w:cs="宋体"/>
                <w:color w:val="auto"/>
              </w:rPr>
              <w:t>（</w:t>
            </w:r>
            <w:r>
              <w:rPr>
                <w:rFonts w:ascii="宋体" w:hAnsi="宋体" w:cs="宋体"/>
                <w:color w:val="auto"/>
              </w:rPr>
              <w:t>5</w:t>
            </w:r>
            <w:r>
              <w:rPr>
                <w:rFonts w:hint="eastAsia" w:ascii="宋体" w:hAnsi="宋体" w:cs="宋体"/>
                <w:color w:val="auto"/>
              </w:rPr>
              <w:t>）垃圾站每日冲刷、消毒不少于三次，保持站点清洁，无明显异味；</w:t>
            </w:r>
          </w:p>
        </w:tc>
        <w:tc>
          <w:tcPr>
            <w:tcW w:w="2205" w:type="dxa"/>
            <w:vAlign w:val="center"/>
          </w:tcPr>
          <w:p w14:paraId="4CB295B3">
            <w:pPr>
              <w:spacing w:line="460" w:lineRule="exact"/>
              <w:rPr>
                <w:rFonts w:ascii="宋体" w:cs="宋体"/>
                <w:color w:val="auto"/>
              </w:rPr>
            </w:pPr>
            <w:r>
              <w:rPr>
                <w:rFonts w:hint="eastAsia" w:ascii="宋体" w:hAnsi="宋体" w:cs="宋体"/>
                <w:color w:val="auto"/>
              </w:rPr>
              <w:t>不符合标准一处扣</w:t>
            </w:r>
            <w:r>
              <w:rPr>
                <w:rFonts w:ascii="宋体" w:hAnsi="宋体" w:cs="宋体"/>
                <w:color w:val="auto"/>
              </w:rPr>
              <w:t>2</w:t>
            </w:r>
            <w:r>
              <w:rPr>
                <w:rFonts w:hint="eastAsia" w:ascii="宋体" w:hAnsi="宋体" w:cs="宋体"/>
                <w:color w:val="auto"/>
              </w:rPr>
              <w:t>分。</w:t>
            </w:r>
          </w:p>
        </w:tc>
      </w:tr>
      <w:tr w14:paraId="2E4A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20" w:type="dxa"/>
            <w:vMerge w:val="continue"/>
            <w:vAlign w:val="center"/>
          </w:tcPr>
          <w:p w14:paraId="6616639F">
            <w:pPr>
              <w:spacing w:line="460" w:lineRule="exact"/>
              <w:rPr>
                <w:rFonts w:ascii="宋体" w:cs="宋体"/>
                <w:color w:val="auto"/>
              </w:rPr>
            </w:pPr>
          </w:p>
        </w:tc>
        <w:tc>
          <w:tcPr>
            <w:tcW w:w="6991" w:type="dxa"/>
          </w:tcPr>
          <w:p w14:paraId="267D0A4F">
            <w:pPr>
              <w:spacing w:line="460" w:lineRule="exact"/>
              <w:rPr>
                <w:rFonts w:ascii="宋体" w:cs="宋体"/>
                <w:color w:val="auto"/>
              </w:rPr>
            </w:pPr>
            <w:r>
              <w:rPr>
                <w:rFonts w:ascii="宋体" w:hAnsi="宋体" w:cs="宋体"/>
                <w:color w:val="auto"/>
              </w:rPr>
              <w:t>21</w:t>
            </w:r>
            <w:r>
              <w:rPr>
                <w:rFonts w:hint="eastAsia" w:ascii="宋体" w:hAnsi="宋体" w:cs="宋体"/>
                <w:color w:val="auto"/>
              </w:rPr>
              <w:t>、保洁服务时注意节约用水用电：</w:t>
            </w:r>
          </w:p>
          <w:p w14:paraId="7ACC3C08">
            <w:pPr>
              <w:spacing w:line="460" w:lineRule="exact"/>
              <w:rPr>
                <w:rFonts w:ascii="宋体" w:cs="宋体"/>
                <w:color w:val="auto"/>
              </w:rPr>
            </w:pPr>
            <w:r>
              <w:rPr>
                <w:rFonts w:hint="eastAsia" w:ascii="宋体" w:hAnsi="宋体" w:cs="宋体"/>
                <w:color w:val="auto"/>
              </w:rPr>
              <w:t>（</w:t>
            </w:r>
            <w:r>
              <w:rPr>
                <w:rFonts w:ascii="宋体" w:hAnsi="宋体" w:cs="宋体"/>
                <w:color w:val="auto"/>
              </w:rPr>
              <w:t>1</w:t>
            </w:r>
            <w:r>
              <w:rPr>
                <w:rFonts w:hint="eastAsia" w:ascii="宋体" w:hAnsi="宋体" w:cs="宋体"/>
                <w:color w:val="auto"/>
              </w:rPr>
              <w:t>）保洁活动时避免耗水量大的冲洗法，如必须使用冲洗时，应采用间断冲洗，并使用节水型喷头，做到人走水关，杜绝长流水；</w:t>
            </w:r>
          </w:p>
          <w:p w14:paraId="5CC9B2EB">
            <w:pPr>
              <w:spacing w:line="460" w:lineRule="exact"/>
              <w:rPr>
                <w:rFonts w:ascii="宋体" w:cs="宋体"/>
                <w:color w:val="auto"/>
              </w:rPr>
            </w:pPr>
            <w:r>
              <w:rPr>
                <w:rFonts w:hint="eastAsia" w:ascii="宋体" w:hAnsi="宋体" w:cs="宋体"/>
                <w:color w:val="auto"/>
              </w:rPr>
              <w:t>（</w:t>
            </w:r>
            <w:r>
              <w:rPr>
                <w:rFonts w:ascii="宋体" w:hAnsi="宋体" w:cs="宋体"/>
                <w:color w:val="auto"/>
              </w:rPr>
              <w:t>2</w:t>
            </w:r>
            <w:r>
              <w:rPr>
                <w:rFonts w:hint="eastAsia" w:ascii="宋体" w:hAnsi="宋体" w:cs="宋体"/>
                <w:color w:val="auto"/>
              </w:rPr>
              <w:t>）做好病区、科室公共区域照明灯管理，无长明灯现象。</w:t>
            </w:r>
          </w:p>
        </w:tc>
        <w:tc>
          <w:tcPr>
            <w:tcW w:w="2205" w:type="dxa"/>
            <w:vAlign w:val="center"/>
          </w:tcPr>
          <w:p w14:paraId="5049A201">
            <w:pPr>
              <w:spacing w:line="460" w:lineRule="exact"/>
              <w:rPr>
                <w:rFonts w:ascii="宋体" w:cs="宋体"/>
                <w:color w:val="auto"/>
              </w:rPr>
            </w:pPr>
            <w:r>
              <w:rPr>
                <w:rFonts w:hint="eastAsia" w:ascii="宋体" w:hAnsi="宋体" w:cs="宋体"/>
                <w:color w:val="auto"/>
              </w:rPr>
              <w:t>不符合要求一次扣</w:t>
            </w:r>
            <w:r>
              <w:rPr>
                <w:rFonts w:ascii="宋体" w:hAnsi="宋体" w:cs="宋体"/>
                <w:color w:val="auto"/>
              </w:rPr>
              <w:t>2</w:t>
            </w:r>
            <w:r>
              <w:rPr>
                <w:rFonts w:hint="eastAsia" w:ascii="宋体" w:hAnsi="宋体" w:cs="宋体"/>
                <w:color w:val="auto"/>
              </w:rPr>
              <w:t>分。</w:t>
            </w:r>
          </w:p>
        </w:tc>
      </w:tr>
      <w:tr w14:paraId="7EC8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20" w:type="dxa"/>
            <w:vMerge w:val="continue"/>
            <w:vAlign w:val="center"/>
          </w:tcPr>
          <w:p w14:paraId="47AAE51D">
            <w:pPr>
              <w:spacing w:line="460" w:lineRule="exact"/>
              <w:rPr>
                <w:rFonts w:ascii="宋体" w:cs="宋体"/>
                <w:color w:val="auto"/>
              </w:rPr>
            </w:pPr>
          </w:p>
        </w:tc>
        <w:tc>
          <w:tcPr>
            <w:tcW w:w="6991" w:type="dxa"/>
          </w:tcPr>
          <w:p w14:paraId="3E8F16BD">
            <w:pPr>
              <w:spacing w:line="460" w:lineRule="exact"/>
              <w:rPr>
                <w:rFonts w:ascii="宋体" w:cs="宋体"/>
                <w:color w:val="auto"/>
              </w:rPr>
            </w:pPr>
            <w:r>
              <w:rPr>
                <w:rFonts w:ascii="宋体" w:hAnsi="宋体" w:cs="宋体"/>
                <w:color w:val="auto"/>
              </w:rPr>
              <w:t>22</w:t>
            </w:r>
            <w:r>
              <w:rPr>
                <w:rFonts w:hint="eastAsia" w:ascii="宋体" w:hAnsi="宋体" w:cs="宋体"/>
                <w:color w:val="auto"/>
              </w:rPr>
              <w:t>、医疗废物运送规范：</w:t>
            </w:r>
          </w:p>
          <w:p w14:paraId="771F1267">
            <w:pPr>
              <w:spacing w:line="460" w:lineRule="exact"/>
              <w:rPr>
                <w:rFonts w:ascii="宋体" w:cs="宋体"/>
                <w:color w:val="auto"/>
              </w:rPr>
            </w:pPr>
            <w:r>
              <w:rPr>
                <w:rFonts w:hint="eastAsia" w:ascii="宋体" w:hAnsi="宋体" w:cs="宋体"/>
                <w:color w:val="auto"/>
              </w:rPr>
              <w:t>（</w:t>
            </w:r>
            <w:r>
              <w:rPr>
                <w:rFonts w:ascii="宋体" w:hAnsi="宋体" w:cs="宋体"/>
                <w:color w:val="auto"/>
              </w:rPr>
              <w:t>1</w:t>
            </w:r>
            <w:r>
              <w:rPr>
                <w:rFonts w:hint="eastAsia" w:ascii="宋体" w:hAnsi="宋体" w:cs="宋体"/>
                <w:color w:val="auto"/>
              </w:rPr>
              <w:t>）包装袋符合《医疗废物专用包装物、容器标准和警示标识规定》要求；</w:t>
            </w:r>
          </w:p>
          <w:p w14:paraId="2691FF72">
            <w:pPr>
              <w:spacing w:line="460" w:lineRule="exact"/>
              <w:rPr>
                <w:rFonts w:ascii="宋体" w:cs="宋体"/>
                <w:color w:val="auto"/>
              </w:rPr>
            </w:pPr>
            <w:r>
              <w:rPr>
                <w:rFonts w:hint="eastAsia" w:ascii="宋体" w:hAnsi="宋体" w:cs="宋体"/>
                <w:color w:val="auto"/>
              </w:rPr>
              <w:t>（</w:t>
            </w:r>
            <w:r>
              <w:rPr>
                <w:rFonts w:ascii="宋体" w:hAnsi="宋体" w:cs="宋体"/>
                <w:color w:val="auto"/>
              </w:rPr>
              <w:t>2</w:t>
            </w:r>
            <w:r>
              <w:rPr>
                <w:rFonts w:hint="eastAsia" w:ascii="宋体" w:hAnsi="宋体" w:cs="宋体"/>
                <w:color w:val="auto"/>
              </w:rPr>
              <w:t>）每日早</w:t>
            </w:r>
            <w:r>
              <w:rPr>
                <w:rFonts w:ascii="宋体" w:hAnsi="宋体" w:cs="宋体"/>
                <w:color w:val="auto"/>
              </w:rPr>
              <w:t>7</w:t>
            </w:r>
            <w:r>
              <w:rPr>
                <w:rFonts w:hint="eastAsia" w:ascii="宋体" w:hAnsi="宋体" w:cs="宋体"/>
                <w:color w:val="auto"/>
              </w:rPr>
              <w:t>：</w:t>
            </w:r>
            <w:r>
              <w:rPr>
                <w:rFonts w:ascii="宋体" w:hAnsi="宋体" w:cs="宋体"/>
                <w:color w:val="auto"/>
              </w:rPr>
              <w:t>30</w:t>
            </w:r>
            <w:r>
              <w:rPr>
                <w:rFonts w:hint="eastAsia" w:ascii="宋体" w:hAnsi="宋体" w:cs="宋体"/>
                <w:color w:val="auto"/>
              </w:rPr>
              <w:t>前、中午</w:t>
            </w:r>
            <w:r>
              <w:rPr>
                <w:rFonts w:ascii="宋体" w:hAnsi="宋体" w:cs="宋体"/>
                <w:color w:val="auto"/>
              </w:rPr>
              <w:t>12</w:t>
            </w:r>
            <w:r>
              <w:rPr>
                <w:rFonts w:hint="eastAsia" w:ascii="宋体" w:hAnsi="宋体" w:cs="宋体"/>
                <w:color w:val="auto"/>
              </w:rPr>
              <w:t>：</w:t>
            </w:r>
            <w:r>
              <w:rPr>
                <w:rFonts w:ascii="宋体" w:hAnsi="宋体" w:cs="宋体"/>
                <w:color w:val="auto"/>
              </w:rPr>
              <w:t>00</w:t>
            </w:r>
            <w:r>
              <w:rPr>
                <w:rFonts w:hint="eastAsia" w:ascii="宋体" w:hAnsi="宋体" w:cs="宋体"/>
                <w:color w:val="auto"/>
              </w:rPr>
              <w:t>～</w:t>
            </w:r>
            <w:r>
              <w:rPr>
                <w:rFonts w:ascii="宋体" w:hAnsi="宋体" w:cs="宋体"/>
                <w:color w:val="auto"/>
              </w:rPr>
              <w:t>2</w:t>
            </w:r>
            <w:r>
              <w:rPr>
                <w:rFonts w:hint="eastAsia" w:ascii="宋体" w:hAnsi="宋体" w:cs="宋体"/>
                <w:color w:val="auto"/>
              </w:rPr>
              <w:t>：</w:t>
            </w:r>
            <w:r>
              <w:rPr>
                <w:rFonts w:ascii="宋体" w:hAnsi="宋体" w:cs="宋体"/>
                <w:color w:val="auto"/>
              </w:rPr>
              <w:t>30</w:t>
            </w:r>
            <w:r>
              <w:rPr>
                <w:rFonts w:hint="eastAsia" w:ascii="宋体" w:hAnsi="宋体" w:cs="宋体"/>
                <w:color w:val="auto"/>
              </w:rPr>
              <w:t>分到各科室清点、回收各类医疗废物；手术室除按规定时间收集外，应根据废物量随时收集；按指定或专用路线运输，车辆不得与物体、墙壁、行人发生碰撞；</w:t>
            </w:r>
          </w:p>
          <w:p w14:paraId="49DAF3C9">
            <w:pPr>
              <w:spacing w:line="460" w:lineRule="exact"/>
              <w:rPr>
                <w:rFonts w:ascii="宋体" w:cs="宋体"/>
                <w:color w:val="auto"/>
              </w:rPr>
            </w:pPr>
            <w:r>
              <w:rPr>
                <w:rFonts w:hint="eastAsia" w:ascii="宋体" w:hAnsi="宋体" w:cs="宋体"/>
                <w:color w:val="auto"/>
              </w:rPr>
              <w:t>（</w:t>
            </w:r>
            <w:r>
              <w:rPr>
                <w:rFonts w:ascii="宋体" w:hAnsi="宋体" w:cs="宋体"/>
                <w:color w:val="auto"/>
              </w:rPr>
              <w:t>3</w:t>
            </w:r>
            <w:r>
              <w:rPr>
                <w:rFonts w:hint="eastAsia" w:ascii="宋体" w:hAnsi="宋体" w:cs="宋体"/>
                <w:color w:val="auto"/>
              </w:rPr>
              <w:t>）医疗废物回收时须双人称重签名，封口，交接联单填写齐全；</w:t>
            </w:r>
          </w:p>
          <w:p w14:paraId="16BB5A6D">
            <w:pPr>
              <w:spacing w:line="460" w:lineRule="exact"/>
              <w:rPr>
                <w:rFonts w:ascii="宋体" w:cs="宋体"/>
                <w:color w:val="auto"/>
              </w:rPr>
            </w:pPr>
            <w:r>
              <w:rPr>
                <w:rFonts w:hint="eastAsia" w:ascii="宋体" w:hAnsi="宋体" w:cs="宋体"/>
                <w:color w:val="auto"/>
              </w:rPr>
              <w:t>（</w:t>
            </w:r>
            <w:r>
              <w:rPr>
                <w:rFonts w:ascii="宋体" w:hAnsi="宋体" w:cs="宋体"/>
                <w:color w:val="auto"/>
              </w:rPr>
              <w:t>4</w:t>
            </w:r>
            <w:r>
              <w:rPr>
                <w:rFonts w:hint="eastAsia" w:ascii="宋体" w:hAnsi="宋体" w:cs="宋体"/>
                <w:color w:val="auto"/>
              </w:rPr>
              <w:t>）运送车辆须加盖，运输途中保持车厢密闭，无撒漏、丢弃等；</w:t>
            </w:r>
          </w:p>
          <w:p w14:paraId="4E98C10B">
            <w:pPr>
              <w:spacing w:line="460" w:lineRule="exact"/>
              <w:rPr>
                <w:rFonts w:ascii="宋体" w:cs="宋体"/>
                <w:color w:val="auto"/>
              </w:rPr>
            </w:pPr>
            <w:r>
              <w:rPr>
                <w:rFonts w:hint="eastAsia" w:ascii="宋体" w:hAnsi="宋体" w:cs="宋体"/>
                <w:color w:val="auto"/>
              </w:rPr>
              <w:t>（</w:t>
            </w:r>
            <w:r>
              <w:rPr>
                <w:rFonts w:ascii="宋体" w:hAnsi="宋体" w:cs="宋体"/>
                <w:color w:val="auto"/>
              </w:rPr>
              <w:t>5</w:t>
            </w:r>
            <w:r>
              <w:rPr>
                <w:rFonts w:hint="eastAsia" w:ascii="宋体" w:hAnsi="宋体" w:cs="宋体"/>
                <w:color w:val="auto"/>
              </w:rPr>
              <w:t>）医疗废物按分类码放整齐等待清运，严禁其他一切非医疗废物进入医疗废物储存间；医疗废物储存时间不得超过</w:t>
            </w:r>
            <w:r>
              <w:rPr>
                <w:rFonts w:ascii="宋体" w:hAnsi="宋体" w:cs="宋体"/>
                <w:color w:val="auto"/>
              </w:rPr>
              <w:t>48</w:t>
            </w:r>
            <w:r>
              <w:rPr>
                <w:rFonts w:hint="eastAsia" w:ascii="宋体" w:hAnsi="宋体" w:cs="宋体"/>
                <w:color w:val="auto"/>
              </w:rPr>
              <w:t>小时；</w:t>
            </w:r>
          </w:p>
          <w:p w14:paraId="1F3EAEB1">
            <w:pPr>
              <w:spacing w:line="460" w:lineRule="exact"/>
              <w:rPr>
                <w:rFonts w:ascii="宋体" w:cs="宋体"/>
                <w:color w:val="auto"/>
              </w:rPr>
            </w:pPr>
            <w:r>
              <w:rPr>
                <w:rFonts w:hint="eastAsia" w:ascii="宋体" w:hAnsi="宋体" w:cs="宋体"/>
                <w:color w:val="auto"/>
              </w:rPr>
              <w:t>（</w:t>
            </w:r>
            <w:r>
              <w:rPr>
                <w:rFonts w:ascii="宋体" w:hAnsi="宋体" w:cs="宋体"/>
                <w:color w:val="auto"/>
              </w:rPr>
              <w:t>6</w:t>
            </w:r>
            <w:r>
              <w:rPr>
                <w:rFonts w:hint="eastAsia" w:ascii="宋体" w:hAnsi="宋体" w:cs="宋体"/>
                <w:color w:val="auto"/>
              </w:rPr>
              <w:t>）医疗废物储存间防蚊、防蝇、防鼠、防盗等安全设施完好；</w:t>
            </w:r>
          </w:p>
          <w:p w14:paraId="584997DF">
            <w:pPr>
              <w:spacing w:line="460" w:lineRule="exact"/>
              <w:rPr>
                <w:rFonts w:ascii="宋体" w:cs="宋体"/>
                <w:color w:val="auto"/>
              </w:rPr>
            </w:pPr>
            <w:r>
              <w:rPr>
                <w:rFonts w:hint="eastAsia" w:ascii="宋体" w:hAnsi="宋体" w:cs="宋体"/>
                <w:color w:val="auto"/>
              </w:rPr>
              <w:t>（</w:t>
            </w:r>
            <w:r>
              <w:rPr>
                <w:rFonts w:ascii="宋体" w:hAnsi="宋体" w:cs="宋体"/>
                <w:color w:val="auto"/>
              </w:rPr>
              <w:t>7</w:t>
            </w:r>
            <w:r>
              <w:rPr>
                <w:rFonts w:hint="eastAsia" w:ascii="宋体" w:hAnsi="宋体" w:cs="宋体"/>
                <w:color w:val="auto"/>
              </w:rPr>
              <w:t>）医疗废物储存间地面随时清洁，每日进行地面和墙壁终末消毒处理；</w:t>
            </w:r>
          </w:p>
          <w:p w14:paraId="52641285">
            <w:pPr>
              <w:spacing w:line="460" w:lineRule="exact"/>
              <w:rPr>
                <w:rFonts w:ascii="宋体" w:cs="宋体"/>
                <w:color w:val="auto"/>
              </w:rPr>
            </w:pPr>
            <w:r>
              <w:rPr>
                <w:rFonts w:hint="eastAsia" w:ascii="宋体" w:hAnsi="宋体" w:cs="宋体"/>
                <w:color w:val="auto"/>
              </w:rPr>
              <w:t>（</w:t>
            </w:r>
            <w:r>
              <w:rPr>
                <w:rFonts w:ascii="宋体" w:hAnsi="宋体" w:cs="宋体"/>
                <w:color w:val="auto"/>
              </w:rPr>
              <w:t>8</w:t>
            </w:r>
            <w:r>
              <w:rPr>
                <w:rFonts w:hint="eastAsia" w:ascii="宋体" w:hAnsi="宋体" w:cs="宋体"/>
                <w:color w:val="auto"/>
              </w:rPr>
              <w:t>）员工工服、防护用品每日集中清洗消毒；</w:t>
            </w:r>
          </w:p>
          <w:p w14:paraId="2F714E73">
            <w:pPr>
              <w:spacing w:line="460" w:lineRule="exact"/>
              <w:rPr>
                <w:rFonts w:ascii="宋体" w:cs="宋体"/>
                <w:color w:val="auto"/>
              </w:rPr>
            </w:pPr>
            <w:r>
              <w:rPr>
                <w:rFonts w:hint="eastAsia" w:ascii="宋体" w:hAnsi="宋体" w:cs="宋体"/>
                <w:color w:val="auto"/>
              </w:rPr>
              <w:t>（</w:t>
            </w:r>
            <w:r>
              <w:rPr>
                <w:rFonts w:ascii="宋体" w:hAnsi="宋体" w:cs="宋体"/>
                <w:color w:val="auto"/>
              </w:rPr>
              <w:t>9</w:t>
            </w:r>
            <w:r>
              <w:rPr>
                <w:rFonts w:hint="eastAsia" w:ascii="宋体" w:hAnsi="宋体" w:cs="宋体"/>
                <w:color w:val="auto"/>
              </w:rPr>
              <w:t>）每日统计交接联单，发现医疗废物数量明显异常，立即追查，并报告监管部门；</w:t>
            </w:r>
          </w:p>
          <w:p w14:paraId="72D2958E">
            <w:pPr>
              <w:spacing w:line="460" w:lineRule="exact"/>
              <w:rPr>
                <w:rFonts w:ascii="宋体" w:cs="宋体"/>
                <w:color w:val="auto"/>
              </w:rPr>
            </w:pPr>
            <w:r>
              <w:rPr>
                <w:rFonts w:hint="eastAsia" w:ascii="宋体" w:hAnsi="宋体" w:cs="宋体"/>
                <w:color w:val="auto"/>
              </w:rPr>
              <w:t>（</w:t>
            </w:r>
            <w:r>
              <w:rPr>
                <w:rFonts w:ascii="宋体" w:hAnsi="宋体" w:cs="宋体"/>
                <w:color w:val="auto"/>
              </w:rPr>
              <w:t>10</w:t>
            </w:r>
            <w:r>
              <w:rPr>
                <w:rFonts w:hint="eastAsia" w:ascii="宋体" w:hAnsi="宋体" w:cs="宋体"/>
                <w:color w:val="auto"/>
              </w:rPr>
              <w:t>）发生医疗废物撒漏、丢失时，立即启动医疗废物撒漏、丢失应急预案。</w:t>
            </w:r>
          </w:p>
        </w:tc>
        <w:tc>
          <w:tcPr>
            <w:tcW w:w="2205" w:type="dxa"/>
            <w:vAlign w:val="center"/>
          </w:tcPr>
          <w:p w14:paraId="6F57E682">
            <w:pPr>
              <w:spacing w:line="460" w:lineRule="exact"/>
              <w:rPr>
                <w:rFonts w:ascii="宋体" w:cs="宋体"/>
                <w:color w:val="auto"/>
              </w:rPr>
            </w:pPr>
            <w:r>
              <w:rPr>
                <w:rFonts w:hint="eastAsia" w:ascii="宋体" w:hAnsi="宋体" w:cs="宋体"/>
                <w:color w:val="auto"/>
              </w:rPr>
              <w:t>不符合要求一次扣</w:t>
            </w:r>
            <w:r>
              <w:rPr>
                <w:rFonts w:ascii="宋体" w:hAnsi="宋体" w:cs="宋体"/>
                <w:color w:val="auto"/>
              </w:rPr>
              <w:t>2</w:t>
            </w:r>
            <w:r>
              <w:rPr>
                <w:rFonts w:hint="eastAsia" w:ascii="宋体" w:hAnsi="宋体" w:cs="宋体"/>
                <w:color w:val="auto"/>
              </w:rPr>
              <w:t>分。</w:t>
            </w:r>
          </w:p>
        </w:tc>
      </w:tr>
      <w:tr w14:paraId="1251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20" w:type="dxa"/>
            <w:vMerge w:val="restart"/>
          </w:tcPr>
          <w:p w14:paraId="485432D2">
            <w:pPr>
              <w:spacing w:line="460" w:lineRule="exact"/>
              <w:rPr>
                <w:rFonts w:ascii="宋体" w:cs="宋体"/>
                <w:color w:val="auto"/>
              </w:rPr>
            </w:pPr>
            <w:r>
              <w:rPr>
                <w:rFonts w:hint="eastAsia" w:ascii="宋体" w:hAnsi="宋体" w:cs="宋体"/>
                <w:color w:val="auto"/>
              </w:rPr>
              <w:t>奖励</w:t>
            </w:r>
          </w:p>
        </w:tc>
        <w:tc>
          <w:tcPr>
            <w:tcW w:w="6991" w:type="dxa"/>
            <w:vAlign w:val="center"/>
          </w:tcPr>
          <w:p w14:paraId="33ED2D07">
            <w:pPr>
              <w:widowControl/>
              <w:spacing w:line="460" w:lineRule="exact"/>
              <w:rPr>
                <w:rFonts w:ascii="宋体" w:cs="宋体"/>
                <w:color w:val="auto"/>
              </w:rPr>
            </w:pPr>
            <w:r>
              <w:rPr>
                <w:rFonts w:ascii="宋体" w:hAnsi="宋体" w:cs="宋体"/>
                <w:color w:val="auto"/>
              </w:rPr>
              <w:t>1</w:t>
            </w:r>
            <w:r>
              <w:rPr>
                <w:rFonts w:hint="eastAsia" w:ascii="宋体" w:hAnsi="宋体" w:cs="宋体"/>
                <w:color w:val="auto"/>
              </w:rPr>
              <w:t>、受到患者表扬（医院收到表扬信、锦旗、或区级以上满意度调查）</w:t>
            </w:r>
          </w:p>
        </w:tc>
        <w:tc>
          <w:tcPr>
            <w:tcW w:w="2205" w:type="dxa"/>
            <w:vAlign w:val="center"/>
          </w:tcPr>
          <w:p w14:paraId="25A87FF4">
            <w:pPr>
              <w:widowControl/>
              <w:spacing w:line="460" w:lineRule="exact"/>
              <w:rPr>
                <w:rFonts w:ascii="宋体" w:cs="宋体"/>
                <w:color w:val="auto"/>
              </w:rPr>
            </w:pPr>
            <w:r>
              <w:rPr>
                <w:rFonts w:hint="eastAsia" w:ascii="宋体" w:hAnsi="宋体" w:cs="宋体"/>
                <w:color w:val="auto"/>
              </w:rPr>
              <w:t>经核实奖</w:t>
            </w:r>
            <w:r>
              <w:rPr>
                <w:rFonts w:ascii="宋体" w:hAnsi="宋体" w:cs="宋体"/>
                <w:color w:val="auto"/>
              </w:rPr>
              <w:t>1</w:t>
            </w:r>
            <w:r>
              <w:rPr>
                <w:rFonts w:hint="eastAsia" w:ascii="宋体" w:hAnsi="宋体" w:cs="宋体"/>
                <w:color w:val="auto"/>
              </w:rPr>
              <w:t>分</w:t>
            </w:r>
            <w:r>
              <w:rPr>
                <w:rFonts w:ascii="宋体" w:hAnsi="宋体" w:cs="宋体"/>
                <w:color w:val="auto"/>
              </w:rPr>
              <w:t>/</w:t>
            </w:r>
            <w:r>
              <w:rPr>
                <w:rFonts w:hint="eastAsia" w:ascii="宋体" w:hAnsi="宋体" w:cs="宋体"/>
                <w:color w:val="auto"/>
              </w:rPr>
              <w:t>次</w:t>
            </w:r>
          </w:p>
        </w:tc>
      </w:tr>
      <w:tr w14:paraId="1FBA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20" w:type="dxa"/>
            <w:vMerge w:val="continue"/>
          </w:tcPr>
          <w:p w14:paraId="6F2C90F2">
            <w:pPr>
              <w:spacing w:line="460" w:lineRule="exact"/>
              <w:rPr>
                <w:rFonts w:ascii="宋体" w:cs="宋体"/>
                <w:color w:val="auto"/>
              </w:rPr>
            </w:pPr>
          </w:p>
        </w:tc>
        <w:tc>
          <w:tcPr>
            <w:tcW w:w="6991" w:type="dxa"/>
            <w:vAlign w:val="center"/>
          </w:tcPr>
          <w:p w14:paraId="6EEEF26F">
            <w:pPr>
              <w:widowControl/>
              <w:spacing w:line="460" w:lineRule="exact"/>
              <w:rPr>
                <w:rFonts w:ascii="宋体" w:cs="宋体"/>
                <w:color w:val="auto"/>
              </w:rPr>
            </w:pPr>
            <w:r>
              <w:rPr>
                <w:rFonts w:ascii="宋体" w:hAnsi="宋体" w:cs="宋体"/>
                <w:color w:val="auto"/>
              </w:rPr>
              <w:t>2</w:t>
            </w:r>
            <w:r>
              <w:rPr>
                <w:rFonts w:hint="eastAsia" w:ascii="宋体" w:hAnsi="宋体" w:cs="宋体"/>
                <w:color w:val="auto"/>
              </w:rPr>
              <w:t>、配合医院完成上级各项检查任务和各项应急工作，并取得显著成绩的（获奖等）</w:t>
            </w:r>
          </w:p>
        </w:tc>
        <w:tc>
          <w:tcPr>
            <w:tcW w:w="2205" w:type="dxa"/>
            <w:vAlign w:val="center"/>
          </w:tcPr>
          <w:p w14:paraId="5476090E">
            <w:pPr>
              <w:widowControl/>
              <w:spacing w:line="460" w:lineRule="exact"/>
              <w:rPr>
                <w:rFonts w:ascii="宋体" w:cs="宋体"/>
                <w:color w:val="auto"/>
              </w:rPr>
            </w:pPr>
            <w:r>
              <w:rPr>
                <w:rFonts w:hint="eastAsia" w:ascii="宋体" w:hAnsi="宋体" w:cs="宋体"/>
                <w:color w:val="auto"/>
              </w:rPr>
              <w:t>奖</w:t>
            </w:r>
            <w:r>
              <w:rPr>
                <w:rFonts w:ascii="宋体" w:hAnsi="宋体" w:cs="宋体"/>
                <w:color w:val="auto"/>
              </w:rPr>
              <w:t>2-5</w:t>
            </w:r>
            <w:r>
              <w:rPr>
                <w:rFonts w:hint="eastAsia" w:ascii="宋体" w:hAnsi="宋体" w:cs="宋体"/>
                <w:color w:val="auto"/>
              </w:rPr>
              <w:t>分</w:t>
            </w:r>
            <w:r>
              <w:rPr>
                <w:rFonts w:ascii="宋体" w:hAnsi="宋体" w:cs="宋体"/>
                <w:color w:val="auto"/>
              </w:rPr>
              <w:t>/</w:t>
            </w:r>
            <w:r>
              <w:rPr>
                <w:rFonts w:hint="eastAsia" w:ascii="宋体" w:hAnsi="宋体" w:cs="宋体"/>
                <w:color w:val="auto"/>
              </w:rPr>
              <w:t>次</w:t>
            </w:r>
          </w:p>
        </w:tc>
      </w:tr>
      <w:tr w14:paraId="0B7D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20" w:type="dxa"/>
            <w:vMerge w:val="continue"/>
          </w:tcPr>
          <w:p w14:paraId="449CC9B9">
            <w:pPr>
              <w:spacing w:line="460" w:lineRule="exact"/>
              <w:rPr>
                <w:rFonts w:ascii="宋体" w:cs="宋体"/>
                <w:color w:val="auto"/>
              </w:rPr>
            </w:pPr>
          </w:p>
        </w:tc>
        <w:tc>
          <w:tcPr>
            <w:tcW w:w="6991" w:type="dxa"/>
            <w:vAlign w:val="center"/>
          </w:tcPr>
          <w:p w14:paraId="60B3090B">
            <w:pPr>
              <w:widowControl/>
              <w:spacing w:line="460" w:lineRule="exact"/>
              <w:rPr>
                <w:rFonts w:ascii="宋体" w:cs="宋体"/>
                <w:color w:val="auto"/>
              </w:rPr>
            </w:pPr>
            <w:r>
              <w:rPr>
                <w:rFonts w:ascii="宋体" w:hAnsi="宋体" w:cs="宋体"/>
                <w:color w:val="auto"/>
              </w:rPr>
              <w:t>3</w:t>
            </w:r>
            <w:r>
              <w:rPr>
                <w:rFonts w:hint="eastAsia" w:ascii="宋体" w:hAnsi="宋体" w:cs="宋体"/>
                <w:color w:val="auto"/>
              </w:rPr>
              <w:t>、提出合理化建议或排除隐患，使医院免受重大损失的</w:t>
            </w:r>
          </w:p>
        </w:tc>
        <w:tc>
          <w:tcPr>
            <w:tcW w:w="2205" w:type="dxa"/>
            <w:vAlign w:val="center"/>
          </w:tcPr>
          <w:p w14:paraId="428C6DD9">
            <w:pPr>
              <w:widowControl/>
              <w:spacing w:line="460" w:lineRule="exact"/>
              <w:rPr>
                <w:rFonts w:ascii="宋体" w:cs="宋体"/>
                <w:color w:val="auto"/>
              </w:rPr>
            </w:pPr>
            <w:r>
              <w:rPr>
                <w:rFonts w:hint="eastAsia" w:ascii="宋体" w:hAnsi="宋体" w:cs="宋体"/>
                <w:color w:val="auto"/>
              </w:rPr>
              <w:t>奖</w:t>
            </w:r>
            <w:r>
              <w:rPr>
                <w:rFonts w:ascii="宋体" w:hAnsi="宋体" w:cs="宋体"/>
                <w:color w:val="auto"/>
              </w:rPr>
              <w:t>2-5</w:t>
            </w:r>
            <w:r>
              <w:rPr>
                <w:rFonts w:hint="eastAsia" w:ascii="宋体" w:hAnsi="宋体" w:cs="宋体"/>
                <w:color w:val="auto"/>
              </w:rPr>
              <w:t>分</w:t>
            </w:r>
            <w:r>
              <w:rPr>
                <w:rFonts w:ascii="宋体" w:hAnsi="宋体" w:cs="宋体"/>
                <w:color w:val="auto"/>
              </w:rPr>
              <w:t>/</w:t>
            </w:r>
            <w:r>
              <w:rPr>
                <w:rFonts w:hint="eastAsia" w:ascii="宋体" w:hAnsi="宋体" w:cs="宋体"/>
                <w:color w:val="auto"/>
              </w:rPr>
              <w:t>次</w:t>
            </w:r>
          </w:p>
        </w:tc>
      </w:tr>
      <w:tr w14:paraId="241F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20" w:type="dxa"/>
            <w:vMerge w:val="continue"/>
          </w:tcPr>
          <w:p w14:paraId="482310B8">
            <w:pPr>
              <w:spacing w:line="460" w:lineRule="exact"/>
              <w:rPr>
                <w:rFonts w:ascii="宋体" w:cs="宋体"/>
                <w:color w:val="auto"/>
              </w:rPr>
            </w:pPr>
          </w:p>
        </w:tc>
        <w:tc>
          <w:tcPr>
            <w:tcW w:w="6991" w:type="dxa"/>
            <w:vAlign w:val="center"/>
          </w:tcPr>
          <w:p w14:paraId="519EB4A9">
            <w:pPr>
              <w:widowControl/>
              <w:spacing w:line="460" w:lineRule="exact"/>
              <w:rPr>
                <w:rFonts w:ascii="宋体" w:cs="宋体"/>
                <w:color w:val="auto"/>
              </w:rPr>
            </w:pPr>
            <w:r>
              <w:rPr>
                <w:rFonts w:ascii="宋体" w:hAnsi="宋体" w:cs="宋体"/>
                <w:color w:val="auto"/>
              </w:rPr>
              <w:t>4</w:t>
            </w:r>
            <w:r>
              <w:rPr>
                <w:rFonts w:hint="eastAsia" w:ascii="宋体" w:hAnsi="宋体" w:cs="宋体"/>
                <w:color w:val="auto"/>
              </w:rPr>
              <w:t>、拾到钱包、手机等有价物品并上交医院保卫科</w:t>
            </w:r>
            <w:r>
              <w:rPr>
                <w:rFonts w:ascii="宋体" w:hAnsi="宋体" w:cs="宋体"/>
                <w:color w:val="auto"/>
              </w:rPr>
              <w:t>,</w:t>
            </w:r>
            <w:r>
              <w:rPr>
                <w:rFonts w:hint="eastAsia" w:ascii="宋体" w:hAnsi="宋体" w:cs="宋体"/>
                <w:color w:val="auto"/>
              </w:rPr>
              <w:t>必须有照片、有资料。</w:t>
            </w:r>
          </w:p>
        </w:tc>
        <w:tc>
          <w:tcPr>
            <w:tcW w:w="2205" w:type="dxa"/>
            <w:vAlign w:val="center"/>
          </w:tcPr>
          <w:p w14:paraId="351C20AD">
            <w:pPr>
              <w:widowControl/>
              <w:spacing w:line="460" w:lineRule="exact"/>
              <w:rPr>
                <w:rFonts w:ascii="宋体" w:cs="宋体"/>
                <w:color w:val="auto"/>
              </w:rPr>
            </w:pPr>
            <w:r>
              <w:rPr>
                <w:rFonts w:hint="eastAsia" w:ascii="宋体" w:hAnsi="宋体" w:cs="宋体"/>
                <w:color w:val="auto"/>
              </w:rPr>
              <w:t>每起奖励</w:t>
            </w:r>
            <w:r>
              <w:rPr>
                <w:rFonts w:ascii="宋体" w:hAnsi="宋体" w:cs="宋体"/>
                <w:color w:val="auto"/>
              </w:rPr>
              <w:t>1</w:t>
            </w:r>
            <w:r>
              <w:rPr>
                <w:rFonts w:hint="eastAsia" w:ascii="宋体" w:hAnsi="宋体" w:cs="宋体"/>
                <w:color w:val="auto"/>
              </w:rPr>
              <w:t>分</w:t>
            </w:r>
          </w:p>
        </w:tc>
      </w:tr>
      <w:tr w14:paraId="37CE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720" w:type="dxa"/>
            <w:vMerge w:val="continue"/>
          </w:tcPr>
          <w:p w14:paraId="331866C9">
            <w:pPr>
              <w:spacing w:line="460" w:lineRule="exact"/>
              <w:rPr>
                <w:rFonts w:ascii="宋体" w:cs="宋体"/>
                <w:color w:val="auto"/>
              </w:rPr>
            </w:pPr>
          </w:p>
        </w:tc>
        <w:tc>
          <w:tcPr>
            <w:tcW w:w="6991" w:type="dxa"/>
            <w:vAlign w:val="center"/>
          </w:tcPr>
          <w:p w14:paraId="03DA7567">
            <w:pPr>
              <w:widowControl/>
              <w:spacing w:line="460" w:lineRule="exact"/>
              <w:rPr>
                <w:rFonts w:ascii="宋体" w:cs="宋体"/>
                <w:color w:val="auto"/>
              </w:rPr>
            </w:pPr>
            <w:r>
              <w:rPr>
                <w:rFonts w:ascii="宋体" w:hAnsi="宋体" w:cs="宋体"/>
                <w:color w:val="auto"/>
              </w:rPr>
              <w:t>5</w:t>
            </w:r>
            <w:r>
              <w:rPr>
                <w:rFonts w:hint="eastAsia" w:ascii="宋体" w:hAnsi="宋体" w:cs="宋体"/>
                <w:color w:val="auto"/>
              </w:rPr>
              <w:t>、有切实有效的节能措施或建议，被医院采用并节能</w:t>
            </w:r>
            <w:r>
              <w:rPr>
                <w:rFonts w:ascii="宋体" w:hAnsi="宋体" w:cs="宋体"/>
                <w:color w:val="auto"/>
              </w:rPr>
              <w:t>15%</w:t>
            </w:r>
            <w:r>
              <w:rPr>
                <w:rFonts w:hint="eastAsia" w:ascii="宋体" w:hAnsi="宋体" w:cs="宋体"/>
                <w:color w:val="auto"/>
              </w:rPr>
              <w:t>以上。</w:t>
            </w:r>
          </w:p>
        </w:tc>
        <w:tc>
          <w:tcPr>
            <w:tcW w:w="2205" w:type="dxa"/>
            <w:vAlign w:val="center"/>
          </w:tcPr>
          <w:p w14:paraId="08FC719B">
            <w:pPr>
              <w:widowControl/>
              <w:spacing w:line="460" w:lineRule="exact"/>
              <w:rPr>
                <w:rFonts w:ascii="宋体" w:cs="宋体"/>
                <w:color w:val="auto"/>
              </w:rPr>
            </w:pPr>
            <w:r>
              <w:rPr>
                <w:rFonts w:hint="eastAsia" w:ascii="宋体" w:hAnsi="宋体" w:cs="宋体"/>
                <w:color w:val="auto"/>
              </w:rPr>
              <w:t>每项奖励</w:t>
            </w:r>
            <w:r>
              <w:rPr>
                <w:rFonts w:ascii="宋体" w:hAnsi="宋体" w:cs="宋体"/>
                <w:color w:val="auto"/>
              </w:rPr>
              <w:t>5</w:t>
            </w:r>
            <w:r>
              <w:rPr>
                <w:rFonts w:hint="eastAsia" w:ascii="宋体" w:hAnsi="宋体" w:cs="宋体"/>
                <w:color w:val="auto"/>
              </w:rPr>
              <w:t>分</w:t>
            </w:r>
          </w:p>
        </w:tc>
      </w:tr>
    </w:tbl>
    <w:p w14:paraId="5F912507">
      <w:pPr>
        <w:spacing w:line="360" w:lineRule="auto"/>
        <w:rPr>
          <w:color w:val="auto"/>
        </w:rPr>
      </w:pPr>
    </w:p>
    <w:p w14:paraId="7F7B374A">
      <w:pPr>
        <w:numPr>
          <w:ilvl w:val="0"/>
          <w:numId w:val="4"/>
        </w:numPr>
        <w:spacing w:line="360" w:lineRule="auto"/>
        <w:ind w:firstLine="420" w:firstLineChars="200"/>
        <w:rPr>
          <w:color w:val="auto"/>
        </w:rPr>
      </w:pPr>
      <w:r>
        <w:rPr>
          <w:rFonts w:hint="eastAsia" w:cs="宋体"/>
          <w:color w:val="auto"/>
        </w:rPr>
        <w:t>奖罚标准</w:t>
      </w:r>
    </w:p>
    <w:p w14:paraId="321E5E87">
      <w:pPr>
        <w:spacing w:line="360" w:lineRule="auto"/>
        <w:ind w:firstLine="420" w:firstLineChars="200"/>
        <w:rPr>
          <w:color w:val="auto"/>
        </w:rPr>
      </w:pPr>
      <w:r>
        <w:rPr>
          <w:rFonts w:hint="eastAsia" w:cs="宋体"/>
          <w:color w:val="auto"/>
        </w:rPr>
        <w:t>每月由甲方组织人员与乙方共同对乙方的服务进行检查、评分，具体方案由甲乙双方共同协商确定。</w:t>
      </w:r>
    </w:p>
    <w:tbl>
      <w:tblPr>
        <w:tblStyle w:val="47"/>
        <w:tblW w:w="907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4833"/>
        <w:gridCol w:w="2550"/>
      </w:tblGrid>
      <w:tr w14:paraId="64D5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285D7DA7">
            <w:pPr>
              <w:spacing w:line="360" w:lineRule="auto"/>
              <w:rPr>
                <w:color w:val="auto"/>
              </w:rPr>
            </w:pPr>
            <w:r>
              <w:rPr>
                <w:rFonts w:hint="eastAsia" w:cs="宋体"/>
                <w:color w:val="auto"/>
              </w:rPr>
              <w:t>每月得分</w:t>
            </w:r>
          </w:p>
        </w:tc>
        <w:tc>
          <w:tcPr>
            <w:tcW w:w="4833" w:type="dxa"/>
          </w:tcPr>
          <w:p w14:paraId="33B47301">
            <w:pPr>
              <w:spacing w:line="360" w:lineRule="auto"/>
              <w:jc w:val="left"/>
              <w:rPr>
                <w:color w:val="auto"/>
              </w:rPr>
            </w:pPr>
            <w:r>
              <w:rPr>
                <w:rFonts w:hint="eastAsia" w:cs="宋体"/>
                <w:color w:val="auto"/>
              </w:rPr>
              <w:t>奖罚标准</w:t>
            </w:r>
          </w:p>
        </w:tc>
        <w:tc>
          <w:tcPr>
            <w:tcW w:w="2550" w:type="dxa"/>
          </w:tcPr>
          <w:p w14:paraId="3012231D">
            <w:pPr>
              <w:spacing w:line="360" w:lineRule="auto"/>
              <w:ind w:firstLine="420" w:firstLineChars="200"/>
              <w:rPr>
                <w:color w:val="auto"/>
              </w:rPr>
            </w:pPr>
            <w:r>
              <w:rPr>
                <w:rFonts w:hint="eastAsia" w:cs="宋体"/>
                <w:color w:val="auto"/>
              </w:rPr>
              <w:t>备注</w:t>
            </w:r>
          </w:p>
        </w:tc>
      </w:tr>
      <w:tr w14:paraId="18A5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23ADEDC5">
            <w:pPr>
              <w:spacing w:line="360" w:lineRule="auto"/>
              <w:rPr>
                <w:color w:val="auto"/>
              </w:rPr>
            </w:pPr>
            <w:r>
              <w:rPr>
                <w:color w:val="auto"/>
              </w:rPr>
              <w:t>80</w:t>
            </w:r>
            <w:r>
              <w:rPr>
                <w:rFonts w:hint="eastAsia" w:cs="宋体"/>
                <w:color w:val="auto"/>
              </w:rPr>
              <w:t>分以上</w:t>
            </w:r>
          </w:p>
        </w:tc>
        <w:tc>
          <w:tcPr>
            <w:tcW w:w="4833" w:type="dxa"/>
          </w:tcPr>
          <w:p w14:paraId="06985828">
            <w:pPr>
              <w:spacing w:line="360" w:lineRule="auto"/>
              <w:jc w:val="left"/>
              <w:rPr>
                <w:color w:val="auto"/>
              </w:rPr>
            </w:pPr>
            <w:r>
              <w:rPr>
                <w:rFonts w:hint="eastAsia" w:cs="宋体"/>
                <w:color w:val="auto"/>
              </w:rPr>
              <w:t>不奖不罚</w:t>
            </w:r>
          </w:p>
        </w:tc>
        <w:tc>
          <w:tcPr>
            <w:tcW w:w="2550" w:type="dxa"/>
            <w:vMerge w:val="restart"/>
          </w:tcPr>
          <w:p w14:paraId="66882F70">
            <w:pPr>
              <w:spacing w:line="360" w:lineRule="auto"/>
              <w:ind w:firstLine="420" w:firstLineChars="200"/>
              <w:rPr>
                <w:color w:val="auto"/>
              </w:rPr>
            </w:pPr>
          </w:p>
        </w:tc>
      </w:tr>
      <w:tr w14:paraId="51A7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017AFD3B">
            <w:pPr>
              <w:spacing w:line="360" w:lineRule="auto"/>
              <w:rPr>
                <w:color w:val="auto"/>
              </w:rPr>
            </w:pPr>
            <w:r>
              <w:rPr>
                <w:color w:val="auto"/>
              </w:rPr>
              <w:t>75-79</w:t>
            </w:r>
            <w:r>
              <w:rPr>
                <w:rFonts w:hint="eastAsia" w:cs="宋体"/>
                <w:color w:val="auto"/>
              </w:rPr>
              <w:t>分</w:t>
            </w:r>
          </w:p>
        </w:tc>
        <w:tc>
          <w:tcPr>
            <w:tcW w:w="4833" w:type="dxa"/>
          </w:tcPr>
          <w:p w14:paraId="05AD6EF0">
            <w:pPr>
              <w:spacing w:line="360" w:lineRule="auto"/>
              <w:jc w:val="left"/>
              <w:rPr>
                <w:color w:val="auto"/>
              </w:rPr>
            </w:pPr>
            <w:r>
              <w:rPr>
                <w:rFonts w:hint="eastAsia" w:cs="宋体"/>
                <w:color w:val="auto"/>
              </w:rPr>
              <w:t>扣罚当月应付金额的</w:t>
            </w:r>
            <w:r>
              <w:rPr>
                <w:color w:val="auto"/>
              </w:rPr>
              <w:t>2%</w:t>
            </w:r>
          </w:p>
        </w:tc>
        <w:tc>
          <w:tcPr>
            <w:tcW w:w="2550" w:type="dxa"/>
            <w:vMerge w:val="continue"/>
          </w:tcPr>
          <w:p w14:paraId="41A8E75B">
            <w:pPr>
              <w:spacing w:line="360" w:lineRule="auto"/>
              <w:ind w:firstLine="420" w:firstLineChars="200"/>
              <w:rPr>
                <w:color w:val="auto"/>
              </w:rPr>
            </w:pPr>
          </w:p>
        </w:tc>
      </w:tr>
      <w:tr w14:paraId="4912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3DD5DBC5">
            <w:pPr>
              <w:spacing w:line="360" w:lineRule="auto"/>
              <w:rPr>
                <w:color w:val="auto"/>
              </w:rPr>
            </w:pPr>
            <w:r>
              <w:rPr>
                <w:color w:val="auto"/>
              </w:rPr>
              <w:t>71-74</w:t>
            </w:r>
            <w:r>
              <w:rPr>
                <w:rFonts w:hint="eastAsia" w:cs="宋体"/>
                <w:color w:val="auto"/>
              </w:rPr>
              <w:t>分</w:t>
            </w:r>
          </w:p>
        </w:tc>
        <w:tc>
          <w:tcPr>
            <w:tcW w:w="4833" w:type="dxa"/>
          </w:tcPr>
          <w:p w14:paraId="3E69CABF">
            <w:pPr>
              <w:spacing w:line="360" w:lineRule="auto"/>
              <w:jc w:val="left"/>
              <w:rPr>
                <w:color w:val="auto"/>
              </w:rPr>
            </w:pPr>
            <w:r>
              <w:rPr>
                <w:rFonts w:hint="eastAsia" w:cs="宋体"/>
                <w:color w:val="auto"/>
              </w:rPr>
              <w:t>扣罚当月应付金额的</w:t>
            </w:r>
            <w:r>
              <w:rPr>
                <w:color w:val="auto"/>
              </w:rPr>
              <w:t>5%</w:t>
            </w:r>
          </w:p>
        </w:tc>
        <w:tc>
          <w:tcPr>
            <w:tcW w:w="2550" w:type="dxa"/>
            <w:vMerge w:val="continue"/>
          </w:tcPr>
          <w:p w14:paraId="5C45B14B">
            <w:pPr>
              <w:spacing w:line="360" w:lineRule="auto"/>
              <w:ind w:firstLine="420" w:firstLineChars="200"/>
              <w:rPr>
                <w:color w:val="auto"/>
              </w:rPr>
            </w:pPr>
          </w:p>
        </w:tc>
      </w:tr>
      <w:tr w14:paraId="0254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vAlign w:val="center"/>
          </w:tcPr>
          <w:p w14:paraId="7C7E9DA3">
            <w:pPr>
              <w:spacing w:line="360" w:lineRule="auto"/>
              <w:jc w:val="left"/>
              <w:rPr>
                <w:color w:val="auto"/>
              </w:rPr>
            </w:pPr>
            <w:r>
              <w:rPr>
                <w:color w:val="auto"/>
              </w:rPr>
              <w:t>70</w:t>
            </w:r>
            <w:r>
              <w:rPr>
                <w:rFonts w:hint="eastAsia" w:cs="宋体"/>
                <w:color w:val="auto"/>
              </w:rPr>
              <w:t>分以下</w:t>
            </w:r>
          </w:p>
        </w:tc>
        <w:tc>
          <w:tcPr>
            <w:tcW w:w="4833" w:type="dxa"/>
          </w:tcPr>
          <w:p w14:paraId="3BBD8A27">
            <w:pPr>
              <w:spacing w:line="360" w:lineRule="auto"/>
              <w:jc w:val="left"/>
              <w:rPr>
                <w:color w:val="auto"/>
              </w:rPr>
            </w:pPr>
            <w:r>
              <w:rPr>
                <w:rFonts w:hint="eastAsia" w:cs="宋体"/>
                <w:color w:val="auto"/>
              </w:rPr>
              <w:t>扣罚当月应付金额的</w:t>
            </w:r>
            <w:r>
              <w:rPr>
                <w:color w:val="auto"/>
              </w:rPr>
              <w:t>10%</w:t>
            </w:r>
            <w:r>
              <w:rPr>
                <w:rFonts w:hint="eastAsia" w:cs="宋体"/>
                <w:color w:val="auto"/>
              </w:rPr>
              <w:t>；第一次口头警告，并及时整改；第二次书面通知整改；第三次甲方有权单方面解除合同。</w:t>
            </w:r>
          </w:p>
        </w:tc>
        <w:tc>
          <w:tcPr>
            <w:tcW w:w="2550" w:type="dxa"/>
            <w:vMerge w:val="continue"/>
          </w:tcPr>
          <w:p w14:paraId="4A465F03">
            <w:pPr>
              <w:spacing w:line="360" w:lineRule="auto"/>
              <w:ind w:firstLine="420" w:firstLineChars="200"/>
              <w:rPr>
                <w:color w:val="auto"/>
              </w:rPr>
            </w:pPr>
          </w:p>
        </w:tc>
      </w:tr>
    </w:tbl>
    <w:p w14:paraId="6C1071EF">
      <w:pPr>
        <w:spacing w:line="360" w:lineRule="auto"/>
        <w:rPr>
          <w:color w:val="auto"/>
        </w:rPr>
      </w:pPr>
    </w:p>
    <w:p w14:paraId="4C38205E">
      <w:pPr>
        <w:spacing w:line="360" w:lineRule="auto"/>
        <w:ind w:firstLine="422" w:firstLineChars="200"/>
        <w:rPr>
          <w:b/>
          <w:bCs/>
          <w:color w:val="auto"/>
        </w:rPr>
      </w:pPr>
      <w:r>
        <w:rPr>
          <w:rFonts w:hint="eastAsia" w:cs="宋体"/>
          <w:b/>
          <w:bCs/>
          <w:color w:val="auto"/>
        </w:rPr>
        <w:t>第七条、相关说明及要求</w:t>
      </w:r>
    </w:p>
    <w:p w14:paraId="0E3572D5">
      <w:pPr>
        <w:spacing w:line="360" w:lineRule="auto"/>
        <w:ind w:firstLine="420" w:firstLineChars="200"/>
        <w:rPr>
          <w:color w:val="auto"/>
        </w:rPr>
      </w:pPr>
      <w:r>
        <w:rPr>
          <w:color w:val="auto"/>
        </w:rPr>
        <w:t>1</w:t>
      </w:r>
      <w:r>
        <w:rPr>
          <w:rFonts w:hint="eastAsia" w:cs="宋体"/>
          <w:color w:val="auto"/>
        </w:rPr>
        <w:t>、勤杂事务：包括各病区一次性输液管及消毒，应急搬加床，医院应急事务（服从医院调整）等与医院工作相关的勤杂事务。</w:t>
      </w:r>
    </w:p>
    <w:p w14:paraId="25708FC8">
      <w:pPr>
        <w:spacing w:line="360" w:lineRule="auto"/>
        <w:ind w:firstLine="420" w:firstLineChars="200"/>
        <w:rPr>
          <w:color w:val="auto"/>
        </w:rPr>
      </w:pPr>
      <w:r>
        <w:rPr>
          <w:color w:val="auto"/>
        </w:rPr>
        <w:t>2</w:t>
      </w:r>
      <w:r>
        <w:rPr>
          <w:rFonts w:hint="eastAsia" w:cs="宋体"/>
          <w:color w:val="auto"/>
        </w:rPr>
        <w:t>、管理空调、电风扇、电灯、水龙头等开与关，以及在合理时间给病房通风。</w:t>
      </w:r>
    </w:p>
    <w:p w14:paraId="4FD630B1">
      <w:pPr>
        <w:spacing w:line="360" w:lineRule="auto"/>
        <w:ind w:firstLine="420" w:firstLineChars="200"/>
        <w:rPr>
          <w:color w:val="auto"/>
        </w:rPr>
      </w:pPr>
      <w:r>
        <w:rPr>
          <w:color w:val="auto"/>
        </w:rPr>
        <w:t>3</w:t>
      </w:r>
      <w:r>
        <w:rPr>
          <w:rFonts w:hint="eastAsia" w:cs="宋体"/>
          <w:color w:val="auto"/>
        </w:rPr>
        <w:t>、在台风或大雨季节，如要加强抗台抗灾时及突发情况时，乙方要无条件听从院方指挥，并安排值班，费用已包括在投标报价内，</w:t>
      </w:r>
    </w:p>
    <w:p w14:paraId="54929C79">
      <w:pPr>
        <w:spacing w:line="360" w:lineRule="auto"/>
        <w:ind w:firstLine="420" w:firstLineChars="200"/>
        <w:rPr>
          <w:color w:val="auto"/>
        </w:rPr>
      </w:pPr>
      <w:r>
        <w:rPr>
          <w:color w:val="auto"/>
        </w:rPr>
        <w:t>4</w:t>
      </w:r>
      <w:r>
        <w:rPr>
          <w:rFonts w:hint="eastAsia" w:cs="宋体"/>
          <w:color w:val="auto"/>
        </w:rPr>
        <w:t>、协助院方管理责任区域内的消防和防盗。</w:t>
      </w:r>
    </w:p>
    <w:p w14:paraId="5978A340">
      <w:pPr>
        <w:spacing w:line="360" w:lineRule="auto"/>
        <w:ind w:firstLine="420" w:firstLineChars="200"/>
        <w:rPr>
          <w:color w:val="auto"/>
        </w:rPr>
      </w:pPr>
      <w:r>
        <w:rPr>
          <w:color w:val="auto"/>
        </w:rPr>
        <w:t>5</w:t>
      </w:r>
      <w:r>
        <w:rPr>
          <w:rFonts w:hint="eastAsia" w:cs="宋体"/>
          <w:color w:val="auto"/>
        </w:rPr>
        <w:t>、员工服从科室安排与保证员工的稳定性，特别是医技科室、重病房及病区，不能因员工变动影响工作。</w:t>
      </w:r>
    </w:p>
    <w:p w14:paraId="3DB9668C">
      <w:pPr>
        <w:spacing w:line="360" w:lineRule="auto"/>
        <w:ind w:firstLine="420" w:firstLineChars="200"/>
        <w:rPr>
          <w:color w:val="auto"/>
        </w:rPr>
      </w:pPr>
      <w:r>
        <w:rPr>
          <w:color w:val="auto"/>
        </w:rPr>
        <w:t>6</w:t>
      </w:r>
      <w:r>
        <w:rPr>
          <w:rFonts w:hint="eastAsia" w:cs="宋体"/>
          <w:color w:val="auto"/>
        </w:rPr>
        <w:t>、协助图院劝烟。</w:t>
      </w:r>
    </w:p>
    <w:p w14:paraId="4D030D5C">
      <w:pPr>
        <w:spacing w:line="360" w:lineRule="auto"/>
        <w:ind w:firstLine="422" w:firstLineChars="200"/>
        <w:rPr>
          <w:b/>
          <w:bCs/>
          <w:color w:val="auto"/>
        </w:rPr>
      </w:pPr>
      <w:r>
        <w:rPr>
          <w:rFonts w:hint="eastAsia" w:cs="宋体"/>
          <w:b/>
          <w:bCs/>
          <w:color w:val="auto"/>
        </w:rPr>
        <w:t>第八条、其他要求及说明</w:t>
      </w:r>
    </w:p>
    <w:p w14:paraId="54DB6562">
      <w:pPr>
        <w:spacing w:line="360" w:lineRule="auto"/>
        <w:ind w:firstLine="420" w:firstLineChars="200"/>
        <w:rPr>
          <w:color w:val="auto"/>
        </w:rPr>
      </w:pPr>
      <w:r>
        <w:rPr>
          <w:color w:val="auto"/>
        </w:rPr>
        <w:t>1</w:t>
      </w:r>
      <w:r>
        <w:rPr>
          <w:rFonts w:hint="eastAsia" w:cs="宋体"/>
          <w:color w:val="auto"/>
        </w:rPr>
        <w:t>、服务质量标准要求按宾馆星级标准服务规程。乙方应制定具体的质量保证措施及相关服务的承诺。如因质量未达到目标，承包单位应因此承担责任和经济赔偿。</w:t>
      </w:r>
    </w:p>
    <w:p w14:paraId="7F112ACD">
      <w:pPr>
        <w:spacing w:line="360" w:lineRule="auto"/>
        <w:ind w:firstLine="420" w:firstLineChars="200"/>
        <w:rPr>
          <w:color w:val="auto"/>
        </w:rPr>
      </w:pPr>
      <w:r>
        <w:rPr>
          <w:color w:val="auto"/>
        </w:rPr>
        <w:t>2</w:t>
      </w:r>
      <w:r>
        <w:rPr>
          <w:rFonts w:hint="eastAsia" w:cs="宋体"/>
          <w:color w:val="auto"/>
        </w:rPr>
        <w:t>、乙方必聘请（或指定）一位经理（项目负责人），全权代表其负责管理承包服务工作、并与甲方保持密切联系。项目经理具备有二年以上从事医院后勤服务管理的经验和曾担任过一年以上医院后勤服务管理负责人的经历。</w:t>
      </w:r>
    </w:p>
    <w:p w14:paraId="1B27389A">
      <w:pPr>
        <w:spacing w:line="360" w:lineRule="auto"/>
        <w:ind w:firstLine="420" w:firstLineChars="200"/>
        <w:rPr>
          <w:color w:val="auto"/>
        </w:rPr>
      </w:pPr>
      <w:r>
        <w:rPr>
          <w:color w:val="auto"/>
        </w:rPr>
        <w:t>3</w:t>
      </w:r>
      <w:r>
        <w:rPr>
          <w:rFonts w:hint="eastAsia" w:cs="宋体"/>
          <w:color w:val="auto"/>
        </w:rPr>
        <w:t>、根据甲方的要求，乙方应为本项目服务区域内各项服务工作配备足够人员。岗位人员按科室实际工作量安排。</w:t>
      </w:r>
    </w:p>
    <w:p w14:paraId="52C7BFAE">
      <w:pPr>
        <w:spacing w:line="360" w:lineRule="auto"/>
        <w:ind w:firstLine="420" w:firstLineChars="200"/>
        <w:rPr>
          <w:color w:val="auto"/>
        </w:rPr>
      </w:pPr>
      <w:r>
        <w:rPr>
          <w:color w:val="auto"/>
        </w:rPr>
        <w:t>4</w:t>
      </w:r>
      <w:r>
        <w:rPr>
          <w:rFonts w:hint="eastAsia" w:cs="宋体"/>
          <w:color w:val="auto"/>
        </w:rPr>
        <w:t>、所聘人员必须符合劳动部门有关用工规定。</w:t>
      </w:r>
    </w:p>
    <w:p w14:paraId="7D453793">
      <w:pPr>
        <w:spacing w:line="360" w:lineRule="auto"/>
        <w:ind w:firstLine="420" w:firstLineChars="200"/>
        <w:rPr>
          <w:color w:val="auto"/>
        </w:rPr>
      </w:pPr>
      <w:r>
        <w:rPr>
          <w:color w:val="auto"/>
        </w:rPr>
        <w:t>5</w:t>
      </w:r>
      <w:r>
        <w:rPr>
          <w:rFonts w:hint="eastAsia" w:cs="宋体"/>
          <w:color w:val="auto"/>
        </w:rPr>
        <w:t>、员工需聘用与医院后勤服务相适应的人员，具体标准：</w:t>
      </w:r>
    </w:p>
    <w:p w14:paraId="0FB1B030">
      <w:pPr>
        <w:spacing w:line="360" w:lineRule="auto"/>
        <w:ind w:firstLine="420" w:firstLineChars="200"/>
        <w:rPr>
          <w:color w:val="auto"/>
        </w:rPr>
      </w:pPr>
      <w:r>
        <w:rPr>
          <w:rFonts w:hint="eastAsia" w:cs="宋体"/>
          <w:color w:val="auto"/>
        </w:rPr>
        <w:t>（</w:t>
      </w:r>
      <w:r>
        <w:rPr>
          <w:color w:val="auto"/>
        </w:rPr>
        <w:t>1</w:t>
      </w:r>
      <w:r>
        <w:rPr>
          <w:rFonts w:hint="eastAsia" w:cs="宋体"/>
          <w:color w:val="auto"/>
        </w:rPr>
        <w:t>）管理人员：身体健康，有丰富的管理经验和专业的操作技能，责任心强，沟通能力强</w:t>
      </w:r>
    </w:p>
    <w:p w14:paraId="1345E806">
      <w:pPr>
        <w:spacing w:line="360" w:lineRule="auto"/>
        <w:ind w:firstLine="420" w:firstLineChars="200"/>
        <w:rPr>
          <w:color w:val="auto"/>
        </w:rPr>
      </w:pPr>
      <w:r>
        <w:rPr>
          <w:rFonts w:hint="eastAsia" w:cs="宋体"/>
          <w:color w:val="auto"/>
        </w:rPr>
        <w:t>（</w:t>
      </w:r>
      <w:r>
        <w:rPr>
          <w:color w:val="auto"/>
        </w:rPr>
        <w:t>2</w:t>
      </w:r>
      <w:r>
        <w:rPr>
          <w:rFonts w:hint="eastAsia" w:cs="宋体"/>
          <w:color w:val="auto"/>
        </w:rPr>
        <w:t>）保洁员：身体健康、胜任工作，能吃苦劳，责任心强。</w:t>
      </w:r>
    </w:p>
    <w:p w14:paraId="65D36B55">
      <w:pPr>
        <w:spacing w:line="360" w:lineRule="auto"/>
        <w:ind w:firstLine="420" w:firstLineChars="200"/>
        <w:rPr>
          <w:color w:val="auto"/>
        </w:rPr>
      </w:pPr>
      <w:r>
        <w:rPr>
          <w:rFonts w:hint="eastAsia" w:cs="宋体"/>
          <w:color w:val="auto"/>
        </w:rPr>
        <w:t>（</w:t>
      </w:r>
      <w:r>
        <w:rPr>
          <w:color w:val="auto"/>
        </w:rPr>
        <w:t>3</w:t>
      </w:r>
      <w:r>
        <w:rPr>
          <w:rFonts w:hint="eastAsia" w:cs="宋体"/>
          <w:color w:val="auto"/>
        </w:rPr>
        <w:t>）乙方应保证在保洁合同服务期间内不违反国家相关政策规定。</w:t>
      </w:r>
    </w:p>
    <w:p w14:paraId="2D575D24">
      <w:pPr>
        <w:spacing w:line="360" w:lineRule="auto"/>
        <w:ind w:firstLine="420" w:firstLineChars="200"/>
        <w:rPr>
          <w:color w:val="auto"/>
        </w:rPr>
      </w:pPr>
      <w:r>
        <w:rPr>
          <w:rFonts w:hint="eastAsia" w:cs="宋体"/>
          <w:color w:val="auto"/>
        </w:rPr>
        <w:t>（</w:t>
      </w:r>
      <w:r>
        <w:rPr>
          <w:color w:val="auto"/>
        </w:rPr>
        <w:t>4</w:t>
      </w:r>
      <w:r>
        <w:rPr>
          <w:rFonts w:hint="eastAsia" w:cs="宋体"/>
          <w:color w:val="auto"/>
        </w:rPr>
        <w:t>）社会保险（除必须的养老保险外，还应包括乙方应为其员工投保人身意外险，以保证甲方在乙方工作人员索偿时不受任何责任的约束）</w:t>
      </w:r>
    </w:p>
    <w:p w14:paraId="7577EB1F">
      <w:pPr>
        <w:spacing w:line="360" w:lineRule="auto"/>
        <w:ind w:firstLine="420" w:firstLineChars="200"/>
        <w:rPr>
          <w:color w:val="auto"/>
        </w:rPr>
      </w:pPr>
      <w:r>
        <w:rPr>
          <w:rFonts w:hint="eastAsia" w:cs="宋体"/>
          <w:color w:val="auto"/>
        </w:rPr>
        <w:t>（</w:t>
      </w:r>
      <w:r>
        <w:rPr>
          <w:color w:val="auto"/>
        </w:rPr>
        <w:t>5</w:t>
      </w:r>
      <w:r>
        <w:rPr>
          <w:rFonts w:hint="eastAsia" w:cs="宋体"/>
          <w:color w:val="auto"/>
        </w:rPr>
        <w:t>）保洁员最低工资不得低于当地最低工资标准</w:t>
      </w:r>
    </w:p>
    <w:p w14:paraId="14B61C4C">
      <w:pPr>
        <w:spacing w:line="360" w:lineRule="auto"/>
        <w:ind w:firstLine="420" w:firstLineChars="200"/>
        <w:rPr>
          <w:color w:val="auto"/>
        </w:rPr>
      </w:pPr>
      <w:r>
        <w:rPr>
          <w:rFonts w:hint="eastAsia" w:cs="宋体"/>
          <w:color w:val="auto"/>
        </w:rPr>
        <w:t>（</w:t>
      </w:r>
      <w:r>
        <w:rPr>
          <w:color w:val="auto"/>
        </w:rPr>
        <w:t>6</w:t>
      </w:r>
      <w:r>
        <w:rPr>
          <w:rFonts w:hint="eastAsia" w:cs="宋体"/>
          <w:color w:val="auto"/>
        </w:rPr>
        <w:t>）甲方将提供乙方存放工具、换衣、休息及办公场所，具体面积及数量由乙方提出与业主协商确定，此类场所不计租金与水电、管理费。</w:t>
      </w:r>
    </w:p>
    <w:p w14:paraId="5250A17C">
      <w:pPr>
        <w:spacing w:line="360" w:lineRule="auto"/>
        <w:ind w:firstLine="420" w:firstLineChars="200"/>
        <w:rPr>
          <w:color w:val="auto"/>
        </w:rPr>
      </w:pPr>
      <w:r>
        <w:rPr>
          <w:rFonts w:hint="eastAsia" w:cs="宋体"/>
          <w:color w:val="auto"/>
        </w:rPr>
        <w:t>（</w:t>
      </w:r>
      <w:r>
        <w:rPr>
          <w:color w:val="auto"/>
        </w:rPr>
        <w:t>7</w:t>
      </w:r>
      <w:r>
        <w:rPr>
          <w:rFonts w:hint="eastAsia" w:cs="宋体"/>
          <w:color w:val="auto"/>
        </w:rPr>
        <w:t>）乙方及其员工必须遵守医院的一切行政管理、消防安全，病区等规定和制度。甲方有权对乙方员工的工作行为进行监督，如发现乙方员工有违反医院的规定和制度的行为，甲方将要求其改正，态度恶劣拒不改正的，甲方有权要求乙方子以辞，乙方必无条件接受。</w:t>
      </w:r>
    </w:p>
    <w:p w14:paraId="3A728164">
      <w:pPr>
        <w:spacing w:line="360" w:lineRule="auto"/>
        <w:ind w:firstLine="420" w:firstLineChars="200"/>
        <w:rPr>
          <w:color w:val="auto"/>
        </w:rPr>
      </w:pPr>
      <w:r>
        <w:rPr>
          <w:rFonts w:hint="eastAsia" w:cs="宋体"/>
          <w:color w:val="auto"/>
        </w:rPr>
        <w:t>（</w:t>
      </w:r>
      <w:r>
        <w:rPr>
          <w:color w:val="auto"/>
        </w:rPr>
        <w:t>8</w:t>
      </w:r>
      <w:r>
        <w:rPr>
          <w:rFonts w:hint="eastAsia" w:cs="宋体"/>
          <w:color w:val="auto"/>
        </w:rPr>
        <w:t>）乙方需自行解决其员工住宿、就餐、交通等问题。</w:t>
      </w:r>
    </w:p>
    <w:p w14:paraId="2D768EE8">
      <w:pPr>
        <w:spacing w:line="360" w:lineRule="auto"/>
        <w:ind w:firstLine="420" w:firstLineChars="200"/>
        <w:rPr>
          <w:color w:val="auto"/>
        </w:rPr>
      </w:pPr>
      <w:r>
        <w:rPr>
          <w:rFonts w:hint="eastAsia" w:cs="宋体"/>
          <w:color w:val="auto"/>
        </w:rPr>
        <w:t>（</w:t>
      </w:r>
      <w:r>
        <w:rPr>
          <w:color w:val="auto"/>
        </w:rPr>
        <w:t>9</w:t>
      </w:r>
      <w:r>
        <w:rPr>
          <w:rFonts w:hint="eastAsia" w:cs="宋体"/>
          <w:color w:val="auto"/>
        </w:rPr>
        <w:t>）在适当情况下，乙方应允许甲方或其授权的人员对服务区域内各项服务</w:t>
      </w:r>
      <w:r>
        <w:rPr>
          <w:rFonts w:hint="eastAsia" w:cs="宋体"/>
          <w:color w:val="auto"/>
          <w:highlight w:val="none"/>
        </w:rPr>
        <w:t>质量进行</w:t>
      </w:r>
      <w:r>
        <w:rPr>
          <w:rFonts w:hint="eastAsia" w:cs="宋体"/>
          <w:color w:val="auto"/>
        </w:rPr>
        <w:t>检查，有关费用由乙方承担。</w:t>
      </w:r>
    </w:p>
    <w:p w14:paraId="6BBF7CB9">
      <w:pPr>
        <w:spacing w:line="360" w:lineRule="auto"/>
        <w:ind w:firstLine="420" w:firstLineChars="200"/>
        <w:rPr>
          <w:color w:val="auto"/>
        </w:rPr>
      </w:pPr>
      <w:r>
        <w:rPr>
          <w:rFonts w:hint="eastAsia" w:cs="宋体"/>
          <w:color w:val="auto"/>
        </w:rPr>
        <w:t>（</w:t>
      </w:r>
      <w:r>
        <w:rPr>
          <w:color w:val="auto"/>
        </w:rPr>
        <w:t>10</w:t>
      </w:r>
      <w:r>
        <w:rPr>
          <w:rFonts w:hint="eastAsia" w:cs="宋体"/>
          <w:color w:val="auto"/>
        </w:rPr>
        <w:t>）遇突发事件或安全检查时，乙方必须配合有关部门执行任务，并指定专职人员协助工作，直至完成。</w:t>
      </w:r>
    </w:p>
    <w:p w14:paraId="60F7B4A5">
      <w:pPr>
        <w:spacing w:line="360" w:lineRule="auto"/>
        <w:ind w:firstLine="420" w:firstLineChars="200"/>
        <w:rPr>
          <w:color w:val="auto"/>
        </w:rPr>
      </w:pPr>
      <w:r>
        <w:rPr>
          <w:rFonts w:hint="eastAsia" w:cs="宋体"/>
          <w:color w:val="auto"/>
        </w:rPr>
        <w:t>（</w:t>
      </w:r>
      <w:r>
        <w:rPr>
          <w:color w:val="auto"/>
        </w:rPr>
        <w:t>11</w:t>
      </w:r>
      <w:r>
        <w:rPr>
          <w:rFonts w:hint="eastAsia" w:cs="宋体"/>
          <w:color w:val="auto"/>
        </w:rPr>
        <w:t>）乙方不得以任何理由向甲方工作人员支付小费或赠送礼物，不得在服务区域住宿或从事非法活动或有损甲方利益的活动。</w:t>
      </w:r>
    </w:p>
    <w:p w14:paraId="090CFB74">
      <w:pPr>
        <w:spacing w:line="360" w:lineRule="auto"/>
        <w:ind w:firstLine="420" w:firstLineChars="200"/>
        <w:rPr>
          <w:color w:val="auto"/>
        </w:rPr>
      </w:pPr>
      <w:r>
        <w:rPr>
          <w:rFonts w:hint="eastAsia" w:cs="宋体"/>
          <w:color w:val="auto"/>
        </w:rPr>
        <w:t>（</w:t>
      </w:r>
      <w:r>
        <w:rPr>
          <w:color w:val="auto"/>
        </w:rPr>
        <w:t>12</w:t>
      </w:r>
      <w:r>
        <w:rPr>
          <w:rFonts w:hint="eastAsia" w:cs="宋体"/>
          <w:color w:val="auto"/>
        </w:rPr>
        <w:t>）乙方不以任何形式转租、转让、抵押服务区域的服务项目，在服务区域只能从事甲方认可的服务工作。</w:t>
      </w:r>
    </w:p>
    <w:p w14:paraId="421C68A4">
      <w:pPr>
        <w:spacing w:line="360" w:lineRule="auto"/>
        <w:ind w:firstLine="420" w:firstLineChars="200"/>
        <w:rPr>
          <w:color w:val="auto"/>
        </w:rPr>
      </w:pPr>
      <w:r>
        <w:rPr>
          <w:rFonts w:hint="eastAsia" w:cs="宋体"/>
          <w:color w:val="auto"/>
        </w:rPr>
        <w:t>（</w:t>
      </w:r>
      <w:r>
        <w:rPr>
          <w:color w:val="auto"/>
        </w:rPr>
        <w:t>13</w:t>
      </w:r>
      <w:r>
        <w:rPr>
          <w:rFonts w:hint="eastAsia" w:cs="宋体"/>
          <w:color w:val="auto"/>
        </w:rPr>
        <w:t>）服务区域的各项服务工作时间必须符合及满足甲方的要求，包括星期天及公众假期，都不得停止工作。甲方认为应向病人提供或提高服务质量时，可要求乙方调整工作时回直至全天二十四小时工作。增加的工作量，按零星工作量计费标准。如因服务范围内容变动需调整合同，由双方协商确定。</w:t>
      </w:r>
    </w:p>
    <w:p w14:paraId="5A02900A">
      <w:pPr>
        <w:spacing w:line="360" w:lineRule="auto"/>
        <w:ind w:firstLine="420" w:firstLineChars="200"/>
        <w:rPr>
          <w:color w:val="auto"/>
        </w:rPr>
      </w:pPr>
      <w:r>
        <w:rPr>
          <w:rFonts w:hint="eastAsia" w:cs="宋体"/>
          <w:color w:val="auto"/>
        </w:rPr>
        <w:t>（</w:t>
      </w:r>
      <w:r>
        <w:rPr>
          <w:color w:val="auto"/>
        </w:rPr>
        <w:t>14</w:t>
      </w:r>
      <w:r>
        <w:rPr>
          <w:rFonts w:hint="eastAsia" w:cs="宋体"/>
          <w:color w:val="auto"/>
        </w:rPr>
        <w:t>）对于额外的零星工作，具体由双方协商确定。</w:t>
      </w:r>
    </w:p>
    <w:p w14:paraId="3828729C">
      <w:pPr>
        <w:spacing w:line="360" w:lineRule="auto"/>
        <w:ind w:firstLine="420" w:firstLineChars="200"/>
        <w:rPr>
          <w:color w:val="auto"/>
        </w:rPr>
      </w:pPr>
      <w:r>
        <w:rPr>
          <w:rFonts w:hint="eastAsia" w:cs="宋体"/>
          <w:color w:val="auto"/>
        </w:rPr>
        <w:t>（</w:t>
      </w:r>
      <w:r>
        <w:rPr>
          <w:color w:val="auto"/>
        </w:rPr>
        <w:t>15</w:t>
      </w:r>
      <w:r>
        <w:rPr>
          <w:rFonts w:hint="eastAsia" w:cs="宋体"/>
          <w:color w:val="auto"/>
        </w:rPr>
        <w:t>）服务区内垃圾袋装集，存放在指定地点。清卫、保洁及生活服务的工作质量按国家卫生城市和医院管理的有关标准严格验收。</w:t>
      </w:r>
    </w:p>
    <w:p w14:paraId="7595861D">
      <w:pPr>
        <w:spacing w:line="360" w:lineRule="auto"/>
        <w:ind w:firstLine="420" w:firstLineChars="200"/>
        <w:rPr>
          <w:color w:val="auto"/>
        </w:rPr>
      </w:pPr>
      <w:r>
        <w:rPr>
          <w:rFonts w:hint="eastAsia" w:cs="宋体"/>
          <w:color w:val="auto"/>
        </w:rPr>
        <w:t>（</w:t>
      </w:r>
      <w:r>
        <w:rPr>
          <w:color w:val="auto"/>
        </w:rPr>
        <w:t>16</w:t>
      </w:r>
      <w:r>
        <w:rPr>
          <w:rFonts w:hint="eastAsia" w:cs="宋体"/>
          <w:color w:val="auto"/>
        </w:rPr>
        <w:t>）面积由乙方自行实地查勘确定。</w:t>
      </w:r>
    </w:p>
    <w:p w14:paraId="280AA856">
      <w:pPr>
        <w:spacing w:line="360" w:lineRule="auto"/>
        <w:ind w:firstLine="420" w:firstLineChars="200"/>
        <w:jc w:val="left"/>
        <w:rPr>
          <w:color w:val="auto"/>
          <w:highlight w:val="yellow"/>
        </w:rPr>
      </w:pPr>
      <w:r>
        <w:rPr>
          <w:rFonts w:hint="eastAsia" w:cs="宋体"/>
          <w:color w:val="auto"/>
        </w:rPr>
        <w:t>（</w:t>
      </w:r>
      <w:r>
        <w:rPr>
          <w:color w:val="auto"/>
        </w:rPr>
        <w:t>17</w:t>
      </w:r>
      <w:r>
        <w:rPr>
          <w:rFonts w:hint="eastAsia" w:cs="宋体"/>
          <w:color w:val="auto"/>
        </w:rPr>
        <w:t>）保洁用具、</w:t>
      </w:r>
      <w:r>
        <w:rPr>
          <w:rFonts w:hint="eastAsia" w:cs="宋体"/>
          <w:color w:val="auto"/>
          <w:lang w:eastAsia="zh-CN"/>
        </w:rPr>
        <w:t>工作服、</w:t>
      </w:r>
      <w:r>
        <w:rPr>
          <w:rFonts w:hint="eastAsia" w:cs="宋体"/>
          <w:color w:val="auto"/>
        </w:rPr>
        <w:t>生活垃圾袋、保洁用</w:t>
      </w:r>
      <w:r>
        <w:rPr>
          <w:rFonts w:hint="eastAsia" w:cs="宋体"/>
          <w:color w:val="auto"/>
          <w:lang w:eastAsia="zh-CN"/>
        </w:rPr>
        <w:t>的</w:t>
      </w:r>
      <w:r>
        <w:rPr>
          <w:rFonts w:hint="eastAsia" w:cs="宋体"/>
          <w:color w:val="auto"/>
        </w:rPr>
        <w:t>消毒药剂</w:t>
      </w:r>
      <w:r>
        <w:rPr>
          <w:rFonts w:hint="eastAsia" w:cs="宋体"/>
          <w:color w:val="auto"/>
          <w:lang w:eastAsia="zh-CN"/>
        </w:rPr>
        <w:t>等物料</w:t>
      </w:r>
      <w:r>
        <w:rPr>
          <w:rFonts w:hint="eastAsia" w:cs="宋体"/>
          <w:color w:val="auto"/>
        </w:rPr>
        <w:t>由乙方提供</w:t>
      </w:r>
      <w:r>
        <w:rPr>
          <w:rFonts w:hint="eastAsia" w:cs="宋体"/>
          <w:color w:val="auto"/>
          <w:lang w:eastAsia="zh-CN"/>
        </w:rPr>
        <w:t>（</w:t>
      </w:r>
      <w:r>
        <w:rPr>
          <w:rFonts w:hint="eastAsia"/>
          <w:color w:val="auto"/>
          <w:lang w:val="en-US" w:eastAsia="zh-CN"/>
        </w:rPr>
        <w:t>后附：</w:t>
      </w:r>
      <w:r>
        <w:rPr>
          <w:color w:val="auto"/>
        </w:rPr>
        <w:t xml:space="preserve"> </w:t>
      </w:r>
      <w:r>
        <w:rPr>
          <w:rFonts w:hint="eastAsia"/>
          <w:color w:val="auto"/>
          <w:lang w:val="en-US" w:eastAsia="zh-CN"/>
        </w:rPr>
        <w:t>保洁人员工作服、鞋款式面料尺寸表及保洁、洗涤日常消耗的物料清单</w:t>
      </w:r>
      <w:r>
        <w:rPr>
          <w:rFonts w:hint="eastAsia"/>
          <w:color w:val="auto"/>
          <w:lang w:eastAsia="zh-CN"/>
        </w:rPr>
        <w:t>）</w:t>
      </w:r>
      <w:r>
        <w:rPr>
          <w:rFonts w:hint="eastAsia" w:cs="宋体"/>
          <w:color w:val="auto"/>
        </w:rPr>
        <w:t>。</w:t>
      </w:r>
    </w:p>
    <w:p w14:paraId="72E89676">
      <w:pPr>
        <w:spacing w:line="360" w:lineRule="auto"/>
        <w:ind w:firstLine="420" w:firstLineChars="200"/>
        <w:rPr>
          <w:color w:val="auto"/>
          <w:highlight w:val="none"/>
        </w:rPr>
      </w:pPr>
      <w:r>
        <w:rPr>
          <w:rFonts w:hint="eastAsia" w:cs="宋体"/>
          <w:color w:val="auto"/>
          <w:highlight w:val="none"/>
        </w:rPr>
        <w:t>（</w:t>
      </w:r>
      <w:r>
        <w:rPr>
          <w:color w:val="auto"/>
          <w:highlight w:val="none"/>
        </w:rPr>
        <w:t>18</w:t>
      </w:r>
      <w:r>
        <w:rPr>
          <w:rFonts w:hint="eastAsia" w:cs="宋体"/>
          <w:color w:val="auto"/>
          <w:highlight w:val="none"/>
        </w:rPr>
        <w:t>）本项目招标范围内无甲方正式职工，乙方无须考虑。</w:t>
      </w:r>
    </w:p>
    <w:p w14:paraId="239DAE2D">
      <w:pPr>
        <w:spacing w:line="360" w:lineRule="auto"/>
        <w:ind w:firstLine="420" w:firstLineChars="200"/>
        <w:rPr>
          <w:color w:val="auto"/>
        </w:rPr>
      </w:pPr>
      <w:r>
        <w:rPr>
          <w:rFonts w:hint="eastAsia" w:cs="宋体"/>
          <w:color w:val="auto"/>
        </w:rPr>
        <w:t>（</w:t>
      </w:r>
      <w:r>
        <w:rPr>
          <w:color w:val="auto"/>
        </w:rPr>
        <w:t>19</w:t>
      </w:r>
      <w:r>
        <w:rPr>
          <w:rFonts w:hint="eastAsia" w:cs="宋体"/>
          <w:color w:val="auto"/>
        </w:rPr>
        <w:t>）乙方达不到甲方要求及乙方各项服务承诺，甲方有权要求其整改、直至扣款或终止合同。</w:t>
      </w:r>
    </w:p>
    <w:p w14:paraId="6CD8A3AE">
      <w:pPr>
        <w:spacing w:line="360" w:lineRule="auto"/>
        <w:ind w:firstLine="420" w:firstLineChars="200"/>
        <w:rPr>
          <w:color w:val="auto"/>
        </w:rPr>
      </w:pPr>
      <w:r>
        <w:rPr>
          <w:rFonts w:hint="eastAsia" w:cs="宋体"/>
          <w:color w:val="auto"/>
        </w:rPr>
        <w:t>（</w:t>
      </w:r>
      <w:r>
        <w:rPr>
          <w:color w:val="auto"/>
        </w:rPr>
        <w:t>20</w:t>
      </w:r>
      <w:r>
        <w:rPr>
          <w:rFonts w:hint="eastAsia" w:cs="宋体"/>
          <w:color w:val="auto"/>
        </w:rPr>
        <w:t>）乙方在项目入场后六个月内部署信息化管理平台，使用信息化进行现场管理。</w:t>
      </w:r>
    </w:p>
    <w:p w14:paraId="1A80902D">
      <w:pPr>
        <w:spacing w:line="360" w:lineRule="auto"/>
        <w:ind w:firstLine="420" w:firstLineChars="200"/>
        <w:rPr>
          <w:color w:val="auto"/>
        </w:rPr>
      </w:pPr>
      <w:r>
        <w:rPr>
          <w:rFonts w:hint="eastAsia" w:cs="宋体"/>
          <w:color w:val="auto"/>
        </w:rPr>
        <w:t>（</w:t>
      </w:r>
      <w:r>
        <w:rPr>
          <w:color w:val="auto"/>
        </w:rPr>
        <w:t>21</w:t>
      </w:r>
      <w:r>
        <w:rPr>
          <w:rFonts w:hint="eastAsia" w:cs="宋体"/>
          <w:color w:val="auto"/>
        </w:rPr>
        <w:t>）如今后病区或保洁范围増加，院方将按中标单价另行签订补充协议。</w:t>
      </w:r>
    </w:p>
    <w:p w14:paraId="0F36330F">
      <w:pPr>
        <w:spacing w:line="360" w:lineRule="auto"/>
        <w:ind w:firstLine="422" w:firstLineChars="200"/>
        <w:rPr>
          <w:b/>
          <w:bCs/>
          <w:color w:val="auto"/>
        </w:rPr>
      </w:pPr>
      <w:r>
        <w:rPr>
          <w:rFonts w:hint="eastAsia" w:cs="宋体"/>
          <w:b/>
          <w:bCs/>
          <w:color w:val="auto"/>
        </w:rPr>
        <w:t>第九条，保洁员工作职责</w:t>
      </w:r>
    </w:p>
    <w:p w14:paraId="73CA78E7">
      <w:pPr>
        <w:spacing w:line="360" w:lineRule="auto"/>
        <w:ind w:firstLine="420" w:firstLineChars="200"/>
        <w:rPr>
          <w:color w:val="auto"/>
        </w:rPr>
      </w:pPr>
      <w:r>
        <w:rPr>
          <w:color w:val="auto"/>
        </w:rPr>
        <w:t>1</w:t>
      </w:r>
      <w:r>
        <w:rPr>
          <w:rFonts w:hint="eastAsia" w:cs="宋体"/>
          <w:color w:val="auto"/>
        </w:rPr>
        <w:t>、在护士长、科主任的指导下工作，遵守医院的各项规章制度，不退到、不早退、不脱岗。</w:t>
      </w:r>
    </w:p>
    <w:p w14:paraId="41CF27B3">
      <w:pPr>
        <w:spacing w:line="360" w:lineRule="auto"/>
        <w:ind w:firstLine="420" w:firstLineChars="200"/>
        <w:rPr>
          <w:color w:val="auto"/>
        </w:rPr>
      </w:pPr>
      <w:r>
        <w:rPr>
          <w:color w:val="auto"/>
        </w:rPr>
        <w:t>2</w:t>
      </w:r>
      <w:r>
        <w:rPr>
          <w:rFonts w:hint="eastAsia" w:cs="宋体"/>
          <w:color w:val="auto"/>
        </w:rPr>
        <w:t>、随时保持地面、墙面、水池、厕所、扶手、内外走廊门、窗、玻璃、诊查床的清洁、干净、无污迹，无灰尘、无积水、无蜘蛛网。</w:t>
      </w:r>
    </w:p>
    <w:p w14:paraId="373D3B8E">
      <w:pPr>
        <w:numPr>
          <w:ilvl w:val="0"/>
          <w:numId w:val="5"/>
        </w:numPr>
        <w:spacing w:line="360" w:lineRule="auto"/>
        <w:ind w:firstLine="420" w:firstLineChars="200"/>
        <w:rPr>
          <w:color w:val="auto"/>
        </w:rPr>
      </w:pPr>
      <w:r>
        <w:rPr>
          <w:rFonts w:hint="eastAsia" w:cs="宋体"/>
          <w:color w:val="auto"/>
        </w:rPr>
        <w:t>做好出院病人床位的清洁消毒工作，并铺好备用床。</w:t>
      </w:r>
    </w:p>
    <w:p w14:paraId="11A4B93E">
      <w:pPr>
        <w:spacing w:line="360" w:lineRule="auto"/>
        <w:ind w:firstLine="420" w:firstLineChars="200"/>
        <w:rPr>
          <w:color w:val="auto"/>
        </w:rPr>
      </w:pPr>
      <w:r>
        <w:rPr>
          <w:color w:val="auto"/>
        </w:rPr>
        <w:t>4</w:t>
      </w:r>
      <w:r>
        <w:rPr>
          <w:rFonts w:hint="eastAsia" w:cs="宋体"/>
          <w:color w:val="auto"/>
        </w:rPr>
        <w:t>，做好病人病床、床头柜、治疗带的清洁消毒，保证无积灰。床头柜每天用消毒毛巾擦拭</w:t>
      </w:r>
      <w:r>
        <w:rPr>
          <w:color w:val="auto"/>
        </w:rPr>
        <w:t>2</w:t>
      </w:r>
      <w:r>
        <w:rPr>
          <w:rFonts w:hint="eastAsia" w:cs="宋体"/>
          <w:color w:val="auto"/>
        </w:rPr>
        <w:t>次并保持整洁。</w:t>
      </w:r>
    </w:p>
    <w:p w14:paraId="16523831">
      <w:pPr>
        <w:spacing w:line="360" w:lineRule="auto"/>
        <w:ind w:firstLine="420" w:firstLineChars="200"/>
        <w:rPr>
          <w:color w:val="auto"/>
        </w:rPr>
      </w:pPr>
      <w:r>
        <w:rPr>
          <w:color w:val="auto"/>
        </w:rPr>
        <w:t>5</w:t>
      </w:r>
      <w:r>
        <w:rPr>
          <w:rFonts w:hint="eastAsia" w:cs="宋体"/>
          <w:color w:val="auto"/>
        </w:rPr>
        <w:t>、垃圾袋更换及时，垃圾桶保持清洁，外表无污垢。</w:t>
      </w:r>
    </w:p>
    <w:p w14:paraId="6325CC63">
      <w:pPr>
        <w:spacing w:line="360" w:lineRule="auto"/>
        <w:ind w:firstLine="420" w:firstLineChars="200"/>
        <w:rPr>
          <w:color w:val="auto"/>
        </w:rPr>
      </w:pPr>
      <w:r>
        <w:rPr>
          <w:color w:val="auto"/>
        </w:rPr>
        <w:t>6</w:t>
      </w:r>
      <w:r>
        <w:rPr>
          <w:rFonts w:hint="eastAsia" w:cs="宋体"/>
          <w:color w:val="auto"/>
        </w:rPr>
        <w:t>、在护士长、医生指导下，按要求配制有关浸泡消毒液和医疗器械的清洗、打包，并送到供应室进行消毒及调换。</w:t>
      </w:r>
    </w:p>
    <w:p w14:paraId="79CD1247">
      <w:pPr>
        <w:spacing w:line="360" w:lineRule="auto"/>
        <w:ind w:firstLine="420" w:firstLineChars="200"/>
        <w:rPr>
          <w:color w:val="auto"/>
        </w:rPr>
      </w:pPr>
      <w:r>
        <w:rPr>
          <w:color w:val="auto"/>
        </w:rPr>
        <w:t>7</w:t>
      </w:r>
      <w:r>
        <w:rPr>
          <w:rFonts w:hint="eastAsia" w:cs="宋体"/>
          <w:color w:val="auto"/>
        </w:rPr>
        <w:t>、每日做好污物的处理工作，进行垃圾分类并将其运送到指定地点。</w:t>
      </w:r>
    </w:p>
    <w:p w14:paraId="5369801C">
      <w:pPr>
        <w:spacing w:line="360" w:lineRule="auto"/>
        <w:ind w:firstLine="420" w:firstLineChars="200"/>
        <w:rPr>
          <w:color w:val="auto"/>
        </w:rPr>
      </w:pPr>
      <w:r>
        <w:rPr>
          <w:color w:val="auto"/>
        </w:rPr>
        <w:t>8</w:t>
      </w:r>
      <w:r>
        <w:rPr>
          <w:rFonts w:hint="eastAsia" w:cs="宋体"/>
          <w:color w:val="auto"/>
        </w:rPr>
        <w:t>、做好开水供应工作，送开水到病区床边。</w:t>
      </w:r>
    </w:p>
    <w:p w14:paraId="0B0D0D0B">
      <w:pPr>
        <w:spacing w:line="360" w:lineRule="auto"/>
        <w:ind w:firstLine="420" w:firstLineChars="200"/>
        <w:rPr>
          <w:color w:val="auto"/>
        </w:rPr>
      </w:pPr>
      <w:r>
        <w:rPr>
          <w:color w:val="auto"/>
        </w:rPr>
        <w:t>9</w:t>
      </w:r>
      <w:r>
        <w:rPr>
          <w:rFonts w:hint="eastAsia" w:cs="宋体"/>
          <w:color w:val="auto"/>
        </w:rPr>
        <w:t>、完成护上长布置的临时工作任务，临时外出或离开病区时要报告护土站。</w:t>
      </w:r>
    </w:p>
    <w:p w14:paraId="0025C500">
      <w:pPr>
        <w:spacing w:line="360" w:lineRule="auto"/>
        <w:ind w:firstLine="420" w:firstLineChars="200"/>
        <w:rPr>
          <w:color w:val="auto"/>
        </w:rPr>
      </w:pPr>
      <w:r>
        <w:rPr>
          <w:color w:val="auto"/>
        </w:rPr>
        <w:t>10</w:t>
      </w:r>
      <w:r>
        <w:rPr>
          <w:rFonts w:hint="eastAsia" w:cs="宋体"/>
          <w:color w:val="auto"/>
        </w:rPr>
        <w:t>、按院感要求悬挂拖把，并分类使用。</w:t>
      </w:r>
    </w:p>
    <w:p w14:paraId="4F28C84E">
      <w:pPr>
        <w:spacing w:line="360" w:lineRule="auto"/>
        <w:ind w:firstLine="420" w:firstLineChars="200"/>
        <w:rPr>
          <w:color w:val="auto"/>
        </w:rPr>
      </w:pPr>
      <w:r>
        <w:rPr>
          <w:color w:val="auto"/>
        </w:rPr>
        <w:t>1</w:t>
      </w:r>
      <w:r>
        <w:rPr>
          <w:rFonts w:hint="eastAsia" w:cs="宋体"/>
          <w:color w:val="auto"/>
        </w:rPr>
        <w:t>、及时察理仓库，保持仓库整洁。</w:t>
      </w:r>
    </w:p>
    <w:p w14:paraId="19D09494">
      <w:pPr>
        <w:spacing w:line="360" w:lineRule="auto"/>
        <w:ind w:firstLine="420" w:firstLineChars="200"/>
        <w:rPr>
          <w:color w:val="auto"/>
        </w:rPr>
      </w:pPr>
      <w:r>
        <w:rPr>
          <w:color w:val="auto"/>
        </w:rPr>
        <w:t>12</w:t>
      </w:r>
      <w:r>
        <w:rPr>
          <w:rFonts w:hint="eastAsia" w:cs="宋体"/>
          <w:color w:val="auto"/>
        </w:rPr>
        <w:t>、病区窗帘每季度送洗衣房清洗一次。</w:t>
      </w:r>
    </w:p>
    <w:p w14:paraId="6785CD2B">
      <w:pPr>
        <w:spacing w:line="360" w:lineRule="auto"/>
        <w:ind w:firstLine="420" w:firstLineChars="200"/>
        <w:rPr>
          <w:color w:val="auto"/>
        </w:rPr>
      </w:pPr>
      <w:r>
        <w:rPr>
          <w:color w:val="auto"/>
        </w:rPr>
        <w:t>13</w:t>
      </w:r>
      <w:r>
        <w:rPr>
          <w:rFonts w:hint="eastAsia" w:cs="宋体"/>
          <w:color w:val="auto"/>
        </w:rPr>
        <w:t>、按要求毎天清理、存放病区的空瓶、纸板箱。保持整洁。（注：保洁员不得白行回空瓶、</w:t>
      </w:r>
    </w:p>
    <w:p w14:paraId="6E8A69F0">
      <w:pPr>
        <w:spacing w:line="360" w:lineRule="auto"/>
        <w:ind w:firstLine="420" w:firstLineChars="200"/>
        <w:rPr>
          <w:color w:val="auto"/>
        </w:rPr>
      </w:pPr>
      <w:r>
        <w:rPr>
          <w:rFonts w:hint="eastAsia" w:cs="宋体"/>
          <w:color w:val="auto"/>
        </w:rPr>
        <w:t>板箱等医疗废品）</w:t>
      </w:r>
    </w:p>
    <w:p w14:paraId="48E6B58B">
      <w:pPr>
        <w:spacing w:line="360" w:lineRule="auto"/>
        <w:ind w:firstLine="420" w:firstLineChars="200"/>
        <w:rPr>
          <w:color w:val="auto"/>
        </w:rPr>
      </w:pPr>
      <w:r>
        <w:rPr>
          <w:color w:val="auto"/>
        </w:rPr>
        <w:t>14</w:t>
      </w:r>
      <w:r>
        <w:rPr>
          <w:rFonts w:hint="eastAsia" w:cs="宋体"/>
          <w:color w:val="auto"/>
        </w:rPr>
        <w:t>、管好病区内门、锁、水龙头等设施，有损坏及时告知护土站修理。</w:t>
      </w:r>
    </w:p>
    <w:p w14:paraId="388D6185">
      <w:pPr>
        <w:spacing w:line="360" w:lineRule="auto"/>
        <w:ind w:firstLine="420" w:firstLineChars="200"/>
        <w:rPr>
          <w:color w:val="auto"/>
        </w:rPr>
      </w:pPr>
      <w:r>
        <w:rPr>
          <w:color w:val="auto"/>
        </w:rPr>
        <w:t>15</w:t>
      </w:r>
      <w:r>
        <w:rPr>
          <w:rFonts w:hint="eastAsia" w:cs="宋体"/>
          <w:color w:val="auto"/>
        </w:rPr>
        <w:t>、认真做好本职工作，同事之间团结协作，文明用语，善特病人，妥善处理病人遗失的物品（交护士站）。</w:t>
      </w:r>
    </w:p>
    <w:p w14:paraId="428718E1">
      <w:pPr>
        <w:spacing w:line="360" w:lineRule="auto"/>
        <w:ind w:firstLine="420" w:firstLineChars="200"/>
        <w:rPr>
          <w:color w:val="auto"/>
        </w:rPr>
      </w:pPr>
      <w:r>
        <w:rPr>
          <w:color w:val="auto"/>
        </w:rPr>
        <w:t>16</w:t>
      </w:r>
      <w:r>
        <w:rPr>
          <w:rFonts w:hint="eastAsia" w:cs="宋体"/>
          <w:color w:val="auto"/>
        </w:rPr>
        <w:t>、倾倒清洗便器并归位，收起陪客躺椅，归位放置。</w:t>
      </w:r>
    </w:p>
    <w:p w14:paraId="711BC72D">
      <w:pPr>
        <w:spacing w:line="360" w:lineRule="auto"/>
        <w:ind w:firstLine="422" w:firstLineChars="200"/>
        <w:rPr>
          <w:b/>
          <w:bCs/>
          <w:color w:val="auto"/>
        </w:rPr>
      </w:pPr>
      <w:r>
        <w:rPr>
          <w:rFonts w:hint="eastAsia" w:cs="宋体"/>
          <w:b/>
          <w:bCs/>
          <w:color w:val="auto"/>
        </w:rPr>
        <w:t>第十条、管理要求</w:t>
      </w:r>
    </w:p>
    <w:p w14:paraId="6952B758">
      <w:pPr>
        <w:spacing w:line="360" w:lineRule="auto"/>
        <w:ind w:firstLine="420" w:firstLineChars="200"/>
        <w:rPr>
          <w:color w:val="auto"/>
        </w:rPr>
      </w:pPr>
      <w:r>
        <w:rPr>
          <w:color w:val="auto"/>
        </w:rPr>
        <w:t>1</w:t>
      </w:r>
      <w:r>
        <w:rPr>
          <w:rFonts w:hint="eastAsia" w:cs="宋体"/>
          <w:color w:val="auto"/>
        </w:rPr>
        <w:t>、有固定专职的管理人、有完善的规章制度</w:t>
      </w:r>
      <w:r>
        <w:rPr>
          <w:color w:val="auto"/>
        </w:rPr>
        <w:t>.</w:t>
      </w:r>
    </w:p>
    <w:p w14:paraId="10FCB832">
      <w:pPr>
        <w:spacing w:line="360" w:lineRule="auto"/>
        <w:ind w:firstLine="420" w:firstLineChars="200"/>
        <w:rPr>
          <w:color w:val="auto"/>
        </w:rPr>
      </w:pPr>
      <w:r>
        <w:rPr>
          <w:color w:val="auto"/>
        </w:rPr>
        <w:t>2</w:t>
      </w:r>
      <w:r>
        <w:rPr>
          <w:rFonts w:hint="eastAsia" w:cs="宋体"/>
          <w:color w:val="auto"/>
        </w:rPr>
        <w:t>、有设备投入方案（详细设备型号数量）。</w:t>
      </w:r>
    </w:p>
    <w:p w14:paraId="2281C92F">
      <w:pPr>
        <w:spacing w:line="360" w:lineRule="auto"/>
        <w:ind w:firstLine="420" w:firstLineChars="200"/>
        <w:rPr>
          <w:color w:val="auto"/>
        </w:rPr>
      </w:pPr>
      <w:r>
        <w:rPr>
          <w:color w:val="auto"/>
        </w:rPr>
        <w:t>3</w:t>
      </w:r>
      <w:r>
        <w:rPr>
          <w:rFonts w:hint="eastAsia" w:cs="宋体"/>
          <w:color w:val="auto"/>
        </w:rPr>
        <w:t>、应急情况的处理方案</w:t>
      </w:r>
    </w:p>
    <w:p w14:paraId="1CF7FD88">
      <w:pPr>
        <w:spacing w:line="360" w:lineRule="auto"/>
        <w:ind w:firstLine="420" w:firstLineChars="200"/>
        <w:rPr>
          <w:color w:val="auto"/>
        </w:rPr>
      </w:pPr>
      <w:r>
        <w:rPr>
          <w:color w:val="auto"/>
        </w:rPr>
        <w:t>4</w:t>
      </w:r>
      <w:r>
        <w:rPr>
          <w:rFonts w:hint="eastAsia" w:cs="宋体"/>
          <w:color w:val="auto"/>
        </w:rPr>
        <w:t>．有应急情况的处理方案。</w:t>
      </w:r>
    </w:p>
    <w:p w14:paraId="62D02B7D">
      <w:pPr>
        <w:spacing w:line="360" w:lineRule="auto"/>
        <w:ind w:firstLine="420" w:firstLineChars="200"/>
        <w:rPr>
          <w:color w:val="auto"/>
        </w:rPr>
      </w:pPr>
      <w:r>
        <w:rPr>
          <w:color w:val="auto"/>
        </w:rPr>
        <w:t>5</w:t>
      </w:r>
      <w:r>
        <w:rPr>
          <w:rFonts w:hint="eastAsia" w:cs="宋体"/>
          <w:color w:val="auto"/>
        </w:rPr>
        <w:t>、有提高服务质量、保证优质服务的措施。</w:t>
      </w:r>
    </w:p>
    <w:p w14:paraId="50BB678E">
      <w:pPr>
        <w:spacing w:line="360" w:lineRule="auto"/>
        <w:ind w:firstLine="420" w:firstLineChars="200"/>
        <w:rPr>
          <w:color w:val="auto"/>
        </w:rPr>
      </w:pPr>
      <w:r>
        <w:rPr>
          <w:color w:val="auto"/>
        </w:rPr>
        <w:t>6</w:t>
      </w:r>
      <w:r>
        <w:rPr>
          <w:rFonts w:hint="eastAsia" w:cs="宋体"/>
          <w:color w:val="auto"/>
        </w:rPr>
        <w:t>、有服务期内的安全、文明服务措施保证承诺。</w:t>
      </w:r>
    </w:p>
    <w:p w14:paraId="69F884AF">
      <w:pPr>
        <w:spacing w:line="360" w:lineRule="auto"/>
        <w:ind w:firstLine="420" w:firstLineChars="200"/>
        <w:rPr>
          <w:color w:val="auto"/>
        </w:rPr>
      </w:pPr>
      <w:r>
        <w:rPr>
          <w:color w:val="auto"/>
        </w:rPr>
        <w:t>7</w:t>
      </w:r>
      <w:r>
        <w:rPr>
          <w:rFonts w:hint="eastAsia" w:cs="宋体"/>
          <w:color w:val="auto"/>
        </w:rPr>
        <w:t>、各岗位人员配置方案、各岗位质量考核方案。</w:t>
      </w:r>
    </w:p>
    <w:p w14:paraId="32678D5E">
      <w:pPr>
        <w:pStyle w:val="100"/>
        <w:numPr>
          <w:ilvl w:val="0"/>
          <w:numId w:val="8"/>
        </w:numPr>
        <w:spacing w:line="360" w:lineRule="auto"/>
        <w:ind w:firstLineChars="0"/>
        <w:jc w:val="center"/>
        <w:rPr>
          <w:b/>
          <w:bCs/>
          <w:color w:val="auto"/>
          <w:sz w:val="32"/>
          <w:szCs w:val="32"/>
        </w:rPr>
      </w:pPr>
      <w:r>
        <w:rPr>
          <w:rFonts w:hint="eastAsia" w:cs="宋体"/>
          <w:b/>
          <w:bCs/>
          <w:color w:val="auto"/>
          <w:sz w:val="32"/>
          <w:szCs w:val="32"/>
        </w:rPr>
        <w:t>服务期限</w:t>
      </w:r>
    </w:p>
    <w:p w14:paraId="22DB674B">
      <w:pPr>
        <w:numPr>
          <w:ilvl w:val="0"/>
          <w:numId w:val="9"/>
        </w:numPr>
        <w:spacing w:line="360" w:lineRule="auto"/>
        <w:ind w:firstLine="480" w:firstLineChars="200"/>
        <w:rPr>
          <w:b/>
          <w:bCs/>
          <w:color w:val="auto"/>
        </w:rPr>
      </w:pPr>
      <w:r>
        <w:rPr>
          <w:rFonts w:hint="eastAsia" w:ascii="宋体" w:hAnsi="宋体" w:cs="宋体"/>
          <w:color w:val="auto"/>
          <w:sz w:val="24"/>
        </w:rPr>
        <w:t>本次服务期限为</w:t>
      </w:r>
      <w:r>
        <w:rPr>
          <w:rFonts w:hint="eastAsia" w:ascii="宋体" w:hAnsi="宋体" w:cs="宋体"/>
          <w:color w:val="auto"/>
          <w:sz w:val="24"/>
          <w:lang w:val="en-US" w:eastAsia="zh-CN"/>
        </w:rPr>
        <w:t>二</w:t>
      </w:r>
      <w:r>
        <w:rPr>
          <w:rFonts w:hint="eastAsia" w:ascii="宋体" w:hAnsi="宋体" w:cs="宋体"/>
          <w:color w:val="auto"/>
          <w:sz w:val="24"/>
        </w:rPr>
        <w:t>年，自</w:t>
      </w:r>
      <w:r>
        <w:rPr>
          <w:rFonts w:hint="eastAsia" w:ascii="宋体" w:hAnsi="宋体" w:cs="宋体"/>
          <w:color w:val="auto"/>
          <w:sz w:val="24"/>
          <w:u w:val="single"/>
        </w:rPr>
        <w:t>202</w:t>
      </w:r>
      <w:r>
        <w:rPr>
          <w:rFonts w:hint="eastAsia" w:ascii="宋体" w:hAnsi="宋体" w:cs="宋体"/>
          <w:color w:val="auto"/>
          <w:sz w:val="24"/>
          <w:u w:val="single"/>
          <w:lang w:val="en-US" w:eastAsia="zh-CN"/>
        </w:rPr>
        <w:t>6</w:t>
      </w:r>
      <w:r>
        <w:rPr>
          <w:rFonts w:hint="eastAsia" w:ascii="宋体" w:hAnsi="宋体" w:cs="宋体"/>
          <w:color w:val="auto"/>
          <w:sz w:val="24"/>
        </w:rPr>
        <w:t>年</w:t>
      </w:r>
      <w:r>
        <w:rPr>
          <w:rFonts w:hint="eastAsia" w:ascii="宋体" w:hAnsi="宋体" w:cs="宋体"/>
          <w:color w:val="auto"/>
          <w:sz w:val="24"/>
          <w:u w:val="single"/>
        </w:rPr>
        <w:t>2</w:t>
      </w:r>
      <w:r>
        <w:rPr>
          <w:rFonts w:hint="eastAsia" w:ascii="宋体" w:hAnsi="宋体" w:cs="宋体"/>
          <w:color w:val="auto"/>
          <w:sz w:val="24"/>
        </w:rPr>
        <w:t>月</w:t>
      </w:r>
      <w:r>
        <w:rPr>
          <w:rFonts w:hint="eastAsia" w:ascii="宋体" w:hAnsi="宋体" w:cs="宋体"/>
          <w:color w:val="auto"/>
          <w:sz w:val="24"/>
          <w:u w:val="single"/>
        </w:rPr>
        <w:t>1</w:t>
      </w:r>
      <w:r>
        <w:rPr>
          <w:rFonts w:hint="eastAsia" w:ascii="宋体" w:hAnsi="宋体" w:cs="宋体"/>
          <w:color w:val="auto"/>
          <w:sz w:val="24"/>
        </w:rPr>
        <w:t>日起至</w:t>
      </w:r>
      <w:r>
        <w:rPr>
          <w:rFonts w:hint="eastAsia" w:ascii="宋体" w:hAnsi="宋体" w:cs="宋体"/>
          <w:color w:val="auto"/>
          <w:sz w:val="24"/>
          <w:u w:val="single"/>
        </w:rPr>
        <w:t>202</w:t>
      </w:r>
      <w:r>
        <w:rPr>
          <w:rFonts w:hint="eastAsia" w:ascii="宋体" w:hAnsi="宋体" w:cs="宋体"/>
          <w:color w:val="auto"/>
          <w:sz w:val="24"/>
          <w:u w:val="single"/>
          <w:lang w:val="en-US" w:eastAsia="zh-CN"/>
        </w:rPr>
        <w:t>8</w:t>
      </w:r>
      <w:r>
        <w:rPr>
          <w:rFonts w:hint="eastAsia" w:ascii="宋体" w:hAnsi="宋体" w:cs="宋体"/>
          <w:color w:val="auto"/>
          <w:sz w:val="24"/>
        </w:rPr>
        <w:t>年</w:t>
      </w:r>
      <w:r>
        <w:rPr>
          <w:rFonts w:hint="eastAsia" w:ascii="宋体" w:hAnsi="宋体" w:cs="宋体"/>
          <w:color w:val="auto"/>
          <w:sz w:val="24"/>
          <w:u w:val="single"/>
        </w:rPr>
        <w:t>1</w:t>
      </w:r>
      <w:r>
        <w:rPr>
          <w:rFonts w:hint="eastAsia" w:ascii="宋体" w:hAnsi="宋体" w:cs="宋体"/>
          <w:color w:val="auto"/>
          <w:sz w:val="24"/>
        </w:rPr>
        <w:t>月</w:t>
      </w:r>
      <w:r>
        <w:rPr>
          <w:rFonts w:hint="eastAsia" w:ascii="宋体" w:hAnsi="宋体" w:cs="宋体"/>
          <w:color w:val="auto"/>
          <w:sz w:val="24"/>
          <w:u w:val="single"/>
        </w:rPr>
        <w:t>31</w:t>
      </w:r>
      <w:r>
        <w:rPr>
          <w:rFonts w:hint="eastAsia" w:ascii="宋体" w:hAnsi="宋体" w:cs="宋体"/>
          <w:color w:val="auto"/>
          <w:sz w:val="24"/>
        </w:rPr>
        <w:t>日止。</w:t>
      </w:r>
    </w:p>
    <w:p w14:paraId="0DA5DFA0">
      <w:pPr>
        <w:numPr>
          <w:ilvl w:val="0"/>
          <w:numId w:val="9"/>
        </w:numPr>
        <w:spacing w:line="360" w:lineRule="auto"/>
        <w:ind w:firstLine="480" w:firstLineChars="200"/>
        <w:rPr>
          <w:b/>
          <w:bCs/>
          <w:color w:val="auto"/>
        </w:rPr>
      </w:pPr>
      <w:r>
        <w:rPr>
          <w:rFonts w:hint="eastAsia" w:ascii="宋体" w:hAnsi="宋体" w:cs="宋体"/>
          <w:color w:val="auto"/>
          <w:sz w:val="24"/>
        </w:rPr>
        <w:t>服务费用调整：在合同期内如遇国家政府政策性调升最低工资标准，甲方应按实际调整比例给予乙方增加服务费用，双方另行签订补充协议。</w:t>
      </w:r>
    </w:p>
    <w:p w14:paraId="235289F9">
      <w:pPr>
        <w:spacing w:line="360" w:lineRule="auto"/>
        <w:ind w:firstLine="643" w:firstLineChars="200"/>
        <w:jc w:val="center"/>
        <w:rPr>
          <w:b/>
          <w:bCs/>
          <w:color w:val="auto"/>
          <w:sz w:val="32"/>
          <w:szCs w:val="32"/>
        </w:rPr>
      </w:pPr>
      <w:r>
        <w:rPr>
          <w:rFonts w:hint="eastAsia" w:cs="宋体"/>
          <w:b/>
          <w:bCs/>
          <w:color w:val="auto"/>
          <w:sz w:val="32"/>
          <w:szCs w:val="32"/>
        </w:rPr>
        <w:t>四、双方权利义务</w:t>
      </w:r>
    </w:p>
    <w:p w14:paraId="58C81BDC">
      <w:pPr>
        <w:numPr>
          <w:ilvl w:val="0"/>
          <w:numId w:val="9"/>
        </w:numPr>
        <w:spacing w:line="360" w:lineRule="auto"/>
        <w:ind w:firstLine="480" w:firstLineChars="200"/>
        <w:rPr>
          <w:rFonts w:ascii="宋体"/>
          <w:color w:val="auto"/>
          <w:sz w:val="24"/>
        </w:rPr>
      </w:pPr>
      <w:r>
        <w:rPr>
          <w:rFonts w:hint="eastAsia" w:ascii="宋体" w:hAnsi="宋体" w:cs="宋体"/>
          <w:color w:val="auto"/>
          <w:sz w:val="24"/>
        </w:rPr>
        <w:t>甲方权利义务</w:t>
      </w:r>
    </w:p>
    <w:p w14:paraId="46CC538F">
      <w:pPr>
        <w:spacing w:line="360" w:lineRule="auto"/>
        <w:ind w:firstLine="420" w:firstLineChars="200"/>
        <w:rPr>
          <w:color w:val="auto"/>
        </w:rPr>
      </w:pPr>
      <w:r>
        <w:rPr>
          <w:color w:val="auto"/>
        </w:rPr>
        <w:t>1</w:t>
      </w:r>
      <w:r>
        <w:rPr>
          <w:rFonts w:hint="eastAsia" w:cs="宋体"/>
          <w:color w:val="auto"/>
        </w:rPr>
        <w:t>、甲方应协助乙方做好华志昌物业服务单位交接工作。协助乙方登记愿意留用的保洁人员情况，协助乙方顺利交接。但如果原班保洁员同意留用者不超过</w:t>
      </w:r>
      <w:r>
        <w:rPr>
          <w:color w:val="auto"/>
        </w:rPr>
        <w:t>80</w:t>
      </w:r>
      <w:r>
        <w:rPr>
          <w:rFonts w:hint="eastAsia" w:cs="宋体"/>
          <w:color w:val="auto"/>
        </w:rPr>
        <w:t>％，为保持服务工作的稳定性，甲方应给予乙方一个月以上的交接宽限期（自本合同生效时计起），以便招聘、培训新人员。本合同经营期限也应顺延一个月。</w:t>
      </w:r>
    </w:p>
    <w:p w14:paraId="79DE33C1">
      <w:pPr>
        <w:spacing w:line="360" w:lineRule="auto"/>
        <w:ind w:firstLine="420" w:firstLineChars="200"/>
        <w:rPr>
          <w:color w:val="auto"/>
        </w:rPr>
      </w:pPr>
      <w:r>
        <w:rPr>
          <w:color w:val="auto"/>
        </w:rPr>
        <w:t>2</w:t>
      </w:r>
      <w:r>
        <w:rPr>
          <w:rFonts w:hint="eastAsia" w:cs="宋体"/>
          <w:color w:val="auto"/>
        </w:rPr>
        <w:t>、审定乙方拟定的管理制度和管理服务年度计划，并提出合理化建议，督促乙方健全相应的制度规程、工作规范等。</w:t>
      </w:r>
    </w:p>
    <w:p w14:paraId="2E1F8ECB">
      <w:pPr>
        <w:spacing w:line="360" w:lineRule="auto"/>
        <w:ind w:firstLine="420" w:firstLineChars="200"/>
        <w:rPr>
          <w:color w:val="auto"/>
        </w:rPr>
      </w:pPr>
      <w:r>
        <w:rPr>
          <w:color w:val="auto"/>
        </w:rPr>
        <w:t>3</w:t>
      </w:r>
      <w:r>
        <w:rPr>
          <w:rFonts w:hint="eastAsia" w:cs="宋体"/>
          <w:color w:val="auto"/>
        </w:rPr>
        <w:t>、检查监督乙方管理工作的制度落实执行情况及合同执行效果。</w:t>
      </w:r>
    </w:p>
    <w:p w14:paraId="652D6927">
      <w:pPr>
        <w:spacing w:line="360" w:lineRule="auto"/>
        <w:ind w:firstLine="420" w:firstLineChars="200"/>
        <w:rPr>
          <w:color w:val="auto"/>
        </w:rPr>
      </w:pPr>
      <w:r>
        <w:rPr>
          <w:color w:val="auto"/>
        </w:rPr>
        <w:t>4</w:t>
      </w:r>
      <w:r>
        <w:rPr>
          <w:rFonts w:hint="eastAsia" w:cs="宋体"/>
          <w:color w:val="auto"/>
        </w:rPr>
        <w:t>、在本合同有效期内起向乙方提供适当的管理用房和储存用品库房。</w:t>
      </w:r>
    </w:p>
    <w:p w14:paraId="297783B7">
      <w:pPr>
        <w:spacing w:line="360" w:lineRule="auto"/>
        <w:ind w:firstLine="420" w:firstLineChars="200"/>
        <w:rPr>
          <w:color w:val="auto"/>
        </w:rPr>
      </w:pPr>
      <w:r>
        <w:rPr>
          <w:rFonts w:hint="eastAsia" w:cs="宋体"/>
          <w:color w:val="auto"/>
        </w:rPr>
        <w:t>管理用房产权属于甲方，乙方仅在本合同有效期内有使用权，且仅限于乙方报甲方审批的用途，不得用于其他用途。管理用房的办公用品费用、电话费用由乙方负责。</w:t>
      </w:r>
    </w:p>
    <w:p w14:paraId="7665E232">
      <w:pPr>
        <w:spacing w:line="360" w:lineRule="auto"/>
        <w:ind w:firstLine="420" w:firstLineChars="200"/>
        <w:rPr>
          <w:color w:val="auto"/>
        </w:rPr>
      </w:pPr>
      <w:r>
        <w:rPr>
          <w:color w:val="auto"/>
        </w:rPr>
        <w:t>5</w:t>
      </w:r>
      <w:r>
        <w:rPr>
          <w:rFonts w:hint="eastAsia" w:cs="宋体"/>
          <w:color w:val="auto"/>
        </w:rPr>
        <w:t>、对乙方不称职的员工，甲方有权要求乙方限期更换。</w:t>
      </w:r>
    </w:p>
    <w:p w14:paraId="4A61A9CF">
      <w:pPr>
        <w:spacing w:line="360" w:lineRule="auto"/>
        <w:ind w:firstLine="420" w:firstLineChars="200"/>
        <w:rPr>
          <w:color w:val="auto"/>
        </w:rPr>
      </w:pPr>
      <w:r>
        <w:rPr>
          <w:color w:val="auto"/>
        </w:rPr>
        <w:t>6</w:t>
      </w:r>
      <w:r>
        <w:rPr>
          <w:rFonts w:hint="eastAsia" w:cs="宋体"/>
          <w:color w:val="auto"/>
        </w:rPr>
        <w:t>、协助乙方做好管理工作。</w:t>
      </w:r>
    </w:p>
    <w:p w14:paraId="56148AAB">
      <w:pPr>
        <w:spacing w:line="360" w:lineRule="auto"/>
        <w:ind w:firstLine="420" w:firstLineChars="200"/>
        <w:rPr>
          <w:color w:val="auto"/>
        </w:rPr>
      </w:pPr>
      <w:r>
        <w:rPr>
          <w:color w:val="auto"/>
        </w:rPr>
        <w:t>7</w:t>
      </w:r>
      <w:r>
        <w:rPr>
          <w:rFonts w:hint="eastAsia" w:cs="宋体"/>
          <w:color w:val="auto"/>
        </w:rPr>
        <w:t>、按时支付服务费用给乙方。</w:t>
      </w:r>
    </w:p>
    <w:p w14:paraId="1FED0A38">
      <w:pPr>
        <w:spacing w:line="360" w:lineRule="auto"/>
        <w:ind w:firstLine="420" w:firstLineChars="200"/>
        <w:rPr>
          <w:color w:val="auto"/>
        </w:rPr>
      </w:pPr>
      <w:r>
        <w:rPr>
          <w:color w:val="auto"/>
        </w:rPr>
        <w:t>8</w:t>
      </w:r>
      <w:r>
        <w:rPr>
          <w:rFonts w:hint="eastAsia" w:cs="宋体"/>
          <w:color w:val="auto"/>
        </w:rPr>
        <w:t>、制订并监督乙方执行保洁具体服务标准和要求（详见合同条款及附件）。</w:t>
      </w:r>
    </w:p>
    <w:p w14:paraId="74CC9910">
      <w:pPr>
        <w:spacing w:line="360" w:lineRule="auto"/>
        <w:ind w:firstLine="420" w:firstLineChars="200"/>
        <w:rPr>
          <w:color w:val="auto"/>
        </w:rPr>
      </w:pPr>
      <w:r>
        <w:rPr>
          <w:color w:val="auto"/>
        </w:rPr>
        <w:t>9</w:t>
      </w:r>
      <w:r>
        <w:rPr>
          <w:rFonts w:hint="eastAsia" w:cs="宋体"/>
          <w:color w:val="auto"/>
        </w:rPr>
        <w:t>、甲方每月底对乙方当月服务情况进行考核评分。考核评分结果作为甲方与乙方结算服务费</w:t>
      </w:r>
    </w:p>
    <w:p w14:paraId="7B6916EE">
      <w:pPr>
        <w:spacing w:line="360" w:lineRule="auto"/>
        <w:ind w:firstLine="420" w:firstLineChars="200"/>
        <w:rPr>
          <w:color w:val="auto"/>
        </w:rPr>
      </w:pPr>
      <w:r>
        <w:rPr>
          <w:rFonts w:hint="eastAsia" w:cs="宋体"/>
          <w:color w:val="auto"/>
        </w:rPr>
        <w:t>用依据。</w:t>
      </w:r>
    </w:p>
    <w:p w14:paraId="6DAAB509">
      <w:pPr>
        <w:spacing w:line="360" w:lineRule="auto"/>
        <w:ind w:firstLine="420" w:firstLineChars="200"/>
        <w:rPr>
          <w:color w:val="auto"/>
        </w:rPr>
      </w:pPr>
      <w:r>
        <w:rPr>
          <w:color w:val="auto"/>
        </w:rPr>
        <w:t>10</w:t>
      </w:r>
      <w:r>
        <w:rPr>
          <w:rFonts w:hint="eastAsia" w:cs="宋体"/>
          <w:color w:val="auto"/>
        </w:rPr>
        <w:t>、招标文件、投标文件及本合同附件或其他合同文件确定的甲方的权利义务。</w:t>
      </w:r>
    </w:p>
    <w:p w14:paraId="06FB24C5">
      <w:pPr>
        <w:spacing w:line="360" w:lineRule="auto"/>
        <w:ind w:firstLine="422" w:firstLineChars="200"/>
        <w:rPr>
          <w:b/>
          <w:bCs/>
          <w:color w:val="auto"/>
        </w:rPr>
      </w:pPr>
      <w:r>
        <w:rPr>
          <w:rFonts w:hint="eastAsia" w:cs="宋体"/>
          <w:b/>
          <w:bCs/>
          <w:color w:val="auto"/>
        </w:rPr>
        <w:t>第十四条、乙方权利义务</w:t>
      </w:r>
    </w:p>
    <w:p w14:paraId="293363F0">
      <w:pPr>
        <w:spacing w:line="360" w:lineRule="auto"/>
        <w:ind w:firstLine="420" w:firstLineChars="200"/>
        <w:rPr>
          <w:color w:val="auto"/>
        </w:rPr>
      </w:pPr>
      <w:r>
        <w:rPr>
          <w:color w:val="auto"/>
        </w:rPr>
        <w:t>1</w:t>
      </w:r>
      <w:r>
        <w:rPr>
          <w:rFonts w:hint="eastAsia" w:cs="宋体"/>
          <w:color w:val="auto"/>
        </w:rPr>
        <w:t>、乙方不得以任何形式转租、转让、抵押或分包本服务合同涉及的服务项目及内容，否则甲方有权单方终止合同。</w:t>
      </w:r>
    </w:p>
    <w:p w14:paraId="746241A2">
      <w:pPr>
        <w:spacing w:line="360" w:lineRule="auto"/>
        <w:ind w:firstLine="420" w:firstLineChars="200"/>
        <w:rPr>
          <w:color w:val="auto"/>
        </w:rPr>
      </w:pPr>
      <w:r>
        <w:rPr>
          <w:color w:val="auto"/>
        </w:rPr>
        <w:t>2</w:t>
      </w:r>
      <w:r>
        <w:rPr>
          <w:rFonts w:hint="eastAsia" w:cs="宋体"/>
          <w:color w:val="auto"/>
        </w:rPr>
        <w:t>、乙方及其员工不得在甲方所属区域内从事非法活动及有损甲方利益的活动，否则甲方有权单方终止合同。</w:t>
      </w:r>
    </w:p>
    <w:p w14:paraId="31D46D77">
      <w:pPr>
        <w:spacing w:line="360" w:lineRule="auto"/>
        <w:ind w:firstLine="420" w:firstLineChars="200"/>
        <w:rPr>
          <w:color w:val="auto"/>
        </w:rPr>
      </w:pPr>
      <w:r>
        <w:rPr>
          <w:color w:val="auto"/>
        </w:rPr>
        <w:t>3</w:t>
      </w:r>
      <w:r>
        <w:rPr>
          <w:rFonts w:hint="eastAsia" w:cs="宋体"/>
          <w:color w:val="auto"/>
        </w:rPr>
        <w:t>、乙方应根据相关法律法规和本合同约定，制订管理制度，编制管理年度计划，并经甲方审定后实施。</w:t>
      </w:r>
    </w:p>
    <w:p w14:paraId="3FD1C466">
      <w:pPr>
        <w:spacing w:line="360" w:lineRule="auto"/>
        <w:ind w:firstLine="420" w:firstLineChars="200"/>
        <w:rPr>
          <w:color w:val="auto"/>
        </w:rPr>
      </w:pPr>
      <w:r>
        <w:rPr>
          <w:color w:val="auto"/>
        </w:rPr>
        <w:t>4</w:t>
      </w:r>
      <w:r>
        <w:rPr>
          <w:rFonts w:hint="eastAsia" w:cs="宋体"/>
          <w:color w:val="auto"/>
        </w:rPr>
        <w:t>、除经甲方许可使用之外，乙方不得擅自占用甲方各项没施设备，也不得改变其用途。</w:t>
      </w:r>
    </w:p>
    <w:p w14:paraId="39C0F029">
      <w:pPr>
        <w:spacing w:line="360" w:lineRule="auto"/>
        <w:ind w:firstLine="420" w:firstLineChars="200"/>
        <w:rPr>
          <w:color w:val="auto"/>
        </w:rPr>
      </w:pPr>
      <w:r>
        <w:rPr>
          <w:color w:val="auto"/>
        </w:rPr>
        <w:t>5</w:t>
      </w:r>
      <w:r>
        <w:rPr>
          <w:rFonts w:hint="eastAsia" w:cs="宋体"/>
          <w:color w:val="auto"/>
        </w:rPr>
        <w:t>、乙方定期组织员工进行岗位技能培训、安全生产培训、职业道德培训等。乙方应依法组建工会，依法保障员工劳动法律相关权利。</w:t>
      </w:r>
    </w:p>
    <w:p w14:paraId="6C4500C6">
      <w:pPr>
        <w:spacing w:line="360" w:lineRule="auto"/>
        <w:ind w:firstLine="420" w:firstLineChars="200"/>
        <w:rPr>
          <w:color w:val="auto"/>
        </w:rPr>
      </w:pPr>
      <w:r>
        <w:rPr>
          <w:color w:val="auto"/>
        </w:rPr>
        <w:t>6</w:t>
      </w:r>
      <w:r>
        <w:rPr>
          <w:rFonts w:hint="eastAsia" w:cs="宋体"/>
          <w:color w:val="auto"/>
        </w:rPr>
        <w:t>、在本合有数期内，乙方必须按照《安全生产法》《劳动合同法》等相关法律法规做好员工的安全教育。提供劳动保障设施设备，落实安全生产责任。完善安全生产各项制度，保证员工的安全。</w:t>
      </w:r>
    </w:p>
    <w:p w14:paraId="4484C302">
      <w:pPr>
        <w:spacing w:line="360" w:lineRule="auto"/>
        <w:ind w:firstLine="420" w:firstLineChars="200"/>
        <w:rPr>
          <w:color w:val="auto"/>
        </w:rPr>
      </w:pPr>
      <w:r>
        <w:rPr>
          <w:color w:val="auto"/>
        </w:rPr>
        <w:t>7</w:t>
      </w:r>
      <w:r>
        <w:rPr>
          <w:rFonts w:hint="eastAsia" w:cs="宋体"/>
          <w:color w:val="auto"/>
        </w:rPr>
        <w:t>、严格执行《劳动合同法）等劳动法规，依法与所属员工建立劳动关系。乙方员工如有违法违纪行为发生意外事故、工伤事故等，一切责任由乙方承担，与甲方无关。</w:t>
      </w:r>
    </w:p>
    <w:p w14:paraId="03A81252">
      <w:pPr>
        <w:spacing w:line="360" w:lineRule="auto"/>
        <w:ind w:firstLine="420" w:firstLineChars="200"/>
        <w:rPr>
          <w:color w:val="auto"/>
        </w:rPr>
      </w:pPr>
      <w:r>
        <w:rPr>
          <w:color w:val="auto"/>
        </w:rPr>
        <w:t>8</w:t>
      </w:r>
      <w:r>
        <w:rPr>
          <w:rFonts w:hint="eastAsia" w:cs="宋体"/>
          <w:color w:val="auto"/>
        </w:rPr>
        <w:t>、乙方应做好工作安排和有效管理，不得因管理不当、员工个人问题、劳资纠纷等原因造成本合同相关服务延误、取消、脱岗、停工，罢工。否则甲方有权单方终止合同。</w:t>
      </w:r>
    </w:p>
    <w:p w14:paraId="5B41CEFA">
      <w:pPr>
        <w:spacing w:line="360" w:lineRule="auto"/>
        <w:ind w:firstLine="420" w:firstLineChars="200"/>
        <w:rPr>
          <w:color w:val="auto"/>
        </w:rPr>
      </w:pPr>
      <w:r>
        <w:rPr>
          <w:color w:val="auto"/>
        </w:rPr>
        <w:t>9</w:t>
      </w:r>
      <w:r>
        <w:rPr>
          <w:rFonts w:hint="eastAsia" w:cs="宋体"/>
          <w:color w:val="auto"/>
        </w:rPr>
        <w:t>、乙方应对员工进行业务培训，不断提高员工业务素质和服务水准，如因工作失职工作失误造成甲方人员损伤成则产损失的，乙方应承担相应赔偿责任。</w:t>
      </w:r>
    </w:p>
    <w:p w14:paraId="68C18830">
      <w:pPr>
        <w:spacing w:line="360" w:lineRule="auto"/>
        <w:ind w:firstLine="420" w:firstLineChars="200"/>
        <w:rPr>
          <w:color w:val="auto"/>
        </w:rPr>
      </w:pPr>
      <w:r>
        <w:rPr>
          <w:color w:val="auto"/>
        </w:rPr>
        <w:t>10</w:t>
      </w:r>
      <w:r>
        <w:rPr>
          <w:rFonts w:hint="eastAsia" w:cs="宋体"/>
          <w:color w:val="auto"/>
        </w:rPr>
        <w:t>、乙方应确保其员工没有刑事犯罪记录，重要岗位人员安排应经甲方审批同意，乙方员工应听从甲方调动指挥，服从甲方工作时间的安排，不得影响甲方正常工作秩序。</w:t>
      </w:r>
    </w:p>
    <w:p w14:paraId="1521F573">
      <w:pPr>
        <w:spacing w:line="360" w:lineRule="auto"/>
        <w:ind w:firstLine="420" w:firstLineChars="200"/>
        <w:rPr>
          <w:color w:val="auto"/>
        </w:rPr>
      </w:pPr>
      <w:r>
        <w:rPr>
          <w:color w:val="auto"/>
        </w:rPr>
        <w:t>11</w:t>
      </w:r>
      <w:r>
        <w:rPr>
          <w:rFonts w:hint="eastAsia" w:cs="宋体"/>
          <w:color w:val="auto"/>
        </w:rPr>
        <w:t>、乙方应为其员工安排统一工作服和工作卡。乙方应建立健全员工打卡考勤制度，并依法保留相关原始记录，甲方可查看相关考勤记，甲方的考核评分人员要求查看的，乙方应随时提供。甲乙双方分开考核，每月核对一次。</w:t>
      </w:r>
    </w:p>
    <w:p w14:paraId="7E965A7A">
      <w:pPr>
        <w:spacing w:line="360" w:lineRule="auto"/>
        <w:ind w:firstLine="420" w:firstLineChars="200"/>
        <w:rPr>
          <w:color w:val="auto"/>
        </w:rPr>
      </w:pPr>
      <w:r>
        <w:rPr>
          <w:color w:val="auto"/>
        </w:rPr>
        <w:t>12</w:t>
      </w:r>
      <w:r>
        <w:rPr>
          <w:rFonts w:hint="eastAsia" w:cs="宋体"/>
          <w:color w:val="auto"/>
        </w:rPr>
        <w:t>、乙方员工的工资特遇、社会保险和其他福利均由乙方负责，乙方应为其员工依法保障。如因乙方违反《劳动合同法》等劳动法规导纠纷的，一切责任由乙方承担。</w:t>
      </w:r>
    </w:p>
    <w:p w14:paraId="3FF8201E">
      <w:pPr>
        <w:spacing w:line="360" w:lineRule="auto"/>
        <w:ind w:firstLine="420" w:firstLineChars="200"/>
        <w:rPr>
          <w:color w:val="auto"/>
        </w:rPr>
      </w:pPr>
      <w:r>
        <w:rPr>
          <w:color w:val="auto"/>
        </w:rPr>
        <w:t>13</w:t>
      </w:r>
      <w:r>
        <w:rPr>
          <w:rFonts w:hint="eastAsia" w:cs="宋体"/>
          <w:color w:val="auto"/>
        </w:rPr>
        <w:t>、乙方应为员工进行上岗前及服务期间的体格检查，并对员工建立前培训和健康手册，相关费用由乙方承担。</w:t>
      </w:r>
    </w:p>
    <w:p w14:paraId="61389E00">
      <w:pPr>
        <w:spacing w:line="360" w:lineRule="auto"/>
        <w:ind w:firstLine="420" w:firstLineChars="200"/>
        <w:rPr>
          <w:color w:val="auto"/>
        </w:rPr>
      </w:pPr>
      <w:r>
        <w:rPr>
          <w:color w:val="auto"/>
        </w:rPr>
        <w:t>14</w:t>
      </w:r>
      <w:r>
        <w:rPr>
          <w:rFonts w:hint="eastAsia" w:cs="宋体"/>
          <w:color w:val="auto"/>
        </w:rPr>
        <w:t>、乙方应自行配置保洁工作所需的一切作业用品、设备等，费用由乙方承担。</w:t>
      </w:r>
    </w:p>
    <w:p w14:paraId="599EDCCA">
      <w:pPr>
        <w:spacing w:line="360" w:lineRule="auto"/>
        <w:ind w:firstLine="420" w:firstLineChars="200"/>
        <w:rPr>
          <w:rFonts w:hint="eastAsia" w:cs="宋体"/>
          <w:color w:val="auto"/>
        </w:rPr>
      </w:pPr>
      <w:r>
        <w:rPr>
          <w:color w:val="auto"/>
        </w:rPr>
        <w:t>15</w:t>
      </w:r>
      <w:r>
        <w:rPr>
          <w:rFonts w:hint="eastAsia" w:cs="宋体"/>
          <w:color w:val="auto"/>
        </w:rPr>
        <w:t>、本合同终止时，乙方应按甲方要求及时移交</w:t>
      </w:r>
      <w:r>
        <w:rPr>
          <w:rFonts w:hint="eastAsia" w:cs="宋体"/>
          <w:color w:val="auto"/>
          <w:lang w:val="en-US" w:eastAsia="zh-CN"/>
        </w:rPr>
        <w:t>甲方提供的</w:t>
      </w:r>
      <w:r>
        <w:rPr>
          <w:rFonts w:hint="eastAsia" w:cs="宋体"/>
          <w:color w:val="auto"/>
        </w:rPr>
        <w:t>相应物品、管理用房、设施设备及有关档案材料等。</w:t>
      </w:r>
    </w:p>
    <w:p w14:paraId="7D0A5A44">
      <w:pPr>
        <w:spacing w:line="360" w:lineRule="auto"/>
        <w:ind w:firstLine="420" w:firstLineChars="200"/>
        <w:rPr>
          <w:color w:val="auto"/>
        </w:rPr>
      </w:pPr>
      <w:r>
        <w:rPr>
          <w:color w:val="auto"/>
        </w:rPr>
        <w:t>16</w:t>
      </w:r>
      <w:r>
        <w:rPr>
          <w:rFonts w:hint="eastAsia" w:cs="宋体"/>
          <w:color w:val="auto"/>
        </w:rPr>
        <w:t>、招标文件、投标文件及本合同附件或其他合同文件确定的乙方权利义务。</w:t>
      </w:r>
    </w:p>
    <w:p w14:paraId="42A002EF">
      <w:pPr>
        <w:spacing w:line="360" w:lineRule="auto"/>
        <w:ind w:firstLine="420" w:firstLineChars="200"/>
        <w:rPr>
          <w:color w:val="auto"/>
        </w:rPr>
      </w:pPr>
    </w:p>
    <w:p w14:paraId="73A7EB22">
      <w:pPr>
        <w:spacing w:line="360" w:lineRule="auto"/>
        <w:ind w:firstLine="643" w:firstLineChars="200"/>
        <w:jc w:val="center"/>
        <w:rPr>
          <w:b/>
          <w:bCs/>
          <w:color w:val="auto"/>
          <w:sz w:val="32"/>
          <w:szCs w:val="32"/>
        </w:rPr>
      </w:pPr>
      <w:r>
        <w:rPr>
          <w:rFonts w:hint="eastAsia" w:cs="宋体"/>
          <w:b/>
          <w:bCs/>
          <w:color w:val="auto"/>
          <w:sz w:val="32"/>
          <w:szCs w:val="32"/>
        </w:rPr>
        <w:t>五、服务费用</w:t>
      </w:r>
    </w:p>
    <w:p w14:paraId="6A4775D6">
      <w:pPr>
        <w:spacing w:line="360" w:lineRule="auto"/>
        <w:ind w:firstLine="422" w:firstLineChars="200"/>
        <w:rPr>
          <w:b/>
          <w:bCs/>
          <w:color w:val="auto"/>
        </w:rPr>
      </w:pPr>
      <w:r>
        <w:rPr>
          <w:rFonts w:hint="eastAsia" w:cs="宋体"/>
          <w:b/>
          <w:bCs/>
          <w:color w:val="auto"/>
        </w:rPr>
        <w:t>第十五条，费用及付款方式</w:t>
      </w:r>
    </w:p>
    <w:p w14:paraId="45F78579">
      <w:pPr>
        <w:spacing w:line="360" w:lineRule="auto"/>
        <w:ind w:firstLine="420" w:firstLineChars="200"/>
        <w:rPr>
          <w:color w:val="auto"/>
        </w:rPr>
      </w:pPr>
      <w:r>
        <w:rPr>
          <w:color w:val="auto"/>
        </w:rPr>
        <w:t>1</w:t>
      </w:r>
      <w:r>
        <w:rPr>
          <w:rFonts w:hint="eastAsia" w:cs="宋体"/>
          <w:color w:val="auto"/>
        </w:rPr>
        <w:t>、服务费用</w:t>
      </w:r>
    </w:p>
    <w:p w14:paraId="6888560B">
      <w:pPr>
        <w:spacing w:line="360" w:lineRule="auto"/>
        <w:ind w:firstLine="420" w:firstLineChars="200"/>
        <w:rPr>
          <w:rFonts w:cs="宋体"/>
          <w:color w:val="auto"/>
        </w:rPr>
      </w:pPr>
      <w:r>
        <w:rPr>
          <w:rFonts w:hint="eastAsia" w:cs="宋体"/>
          <w:color w:val="auto"/>
        </w:rPr>
        <w:t>服务费用：</w:t>
      </w:r>
    </w:p>
    <w:p w14:paraId="4CF69A52">
      <w:pPr>
        <w:ind w:firstLine="420" w:firstLineChars="200"/>
        <w:rPr>
          <w:rFonts w:cs="宋体"/>
          <w:color w:val="auto"/>
          <w:sz w:val="21"/>
          <w:szCs w:val="21"/>
          <w:u w:val="single"/>
        </w:rPr>
      </w:pPr>
      <w:r>
        <w:rPr>
          <w:rFonts w:hint="eastAsia" w:cs="宋体"/>
          <w:color w:val="auto"/>
          <w:lang w:eastAsia="zh-CN"/>
        </w:rPr>
        <w:t>二</w:t>
      </w:r>
      <w:r>
        <w:rPr>
          <w:rFonts w:hint="eastAsia" w:cs="宋体"/>
          <w:color w:val="auto"/>
        </w:rPr>
        <w:t>年</w:t>
      </w:r>
      <w:r>
        <w:rPr>
          <w:rFonts w:hint="eastAsia" w:cs="宋体"/>
          <w:color w:val="auto"/>
          <w:sz w:val="21"/>
          <w:szCs w:val="21"/>
        </w:rPr>
        <w:t>合同的总金额为：人民币（大写）</w:t>
      </w:r>
      <w:r>
        <w:rPr>
          <w:rFonts w:hint="eastAsia" w:cs="宋体"/>
          <w:color w:val="auto"/>
          <w:sz w:val="21"/>
          <w:szCs w:val="21"/>
          <w:u w:val="single"/>
          <w:lang w:val="en-US" w:eastAsia="zh-CN"/>
        </w:rPr>
        <w:t xml:space="preserve">               </w:t>
      </w:r>
      <w:r>
        <w:rPr>
          <w:rFonts w:hint="eastAsia" w:cs="宋体"/>
          <w:color w:val="auto"/>
          <w:sz w:val="21"/>
          <w:szCs w:val="21"/>
          <w:u w:val="single"/>
        </w:rPr>
        <w:t>（</w:t>
      </w:r>
      <w:r>
        <w:rPr>
          <w:rFonts w:hint="eastAsia" w:ascii="宋体" w:hAnsi="宋体" w:cs="宋体"/>
          <w:color w:val="auto"/>
          <w:sz w:val="21"/>
          <w:szCs w:val="21"/>
          <w:u w:val="single"/>
        </w:rPr>
        <w:t>￥</w:t>
      </w:r>
      <w:r>
        <w:rPr>
          <w:rFonts w:hint="eastAsia" w:cs="宋体"/>
          <w:color w:val="auto"/>
          <w:sz w:val="21"/>
          <w:szCs w:val="21"/>
          <w:u w:val="single"/>
          <w:lang w:val="en-US" w:eastAsia="zh-CN"/>
        </w:rPr>
        <w:t xml:space="preserve">        </w:t>
      </w:r>
      <w:r>
        <w:rPr>
          <w:rFonts w:hint="eastAsia" w:cs="宋体"/>
          <w:color w:val="auto"/>
          <w:sz w:val="21"/>
          <w:szCs w:val="21"/>
          <w:u w:val="single"/>
        </w:rPr>
        <w:t>元）</w:t>
      </w:r>
    </w:p>
    <w:p w14:paraId="16FAAB5B">
      <w:pPr>
        <w:pStyle w:val="5"/>
        <w:ind w:firstLine="420"/>
        <w:rPr>
          <w:b w:val="0"/>
          <w:bCs w:val="0"/>
          <w:color w:val="auto"/>
          <w:sz w:val="21"/>
          <w:szCs w:val="21"/>
          <w:u w:val="single"/>
        </w:rPr>
      </w:pPr>
      <w:r>
        <w:rPr>
          <w:rFonts w:hint="eastAsia"/>
          <w:b w:val="0"/>
          <w:bCs w:val="0"/>
          <w:color w:val="auto"/>
          <w:sz w:val="21"/>
          <w:szCs w:val="21"/>
        </w:rPr>
        <w:t>平均每年金额为：人民币（大写）</w:t>
      </w:r>
      <w:r>
        <w:rPr>
          <w:rFonts w:hint="eastAsia"/>
          <w:b w:val="0"/>
          <w:bCs w:val="0"/>
          <w:color w:val="auto"/>
          <w:sz w:val="21"/>
          <w:szCs w:val="21"/>
          <w:u w:val="single"/>
          <w:lang w:val="en-US" w:eastAsia="zh-CN"/>
        </w:rPr>
        <w:t xml:space="preserve">                   </w:t>
      </w:r>
      <w:r>
        <w:rPr>
          <w:rFonts w:hint="eastAsia"/>
          <w:b w:val="0"/>
          <w:bCs w:val="0"/>
          <w:color w:val="auto"/>
          <w:sz w:val="21"/>
          <w:szCs w:val="21"/>
          <w:u w:val="single"/>
        </w:rPr>
        <w:t>（</w:t>
      </w:r>
      <w:r>
        <w:rPr>
          <w:rFonts w:hint="eastAsia" w:ascii="宋体" w:hAnsi="宋体" w:cs="宋体"/>
          <w:b w:val="0"/>
          <w:bCs w:val="0"/>
          <w:color w:val="auto"/>
          <w:sz w:val="21"/>
          <w:szCs w:val="21"/>
          <w:u w:val="single"/>
        </w:rPr>
        <w:t>￥</w:t>
      </w:r>
      <w:r>
        <w:rPr>
          <w:rFonts w:hint="eastAsia"/>
          <w:b w:val="0"/>
          <w:bCs w:val="0"/>
          <w:color w:val="auto"/>
          <w:sz w:val="21"/>
          <w:szCs w:val="21"/>
          <w:u w:val="single"/>
          <w:lang w:val="en-US" w:eastAsia="zh-CN"/>
        </w:rPr>
        <w:t xml:space="preserve">        </w:t>
      </w:r>
      <w:r>
        <w:rPr>
          <w:rFonts w:hint="eastAsia"/>
          <w:b w:val="0"/>
          <w:bCs w:val="0"/>
          <w:color w:val="auto"/>
          <w:sz w:val="21"/>
          <w:szCs w:val="21"/>
          <w:u w:val="single"/>
        </w:rPr>
        <w:t>元）</w:t>
      </w:r>
    </w:p>
    <w:p w14:paraId="2DD3C483">
      <w:pPr>
        <w:ind w:firstLine="420"/>
        <w:rPr>
          <w:color w:val="auto"/>
          <w:u w:val="single"/>
        </w:rPr>
      </w:pPr>
      <w:r>
        <w:rPr>
          <w:rFonts w:hint="eastAsia"/>
          <w:color w:val="auto"/>
          <w:sz w:val="21"/>
          <w:szCs w:val="21"/>
        </w:rPr>
        <w:t>平均每月金额为：人民币（大写）</w:t>
      </w:r>
      <w:r>
        <w:rPr>
          <w:rFonts w:hint="eastAsia"/>
          <w:color w:val="auto"/>
          <w:sz w:val="21"/>
          <w:szCs w:val="21"/>
          <w:u w:val="single"/>
          <w:lang w:val="en-US" w:eastAsia="zh-CN"/>
        </w:rPr>
        <w:t xml:space="preserve">               </w:t>
      </w:r>
      <w:r>
        <w:rPr>
          <w:rFonts w:hint="eastAsia"/>
          <w:color w:val="auto"/>
          <w:u w:val="single"/>
          <w:lang w:val="en-US" w:eastAsia="zh-CN"/>
        </w:rPr>
        <w:t xml:space="preserve">    </w:t>
      </w:r>
      <w:r>
        <w:rPr>
          <w:rFonts w:hint="eastAsia"/>
          <w:color w:val="auto"/>
          <w:u w:val="single"/>
        </w:rPr>
        <w:t>（</w:t>
      </w:r>
      <w:r>
        <w:rPr>
          <w:rFonts w:hint="eastAsia" w:ascii="宋体" w:hAnsi="宋体" w:cs="宋体"/>
          <w:color w:val="auto"/>
          <w:szCs w:val="21"/>
          <w:u w:val="single"/>
        </w:rPr>
        <w:t>￥</w:t>
      </w:r>
      <w:r>
        <w:rPr>
          <w:rFonts w:hint="eastAsia"/>
          <w:color w:val="auto"/>
          <w:u w:val="single"/>
          <w:lang w:val="en-US" w:eastAsia="zh-CN"/>
        </w:rPr>
        <w:t xml:space="preserve">        </w:t>
      </w:r>
      <w:r>
        <w:rPr>
          <w:rFonts w:hint="eastAsia"/>
          <w:color w:val="auto"/>
          <w:u w:val="single"/>
        </w:rPr>
        <w:t>元）</w:t>
      </w:r>
    </w:p>
    <w:p w14:paraId="3C21065F">
      <w:pPr>
        <w:spacing w:line="360" w:lineRule="auto"/>
        <w:ind w:firstLine="420" w:firstLineChars="200"/>
        <w:rPr>
          <w:color w:val="auto"/>
        </w:rPr>
      </w:pPr>
      <w:r>
        <w:rPr>
          <w:rFonts w:hint="eastAsia" w:cs="宋体"/>
          <w:color w:val="auto"/>
        </w:rPr>
        <w:t>该项目的价款是分</w:t>
      </w:r>
      <w:r>
        <w:rPr>
          <w:rFonts w:hint="eastAsia" w:cs="宋体"/>
          <w:color w:val="auto"/>
          <w:lang w:eastAsia="zh-CN"/>
        </w:rPr>
        <w:t>二</w:t>
      </w:r>
      <w:r>
        <w:rPr>
          <w:rFonts w:hint="eastAsia" w:cs="宋体"/>
          <w:color w:val="auto"/>
        </w:rPr>
        <w:t>年的总承包费用，包括各种保洁设备、消毒药品、各类相关的保洁耗材、各项管理费用、利润、人员工资、社会保险、教育培训、工伤及各种津补贴及税费等一切费用（含水电费及医疗垃圾袋，水电费</w:t>
      </w:r>
      <w:r>
        <w:rPr>
          <w:rFonts w:hint="eastAsia" w:cs="宋体"/>
          <w:color w:val="auto"/>
          <w:lang w:eastAsia="zh-CN"/>
        </w:rPr>
        <w:t>、洗涤耗材</w:t>
      </w:r>
      <w:r>
        <w:rPr>
          <w:rFonts w:hint="eastAsia" w:cs="宋体"/>
          <w:color w:val="auto"/>
        </w:rPr>
        <w:t>及医疗垃圾袋费）。</w:t>
      </w:r>
    </w:p>
    <w:p w14:paraId="2F8BD2A4">
      <w:pPr>
        <w:spacing w:line="360" w:lineRule="auto"/>
        <w:ind w:firstLine="420" w:firstLineChars="200"/>
        <w:rPr>
          <w:color w:val="auto"/>
        </w:rPr>
      </w:pPr>
      <w:r>
        <w:rPr>
          <w:color w:val="auto"/>
        </w:rPr>
        <w:t>2</w:t>
      </w:r>
      <w:r>
        <w:rPr>
          <w:rFonts w:hint="eastAsia" w:cs="宋体"/>
          <w:color w:val="auto"/>
        </w:rPr>
        <w:t>、付款方式</w:t>
      </w:r>
    </w:p>
    <w:p w14:paraId="4DF4EE31">
      <w:pPr>
        <w:spacing w:line="360" w:lineRule="auto"/>
        <w:ind w:firstLine="420" w:firstLineChars="200"/>
        <w:rPr>
          <w:rFonts w:hint="eastAsia" w:cs="宋体"/>
          <w:color w:val="auto"/>
        </w:rPr>
      </w:pPr>
      <w:r>
        <w:rPr>
          <w:rFonts w:hint="eastAsia" w:cs="宋体"/>
          <w:color w:val="auto"/>
        </w:rPr>
        <w:t>合同生效后，乙方按质按量完成承包的任务，甲方按</w:t>
      </w:r>
      <w:r>
        <w:rPr>
          <w:rFonts w:hint="eastAsia" w:cs="宋体"/>
          <w:color w:val="auto"/>
          <w:lang w:eastAsia="zh-CN"/>
        </w:rPr>
        <w:t>二</w:t>
      </w:r>
      <w:r>
        <w:rPr>
          <w:rFonts w:hint="eastAsia" w:cs="宋体"/>
          <w:color w:val="auto"/>
        </w:rPr>
        <w:t>年总价平均分开为每年</w:t>
      </w:r>
      <w:r>
        <w:rPr>
          <w:color w:val="auto"/>
        </w:rPr>
        <w:t>12</w:t>
      </w:r>
      <w:r>
        <w:rPr>
          <w:rFonts w:hint="eastAsia" w:cs="宋体"/>
          <w:color w:val="auto"/>
        </w:rPr>
        <w:t>个月，于次月</w:t>
      </w:r>
      <w:r>
        <w:rPr>
          <w:rFonts w:hint="eastAsia"/>
          <w:color w:val="auto"/>
          <w:u w:val="single"/>
        </w:rPr>
        <w:t>5</w:t>
      </w:r>
      <w:r>
        <w:rPr>
          <w:rFonts w:hint="eastAsia" w:cs="宋体"/>
          <w:color w:val="auto"/>
        </w:rPr>
        <w:t>日前凭完税发票以转账方式（如遇休息日或节假日，付款日期顺延）向乙方支付当月服务费。如存在保洁质量问题，甲方凭有乙方公司代表一起签名的考核表在月底结算时从当月结算的费用中扣除。</w:t>
      </w:r>
    </w:p>
    <w:p w14:paraId="26248E15">
      <w:pPr>
        <w:spacing w:line="360" w:lineRule="auto"/>
        <w:ind w:firstLine="643" w:firstLineChars="200"/>
        <w:rPr>
          <w:b/>
          <w:bCs/>
          <w:color w:val="auto"/>
          <w:sz w:val="32"/>
          <w:szCs w:val="32"/>
        </w:rPr>
      </w:pPr>
      <w:r>
        <w:rPr>
          <w:rFonts w:hint="eastAsia" w:cs="宋体"/>
          <w:b/>
          <w:bCs/>
          <w:color w:val="auto"/>
          <w:sz w:val="32"/>
          <w:szCs w:val="32"/>
        </w:rPr>
        <w:t>六、其他</w:t>
      </w:r>
    </w:p>
    <w:p w14:paraId="54E4BD35">
      <w:pPr>
        <w:spacing w:line="360" w:lineRule="auto"/>
        <w:ind w:firstLine="422" w:firstLineChars="200"/>
        <w:rPr>
          <w:b/>
          <w:bCs/>
          <w:color w:val="auto"/>
        </w:rPr>
      </w:pPr>
      <w:r>
        <w:rPr>
          <w:rFonts w:hint="eastAsia" w:cs="宋体"/>
          <w:b/>
          <w:bCs/>
          <w:color w:val="auto"/>
        </w:rPr>
        <w:t>第十六条、违约责任与赔偿损失</w:t>
      </w:r>
    </w:p>
    <w:p w14:paraId="2B4CABFD">
      <w:pPr>
        <w:spacing w:line="360" w:lineRule="auto"/>
        <w:ind w:firstLine="420" w:firstLineChars="200"/>
        <w:rPr>
          <w:color w:val="auto"/>
        </w:rPr>
      </w:pPr>
      <w:r>
        <w:rPr>
          <w:color w:val="auto"/>
        </w:rPr>
        <w:t>1</w:t>
      </w:r>
      <w:r>
        <w:rPr>
          <w:rFonts w:hint="eastAsia" w:cs="宋体"/>
          <w:color w:val="auto"/>
        </w:rPr>
        <w:t>、本合同一经签订，甲乙双方应严格按合同执行，任何一方不得随意解除或终止本合同的执行。</w:t>
      </w:r>
    </w:p>
    <w:p w14:paraId="5C0579D4">
      <w:pPr>
        <w:spacing w:line="360" w:lineRule="auto"/>
        <w:ind w:firstLine="420" w:firstLineChars="200"/>
        <w:rPr>
          <w:rFonts w:cs="宋体"/>
          <w:color w:val="auto"/>
        </w:rPr>
      </w:pPr>
      <w:r>
        <w:rPr>
          <w:color w:val="auto"/>
        </w:rPr>
        <w:t>2</w:t>
      </w:r>
      <w:r>
        <w:rPr>
          <w:rFonts w:hint="eastAsia" w:cs="宋体"/>
          <w:color w:val="auto"/>
        </w:rPr>
        <w:t>、乙方提供的服务不符合采购文件、报价文件或本合同规定的，甲方有权按考核奖罚标准提出整改，整改三次不合格的按考核奖罚标准甲方有权要求乙方支付违约金，违约金不超过当月应付金额的10%，或甲方单方面解除本合同。</w:t>
      </w:r>
    </w:p>
    <w:p w14:paraId="24B53825">
      <w:pPr>
        <w:spacing w:line="360" w:lineRule="auto"/>
        <w:ind w:firstLine="420" w:firstLineChars="200"/>
        <w:rPr>
          <w:color w:val="auto"/>
        </w:rPr>
      </w:pPr>
      <w:r>
        <w:rPr>
          <w:rFonts w:hint="eastAsia" w:cs="宋体"/>
          <w:color w:val="auto"/>
        </w:rPr>
        <w:t>3、甲方不按合同规定支付服务费，造成乙方员工影响服务质量或怠工的，视为甲方违约，甲方应向乙方支付合同总金额</w:t>
      </w:r>
      <w:r>
        <w:rPr>
          <w:color w:val="auto"/>
        </w:rPr>
        <w:t>3</w:t>
      </w:r>
      <w:r>
        <w:rPr>
          <w:rFonts w:hint="eastAsia" w:cs="宋体"/>
          <w:color w:val="auto"/>
        </w:rPr>
        <w:t>％的违约金。</w:t>
      </w:r>
    </w:p>
    <w:p w14:paraId="3554207F">
      <w:pPr>
        <w:spacing w:line="360" w:lineRule="auto"/>
        <w:ind w:firstLine="420" w:firstLineChars="200"/>
        <w:rPr>
          <w:color w:val="auto"/>
        </w:rPr>
      </w:pPr>
      <w:r>
        <w:rPr>
          <w:rFonts w:hint="eastAsia" w:cs="宋体"/>
          <w:color w:val="auto"/>
        </w:rPr>
        <w:t>4、其它违约责任按《中华人民共和国民法典》处理。</w:t>
      </w:r>
    </w:p>
    <w:p w14:paraId="140F1A73">
      <w:pPr>
        <w:spacing w:line="360" w:lineRule="auto"/>
        <w:ind w:firstLine="422" w:firstLineChars="200"/>
        <w:rPr>
          <w:b/>
          <w:bCs/>
          <w:color w:val="auto"/>
        </w:rPr>
      </w:pPr>
      <w:r>
        <w:rPr>
          <w:rFonts w:hint="eastAsia" w:cs="宋体"/>
          <w:b/>
          <w:bCs/>
          <w:color w:val="auto"/>
        </w:rPr>
        <w:t>第十七条、争端的解决</w:t>
      </w:r>
    </w:p>
    <w:p w14:paraId="0120DBB6">
      <w:pPr>
        <w:spacing w:line="360" w:lineRule="auto"/>
        <w:ind w:firstLine="420" w:firstLineChars="200"/>
        <w:rPr>
          <w:color w:val="auto"/>
        </w:rPr>
      </w:pPr>
      <w:r>
        <w:rPr>
          <w:color w:val="auto"/>
        </w:rPr>
        <w:t>1</w:t>
      </w:r>
      <w:r>
        <w:rPr>
          <w:rFonts w:hint="eastAsia" w:cs="宋体"/>
          <w:color w:val="auto"/>
        </w:rPr>
        <w:t>、合同执行过程中发生的任何争议，如双方不能通过友好协商解决，按相关法律法规处理。</w:t>
      </w:r>
    </w:p>
    <w:p w14:paraId="11743CF1">
      <w:pPr>
        <w:spacing w:line="360" w:lineRule="auto"/>
        <w:ind w:firstLine="420" w:firstLineChars="200"/>
        <w:rPr>
          <w:color w:val="auto"/>
        </w:rPr>
      </w:pPr>
      <w:r>
        <w:rPr>
          <w:color w:val="auto"/>
        </w:rPr>
        <w:t>2</w:t>
      </w:r>
      <w:r>
        <w:rPr>
          <w:rFonts w:hint="eastAsia" w:cs="宋体"/>
          <w:color w:val="auto"/>
        </w:rPr>
        <w:t>、不可抗力：任何一方由于不可抗力原因不能履行合同时，应在不可抗力事件结束后</w:t>
      </w:r>
      <w:r>
        <w:rPr>
          <w:color w:val="auto"/>
        </w:rPr>
        <w:t>1</w:t>
      </w:r>
      <w:r>
        <w:rPr>
          <w:rFonts w:hint="eastAsia" w:cs="宋体"/>
          <w:color w:val="auto"/>
        </w:rPr>
        <w:t>日内向对方通报，以减轻可能给对方造成的损失，在取得有关机构的不可抗力证明或双方谅解确认后，允许延期履行或修订合同，并根据情况可部分或全部免于示担违约责任。</w:t>
      </w:r>
    </w:p>
    <w:p w14:paraId="06FC9A31">
      <w:pPr>
        <w:spacing w:line="360" w:lineRule="auto"/>
        <w:ind w:firstLine="422" w:firstLineChars="200"/>
        <w:rPr>
          <w:b/>
          <w:bCs/>
          <w:color w:val="auto"/>
        </w:rPr>
      </w:pPr>
      <w:r>
        <w:rPr>
          <w:rFonts w:hint="eastAsia" w:cs="宋体"/>
          <w:b/>
          <w:bCs/>
          <w:color w:val="auto"/>
        </w:rPr>
        <w:t>第十八条、税费：在中国境内、外发生的与本合同执行有关的一切税费均由乙方负担。</w:t>
      </w:r>
    </w:p>
    <w:p w14:paraId="696A8C22">
      <w:pPr>
        <w:spacing w:line="360" w:lineRule="auto"/>
        <w:ind w:firstLine="422" w:firstLineChars="200"/>
        <w:rPr>
          <w:b/>
          <w:bCs/>
          <w:color w:val="auto"/>
        </w:rPr>
      </w:pPr>
      <w:r>
        <w:rPr>
          <w:rFonts w:hint="eastAsia" w:cs="宋体"/>
          <w:b/>
          <w:bCs/>
          <w:color w:val="auto"/>
        </w:rPr>
        <w:t>第十九条、保密、资料的使用和知识产权。</w:t>
      </w:r>
    </w:p>
    <w:p w14:paraId="51374EA0">
      <w:pPr>
        <w:numPr>
          <w:ilvl w:val="0"/>
          <w:numId w:val="10"/>
        </w:numPr>
        <w:spacing w:line="360" w:lineRule="auto"/>
        <w:rPr>
          <w:color w:val="auto"/>
        </w:rPr>
      </w:pPr>
      <w:r>
        <w:rPr>
          <w:rFonts w:hint="eastAsia" w:cs="宋体"/>
          <w:color w:val="auto"/>
        </w:rPr>
        <w:t>向甲方提供的技术资料、软件和所有文件等（下称“信息”），无论以何种记录乙方方式提供的，标有限制使用或转播的说明，或者以其他方式标明保密或者专有的文件，其知识产权皆归乙方所有。</w:t>
      </w:r>
    </w:p>
    <w:p w14:paraId="4F06189D">
      <w:pPr>
        <w:numPr>
          <w:ilvl w:val="0"/>
          <w:numId w:val="10"/>
        </w:numPr>
        <w:spacing w:line="360" w:lineRule="auto"/>
        <w:rPr>
          <w:color w:val="auto"/>
        </w:rPr>
      </w:pPr>
      <w:r>
        <w:rPr>
          <w:rFonts w:hint="eastAsia" w:cs="宋体"/>
          <w:color w:val="auto"/>
        </w:rPr>
        <w:t>甲方在获知上述信息后，应对该信息予以保密，不得向第三者透露，并不得对这些信息进行全部或部分的在制作或者复制，有关信息包括它们的复制品在不需要时必须退还卖方或销毁。</w:t>
      </w:r>
    </w:p>
    <w:p w14:paraId="5C8089FE">
      <w:pPr>
        <w:spacing w:line="360" w:lineRule="auto"/>
        <w:ind w:firstLine="422" w:firstLineChars="200"/>
        <w:rPr>
          <w:b/>
          <w:bCs/>
          <w:color w:val="auto"/>
        </w:rPr>
      </w:pPr>
      <w:r>
        <w:rPr>
          <w:rFonts w:hint="eastAsia" w:cs="宋体"/>
          <w:b/>
          <w:bCs/>
          <w:color w:val="auto"/>
        </w:rPr>
        <w:t>第二十条、本合同所有附件均为合同的有效组成部分，与本合同具有同等法律效力。</w:t>
      </w:r>
    </w:p>
    <w:p w14:paraId="57C7BFEB">
      <w:pPr>
        <w:spacing w:line="360" w:lineRule="auto"/>
        <w:ind w:firstLine="422" w:firstLineChars="200"/>
        <w:rPr>
          <w:b/>
          <w:bCs/>
          <w:color w:val="auto"/>
        </w:rPr>
      </w:pPr>
      <w:r>
        <w:rPr>
          <w:rFonts w:hint="eastAsia" w:cs="宋体"/>
          <w:b/>
          <w:bCs/>
          <w:color w:val="auto"/>
        </w:rPr>
        <w:t>第二十一条、在执行本合同的过程中，所有经双方签确认的文件（包括会议纪要、补充协议、往来信函）即成为本合同的有效组成部分。</w:t>
      </w:r>
    </w:p>
    <w:p w14:paraId="49C6C848">
      <w:pPr>
        <w:spacing w:line="360" w:lineRule="auto"/>
        <w:ind w:firstLine="422" w:firstLineChars="200"/>
        <w:rPr>
          <w:b/>
          <w:bCs/>
          <w:color w:val="auto"/>
        </w:rPr>
      </w:pPr>
      <w:r>
        <w:rPr>
          <w:rFonts w:hint="eastAsia" w:cs="宋体"/>
          <w:b/>
          <w:bCs/>
          <w:color w:val="auto"/>
        </w:rPr>
        <w:t>第二十二条、如一方地址、电话、传真号码有更，应在变更当日内书面通知对方，否则，应</w:t>
      </w:r>
    </w:p>
    <w:p w14:paraId="6E99518C">
      <w:pPr>
        <w:spacing w:line="360" w:lineRule="auto"/>
        <w:ind w:firstLine="422" w:firstLineChars="200"/>
        <w:rPr>
          <w:b/>
          <w:bCs/>
          <w:color w:val="auto"/>
        </w:rPr>
      </w:pPr>
      <w:r>
        <w:rPr>
          <w:rFonts w:hint="eastAsia" w:cs="宋体"/>
          <w:b/>
          <w:bCs/>
          <w:color w:val="auto"/>
        </w:rPr>
        <w:t>承担相应责任。</w:t>
      </w:r>
    </w:p>
    <w:p w14:paraId="63D3CFA6">
      <w:pPr>
        <w:spacing w:line="360" w:lineRule="auto"/>
        <w:ind w:firstLine="422" w:firstLineChars="200"/>
        <w:rPr>
          <w:b/>
          <w:bCs/>
          <w:color w:val="auto"/>
        </w:rPr>
      </w:pPr>
      <w:r>
        <w:rPr>
          <w:rFonts w:hint="eastAsia" w:cs="宋体"/>
          <w:b/>
          <w:bCs/>
          <w:color w:val="auto"/>
        </w:rPr>
        <w:t>第二十三条、除甲方事先书面同意外，乙方不得部分或全部转让其应履行的合同项下的义务。</w:t>
      </w:r>
    </w:p>
    <w:p w14:paraId="0F941A6F">
      <w:pPr>
        <w:spacing w:line="360" w:lineRule="auto"/>
        <w:ind w:firstLine="422" w:firstLineChars="200"/>
        <w:rPr>
          <w:b/>
          <w:bCs/>
          <w:color w:val="auto"/>
        </w:rPr>
      </w:pPr>
      <w:r>
        <w:rPr>
          <w:rFonts w:hint="eastAsia" w:cs="宋体"/>
          <w:b/>
          <w:bCs/>
          <w:color w:val="auto"/>
        </w:rPr>
        <w:t>第二十四条、合同生效。</w:t>
      </w:r>
    </w:p>
    <w:p w14:paraId="27A20FA8">
      <w:pPr>
        <w:spacing w:line="360" w:lineRule="auto"/>
        <w:ind w:firstLine="420" w:firstLineChars="200"/>
        <w:rPr>
          <w:color w:val="auto"/>
        </w:rPr>
      </w:pPr>
      <w:r>
        <w:rPr>
          <w:rFonts w:hint="eastAsia" w:cs="宋体"/>
          <w:color w:val="auto"/>
        </w:rPr>
        <w:t>本合同一式六份，双方各持三份，甲乙双方法人代表或其授权代表签字盖章后生效，均具有同等的法律效力。</w:t>
      </w:r>
    </w:p>
    <w:p w14:paraId="5FCAA576">
      <w:pPr>
        <w:spacing w:line="360" w:lineRule="auto"/>
        <w:jc w:val="center"/>
        <w:rPr>
          <w:color w:val="auto"/>
        </w:rPr>
      </w:pPr>
    </w:p>
    <w:p w14:paraId="59346688">
      <w:pPr>
        <w:spacing w:line="360" w:lineRule="auto"/>
        <w:jc w:val="left"/>
        <w:rPr>
          <w:color w:val="auto"/>
        </w:rPr>
      </w:pPr>
      <w:r>
        <w:rPr>
          <w:rFonts w:hint="eastAsia"/>
          <w:color w:val="auto"/>
          <w:lang w:val="en-US" w:eastAsia="zh-CN"/>
        </w:rPr>
        <w:t>后附：</w:t>
      </w:r>
      <w:r>
        <w:rPr>
          <w:color w:val="auto"/>
        </w:rPr>
        <w:t xml:space="preserve"> </w:t>
      </w:r>
      <w:r>
        <w:rPr>
          <w:rFonts w:hint="eastAsia"/>
          <w:color w:val="auto"/>
          <w:lang w:val="en-US" w:eastAsia="zh-CN"/>
        </w:rPr>
        <w:t>保洁人员工作服、鞋款式面料尺寸表及保洁、洗涤日常消耗的物料清单</w:t>
      </w:r>
      <w:r>
        <w:rPr>
          <w:color w:val="auto"/>
        </w:rPr>
        <w:t xml:space="preserve">  </w:t>
      </w:r>
    </w:p>
    <w:p w14:paraId="43674152">
      <w:pPr>
        <w:spacing w:line="360" w:lineRule="auto"/>
        <w:jc w:val="left"/>
        <w:rPr>
          <w:color w:val="auto"/>
        </w:rPr>
      </w:pPr>
      <w:r>
        <w:rPr>
          <w:color w:val="auto"/>
        </w:rPr>
        <w:t xml:space="preserve">                 </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772"/>
      </w:tblGrid>
      <w:tr w14:paraId="1E18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4516" w:type="dxa"/>
            <w:tcBorders>
              <w:top w:val="single" w:color="auto" w:sz="4" w:space="0"/>
              <w:left w:val="single" w:color="auto" w:sz="4" w:space="0"/>
              <w:bottom w:val="single" w:color="auto" w:sz="4" w:space="0"/>
              <w:right w:val="single" w:color="auto" w:sz="4" w:space="0"/>
            </w:tcBorders>
            <w:noWrap w:val="0"/>
            <w:vAlign w:val="center"/>
          </w:tcPr>
          <w:p w14:paraId="49821D49">
            <w:pPr>
              <w:snapToGrid w:val="0"/>
              <w:spacing w:line="360" w:lineRule="exact"/>
              <w:rPr>
                <w:rFonts w:hint="eastAsia" w:ascii="宋体" w:hAnsi="宋体"/>
                <w:color w:val="auto"/>
                <w:szCs w:val="21"/>
              </w:rPr>
            </w:pPr>
          </w:p>
          <w:p w14:paraId="07A2A10B">
            <w:pPr>
              <w:snapToGrid w:val="0"/>
              <w:spacing w:line="360" w:lineRule="exact"/>
              <w:rPr>
                <w:rFonts w:ascii="宋体" w:hAnsi="宋体"/>
                <w:color w:val="auto"/>
                <w:szCs w:val="21"/>
              </w:rPr>
            </w:pPr>
            <w:r>
              <w:rPr>
                <w:rFonts w:hint="eastAsia" w:ascii="宋体" w:hAnsi="宋体"/>
                <w:color w:val="auto"/>
                <w:szCs w:val="21"/>
              </w:rPr>
              <w:t>甲方（章）           年   月   日</w:t>
            </w:r>
          </w:p>
        </w:tc>
        <w:tc>
          <w:tcPr>
            <w:tcW w:w="4772" w:type="dxa"/>
            <w:tcBorders>
              <w:top w:val="single" w:color="auto" w:sz="4" w:space="0"/>
              <w:left w:val="single" w:color="auto" w:sz="4" w:space="0"/>
              <w:bottom w:val="single" w:color="auto" w:sz="4" w:space="0"/>
              <w:right w:val="single" w:color="auto" w:sz="4" w:space="0"/>
            </w:tcBorders>
            <w:noWrap w:val="0"/>
            <w:vAlign w:val="center"/>
          </w:tcPr>
          <w:p w14:paraId="2FF751EC">
            <w:pPr>
              <w:snapToGrid w:val="0"/>
              <w:spacing w:line="360" w:lineRule="exact"/>
              <w:rPr>
                <w:rFonts w:hint="eastAsia" w:ascii="宋体" w:hAnsi="宋体"/>
                <w:color w:val="auto"/>
                <w:szCs w:val="21"/>
              </w:rPr>
            </w:pPr>
          </w:p>
          <w:p w14:paraId="034736E8">
            <w:pPr>
              <w:snapToGrid w:val="0"/>
              <w:spacing w:line="360" w:lineRule="exact"/>
              <w:rPr>
                <w:rFonts w:ascii="宋体" w:hAnsi="宋体"/>
                <w:color w:val="auto"/>
                <w:szCs w:val="21"/>
              </w:rPr>
            </w:pPr>
            <w:r>
              <w:rPr>
                <w:rFonts w:hint="eastAsia" w:ascii="宋体" w:hAnsi="宋体"/>
                <w:color w:val="auto"/>
                <w:szCs w:val="21"/>
              </w:rPr>
              <w:t>乙方（章）               年   月   日</w:t>
            </w:r>
          </w:p>
        </w:tc>
      </w:tr>
      <w:tr w14:paraId="48DD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4516" w:type="dxa"/>
            <w:tcBorders>
              <w:top w:val="single" w:color="auto" w:sz="4" w:space="0"/>
              <w:left w:val="single" w:color="auto" w:sz="4" w:space="0"/>
              <w:bottom w:val="single" w:color="auto" w:sz="4" w:space="0"/>
              <w:right w:val="single" w:color="auto" w:sz="4" w:space="0"/>
            </w:tcBorders>
            <w:noWrap w:val="0"/>
            <w:vAlign w:val="center"/>
          </w:tcPr>
          <w:p w14:paraId="1B5E4A90">
            <w:pPr>
              <w:snapToGrid w:val="0"/>
              <w:spacing w:line="360" w:lineRule="exact"/>
              <w:rPr>
                <w:rFonts w:ascii="宋体" w:hAnsi="宋体"/>
                <w:color w:val="auto"/>
                <w:szCs w:val="21"/>
              </w:rPr>
            </w:pPr>
            <w:r>
              <w:rPr>
                <w:rFonts w:hint="eastAsia" w:ascii="宋体" w:hAnsi="宋体"/>
                <w:color w:val="auto"/>
                <w:szCs w:val="21"/>
              </w:rPr>
              <w:t>通讯地址：</w:t>
            </w:r>
          </w:p>
        </w:tc>
        <w:tc>
          <w:tcPr>
            <w:tcW w:w="4772" w:type="dxa"/>
            <w:tcBorders>
              <w:top w:val="single" w:color="auto" w:sz="4" w:space="0"/>
              <w:left w:val="single" w:color="auto" w:sz="4" w:space="0"/>
              <w:bottom w:val="single" w:color="auto" w:sz="4" w:space="0"/>
              <w:right w:val="single" w:color="auto" w:sz="4" w:space="0"/>
            </w:tcBorders>
            <w:noWrap w:val="0"/>
            <w:vAlign w:val="center"/>
          </w:tcPr>
          <w:p w14:paraId="6ECF8F53">
            <w:pPr>
              <w:snapToGrid w:val="0"/>
              <w:spacing w:line="360" w:lineRule="exact"/>
              <w:rPr>
                <w:rFonts w:ascii="宋体" w:hAnsi="宋体"/>
                <w:color w:val="auto"/>
                <w:szCs w:val="21"/>
              </w:rPr>
            </w:pPr>
            <w:r>
              <w:rPr>
                <w:rFonts w:hint="eastAsia" w:ascii="宋体" w:hAnsi="宋体"/>
                <w:color w:val="auto"/>
                <w:szCs w:val="21"/>
              </w:rPr>
              <w:t>通讯地址：</w:t>
            </w:r>
          </w:p>
        </w:tc>
      </w:tr>
      <w:tr w14:paraId="6995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4516" w:type="dxa"/>
            <w:tcBorders>
              <w:top w:val="single" w:color="auto" w:sz="4" w:space="0"/>
              <w:left w:val="single" w:color="auto" w:sz="4" w:space="0"/>
              <w:bottom w:val="single" w:color="auto" w:sz="4" w:space="0"/>
              <w:right w:val="single" w:color="auto" w:sz="4" w:space="0"/>
            </w:tcBorders>
            <w:noWrap w:val="0"/>
            <w:vAlign w:val="center"/>
          </w:tcPr>
          <w:p w14:paraId="5878E1C1">
            <w:pPr>
              <w:snapToGrid w:val="0"/>
              <w:spacing w:line="360" w:lineRule="exact"/>
              <w:rPr>
                <w:rFonts w:ascii="宋体" w:hAnsi="宋体"/>
                <w:color w:val="auto"/>
                <w:szCs w:val="21"/>
              </w:rPr>
            </w:pPr>
            <w:r>
              <w:rPr>
                <w:rFonts w:hint="eastAsia" w:ascii="宋体" w:hAnsi="宋体"/>
                <w:color w:val="auto"/>
                <w:szCs w:val="21"/>
              </w:rPr>
              <w:t>法定代表人：</w:t>
            </w:r>
          </w:p>
        </w:tc>
        <w:tc>
          <w:tcPr>
            <w:tcW w:w="4772" w:type="dxa"/>
            <w:tcBorders>
              <w:top w:val="single" w:color="auto" w:sz="4" w:space="0"/>
              <w:left w:val="single" w:color="auto" w:sz="4" w:space="0"/>
              <w:bottom w:val="single" w:color="auto" w:sz="4" w:space="0"/>
              <w:right w:val="single" w:color="auto" w:sz="4" w:space="0"/>
            </w:tcBorders>
            <w:noWrap w:val="0"/>
            <w:vAlign w:val="center"/>
          </w:tcPr>
          <w:p w14:paraId="1094EBF9">
            <w:pPr>
              <w:snapToGrid w:val="0"/>
              <w:spacing w:line="360" w:lineRule="exact"/>
              <w:rPr>
                <w:rFonts w:ascii="宋体" w:hAnsi="宋体"/>
                <w:color w:val="auto"/>
                <w:szCs w:val="21"/>
              </w:rPr>
            </w:pPr>
            <w:r>
              <w:rPr>
                <w:rFonts w:hint="eastAsia" w:ascii="宋体" w:hAnsi="宋体"/>
                <w:color w:val="auto"/>
                <w:szCs w:val="21"/>
              </w:rPr>
              <w:t>法定代表人：</w:t>
            </w:r>
          </w:p>
        </w:tc>
      </w:tr>
      <w:tr w14:paraId="16A3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4516" w:type="dxa"/>
            <w:tcBorders>
              <w:top w:val="single" w:color="auto" w:sz="4" w:space="0"/>
              <w:left w:val="single" w:color="auto" w:sz="4" w:space="0"/>
              <w:bottom w:val="single" w:color="auto" w:sz="4" w:space="0"/>
              <w:right w:val="single" w:color="auto" w:sz="4" w:space="0"/>
            </w:tcBorders>
            <w:noWrap w:val="0"/>
            <w:vAlign w:val="center"/>
          </w:tcPr>
          <w:p w14:paraId="61A523AF">
            <w:pPr>
              <w:snapToGrid w:val="0"/>
              <w:spacing w:line="360" w:lineRule="exact"/>
              <w:rPr>
                <w:rFonts w:ascii="宋体" w:hAnsi="宋体"/>
                <w:color w:val="auto"/>
                <w:szCs w:val="21"/>
              </w:rPr>
            </w:pPr>
            <w:r>
              <w:rPr>
                <w:rFonts w:hint="eastAsia" w:ascii="宋体" w:hAnsi="宋体"/>
                <w:color w:val="auto"/>
                <w:szCs w:val="21"/>
              </w:rPr>
              <w:t>委托代理人：</w:t>
            </w:r>
          </w:p>
        </w:tc>
        <w:tc>
          <w:tcPr>
            <w:tcW w:w="4772" w:type="dxa"/>
            <w:tcBorders>
              <w:top w:val="single" w:color="auto" w:sz="4" w:space="0"/>
              <w:left w:val="single" w:color="auto" w:sz="4" w:space="0"/>
              <w:bottom w:val="single" w:color="auto" w:sz="4" w:space="0"/>
              <w:right w:val="single" w:color="auto" w:sz="4" w:space="0"/>
            </w:tcBorders>
            <w:noWrap w:val="0"/>
            <w:vAlign w:val="center"/>
          </w:tcPr>
          <w:p w14:paraId="3F76FF5D">
            <w:pPr>
              <w:snapToGrid w:val="0"/>
              <w:spacing w:line="360" w:lineRule="exact"/>
              <w:rPr>
                <w:rFonts w:ascii="宋体" w:hAnsi="宋体"/>
                <w:color w:val="auto"/>
                <w:szCs w:val="21"/>
              </w:rPr>
            </w:pPr>
            <w:r>
              <w:rPr>
                <w:rFonts w:hint="eastAsia" w:ascii="宋体" w:hAnsi="宋体"/>
                <w:color w:val="auto"/>
                <w:szCs w:val="21"/>
              </w:rPr>
              <w:t>委托代理人</w:t>
            </w:r>
          </w:p>
        </w:tc>
      </w:tr>
      <w:tr w14:paraId="4B30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4516" w:type="dxa"/>
            <w:tcBorders>
              <w:top w:val="single" w:color="auto" w:sz="4" w:space="0"/>
              <w:left w:val="single" w:color="auto" w:sz="4" w:space="0"/>
              <w:bottom w:val="single" w:color="auto" w:sz="4" w:space="0"/>
              <w:right w:val="single" w:color="auto" w:sz="4" w:space="0"/>
            </w:tcBorders>
            <w:noWrap w:val="0"/>
            <w:vAlign w:val="center"/>
          </w:tcPr>
          <w:p w14:paraId="1390C2E9">
            <w:pPr>
              <w:snapToGrid w:val="0"/>
              <w:spacing w:line="360" w:lineRule="exact"/>
              <w:rPr>
                <w:rFonts w:ascii="宋体" w:hAnsi="宋体"/>
                <w:color w:val="auto"/>
                <w:szCs w:val="21"/>
              </w:rPr>
            </w:pPr>
            <w:r>
              <w:rPr>
                <w:rFonts w:hint="eastAsia" w:ascii="宋体" w:hAnsi="宋体"/>
                <w:color w:val="auto"/>
                <w:szCs w:val="21"/>
              </w:rPr>
              <w:t>电话：</w:t>
            </w:r>
          </w:p>
        </w:tc>
        <w:tc>
          <w:tcPr>
            <w:tcW w:w="4772" w:type="dxa"/>
            <w:tcBorders>
              <w:top w:val="single" w:color="auto" w:sz="4" w:space="0"/>
              <w:left w:val="single" w:color="auto" w:sz="4" w:space="0"/>
              <w:bottom w:val="single" w:color="auto" w:sz="4" w:space="0"/>
              <w:right w:val="single" w:color="auto" w:sz="4" w:space="0"/>
            </w:tcBorders>
            <w:noWrap w:val="0"/>
            <w:vAlign w:val="center"/>
          </w:tcPr>
          <w:p w14:paraId="0BECC303">
            <w:pPr>
              <w:snapToGrid w:val="0"/>
              <w:spacing w:line="360" w:lineRule="exact"/>
              <w:rPr>
                <w:rFonts w:ascii="宋体" w:hAnsi="宋体"/>
                <w:color w:val="auto"/>
                <w:szCs w:val="21"/>
              </w:rPr>
            </w:pPr>
            <w:r>
              <w:rPr>
                <w:rFonts w:hint="eastAsia" w:ascii="宋体" w:hAnsi="宋体"/>
                <w:color w:val="auto"/>
                <w:szCs w:val="21"/>
              </w:rPr>
              <w:t>电话：</w:t>
            </w:r>
          </w:p>
        </w:tc>
      </w:tr>
      <w:tr w14:paraId="469C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4516" w:type="dxa"/>
            <w:tcBorders>
              <w:top w:val="single" w:color="auto" w:sz="4" w:space="0"/>
              <w:left w:val="single" w:color="auto" w:sz="4" w:space="0"/>
              <w:bottom w:val="single" w:color="auto" w:sz="4" w:space="0"/>
              <w:right w:val="single" w:color="auto" w:sz="4" w:space="0"/>
            </w:tcBorders>
            <w:noWrap w:val="0"/>
            <w:vAlign w:val="center"/>
          </w:tcPr>
          <w:p w14:paraId="46A4AAEC">
            <w:pPr>
              <w:snapToGrid w:val="0"/>
              <w:spacing w:line="360" w:lineRule="exact"/>
              <w:rPr>
                <w:rFonts w:ascii="宋体" w:hAnsi="宋体"/>
                <w:color w:val="auto"/>
                <w:szCs w:val="21"/>
              </w:rPr>
            </w:pPr>
            <w:r>
              <w:rPr>
                <w:rFonts w:hint="eastAsia" w:ascii="宋体" w:hAnsi="宋体"/>
                <w:color w:val="auto"/>
                <w:szCs w:val="21"/>
              </w:rPr>
              <w:t>电子邮箱：</w:t>
            </w:r>
          </w:p>
        </w:tc>
        <w:tc>
          <w:tcPr>
            <w:tcW w:w="4772" w:type="dxa"/>
            <w:tcBorders>
              <w:top w:val="single" w:color="auto" w:sz="4" w:space="0"/>
              <w:left w:val="single" w:color="auto" w:sz="4" w:space="0"/>
              <w:bottom w:val="single" w:color="auto" w:sz="4" w:space="0"/>
              <w:right w:val="single" w:color="auto" w:sz="4" w:space="0"/>
            </w:tcBorders>
            <w:noWrap w:val="0"/>
            <w:vAlign w:val="center"/>
          </w:tcPr>
          <w:p w14:paraId="5615E3AE">
            <w:pPr>
              <w:snapToGrid w:val="0"/>
              <w:spacing w:line="360" w:lineRule="exact"/>
              <w:rPr>
                <w:rFonts w:ascii="宋体" w:hAnsi="宋体"/>
                <w:color w:val="auto"/>
                <w:szCs w:val="21"/>
              </w:rPr>
            </w:pPr>
            <w:r>
              <w:rPr>
                <w:rFonts w:hint="eastAsia" w:ascii="宋体" w:hAnsi="宋体"/>
                <w:color w:val="auto"/>
                <w:szCs w:val="21"/>
              </w:rPr>
              <w:t>电子邮箱：</w:t>
            </w:r>
          </w:p>
        </w:tc>
      </w:tr>
      <w:tr w14:paraId="60E9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16" w:type="dxa"/>
            <w:tcBorders>
              <w:top w:val="single" w:color="auto" w:sz="4" w:space="0"/>
              <w:left w:val="single" w:color="auto" w:sz="4" w:space="0"/>
              <w:bottom w:val="single" w:color="auto" w:sz="4" w:space="0"/>
              <w:right w:val="single" w:color="auto" w:sz="4" w:space="0"/>
            </w:tcBorders>
            <w:noWrap w:val="0"/>
            <w:vAlign w:val="center"/>
          </w:tcPr>
          <w:p w14:paraId="5AE2465D">
            <w:pPr>
              <w:snapToGrid w:val="0"/>
              <w:spacing w:line="360" w:lineRule="exact"/>
              <w:rPr>
                <w:rFonts w:ascii="宋体" w:hAnsi="宋体"/>
                <w:color w:val="auto"/>
                <w:szCs w:val="21"/>
              </w:rPr>
            </w:pPr>
            <w:r>
              <w:rPr>
                <w:rFonts w:hint="eastAsia" w:ascii="宋体" w:hAnsi="宋体"/>
                <w:color w:val="auto"/>
                <w:szCs w:val="21"/>
              </w:rPr>
              <w:t>开户银行：</w:t>
            </w:r>
          </w:p>
        </w:tc>
        <w:tc>
          <w:tcPr>
            <w:tcW w:w="4772" w:type="dxa"/>
            <w:tcBorders>
              <w:top w:val="single" w:color="auto" w:sz="4" w:space="0"/>
              <w:left w:val="single" w:color="auto" w:sz="4" w:space="0"/>
              <w:bottom w:val="single" w:color="auto" w:sz="4" w:space="0"/>
              <w:right w:val="single" w:color="auto" w:sz="4" w:space="0"/>
            </w:tcBorders>
            <w:noWrap w:val="0"/>
            <w:vAlign w:val="center"/>
          </w:tcPr>
          <w:p w14:paraId="22A74FA1">
            <w:pPr>
              <w:snapToGrid w:val="0"/>
              <w:spacing w:line="360" w:lineRule="exact"/>
              <w:rPr>
                <w:rFonts w:ascii="宋体" w:hAnsi="宋体"/>
                <w:color w:val="auto"/>
                <w:szCs w:val="21"/>
              </w:rPr>
            </w:pPr>
            <w:r>
              <w:rPr>
                <w:rFonts w:hint="eastAsia" w:ascii="宋体" w:hAnsi="宋体"/>
                <w:color w:val="auto"/>
                <w:szCs w:val="21"/>
              </w:rPr>
              <w:t>开户银行：</w:t>
            </w:r>
          </w:p>
        </w:tc>
      </w:tr>
      <w:tr w14:paraId="493A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4516" w:type="dxa"/>
            <w:tcBorders>
              <w:top w:val="single" w:color="auto" w:sz="4" w:space="0"/>
              <w:left w:val="single" w:color="auto" w:sz="4" w:space="0"/>
              <w:bottom w:val="single" w:color="auto" w:sz="4" w:space="0"/>
              <w:right w:val="single" w:color="auto" w:sz="4" w:space="0"/>
            </w:tcBorders>
            <w:noWrap w:val="0"/>
            <w:vAlign w:val="center"/>
          </w:tcPr>
          <w:p w14:paraId="7D0FA682">
            <w:pPr>
              <w:snapToGrid w:val="0"/>
              <w:spacing w:line="360" w:lineRule="exact"/>
              <w:rPr>
                <w:rFonts w:ascii="宋体" w:hAnsi="宋体"/>
                <w:color w:val="auto"/>
                <w:szCs w:val="21"/>
              </w:rPr>
            </w:pPr>
            <w:r>
              <w:rPr>
                <w:rFonts w:hint="eastAsia" w:ascii="宋体" w:hAnsi="宋体"/>
                <w:color w:val="auto"/>
                <w:szCs w:val="21"/>
              </w:rPr>
              <w:t>账号：</w:t>
            </w:r>
          </w:p>
        </w:tc>
        <w:tc>
          <w:tcPr>
            <w:tcW w:w="4772" w:type="dxa"/>
            <w:tcBorders>
              <w:top w:val="single" w:color="auto" w:sz="4" w:space="0"/>
              <w:left w:val="single" w:color="auto" w:sz="4" w:space="0"/>
              <w:bottom w:val="single" w:color="auto" w:sz="4" w:space="0"/>
              <w:right w:val="single" w:color="auto" w:sz="4" w:space="0"/>
            </w:tcBorders>
            <w:noWrap w:val="0"/>
            <w:vAlign w:val="center"/>
          </w:tcPr>
          <w:p w14:paraId="05340F2F">
            <w:pPr>
              <w:snapToGrid w:val="0"/>
              <w:spacing w:line="360" w:lineRule="exact"/>
              <w:rPr>
                <w:rFonts w:ascii="宋体" w:hAnsi="宋体"/>
                <w:color w:val="auto"/>
                <w:szCs w:val="21"/>
              </w:rPr>
            </w:pPr>
            <w:r>
              <w:rPr>
                <w:rFonts w:hint="eastAsia" w:ascii="宋体" w:hAnsi="宋体"/>
                <w:color w:val="auto"/>
                <w:szCs w:val="21"/>
              </w:rPr>
              <w:t>账号：</w:t>
            </w:r>
          </w:p>
        </w:tc>
      </w:tr>
      <w:tr w14:paraId="371F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4516" w:type="dxa"/>
            <w:tcBorders>
              <w:top w:val="single" w:color="auto" w:sz="4" w:space="0"/>
              <w:left w:val="single" w:color="auto" w:sz="4" w:space="0"/>
              <w:bottom w:val="single" w:color="auto" w:sz="4" w:space="0"/>
              <w:right w:val="single" w:color="auto" w:sz="4" w:space="0"/>
            </w:tcBorders>
            <w:noWrap w:val="0"/>
            <w:vAlign w:val="center"/>
          </w:tcPr>
          <w:p w14:paraId="675A041C">
            <w:pPr>
              <w:snapToGrid w:val="0"/>
              <w:spacing w:line="360" w:lineRule="exact"/>
              <w:rPr>
                <w:rFonts w:ascii="宋体" w:hAnsi="宋体"/>
                <w:color w:val="auto"/>
                <w:szCs w:val="21"/>
              </w:rPr>
            </w:pPr>
            <w:r>
              <w:rPr>
                <w:rFonts w:hint="eastAsia" w:ascii="宋体" w:hAnsi="宋体"/>
                <w:color w:val="auto"/>
                <w:szCs w:val="21"/>
              </w:rPr>
              <w:t>邮政编码：</w:t>
            </w:r>
          </w:p>
        </w:tc>
        <w:tc>
          <w:tcPr>
            <w:tcW w:w="4772" w:type="dxa"/>
            <w:tcBorders>
              <w:top w:val="single" w:color="auto" w:sz="4" w:space="0"/>
              <w:left w:val="single" w:color="auto" w:sz="4" w:space="0"/>
              <w:bottom w:val="single" w:color="auto" w:sz="4" w:space="0"/>
              <w:right w:val="single" w:color="auto" w:sz="4" w:space="0"/>
            </w:tcBorders>
            <w:noWrap w:val="0"/>
            <w:vAlign w:val="center"/>
          </w:tcPr>
          <w:p w14:paraId="46DC31E3">
            <w:pPr>
              <w:snapToGrid w:val="0"/>
              <w:spacing w:line="360" w:lineRule="exact"/>
              <w:rPr>
                <w:rFonts w:ascii="宋体" w:hAnsi="宋体"/>
                <w:color w:val="auto"/>
                <w:szCs w:val="21"/>
              </w:rPr>
            </w:pPr>
            <w:r>
              <w:rPr>
                <w:rFonts w:hint="eastAsia" w:ascii="宋体" w:hAnsi="宋体"/>
                <w:color w:val="auto"/>
                <w:szCs w:val="21"/>
              </w:rPr>
              <w:t>邮政编码：</w:t>
            </w:r>
          </w:p>
        </w:tc>
      </w:tr>
      <w:tr w14:paraId="6C11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trPr>
        <w:tc>
          <w:tcPr>
            <w:tcW w:w="9288" w:type="dxa"/>
            <w:gridSpan w:val="2"/>
            <w:tcBorders>
              <w:top w:val="single" w:color="auto" w:sz="4" w:space="0"/>
              <w:left w:val="single" w:color="auto" w:sz="4" w:space="0"/>
              <w:bottom w:val="single" w:color="auto" w:sz="4" w:space="0"/>
              <w:right w:val="single" w:color="auto" w:sz="4" w:space="0"/>
            </w:tcBorders>
            <w:noWrap w:val="0"/>
            <w:vAlign w:val="top"/>
          </w:tcPr>
          <w:p w14:paraId="7B92492E">
            <w:pPr>
              <w:snapToGrid w:val="0"/>
              <w:spacing w:line="360" w:lineRule="exact"/>
              <w:rPr>
                <w:rFonts w:ascii="宋体" w:hAnsi="宋体"/>
                <w:color w:val="auto"/>
                <w:szCs w:val="21"/>
              </w:rPr>
            </w:pPr>
            <w:r>
              <w:rPr>
                <w:rFonts w:hint="eastAsia" w:ascii="宋体" w:hAnsi="宋体"/>
                <w:color w:val="auto"/>
                <w:szCs w:val="21"/>
              </w:rPr>
              <w:t>经办人：</w:t>
            </w:r>
          </w:p>
          <w:p w14:paraId="556B0E33">
            <w:pPr>
              <w:snapToGrid w:val="0"/>
              <w:spacing w:line="360" w:lineRule="exact"/>
              <w:ind w:firstLine="630" w:firstLineChars="300"/>
              <w:jc w:val="right"/>
              <w:rPr>
                <w:rFonts w:ascii="宋体" w:hAnsi="宋体"/>
                <w:color w:val="auto"/>
                <w:szCs w:val="21"/>
              </w:rPr>
            </w:pPr>
            <w:r>
              <w:rPr>
                <w:rFonts w:hint="eastAsia" w:ascii="宋体" w:hAnsi="宋体"/>
                <w:color w:val="auto"/>
                <w:szCs w:val="21"/>
              </w:rPr>
              <w:t>年    月    日</w:t>
            </w:r>
          </w:p>
        </w:tc>
      </w:tr>
    </w:tbl>
    <w:p w14:paraId="02788C9C">
      <w:pPr>
        <w:spacing w:line="360" w:lineRule="auto"/>
        <w:jc w:val="center"/>
        <w:rPr>
          <w:color w:val="auto"/>
        </w:rPr>
      </w:pPr>
      <w:r>
        <w:rPr>
          <w:color w:val="auto"/>
        </w:rPr>
        <w:t xml:space="preserve">                                        </w:t>
      </w:r>
    </w:p>
    <w:p w14:paraId="4879D4E5">
      <w:pPr>
        <w:spacing w:line="360" w:lineRule="auto"/>
        <w:jc w:val="right"/>
        <w:rPr>
          <w:color w:val="auto"/>
        </w:rPr>
      </w:pPr>
      <w:r>
        <w:rPr>
          <w:color w:val="auto"/>
        </w:rPr>
        <w:t xml:space="preserve">          </w:t>
      </w:r>
    </w:p>
    <w:p w14:paraId="2DCA756A">
      <w:pPr>
        <w:snapToGrid w:val="0"/>
        <w:jc w:val="center"/>
        <w:rPr>
          <w:rFonts w:hint="eastAsia" w:ascii="仿宋" w:hAnsi="仿宋" w:eastAsia="仿宋"/>
          <w:bCs/>
          <w:color w:val="auto"/>
          <w:sz w:val="32"/>
          <w:szCs w:val="32"/>
        </w:rPr>
      </w:pPr>
    </w:p>
    <w:p w14:paraId="0C2732DC">
      <w:pPr>
        <w:snapToGrid w:val="0"/>
        <w:jc w:val="center"/>
        <w:rPr>
          <w:rFonts w:hint="eastAsia" w:ascii="仿宋" w:hAnsi="仿宋" w:eastAsia="仿宋"/>
          <w:bCs/>
          <w:color w:val="auto"/>
          <w:sz w:val="32"/>
          <w:szCs w:val="32"/>
        </w:rPr>
      </w:pPr>
    </w:p>
    <w:p w14:paraId="28BB81BF">
      <w:pPr>
        <w:snapToGrid w:val="0"/>
        <w:jc w:val="center"/>
        <w:rPr>
          <w:rFonts w:hint="eastAsia" w:ascii="仿宋" w:hAnsi="仿宋" w:eastAsia="仿宋"/>
          <w:bCs/>
          <w:color w:val="auto"/>
          <w:sz w:val="32"/>
          <w:szCs w:val="32"/>
        </w:rPr>
      </w:pPr>
    </w:p>
    <w:p w14:paraId="1F20CBD0">
      <w:pPr>
        <w:pStyle w:val="5"/>
        <w:rPr>
          <w:rFonts w:hint="eastAsia"/>
          <w:color w:val="auto"/>
          <w:lang w:val="en-US" w:eastAsia="zh-CN"/>
        </w:rPr>
      </w:pPr>
      <w:r>
        <w:rPr>
          <w:rFonts w:hint="eastAsia"/>
          <w:color w:val="auto"/>
          <w:lang w:val="en-US" w:eastAsia="zh-CN"/>
        </w:rPr>
        <w:t>附件一：保洁人员工服、鞋款式面料尺寸表</w:t>
      </w:r>
    </w:p>
    <w:tbl>
      <w:tblPr>
        <w:tblStyle w:val="47"/>
        <w:tblW w:w="89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8"/>
        <w:gridCol w:w="2251"/>
        <w:gridCol w:w="4146"/>
        <w:gridCol w:w="1096"/>
        <w:gridCol w:w="918"/>
      </w:tblGrid>
      <w:tr w14:paraId="26A83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D812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类别</w:t>
            </w:r>
          </w:p>
        </w:tc>
        <w:tc>
          <w:tcPr>
            <w:tcW w:w="2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2631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款式</w:t>
            </w:r>
          </w:p>
        </w:tc>
        <w:tc>
          <w:tcPr>
            <w:tcW w:w="4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FBD7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样板</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50E5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面料</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74BF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规格</w:t>
            </w:r>
          </w:p>
        </w:tc>
      </w:tr>
      <w:tr w14:paraId="5D3D6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C86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工作服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21D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HR-881款深蓝拼银灰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88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10795</wp:posOffset>
                  </wp:positionV>
                  <wp:extent cx="2605405" cy="3592830"/>
                  <wp:effectExtent l="0" t="0" r="4445" b="7620"/>
                  <wp:wrapNone/>
                  <wp:docPr id="3" name="图片_1"/>
                  <wp:cNvGraphicFramePr/>
                  <a:graphic xmlns:a="http://schemas.openxmlformats.org/drawingml/2006/main">
                    <a:graphicData uri="http://schemas.openxmlformats.org/drawingml/2006/picture">
                      <pic:pic xmlns:pic="http://schemas.openxmlformats.org/drawingml/2006/picture">
                        <pic:nvPicPr>
                          <pic:cNvPr id="3" name="图片_1"/>
                          <pic:cNvPicPr/>
                        </pic:nvPicPr>
                        <pic:blipFill>
                          <a:blip r:embed="rId14"/>
                          <a:stretch>
                            <a:fillRect/>
                          </a:stretch>
                        </pic:blipFill>
                        <pic:spPr>
                          <a:xfrm>
                            <a:off x="0" y="0"/>
                            <a:ext cx="2605405" cy="359283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FD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纯棉斜纹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06647">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S-3XL</w:t>
            </w:r>
          </w:p>
          <w:p w14:paraId="6B0C62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（码）</w:t>
            </w:r>
          </w:p>
        </w:tc>
      </w:tr>
      <w:tr w14:paraId="0D1F3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7C53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工作鞋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A6D9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WLY-908款黑色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DC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6985</wp:posOffset>
                  </wp:positionV>
                  <wp:extent cx="2597150" cy="2359660"/>
                  <wp:effectExtent l="0" t="0" r="12700" b="2540"/>
                  <wp:wrapNone/>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15"/>
                          <a:stretch>
                            <a:fillRect/>
                          </a:stretch>
                        </pic:blipFill>
                        <pic:spPr>
                          <a:xfrm>
                            <a:off x="0" y="0"/>
                            <a:ext cx="2597150" cy="235966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F6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382E0">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36-40</w:t>
            </w:r>
          </w:p>
          <w:p w14:paraId="0D7DF1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（码）</w:t>
            </w:r>
          </w:p>
        </w:tc>
      </w:tr>
    </w:tbl>
    <w:p w14:paraId="69321C29">
      <w:pPr>
        <w:snapToGrid w:val="0"/>
        <w:jc w:val="center"/>
        <w:rPr>
          <w:rFonts w:hint="eastAsia" w:ascii="仿宋" w:hAnsi="仿宋" w:eastAsia="仿宋"/>
          <w:bCs/>
          <w:color w:val="auto"/>
          <w:sz w:val="32"/>
          <w:szCs w:val="32"/>
        </w:rPr>
      </w:pPr>
    </w:p>
    <w:p w14:paraId="1B9BEF11">
      <w:pPr>
        <w:pStyle w:val="5"/>
        <w:rPr>
          <w:rFonts w:hint="eastAsia" w:ascii="仿宋" w:hAnsi="仿宋" w:eastAsia="仿宋"/>
          <w:bCs/>
          <w:color w:val="auto"/>
          <w:sz w:val="32"/>
          <w:szCs w:val="32"/>
        </w:rPr>
      </w:pPr>
    </w:p>
    <w:p w14:paraId="716D0076">
      <w:pPr>
        <w:rPr>
          <w:rFonts w:hint="eastAsia"/>
          <w:color w:val="auto"/>
        </w:rPr>
      </w:pPr>
    </w:p>
    <w:p w14:paraId="478215EB">
      <w:pPr>
        <w:pStyle w:val="5"/>
        <w:rPr>
          <w:rFonts w:hint="eastAsia"/>
          <w:color w:val="auto"/>
          <w:lang w:val="en-US" w:eastAsia="zh-CN"/>
        </w:rPr>
      </w:pPr>
      <w:bookmarkStart w:id="148" w:name="_Toc74320805"/>
      <w:r>
        <w:rPr>
          <w:rFonts w:hint="eastAsia"/>
          <w:color w:val="auto"/>
          <w:lang w:val="en-US" w:eastAsia="zh-CN"/>
        </w:rPr>
        <w:t>附件二：保洁、洗涤物料清单</w:t>
      </w:r>
    </w:p>
    <w:tbl>
      <w:tblPr>
        <w:tblStyle w:val="47"/>
        <w:tblW w:w="87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5"/>
        <w:gridCol w:w="3195"/>
        <w:gridCol w:w="3195"/>
        <w:gridCol w:w="1275"/>
      </w:tblGrid>
      <w:tr w14:paraId="281AA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70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8C3BA">
            <w:pPr>
              <w:keepNext w:val="0"/>
              <w:keepLines w:val="0"/>
              <w:widowControl/>
              <w:suppressLineNumbers w:val="0"/>
              <w:jc w:val="center"/>
              <w:textAlignment w:val="center"/>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保洁、洗涤物料清单</w:t>
            </w:r>
          </w:p>
        </w:tc>
      </w:tr>
      <w:tr w14:paraId="6733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58099">
            <w:pPr>
              <w:keepNext w:val="0"/>
              <w:keepLines w:val="0"/>
              <w:widowControl/>
              <w:suppressLineNumbers w:val="0"/>
              <w:jc w:val="center"/>
              <w:textAlignment w:val="center"/>
              <w:rPr>
                <w:rFonts w:hint="eastAsia" w:ascii="宋体" w:hAnsi="宋体" w:eastAsia="宋体" w:cs="宋体"/>
                <w:b/>
                <w:bCs/>
                <w:i w:val="0"/>
                <w:iCs w:val="0"/>
                <w:color w:val="auto"/>
                <w:sz w:val="26"/>
                <w:szCs w:val="26"/>
                <w:u w:val="none"/>
              </w:rPr>
            </w:pPr>
            <w:r>
              <w:rPr>
                <w:rFonts w:hint="eastAsia" w:ascii="宋体" w:hAnsi="宋体" w:eastAsia="宋体" w:cs="宋体"/>
                <w:b/>
                <w:bCs/>
                <w:i w:val="0"/>
                <w:iCs w:val="0"/>
                <w:color w:val="auto"/>
                <w:kern w:val="0"/>
                <w:sz w:val="26"/>
                <w:szCs w:val="26"/>
                <w:u w:val="none"/>
                <w:lang w:val="en-US" w:eastAsia="zh-CN" w:bidi="ar"/>
              </w:rPr>
              <w:t>序号</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FB84">
            <w:pPr>
              <w:keepNext w:val="0"/>
              <w:keepLines w:val="0"/>
              <w:widowControl/>
              <w:suppressLineNumbers w:val="0"/>
              <w:jc w:val="center"/>
              <w:textAlignment w:val="center"/>
              <w:rPr>
                <w:rFonts w:hint="eastAsia" w:ascii="宋体" w:hAnsi="宋体" w:eastAsia="宋体" w:cs="宋体"/>
                <w:b/>
                <w:bCs/>
                <w:i w:val="0"/>
                <w:iCs w:val="0"/>
                <w:color w:val="auto"/>
                <w:sz w:val="26"/>
                <w:szCs w:val="26"/>
                <w:u w:val="none"/>
              </w:rPr>
            </w:pPr>
            <w:r>
              <w:rPr>
                <w:rFonts w:hint="eastAsia" w:ascii="宋体" w:hAnsi="宋体" w:eastAsia="宋体" w:cs="宋体"/>
                <w:b/>
                <w:bCs/>
                <w:i w:val="0"/>
                <w:iCs w:val="0"/>
                <w:color w:val="auto"/>
                <w:kern w:val="0"/>
                <w:sz w:val="26"/>
                <w:szCs w:val="26"/>
                <w:u w:val="none"/>
                <w:lang w:val="en-US" w:eastAsia="zh-CN" w:bidi="ar"/>
              </w:rPr>
              <w:t>物品名称</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7166">
            <w:pPr>
              <w:keepNext w:val="0"/>
              <w:keepLines w:val="0"/>
              <w:widowControl/>
              <w:suppressLineNumbers w:val="0"/>
              <w:jc w:val="center"/>
              <w:textAlignment w:val="center"/>
              <w:rPr>
                <w:rFonts w:hint="eastAsia" w:ascii="宋体" w:hAnsi="宋体" w:eastAsia="宋体" w:cs="宋体"/>
                <w:b/>
                <w:bCs/>
                <w:i w:val="0"/>
                <w:iCs w:val="0"/>
                <w:color w:val="auto"/>
                <w:sz w:val="26"/>
                <w:szCs w:val="26"/>
                <w:u w:val="none"/>
              </w:rPr>
            </w:pPr>
            <w:r>
              <w:rPr>
                <w:rFonts w:hint="eastAsia" w:ascii="宋体" w:hAnsi="宋体" w:eastAsia="宋体" w:cs="宋体"/>
                <w:b/>
                <w:bCs/>
                <w:i w:val="0"/>
                <w:iCs w:val="0"/>
                <w:color w:val="auto"/>
                <w:kern w:val="0"/>
                <w:sz w:val="26"/>
                <w:szCs w:val="26"/>
                <w:u w:val="none"/>
                <w:lang w:val="en-US" w:eastAsia="zh-CN" w:bidi="ar"/>
              </w:rPr>
              <w:t>规格</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9910">
            <w:pPr>
              <w:keepNext w:val="0"/>
              <w:keepLines w:val="0"/>
              <w:widowControl/>
              <w:suppressLineNumbers w:val="0"/>
              <w:jc w:val="center"/>
              <w:textAlignment w:val="center"/>
              <w:rPr>
                <w:rFonts w:hint="eastAsia" w:ascii="宋体" w:hAnsi="宋体" w:eastAsia="宋体" w:cs="宋体"/>
                <w:b/>
                <w:bCs/>
                <w:i w:val="0"/>
                <w:iCs w:val="0"/>
                <w:color w:val="auto"/>
                <w:sz w:val="26"/>
                <w:szCs w:val="26"/>
                <w:u w:val="none"/>
              </w:rPr>
            </w:pPr>
            <w:r>
              <w:rPr>
                <w:rFonts w:hint="eastAsia" w:ascii="宋体" w:hAnsi="宋体" w:eastAsia="宋体" w:cs="宋体"/>
                <w:b/>
                <w:bCs/>
                <w:i w:val="0"/>
                <w:iCs w:val="0"/>
                <w:color w:val="auto"/>
                <w:kern w:val="0"/>
                <w:sz w:val="26"/>
                <w:szCs w:val="26"/>
                <w:u w:val="none"/>
                <w:lang w:val="en-US" w:eastAsia="zh-CN" w:bidi="ar"/>
              </w:rPr>
              <w:t>单位</w:t>
            </w:r>
          </w:p>
        </w:tc>
      </w:tr>
      <w:tr w14:paraId="4827D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EF9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81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强力洗衣粉</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D0B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20kg</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65B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袋</w:t>
            </w:r>
          </w:p>
        </w:tc>
      </w:tr>
      <w:tr w14:paraId="6425D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CB98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204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彩漂粉</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EAE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20kg</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75C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袋</w:t>
            </w:r>
          </w:p>
        </w:tc>
      </w:tr>
      <w:tr w14:paraId="6D422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E526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C8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油污乳化剂</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F11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20kg</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4B0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桶</w:t>
            </w:r>
          </w:p>
        </w:tc>
      </w:tr>
      <w:tr w14:paraId="2C8C9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41E2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4</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420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氯漂粉</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F9C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20kg</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9E6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袋</w:t>
            </w:r>
          </w:p>
        </w:tc>
      </w:tr>
      <w:tr w14:paraId="719AA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4B6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5</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36F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汰渍洗衣粉</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926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508g*12包</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91E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件</w:t>
            </w:r>
          </w:p>
        </w:tc>
      </w:tr>
      <w:tr w14:paraId="12BC3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5C3D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6</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64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黄色加厚胶手套</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1C6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小码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743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w:t>
            </w:r>
          </w:p>
        </w:tc>
      </w:tr>
      <w:tr w14:paraId="3EC24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3D09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7</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BBB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黄色加厚胶手套</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257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中码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9EE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w:t>
            </w:r>
          </w:p>
        </w:tc>
      </w:tr>
      <w:tr w14:paraId="4DB16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695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8</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AE20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黄色加厚胶手套</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F9C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大码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AEC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w:t>
            </w:r>
          </w:p>
        </w:tc>
      </w:tr>
      <w:tr w14:paraId="7B645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A17C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9</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B2E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一次性TPE手套</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6CA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中码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ADB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w:t>
            </w:r>
          </w:p>
        </w:tc>
      </w:tr>
      <w:tr w14:paraId="3AF34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9467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10</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F113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一次性TPE手套</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A5F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大码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5A4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w:t>
            </w:r>
          </w:p>
        </w:tc>
      </w:tr>
      <w:tr w14:paraId="5FDCF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2285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11</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316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一次性薄膜手套</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2963">
            <w:pPr>
              <w:jc w:val="center"/>
              <w:rPr>
                <w:rFonts w:hint="eastAsia" w:ascii="宋体" w:hAnsi="宋体" w:eastAsia="宋体" w:cs="宋体"/>
                <w:i w:val="0"/>
                <w:iCs w:val="0"/>
                <w:color w:val="auto"/>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DA3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只</w:t>
            </w:r>
          </w:p>
        </w:tc>
      </w:tr>
      <w:tr w14:paraId="64A2F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9119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12</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F133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垃圾袋</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901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34F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件</w:t>
            </w:r>
          </w:p>
        </w:tc>
      </w:tr>
      <w:tr w14:paraId="1352D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1FE2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13</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EEF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垃圾袋</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7B3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E6A6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件</w:t>
            </w:r>
          </w:p>
        </w:tc>
      </w:tr>
      <w:tr w14:paraId="08E15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C2C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14</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576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垃圾袋</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DC3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B4B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件</w:t>
            </w:r>
          </w:p>
        </w:tc>
      </w:tr>
      <w:tr w14:paraId="470F6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AE3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15</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C7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垃圾袋</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525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8D7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件</w:t>
            </w:r>
          </w:p>
        </w:tc>
      </w:tr>
      <w:tr w14:paraId="66FB0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9A95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16</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EFF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垃圾袋</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364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D8AF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件</w:t>
            </w:r>
          </w:p>
        </w:tc>
      </w:tr>
      <w:tr w14:paraId="3BDCF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165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17</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3C2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拖把</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AE85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木手柄、塑料头套</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D0B1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把</w:t>
            </w:r>
          </w:p>
        </w:tc>
      </w:tr>
      <w:tr w14:paraId="68A3C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567F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18</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C92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扫把</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865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木手柄</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CC6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把</w:t>
            </w:r>
          </w:p>
        </w:tc>
      </w:tr>
      <w:tr w14:paraId="77853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5F37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19</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7B52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软扫把</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5C4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不锈钢手柄</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D1F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把</w:t>
            </w:r>
          </w:p>
        </w:tc>
      </w:tr>
      <w:tr w14:paraId="2FD25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FD44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20</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37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塑料地刷</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106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木手柄</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2B7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把</w:t>
            </w:r>
          </w:p>
        </w:tc>
      </w:tr>
      <w:tr w14:paraId="44C5D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6F45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21</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E27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蜘蛛扫</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E47D">
            <w:pPr>
              <w:jc w:val="center"/>
              <w:rPr>
                <w:rFonts w:hint="eastAsia" w:ascii="宋体" w:hAnsi="宋体" w:eastAsia="宋体" w:cs="宋体"/>
                <w:i w:val="0"/>
                <w:iCs w:val="0"/>
                <w:color w:val="auto"/>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D71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把</w:t>
            </w:r>
          </w:p>
        </w:tc>
      </w:tr>
      <w:tr w14:paraId="6C7FE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AB12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22</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77F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加厚抹布</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D63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红色</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7F57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张</w:t>
            </w:r>
          </w:p>
        </w:tc>
      </w:tr>
      <w:tr w14:paraId="1F577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129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23</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D08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加厚抹布</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D66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绿色</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1FEE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张</w:t>
            </w:r>
          </w:p>
        </w:tc>
      </w:tr>
      <w:tr w14:paraId="43888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7E1F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24</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B0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加厚抹布</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3706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黄色</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2A3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张</w:t>
            </w:r>
          </w:p>
        </w:tc>
      </w:tr>
      <w:tr w14:paraId="583E6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D619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25</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BD1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扫把套抹布</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48BE">
            <w:pPr>
              <w:jc w:val="center"/>
              <w:rPr>
                <w:rFonts w:hint="eastAsia" w:ascii="宋体" w:hAnsi="宋体" w:eastAsia="宋体" w:cs="宋体"/>
                <w:i w:val="0"/>
                <w:iCs w:val="0"/>
                <w:color w:val="auto"/>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B0F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张</w:t>
            </w:r>
          </w:p>
        </w:tc>
      </w:tr>
      <w:tr w14:paraId="36B60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4170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26</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3B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马桶刷</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3EE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木手柄</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E16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把</w:t>
            </w:r>
          </w:p>
        </w:tc>
      </w:tr>
      <w:tr w14:paraId="6040C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A4A9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27</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1237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口罩</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4FF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医用外科口罩</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BB8F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只</w:t>
            </w:r>
          </w:p>
        </w:tc>
      </w:tr>
      <w:tr w14:paraId="11D01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702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28</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E46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一次性使用帽子</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9A2F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机制圆顶</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AE9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个</w:t>
            </w:r>
          </w:p>
        </w:tc>
      </w:tr>
      <w:tr w14:paraId="19D97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378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29</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9EC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消佳净</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D5F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30*400g</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9A3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件</w:t>
            </w:r>
          </w:p>
        </w:tc>
      </w:tr>
      <w:tr w14:paraId="57D8C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EA4A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30</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6DD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75%酒精</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4ACB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500mg/瓶</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BCD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瓶</w:t>
            </w:r>
          </w:p>
        </w:tc>
      </w:tr>
      <w:tr w14:paraId="710CA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A58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31</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18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佳润牌皮肤消毒液</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6AC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200ml(压嘴型)</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84E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瓶</w:t>
            </w:r>
          </w:p>
        </w:tc>
      </w:tr>
      <w:tr w14:paraId="025C4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4AD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32</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9A7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火钳</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5D4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扁口</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DFF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把</w:t>
            </w:r>
          </w:p>
        </w:tc>
      </w:tr>
      <w:tr w14:paraId="75A64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3F8C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33</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DB17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铁垃圾铲</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BE2F">
            <w:pPr>
              <w:jc w:val="center"/>
              <w:rPr>
                <w:rFonts w:hint="eastAsia" w:ascii="宋体" w:hAnsi="宋体" w:eastAsia="宋体" w:cs="宋体"/>
                <w:i w:val="0"/>
                <w:iCs w:val="0"/>
                <w:color w:val="auto"/>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823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把</w:t>
            </w:r>
          </w:p>
        </w:tc>
      </w:tr>
      <w:tr w14:paraId="194B5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F6B5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34</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511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大钢丝球</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9FF2F">
            <w:pPr>
              <w:jc w:val="center"/>
              <w:rPr>
                <w:rFonts w:hint="eastAsia" w:ascii="宋体" w:hAnsi="宋体" w:eastAsia="宋体" w:cs="宋体"/>
                <w:i w:val="0"/>
                <w:iCs w:val="0"/>
                <w:color w:val="auto"/>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5FD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只</w:t>
            </w:r>
          </w:p>
        </w:tc>
      </w:tr>
      <w:tr w14:paraId="49EE6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64C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35</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859C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高浓度草酸</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7B7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5kg</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E63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桶</w:t>
            </w:r>
          </w:p>
        </w:tc>
      </w:tr>
      <w:tr w14:paraId="19536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3FC6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36</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E72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肥皂</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3860">
            <w:pPr>
              <w:jc w:val="center"/>
              <w:rPr>
                <w:rFonts w:hint="eastAsia" w:ascii="宋体" w:hAnsi="宋体" w:eastAsia="宋体" w:cs="宋体"/>
                <w:i w:val="0"/>
                <w:iCs w:val="0"/>
                <w:color w:val="auto"/>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C9D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块</w:t>
            </w:r>
          </w:p>
        </w:tc>
      </w:tr>
      <w:tr w14:paraId="520C2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22B7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37</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A43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修剪草坪强力大剪刀</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FBD6">
            <w:pPr>
              <w:jc w:val="center"/>
              <w:rPr>
                <w:rFonts w:hint="eastAsia" w:ascii="宋体" w:hAnsi="宋体" w:eastAsia="宋体" w:cs="宋体"/>
                <w:i w:val="0"/>
                <w:iCs w:val="0"/>
                <w:color w:val="auto"/>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C68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把</w:t>
            </w:r>
          </w:p>
        </w:tc>
      </w:tr>
      <w:tr w14:paraId="478ED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4119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38</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078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修树枝平头柴刀</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465D">
            <w:pPr>
              <w:jc w:val="center"/>
              <w:rPr>
                <w:rFonts w:hint="eastAsia" w:ascii="宋体" w:hAnsi="宋体" w:eastAsia="宋体" w:cs="宋体"/>
                <w:i w:val="0"/>
                <w:iCs w:val="0"/>
                <w:color w:val="auto"/>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6AE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把</w:t>
            </w:r>
          </w:p>
        </w:tc>
      </w:tr>
      <w:tr w14:paraId="0FDCB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F5BA1">
            <w:pPr>
              <w:keepNext w:val="0"/>
              <w:keepLines w:val="0"/>
              <w:widowControl/>
              <w:suppressLineNumbers w:val="0"/>
              <w:jc w:val="righ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备注：</w:t>
            </w:r>
          </w:p>
        </w:tc>
        <w:tc>
          <w:tcPr>
            <w:tcW w:w="766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FFC2">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以上清单未涉及的物料品种可根据实际服务需要由乙方另行增加</w:t>
            </w:r>
          </w:p>
        </w:tc>
      </w:tr>
    </w:tbl>
    <w:p w14:paraId="49FF8241">
      <w:pPr>
        <w:pStyle w:val="2"/>
        <w:jc w:val="center"/>
        <w:rPr>
          <w:rFonts w:hint="eastAsia" w:ascii="仿宋" w:hAnsi="仿宋" w:eastAsia="仿宋"/>
          <w:color w:val="auto"/>
        </w:rPr>
      </w:pPr>
    </w:p>
    <w:p w14:paraId="604AA33F">
      <w:pPr>
        <w:pStyle w:val="2"/>
        <w:jc w:val="center"/>
        <w:rPr>
          <w:rFonts w:hint="eastAsia" w:ascii="仿宋" w:hAnsi="仿宋" w:eastAsia="仿宋"/>
          <w:color w:val="auto"/>
        </w:rPr>
      </w:pPr>
    </w:p>
    <w:p w14:paraId="39708B49">
      <w:pPr>
        <w:pStyle w:val="2"/>
        <w:jc w:val="center"/>
        <w:rPr>
          <w:rFonts w:hint="eastAsia" w:ascii="仿宋" w:hAnsi="仿宋" w:eastAsia="仿宋"/>
          <w:color w:val="auto"/>
        </w:rPr>
      </w:pPr>
    </w:p>
    <w:p w14:paraId="6AE014B7">
      <w:pPr>
        <w:rPr>
          <w:rFonts w:hint="eastAsia" w:ascii="仿宋" w:hAnsi="仿宋" w:eastAsia="仿宋"/>
          <w:color w:val="auto"/>
        </w:rPr>
      </w:pPr>
    </w:p>
    <w:p w14:paraId="51126A1F">
      <w:pPr>
        <w:pStyle w:val="5"/>
        <w:rPr>
          <w:rFonts w:hint="eastAsia" w:ascii="仿宋" w:hAnsi="仿宋" w:eastAsia="仿宋"/>
          <w:color w:val="auto"/>
        </w:rPr>
      </w:pPr>
    </w:p>
    <w:p w14:paraId="3B23D8E5">
      <w:pPr>
        <w:rPr>
          <w:rFonts w:hint="eastAsia" w:ascii="仿宋" w:hAnsi="仿宋" w:eastAsia="仿宋"/>
          <w:color w:val="auto"/>
        </w:rPr>
      </w:pPr>
    </w:p>
    <w:p w14:paraId="700EC237">
      <w:pPr>
        <w:pStyle w:val="5"/>
        <w:rPr>
          <w:rFonts w:hint="eastAsia" w:ascii="仿宋" w:hAnsi="仿宋" w:eastAsia="仿宋"/>
          <w:color w:val="auto"/>
        </w:rPr>
      </w:pPr>
    </w:p>
    <w:p w14:paraId="04C9EFE6">
      <w:pPr>
        <w:rPr>
          <w:rFonts w:hint="eastAsia" w:ascii="仿宋" w:hAnsi="仿宋" w:eastAsia="仿宋"/>
          <w:color w:val="auto"/>
        </w:rPr>
      </w:pPr>
    </w:p>
    <w:p w14:paraId="74E55ED3">
      <w:pPr>
        <w:pStyle w:val="5"/>
        <w:rPr>
          <w:rFonts w:hint="eastAsia" w:ascii="仿宋" w:hAnsi="仿宋" w:eastAsia="仿宋"/>
          <w:color w:val="auto"/>
        </w:rPr>
      </w:pPr>
    </w:p>
    <w:p w14:paraId="2E1EF188">
      <w:pPr>
        <w:rPr>
          <w:rFonts w:hint="eastAsia" w:ascii="仿宋" w:hAnsi="仿宋" w:eastAsia="仿宋"/>
          <w:color w:val="auto"/>
        </w:rPr>
      </w:pPr>
    </w:p>
    <w:p w14:paraId="4E94BB7E">
      <w:pPr>
        <w:pStyle w:val="5"/>
        <w:rPr>
          <w:rFonts w:hint="eastAsia" w:ascii="仿宋" w:hAnsi="仿宋" w:eastAsia="仿宋"/>
          <w:color w:val="auto"/>
        </w:rPr>
      </w:pPr>
    </w:p>
    <w:p w14:paraId="53F72335">
      <w:pPr>
        <w:rPr>
          <w:rFonts w:hint="eastAsia" w:ascii="仿宋" w:hAnsi="仿宋" w:eastAsia="仿宋"/>
          <w:color w:val="auto"/>
        </w:rPr>
      </w:pPr>
    </w:p>
    <w:p w14:paraId="3ABE5CB7">
      <w:pPr>
        <w:pStyle w:val="5"/>
        <w:rPr>
          <w:rFonts w:hint="eastAsia" w:ascii="仿宋" w:hAnsi="仿宋" w:eastAsia="仿宋"/>
          <w:color w:val="auto"/>
        </w:rPr>
      </w:pPr>
    </w:p>
    <w:p w14:paraId="521CCA3D">
      <w:pPr>
        <w:rPr>
          <w:rFonts w:hint="eastAsia" w:ascii="仿宋" w:hAnsi="仿宋" w:eastAsia="仿宋"/>
          <w:color w:val="auto"/>
        </w:rPr>
      </w:pPr>
    </w:p>
    <w:p w14:paraId="3A1EB080">
      <w:pPr>
        <w:pStyle w:val="5"/>
        <w:rPr>
          <w:rFonts w:hint="eastAsia" w:ascii="仿宋" w:hAnsi="仿宋" w:eastAsia="仿宋"/>
          <w:color w:val="auto"/>
        </w:rPr>
      </w:pPr>
    </w:p>
    <w:p w14:paraId="08222500">
      <w:pPr>
        <w:rPr>
          <w:rFonts w:hint="eastAsia" w:ascii="仿宋" w:hAnsi="仿宋" w:eastAsia="仿宋"/>
          <w:color w:val="auto"/>
        </w:rPr>
      </w:pPr>
    </w:p>
    <w:p w14:paraId="50BC191B">
      <w:pPr>
        <w:pStyle w:val="5"/>
        <w:rPr>
          <w:rFonts w:hint="eastAsia" w:ascii="仿宋" w:hAnsi="仿宋" w:eastAsia="仿宋"/>
          <w:color w:val="auto"/>
        </w:rPr>
      </w:pPr>
    </w:p>
    <w:p w14:paraId="0206AEDA">
      <w:pPr>
        <w:rPr>
          <w:rFonts w:hint="eastAsia" w:ascii="仿宋" w:hAnsi="仿宋" w:eastAsia="仿宋"/>
          <w:color w:val="auto"/>
        </w:rPr>
      </w:pPr>
    </w:p>
    <w:p w14:paraId="19847FA5">
      <w:pPr>
        <w:pStyle w:val="5"/>
        <w:rPr>
          <w:rFonts w:hint="eastAsia" w:ascii="仿宋" w:hAnsi="仿宋" w:eastAsia="仿宋"/>
          <w:color w:val="auto"/>
        </w:rPr>
      </w:pPr>
    </w:p>
    <w:p w14:paraId="274CE438">
      <w:pPr>
        <w:rPr>
          <w:rFonts w:hint="eastAsia" w:ascii="仿宋" w:hAnsi="仿宋" w:eastAsia="仿宋"/>
          <w:color w:val="auto"/>
        </w:rPr>
      </w:pPr>
    </w:p>
    <w:p w14:paraId="74B59F13">
      <w:pPr>
        <w:pStyle w:val="5"/>
        <w:rPr>
          <w:rFonts w:hint="eastAsia" w:ascii="仿宋" w:hAnsi="仿宋" w:eastAsia="仿宋"/>
          <w:color w:val="auto"/>
        </w:rPr>
      </w:pPr>
    </w:p>
    <w:p w14:paraId="71196331">
      <w:pPr>
        <w:rPr>
          <w:rFonts w:hint="eastAsia" w:ascii="仿宋" w:hAnsi="仿宋" w:eastAsia="仿宋"/>
          <w:color w:val="auto"/>
        </w:rPr>
      </w:pPr>
    </w:p>
    <w:p w14:paraId="2423B0AE">
      <w:pPr>
        <w:pStyle w:val="5"/>
        <w:rPr>
          <w:rFonts w:hint="eastAsia" w:ascii="仿宋" w:hAnsi="仿宋" w:eastAsia="仿宋"/>
          <w:color w:val="auto"/>
        </w:rPr>
      </w:pPr>
    </w:p>
    <w:p w14:paraId="17E9881B">
      <w:pPr>
        <w:rPr>
          <w:rFonts w:hint="eastAsia" w:ascii="仿宋" w:hAnsi="仿宋" w:eastAsia="仿宋"/>
          <w:color w:val="auto"/>
        </w:rPr>
      </w:pPr>
    </w:p>
    <w:p w14:paraId="2FCA0703">
      <w:pPr>
        <w:pStyle w:val="5"/>
        <w:rPr>
          <w:rFonts w:hint="eastAsia" w:ascii="仿宋" w:hAnsi="仿宋" w:eastAsia="仿宋"/>
          <w:color w:val="auto"/>
        </w:rPr>
      </w:pPr>
    </w:p>
    <w:p w14:paraId="609027D5">
      <w:pPr>
        <w:rPr>
          <w:rFonts w:hint="eastAsia"/>
          <w:color w:val="auto"/>
        </w:rPr>
      </w:pPr>
    </w:p>
    <w:p w14:paraId="319F622F">
      <w:pPr>
        <w:pStyle w:val="2"/>
        <w:jc w:val="center"/>
        <w:rPr>
          <w:rFonts w:hint="eastAsia" w:ascii="仿宋" w:hAnsi="仿宋" w:eastAsia="仿宋"/>
          <w:color w:val="auto"/>
        </w:rPr>
      </w:pPr>
      <w:bookmarkStart w:id="149" w:name="_Toc12121"/>
      <w:r>
        <w:rPr>
          <w:rFonts w:hint="eastAsia" w:ascii="仿宋" w:hAnsi="仿宋" w:eastAsia="仿宋"/>
          <w:color w:val="auto"/>
        </w:rPr>
        <w:t>第六章　投标文件格式</w:t>
      </w:r>
      <w:bookmarkEnd w:id="148"/>
      <w:bookmarkEnd w:id="149"/>
    </w:p>
    <w:p w14:paraId="5E428F1F">
      <w:pPr>
        <w:snapToGrid w:val="0"/>
        <w:spacing w:before="50" w:after="50"/>
        <w:outlineLvl w:val="1"/>
        <w:rPr>
          <w:rFonts w:hint="eastAsia" w:ascii="仿宋" w:hAnsi="仿宋" w:eastAsia="仿宋"/>
          <w:color w:val="auto"/>
          <w:sz w:val="32"/>
          <w:szCs w:val="20"/>
        </w:rPr>
      </w:pPr>
    </w:p>
    <w:p w14:paraId="0E99137A">
      <w:pPr>
        <w:snapToGrid w:val="0"/>
        <w:spacing w:before="50" w:after="50"/>
        <w:outlineLvl w:val="1"/>
        <w:rPr>
          <w:rFonts w:hint="eastAsia" w:ascii="仿宋" w:hAnsi="仿宋" w:eastAsia="仿宋"/>
          <w:color w:val="auto"/>
          <w:sz w:val="32"/>
          <w:szCs w:val="20"/>
        </w:rPr>
      </w:pPr>
    </w:p>
    <w:p w14:paraId="1231984C">
      <w:pPr>
        <w:snapToGrid w:val="0"/>
        <w:spacing w:before="50" w:after="50"/>
        <w:outlineLvl w:val="1"/>
        <w:rPr>
          <w:rFonts w:hint="eastAsia" w:ascii="仿宋" w:hAnsi="仿宋" w:eastAsia="仿宋"/>
          <w:color w:val="auto"/>
          <w:sz w:val="32"/>
          <w:szCs w:val="20"/>
        </w:rPr>
      </w:pPr>
    </w:p>
    <w:p w14:paraId="10CEF575">
      <w:pPr>
        <w:snapToGrid w:val="0"/>
        <w:spacing w:before="50" w:after="50"/>
        <w:outlineLvl w:val="1"/>
        <w:rPr>
          <w:rFonts w:hint="eastAsia" w:ascii="仿宋" w:hAnsi="仿宋" w:eastAsia="仿宋"/>
          <w:color w:val="auto"/>
          <w:sz w:val="32"/>
          <w:szCs w:val="20"/>
        </w:rPr>
      </w:pPr>
    </w:p>
    <w:p w14:paraId="1EF4B26F">
      <w:pPr>
        <w:snapToGrid w:val="0"/>
        <w:spacing w:before="50" w:after="50"/>
        <w:outlineLvl w:val="1"/>
        <w:rPr>
          <w:rFonts w:hint="eastAsia" w:ascii="仿宋" w:hAnsi="仿宋" w:eastAsia="仿宋"/>
          <w:color w:val="auto"/>
          <w:sz w:val="32"/>
          <w:szCs w:val="20"/>
        </w:rPr>
      </w:pPr>
    </w:p>
    <w:p w14:paraId="14CAAE97">
      <w:pPr>
        <w:snapToGrid w:val="0"/>
        <w:spacing w:before="50" w:after="50"/>
        <w:outlineLvl w:val="1"/>
        <w:rPr>
          <w:rFonts w:hint="eastAsia" w:ascii="仿宋" w:hAnsi="仿宋" w:eastAsia="仿宋"/>
          <w:color w:val="auto"/>
          <w:sz w:val="32"/>
          <w:szCs w:val="20"/>
        </w:rPr>
      </w:pPr>
    </w:p>
    <w:p w14:paraId="64E09D0A">
      <w:pPr>
        <w:snapToGrid w:val="0"/>
        <w:spacing w:before="50" w:after="50"/>
        <w:outlineLvl w:val="1"/>
        <w:rPr>
          <w:rFonts w:hint="eastAsia" w:ascii="仿宋" w:hAnsi="仿宋" w:eastAsia="仿宋"/>
          <w:color w:val="auto"/>
          <w:sz w:val="32"/>
          <w:szCs w:val="20"/>
        </w:rPr>
      </w:pPr>
    </w:p>
    <w:p w14:paraId="03E025A7">
      <w:pPr>
        <w:snapToGrid w:val="0"/>
        <w:spacing w:before="50" w:after="50"/>
        <w:outlineLvl w:val="1"/>
        <w:rPr>
          <w:rFonts w:hint="eastAsia" w:ascii="仿宋" w:hAnsi="仿宋" w:eastAsia="仿宋"/>
          <w:color w:val="auto"/>
          <w:sz w:val="32"/>
          <w:szCs w:val="20"/>
        </w:rPr>
      </w:pPr>
    </w:p>
    <w:p w14:paraId="482ADDA7">
      <w:pPr>
        <w:snapToGrid w:val="0"/>
        <w:spacing w:before="50" w:after="50"/>
        <w:outlineLvl w:val="1"/>
        <w:rPr>
          <w:rFonts w:hint="eastAsia" w:ascii="仿宋" w:hAnsi="仿宋" w:eastAsia="仿宋"/>
          <w:color w:val="auto"/>
          <w:sz w:val="32"/>
          <w:szCs w:val="20"/>
        </w:rPr>
      </w:pPr>
    </w:p>
    <w:p w14:paraId="51D4D27E">
      <w:pPr>
        <w:snapToGrid w:val="0"/>
        <w:spacing w:beforeLines="50" w:after="50"/>
        <w:jc w:val="center"/>
        <w:outlineLvl w:val="1"/>
        <w:rPr>
          <w:rFonts w:hint="eastAsia" w:ascii="仿宋" w:hAnsi="仿宋" w:eastAsia="仿宋"/>
          <w:color w:val="auto"/>
        </w:rPr>
      </w:pPr>
    </w:p>
    <w:p w14:paraId="040A2438">
      <w:pPr>
        <w:rPr>
          <w:rFonts w:hint="eastAsia" w:ascii="仿宋" w:hAnsi="仿宋" w:eastAsia="仿宋"/>
          <w:b/>
          <w:color w:val="auto"/>
          <w:sz w:val="28"/>
          <w:szCs w:val="28"/>
        </w:rPr>
      </w:pPr>
      <w:bookmarkStart w:id="150" w:name="_Toc19686836"/>
      <w:bookmarkStart w:id="151" w:name="_Toc254970557"/>
      <w:bookmarkStart w:id="152" w:name="_Toc254970698"/>
      <w:r>
        <w:rPr>
          <w:rFonts w:ascii="仿宋" w:hAnsi="仿宋" w:eastAsia="仿宋"/>
          <w:b/>
          <w:color w:val="auto"/>
          <w:sz w:val="28"/>
          <w:szCs w:val="28"/>
        </w:rPr>
        <w:br w:type="page"/>
      </w:r>
      <w:r>
        <w:rPr>
          <w:rFonts w:hint="eastAsia" w:ascii="仿宋" w:hAnsi="仿宋" w:eastAsia="仿宋"/>
          <w:b/>
          <w:color w:val="auto"/>
          <w:sz w:val="28"/>
          <w:szCs w:val="28"/>
        </w:rPr>
        <w:t>一、报价文件格式</w:t>
      </w:r>
      <w:bookmarkEnd w:id="150"/>
    </w:p>
    <w:p w14:paraId="38DFFA37">
      <w:pPr>
        <w:snapToGrid w:val="0"/>
        <w:spacing w:beforeLines="50" w:after="50" w:line="360" w:lineRule="auto"/>
        <w:ind w:left="142"/>
        <w:jc w:val="left"/>
        <w:rPr>
          <w:rFonts w:hint="eastAsia" w:ascii="仿宋" w:hAnsi="仿宋" w:eastAsia="仿宋"/>
          <w:color w:val="auto"/>
          <w:sz w:val="24"/>
          <w:szCs w:val="20"/>
        </w:rPr>
      </w:pPr>
      <w:r>
        <w:rPr>
          <w:rFonts w:hint="eastAsia" w:ascii="仿宋" w:hAnsi="仿宋" w:eastAsia="仿宋"/>
          <w:b/>
          <w:color w:val="auto"/>
          <w:sz w:val="24"/>
        </w:rPr>
        <w:t xml:space="preserve">1. 报价文件封面格式： </w:t>
      </w:r>
    </w:p>
    <w:p w14:paraId="2205CC5A">
      <w:pPr>
        <w:snapToGrid w:val="0"/>
        <w:spacing w:beforeLines="50" w:after="50" w:line="400" w:lineRule="exact"/>
        <w:rPr>
          <w:rFonts w:hint="eastAsia" w:ascii="仿宋" w:hAnsi="仿宋" w:eastAsia="仿宋"/>
          <w:bCs/>
          <w:color w:val="auto"/>
          <w:sz w:val="32"/>
          <w:szCs w:val="20"/>
        </w:rPr>
      </w:pPr>
      <w:r>
        <w:rPr>
          <w:rFonts w:hint="eastAsia" w:ascii="仿宋" w:hAnsi="仿宋" w:eastAsia="仿宋"/>
          <w:color w:val="auto"/>
          <w:sz w:val="24"/>
        </w:rPr>
        <w:t xml:space="preserve">                                                   </w:t>
      </w:r>
    </w:p>
    <w:p w14:paraId="70186260">
      <w:pPr>
        <w:snapToGrid w:val="0"/>
        <w:spacing w:beforeLines="50" w:after="50" w:line="400" w:lineRule="exact"/>
        <w:jc w:val="center"/>
        <w:rPr>
          <w:rFonts w:hint="eastAsia" w:ascii="仿宋" w:hAnsi="仿宋" w:eastAsia="仿宋"/>
          <w:bCs/>
          <w:color w:val="auto"/>
          <w:sz w:val="24"/>
          <w:szCs w:val="20"/>
        </w:rPr>
      </w:pPr>
    </w:p>
    <w:p w14:paraId="11CABA9A">
      <w:pPr>
        <w:snapToGrid w:val="0"/>
        <w:spacing w:beforeLines="50" w:after="50"/>
        <w:jc w:val="center"/>
        <w:rPr>
          <w:rFonts w:hint="eastAsia" w:ascii="仿宋" w:hAnsi="仿宋" w:eastAsia="仿宋" w:cs="方正小标宋简体"/>
          <w:color w:val="auto"/>
          <w:sz w:val="84"/>
          <w:szCs w:val="84"/>
        </w:rPr>
      </w:pPr>
      <w:r>
        <w:rPr>
          <w:rFonts w:hint="eastAsia" w:ascii="仿宋" w:hAnsi="仿宋" w:eastAsia="仿宋" w:cs="方正小标宋简体"/>
          <w:color w:val="auto"/>
          <w:sz w:val="84"/>
          <w:szCs w:val="84"/>
        </w:rPr>
        <w:t>投  标  文  件</w:t>
      </w:r>
    </w:p>
    <w:p w14:paraId="30290A32">
      <w:pPr>
        <w:snapToGrid w:val="0"/>
        <w:spacing w:beforeLines="50" w:after="50" w:line="400" w:lineRule="exact"/>
        <w:jc w:val="center"/>
        <w:rPr>
          <w:rFonts w:hint="eastAsia" w:ascii="仿宋" w:hAnsi="仿宋" w:eastAsia="仿宋"/>
          <w:bCs/>
          <w:color w:val="auto"/>
          <w:sz w:val="32"/>
          <w:szCs w:val="32"/>
        </w:rPr>
      </w:pPr>
    </w:p>
    <w:p w14:paraId="571A6819">
      <w:pPr>
        <w:snapToGrid w:val="0"/>
        <w:spacing w:beforeLines="50" w:after="50" w:line="400" w:lineRule="exact"/>
        <w:jc w:val="center"/>
        <w:rPr>
          <w:rFonts w:hint="eastAsia" w:ascii="仿宋" w:hAnsi="仿宋" w:eastAsia="仿宋" w:cs="方正小标宋简体"/>
          <w:color w:val="auto"/>
          <w:sz w:val="32"/>
          <w:szCs w:val="32"/>
        </w:rPr>
      </w:pPr>
      <w:r>
        <w:rPr>
          <w:rFonts w:hint="eastAsia" w:ascii="仿宋" w:hAnsi="仿宋" w:eastAsia="仿宋" w:cs="方正小标宋简体"/>
          <w:color w:val="auto"/>
          <w:sz w:val="32"/>
          <w:szCs w:val="32"/>
        </w:rPr>
        <w:t>报  价  文  件</w:t>
      </w:r>
    </w:p>
    <w:p w14:paraId="34809C74">
      <w:pPr>
        <w:snapToGrid w:val="0"/>
        <w:spacing w:beforeLines="50" w:after="50" w:line="400" w:lineRule="exact"/>
        <w:rPr>
          <w:rFonts w:hint="eastAsia" w:ascii="仿宋" w:hAnsi="仿宋" w:eastAsia="仿宋"/>
          <w:bCs/>
          <w:color w:val="auto"/>
          <w:sz w:val="24"/>
          <w:szCs w:val="20"/>
        </w:rPr>
      </w:pPr>
    </w:p>
    <w:p w14:paraId="1F6F5FB2">
      <w:pPr>
        <w:snapToGrid w:val="0"/>
        <w:spacing w:beforeLines="50" w:after="50" w:line="400" w:lineRule="exact"/>
        <w:rPr>
          <w:rFonts w:hint="eastAsia" w:ascii="仿宋" w:hAnsi="仿宋" w:eastAsia="仿宋"/>
          <w:bCs/>
          <w:color w:val="auto"/>
          <w:sz w:val="24"/>
          <w:szCs w:val="20"/>
        </w:rPr>
      </w:pPr>
    </w:p>
    <w:p w14:paraId="0EFA1567">
      <w:pPr>
        <w:snapToGrid w:val="0"/>
        <w:spacing w:beforeLines="50" w:after="50" w:line="400" w:lineRule="exact"/>
        <w:rPr>
          <w:rFonts w:hint="eastAsia" w:ascii="仿宋" w:hAnsi="仿宋" w:eastAsia="仿宋"/>
          <w:bCs/>
          <w:color w:val="auto"/>
          <w:sz w:val="24"/>
          <w:szCs w:val="20"/>
        </w:rPr>
      </w:pPr>
    </w:p>
    <w:p w14:paraId="16FC3BEC">
      <w:pPr>
        <w:snapToGrid w:val="0"/>
        <w:spacing w:beforeLines="50" w:after="50" w:line="400" w:lineRule="exact"/>
        <w:rPr>
          <w:rFonts w:hint="eastAsia" w:ascii="仿宋" w:hAnsi="仿宋" w:eastAsia="仿宋"/>
          <w:bCs/>
          <w:color w:val="auto"/>
          <w:sz w:val="24"/>
          <w:szCs w:val="20"/>
        </w:rPr>
      </w:pPr>
    </w:p>
    <w:p w14:paraId="15F6BDC6">
      <w:pPr>
        <w:snapToGrid w:val="0"/>
        <w:spacing w:beforeLines="50" w:after="50" w:line="400" w:lineRule="exact"/>
        <w:ind w:firstLine="360" w:firstLineChars="150"/>
        <w:rPr>
          <w:rFonts w:ascii="仿宋" w:hAnsi="仿宋" w:eastAsia="仿宋"/>
          <w:bCs/>
          <w:color w:val="auto"/>
          <w:sz w:val="24"/>
        </w:rPr>
      </w:pPr>
      <w:r>
        <w:rPr>
          <w:rFonts w:hint="eastAsia" w:ascii="仿宋" w:hAnsi="仿宋" w:eastAsia="仿宋"/>
          <w:bCs/>
          <w:color w:val="auto"/>
          <w:sz w:val="24"/>
        </w:rPr>
        <w:t xml:space="preserve">项目名称： </w:t>
      </w:r>
    </w:p>
    <w:p w14:paraId="413F7B11">
      <w:pPr>
        <w:snapToGrid w:val="0"/>
        <w:spacing w:beforeLines="50" w:after="50" w:line="400" w:lineRule="exact"/>
        <w:ind w:firstLine="360" w:firstLineChars="150"/>
        <w:rPr>
          <w:rFonts w:hint="eastAsia" w:ascii="仿宋" w:hAnsi="仿宋" w:eastAsia="仿宋"/>
          <w:bCs/>
          <w:color w:val="auto"/>
          <w:sz w:val="24"/>
        </w:rPr>
      </w:pPr>
    </w:p>
    <w:p w14:paraId="441036A4">
      <w:pPr>
        <w:snapToGrid w:val="0"/>
        <w:spacing w:beforeLines="50" w:after="50" w:line="400" w:lineRule="exact"/>
        <w:ind w:firstLine="360" w:firstLineChars="150"/>
        <w:rPr>
          <w:rFonts w:ascii="仿宋" w:hAnsi="仿宋" w:eastAsia="仿宋"/>
          <w:bCs/>
          <w:color w:val="auto"/>
          <w:sz w:val="24"/>
        </w:rPr>
      </w:pPr>
      <w:r>
        <w:rPr>
          <w:rFonts w:hint="eastAsia" w:ascii="仿宋" w:hAnsi="仿宋" w:eastAsia="仿宋"/>
          <w:bCs/>
          <w:color w:val="auto"/>
          <w:sz w:val="24"/>
        </w:rPr>
        <w:t xml:space="preserve">项目编号： </w:t>
      </w:r>
    </w:p>
    <w:p w14:paraId="0B33B7E5">
      <w:pPr>
        <w:snapToGrid w:val="0"/>
        <w:spacing w:beforeLines="50" w:after="50" w:line="400" w:lineRule="exact"/>
        <w:ind w:firstLine="360" w:firstLineChars="150"/>
        <w:rPr>
          <w:rFonts w:hint="eastAsia" w:ascii="仿宋" w:hAnsi="仿宋" w:eastAsia="仿宋"/>
          <w:bCs/>
          <w:color w:val="auto"/>
          <w:sz w:val="24"/>
        </w:rPr>
      </w:pPr>
    </w:p>
    <w:p w14:paraId="1F25A560">
      <w:pPr>
        <w:snapToGrid w:val="0"/>
        <w:spacing w:beforeLines="50" w:after="50" w:line="400" w:lineRule="exact"/>
        <w:ind w:firstLine="360" w:firstLineChars="150"/>
        <w:rPr>
          <w:rFonts w:ascii="仿宋" w:hAnsi="仿宋" w:eastAsia="仿宋"/>
          <w:bCs/>
          <w:color w:val="auto"/>
          <w:sz w:val="24"/>
        </w:rPr>
      </w:pPr>
      <w:r>
        <w:rPr>
          <w:rFonts w:hint="eastAsia" w:ascii="仿宋" w:hAnsi="仿宋" w:eastAsia="仿宋"/>
          <w:bCs/>
          <w:color w:val="auto"/>
          <w:sz w:val="24"/>
        </w:rPr>
        <w:t>所投分标：</w:t>
      </w:r>
    </w:p>
    <w:p w14:paraId="267A8467">
      <w:pPr>
        <w:snapToGrid w:val="0"/>
        <w:spacing w:beforeLines="50" w:after="50" w:line="400" w:lineRule="exact"/>
        <w:ind w:firstLine="360" w:firstLineChars="150"/>
        <w:rPr>
          <w:rFonts w:hint="eastAsia" w:ascii="仿宋" w:hAnsi="仿宋" w:eastAsia="仿宋"/>
          <w:bCs/>
          <w:color w:val="auto"/>
          <w:sz w:val="24"/>
        </w:rPr>
      </w:pPr>
    </w:p>
    <w:p w14:paraId="0F002E75">
      <w:pPr>
        <w:snapToGrid w:val="0"/>
        <w:spacing w:beforeLines="50" w:after="50" w:line="400" w:lineRule="exact"/>
        <w:ind w:firstLine="360" w:firstLineChars="150"/>
        <w:rPr>
          <w:rFonts w:ascii="仿宋" w:hAnsi="仿宋" w:eastAsia="仿宋"/>
          <w:bCs/>
          <w:color w:val="auto"/>
          <w:sz w:val="24"/>
        </w:rPr>
      </w:pPr>
      <w:r>
        <w:rPr>
          <w:rFonts w:hint="eastAsia" w:ascii="仿宋" w:hAnsi="仿宋" w:eastAsia="仿宋"/>
          <w:bCs/>
          <w:color w:val="auto"/>
          <w:sz w:val="24"/>
        </w:rPr>
        <w:t>投标人名称：</w:t>
      </w:r>
    </w:p>
    <w:p w14:paraId="0D580071">
      <w:pPr>
        <w:snapToGrid w:val="0"/>
        <w:spacing w:beforeLines="50" w:after="50" w:line="400" w:lineRule="exact"/>
        <w:ind w:firstLine="360" w:firstLineChars="150"/>
        <w:rPr>
          <w:rFonts w:hint="eastAsia" w:ascii="仿宋" w:hAnsi="仿宋" w:eastAsia="仿宋"/>
          <w:bCs/>
          <w:color w:val="auto"/>
          <w:sz w:val="24"/>
        </w:rPr>
      </w:pPr>
    </w:p>
    <w:p w14:paraId="5ABDD90E">
      <w:pPr>
        <w:snapToGrid w:val="0"/>
        <w:spacing w:beforeLines="50" w:after="50" w:line="400" w:lineRule="exact"/>
        <w:ind w:firstLine="360" w:firstLineChars="150"/>
        <w:rPr>
          <w:rFonts w:hint="eastAsia" w:ascii="仿宋" w:hAnsi="仿宋" w:eastAsia="仿宋"/>
          <w:bCs/>
          <w:color w:val="auto"/>
          <w:sz w:val="24"/>
        </w:rPr>
      </w:pPr>
      <w:r>
        <w:rPr>
          <w:rFonts w:hint="eastAsia" w:ascii="仿宋" w:hAnsi="仿宋" w:eastAsia="仿宋"/>
          <w:bCs/>
          <w:color w:val="auto"/>
          <w:sz w:val="24"/>
        </w:rPr>
        <w:t>投标人地址：</w:t>
      </w:r>
    </w:p>
    <w:p w14:paraId="266C9153">
      <w:pPr>
        <w:pStyle w:val="7"/>
        <w:snapToGrid w:val="0"/>
        <w:spacing w:before="50" w:after="50" w:line="400" w:lineRule="exact"/>
        <w:ind w:firstLine="960" w:firstLineChars="400"/>
        <w:rPr>
          <w:rFonts w:hint="eastAsia" w:ascii="仿宋" w:hAnsi="仿宋" w:eastAsia="仿宋"/>
          <w:bCs/>
          <w:color w:val="auto"/>
          <w:sz w:val="24"/>
          <w:szCs w:val="24"/>
        </w:rPr>
      </w:pPr>
    </w:p>
    <w:p w14:paraId="0697E178">
      <w:pPr>
        <w:snapToGrid w:val="0"/>
        <w:spacing w:beforeLines="50" w:after="50" w:line="400" w:lineRule="exact"/>
        <w:rPr>
          <w:rFonts w:hint="eastAsia" w:ascii="仿宋" w:hAnsi="仿宋" w:eastAsia="仿宋"/>
          <w:color w:val="auto"/>
          <w:sz w:val="30"/>
          <w:szCs w:val="20"/>
        </w:rPr>
      </w:pPr>
      <w:r>
        <w:rPr>
          <w:rFonts w:hint="eastAsia" w:ascii="仿宋" w:hAnsi="仿宋" w:eastAsia="仿宋"/>
          <w:color w:val="auto"/>
          <w:sz w:val="24"/>
        </w:rPr>
        <w:t xml:space="preserve">                                   年  月  日</w:t>
      </w:r>
    </w:p>
    <w:p w14:paraId="18FFB6BE">
      <w:pPr>
        <w:snapToGrid w:val="0"/>
        <w:spacing w:beforeLines="50" w:after="50" w:line="360" w:lineRule="auto"/>
        <w:jc w:val="left"/>
        <w:rPr>
          <w:rFonts w:hint="eastAsia" w:ascii="仿宋" w:hAnsi="仿宋" w:eastAsia="仿宋"/>
          <w:color w:val="auto"/>
          <w:sz w:val="24"/>
          <w:szCs w:val="20"/>
        </w:rPr>
      </w:pPr>
      <w:r>
        <w:rPr>
          <w:rFonts w:ascii="仿宋" w:hAnsi="仿宋" w:eastAsia="仿宋"/>
          <w:b/>
          <w:color w:val="auto"/>
          <w:sz w:val="24"/>
        </w:rPr>
        <w:br w:type="page"/>
      </w:r>
      <w:r>
        <w:rPr>
          <w:rFonts w:hint="eastAsia" w:ascii="仿宋" w:hAnsi="仿宋" w:eastAsia="仿宋"/>
          <w:b/>
          <w:color w:val="auto"/>
          <w:sz w:val="24"/>
        </w:rPr>
        <w:t>2.</w:t>
      </w:r>
      <w:r>
        <w:rPr>
          <w:rFonts w:hint="eastAsia" w:ascii="仿宋" w:hAnsi="仿宋" w:eastAsia="仿宋"/>
          <w:b/>
          <w:bCs/>
          <w:color w:val="auto"/>
          <w:sz w:val="24"/>
        </w:rPr>
        <w:t>报价文件目录</w:t>
      </w:r>
    </w:p>
    <w:p w14:paraId="2005C3A2">
      <w:pPr>
        <w:snapToGrid w:val="0"/>
        <w:spacing w:before="50" w:afterLines="50" w:line="360" w:lineRule="auto"/>
        <w:jc w:val="left"/>
        <w:rPr>
          <w:rFonts w:ascii="仿宋" w:hAnsi="仿宋" w:eastAsia="仿宋"/>
          <w:b/>
          <w:color w:val="auto"/>
          <w:sz w:val="24"/>
        </w:rPr>
      </w:pPr>
      <w:r>
        <w:rPr>
          <w:rFonts w:hint="eastAsia" w:ascii="仿宋" w:hAnsi="仿宋" w:eastAsia="仿宋"/>
          <w:color w:val="auto"/>
          <w:szCs w:val="21"/>
        </w:rPr>
        <w:t>根据招标文件规定及投标人提供的材料自行编写目录。</w:t>
      </w:r>
    </w:p>
    <w:p w14:paraId="3147E959">
      <w:pPr>
        <w:snapToGrid w:val="0"/>
        <w:spacing w:beforeLines="50" w:after="50"/>
        <w:rPr>
          <w:rFonts w:hint="eastAsia" w:ascii="仿宋" w:hAnsi="仿宋" w:eastAsia="仿宋"/>
          <w:b/>
          <w:color w:val="auto"/>
          <w:sz w:val="24"/>
        </w:rPr>
      </w:pPr>
    </w:p>
    <w:p w14:paraId="10763982">
      <w:pPr>
        <w:snapToGrid w:val="0"/>
        <w:spacing w:beforeLines="50" w:after="50"/>
        <w:rPr>
          <w:rFonts w:hint="eastAsia" w:ascii="仿宋" w:hAnsi="仿宋" w:eastAsia="仿宋"/>
          <w:b/>
          <w:color w:val="auto"/>
          <w:sz w:val="24"/>
        </w:rPr>
      </w:pPr>
    </w:p>
    <w:p w14:paraId="62B9583E">
      <w:pPr>
        <w:snapToGrid w:val="0"/>
        <w:spacing w:beforeLines="50" w:after="50"/>
        <w:rPr>
          <w:rFonts w:hint="eastAsia" w:ascii="仿宋" w:hAnsi="仿宋" w:eastAsia="仿宋"/>
          <w:b/>
          <w:color w:val="auto"/>
          <w:sz w:val="24"/>
        </w:rPr>
      </w:pPr>
    </w:p>
    <w:p w14:paraId="48D48EBA">
      <w:pPr>
        <w:snapToGrid w:val="0"/>
        <w:spacing w:beforeLines="50" w:after="50"/>
        <w:ind w:left="142"/>
        <w:jc w:val="left"/>
        <w:rPr>
          <w:rFonts w:hint="eastAsia" w:ascii="仿宋" w:hAnsi="仿宋" w:eastAsia="仿宋"/>
          <w:b/>
          <w:color w:val="auto"/>
          <w:sz w:val="24"/>
        </w:rPr>
      </w:pPr>
      <w:r>
        <w:rPr>
          <w:rFonts w:ascii="仿宋" w:hAnsi="仿宋" w:eastAsia="仿宋"/>
          <w:b/>
          <w:color w:val="auto"/>
          <w:sz w:val="24"/>
        </w:rPr>
        <w:br w:type="page"/>
      </w:r>
      <w:r>
        <w:rPr>
          <w:rFonts w:hint="eastAsia" w:ascii="仿宋" w:hAnsi="仿宋" w:eastAsia="仿宋"/>
          <w:b/>
          <w:color w:val="auto"/>
          <w:sz w:val="24"/>
        </w:rPr>
        <w:t>3. 投标函格式：</w:t>
      </w:r>
    </w:p>
    <w:p w14:paraId="6BD88028">
      <w:pPr>
        <w:snapToGrid w:val="0"/>
        <w:spacing w:beforeLines="50" w:after="50" w:line="360" w:lineRule="auto"/>
        <w:jc w:val="center"/>
        <w:rPr>
          <w:rFonts w:hint="eastAsia" w:ascii="仿宋" w:hAnsi="仿宋" w:eastAsia="仿宋" w:cs="方正小标宋简体"/>
          <w:bCs/>
          <w:color w:val="auto"/>
          <w:sz w:val="44"/>
          <w:szCs w:val="44"/>
        </w:rPr>
      </w:pPr>
      <w:r>
        <w:rPr>
          <w:rFonts w:hint="eastAsia" w:ascii="仿宋" w:hAnsi="仿宋" w:eastAsia="仿宋" w:cs="方正小标宋简体"/>
          <w:bCs/>
          <w:color w:val="auto"/>
          <w:sz w:val="44"/>
          <w:szCs w:val="44"/>
        </w:rPr>
        <w:t>投 标 函</w:t>
      </w:r>
    </w:p>
    <w:p w14:paraId="459E47AD">
      <w:pPr>
        <w:spacing w:line="440" w:lineRule="exact"/>
        <w:contextualSpacing/>
        <w:rPr>
          <w:rFonts w:hint="eastAsia" w:ascii="仿宋" w:hAnsi="仿宋" w:eastAsia="仿宋"/>
          <w:color w:val="auto"/>
          <w:sz w:val="24"/>
        </w:rPr>
      </w:pPr>
      <w:r>
        <w:rPr>
          <w:rFonts w:hint="eastAsia" w:ascii="仿宋" w:hAnsi="仿宋" w:eastAsia="仿宋"/>
          <w:color w:val="auto"/>
          <w:sz w:val="24"/>
        </w:rPr>
        <w:t>致：</w:t>
      </w:r>
      <w:r>
        <w:rPr>
          <w:rFonts w:hint="eastAsia" w:ascii="仿宋" w:hAnsi="仿宋" w:eastAsia="仿宋"/>
          <w:color w:val="auto"/>
          <w:sz w:val="24"/>
          <w:u w:val="single"/>
        </w:rPr>
        <w:t>采购人名称</w:t>
      </w:r>
    </w:p>
    <w:p w14:paraId="610F36F7">
      <w:pPr>
        <w:spacing w:line="440" w:lineRule="exact"/>
        <w:ind w:firstLine="480"/>
        <w:contextualSpacing/>
        <w:rPr>
          <w:rFonts w:hint="eastAsia" w:ascii="仿宋" w:hAnsi="仿宋" w:eastAsia="仿宋"/>
          <w:color w:val="auto"/>
          <w:sz w:val="24"/>
        </w:rPr>
      </w:pPr>
      <w:r>
        <w:rPr>
          <w:rFonts w:hint="eastAsia" w:ascii="仿宋" w:hAnsi="仿宋" w:eastAsia="仿宋"/>
          <w:color w:val="auto"/>
          <w:sz w:val="24"/>
        </w:rPr>
        <w:t>根据贵方</w:t>
      </w:r>
      <w:r>
        <w:rPr>
          <w:rFonts w:hint="eastAsia" w:ascii="仿宋" w:hAnsi="仿宋" w:eastAsia="仿宋"/>
          <w:color w:val="auto"/>
          <w:sz w:val="24"/>
          <w:u w:val="single"/>
        </w:rPr>
        <w:t xml:space="preserve"> 项目名称</w:t>
      </w:r>
      <w:r>
        <w:rPr>
          <w:rFonts w:hint="eastAsia" w:ascii="仿宋" w:hAnsi="仿宋" w:eastAsia="仿宋"/>
          <w:color w:val="auto"/>
          <w:sz w:val="24"/>
        </w:rPr>
        <w:t>（项目编号：</w:t>
      </w:r>
      <w:r>
        <w:rPr>
          <w:rFonts w:hint="eastAsia" w:ascii="仿宋" w:hAnsi="仿宋" w:eastAsia="仿宋"/>
          <w:color w:val="auto"/>
          <w:sz w:val="24"/>
          <w:u w:val="single"/>
        </w:rPr>
        <w:t xml:space="preserve">        </w:t>
      </w:r>
      <w:r>
        <w:rPr>
          <w:rFonts w:hint="eastAsia" w:ascii="仿宋" w:hAnsi="仿宋" w:eastAsia="仿宋"/>
          <w:color w:val="auto"/>
          <w:sz w:val="24"/>
        </w:rPr>
        <w:t>）的招标公告，签字代表______</w:t>
      </w:r>
      <w:r>
        <w:rPr>
          <w:rFonts w:hint="eastAsia" w:ascii="仿宋" w:hAnsi="仿宋" w:eastAsia="仿宋"/>
          <w:color w:val="auto"/>
          <w:sz w:val="24"/>
          <w:u w:val="single"/>
        </w:rPr>
        <w:t xml:space="preserve">     </w:t>
      </w:r>
      <w:r>
        <w:rPr>
          <w:rFonts w:hint="eastAsia" w:ascii="仿宋" w:hAnsi="仿宋" w:eastAsia="仿宋"/>
          <w:color w:val="auto"/>
          <w:sz w:val="24"/>
        </w:rPr>
        <w:t>（姓名）经正式授权并代表投标人</w:t>
      </w:r>
      <w:r>
        <w:rPr>
          <w:rFonts w:hint="eastAsia" w:ascii="仿宋" w:hAnsi="仿宋" w:eastAsia="仿宋"/>
          <w:color w:val="auto"/>
          <w:sz w:val="24"/>
          <w:u w:val="single"/>
        </w:rPr>
        <w:t xml:space="preserve">                 </w:t>
      </w:r>
      <w:r>
        <w:rPr>
          <w:rFonts w:hint="eastAsia" w:ascii="仿宋" w:hAnsi="仿宋" w:eastAsia="仿宋"/>
          <w:color w:val="auto"/>
          <w:sz w:val="24"/>
        </w:rPr>
        <w:t>（投标人名称）提交投标文件。</w:t>
      </w:r>
    </w:p>
    <w:p w14:paraId="098C3400">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据此函，我方宣布同意如下：</w:t>
      </w:r>
    </w:p>
    <w:p w14:paraId="0F6E3499">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1.我方已详细审查全部“招标文件”，包括修改文件（如有的话）以及全部参考资料和有关附件，已经了解我方对于招标文件、采购过程、采购结果有依法进行询问、质疑、投诉的权利及相关渠道和要求。</w:t>
      </w:r>
    </w:p>
    <w:p w14:paraId="66F756BB">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2.我方在投标之前已经完全理解并接受招标文件的各项规定和要求，对招标文件的合理性、合法性不再有异议。</w:t>
      </w:r>
    </w:p>
    <w:p w14:paraId="77811C6E">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3.本投标有效期自投标截止之日起</w:t>
      </w:r>
      <w:r>
        <w:rPr>
          <w:rFonts w:ascii="仿宋" w:hAnsi="仿宋" w:eastAsia="仿宋"/>
          <w:color w:val="auto"/>
          <w:sz w:val="24"/>
          <w:u w:val="single"/>
        </w:rPr>
        <w:t xml:space="preserve">    </w:t>
      </w:r>
      <w:r>
        <w:rPr>
          <w:rFonts w:hint="eastAsia" w:ascii="仿宋" w:hAnsi="仿宋" w:eastAsia="仿宋"/>
          <w:color w:val="auto"/>
          <w:sz w:val="24"/>
        </w:rPr>
        <w:t>日。</w:t>
      </w:r>
    </w:p>
    <w:p w14:paraId="23B889BF">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4.如中标，本投标文件至本项目合同履行完毕止均保持有效，我方将按“招标文件”及政府采购法律、法规的规定履行合同责任和义务。</w:t>
      </w:r>
    </w:p>
    <w:p w14:paraId="19E6279A">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5.我方同意按照贵方要求提供与投标有关的一切数据或者资料。</w:t>
      </w:r>
    </w:p>
    <w:p w14:paraId="7B37ED55">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6.我方向贵方提交的所有投标文件、资料都是准确的和真实的。</w:t>
      </w:r>
    </w:p>
    <w:p w14:paraId="52B78A64">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7.以上事项如有虚假或者隐瞒，我方愿意承担一切后果，并不再寻求任何旨在减轻或者免除法律责任的辩解。</w:t>
      </w:r>
    </w:p>
    <w:p w14:paraId="7831FF32">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8.根据</w:t>
      </w:r>
      <w:r>
        <w:rPr>
          <w:rFonts w:ascii="仿宋" w:hAnsi="仿宋" w:eastAsia="仿宋"/>
          <w:color w:val="auto"/>
          <w:sz w:val="24"/>
        </w:rPr>
        <w:t>《中华人民共和国政府采购法实施条例》第五十条要求对政府采购合同进行公告</w:t>
      </w:r>
      <w:r>
        <w:rPr>
          <w:rFonts w:hint="eastAsia" w:ascii="仿宋" w:hAnsi="仿宋" w:eastAsia="仿宋"/>
          <w:color w:val="auto"/>
          <w:sz w:val="24"/>
        </w:rPr>
        <w:t>，</w:t>
      </w:r>
      <w:r>
        <w:rPr>
          <w:rFonts w:ascii="仿宋" w:hAnsi="仿宋" w:eastAsia="仿宋"/>
          <w:color w:val="auto"/>
          <w:sz w:val="24"/>
        </w:rPr>
        <w:t>但政府采购合同中涉及国家秘密、商业秘密的内容除外。</w:t>
      </w:r>
      <w:r>
        <w:rPr>
          <w:rFonts w:hint="eastAsia" w:ascii="仿宋" w:hAnsi="仿宋" w:eastAsia="仿宋"/>
          <w:color w:val="auto"/>
          <w:sz w:val="24"/>
        </w:rPr>
        <w:t>我方就对本次投标文件进行注明如下：（两项内容中必须选择一项）</w:t>
      </w:r>
    </w:p>
    <w:p w14:paraId="12CA6CD9">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□我方本次投标文件</w:t>
      </w:r>
      <w:r>
        <w:rPr>
          <w:rFonts w:ascii="仿宋" w:hAnsi="仿宋" w:eastAsia="仿宋" w:cs="宋体"/>
          <w:color w:val="auto"/>
          <w:kern w:val="0"/>
          <w:sz w:val="24"/>
        </w:rPr>
        <w:t>内容中</w:t>
      </w:r>
      <w:r>
        <w:rPr>
          <w:rFonts w:hint="eastAsia" w:ascii="仿宋" w:hAnsi="仿宋" w:eastAsia="仿宋"/>
          <w:color w:val="auto"/>
          <w:sz w:val="24"/>
        </w:rPr>
        <w:t>未</w:t>
      </w:r>
      <w:r>
        <w:rPr>
          <w:rFonts w:ascii="仿宋" w:hAnsi="仿宋" w:eastAsia="仿宋" w:cs="宋体"/>
          <w:color w:val="auto"/>
          <w:kern w:val="0"/>
          <w:sz w:val="24"/>
        </w:rPr>
        <w:t>涉及商业秘密</w:t>
      </w:r>
      <w:r>
        <w:rPr>
          <w:rFonts w:hint="eastAsia" w:ascii="仿宋" w:hAnsi="仿宋" w:eastAsia="仿宋" w:cs="宋体"/>
          <w:color w:val="auto"/>
          <w:kern w:val="0"/>
          <w:sz w:val="24"/>
        </w:rPr>
        <w:t>；</w:t>
      </w:r>
    </w:p>
    <w:p w14:paraId="4169FEA2">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□我方本次投标文件</w:t>
      </w:r>
      <w:r>
        <w:rPr>
          <w:rFonts w:ascii="仿宋" w:hAnsi="仿宋" w:eastAsia="仿宋" w:cs="宋体"/>
          <w:color w:val="auto"/>
          <w:kern w:val="0"/>
          <w:sz w:val="24"/>
        </w:rPr>
        <w:t>涉及商业秘密</w:t>
      </w:r>
      <w:r>
        <w:rPr>
          <w:rFonts w:hint="eastAsia" w:ascii="仿宋" w:hAnsi="仿宋" w:eastAsia="仿宋" w:cs="宋体"/>
          <w:color w:val="auto"/>
          <w:kern w:val="0"/>
          <w:sz w:val="24"/>
        </w:rPr>
        <w:t>的</w:t>
      </w:r>
      <w:r>
        <w:rPr>
          <w:rFonts w:ascii="仿宋" w:hAnsi="仿宋" w:eastAsia="仿宋" w:cs="宋体"/>
          <w:color w:val="auto"/>
          <w:kern w:val="0"/>
          <w:sz w:val="24"/>
        </w:rPr>
        <w:t>内容</w:t>
      </w:r>
      <w:r>
        <w:rPr>
          <w:rFonts w:hint="eastAsia" w:ascii="仿宋" w:hAnsi="仿宋" w:eastAsia="仿宋" w:cs="宋体"/>
          <w:color w:val="auto"/>
          <w:kern w:val="0"/>
          <w:sz w:val="24"/>
        </w:rPr>
        <w:t>有：</w:t>
      </w:r>
      <w:r>
        <w:rPr>
          <w:rFonts w:hint="eastAsia" w:ascii="仿宋" w:hAnsi="仿宋" w:eastAsia="仿宋" w:cs="宋体"/>
          <w:color w:val="auto"/>
          <w:kern w:val="0"/>
          <w:sz w:val="24"/>
          <w:u w:val="single"/>
        </w:rPr>
        <w:t xml:space="preserve">                         </w:t>
      </w:r>
      <w:r>
        <w:rPr>
          <w:rFonts w:hint="eastAsia" w:ascii="仿宋" w:hAnsi="仿宋" w:eastAsia="仿宋" w:cs="宋体"/>
          <w:color w:val="auto"/>
          <w:kern w:val="0"/>
          <w:sz w:val="24"/>
        </w:rPr>
        <w:t>；</w:t>
      </w:r>
    </w:p>
    <w:p w14:paraId="37A37A03">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9.与本投标有关的一切正式往来信函请寄：</w:t>
      </w:r>
    </w:p>
    <w:p w14:paraId="45DA1A6F">
      <w:pPr>
        <w:spacing w:line="440" w:lineRule="exact"/>
        <w:ind w:firstLine="480" w:firstLineChars="200"/>
        <w:contextualSpacing/>
        <w:rPr>
          <w:rFonts w:hint="eastAsia" w:ascii="仿宋" w:hAnsi="仿宋" w:eastAsia="仿宋"/>
          <w:color w:val="auto"/>
          <w:sz w:val="24"/>
          <w:u w:val="single"/>
        </w:rPr>
      </w:pPr>
      <w:r>
        <w:rPr>
          <w:rFonts w:hint="eastAsia" w:ascii="仿宋" w:hAnsi="仿宋" w:eastAsia="仿宋"/>
          <w:color w:val="auto"/>
          <w:sz w:val="24"/>
        </w:rPr>
        <w:t>地址：</w:t>
      </w:r>
      <w:r>
        <w:rPr>
          <w:rFonts w:hint="eastAsia" w:ascii="仿宋" w:hAnsi="仿宋" w:eastAsia="仿宋"/>
          <w:color w:val="auto"/>
          <w:sz w:val="24"/>
          <w:u w:val="single"/>
        </w:rPr>
        <w:t xml:space="preserve">          </w:t>
      </w:r>
      <w:r>
        <w:rPr>
          <w:rFonts w:hint="eastAsia" w:ascii="仿宋" w:hAnsi="仿宋" w:eastAsia="仿宋"/>
          <w:color w:val="auto"/>
          <w:sz w:val="24"/>
        </w:rPr>
        <w:t>邮编：</w:t>
      </w:r>
      <w:r>
        <w:rPr>
          <w:rFonts w:hint="eastAsia" w:ascii="仿宋" w:hAnsi="仿宋" w:eastAsia="仿宋"/>
          <w:color w:val="auto"/>
          <w:sz w:val="24"/>
          <w:u w:val="single"/>
        </w:rPr>
        <w:t xml:space="preserve">            </w:t>
      </w:r>
    </w:p>
    <w:p w14:paraId="546E828E">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电话：</w:t>
      </w:r>
      <w:r>
        <w:rPr>
          <w:rFonts w:hint="eastAsia" w:ascii="仿宋" w:hAnsi="仿宋" w:eastAsia="仿宋"/>
          <w:color w:val="auto"/>
          <w:sz w:val="24"/>
          <w:u w:val="single"/>
        </w:rPr>
        <w:t xml:space="preserve">        </w:t>
      </w:r>
      <w:r>
        <w:rPr>
          <w:rFonts w:hint="eastAsia" w:ascii="仿宋" w:hAnsi="仿宋" w:eastAsia="仿宋"/>
          <w:color w:val="auto"/>
          <w:sz w:val="24"/>
        </w:rPr>
        <w:t>传真：</w:t>
      </w:r>
      <w:r>
        <w:rPr>
          <w:rFonts w:hint="eastAsia" w:ascii="仿宋" w:hAnsi="仿宋" w:eastAsia="仿宋"/>
          <w:color w:val="auto"/>
          <w:sz w:val="24"/>
          <w:u w:val="single"/>
        </w:rPr>
        <w:t xml:space="preserve">          </w:t>
      </w:r>
    </w:p>
    <w:p w14:paraId="6DAE5C73">
      <w:pPr>
        <w:spacing w:line="440" w:lineRule="exact"/>
        <w:ind w:firstLine="480" w:firstLineChars="200"/>
        <w:contextualSpacing/>
        <w:rPr>
          <w:rFonts w:hint="eastAsia" w:ascii="仿宋" w:hAnsi="仿宋" w:eastAsia="仿宋"/>
          <w:color w:val="auto"/>
          <w:sz w:val="24"/>
        </w:rPr>
      </w:pPr>
      <w:r>
        <w:rPr>
          <w:rFonts w:hint="eastAsia" w:ascii="仿宋" w:hAnsi="仿宋" w:eastAsia="仿宋"/>
          <w:color w:val="auto"/>
          <w:sz w:val="24"/>
        </w:rPr>
        <w:t>投标人名称:</w:t>
      </w:r>
      <w:r>
        <w:rPr>
          <w:rFonts w:hint="eastAsia" w:ascii="仿宋" w:hAnsi="仿宋" w:eastAsia="仿宋"/>
          <w:color w:val="auto"/>
          <w:sz w:val="24"/>
          <w:u w:val="single"/>
        </w:rPr>
        <w:t xml:space="preserve">                </w:t>
      </w:r>
    </w:p>
    <w:p w14:paraId="2718A3B4">
      <w:pPr>
        <w:spacing w:line="440" w:lineRule="exact"/>
        <w:ind w:firstLine="480" w:firstLineChars="200"/>
        <w:contextualSpacing/>
        <w:jc w:val="left"/>
        <w:rPr>
          <w:rFonts w:hint="eastAsia" w:ascii="仿宋" w:hAnsi="仿宋" w:eastAsia="仿宋"/>
          <w:color w:val="auto"/>
          <w:sz w:val="24"/>
        </w:rPr>
      </w:pPr>
      <w:r>
        <w:rPr>
          <w:rFonts w:hint="eastAsia" w:ascii="仿宋" w:hAnsi="仿宋" w:eastAsia="仿宋"/>
          <w:color w:val="auto"/>
          <w:sz w:val="24"/>
        </w:rPr>
        <w:t>开户银行：</w:t>
      </w:r>
      <w:r>
        <w:rPr>
          <w:rFonts w:hint="eastAsia" w:ascii="仿宋" w:hAnsi="仿宋" w:eastAsia="仿宋"/>
          <w:color w:val="auto"/>
          <w:sz w:val="24"/>
          <w:u w:val="single"/>
        </w:rPr>
        <w:t xml:space="preserve">                      </w:t>
      </w:r>
      <w:r>
        <w:rPr>
          <w:rFonts w:hint="eastAsia" w:ascii="仿宋" w:hAnsi="仿宋" w:eastAsia="仿宋"/>
          <w:color w:val="auto"/>
          <w:sz w:val="24"/>
        </w:rPr>
        <w:t xml:space="preserve">   银行帐号：</w:t>
      </w:r>
      <w:r>
        <w:rPr>
          <w:rFonts w:hint="eastAsia" w:ascii="仿宋" w:hAnsi="仿宋" w:eastAsia="仿宋"/>
          <w:color w:val="auto"/>
          <w:sz w:val="24"/>
          <w:u w:val="single"/>
        </w:rPr>
        <w:t xml:space="preserve">                    </w:t>
      </w:r>
      <w:r>
        <w:rPr>
          <w:rFonts w:hint="eastAsia" w:ascii="仿宋" w:hAnsi="仿宋" w:eastAsia="仿宋"/>
          <w:color w:val="auto"/>
          <w:sz w:val="24"/>
        </w:rPr>
        <w:t xml:space="preserve"> </w:t>
      </w:r>
    </w:p>
    <w:p w14:paraId="2223E01B">
      <w:pPr>
        <w:spacing w:line="440" w:lineRule="exact"/>
        <w:ind w:firstLine="480" w:firstLineChars="200"/>
        <w:contextualSpacing/>
        <w:jc w:val="left"/>
        <w:rPr>
          <w:rFonts w:hint="eastAsia" w:ascii="仿宋" w:hAnsi="仿宋" w:eastAsia="仿宋"/>
          <w:color w:val="auto"/>
          <w:sz w:val="24"/>
        </w:rPr>
      </w:pPr>
      <w:r>
        <w:rPr>
          <w:rFonts w:hint="eastAsia" w:ascii="仿宋" w:hAnsi="仿宋" w:eastAsia="仿宋"/>
          <w:color w:val="auto"/>
          <w:sz w:val="24"/>
        </w:rPr>
        <w:t xml:space="preserve">法定代表人或者委托代理人签字:___________ </w:t>
      </w:r>
    </w:p>
    <w:p w14:paraId="38410831">
      <w:pPr>
        <w:pStyle w:val="24"/>
        <w:spacing w:line="440" w:lineRule="exact"/>
        <w:contextualSpacing/>
        <w:jc w:val="center"/>
        <w:rPr>
          <w:rFonts w:hint="eastAsia" w:ascii="仿宋" w:hAnsi="仿宋" w:eastAsia="仿宋"/>
          <w:color w:val="auto"/>
          <w:sz w:val="24"/>
          <w:szCs w:val="24"/>
          <w:u w:val="single"/>
        </w:rPr>
      </w:pPr>
      <w:r>
        <w:rPr>
          <w:rFonts w:hint="eastAsia" w:ascii="仿宋" w:hAnsi="仿宋" w:eastAsia="仿宋"/>
          <w:color w:val="auto"/>
          <w:sz w:val="24"/>
        </w:rPr>
        <w:t xml:space="preserve"> </w:t>
      </w:r>
      <w:r>
        <w:rPr>
          <w:rFonts w:ascii="仿宋" w:hAnsi="仿宋" w:eastAsia="仿宋"/>
          <w:color w:val="auto"/>
          <w:sz w:val="24"/>
        </w:rPr>
        <w:t xml:space="preserve">                                   </w:t>
      </w:r>
      <w:r>
        <w:rPr>
          <w:rFonts w:hint="eastAsia" w:ascii="仿宋" w:hAnsi="仿宋" w:eastAsia="仿宋"/>
          <w:color w:val="auto"/>
          <w:sz w:val="24"/>
        </w:rPr>
        <w:t>投标人（盖公章）：</w:t>
      </w:r>
    </w:p>
    <w:p w14:paraId="0E8AC4CF">
      <w:pPr>
        <w:pStyle w:val="24"/>
        <w:spacing w:line="440" w:lineRule="exact"/>
        <w:contextualSpacing/>
        <w:rPr>
          <w:rFonts w:hint="eastAsia" w:ascii="仿宋" w:hAnsi="仿宋" w:eastAsia="仿宋"/>
          <w:color w:val="auto"/>
          <w:sz w:val="24"/>
        </w:rPr>
      </w:pPr>
      <w:r>
        <w:rPr>
          <w:rFonts w:hint="eastAsia" w:ascii="仿宋" w:hAnsi="仿宋" w:eastAsia="仿宋"/>
          <w:color w:val="auto"/>
          <w:sz w:val="24"/>
          <w:szCs w:val="24"/>
        </w:rPr>
        <w:t xml:space="preserve">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年</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月</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日</w:t>
      </w:r>
    </w:p>
    <w:p w14:paraId="5B84231E">
      <w:pPr>
        <w:snapToGrid w:val="0"/>
        <w:spacing w:beforeLines="50" w:after="50" w:line="440" w:lineRule="exact"/>
        <w:jc w:val="left"/>
        <w:rPr>
          <w:rFonts w:hint="eastAsia" w:ascii="仿宋" w:hAnsi="仿宋" w:eastAsia="仿宋"/>
          <w:b/>
          <w:color w:val="auto"/>
          <w:sz w:val="24"/>
          <w:szCs w:val="20"/>
        </w:rPr>
      </w:pPr>
      <w:r>
        <w:rPr>
          <w:rFonts w:ascii="仿宋" w:hAnsi="仿宋" w:eastAsia="仿宋"/>
          <w:color w:val="auto"/>
          <w:u w:val="single"/>
        </w:rPr>
        <w:br w:type="page"/>
      </w:r>
      <w:r>
        <w:rPr>
          <w:rFonts w:hint="eastAsia" w:ascii="仿宋" w:hAnsi="仿宋" w:eastAsia="仿宋"/>
          <w:b/>
          <w:color w:val="auto"/>
          <w:sz w:val="24"/>
        </w:rPr>
        <w:t>4. 开标一览表</w:t>
      </w:r>
    </w:p>
    <w:p w14:paraId="367EE425">
      <w:pPr>
        <w:snapToGrid w:val="0"/>
        <w:spacing w:before="50" w:after="50"/>
        <w:jc w:val="center"/>
        <w:rPr>
          <w:rFonts w:hint="eastAsia" w:ascii="仿宋" w:hAnsi="仿宋" w:eastAsia="仿宋"/>
          <w:b/>
          <w:color w:val="auto"/>
          <w:sz w:val="30"/>
        </w:rPr>
      </w:pPr>
      <w:r>
        <w:rPr>
          <w:rFonts w:hint="eastAsia" w:ascii="仿宋" w:hAnsi="仿宋" w:eastAsia="仿宋"/>
          <w:b/>
          <w:color w:val="auto"/>
          <w:sz w:val="30"/>
        </w:rPr>
        <w:t>开标一览表</w:t>
      </w:r>
    </w:p>
    <w:p w14:paraId="2CC85143">
      <w:pPr>
        <w:snapToGrid w:val="0"/>
        <w:spacing w:before="50" w:after="50"/>
        <w:jc w:val="center"/>
        <w:rPr>
          <w:rFonts w:hint="eastAsia" w:ascii="仿宋" w:hAnsi="仿宋" w:eastAsia="仿宋"/>
          <w:b/>
          <w:color w:val="auto"/>
          <w:sz w:val="30"/>
          <w:szCs w:val="20"/>
        </w:rPr>
      </w:pPr>
    </w:p>
    <w:p w14:paraId="396B2E8C">
      <w:pPr>
        <w:snapToGrid w:val="0"/>
        <w:spacing w:before="50" w:after="50" w:line="360" w:lineRule="auto"/>
        <w:rPr>
          <w:rFonts w:hint="eastAsia" w:ascii="仿宋" w:hAnsi="仿宋" w:eastAsia="仿宋"/>
          <w:color w:val="auto"/>
          <w:sz w:val="24"/>
          <w:u w:val="single"/>
        </w:rPr>
      </w:pPr>
      <w:r>
        <w:rPr>
          <w:rFonts w:hint="eastAsia" w:ascii="仿宋" w:hAnsi="仿宋" w:eastAsia="仿宋"/>
          <w:color w:val="auto"/>
          <w:sz w:val="24"/>
        </w:rPr>
        <w:t>项目名称：</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 xml:space="preserve">         </w:t>
      </w:r>
      <w:r>
        <w:rPr>
          <w:rFonts w:hint="eastAsia" w:ascii="仿宋" w:hAnsi="仿宋" w:eastAsia="仿宋"/>
          <w:color w:val="auto"/>
          <w:sz w:val="24"/>
        </w:rPr>
        <w:t>项目编号：</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hint="eastAsia" w:ascii="仿宋" w:hAnsi="仿宋" w:eastAsia="仿宋"/>
          <w:color w:val="auto"/>
          <w:sz w:val="24"/>
        </w:rPr>
        <w:t xml:space="preserve">         分标：</w:t>
      </w:r>
      <w:r>
        <w:rPr>
          <w:rFonts w:hint="eastAsia" w:ascii="仿宋" w:hAnsi="仿宋" w:eastAsia="仿宋"/>
          <w:color w:val="auto"/>
          <w:sz w:val="24"/>
          <w:u w:val="single"/>
        </w:rPr>
        <w:t xml:space="preserve">           </w:t>
      </w:r>
    </w:p>
    <w:p w14:paraId="7B7731F6">
      <w:pPr>
        <w:snapToGrid w:val="0"/>
        <w:spacing w:before="50" w:after="50" w:line="360" w:lineRule="auto"/>
        <w:rPr>
          <w:rFonts w:hint="eastAsia" w:ascii="仿宋" w:hAnsi="仿宋" w:eastAsia="仿宋"/>
          <w:color w:val="auto"/>
          <w:sz w:val="24"/>
        </w:rPr>
      </w:pPr>
      <w:r>
        <w:rPr>
          <w:rFonts w:hint="eastAsia" w:ascii="仿宋" w:hAnsi="仿宋" w:eastAsia="仿宋"/>
          <w:color w:val="auto"/>
          <w:sz w:val="24"/>
        </w:rPr>
        <w:t>投标人名称：</w:t>
      </w:r>
      <w:r>
        <w:rPr>
          <w:rFonts w:hint="eastAsia" w:ascii="仿宋" w:hAnsi="仿宋" w:eastAsia="仿宋"/>
          <w:color w:val="auto"/>
          <w:sz w:val="24"/>
          <w:u w:val="single"/>
        </w:rPr>
        <w:t xml:space="preserve">                     </w:t>
      </w:r>
      <w:r>
        <w:rPr>
          <w:rFonts w:hint="eastAsia" w:ascii="仿宋" w:hAnsi="仿宋" w:eastAsia="仿宋"/>
          <w:color w:val="auto"/>
          <w:sz w:val="24"/>
        </w:rPr>
        <w:t xml:space="preserve">                       单位：元</w:t>
      </w:r>
    </w:p>
    <w:p w14:paraId="2E2B66C4">
      <w:pPr>
        <w:snapToGrid w:val="0"/>
        <w:spacing w:before="50" w:after="50" w:line="360" w:lineRule="auto"/>
        <w:rPr>
          <w:rFonts w:hint="eastAsia" w:ascii="仿宋" w:hAnsi="仿宋" w:eastAsia="仿宋"/>
          <w:color w:val="auto"/>
          <w:sz w:val="24"/>
        </w:rPr>
      </w:pPr>
    </w:p>
    <w:tbl>
      <w:tblPr>
        <w:tblStyle w:val="47"/>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2712"/>
        <w:gridCol w:w="1521"/>
        <w:gridCol w:w="1418"/>
        <w:gridCol w:w="1673"/>
        <w:gridCol w:w="1184"/>
      </w:tblGrid>
      <w:tr w14:paraId="019C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1012" w:type="dxa"/>
            <w:tcBorders>
              <w:top w:val="single" w:color="auto" w:sz="4" w:space="0"/>
              <w:left w:val="single" w:color="auto" w:sz="4" w:space="0"/>
              <w:bottom w:val="single" w:color="auto" w:sz="4" w:space="0"/>
              <w:right w:val="single" w:color="auto" w:sz="4" w:space="0"/>
            </w:tcBorders>
            <w:noWrap w:val="0"/>
            <w:vAlign w:val="center"/>
          </w:tcPr>
          <w:p w14:paraId="6C74C8FC">
            <w:pPr>
              <w:spacing w:line="360" w:lineRule="auto"/>
              <w:jc w:val="center"/>
              <w:rPr>
                <w:rFonts w:ascii="宋体" w:hAnsi="宋体" w:cs="仿宋_GB2312"/>
                <w:color w:val="auto"/>
                <w:sz w:val="24"/>
              </w:rPr>
            </w:pPr>
            <w:r>
              <w:rPr>
                <w:rFonts w:ascii="宋体" w:hAnsi="宋体" w:cs="仿宋_GB2312"/>
                <w:color w:val="auto"/>
                <w:sz w:val="24"/>
              </w:rPr>
              <w:t>序号</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493374D2">
            <w:pPr>
              <w:spacing w:line="360" w:lineRule="auto"/>
              <w:jc w:val="center"/>
              <w:rPr>
                <w:rFonts w:ascii="宋体" w:hAnsi="宋体" w:cs="仿宋_GB2312"/>
                <w:color w:val="auto"/>
                <w:sz w:val="24"/>
              </w:rPr>
            </w:pPr>
            <w:r>
              <w:rPr>
                <w:rFonts w:hint="eastAsia" w:ascii="宋体" w:hAnsi="宋体"/>
                <w:b/>
                <w:color w:val="auto"/>
                <w:sz w:val="24"/>
              </w:rPr>
              <w:t>标的的名称</w:t>
            </w:r>
          </w:p>
        </w:tc>
        <w:tc>
          <w:tcPr>
            <w:tcW w:w="1521" w:type="dxa"/>
            <w:tcBorders>
              <w:top w:val="single" w:color="auto" w:sz="4" w:space="0"/>
              <w:left w:val="single" w:color="auto" w:sz="4" w:space="0"/>
              <w:bottom w:val="single" w:color="auto" w:sz="4" w:space="0"/>
              <w:right w:val="single" w:color="auto" w:sz="4" w:space="0"/>
            </w:tcBorders>
            <w:noWrap w:val="0"/>
            <w:vAlign w:val="center"/>
          </w:tcPr>
          <w:p w14:paraId="25FB4667">
            <w:pPr>
              <w:spacing w:line="360" w:lineRule="auto"/>
              <w:jc w:val="center"/>
              <w:rPr>
                <w:rFonts w:ascii="宋体" w:hAnsi="宋体" w:cs="仿宋_GB2312"/>
                <w:color w:val="auto"/>
                <w:sz w:val="24"/>
              </w:rPr>
            </w:pPr>
            <w:r>
              <w:rPr>
                <w:rFonts w:hint="eastAsia" w:ascii="宋体" w:hAnsi="宋体" w:cs="仿宋_GB2312"/>
                <w:color w:val="auto"/>
                <w:sz w:val="24"/>
              </w:rPr>
              <w:t>数量及单位</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3EEBEDD6">
            <w:pPr>
              <w:spacing w:line="360" w:lineRule="auto"/>
              <w:jc w:val="center"/>
              <w:rPr>
                <w:rFonts w:ascii="宋体" w:hAnsi="宋体" w:cs="仿宋_GB2312"/>
                <w:color w:val="auto"/>
                <w:sz w:val="24"/>
              </w:rPr>
            </w:pPr>
            <w:r>
              <w:rPr>
                <w:rFonts w:hint="eastAsia" w:ascii="宋体" w:hAnsi="宋体" w:cs="仿宋_GB2312"/>
                <w:color w:val="auto"/>
                <w:sz w:val="24"/>
              </w:rPr>
              <w:t>单价</w:t>
            </w:r>
          </w:p>
        </w:tc>
        <w:tc>
          <w:tcPr>
            <w:tcW w:w="1673" w:type="dxa"/>
            <w:tcBorders>
              <w:top w:val="single" w:color="auto" w:sz="4" w:space="0"/>
              <w:left w:val="single" w:color="auto" w:sz="4" w:space="0"/>
              <w:bottom w:val="single" w:color="auto" w:sz="4" w:space="0"/>
              <w:right w:val="single" w:color="auto" w:sz="4" w:space="0"/>
            </w:tcBorders>
            <w:noWrap w:val="0"/>
            <w:vAlign w:val="center"/>
          </w:tcPr>
          <w:p w14:paraId="278D7651">
            <w:pPr>
              <w:spacing w:line="360" w:lineRule="auto"/>
              <w:jc w:val="center"/>
              <w:rPr>
                <w:rFonts w:ascii="宋体" w:hAnsi="宋体" w:cs="仿宋_GB2312"/>
                <w:color w:val="auto"/>
                <w:sz w:val="24"/>
              </w:rPr>
            </w:pPr>
            <w:r>
              <w:rPr>
                <w:rFonts w:hint="eastAsia" w:ascii="宋体" w:hAnsi="宋体" w:cs="仿宋_GB2312"/>
                <w:color w:val="auto"/>
                <w:sz w:val="24"/>
              </w:rPr>
              <w:t>总价</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063E229D">
            <w:pPr>
              <w:spacing w:line="360" w:lineRule="auto"/>
              <w:jc w:val="center"/>
              <w:rPr>
                <w:rFonts w:ascii="宋体" w:hAnsi="宋体" w:cs="仿宋_GB2312"/>
                <w:color w:val="auto"/>
                <w:sz w:val="24"/>
              </w:rPr>
            </w:pPr>
            <w:r>
              <w:rPr>
                <w:rFonts w:ascii="宋体" w:hAnsi="宋体" w:cs="仿宋_GB2312"/>
                <w:color w:val="auto"/>
                <w:sz w:val="24"/>
              </w:rPr>
              <w:t>备注</w:t>
            </w:r>
          </w:p>
        </w:tc>
      </w:tr>
      <w:tr w14:paraId="28EC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right"/>
        </w:trPr>
        <w:tc>
          <w:tcPr>
            <w:tcW w:w="1012" w:type="dxa"/>
            <w:tcBorders>
              <w:top w:val="single" w:color="auto" w:sz="4" w:space="0"/>
              <w:left w:val="single" w:color="auto" w:sz="4" w:space="0"/>
              <w:bottom w:val="single" w:color="auto" w:sz="4" w:space="0"/>
              <w:right w:val="single" w:color="auto" w:sz="4" w:space="0"/>
            </w:tcBorders>
            <w:noWrap w:val="0"/>
            <w:vAlign w:val="center"/>
          </w:tcPr>
          <w:p w14:paraId="5BCE120F">
            <w:pPr>
              <w:spacing w:line="360" w:lineRule="auto"/>
              <w:jc w:val="center"/>
              <w:rPr>
                <w:rFonts w:ascii="宋体" w:hAnsi="宋体" w:cs="仿宋_GB2312"/>
                <w:color w:val="auto"/>
                <w:sz w:val="24"/>
              </w:rPr>
            </w:pPr>
            <w:r>
              <w:rPr>
                <w:rFonts w:ascii="宋体" w:hAnsi="宋体" w:cs="仿宋_GB2312"/>
                <w:color w:val="auto"/>
                <w:sz w:val="24"/>
              </w:rPr>
              <w:t>1</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378C1632">
            <w:pPr>
              <w:spacing w:line="360" w:lineRule="auto"/>
              <w:jc w:val="center"/>
              <w:rPr>
                <w:rFonts w:ascii="宋体" w:hAnsi="宋体" w:cs="仿宋_GB2312"/>
                <w:color w:val="auto"/>
                <w:sz w:val="24"/>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14:paraId="71D79FBA">
            <w:pPr>
              <w:spacing w:line="360" w:lineRule="auto"/>
              <w:rPr>
                <w:rFonts w:ascii="宋体" w:hAnsi="宋体" w:cs="仿宋_GB2312"/>
                <w:color w:val="auto"/>
                <w:sz w:val="24"/>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55632639">
            <w:pPr>
              <w:spacing w:line="360" w:lineRule="auto"/>
              <w:rPr>
                <w:rFonts w:ascii="宋体" w:hAnsi="宋体" w:cs="仿宋_GB2312"/>
                <w:color w:val="auto"/>
                <w:sz w:val="24"/>
              </w:rPr>
            </w:pPr>
          </w:p>
        </w:tc>
        <w:tc>
          <w:tcPr>
            <w:tcW w:w="1673" w:type="dxa"/>
            <w:tcBorders>
              <w:top w:val="single" w:color="auto" w:sz="4" w:space="0"/>
              <w:left w:val="single" w:color="auto" w:sz="4" w:space="0"/>
              <w:bottom w:val="single" w:color="auto" w:sz="4" w:space="0"/>
              <w:right w:val="single" w:color="auto" w:sz="4" w:space="0"/>
            </w:tcBorders>
            <w:noWrap w:val="0"/>
            <w:vAlign w:val="top"/>
          </w:tcPr>
          <w:p w14:paraId="223CC73B">
            <w:pPr>
              <w:spacing w:line="360" w:lineRule="auto"/>
              <w:rPr>
                <w:rFonts w:ascii="宋体" w:hAnsi="宋体" w:cs="仿宋_GB2312"/>
                <w:color w:val="auto"/>
                <w:sz w:val="24"/>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7B3D1ABB">
            <w:pPr>
              <w:spacing w:line="360" w:lineRule="auto"/>
              <w:rPr>
                <w:rFonts w:ascii="宋体" w:hAnsi="宋体" w:cs="仿宋_GB2312"/>
                <w:color w:val="auto"/>
                <w:sz w:val="24"/>
              </w:rPr>
            </w:pPr>
          </w:p>
        </w:tc>
      </w:tr>
      <w:tr w14:paraId="30CC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right"/>
        </w:trPr>
        <w:tc>
          <w:tcPr>
            <w:tcW w:w="1012" w:type="dxa"/>
            <w:tcBorders>
              <w:top w:val="single" w:color="auto" w:sz="4" w:space="0"/>
              <w:left w:val="single" w:color="auto" w:sz="4" w:space="0"/>
              <w:bottom w:val="single" w:color="auto" w:sz="4" w:space="0"/>
              <w:right w:val="single" w:color="auto" w:sz="4" w:space="0"/>
            </w:tcBorders>
            <w:noWrap w:val="0"/>
            <w:vAlign w:val="center"/>
          </w:tcPr>
          <w:p w14:paraId="3B568722">
            <w:pPr>
              <w:spacing w:line="360" w:lineRule="auto"/>
              <w:jc w:val="center"/>
              <w:rPr>
                <w:rFonts w:ascii="宋体" w:hAnsi="宋体" w:cs="仿宋_GB2312"/>
                <w:color w:val="auto"/>
                <w:sz w:val="24"/>
              </w:rPr>
            </w:pPr>
          </w:p>
        </w:tc>
        <w:tc>
          <w:tcPr>
            <w:tcW w:w="2712" w:type="dxa"/>
            <w:tcBorders>
              <w:top w:val="single" w:color="auto" w:sz="4" w:space="0"/>
              <w:left w:val="single" w:color="auto" w:sz="4" w:space="0"/>
              <w:bottom w:val="single" w:color="auto" w:sz="4" w:space="0"/>
              <w:right w:val="single" w:color="auto" w:sz="4" w:space="0"/>
            </w:tcBorders>
            <w:noWrap w:val="0"/>
            <w:vAlign w:val="center"/>
          </w:tcPr>
          <w:p w14:paraId="1729C95E">
            <w:pPr>
              <w:spacing w:line="360" w:lineRule="auto"/>
              <w:jc w:val="center"/>
              <w:rPr>
                <w:rFonts w:ascii="宋体" w:hAnsi="宋体" w:cs="仿宋_GB2312"/>
                <w:color w:val="auto"/>
                <w:sz w:val="24"/>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14:paraId="4E649884">
            <w:pPr>
              <w:spacing w:line="360" w:lineRule="auto"/>
              <w:rPr>
                <w:rFonts w:ascii="宋体" w:hAnsi="宋体" w:cs="仿宋_GB2312"/>
                <w:color w:val="auto"/>
                <w:sz w:val="24"/>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F056DDB">
            <w:pPr>
              <w:spacing w:line="360" w:lineRule="auto"/>
              <w:rPr>
                <w:rFonts w:ascii="宋体" w:hAnsi="宋体" w:cs="仿宋_GB2312"/>
                <w:color w:val="auto"/>
                <w:sz w:val="24"/>
              </w:rPr>
            </w:pPr>
          </w:p>
        </w:tc>
        <w:tc>
          <w:tcPr>
            <w:tcW w:w="1673" w:type="dxa"/>
            <w:tcBorders>
              <w:top w:val="single" w:color="auto" w:sz="4" w:space="0"/>
              <w:left w:val="single" w:color="auto" w:sz="4" w:space="0"/>
              <w:bottom w:val="single" w:color="auto" w:sz="4" w:space="0"/>
              <w:right w:val="single" w:color="auto" w:sz="4" w:space="0"/>
            </w:tcBorders>
            <w:noWrap w:val="0"/>
            <w:vAlign w:val="top"/>
          </w:tcPr>
          <w:p w14:paraId="31F345E5">
            <w:pPr>
              <w:spacing w:line="360" w:lineRule="auto"/>
              <w:rPr>
                <w:rFonts w:ascii="宋体" w:hAnsi="宋体" w:cs="仿宋_GB2312"/>
                <w:color w:val="auto"/>
                <w:sz w:val="24"/>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73C28091">
            <w:pPr>
              <w:spacing w:line="360" w:lineRule="auto"/>
              <w:rPr>
                <w:rFonts w:ascii="宋体" w:hAnsi="宋体" w:cs="仿宋_GB2312"/>
                <w:color w:val="auto"/>
                <w:sz w:val="24"/>
              </w:rPr>
            </w:pPr>
          </w:p>
        </w:tc>
      </w:tr>
      <w:tr w14:paraId="3436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right"/>
        </w:trPr>
        <w:tc>
          <w:tcPr>
            <w:tcW w:w="9520" w:type="dxa"/>
            <w:gridSpan w:val="6"/>
            <w:tcBorders>
              <w:top w:val="single" w:color="auto" w:sz="4" w:space="0"/>
              <w:left w:val="single" w:color="auto" w:sz="4" w:space="0"/>
              <w:bottom w:val="single" w:color="auto" w:sz="4" w:space="0"/>
              <w:right w:val="single" w:color="auto" w:sz="4" w:space="0"/>
            </w:tcBorders>
            <w:noWrap w:val="0"/>
            <w:vAlign w:val="center"/>
          </w:tcPr>
          <w:p w14:paraId="66C249F8">
            <w:pPr>
              <w:snapToGrid w:val="0"/>
              <w:spacing w:before="50" w:after="50" w:line="360" w:lineRule="auto"/>
              <w:rPr>
                <w:rFonts w:hint="eastAsia" w:ascii="宋体" w:hAnsi="宋体" w:eastAsia="宋体" w:cs="仿宋_GB2312"/>
                <w:color w:val="auto"/>
                <w:sz w:val="24"/>
                <w:lang w:eastAsia="zh-CN"/>
              </w:rPr>
            </w:pPr>
            <w:r>
              <w:rPr>
                <w:rFonts w:hint="eastAsia" w:ascii="宋体" w:hAnsi="宋体" w:cs="仿宋_GB2312"/>
                <w:color w:val="auto"/>
                <w:sz w:val="24"/>
                <w:lang w:eastAsia="zh-CN"/>
              </w:rPr>
              <w:t>服务期限：</w:t>
            </w:r>
          </w:p>
          <w:p w14:paraId="7A2D54A0">
            <w:pPr>
              <w:snapToGrid w:val="0"/>
              <w:spacing w:before="50" w:after="50" w:line="360" w:lineRule="auto"/>
              <w:rPr>
                <w:rFonts w:ascii="宋体" w:hAnsi="宋体" w:cs="仿宋_GB2312"/>
                <w:color w:val="auto"/>
                <w:sz w:val="24"/>
              </w:rPr>
            </w:pPr>
            <w:r>
              <w:rPr>
                <w:rFonts w:hint="eastAsia" w:ascii="宋体" w:hAnsi="宋体" w:cs="仿宋_GB2312"/>
                <w:color w:val="auto"/>
                <w:sz w:val="24"/>
              </w:rPr>
              <w:t>合计金额大写：人民币</w:t>
            </w:r>
            <w:r>
              <w:rPr>
                <w:rFonts w:hint="eastAsia" w:ascii="宋体" w:hAnsi="宋体" w:cs="仿宋_GB2312"/>
                <w:color w:val="auto"/>
                <w:sz w:val="24"/>
                <w:u w:val="single"/>
              </w:rPr>
              <w:t xml:space="preserve">           </w:t>
            </w:r>
            <w:r>
              <w:rPr>
                <w:rFonts w:hint="eastAsia" w:ascii="宋体" w:hAnsi="宋体" w:cs="仿宋_GB2312"/>
                <w:color w:val="auto"/>
                <w:sz w:val="24"/>
              </w:rPr>
              <w:t>（￥</w:t>
            </w:r>
            <w:r>
              <w:rPr>
                <w:rFonts w:hint="eastAsia" w:ascii="宋体" w:hAnsi="宋体" w:cs="仿宋_GB2312"/>
                <w:color w:val="auto"/>
                <w:sz w:val="24"/>
                <w:u w:val="single"/>
              </w:rPr>
              <w:t xml:space="preserve">           </w:t>
            </w:r>
            <w:r>
              <w:rPr>
                <w:rFonts w:hint="eastAsia" w:ascii="宋体" w:hAnsi="宋体" w:cs="仿宋_GB2312"/>
                <w:color w:val="auto"/>
                <w:sz w:val="24"/>
                <w:u w:val="none"/>
                <w:lang w:eastAsia="zh-CN"/>
              </w:rPr>
              <w:t>元</w:t>
            </w:r>
            <w:r>
              <w:rPr>
                <w:rFonts w:hint="eastAsia" w:ascii="宋体" w:hAnsi="宋体" w:cs="仿宋_GB2312"/>
                <w:color w:val="auto"/>
                <w:sz w:val="24"/>
              </w:rPr>
              <w:t>）</w:t>
            </w:r>
          </w:p>
        </w:tc>
      </w:tr>
    </w:tbl>
    <w:p w14:paraId="24684EAC">
      <w:pPr>
        <w:snapToGrid w:val="0"/>
        <w:spacing w:before="50" w:after="50" w:line="360" w:lineRule="auto"/>
        <w:jc w:val="left"/>
        <w:rPr>
          <w:rFonts w:hint="eastAsia" w:ascii="仿宋" w:hAnsi="仿宋" w:eastAsia="仿宋"/>
          <w:color w:val="auto"/>
          <w:sz w:val="24"/>
        </w:rPr>
      </w:pPr>
    </w:p>
    <w:p w14:paraId="12FE0C27">
      <w:pPr>
        <w:snapToGrid w:val="0"/>
        <w:spacing w:before="50" w:after="50" w:line="360" w:lineRule="auto"/>
        <w:jc w:val="left"/>
        <w:rPr>
          <w:rFonts w:hint="eastAsia" w:ascii="仿宋" w:hAnsi="仿宋" w:eastAsia="仿宋"/>
          <w:color w:val="auto"/>
          <w:sz w:val="24"/>
        </w:rPr>
      </w:pPr>
      <w:r>
        <w:rPr>
          <w:rFonts w:hint="eastAsia" w:ascii="仿宋" w:hAnsi="仿宋" w:eastAsia="仿宋"/>
          <w:color w:val="auto"/>
          <w:sz w:val="24"/>
        </w:rPr>
        <w:t xml:space="preserve">注: </w:t>
      </w:r>
    </w:p>
    <w:p w14:paraId="21B77653">
      <w:pPr>
        <w:snapToGrid w:val="0"/>
        <w:spacing w:before="50" w:after="50" w:line="360" w:lineRule="auto"/>
        <w:ind w:firstLine="480" w:firstLineChars="200"/>
        <w:rPr>
          <w:rFonts w:hint="eastAsia" w:ascii="仿宋" w:hAnsi="仿宋" w:eastAsia="仿宋"/>
          <w:b w:val="0"/>
          <w:bCs w:val="0"/>
          <w:color w:val="auto"/>
          <w:sz w:val="24"/>
        </w:rPr>
      </w:pPr>
      <w:r>
        <w:rPr>
          <w:rFonts w:hint="eastAsia" w:ascii="仿宋" w:hAnsi="仿宋" w:eastAsia="仿宋"/>
          <w:b w:val="0"/>
          <w:bCs w:val="0"/>
          <w:color w:val="auto"/>
          <w:sz w:val="24"/>
        </w:rPr>
        <w:t>1.报价一经涂改，应在涂改处加盖投标人公章或者加盖电子签章或者由法定</w:t>
      </w:r>
    </w:p>
    <w:p w14:paraId="01550280">
      <w:pPr>
        <w:snapToGrid w:val="0"/>
        <w:spacing w:before="50" w:after="50" w:line="360" w:lineRule="auto"/>
        <w:ind w:firstLine="480" w:firstLineChars="200"/>
        <w:rPr>
          <w:rFonts w:hint="eastAsia" w:ascii="仿宋" w:hAnsi="仿宋" w:eastAsia="仿宋"/>
          <w:b w:val="0"/>
          <w:bCs w:val="0"/>
          <w:color w:val="auto"/>
          <w:sz w:val="24"/>
        </w:rPr>
      </w:pPr>
      <w:r>
        <w:rPr>
          <w:rFonts w:hint="eastAsia" w:ascii="仿宋" w:hAnsi="仿宋" w:eastAsia="仿宋"/>
          <w:b w:val="0"/>
          <w:bCs w:val="0"/>
          <w:color w:val="auto"/>
          <w:sz w:val="24"/>
        </w:rPr>
        <w:t>代表人或者委托代理人签字（或者电子签名），</w:t>
      </w:r>
      <w:r>
        <w:rPr>
          <w:rFonts w:hint="eastAsia" w:ascii="仿宋" w:hAnsi="仿宋" w:eastAsia="仿宋"/>
          <w:b/>
          <w:bCs/>
          <w:color w:val="auto"/>
          <w:sz w:val="24"/>
        </w:rPr>
        <w:t>否则其投标作无效标处理</w:t>
      </w:r>
      <w:r>
        <w:rPr>
          <w:rFonts w:hint="eastAsia" w:ascii="仿宋" w:hAnsi="仿宋" w:eastAsia="仿宋"/>
          <w:b w:val="0"/>
          <w:bCs w:val="0"/>
          <w:color w:val="auto"/>
          <w:sz w:val="24"/>
        </w:rPr>
        <w:t xml:space="preserve">。 </w:t>
      </w:r>
    </w:p>
    <w:p w14:paraId="34CF3748">
      <w:pPr>
        <w:snapToGrid w:val="0"/>
        <w:spacing w:before="50" w:after="50" w:line="360" w:lineRule="auto"/>
        <w:ind w:firstLine="480" w:firstLineChars="200"/>
        <w:rPr>
          <w:rFonts w:hint="eastAsia" w:ascii="仿宋" w:hAnsi="仿宋" w:eastAsia="仿宋"/>
          <w:b w:val="0"/>
          <w:bCs w:val="0"/>
          <w:color w:val="auto"/>
          <w:sz w:val="24"/>
        </w:rPr>
      </w:pPr>
      <w:r>
        <w:rPr>
          <w:rFonts w:hint="eastAsia" w:ascii="仿宋" w:hAnsi="仿宋" w:eastAsia="仿宋"/>
          <w:b w:val="0"/>
          <w:bCs w:val="0"/>
          <w:color w:val="auto"/>
          <w:sz w:val="24"/>
          <w:lang w:val="en-US" w:eastAsia="zh-CN"/>
        </w:rPr>
        <w:t>2</w:t>
      </w:r>
      <w:r>
        <w:rPr>
          <w:rFonts w:hint="eastAsia" w:ascii="仿宋" w:hAnsi="仿宋" w:eastAsia="仿宋"/>
          <w:b w:val="0"/>
          <w:bCs w:val="0"/>
          <w:color w:val="auto"/>
          <w:sz w:val="24"/>
        </w:rPr>
        <w:t>.如为联合体投标，“投标人名称”处必须列明联合体各方名称，并标注联</w:t>
      </w:r>
    </w:p>
    <w:p w14:paraId="61E38020">
      <w:pPr>
        <w:snapToGrid w:val="0"/>
        <w:spacing w:before="50" w:after="50" w:line="360" w:lineRule="auto"/>
        <w:ind w:firstLine="480" w:firstLineChars="200"/>
        <w:rPr>
          <w:rFonts w:hint="eastAsia" w:ascii="仿宋" w:hAnsi="仿宋" w:eastAsia="仿宋"/>
          <w:b w:val="0"/>
          <w:bCs w:val="0"/>
          <w:color w:val="auto"/>
          <w:sz w:val="24"/>
        </w:rPr>
      </w:pPr>
      <w:r>
        <w:rPr>
          <w:rFonts w:hint="eastAsia" w:ascii="仿宋" w:hAnsi="仿宋" w:eastAsia="仿宋"/>
          <w:b w:val="0"/>
          <w:bCs w:val="0"/>
          <w:color w:val="auto"/>
          <w:sz w:val="24"/>
        </w:rPr>
        <w:t>合体牵头人名称，</w:t>
      </w:r>
      <w:r>
        <w:rPr>
          <w:rFonts w:hint="eastAsia" w:ascii="仿宋" w:hAnsi="仿宋" w:eastAsia="仿宋"/>
          <w:b/>
          <w:bCs/>
          <w:color w:val="auto"/>
          <w:sz w:val="24"/>
        </w:rPr>
        <w:t>否则其投标作无效标处理。</w:t>
      </w:r>
    </w:p>
    <w:p w14:paraId="0FA15753">
      <w:pPr>
        <w:snapToGrid w:val="0"/>
        <w:spacing w:before="50" w:after="50" w:line="360" w:lineRule="auto"/>
        <w:ind w:firstLine="480" w:firstLineChars="200"/>
        <w:rPr>
          <w:rFonts w:hint="eastAsia" w:ascii="仿宋" w:hAnsi="仿宋" w:eastAsia="仿宋"/>
          <w:b/>
          <w:bCs/>
          <w:color w:val="auto"/>
          <w:sz w:val="24"/>
        </w:rPr>
      </w:pPr>
      <w:r>
        <w:rPr>
          <w:rFonts w:hint="eastAsia" w:ascii="仿宋" w:hAnsi="仿宋" w:eastAsia="仿宋"/>
          <w:b w:val="0"/>
          <w:bCs w:val="0"/>
          <w:color w:val="auto"/>
          <w:sz w:val="24"/>
          <w:lang w:val="en-US" w:eastAsia="zh-CN"/>
        </w:rPr>
        <w:t>3</w:t>
      </w:r>
      <w:r>
        <w:rPr>
          <w:rFonts w:hint="eastAsia" w:ascii="仿宋" w:hAnsi="仿宋" w:eastAsia="仿宋"/>
          <w:b w:val="0"/>
          <w:bCs w:val="0"/>
          <w:color w:val="auto"/>
          <w:sz w:val="24"/>
        </w:rPr>
        <w:t>.如为联合体投标，盖章处须加盖联合体牵头人电子签章，</w:t>
      </w:r>
      <w:r>
        <w:rPr>
          <w:rFonts w:hint="eastAsia" w:ascii="仿宋" w:hAnsi="仿宋" w:eastAsia="仿宋"/>
          <w:b/>
          <w:bCs/>
          <w:color w:val="auto"/>
          <w:sz w:val="24"/>
        </w:rPr>
        <w:t>否则其投标作无效标</w:t>
      </w:r>
    </w:p>
    <w:p w14:paraId="1CB88A97">
      <w:pPr>
        <w:snapToGrid w:val="0"/>
        <w:spacing w:before="50" w:after="50" w:line="360" w:lineRule="auto"/>
        <w:ind w:firstLine="482" w:firstLineChars="200"/>
        <w:rPr>
          <w:rFonts w:hint="eastAsia" w:ascii="仿宋" w:hAnsi="仿宋" w:eastAsia="仿宋"/>
          <w:b w:val="0"/>
          <w:bCs w:val="0"/>
          <w:color w:val="auto"/>
          <w:sz w:val="24"/>
        </w:rPr>
      </w:pPr>
      <w:r>
        <w:rPr>
          <w:rFonts w:hint="eastAsia" w:ascii="仿宋" w:hAnsi="仿宋" w:eastAsia="仿宋"/>
          <w:b/>
          <w:bCs/>
          <w:color w:val="auto"/>
          <w:sz w:val="24"/>
        </w:rPr>
        <w:t>处理</w:t>
      </w:r>
      <w:r>
        <w:rPr>
          <w:rFonts w:hint="eastAsia" w:ascii="仿宋" w:hAnsi="仿宋" w:eastAsia="仿宋"/>
          <w:b w:val="0"/>
          <w:bCs w:val="0"/>
          <w:color w:val="auto"/>
          <w:sz w:val="24"/>
        </w:rPr>
        <w:t>。</w:t>
      </w:r>
    </w:p>
    <w:p w14:paraId="3746960E">
      <w:pPr>
        <w:numPr>
          <w:ilvl w:val="0"/>
          <w:numId w:val="0"/>
        </w:numPr>
        <w:snapToGrid w:val="0"/>
        <w:spacing w:before="50" w:after="50" w:line="360" w:lineRule="auto"/>
        <w:ind w:firstLine="480" w:firstLineChars="200"/>
        <w:rPr>
          <w:rFonts w:hint="eastAsia" w:ascii="仿宋" w:hAnsi="仿宋" w:eastAsia="仿宋"/>
          <w:b/>
          <w:bCs/>
          <w:color w:val="auto"/>
          <w:sz w:val="24"/>
        </w:rPr>
      </w:pPr>
      <w:r>
        <w:rPr>
          <w:rFonts w:hint="eastAsia" w:ascii="仿宋" w:hAnsi="仿宋" w:eastAsia="仿宋" w:cs="Times New Roman"/>
          <w:b w:val="0"/>
          <w:bCs w:val="0"/>
          <w:color w:val="auto"/>
          <w:kern w:val="2"/>
          <w:sz w:val="24"/>
          <w:szCs w:val="24"/>
          <w:lang w:val="en-US" w:eastAsia="zh-CN" w:bidi="ar-SA"/>
        </w:rPr>
        <w:t>4.</w:t>
      </w:r>
      <w:r>
        <w:rPr>
          <w:rFonts w:hint="eastAsia" w:ascii="仿宋" w:hAnsi="仿宋" w:eastAsia="仿宋"/>
          <w:b w:val="0"/>
          <w:bCs w:val="0"/>
          <w:color w:val="auto"/>
          <w:sz w:val="24"/>
        </w:rPr>
        <w:t>如有多分标，按分标分别提供开标一览表，</w:t>
      </w:r>
      <w:r>
        <w:rPr>
          <w:rFonts w:hint="eastAsia" w:ascii="仿宋" w:hAnsi="仿宋" w:eastAsia="仿宋"/>
          <w:b/>
          <w:bCs/>
          <w:color w:val="auto"/>
          <w:sz w:val="24"/>
        </w:rPr>
        <w:t>否则投标无效。</w:t>
      </w:r>
    </w:p>
    <w:p w14:paraId="1869874F">
      <w:pPr>
        <w:numPr>
          <w:ilvl w:val="0"/>
          <w:numId w:val="0"/>
        </w:numPr>
        <w:snapToGrid w:val="0"/>
        <w:spacing w:before="50" w:after="50" w:line="360" w:lineRule="auto"/>
        <w:rPr>
          <w:rFonts w:hint="eastAsia" w:ascii="仿宋" w:hAnsi="仿宋" w:eastAsia="仿宋"/>
          <w:b/>
          <w:bCs/>
          <w:color w:val="auto"/>
          <w:sz w:val="24"/>
        </w:rPr>
      </w:pPr>
    </w:p>
    <w:p w14:paraId="12C2BC32">
      <w:pPr>
        <w:numPr>
          <w:ilvl w:val="0"/>
          <w:numId w:val="0"/>
        </w:numPr>
        <w:snapToGrid w:val="0"/>
        <w:spacing w:before="50" w:after="50" w:line="360" w:lineRule="auto"/>
        <w:rPr>
          <w:rFonts w:hint="eastAsia" w:ascii="仿宋" w:hAnsi="仿宋" w:eastAsia="仿宋"/>
          <w:b/>
          <w:bCs/>
          <w:color w:val="auto"/>
          <w:sz w:val="24"/>
        </w:rPr>
      </w:pPr>
    </w:p>
    <w:p w14:paraId="18F1FE38">
      <w:pPr>
        <w:snapToGrid w:val="0"/>
        <w:spacing w:before="50" w:after="50" w:line="360" w:lineRule="auto"/>
        <w:ind w:left="-2" w:leftChars="-1" w:right="-817" w:rightChars="-389"/>
        <w:rPr>
          <w:rFonts w:hint="eastAsia" w:ascii="仿宋" w:hAnsi="仿宋" w:eastAsia="仿宋"/>
          <w:color w:val="auto"/>
          <w:sz w:val="24"/>
        </w:rPr>
      </w:pPr>
      <w:r>
        <w:rPr>
          <w:rFonts w:hint="eastAsia" w:ascii="仿宋" w:hAnsi="仿宋" w:eastAsia="仿宋"/>
          <w:color w:val="auto"/>
          <w:sz w:val="24"/>
        </w:rPr>
        <w:t>法定代表人或者委托代理人（签字</w:t>
      </w:r>
      <w:r>
        <w:rPr>
          <w:rFonts w:hint="eastAsia" w:ascii="仿宋" w:hAnsi="仿宋" w:eastAsia="仿宋" w:cs="仿宋_GB2312"/>
          <w:color w:val="auto"/>
          <w:sz w:val="24"/>
        </w:rPr>
        <w:t>或者盖章</w:t>
      </w:r>
      <w:r>
        <w:rPr>
          <w:rFonts w:hint="eastAsia" w:ascii="仿宋" w:hAnsi="仿宋" w:eastAsia="仿宋"/>
          <w:color w:val="auto"/>
          <w:sz w:val="24"/>
        </w:rPr>
        <w:t xml:space="preserve">）：                    </w:t>
      </w:r>
    </w:p>
    <w:p w14:paraId="2DA6B34F">
      <w:pPr>
        <w:snapToGrid w:val="0"/>
        <w:spacing w:before="50" w:after="50" w:line="360" w:lineRule="auto"/>
        <w:ind w:left="-3" w:leftChars="-15" w:right="-817" w:rightChars="-389" w:hanging="28" w:hangingChars="12"/>
        <w:rPr>
          <w:rFonts w:hint="eastAsia" w:ascii="仿宋" w:hAnsi="仿宋" w:eastAsia="仿宋"/>
          <w:color w:val="auto"/>
          <w:sz w:val="24"/>
        </w:rPr>
      </w:pPr>
      <w:r>
        <w:rPr>
          <w:rFonts w:hint="eastAsia" w:ascii="仿宋" w:hAnsi="仿宋" w:eastAsia="仿宋"/>
          <w:color w:val="auto"/>
          <w:sz w:val="24"/>
        </w:rPr>
        <w:t xml:space="preserve">投标人（盖公章）：                                 </w:t>
      </w:r>
    </w:p>
    <w:p w14:paraId="59640733">
      <w:pPr>
        <w:snapToGrid w:val="0"/>
        <w:spacing w:before="50" w:after="50" w:line="360" w:lineRule="auto"/>
        <w:ind w:left="-3" w:leftChars="-15" w:right="-817" w:rightChars="-389" w:hanging="28" w:hangingChars="12"/>
        <w:rPr>
          <w:rFonts w:hint="eastAsia" w:ascii="仿宋" w:hAnsi="仿宋" w:eastAsia="仿宋"/>
          <w:color w:val="auto"/>
          <w:szCs w:val="21"/>
        </w:rPr>
      </w:pPr>
      <w:r>
        <w:rPr>
          <w:rFonts w:hint="eastAsia" w:ascii="仿宋" w:hAnsi="仿宋" w:eastAsia="仿宋"/>
          <w:color w:val="auto"/>
          <w:sz w:val="24"/>
        </w:rPr>
        <w:t>日期：    年   月   日</w:t>
      </w:r>
    </w:p>
    <w:p w14:paraId="6DE1ABEC">
      <w:pPr>
        <w:keepNext w:val="0"/>
        <w:keepLines w:val="0"/>
        <w:widowControl/>
        <w:suppressLineNumbers w:val="0"/>
        <w:jc w:val="center"/>
        <w:rPr>
          <w:rFonts w:hint="eastAsia" w:ascii="宋体" w:hAnsi="宋体" w:eastAsia="宋体" w:cs="宋体"/>
          <w:b/>
          <w:bCs/>
          <w:color w:val="auto"/>
          <w:kern w:val="0"/>
          <w:sz w:val="31"/>
          <w:szCs w:val="31"/>
          <w:lang w:val="en-US" w:eastAsia="zh-CN" w:bidi="ar"/>
        </w:rPr>
      </w:pPr>
    </w:p>
    <w:p w14:paraId="71063F95">
      <w:pPr>
        <w:pStyle w:val="5"/>
        <w:rPr>
          <w:rFonts w:hint="eastAsia" w:ascii="宋体" w:hAnsi="宋体" w:eastAsia="宋体" w:cs="宋体"/>
          <w:b/>
          <w:bCs/>
          <w:color w:val="auto"/>
          <w:kern w:val="0"/>
          <w:sz w:val="31"/>
          <w:szCs w:val="31"/>
          <w:lang w:val="en-US" w:eastAsia="zh-CN" w:bidi="ar"/>
        </w:rPr>
      </w:pPr>
    </w:p>
    <w:p w14:paraId="7C9DF51B">
      <w:pPr>
        <w:rPr>
          <w:rFonts w:hint="eastAsia" w:ascii="宋体" w:hAnsi="宋体" w:eastAsia="宋体" w:cs="宋体"/>
          <w:b/>
          <w:bCs/>
          <w:color w:val="auto"/>
          <w:kern w:val="0"/>
          <w:sz w:val="31"/>
          <w:szCs w:val="31"/>
          <w:lang w:val="en-US" w:eastAsia="zh-CN" w:bidi="ar"/>
        </w:rPr>
      </w:pPr>
    </w:p>
    <w:p w14:paraId="0AF99871">
      <w:pPr>
        <w:pStyle w:val="5"/>
        <w:rPr>
          <w:rFonts w:hint="eastAsia"/>
          <w:color w:val="auto"/>
          <w:lang w:val="en-US" w:eastAsia="zh-CN"/>
        </w:rPr>
      </w:pPr>
    </w:p>
    <w:p w14:paraId="5ADEDF7E">
      <w:pPr>
        <w:keepNext w:val="0"/>
        <w:keepLines w:val="0"/>
        <w:widowControl/>
        <w:suppressLineNumbers w:val="0"/>
        <w:jc w:val="center"/>
        <w:rPr>
          <w:rFonts w:hint="eastAsia" w:ascii="宋体" w:hAnsi="宋体" w:eastAsia="宋体" w:cs="宋体"/>
          <w:b/>
          <w:bCs/>
          <w:color w:val="auto"/>
          <w:kern w:val="0"/>
          <w:sz w:val="31"/>
          <w:szCs w:val="31"/>
          <w:lang w:val="en-US" w:eastAsia="zh-CN" w:bidi="ar"/>
        </w:rPr>
      </w:pPr>
    </w:p>
    <w:p w14:paraId="790C8A5F">
      <w:pPr>
        <w:numPr>
          <w:ilvl w:val="0"/>
          <w:numId w:val="0"/>
        </w:numPr>
        <w:jc w:val="both"/>
        <w:rPr>
          <w:rFonts w:hint="eastAsia" w:ascii="仿宋" w:hAnsi="仿宋" w:eastAsia="仿宋"/>
          <w:b/>
          <w:color w:val="auto"/>
          <w:sz w:val="28"/>
          <w:szCs w:val="28"/>
        </w:rPr>
      </w:pPr>
      <w:bookmarkStart w:id="153" w:name="_Toc19686837"/>
      <w:r>
        <w:rPr>
          <w:rFonts w:hint="eastAsia" w:ascii="仿宋" w:hAnsi="仿宋" w:eastAsia="仿宋"/>
          <w:b/>
          <w:color w:val="auto"/>
          <w:sz w:val="28"/>
          <w:szCs w:val="28"/>
        </w:rPr>
        <w:t>二、资格证明文件格式</w:t>
      </w:r>
      <w:bookmarkEnd w:id="151"/>
      <w:bookmarkEnd w:id="152"/>
      <w:bookmarkEnd w:id="153"/>
    </w:p>
    <w:p w14:paraId="5FA53215">
      <w:pPr>
        <w:numPr>
          <w:ilvl w:val="2"/>
          <w:numId w:val="11"/>
        </w:numPr>
        <w:snapToGrid w:val="0"/>
        <w:spacing w:beforeLines="50" w:after="50" w:line="360" w:lineRule="auto"/>
        <w:ind w:left="0" w:firstLine="0"/>
        <w:jc w:val="left"/>
        <w:rPr>
          <w:rFonts w:hint="eastAsia" w:ascii="仿宋" w:hAnsi="仿宋" w:eastAsia="仿宋"/>
          <w:b/>
          <w:color w:val="auto"/>
          <w:sz w:val="24"/>
        </w:rPr>
      </w:pPr>
      <w:r>
        <w:rPr>
          <w:rFonts w:hint="eastAsia" w:ascii="仿宋" w:hAnsi="仿宋" w:eastAsia="仿宋"/>
          <w:b/>
          <w:color w:val="auto"/>
          <w:sz w:val="24"/>
        </w:rPr>
        <w:t xml:space="preserve">资格证明文件封面格式： </w:t>
      </w:r>
    </w:p>
    <w:p w14:paraId="4ABBA6C0">
      <w:pPr>
        <w:snapToGrid w:val="0"/>
        <w:spacing w:beforeLines="50" w:after="50"/>
        <w:rPr>
          <w:rFonts w:hint="eastAsia" w:ascii="仿宋" w:hAnsi="仿宋" w:eastAsia="仿宋"/>
          <w:bCs/>
          <w:color w:val="auto"/>
          <w:sz w:val="32"/>
          <w:szCs w:val="20"/>
        </w:rPr>
      </w:pPr>
      <w:r>
        <w:rPr>
          <w:rFonts w:hint="eastAsia" w:ascii="仿宋" w:hAnsi="仿宋" w:eastAsia="仿宋"/>
          <w:color w:val="auto"/>
          <w:sz w:val="24"/>
        </w:rPr>
        <w:t xml:space="preserve">                                                   </w:t>
      </w:r>
    </w:p>
    <w:p w14:paraId="4645980A">
      <w:pPr>
        <w:snapToGrid w:val="0"/>
        <w:spacing w:beforeLines="50" w:after="50"/>
        <w:rPr>
          <w:rFonts w:hint="eastAsia" w:ascii="仿宋" w:hAnsi="仿宋" w:eastAsia="仿宋"/>
          <w:color w:val="auto"/>
          <w:sz w:val="24"/>
          <w:szCs w:val="20"/>
        </w:rPr>
      </w:pPr>
    </w:p>
    <w:p w14:paraId="27D1F639">
      <w:pPr>
        <w:snapToGrid w:val="0"/>
        <w:spacing w:beforeLines="50" w:after="50"/>
        <w:rPr>
          <w:rFonts w:hint="eastAsia" w:ascii="仿宋" w:hAnsi="仿宋" w:eastAsia="仿宋"/>
          <w:color w:val="auto"/>
          <w:sz w:val="24"/>
          <w:szCs w:val="20"/>
        </w:rPr>
      </w:pPr>
    </w:p>
    <w:p w14:paraId="31D25866">
      <w:pPr>
        <w:snapToGrid w:val="0"/>
        <w:spacing w:beforeLines="50" w:after="50"/>
        <w:jc w:val="center"/>
        <w:rPr>
          <w:rFonts w:hint="eastAsia" w:ascii="仿宋" w:hAnsi="仿宋" w:eastAsia="仿宋" w:cs="方正小标宋简体"/>
          <w:color w:val="auto"/>
          <w:sz w:val="84"/>
          <w:szCs w:val="84"/>
        </w:rPr>
      </w:pPr>
      <w:r>
        <w:rPr>
          <w:rFonts w:hint="eastAsia" w:ascii="仿宋" w:hAnsi="仿宋" w:eastAsia="仿宋" w:cs="方正小标宋简体"/>
          <w:color w:val="auto"/>
          <w:sz w:val="84"/>
          <w:szCs w:val="84"/>
        </w:rPr>
        <w:t>投  标  文  件</w:t>
      </w:r>
    </w:p>
    <w:p w14:paraId="3CDAB196">
      <w:pPr>
        <w:snapToGrid w:val="0"/>
        <w:spacing w:beforeLines="50" w:after="50"/>
        <w:rPr>
          <w:rFonts w:hint="eastAsia" w:ascii="仿宋" w:hAnsi="仿宋" w:eastAsia="仿宋"/>
          <w:color w:val="auto"/>
          <w:sz w:val="24"/>
          <w:szCs w:val="20"/>
        </w:rPr>
      </w:pPr>
    </w:p>
    <w:p w14:paraId="6BDAFE54">
      <w:pPr>
        <w:snapToGrid w:val="0"/>
        <w:spacing w:beforeLines="50" w:after="50"/>
        <w:rPr>
          <w:rFonts w:hint="eastAsia" w:ascii="仿宋" w:hAnsi="仿宋" w:eastAsia="仿宋"/>
          <w:color w:val="auto"/>
          <w:sz w:val="24"/>
          <w:szCs w:val="20"/>
        </w:rPr>
      </w:pPr>
    </w:p>
    <w:p w14:paraId="381563A8">
      <w:pPr>
        <w:snapToGrid w:val="0"/>
        <w:spacing w:beforeLines="50" w:after="50"/>
        <w:jc w:val="center"/>
        <w:rPr>
          <w:rFonts w:hint="eastAsia" w:ascii="仿宋" w:hAnsi="仿宋" w:eastAsia="仿宋"/>
          <w:b/>
          <w:color w:val="auto"/>
          <w:sz w:val="24"/>
          <w:szCs w:val="20"/>
        </w:rPr>
      </w:pPr>
      <w:r>
        <w:rPr>
          <w:rFonts w:hint="eastAsia" w:ascii="仿宋" w:hAnsi="仿宋" w:eastAsia="仿宋"/>
          <w:b/>
          <w:color w:val="auto"/>
          <w:sz w:val="32"/>
          <w:szCs w:val="32"/>
        </w:rPr>
        <w:t>资 格 证 明 文 件</w:t>
      </w:r>
    </w:p>
    <w:p w14:paraId="1C58E951">
      <w:pPr>
        <w:snapToGrid w:val="0"/>
        <w:spacing w:beforeLines="50" w:after="50"/>
        <w:rPr>
          <w:rFonts w:ascii="仿宋" w:hAnsi="仿宋" w:eastAsia="仿宋"/>
          <w:bCs/>
          <w:color w:val="auto"/>
          <w:sz w:val="24"/>
          <w:szCs w:val="20"/>
        </w:rPr>
      </w:pPr>
    </w:p>
    <w:p w14:paraId="7AE586EA">
      <w:pPr>
        <w:snapToGrid w:val="0"/>
        <w:spacing w:beforeLines="50" w:after="50"/>
        <w:rPr>
          <w:rFonts w:ascii="仿宋" w:hAnsi="仿宋" w:eastAsia="仿宋"/>
          <w:bCs/>
          <w:color w:val="auto"/>
          <w:sz w:val="24"/>
          <w:szCs w:val="20"/>
        </w:rPr>
      </w:pPr>
    </w:p>
    <w:p w14:paraId="4DA7BBD5">
      <w:pPr>
        <w:snapToGrid w:val="0"/>
        <w:spacing w:beforeLines="50" w:after="50"/>
        <w:rPr>
          <w:rFonts w:ascii="仿宋" w:hAnsi="仿宋" w:eastAsia="仿宋"/>
          <w:bCs/>
          <w:color w:val="auto"/>
          <w:sz w:val="24"/>
          <w:szCs w:val="20"/>
        </w:rPr>
      </w:pPr>
    </w:p>
    <w:p w14:paraId="3B5AADF9">
      <w:pPr>
        <w:snapToGrid w:val="0"/>
        <w:spacing w:beforeLines="50" w:after="50"/>
        <w:rPr>
          <w:rFonts w:ascii="仿宋" w:hAnsi="仿宋" w:eastAsia="仿宋"/>
          <w:bCs/>
          <w:color w:val="auto"/>
          <w:sz w:val="24"/>
          <w:szCs w:val="20"/>
        </w:rPr>
      </w:pPr>
    </w:p>
    <w:p w14:paraId="7517C642">
      <w:pPr>
        <w:snapToGrid w:val="0"/>
        <w:spacing w:beforeLines="50" w:after="50"/>
        <w:rPr>
          <w:rFonts w:hint="eastAsia" w:ascii="仿宋" w:hAnsi="仿宋" w:eastAsia="仿宋"/>
          <w:bCs/>
          <w:color w:val="auto"/>
          <w:sz w:val="24"/>
          <w:szCs w:val="20"/>
        </w:rPr>
      </w:pPr>
    </w:p>
    <w:p w14:paraId="2973807F">
      <w:pPr>
        <w:snapToGrid w:val="0"/>
        <w:spacing w:beforeLines="50" w:after="50"/>
        <w:ind w:firstLine="540" w:firstLineChars="225"/>
        <w:rPr>
          <w:rFonts w:hint="eastAsia" w:ascii="仿宋" w:hAnsi="仿宋" w:eastAsia="仿宋"/>
          <w:bCs/>
          <w:color w:val="auto"/>
          <w:sz w:val="24"/>
        </w:rPr>
      </w:pPr>
      <w:r>
        <w:rPr>
          <w:rFonts w:hint="eastAsia" w:ascii="仿宋" w:hAnsi="仿宋" w:eastAsia="仿宋"/>
          <w:bCs/>
          <w:color w:val="auto"/>
          <w:sz w:val="24"/>
        </w:rPr>
        <w:t>项目名称：</w:t>
      </w:r>
    </w:p>
    <w:p w14:paraId="07AD33A7">
      <w:pPr>
        <w:snapToGrid w:val="0"/>
        <w:spacing w:beforeLines="50" w:after="50"/>
        <w:ind w:firstLine="540" w:firstLineChars="225"/>
        <w:rPr>
          <w:rFonts w:hint="eastAsia" w:ascii="仿宋" w:hAnsi="仿宋" w:eastAsia="仿宋"/>
          <w:bCs/>
          <w:color w:val="auto"/>
          <w:sz w:val="24"/>
          <w:szCs w:val="20"/>
        </w:rPr>
      </w:pPr>
    </w:p>
    <w:p w14:paraId="451CFD0A">
      <w:pPr>
        <w:snapToGrid w:val="0"/>
        <w:spacing w:beforeLines="50" w:after="50"/>
        <w:ind w:firstLine="540" w:firstLineChars="225"/>
        <w:rPr>
          <w:rFonts w:hint="eastAsia" w:ascii="仿宋" w:hAnsi="仿宋" w:eastAsia="仿宋"/>
          <w:bCs/>
          <w:color w:val="auto"/>
          <w:sz w:val="24"/>
        </w:rPr>
      </w:pPr>
      <w:r>
        <w:rPr>
          <w:rFonts w:hint="eastAsia" w:ascii="仿宋" w:hAnsi="仿宋" w:eastAsia="仿宋"/>
          <w:bCs/>
          <w:color w:val="auto"/>
          <w:sz w:val="24"/>
        </w:rPr>
        <w:t>项目编号：</w:t>
      </w:r>
    </w:p>
    <w:p w14:paraId="166AF86F">
      <w:pPr>
        <w:snapToGrid w:val="0"/>
        <w:spacing w:beforeLines="50" w:after="50"/>
        <w:ind w:firstLine="540" w:firstLineChars="225"/>
        <w:rPr>
          <w:rFonts w:hint="eastAsia" w:ascii="仿宋" w:hAnsi="仿宋" w:eastAsia="仿宋"/>
          <w:bCs/>
          <w:color w:val="auto"/>
          <w:sz w:val="24"/>
          <w:szCs w:val="20"/>
        </w:rPr>
      </w:pPr>
      <w:r>
        <w:rPr>
          <w:rFonts w:hint="eastAsia" w:ascii="仿宋" w:hAnsi="仿宋" w:eastAsia="仿宋"/>
          <w:bCs/>
          <w:color w:val="auto"/>
          <w:sz w:val="24"/>
        </w:rPr>
        <w:t xml:space="preserve"> </w:t>
      </w:r>
    </w:p>
    <w:p w14:paraId="348D8C40">
      <w:pPr>
        <w:snapToGrid w:val="0"/>
        <w:spacing w:beforeLines="50" w:after="50"/>
        <w:ind w:firstLine="540" w:firstLineChars="225"/>
        <w:rPr>
          <w:rFonts w:hint="eastAsia" w:ascii="仿宋" w:hAnsi="仿宋" w:eastAsia="仿宋"/>
          <w:bCs/>
          <w:color w:val="auto"/>
          <w:sz w:val="24"/>
        </w:rPr>
      </w:pPr>
      <w:r>
        <w:rPr>
          <w:rFonts w:hint="eastAsia" w:ascii="仿宋" w:hAnsi="仿宋" w:eastAsia="仿宋"/>
          <w:bCs/>
          <w:color w:val="auto"/>
          <w:sz w:val="24"/>
        </w:rPr>
        <w:t>所投分标：</w:t>
      </w:r>
    </w:p>
    <w:p w14:paraId="7D86ABB8">
      <w:pPr>
        <w:pStyle w:val="7"/>
        <w:snapToGrid w:val="0"/>
        <w:spacing w:before="50" w:after="50"/>
        <w:ind w:firstLine="540" w:firstLineChars="225"/>
        <w:rPr>
          <w:rFonts w:hint="eastAsia" w:ascii="仿宋" w:hAnsi="仿宋" w:eastAsia="仿宋"/>
          <w:bCs/>
          <w:color w:val="auto"/>
          <w:sz w:val="24"/>
          <w:szCs w:val="24"/>
        </w:rPr>
      </w:pPr>
    </w:p>
    <w:p w14:paraId="56903229">
      <w:pPr>
        <w:pStyle w:val="7"/>
        <w:snapToGrid w:val="0"/>
        <w:spacing w:before="50" w:after="50"/>
        <w:ind w:firstLine="540" w:firstLineChars="225"/>
        <w:rPr>
          <w:rFonts w:hint="eastAsia" w:ascii="仿宋" w:hAnsi="仿宋" w:eastAsia="仿宋"/>
          <w:bCs/>
          <w:color w:val="auto"/>
          <w:sz w:val="24"/>
          <w:szCs w:val="24"/>
        </w:rPr>
      </w:pPr>
      <w:r>
        <w:rPr>
          <w:rFonts w:hint="eastAsia" w:ascii="仿宋" w:hAnsi="仿宋" w:eastAsia="仿宋"/>
          <w:bCs/>
          <w:color w:val="auto"/>
          <w:sz w:val="24"/>
          <w:szCs w:val="24"/>
        </w:rPr>
        <w:t>投标人名称：</w:t>
      </w:r>
    </w:p>
    <w:p w14:paraId="512E740B">
      <w:pPr>
        <w:pStyle w:val="7"/>
        <w:snapToGrid w:val="0"/>
        <w:spacing w:before="50" w:after="50"/>
        <w:ind w:firstLine="540" w:firstLineChars="225"/>
        <w:rPr>
          <w:rFonts w:hint="eastAsia" w:ascii="仿宋" w:hAnsi="仿宋" w:eastAsia="仿宋"/>
          <w:bCs/>
          <w:color w:val="auto"/>
          <w:sz w:val="24"/>
          <w:szCs w:val="24"/>
        </w:rPr>
      </w:pPr>
    </w:p>
    <w:p w14:paraId="40DDBED2">
      <w:pPr>
        <w:pStyle w:val="7"/>
        <w:snapToGrid w:val="0"/>
        <w:spacing w:before="50" w:after="50"/>
        <w:ind w:firstLine="960" w:firstLineChars="400"/>
        <w:rPr>
          <w:rFonts w:hint="eastAsia" w:ascii="仿宋" w:hAnsi="仿宋" w:eastAsia="仿宋"/>
          <w:bCs/>
          <w:color w:val="auto"/>
          <w:sz w:val="24"/>
          <w:szCs w:val="24"/>
        </w:rPr>
      </w:pPr>
    </w:p>
    <w:p w14:paraId="7E66BE85">
      <w:pPr>
        <w:snapToGrid w:val="0"/>
        <w:spacing w:beforeLines="50" w:after="50"/>
        <w:ind w:firstLine="645"/>
        <w:jc w:val="center"/>
        <w:rPr>
          <w:rFonts w:ascii="仿宋" w:hAnsi="仿宋" w:eastAsia="仿宋"/>
          <w:color w:val="auto"/>
          <w:sz w:val="24"/>
        </w:rPr>
      </w:pPr>
      <w:r>
        <w:rPr>
          <w:rFonts w:hint="eastAsia" w:ascii="仿宋" w:hAnsi="仿宋" w:eastAsia="仿宋"/>
          <w:color w:val="auto"/>
          <w:sz w:val="24"/>
        </w:rPr>
        <w:t>年  月  日</w:t>
      </w:r>
    </w:p>
    <w:p w14:paraId="6A6C9751">
      <w:pPr>
        <w:snapToGrid w:val="0"/>
        <w:spacing w:beforeLines="50" w:after="50"/>
        <w:rPr>
          <w:rFonts w:ascii="仿宋" w:hAnsi="仿宋" w:eastAsia="仿宋"/>
          <w:color w:val="auto"/>
          <w:sz w:val="24"/>
          <w:szCs w:val="20"/>
        </w:rPr>
      </w:pPr>
      <w:r>
        <w:rPr>
          <w:rFonts w:ascii="仿宋" w:hAnsi="仿宋" w:eastAsia="仿宋"/>
          <w:color w:val="auto"/>
          <w:sz w:val="24"/>
          <w:szCs w:val="20"/>
        </w:rPr>
        <w:t xml:space="preserve"> </w:t>
      </w:r>
    </w:p>
    <w:p w14:paraId="12567D72">
      <w:pPr>
        <w:snapToGrid w:val="0"/>
        <w:spacing w:beforeLines="50" w:after="50"/>
        <w:rPr>
          <w:rFonts w:hint="eastAsia" w:ascii="仿宋" w:hAnsi="仿宋" w:eastAsia="仿宋"/>
          <w:color w:val="auto"/>
          <w:sz w:val="24"/>
          <w:szCs w:val="20"/>
        </w:rPr>
      </w:pPr>
    </w:p>
    <w:p w14:paraId="7DEBA921">
      <w:pPr>
        <w:numPr>
          <w:ilvl w:val="2"/>
          <w:numId w:val="11"/>
        </w:numPr>
        <w:snapToGrid w:val="0"/>
        <w:spacing w:beforeLines="50" w:after="50" w:line="360" w:lineRule="auto"/>
        <w:ind w:left="0" w:firstLine="0"/>
        <w:jc w:val="left"/>
        <w:rPr>
          <w:rFonts w:hint="eastAsia" w:ascii="仿宋" w:hAnsi="仿宋" w:eastAsia="仿宋"/>
          <w:color w:val="auto"/>
          <w:sz w:val="24"/>
          <w:szCs w:val="20"/>
        </w:rPr>
      </w:pPr>
      <w:r>
        <w:rPr>
          <w:rFonts w:ascii="仿宋" w:hAnsi="仿宋" w:eastAsia="仿宋"/>
          <w:b/>
          <w:bCs/>
          <w:color w:val="auto"/>
          <w:sz w:val="24"/>
        </w:rPr>
        <w:br w:type="page"/>
      </w:r>
      <w:r>
        <w:rPr>
          <w:rFonts w:hint="eastAsia" w:ascii="仿宋" w:hAnsi="仿宋" w:eastAsia="仿宋"/>
          <w:b/>
          <w:bCs/>
          <w:color w:val="auto"/>
          <w:sz w:val="24"/>
        </w:rPr>
        <w:t>资格证明文件目录</w:t>
      </w:r>
    </w:p>
    <w:p w14:paraId="38753BF7">
      <w:pPr>
        <w:snapToGrid w:val="0"/>
        <w:spacing w:line="360" w:lineRule="auto"/>
        <w:ind w:firstLine="420" w:firstLineChars="200"/>
        <w:jc w:val="left"/>
        <w:rPr>
          <w:rFonts w:hint="eastAsia" w:ascii="仿宋" w:hAnsi="仿宋" w:eastAsia="仿宋"/>
          <w:color w:val="auto"/>
          <w:szCs w:val="21"/>
        </w:rPr>
      </w:pPr>
      <w:r>
        <w:rPr>
          <w:rFonts w:hint="eastAsia" w:ascii="仿宋" w:hAnsi="仿宋" w:eastAsia="仿宋"/>
          <w:color w:val="auto"/>
          <w:szCs w:val="21"/>
        </w:rPr>
        <w:t>根据招标文件规定及投标人提供的材料自行编写目录。</w:t>
      </w:r>
    </w:p>
    <w:p w14:paraId="5E06FAB1">
      <w:pPr>
        <w:snapToGrid w:val="0"/>
        <w:spacing w:before="50" w:afterLines="50"/>
        <w:jc w:val="left"/>
        <w:rPr>
          <w:rFonts w:hint="eastAsia" w:ascii="仿宋" w:hAnsi="仿宋" w:eastAsia="仿宋"/>
          <w:color w:val="auto"/>
          <w:sz w:val="24"/>
        </w:rPr>
      </w:pPr>
    </w:p>
    <w:p w14:paraId="022EF6FC">
      <w:pPr>
        <w:snapToGrid w:val="0"/>
        <w:spacing w:before="50" w:afterLines="50"/>
        <w:jc w:val="left"/>
        <w:rPr>
          <w:rFonts w:hint="eastAsia" w:ascii="仿宋" w:hAnsi="仿宋" w:eastAsia="仿宋"/>
          <w:color w:val="auto"/>
          <w:sz w:val="24"/>
        </w:rPr>
      </w:pPr>
    </w:p>
    <w:p w14:paraId="0FC71832">
      <w:pPr>
        <w:numPr>
          <w:ilvl w:val="2"/>
          <w:numId w:val="11"/>
        </w:numPr>
        <w:snapToGrid w:val="0"/>
        <w:spacing w:beforeLines="50" w:after="50"/>
        <w:ind w:left="0" w:firstLine="0"/>
        <w:jc w:val="left"/>
        <w:rPr>
          <w:rFonts w:hint="eastAsia" w:ascii="仿宋" w:hAnsi="仿宋" w:eastAsia="仿宋"/>
          <w:b/>
          <w:color w:val="auto"/>
          <w:sz w:val="24"/>
        </w:rPr>
      </w:pPr>
      <w:r>
        <w:rPr>
          <w:rFonts w:ascii="仿宋" w:hAnsi="仿宋" w:eastAsia="仿宋"/>
          <w:b/>
          <w:color w:val="auto"/>
          <w:sz w:val="24"/>
        </w:rPr>
        <w:br w:type="page"/>
      </w:r>
      <w:r>
        <w:rPr>
          <w:rFonts w:hint="eastAsia" w:ascii="仿宋" w:hAnsi="仿宋" w:eastAsia="仿宋"/>
          <w:b/>
          <w:color w:val="auto"/>
          <w:sz w:val="28"/>
          <w:szCs w:val="28"/>
        </w:rPr>
        <w:t>投标人直接控股、管理关系信息表</w:t>
      </w:r>
    </w:p>
    <w:p w14:paraId="520A6C7A">
      <w:pPr>
        <w:snapToGrid w:val="0"/>
        <w:spacing w:before="50" w:afterLines="50"/>
        <w:jc w:val="center"/>
        <w:rPr>
          <w:rFonts w:hint="eastAsia" w:ascii="仿宋" w:hAnsi="仿宋" w:eastAsia="仿宋"/>
          <w:b/>
          <w:color w:val="auto"/>
          <w:sz w:val="28"/>
          <w:szCs w:val="28"/>
        </w:rPr>
      </w:pPr>
    </w:p>
    <w:p w14:paraId="455A424A">
      <w:pPr>
        <w:snapToGrid w:val="0"/>
        <w:spacing w:before="50" w:afterLines="50" w:line="360" w:lineRule="auto"/>
        <w:jc w:val="center"/>
        <w:rPr>
          <w:rFonts w:hint="eastAsia" w:ascii="仿宋" w:hAnsi="仿宋" w:eastAsia="仿宋"/>
          <w:b/>
          <w:color w:val="auto"/>
          <w:sz w:val="32"/>
          <w:szCs w:val="32"/>
        </w:rPr>
      </w:pPr>
      <w:r>
        <w:rPr>
          <w:rFonts w:hint="eastAsia" w:ascii="仿宋" w:hAnsi="仿宋" w:eastAsia="仿宋"/>
          <w:b/>
          <w:color w:val="auto"/>
          <w:sz w:val="32"/>
          <w:szCs w:val="32"/>
        </w:rPr>
        <w:t>投标人直接控股股东信息表</w:t>
      </w:r>
    </w:p>
    <w:tbl>
      <w:tblPr>
        <w:tblStyle w:val="47"/>
        <w:tblW w:w="0" w:type="auto"/>
        <w:jc w:val="center"/>
        <w:shd w:val="clear" w:color="auto" w:fill="FBFBFB"/>
        <w:tblLayout w:type="fixed"/>
        <w:tblCellMar>
          <w:top w:w="0" w:type="dxa"/>
          <w:left w:w="0" w:type="dxa"/>
          <w:bottom w:w="0" w:type="dxa"/>
          <w:right w:w="0" w:type="dxa"/>
        </w:tblCellMar>
      </w:tblPr>
      <w:tblGrid>
        <w:gridCol w:w="828"/>
        <w:gridCol w:w="2269"/>
        <w:gridCol w:w="1239"/>
        <w:gridCol w:w="4148"/>
        <w:gridCol w:w="992"/>
      </w:tblGrid>
      <w:tr w14:paraId="2C11AC11">
        <w:tblPrEx>
          <w:shd w:val="clear" w:color="auto" w:fill="FBFBFB"/>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DDE0640">
            <w:pPr>
              <w:spacing w:line="360" w:lineRule="auto"/>
              <w:jc w:val="center"/>
              <w:rPr>
                <w:rFonts w:ascii="仿宋" w:hAnsi="仿宋" w:eastAsia="仿宋" w:cs="宋体"/>
                <w:b/>
                <w:bCs/>
                <w:color w:val="auto"/>
                <w:kern w:val="0"/>
                <w:sz w:val="24"/>
              </w:rPr>
            </w:pPr>
            <w:r>
              <w:rPr>
                <w:rFonts w:hint="eastAsia" w:ascii="仿宋" w:hAnsi="仿宋" w:eastAsia="仿宋" w:cs="宋体"/>
                <w:b/>
                <w:bCs/>
                <w:color w:val="auto"/>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7C14478">
            <w:pPr>
              <w:spacing w:line="360" w:lineRule="auto"/>
              <w:jc w:val="center"/>
              <w:rPr>
                <w:rFonts w:ascii="仿宋" w:hAnsi="仿宋" w:eastAsia="仿宋" w:cs="宋体"/>
                <w:b/>
                <w:bCs/>
                <w:color w:val="auto"/>
                <w:kern w:val="0"/>
                <w:sz w:val="24"/>
              </w:rPr>
            </w:pPr>
            <w:r>
              <w:rPr>
                <w:rFonts w:hint="eastAsia" w:ascii="仿宋" w:hAnsi="仿宋" w:eastAsia="仿宋" w:cs="宋体"/>
                <w:b/>
                <w:bCs/>
                <w:color w:val="auto"/>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71E44EA">
            <w:pPr>
              <w:spacing w:line="360" w:lineRule="auto"/>
              <w:jc w:val="center"/>
              <w:rPr>
                <w:rFonts w:ascii="仿宋" w:hAnsi="仿宋" w:eastAsia="仿宋" w:cs="宋体"/>
                <w:b/>
                <w:bCs/>
                <w:color w:val="auto"/>
                <w:kern w:val="0"/>
                <w:sz w:val="24"/>
              </w:rPr>
            </w:pPr>
            <w:r>
              <w:rPr>
                <w:rFonts w:hint="eastAsia" w:ascii="仿宋" w:hAnsi="仿宋" w:eastAsia="仿宋" w:cs="宋体"/>
                <w:b/>
                <w:bCs/>
                <w:color w:val="auto"/>
                <w:kern w:val="0"/>
                <w:sz w:val="24"/>
              </w:rPr>
              <w:t>出资比例</w:t>
            </w:r>
          </w:p>
        </w:tc>
        <w:tc>
          <w:tcPr>
            <w:tcW w:w="414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0777082">
            <w:pPr>
              <w:spacing w:line="360" w:lineRule="auto"/>
              <w:jc w:val="center"/>
              <w:rPr>
                <w:rFonts w:ascii="仿宋" w:hAnsi="仿宋" w:eastAsia="仿宋" w:cs="宋体"/>
                <w:b/>
                <w:bCs/>
                <w:color w:val="auto"/>
                <w:kern w:val="0"/>
                <w:sz w:val="24"/>
              </w:rPr>
            </w:pPr>
            <w:r>
              <w:rPr>
                <w:rFonts w:hint="eastAsia" w:ascii="仿宋" w:hAnsi="仿宋" w:eastAsia="仿宋" w:cs="宋体"/>
                <w:b/>
                <w:bCs/>
                <w:color w:val="auto"/>
                <w:kern w:val="0"/>
                <w:sz w:val="24"/>
              </w:rPr>
              <w:t>身份证号码或者统一社会信用代码</w:t>
            </w:r>
          </w:p>
        </w:tc>
        <w:tc>
          <w:tcPr>
            <w:tcW w:w="99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7C5A3F7">
            <w:pPr>
              <w:spacing w:line="360" w:lineRule="auto"/>
              <w:jc w:val="center"/>
              <w:rPr>
                <w:rFonts w:ascii="仿宋" w:hAnsi="仿宋" w:eastAsia="仿宋" w:cs="宋体"/>
                <w:b/>
                <w:bCs/>
                <w:color w:val="auto"/>
                <w:kern w:val="0"/>
                <w:sz w:val="24"/>
              </w:rPr>
            </w:pPr>
            <w:r>
              <w:rPr>
                <w:rFonts w:hint="eastAsia" w:ascii="仿宋" w:hAnsi="仿宋" w:eastAsia="仿宋" w:cs="宋体"/>
                <w:b/>
                <w:bCs/>
                <w:color w:val="auto"/>
                <w:kern w:val="0"/>
                <w:sz w:val="24"/>
              </w:rPr>
              <w:t>备注</w:t>
            </w:r>
          </w:p>
        </w:tc>
      </w:tr>
      <w:tr w14:paraId="79C56D8B">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0E04CD">
            <w:pPr>
              <w:spacing w:line="360" w:lineRule="auto"/>
              <w:jc w:val="center"/>
              <w:rPr>
                <w:rFonts w:ascii="仿宋" w:hAnsi="仿宋" w:eastAsia="仿宋" w:cs="宋体"/>
                <w:color w:val="auto"/>
                <w:kern w:val="0"/>
                <w:sz w:val="24"/>
              </w:rPr>
            </w:pPr>
            <w:r>
              <w:rPr>
                <w:rFonts w:hint="eastAsia" w:ascii="仿宋" w:hAnsi="仿宋" w:eastAsia="仿宋" w:cs="宋体"/>
                <w:color w:val="auto"/>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BCEBD56">
            <w:pPr>
              <w:spacing w:line="360" w:lineRule="auto"/>
              <w:jc w:val="center"/>
              <w:rPr>
                <w:rFonts w:ascii="仿宋" w:hAnsi="仿宋" w:eastAsia="仿宋"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1468C7">
            <w:pPr>
              <w:spacing w:line="360" w:lineRule="auto"/>
              <w:jc w:val="center"/>
              <w:rPr>
                <w:rFonts w:ascii="仿宋" w:hAnsi="仿宋" w:eastAsia="仿宋" w:cs="宋体"/>
                <w:color w:val="auto"/>
                <w:kern w:val="0"/>
                <w:sz w:val="24"/>
              </w:rPr>
            </w:pPr>
          </w:p>
        </w:tc>
        <w:tc>
          <w:tcPr>
            <w:tcW w:w="414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955F99">
            <w:pPr>
              <w:spacing w:line="360" w:lineRule="auto"/>
              <w:jc w:val="center"/>
              <w:rPr>
                <w:rFonts w:ascii="仿宋" w:hAnsi="仿宋" w:eastAsia="仿宋" w:cs="宋体"/>
                <w:color w:val="auto"/>
                <w:kern w:val="0"/>
                <w:sz w:val="24"/>
              </w:rPr>
            </w:pPr>
          </w:p>
        </w:tc>
        <w:tc>
          <w:tcPr>
            <w:tcW w:w="99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2C954A">
            <w:pPr>
              <w:spacing w:line="360" w:lineRule="auto"/>
              <w:jc w:val="center"/>
              <w:rPr>
                <w:rFonts w:ascii="仿宋" w:hAnsi="仿宋" w:eastAsia="仿宋" w:cs="宋体"/>
                <w:color w:val="auto"/>
                <w:kern w:val="0"/>
                <w:sz w:val="24"/>
              </w:rPr>
            </w:pPr>
          </w:p>
        </w:tc>
      </w:tr>
      <w:tr w14:paraId="7B524CD1">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92EB650">
            <w:pPr>
              <w:spacing w:line="360" w:lineRule="auto"/>
              <w:jc w:val="center"/>
              <w:rPr>
                <w:rFonts w:ascii="仿宋" w:hAnsi="仿宋" w:eastAsia="仿宋" w:cs="宋体"/>
                <w:color w:val="auto"/>
                <w:kern w:val="0"/>
                <w:sz w:val="24"/>
              </w:rPr>
            </w:pPr>
            <w:r>
              <w:rPr>
                <w:rFonts w:hint="eastAsia" w:ascii="仿宋" w:hAnsi="仿宋" w:eastAsia="仿宋" w:cs="宋体"/>
                <w:color w:val="auto"/>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ED5A55">
            <w:pPr>
              <w:spacing w:line="360" w:lineRule="auto"/>
              <w:jc w:val="center"/>
              <w:rPr>
                <w:rFonts w:ascii="仿宋" w:hAnsi="仿宋" w:eastAsia="仿宋"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36C680">
            <w:pPr>
              <w:spacing w:line="360" w:lineRule="auto"/>
              <w:jc w:val="center"/>
              <w:rPr>
                <w:rFonts w:ascii="仿宋" w:hAnsi="仿宋" w:eastAsia="仿宋" w:cs="宋体"/>
                <w:color w:val="auto"/>
                <w:kern w:val="0"/>
                <w:sz w:val="24"/>
              </w:rPr>
            </w:pPr>
          </w:p>
        </w:tc>
        <w:tc>
          <w:tcPr>
            <w:tcW w:w="414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77D845">
            <w:pPr>
              <w:spacing w:line="360" w:lineRule="auto"/>
              <w:jc w:val="center"/>
              <w:rPr>
                <w:rFonts w:ascii="仿宋" w:hAnsi="仿宋" w:eastAsia="仿宋" w:cs="宋体"/>
                <w:color w:val="auto"/>
                <w:kern w:val="0"/>
                <w:sz w:val="24"/>
              </w:rPr>
            </w:pPr>
          </w:p>
        </w:tc>
        <w:tc>
          <w:tcPr>
            <w:tcW w:w="99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AEDAF6">
            <w:pPr>
              <w:spacing w:line="360" w:lineRule="auto"/>
              <w:jc w:val="center"/>
              <w:rPr>
                <w:rFonts w:ascii="仿宋" w:hAnsi="仿宋" w:eastAsia="仿宋" w:cs="宋体"/>
                <w:color w:val="auto"/>
                <w:kern w:val="0"/>
                <w:sz w:val="24"/>
              </w:rPr>
            </w:pPr>
          </w:p>
        </w:tc>
      </w:tr>
      <w:tr w14:paraId="478DF590">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FDEB04">
            <w:pPr>
              <w:spacing w:line="360" w:lineRule="auto"/>
              <w:jc w:val="center"/>
              <w:rPr>
                <w:rFonts w:ascii="仿宋" w:hAnsi="仿宋" w:eastAsia="仿宋" w:cs="宋体"/>
                <w:color w:val="auto"/>
                <w:kern w:val="0"/>
                <w:sz w:val="24"/>
              </w:rPr>
            </w:pPr>
            <w:r>
              <w:rPr>
                <w:rFonts w:hint="eastAsia" w:ascii="仿宋" w:hAnsi="仿宋" w:eastAsia="仿宋" w:cs="宋体"/>
                <w:color w:val="auto"/>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51B9CE">
            <w:pPr>
              <w:spacing w:line="360" w:lineRule="auto"/>
              <w:jc w:val="center"/>
              <w:rPr>
                <w:rFonts w:ascii="仿宋" w:hAnsi="仿宋" w:eastAsia="仿宋"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42F5DE">
            <w:pPr>
              <w:spacing w:line="360" w:lineRule="auto"/>
              <w:jc w:val="center"/>
              <w:rPr>
                <w:rFonts w:ascii="仿宋" w:hAnsi="仿宋" w:eastAsia="仿宋" w:cs="宋体"/>
                <w:color w:val="auto"/>
                <w:kern w:val="0"/>
                <w:sz w:val="24"/>
              </w:rPr>
            </w:pPr>
          </w:p>
        </w:tc>
        <w:tc>
          <w:tcPr>
            <w:tcW w:w="414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543F379">
            <w:pPr>
              <w:spacing w:line="360" w:lineRule="auto"/>
              <w:jc w:val="center"/>
              <w:rPr>
                <w:rFonts w:ascii="仿宋" w:hAnsi="仿宋" w:eastAsia="仿宋" w:cs="宋体"/>
                <w:color w:val="auto"/>
                <w:kern w:val="0"/>
                <w:sz w:val="24"/>
              </w:rPr>
            </w:pPr>
          </w:p>
        </w:tc>
        <w:tc>
          <w:tcPr>
            <w:tcW w:w="99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9118A4">
            <w:pPr>
              <w:spacing w:line="360" w:lineRule="auto"/>
              <w:jc w:val="center"/>
              <w:rPr>
                <w:rFonts w:ascii="仿宋" w:hAnsi="仿宋" w:eastAsia="仿宋" w:cs="宋体"/>
                <w:color w:val="auto"/>
                <w:kern w:val="0"/>
                <w:sz w:val="24"/>
              </w:rPr>
            </w:pPr>
          </w:p>
        </w:tc>
      </w:tr>
      <w:tr w14:paraId="4C09FE98">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231A75">
            <w:pPr>
              <w:spacing w:line="360" w:lineRule="auto"/>
              <w:jc w:val="center"/>
              <w:rPr>
                <w:rFonts w:ascii="仿宋" w:hAnsi="仿宋" w:eastAsia="仿宋" w:cs="宋体"/>
                <w:color w:val="auto"/>
                <w:kern w:val="0"/>
                <w:sz w:val="24"/>
              </w:rPr>
            </w:pPr>
            <w:r>
              <w:rPr>
                <w:rFonts w:hint="eastAsia" w:ascii="仿宋" w:hAnsi="仿宋" w:eastAsia="仿宋" w:cs="宋体"/>
                <w:color w:val="auto"/>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7B6EE2">
            <w:pPr>
              <w:spacing w:line="360" w:lineRule="auto"/>
              <w:jc w:val="center"/>
              <w:rPr>
                <w:rFonts w:ascii="仿宋" w:hAnsi="仿宋" w:eastAsia="仿宋"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A64247">
            <w:pPr>
              <w:spacing w:line="360" w:lineRule="auto"/>
              <w:jc w:val="center"/>
              <w:rPr>
                <w:rFonts w:ascii="仿宋" w:hAnsi="仿宋" w:eastAsia="仿宋" w:cs="宋体"/>
                <w:color w:val="auto"/>
                <w:kern w:val="0"/>
                <w:sz w:val="24"/>
              </w:rPr>
            </w:pPr>
          </w:p>
        </w:tc>
        <w:tc>
          <w:tcPr>
            <w:tcW w:w="414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922280">
            <w:pPr>
              <w:spacing w:line="360" w:lineRule="auto"/>
              <w:jc w:val="center"/>
              <w:rPr>
                <w:rFonts w:ascii="仿宋" w:hAnsi="仿宋" w:eastAsia="仿宋" w:cs="宋体"/>
                <w:color w:val="auto"/>
                <w:kern w:val="0"/>
                <w:sz w:val="24"/>
              </w:rPr>
            </w:pPr>
          </w:p>
        </w:tc>
        <w:tc>
          <w:tcPr>
            <w:tcW w:w="99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470CE3">
            <w:pPr>
              <w:spacing w:line="360" w:lineRule="auto"/>
              <w:jc w:val="center"/>
              <w:rPr>
                <w:rFonts w:ascii="仿宋" w:hAnsi="仿宋" w:eastAsia="仿宋" w:cs="宋体"/>
                <w:color w:val="auto"/>
                <w:kern w:val="0"/>
                <w:sz w:val="24"/>
              </w:rPr>
            </w:pPr>
          </w:p>
        </w:tc>
      </w:tr>
    </w:tbl>
    <w:p w14:paraId="0CBF063A">
      <w:pPr>
        <w:snapToGrid w:val="0"/>
        <w:spacing w:line="360" w:lineRule="auto"/>
        <w:jc w:val="left"/>
        <w:rPr>
          <w:rFonts w:hint="eastAsia" w:ascii="仿宋" w:hAnsi="仿宋" w:eastAsia="仿宋"/>
          <w:color w:val="auto"/>
          <w:sz w:val="24"/>
        </w:rPr>
      </w:pPr>
      <w:r>
        <w:rPr>
          <w:rFonts w:hint="eastAsia" w:ascii="仿宋" w:hAnsi="仿宋" w:eastAsia="仿宋"/>
          <w:color w:val="auto"/>
          <w:sz w:val="24"/>
        </w:rPr>
        <w:t>注：</w:t>
      </w:r>
    </w:p>
    <w:p w14:paraId="50DD7E40">
      <w:pPr>
        <w:snapToGrid w:val="0"/>
        <w:spacing w:line="360" w:lineRule="auto"/>
        <w:jc w:val="left"/>
        <w:rPr>
          <w:rFonts w:hint="eastAsia" w:ascii="仿宋" w:hAnsi="仿宋" w:eastAsia="仿宋"/>
          <w:color w:val="auto"/>
          <w:sz w:val="24"/>
        </w:rPr>
      </w:pPr>
      <w:r>
        <w:rPr>
          <w:rFonts w:hint="eastAsia" w:ascii="仿宋" w:hAnsi="仿宋" w:eastAsia="仿宋"/>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67F05B1">
      <w:pPr>
        <w:snapToGrid w:val="0"/>
        <w:spacing w:line="360" w:lineRule="auto"/>
        <w:jc w:val="left"/>
        <w:rPr>
          <w:rFonts w:hint="eastAsia" w:ascii="仿宋" w:hAnsi="仿宋" w:eastAsia="仿宋"/>
          <w:color w:val="auto"/>
          <w:sz w:val="24"/>
        </w:rPr>
      </w:pPr>
      <w:r>
        <w:rPr>
          <w:rFonts w:hint="eastAsia" w:ascii="仿宋" w:hAnsi="仿宋" w:eastAsia="仿宋"/>
          <w:color w:val="auto"/>
          <w:sz w:val="24"/>
        </w:rPr>
        <w:t>2.本表所指的控股关系仅限于直接控股关系，不包括间接的控股关系。公司实际控制人与公司之间的关系不属于本表所指的直接控股关系。</w:t>
      </w:r>
    </w:p>
    <w:p w14:paraId="53695A74">
      <w:pPr>
        <w:snapToGrid w:val="0"/>
        <w:spacing w:line="360" w:lineRule="auto"/>
        <w:jc w:val="left"/>
        <w:rPr>
          <w:rFonts w:hint="eastAsia" w:ascii="仿宋" w:hAnsi="仿宋" w:eastAsia="仿宋"/>
          <w:color w:val="auto"/>
          <w:sz w:val="24"/>
        </w:rPr>
      </w:pPr>
      <w:r>
        <w:rPr>
          <w:rFonts w:hint="eastAsia" w:ascii="仿宋" w:hAnsi="仿宋" w:eastAsia="仿宋"/>
          <w:color w:val="auto"/>
          <w:sz w:val="24"/>
        </w:rPr>
        <w:t>3.供应商不存在直接控股股东的，则填“无”。</w:t>
      </w:r>
    </w:p>
    <w:p w14:paraId="4E73748D">
      <w:pPr>
        <w:snapToGrid w:val="0"/>
        <w:spacing w:line="360" w:lineRule="auto"/>
        <w:jc w:val="left"/>
        <w:rPr>
          <w:rFonts w:hint="eastAsia" w:ascii="仿宋" w:hAnsi="仿宋" w:eastAsia="仿宋"/>
          <w:color w:val="auto"/>
          <w:sz w:val="24"/>
        </w:rPr>
      </w:pPr>
    </w:p>
    <w:p w14:paraId="0BCB60C3">
      <w:pPr>
        <w:snapToGrid w:val="0"/>
        <w:spacing w:line="360" w:lineRule="auto"/>
        <w:jc w:val="left"/>
        <w:rPr>
          <w:rFonts w:hint="eastAsia" w:ascii="仿宋" w:hAnsi="仿宋" w:eastAsia="仿宋"/>
          <w:color w:val="auto"/>
          <w:sz w:val="24"/>
        </w:rPr>
      </w:pPr>
    </w:p>
    <w:p w14:paraId="30273CAF">
      <w:pPr>
        <w:snapToGrid w:val="0"/>
        <w:spacing w:line="360" w:lineRule="auto"/>
        <w:jc w:val="left"/>
        <w:rPr>
          <w:rFonts w:hint="eastAsia" w:ascii="仿宋" w:hAnsi="仿宋" w:eastAsia="仿宋"/>
          <w:color w:val="auto"/>
          <w:sz w:val="24"/>
        </w:rPr>
      </w:pPr>
    </w:p>
    <w:p w14:paraId="7E439402">
      <w:pPr>
        <w:snapToGrid w:val="0"/>
        <w:spacing w:line="360" w:lineRule="auto"/>
        <w:jc w:val="left"/>
        <w:rPr>
          <w:rFonts w:hint="eastAsia" w:ascii="仿宋" w:hAnsi="仿宋" w:eastAsia="仿宋"/>
          <w:color w:val="auto"/>
          <w:sz w:val="24"/>
        </w:rPr>
      </w:pPr>
    </w:p>
    <w:p w14:paraId="38CFC7F7">
      <w:pPr>
        <w:snapToGrid w:val="0"/>
        <w:spacing w:line="360" w:lineRule="auto"/>
        <w:jc w:val="left"/>
        <w:rPr>
          <w:rFonts w:hint="eastAsia" w:ascii="仿宋" w:hAnsi="仿宋" w:eastAsia="仿宋"/>
          <w:color w:val="auto"/>
          <w:sz w:val="24"/>
        </w:rPr>
      </w:pPr>
    </w:p>
    <w:p w14:paraId="52715C3E">
      <w:pPr>
        <w:snapToGrid w:val="0"/>
        <w:spacing w:beforeLines="50" w:line="360" w:lineRule="auto"/>
        <w:ind w:right="480" w:firstLine="3967" w:firstLineChars="1653"/>
        <w:rPr>
          <w:rFonts w:hint="eastAsia" w:ascii="仿宋" w:hAnsi="仿宋" w:eastAsia="仿宋"/>
          <w:color w:val="auto"/>
          <w:sz w:val="24"/>
          <w:u w:val="single"/>
        </w:rPr>
      </w:pPr>
      <w:r>
        <w:rPr>
          <w:rFonts w:hint="eastAsia" w:ascii="仿宋" w:hAnsi="仿宋" w:eastAsia="仿宋"/>
          <w:color w:val="auto"/>
          <w:sz w:val="24"/>
        </w:rPr>
        <w:t>法定代表人或者委托代理人（签字</w:t>
      </w:r>
      <w:r>
        <w:rPr>
          <w:rFonts w:hint="eastAsia" w:ascii="仿宋" w:hAnsi="仿宋" w:eastAsia="仿宋" w:cs="仿宋_GB2312"/>
          <w:color w:val="auto"/>
          <w:sz w:val="24"/>
        </w:rPr>
        <w:t>或者盖章</w:t>
      </w:r>
      <w:r>
        <w:rPr>
          <w:rFonts w:hint="eastAsia" w:ascii="仿宋" w:hAnsi="仿宋" w:eastAsia="仿宋"/>
          <w:color w:val="auto"/>
          <w:sz w:val="24"/>
        </w:rPr>
        <w:t>）：</w:t>
      </w:r>
      <w:r>
        <w:rPr>
          <w:rFonts w:hint="eastAsia" w:ascii="仿宋" w:hAnsi="仿宋" w:eastAsia="仿宋"/>
          <w:color w:val="auto"/>
          <w:sz w:val="24"/>
          <w:u w:val="single"/>
        </w:rPr>
        <w:t xml:space="preserve">             </w:t>
      </w:r>
    </w:p>
    <w:p w14:paraId="219AF504">
      <w:pPr>
        <w:snapToGrid w:val="0"/>
        <w:spacing w:beforeLines="50" w:after="50" w:line="360" w:lineRule="auto"/>
        <w:ind w:right="480" w:firstLine="5520" w:firstLineChars="2300"/>
        <w:rPr>
          <w:rFonts w:hint="eastAsia" w:ascii="仿宋" w:hAnsi="仿宋" w:eastAsia="仿宋"/>
          <w:color w:val="auto"/>
          <w:sz w:val="24"/>
          <w:u w:val="single"/>
        </w:rPr>
      </w:pPr>
      <w:r>
        <w:rPr>
          <w:rFonts w:hint="eastAsia" w:ascii="仿宋" w:hAnsi="仿宋" w:eastAsia="仿宋"/>
          <w:color w:val="auto"/>
          <w:sz w:val="24"/>
        </w:rPr>
        <w:t>投标人（盖公章）：</w:t>
      </w:r>
      <w:r>
        <w:rPr>
          <w:rFonts w:hint="eastAsia" w:ascii="仿宋" w:hAnsi="仿宋" w:eastAsia="仿宋"/>
          <w:color w:val="auto"/>
          <w:sz w:val="24"/>
          <w:u w:val="single"/>
        </w:rPr>
        <w:t xml:space="preserve">                 </w:t>
      </w:r>
    </w:p>
    <w:p w14:paraId="31A4E100">
      <w:pPr>
        <w:snapToGrid w:val="0"/>
        <w:spacing w:beforeLines="50" w:after="50" w:line="360" w:lineRule="auto"/>
        <w:ind w:right="480" w:firstLine="5520" w:firstLineChars="2300"/>
        <w:rPr>
          <w:rFonts w:hint="eastAsia" w:ascii="仿宋" w:hAnsi="仿宋" w:eastAsia="仿宋"/>
          <w:color w:val="auto"/>
          <w:szCs w:val="21"/>
        </w:rPr>
      </w:pPr>
      <w:r>
        <w:rPr>
          <w:rFonts w:hint="eastAsia" w:ascii="仿宋" w:hAnsi="仿宋" w:eastAsia="仿宋"/>
          <w:color w:val="auto"/>
          <w:sz w:val="24"/>
        </w:rPr>
        <w:t>年    月    日</w:t>
      </w:r>
    </w:p>
    <w:p w14:paraId="0796818E">
      <w:pPr>
        <w:snapToGrid w:val="0"/>
        <w:jc w:val="center"/>
        <w:rPr>
          <w:rFonts w:hint="eastAsia" w:ascii="仿宋" w:hAnsi="仿宋" w:eastAsia="仿宋"/>
          <w:b/>
          <w:color w:val="auto"/>
          <w:sz w:val="28"/>
          <w:szCs w:val="28"/>
        </w:rPr>
      </w:pPr>
    </w:p>
    <w:p w14:paraId="68CA7C81">
      <w:pPr>
        <w:snapToGrid w:val="0"/>
        <w:spacing w:line="360" w:lineRule="auto"/>
        <w:jc w:val="center"/>
        <w:rPr>
          <w:rFonts w:hint="eastAsia" w:ascii="仿宋" w:hAnsi="仿宋" w:eastAsia="仿宋"/>
          <w:color w:val="auto"/>
          <w:sz w:val="32"/>
          <w:szCs w:val="32"/>
        </w:rPr>
      </w:pPr>
      <w:r>
        <w:rPr>
          <w:rFonts w:ascii="仿宋" w:hAnsi="仿宋" w:eastAsia="仿宋"/>
          <w:b/>
          <w:color w:val="auto"/>
          <w:sz w:val="32"/>
          <w:szCs w:val="32"/>
        </w:rPr>
        <w:br w:type="page"/>
      </w:r>
      <w:r>
        <w:rPr>
          <w:rFonts w:hint="eastAsia" w:ascii="仿宋" w:hAnsi="仿宋" w:eastAsia="仿宋"/>
          <w:b/>
          <w:color w:val="auto"/>
          <w:sz w:val="32"/>
          <w:szCs w:val="32"/>
        </w:rPr>
        <w:t>投标人直接管理关系信息表</w:t>
      </w:r>
    </w:p>
    <w:tbl>
      <w:tblPr>
        <w:tblStyle w:val="47"/>
        <w:tblW w:w="0" w:type="auto"/>
        <w:jc w:val="center"/>
        <w:tblLayout w:type="fixed"/>
        <w:tblCellMar>
          <w:top w:w="0" w:type="dxa"/>
          <w:left w:w="0" w:type="dxa"/>
          <w:bottom w:w="0" w:type="dxa"/>
          <w:right w:w="0" w:type="dxa"/>
        </w:tblCellMar>
      </w:tblPr>
      <w:tblGrid>
        <w:gridCol w:w="1005"/>
        <w:gridCol w:w="2659"/>
        <w:gridCol w:w="3924"/>
        <w:gridCol w:w="2064"/>
      </w:tblGrid>
      <w:tr w14:paraId="2D5FE92B">
        <w:tblPrEx>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BD4E1DE">
            <w:pPr>
              <w:spacing w:line="360" w:lineRule="auto"/>
              <w:jc w:val="center"/>
              <w:rPr>
                <w:rFonts w:ascii="仿宋" w:hAnsi="仿宋" w:eastAsia="仿宋" w:cs="宋体"/>
                <w:b/>
                <w:bCs/>
                <w:color w:val="auto"/>
                <w:kern w:val="0"/>
                <w:sz w:val="24"/>
              </w:rPr>
            </w:pPr>
            <w:r>
              <w:rPr>
                <w:rFonts w:hint="eastAsia" w:ascii="仿宋" w:hAnsi="仿宋" w:eastAsia="仿宋" w:cs="宋体"/>
                <w:b/>
                <w:bCs/>
                <w:color w:val="auto"/>
                <w:kern w:val="0"/>
                <w:sz w:val="24"/>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6E27924">
            <w:pPr>
              <w:spacing w:line="360" w:lineRule="auto"/>
              <w:jc w:val="center"/>
              <w:rPr>
                <w:rFonts w:ascii="仿宋" w:hAnsi="仿宋" w:eastAsia="仿宋" w:cs="宋体"/>
                <w:b/>
                <w:bCs/>
                <w:color w:val="auto"/>
                <w:kern w:val="0"/>
                <w:sz w:val="24"/>
              </w:rPr>
            </w:pPr>
            <w:r>
              <w:rPr>
                <w:rFonts w:hint="eastAsia" w:ascii="仿宋" w:hAnsi="仿宋" w:eastAsia="仿宋" w:cs="宋体"/>
                <w:b/>
                <w:bCs/>
                <w:color w:val="auto"/>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F5BA5DD">
            <w:pPr>
              <w:spacing w:line="360" w:lineRule="auto"/>
              <w:jc w:val="center"/>
              <w:rPr>
                <w:rFonts w:ascii="仿宋" w:hAnsi="仿宋" w:eastAsia="仿宋" w:cs="宋体"/>
                <w:b/>
                <w:bCs/>
                <w:color w:val="auto"/>
                <w:kern w:val="0"/>
                <w:sz w:val="24"/>
              </w:rPr>
            </w:pPr>
            <w:r>
              <w:rPr>
                <w:rFonts w:hint="eastAsia" w:ascii="仿宋" w:hAnsi="仿宋" w:eastAsia="仿宋" w:cs="宋体"/>
                <w:b/>
                <w:bCs/>
                <w:color w:val="auto"/>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7E10113">
            <w:pPr>
              <w:spacing w:line="360" w:lineRule="auto"/>
              <w:jc w:val="center"/>
              <w:rPr>
                <w:rFonts w:ascii="仿宋" w:hAnsi="仿宋" w:eastAsia="仿宋" w:cs="宋体"/>
                <w:b/>
                <w:bCs/>
                <w:color w:val="auto"/>
                <w:kern w:val="0"/>
                <w:sz w:val="24"/>
              </w:rPr>
            </w:pPr>
            <w:r>
              <w:rPr>
                <w:rFonts w:hint="eastAsia" w:ascii="仿宋" w:hAnsi="仿宋" w:eastAsia="仿宋" w:cs="宋体"/>
                <w:b/>
                <w:bCs/>
                <w:color w:val="auto"/>
                <w:kern w:val="0"/>
                <w:sz w:val="24"/>
              </w:rPr>
              <w:t>备注</w:t>
            </w:r>
          </w:p>
        </w:tc>
      </w:tr>
      <w:tr w14:paraId="352C7358">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626F621">
            <w:pPr>
              <w:spacing w:line="360" w:lineRule="auto"/>
              <w:jc w:val="center"/>
              <w:rPr>
                <w:rFonts w:ascii="仿宋" w:hAnsi="仿宋" w:eastAsia="仿宋" w:cs="宋体"/>
                <w:color w:val="auto"/>
                <w:kern w:val="0"/>
                <w:sz w:val="24"/>
              </w:rPr>
            </w:pPr>
            <w:r>
              <w:rPr>
                <w:rFonts w:hint="eastAsia" w:ascii="仿宋" w:hAnsi="仿宋" w:eastAsia="仿宋" w:cs="宋体"/>
                <w:color w:val="auto"/>
                <w:kern w:val="0"/>
                <w:sz w:val="24"/>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18245BD">
            <w:pPr>
              <w:spacing w:line="360" w:lineRule="auto"/>
              <w:jc w:val="center"/>
              <w:rPr>
                <w:rFonts w:ascii="仿宋" w:hAnsi="仿宋" w:eastAsia="仿宋"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2FCB7CD">
            <w:pPr>
              <w:spacing w:line="360" w:lineRule="auto"/>
              <w:jc w:val="center"/>
              <w:rPr>
                <w:rFonts w:ascii="仿宋" w:hAnsi="仿宋" w:eastAsia="仿宋"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63A351A">
            <w:pPr>
              <w:spacing w:line="360" w:lineRule="auto"/>
              <w:jc w:val="center"/>
              <w:rPr>
                <w:rFonts w:ascii="仿宋" w:hAnsi="仿宋" w:eastAsia="仿宋" w:cs="宋体"/>
                <w:color w:val="auto"/>
                <w:kern w:val="0"/>
                <w:sz w:val="24"/>
              </w:rPr>
            </w:pPr>
          </w:p>
        </w:tc>
      </w:tr>
      <w:tr w14:paraId="43C8820C">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FA1E6D5">
            <w:pPr>
              <w:spacing w:line="360" w:lineRule="auto"/>
              <w:jc w:val="center"/>
              <w:rPr>
                <w:rFonts w:ascii="仿宋" w:hAnsi="仿宋" w:eastAsia="仿宋" w:cs="宋体"/>
                <w:color w:val="auto"/>
                <w:kern w:val="0"/>
                <w:sz w:val="24"/>
              </w:rPr>
            </w:pPr>
            <w:r>
              <w:rPr>
                <w:rFonts w:hint="eastAsia" w:ascii="仿宋" w:hAnsi="仿宋" w:eastAsia="仿宋" w:cs="宋体"/>
                <w:color w:val="auto"/>
                <w:kern w:val="0"/>
                <w:sz w:val="24"/>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7171364">
            <w:pPr>
              <w:spacing w:line="360" w:lineRule="auto"/>
              <w:jc w:val="center"/>
              <w:rPr>
                <w:rFonts w:ascii="仿宋" w:hAnsi="仿宋" w:eastAsia="仿宋"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F9E686B">
            <w:pPr>
              <w:spacing w:line="360" w:lineRule="auto"/>
              <w:jc w:val="center"/>
              <w:rPr>
                <w:rFonts w:ascii="仿宋" w:hAnsi="仿宋" w:eastAsia="仿宋"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00466A4">
            <w:pPr>
              <w:spacing w:line="360" w:lineRule="auto"/>
              <w:jc w:val="center"/>
              <w:rPr>
                <w:rFonts w:ascii="仿宋" w:hAnsi="仿宋" w:eastAsia="仿宋" w:cs="宋体"/>
                <w:color w:val="auto"/>
                <w:kern w:val="0"/>
                <w:sz w:val="24"/>
              </w:rPr>
            </w:pPr>
          </w:p>
        </w:tc>
      </w:tr>
      <w:tr w14:paraId="7ED8F5FE">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86515E4">
            <w:pPr>
              <w:spacing w:line="360" w:lineRule="auto"/>
              <w:jc w:val="center"/>
              <w:rPr>
                <w:rFonts w:ascii="仿宋" w:hAnsi="仿宋" w:eastAsia="仿宋" w:cs="宋体"/>
                <w:color w:val="auto"/>
                <w:kern w:val="0"/>
                <w:sz w:val="24"/>
              </w:rPr>
            </w:pPr>
            <w:r>
              <w:rPr>
                <w:rFonts w:hint="eastAsia" w:ascii="仿宋" w:hAnsi="仿宋" w:eastAsia="仿宋" w:cs="宋体"/>
                <w:color w:val="auto"/>
                <w:kern w:val="0"/>
                <w:sz w:val="24"/>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CF0BA29">
            <w:pPr>
              <w:spacing w:line="360" w:lineRule="auto"/>
              <w:jc w:val="center"/>
              <w:rPr>
                <w:rFonts w:ascii="仿宋" w:hAnsi="仿宋" w:eastAsia="仿宋"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9E8CF75">
            <w:pPr>
              <w:spacing w:line="360" w:lineRule="auto"/>
              <w:jc w:val="center"/>
              <w:rPr>
                <w:rFonts w:ascii="仿宋" w:hAnsi="仿宋" w:eastAsia="仿宋"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8248648">
            <w:pPr>
              <w:spacing w:line="360" w:lineRule="auto"/>
              <w:jc w:val="center"/>
              <w:rPr>
                <w:rFonts w:ascii="仿宋" w:hAnsi="仿宋" w:eastAsia="仿宋" w:cs="宋体"/>
                <w:color w:val="auto"/>
                <w:kern w:val="0"/>
                <w:sz w:val="24"/>
              </w:rPr>
            </w:pPr>
          </w:p>
        </w:tc>
      </w:tr>
      <w:tr w14:paraId="3D6DD7A0">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C5BC2C1">
            <w:pPr>
              <w:spacing w:line="360" w:lineRule="auto"/>
              <w:jc w:val="center"/>
              <w:rPr>
                <w:rFonts w:ascii="仿宋" w:hAnsi="仿宋" w:eastAsia="仿宋" w:cs="宋体"/>
                <w:color w:val="auto"/>
                <w:kern w:val="0"/>
                <w:sz w:val="24"/>
              </w:rPr>
            </w:pPr>
            <w:r>
              <w:rPr>
                <w:rFonts w:hint="eastAsia" w:ascii="仿宋" w:hAnsi="仿宋" w:eastAsia="仿宋" w:cs="宋体"/>
                <w:color w:val="auto"/>
                <w:kern w:val="0"/>
                <w:sz w:val="24"/>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68CD821">
            <w:pPr>
              <w:spacing w:line="360" w:lineRule="auto"/>
              <w:jc w:val="center"/>
              <w:rPr>
                <w:rFonts w:ascii="仿宋" w:hAnsi="仿宋" w:eastAsia="仿宋"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CFEBF7E">
            <w:pPr>
              <w:spacing w:line="360" w:lineRule="auto"/>
              <w:jc w:val="center"/>
              <w:rPr>
                <w:rFonts w:ascii="仿宋" w:hAnsi="仿宋" w:eastAsia="仿宋"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EE0C5A7">
            <w:pPr>
              <w:spacing w:line="360" w:lineRule="auto"/>
              <w:jc w:val="center"/>
              <w:rPr>
                <w:rFonts w:ascii="仿宋" w:hAnsi="仿宋" w:eastAsia="仿宋" w:cs="宋体"/>
                <w:color w:val="auto"/>
                <w:kern w:val="0"/>
                <w:sz w:val="24"/>
              </w:rPr>
            </w:pPr>
          </w:p>
        </w:tc>
      </w:tr>
    </w:tbl>
    <w:p w14:paraId="7EFAEFDE">
      <w:pPr>
        <w:snapToGrid w:val="0"/>
        <w:spacing w:line="360" w:lineRule="auto"/>
        <w:jc w:val="left"/>
        <w:rPr>
          <w:rFonts w:hint="eastAsia" w:ascii="仿宋" w:hAnsi="仿宋" w:eastAsia="仿宋"/>
          <w:color w:val="auto"/>
          <w:sz w:val="24"/>
        </w:rPr>
      </w:pPr>
      <w:r>
        <w:rPr>
          <w:rFonts w:hint="eastAsia" w:ascii="仿宋" w:hAnsi="仿宋" w:eastAsia="仿宋"/>
          <w:color w:val="auto"/>
          <w:sz w:val="24"/>
        </w:rPr>
        <w:t>注：</w:t>
      </w:r>
    </w:p>
    <w:p w14:paraId="00EC85DD">
      <w:pPr>
        <w:snapToGrid w:val="0"/>
        <w:spacing w:line="360" w:lineRule="auto"/>
        <w:ind w:firstLine="480" w:firstLineChars="200"/>
        <w:jc w:val="left"/>
        <w:rPr>
          <w:rFonts w:hint="eastAsia" w:ascii="仿宋" w:hAnsi="仿宋" w:eastAsia="仿宋"/>
          <w:color w:val="auto"/>
          <w:sz w:val="24"/>
        </w:rPr>
      </w:pPr>
      <w:r>
        <w:rPr>
          <w:rFonts w:hint="eastAsia" w:ascii="仿宋" w:hAnsi="仿宋" w:eastAsia="仿宋"/>
          <w:color w:val="auto"/>
          <w:sz w:val="24"/>
        </w:rPr>
        <w:t>1.管理关系：是指不具有出资持股关系的其他单位之间存在的管理与被管理关系，如一些上下级关系的事业单位和团体组织。</w:t>
      </w:r>
    </w:p>
    <w:p w14:paraId="765F8582">
      <w:pPr>
        <w:snapToGrid w:val="0"/>
        <w:spacing w:line="360" w:lineRule="auto"/>
        <w:ind w:firstLine="480" w:firstLineChars="200"/>
        <w:jc w:val="left"/>
        <w:rPr>
          <w:rFonts w:hint="eastAsia" w:ascii="仿宋" w:hAnsi="仿宋" w:eastAsia="仿宋"/>
          <w:color w:val="auto"/>
          <w:sz w:val="24"/>
        </w:rPr>
      </w:pPr>
      <w:r>
        <w:rPr>
          <w:rFonts w:hint="eastAsia" w:ascii="仿宋" w:hAnsi="仿宋" w:eastAsia="仿宋"/>
          <w:color w:val="auto"/>
          <w:sz w:val="24"/>
        </w:rPr>
        <w:t>2.</w:t>
      </w:r>
      <w:r>
        <w:rPr>
          <w:rFonts w:hint="eastAsia" w:ascii="仿宋" w:hAnsi="仿宋" w:eastAsia="仿宋"/>
          <w:color w:val="auto"/>
          <w:spacing w:val="-6"/>
          <w:sz w:val="24"/>
        </w:rPr>
        <w:t>本表所指的管理关系仅限于直接管理关系，不包括间接的管理关系。</w:t>
      </w:r>
    </w:p>
    <w:p w14:paraId="3414A6D5">
      <w:pPr>
        <w:snapToGrid w:val="0"/>
        <w:spacing w:line="360" w:lineRule="auto"/>
        <w:ind w:firstLine="480" w:firstLineChars="200"/>
        <w:jc w:val="left"/>
        <w:rPr>
          <w:rFonts w:hint="eastAsia" w:ascii="仿宋" w:hAnsi="仿宋" w:eastAsia="仿宋"/>
          <w:color w:val="auto"/>
          <w:sz w:val="24"/>
        </w:rPr>
      </w:pPr>
      <w:r>
        <w:rPr>
          <w:rFonts w:hint="eastAsia" w:ascii="仿宋" w:hAnsi="仿宋" w:eastAsia="仿宋"/>
          <w:color w:val="auto"/>
          <w:sz w:val="24"/>
        </w:rPr>
        <w:t>3.供应商不存在直接管理关系的，则填“无”。</w:t>
      </w:r>
    </w:p>
    <w:p w14:paraId="13BB58BF">
      <w:pPr>
        <w:snapToGrid w:val="0"/>
        <w:spacing w:line="360" w:lineRule="auto"/>
        <w:jc w:val="left"/>
        <w:rPr>
          <w:rFonts w:hint="eastAsia" w:ascii="仿宋" w:hAnsi="仿宋" w:eastAsia="仿宋"/>
          <w:color w:val="auto"/>
          <w:sz w:val="24"/>
        </w:rPr>
      </w:pPr>
    </w:p>
    <w:p w14:paraId="04812CB8">
      <w:pPr>
        <w:snapToGrid w:val="0"/>
        <w:spacing w:line="360" w:lineRule="auto"/>
        <w:jc w:val="left"/>
        <w:rPr>
          <w:rFonts w:hint="eastAsia" w:ascii="仿宋" w:hAnsi="仿宋" w:eastAsia="仿宋"/>
          <w:color w:val="auto"/>
          <w:sz w:val="24"/>
        </w:rPr>
      </w:pPr>
    </w:p>
    <w:p w14:paraId="0FFAD2DB">
      <w:pPr>
        <w:snapToGrid w:val="0"/>
        <w:spacing w:line="360" w:lineRule="auto"/>
        <w:jc w:val="left"/>
        <w:rPr>
          <w:rFonts w:hint="eastAsia" w:ascii="仿宋" w:hAnsi="仿宋" w:eastAsia="仿宋"/>
          <w:color w:val="auto"/>
          <w:sz w:val="24"/>
        </w:rPr>
      </w:pPr>
    </w:p>
    <w:p w14:paraId="27AF5B1E">
      <w:pPr>
        <w:snapToGrid w:val="0"/>
        <w:spacing w:line="360" w:lineRule="auto"/>
        <w:jc w:val="left"/>
        <w:rPr>
          <w:rFonts w:hint="eastAsia" w:ascii="仿宋" w:hAnsi="仿宋" w:eastAsia="仿宋"/>
          <w:color w:val="auto"/>
          <w:sz w:val="24"/>
        </w:rPr>
      </w:pPr>
    </w:p>
    <w:p w14:paraId="717A5F5B">
      <w:pPr>
        <w:snapToGrid w:val="0"/>
        <w:spacing w:line="360" w:lineRule="auto"/>
        <w:jc w:val="left"/>
        <w:rPr>
          <w:rFonts w:hint="eastAsia" w:ascii="仿宋" w:hAnsi="仿宋" w:eastAsia="仿宋"/>
          <w:color w:val="auto"/>
          <w:sz w:val="24"/>
        </w:rPr>
      </w:pPr>
    </w:p>
    <w:p w14:paraId="11FE42D0">
      <w:pPr>
        <w:snapToGrid w:val="0"/>
        <w:spacing w:line="360" w:lineRule="auto"/>
        <w:jc w:val="left"/>
        <w:rPr>
          <w:rFonts w:hint="eastAsia" w:ascii="仿宋" w:hAnsi="仿宋" w:eastAsia="仿宋"/>
          <w:color w:val="auto"/>
          <w:sz w:val="24"/>
        </w:rPr>
      </w:pPr>
    </w:p>
    <w:p w14:paraId="6B1E152A">
      <w:pPr>
        <w:snapToGrid w:val="0"/>
        <w:spacing w:line="360" w:lineRule="auto"/>
        <w:jc w:val="left"/>
        <w:rPr>
          <w:rFonts w:hint="eastAsia" w:ascii="仿宋" w:hAnsi="仿宋" w:eastAsia="仿宋"/>
          <w:color w:val="auto"/>
          <w:sz w:val="24"/>
        </w:rPr>
      </w:pPr>
    </w:p>
    <w:p w14:paraId="463B039C">
      <w:pPr>
        <w:snapToGrid w:val="0"/>
        <w:spacing w:beforeLines="50" w:line="360" w:lineRule="auto"/>
        <w:ind w:right="480" w:firstLine="3967" w:firstLineChars="1653"/>
        <w:rPr>
          <w:rFonts w:hint="eastAsia" w:ascii="仿宋" w:hAnsi="仿宋" w:eastAsia="仿宋"/>
          <w:color w:val="auto"/>
          <w:sz w:val="24"/>
          <w:u w:val="single"/>
        </w:rPr>
      </w:pPr>
      <w:r>
        <w:rPr>
          <w:rFonts w:hint="eastAsia" w:ascii="仿宋" w:hAnsi="仿宋" w:eastAsia="仿宋"/>
          <w:color w:val="auto"/>
          <w:sz w:val="24"/>
        </w:rPr>
        <w:t>法定代表人或者委托代理人（签字</w:t>
      </w:r>
      <w:r>
        <w:rPr>
          <w:rFonts w:hint="eastAsia" w:ascii="仿宋" w:hAnsi="仿宋" w:eastAsia="仿宋" w:cs="仿宋_GB2312"/>
          <w:color w:val="auto"/>
          <w:sz w:val="24"/>
        </w:rPr>
        <w:t>或者盖章</w:t>
      </w:r>
      <w:r>
        <w:rPr>
          <w:rFonts w:hint="eastAsia" w:ascii="仿宋" w:hAnsi="仿宋" w:eastAsia="仿宋"/>
          <w:color w:val="auto"/>
          <w:sz w:val="24"/>
        </w:rPr>
        <w:t>）：</w:t>
      </w:r>
      <w:r>
        <w:rPr>
          <w:rFonts w:hint="eastAsia" w:ascii="仿宋" w:hAnsi="仿宋" w:eastAsia="仿宋"/>
          <w:color w:val="auto"/>
          <w:sz w:val="24"/>
          <w:u w:val="single"/>
        </w:rPr>
        <w:t xml:space="preserve">             </w:t>
      </w:r>
    </w:p>
    <w:p w14:paraId="6F04769F">
      <w:pPr>
        <w:snapToGrid w:val="0"/>
        <w:spacing w:beforeLines="50" w:after="50" w:line="360" w:lineRule="auto"/>
        <w:ind w:right="480" w:firstLine="5520" w:firstLineChars="2300"/>
        <w:rPr>
          <w:rFonts w:hint="eastAsia" w:ascii="仿宋" w:hAnsi="仿宋" w:eastAsia="仿宋"/>
          <w:color w:val="auto"/>
          <w:sz w:val="24"/>
        </w:rPr>
      </w:pPr>
      <w:r>
        <w:rPr>
          <w:rFonts w:hint="eastAsia" w:ascii="仿宋" w:hAnsi="仿宋" w:eastAsia="仿宋"/>
          <w:color w:val="auto"/>
          <w:sz w:val="24"/>
        </w:rPr>
        <w:t>投标人（盖公章）：</w:t>
      </w:r>
      <w:r>
        <w:rPr>
          <w:rFonts w:hint="eastAsia" w:ascii="仿宋" w:hAnsi="仿宋" w:eastAsia="仿宋"/>
          <w:color w:val="auto"/>
          <w:sz w:val="24"/>
          <w:u w:val="single"/>
        </w:rPr>
        <w:t xml:space="preserve">                 </w:t>
      </w:r>
    </w:p>
    <w:p w14:paraId="220E4866">
      <w:pPr>
        <w:snapToGrid w:val="0"/>
        <w:spacing w:beforeLines="50" w:after="50" w:line="360" w:lineRule="auto"/>
        <w:ind w:right="480" w:firstLine="240" w:firstLineChars="100"/>
        <w:jc w:val="right"/>
        <w:rPr>
          <w:rFonts w:hint="eastAsia" w:ascii="仿宋" w:hAnsi="仿宋" w:eastAsia="仿宋"/>
          <w:color w:val="auto"/>
          <w:sz w:val="24"/>
        </w:rPr>
      </w:pPr>
      <w:r>
        <w:rPr>
          <w:rFonts w:hint="eastAsia" w:ascii="仿宋" w:hAnsi="仿宋" w:eastAsia="仿宋"/>
          <w:color w:val="auto"/>
          <w:sz w:val="24"/>
        </w:rPr>
        <w:t xml:space="preserve"> 年    月    日</w:t>
      </w:r>
    </w:p>
    <w:p w14:paraId="4395ACD1">
      <w:pPr>
        <w:snapToGrid w:val="0"/>
        <w:spacing w:before="50" w:afterLines="50"/>
        <w:jc w:val="left"/>
        <w:rPr>
          <w:rFonts w:hint="eastAsia" w:ascii="仿宋" w:hAnsi="仿宋" w:eastAsia="仿宋"/>
          <w:color w:val="auto"/>
          <w:szCs w:val="21"/>
        </w:rPr>
      </w:pPr>
    </w:p>
    <w:p w14:paraId="5AA35D6E">
      <w:pPr>
        <w:snapToGrid w:val="0"/>
        <w:spacing w:beforeLines="50" w:after="50"/>
        <w:jc w:val="left"/>
        <w:rPr>
          <w:rFonts w:hint="eastAsia" w:ascii="仿宋" w:hAnsi="仿宋" w:eastAsia="仿宋"/>
          <w:b/>
          <w:color w:val="auto"/>
          <w:sz w:val="24"/>
          <w:szCs w:val="20"/>
        </w:rPr>
      </w:pPr>
    </w:p>
    <w:p w14:paraId="2170B52E">
      <w:pPr>
        <w:numPr>
          <w:ilvl w:val="2"/>
          <w:numId w:val="11"/>
        </w:numPr>
        <w:snapToGrid w:val="0"/>
        <w:spacing w:beforeLines="50" w:after="50"/>
        <w:ind w:left="0" w:firstLine="0"/>
        <w:jc w:val="left"/>
        <w:rPr>
          <w:rFonts w:hint="eastAsia" w:ascii="仿宋" w:hAnsi="仿宋" w:eastAsia="仿宋"/>
          <w:b/>
          <w:color w:val="auto"/>
          <w:sz w:val="24"/>
          <w:szCs w:val="20"/>
        </w:rPr>
      </w:pPr>
      <w:r>
        <w:rPr>
          <w:rFonts w:ascii="仿宋" w:hAnsi="仿宋" w:eastAsia="仿宋"/>
          <w:b/>
          <w:color w:val="auto"/>
          <w:sz w:val="24"/>
        </w:rPr>
        <w:br w:type="page"/>
      </w:r>
      <w:r>
        <w:rPr>
          <w:rFonts w:hint="eastAsia" w:ascii="仿宋" w:hAnsi="仿宋" w:eastAsia="仿宋"/>
          <w:b/>
          <w:color w:val="auto"/>
          <w:sz w:val="24"/>
        </w:rPr>
        <w:t>投标声明格式</w:t>
      </w:r>
    </w:p>
    <w:p w14:paraId="4FAA5BBB">
      <w:pPr>
        <w:snapToGrid w:val="0"/>
        <w:spacing w:before="50" w:afterLines="50"/>
        <w:jc w:val="left"/>
        <w:rPr>
          <w:rFonts w:hint="eastAsia" w:ascii="仿宋" w:hAnsi="仿宋" w:eastAsia="仿宋"/>
          <w:color w:val="auto"/>
        </w:rPr>
      </w:pPr>
    </w:p>
    <w:p w14:paraId="245AECC4">
      <w:pPr>
        <w:snapToGrid w:val="0"/>
        <w:spacing w:before="50" w:afterLines="50"/>
        <w:jc w:val="center"/>
        <w:rPr>
          <w:rFonts w:hint="eastAsia" w:ascii="仿宋" w:hAnsi="仿宋" w:eastAsia="仿宋" w:cs="方正小标宋简体"/>
          <w:bCs/>
          <w:color w:val="auto"/>
          <w:sz w:val="44"/>
          <w:szCs w:val="44"/>
        </w:rPr>
      </w:pPr>
      <w:r>
        <w:rPr>
          <w:rFonts w:hint="eastAsia" w:ascii="仿宋" w:hAnsi="仿宋" w:eastAsia="仿宋" w:cs="方正小标宋简体"/>
          <w:bCs/>
          <w:color w:val="auto"/>
          <w:sz w:val="44"/>
          <w:szCs w:val="44"/>
        </w:rPr>
        <w:t>投标声明</w:t>
      </w:r>
    </w:p>
    <w:p w14:paraId="541976F6">
      <w:pPr>
        <w:snapToGrid w:val="0"/>
        <w:spacing w:before="50" w:afterLines="50"/>
        <w:jc w:val="center"/>
        <w:rPr>
          <w:rFonts w:hint="eastAsia" w:ascii="仿宋" w:hAnsi="仿宋" w:eastAsia="仿宋" w:cs="方正小标宋简体"/>
          <w:bCs/>
          <w:color w:val="auto"/>
          <w:sz w:val="44"/>
          <w:szCs w:val="44"/>
        </w:rPr>
      </w:pPr>
    </w:p>
    <w:p w14:paraId="0B479A3E">
      <w:pPr>
        <w:spacing w:line="400" w:lineRule="exact"/>
        <w:contextualSpacing/>
        <w:jc w:val="left"/>
        <w:rPr>
          <w:rFonts w:hint="eastAsia" w:ascii="仿宋" w:hAnsi="仿宋" w:eastAsia="仿宋"/>
          <w:color w:val="auto"/>
          <w:sz w:val="24"/>
        </w:rPr>
      </w:pPr>
      <w:r>
        <w:rPr>
          <w:rFonts w:hint="eastAsia" w:ascii="仿宋" w:hAnsi="仿宋" w:eastAsia="仿宋"/>
          <w:color w:val="auto"/>
          <w:sz w:val="24"/>
        </w:rPr>
        <w:t>（采购人名称）：</w:t>
      </w:r>
    </w:p>
    <w:p w14:paraId="407DD85D">
      <w:pPr>
        <w:spacing w:line="400" w:lineRule="exact"/>
        <w:ind w:firstLine="523" w:firstLineChars="218"/>
        <w:contextualSpacing/>
        <w:jc w:val="left"/>
        <w:rPr>
          <w:rFonts w:hint="eastAsia" w:ascii="仿宋" w:hAnsi="仿宋" w:eastAsia="仿宋"/>
          <w:color w:val="auto"/>
          <w:sz w:val="24"/>
        </w:rPr>
      </w:pPr>
      <w:r>
        <w:rPr>
          <w:rFonts w:hint="eastAsia" w:ascii="仿宋" w:hAnsi="仿宋" w:eastAsia="仿宋"/>
          <w:color w:val="auto"/>
          <w:sz w:val="24"/>
        </w:rPr>
        <w:t>我方参加贵单位组织</w:t>
      </w:r>
      <w:r>
        <w:rPr>
          <w:rFonts w:hint="eastAsia" w:ascii="仿宋" w:hAnsi="仿宋" w:eastAsia="仿宋"/>
          <w:color w:val="auto"/>
          <w:sz w:val="24"/>
          <w:u w:val="single"/>
        </w:rPr>
        <w:t xml:space="preserve">             </w:t>
      </w:r>
      <w:r>
        <w:rPr>
          <w:rFonts w:hint="eastAsia" w:ascii="仿宋" w:hAnsi="仿宋" w:eastAsia="仿宋"/>
          <w:color w:val="auto"/>
          <w:sz w:val="24"/>
        </w:rPr>
        <w:t>项目（项目编号：</w:t>
      </w:r>
      <w:r>
        <w:rPr>
          <w:rFonts w:hint="eastAsia" w:ascii="仿宋" w:hAnsi="仿宋" w:eastAsia="仿宋"/>
          <w:color w:val="auto"/>
          <w:sz w:val="24"/>
          <w:u w:val="single"/>
        </w:rPr>
        <w:t xml:space="preserve">       </w:t>
      </w:r>
      <w:r>
        <w:rPr>
          <w:rFonts w:hint="eastAsia" w:ascii="仿宋" w:hAnsi="仿宋" w:eastAsia="仿宋"/>
          <w:color w:val="auto"/>
          <w:sz w:val="24"/>
        </w:rPr>
        <w:t>）的政府采购活动。我方在此郑重声明：</w:t>
      </w:r>
    </w:p>
    <w:p w14:paraId="6B3590D5">
      <w:pPr>
        <w:spacing w:line="400" w:lineRule="exact"/>
        <w:ind w:firstLine="480" w:firstLineChars="200"/>
        <w:contextualSpacing/>
        <w:jc w:val="left"/>
        <w:rPr>
          <w:rFonts w:hint="eastAsia" w:ascii="仿宋" w:hAnsi="仿宋" w:eastAsia="仿宋"/>
          <w:color w:val="auto"/>
          <w:sz w:val="24"/>
        </w:rPr>
      </w:pPr>
      <w:r>
        <w:rPr>
          <w:rFonts w:hint="eastAsia" w:ascii="仿宋" w:hAnsi="仿宋" w:eastAsia="仿宋"/>
          <w:color w:val="auto"/>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2531D29F">
      <w:pPr>
        <w:spacing w:line="400" w:lineRule="exact"/>
        <w:ind w:firstLine="480" w:firstLineChars="200"/>
        <w:contextualSpacing/>
        <w:jc w:val="left"/>
        <w:rPr>
          <w:rFonts w:hint="eastAsia" w:ascii="仿宋" w:hAnsi="仿宋" w:eastAsia="仿宋"/>
          <w:color w:val="auto"/>
          <w:sz w:val="24"/>
        </w:rPr>
      </w:pPr>
      <w:r>
        <w:rPr>
          <w:rFonts w:hint="eastAsia" w:ascii="仿宋" w:hAnsi="仿宋" w:eastAsia="仿宋"/>
          <w:color w:val="auto"/>
          <w:sz w:val="24"/>
        </w:rPr>
        <w:t>2.我方不是为本次采购项目提供整体设计、规范编制或者项目管理、监理、检测等服务的供应商。</w:t>
      </w:r>
    </w:p>
    <w:p w14:paraId="2D5DF22C">
      <w:pPr>
        <w:spacing w:line="400" w:lineRule="exact"/>
        <w:ind w:firstLine="480" w:firstLineChars="200"/>
        <w:contextualSpacing/>
        <w:jc w:val="left"/>
        <w:rPr>
          <w:rFonts w:hint="eastAsia" w:ascii="仿宋" w:hAnsi="仿宋" w:eastAsia="仿宋"/>
          <w:color w:val="auto"/>
          <w:sz w:val="24"/>
        </w:rPr>
      </w:pPr>
      <w:r>
        <w:rPr>
          <w:rFonts w:hint="eastAsia" w:ascii="仿宋" w:hAnsi="仿宋" w:eastAsia="仿宋"/>
          <w:color w:val="auto"/>
          <w:sz w:val="24"/>
        </w:rPr>
        <w:t>3. 我方承诺符合《中华人民共和国政府采购法》第二十二条规定：</w:t>
      </w:r>
    </w:p>
    <w:p w14:paraId="03912044">
      <w:pPr>
        <w:spacing w:line="400" w:lineRule="exact"/>
        <w:ind w:firstLine="480" w:firstLineChars="200"/>
        <w:contextualSpacing/>
        <w:jc w:val="left"/>
        <w:rPr>
          <w:rFonts w:ascii="仿宋" w:hAnsi="仿宋" w:eastAsia="仿宋"/>
          <w:color w:val="auto"/>
          <w:sz w:val="24"/>
        </w:rPr>
      </w:pPr>
      <w:r>
        <w:rPr>
          <w:rFonts w:hint="eastAsia" w:ascii="仿宋" w:hAnsi="仿宋" w:eastAsia="仿宋"/>
          <w:color w:val="auto"/>
          <w:sz w:val="24"/>
        </w:rPr>
        <w:t>（一）具有独立承担民事责任的能力；</w:t>
      </w:r>
    </w:p>
    <w:p w14:paraId="434324A8">
      <w:pPr>
        <w:spacing w:line="400" w:lineRule="exact"/>
        <w:ind w:firstLine="480" w:firstLineChars="200"/>
        <w:contextualSpacing/>
        <w:jc w:val="left"/>
        <w:rPr>
          <w:rFonts w:ascii="仿宋" w:hAnsi="仿宋" w:eastAsia="仿宋"/>
          <w:color w:val="auto"/>
          <w:sz w:val="24"/>
        </w:rPr>
      </w:pPr>
      <w:r>
        <w:rPr>
          <w:rFonts w:hint="eastAsia" w:ascii="仿宋" w:hAnsi="仿宋" w:eastAsia="仿宋"/>
          <w:color w:val="auto"/>
          <w:sz w:val="24"/>
        </w:rPr>
        <w:t>（二）具有良好的商业信誉和健全的财务会计制度；</w:t>
      </w:r>
    </w:p>
    <w:p w14:paraId="3A3402F3">
      <w:pPr>
        <w:spacing w:line="400" w:lineRule="exact"/>
        <w:ind w:firstLine="480" w:firstLineChars="200"/>
        <w:contextualSpacing/>
        <w:jc w:val="left"/>
        <w:rPr>
          <w:rFonts w:ascii="仿宋" w:hAnsi="仿宋" w:eastAsia="仿宋"/>
          <w:color w:val="auto"/>
          <w:sz w:val="24"/>
        </w:rPr>
      </w:pPr>
      <w:r>
        <w:rPr>
          <w:rFonts w:hint="eastAsia" w:ascii="仿宋" w:hAnsi="仿宋" w:eastAsia="仿宋"/>
          <w:color w:val="auto"/>
          <w:sz w:val="24"/>
        </w:rPr>
        <w:t>（三）具有履行合同所必需的设备和专业技术能力；</w:t>
      </w:r>
    </w:p>
    <w:p w14:paraId="767906D8">
      <w:pPr>
        <w:spacing w:line="400" w:lineRule="exact"/>
        <w:ind w:firstLine="480" w:firstLineChars="200"/>
        <w:contextualSpacing/>
        <w:jc w:val="left"/>
        <w:rPr>
          <w:rFonts w:ascii="仿宋" w:hAnsi="仿宋" w:eastAsia="仿宋"/>
          <w:color w:val="auto"/>
          <w:sz w:val="24"/>
        </w:rPr>
      </w:pPr>
      <w:r>
        <w:rPr>
          <w:rFonts w:hint="eastAsia" w:ascii="仿宋" w:hAnsi="仿宋" w:eastAsia="仿宋"/>
          <w:color w:val="auto"/>
          <w:sz w:val="24"/>
        </w:rPr>
        <w:t>（四）有依法缴纳税收和社会保障资金的良好记录；</w:t>
      </w:r>
    </w:p>
    <w:p w14:paraId="1D841DED">
      <w:pPr>
        <w:spacing w:line="400" w:lineRule="exact"/>
        <w:ind w:firstLine="480" w:firstLineChars="200"/>
        <w:contextualSpacing/>
        <w:jc w:val="left"/>
        <w:rPr>
          <w:rFonts w:ascii="仿宋" w:hAnsi="仿宋" w:eastAsia="仿宋"/>
          <w:color w:val="auto"/>
          <w:sz w:val="24"/>
        </w:rPr>
      </w:pPr>
      <w:r>
        <w:rPr>
          <w:rFonts w:hint="eastAsia" w:ascii="仿宋" w:hAnsi="仿宋" w:eastAsia="仿宋"/>
          <w:color w:val="auto"/>
          <w:sz w:val="24"/>
        </w:rPr>
        <w:t>（五）参加政府采购活动前三年内，在经营活动中没有重大违法记录；</w:t>
      </w:r>
    </w:p>
    <w:p w14:paraId="4B0AC7B3">
      <w:pPr>
        <w:spacing w:line="400" w:lineRule="exact"/>
        <w:ind w:firstLine="480" w:firstLineChars="200"/>
        <w:contextualSpacing/>
        <w:jc w:val="left"/>
        <w:rPr>
          <w:rFonts w:hint="eastAsia" w:ascii="仿宋" w:hAnsi="仿宋" w:eastAsia="仿宋"/>
          <w:color w:val="auto"/>
          <w:sz w:val="24"/>
        </w:rPr>
      </w:pPr>
      <w:r>
        <w:rPr>
          <w:rFonts w:hint="eastAsia" w:ascii="仿宋" w:hAnsi="仿宋" w:eastAsia="仿宋"/>
          <w:color w:val="auto"/>
          <w:sz w:val="24"/>
        </w:rPr>
        <w:t>（六）法律、行政法规规定的其他条件。</w:t>
      </w:r>
    </w:p>
    <w:p w14:paraId="4984A13A">
      <w:pPr>
        <w:spacing w:line="400" w:lineRule="exact"/>
        <w:ind w:firstLine="480" w:firstLineChars="200"/>
        <w:contextualSpacing/>
        <w:jc w:val="left"/>
        <w:rPr>
          <w:rFonts w:hint="eastAsia" w:ascii="仿宋" w:hAnsi="仿宋" w:eastAsia="仿宋"/>
          <w:color w:val="auto"/>
          <w:sz w:val="24"/>
        </w:rPr>
      </w:pPr>
      <w:r>
        <w:rPr>
          <w:rFonts w:hint="eastAsia" w:ascii="仿宋" w:hAnsi="仿宋" w:eastAsia="仿宋"/>
          <w:color w:val="auto"/>
          <w:sz w:val="24"/>
        </w:rPr>
        <w:t>4.以上事项如有虚假或者隐瞒，我方愿意承担一切后果，并不再寻求任何旨在减轻或者免除法律责任的辩解。</w:t>
      </w:r>
    </w:p>
    <w:p w14:paraId="20829A22">
      <w:pPr>
        <w:spacing w:line="400" w:lineRule="exact"/>
        <w:contextualSpacing/>
        <w:jc w:val="left"/>
        <w:rPr>
          <w:rFonts w:ascii="仿宋" w:hAnsi="仿宋" w:eastAsia="仿宋"/>
          <w:color w:val="auto"/>
          <w:sz w:val="24"/>
        </w:rPr>
      </w:pPr>
      <w:r>
        <w:rPr>
          <w:rFonts w:hint="eastAsia" w:ascii="仿宋" w:hAnsi="仿宋" w:eastAsia="仿宋"/>
          <w:color w:val="auto"/>
          <w:sz w:val="24"/>
        </w:rPr>
        <w:t xml:space="preserve">    特此承诺。</w:t>
      </w:r>
    </w:p>
    <w:p w14:paraId="07ACF652">
      <w:pPr>
        <w:spacing w:line="400" w:lineRule="exact"/>
        <w:contextualSpacing/>
        <w:jc w:val="left"/>
        <w:rPr>
          <w:rFonts w:ascii="仿宋" w:hAnsi="仿宋" w:eastAsia="仿宋"/>
          <w:b/>
          <w:color w:val="auto"/>
          <w:sz w:val="24"/>
        </w:rPr>
      </w:pPr>
      <w:r>
        <w:rPr>
          <w:rFonts w:hint="eastAsia" w:ascii="仿宋" w:hAnsi="仿宋" w:eastAsia="仿宋"/>
          <w:b/>
          <w:color w:val="auto"/>
          <w:sz w:val="24"/>
        </w:rPr>
        <w:t xml:space="preserve">    注：如为联合体投标，盖章处须加盖联合体各方公章并由联合体各方法定代表人分别签字，否则投标无效。</w:t>
      </w:r>
    </w:p>
    <w:p w14:paraId="095CA472">
      <w:pPr>
        <w:spacing w:line="400" w:lineRule="exact"/>
        <w:contextualSpacing/>
        <w:jc w:val="left"/>
        <w:rPr>
          <w:rFonts w:ascii="仿宋" w:hAnsi="仿宋" w:eastAsia="仿宋"/>
          <w:color w:val="auto"/>
          <w:sz w:val="24"/>
        </w:rPr>
      </w:pPr>
      <w:r>
        <w:rPr>
          <w:rFonts w:hint="eastAsia" w:ascii="仿宋" w:hAnsi="仿宋" w:eastAsia="仿宋"/>
          <w:color w:val="auto"/>
          <w:sz w:val="24"/>
        </w:rPr>
        <w:t xml:space="preserve">                                    </w:t>
      </w:r>
    </w:p>
    <w:p w14:paraId="326BEDE0">
      <w:pPr>
        <w:spacing w:line="400" w:lineRule="exact"/>
        <w:contextualSpacing/>
        <w:jc w:val="left"/>
        <w:rPr>
          <w:rFonts w:ascii="仿宋" w:hAnsi="仿宋" w:eastAsia="仿宋"/>
          <w:color w:val="auto"/>
          <w:sz w:val="24"/>
        </w:rPr>
      </w:pPr>
    </w:p>
    <w:p w14:paraId="4D7A409C">
      <w:pPr>
        <w:spacing w:line="400" w:lineRule="exact"/>
        <w:contextualSpacing/>
        <w:jc w:val="left"/>
        <w:rPr>
          <w:rFonts w:ascii="仿宋" w:hAnsi="仿宋" w:eastAsia="仿宋"/>
          <w:color w:val="auto"/>
          <w:sz w:val="24"/>
        </w:rPr>
      </w:pPr>
    </w:p>
    <w:p w14:paraId="1C4BF0F6">
      <w:pPr>
        <w:spacing w:line="400" w:lineRule="exact"/>
        <w:ind w:firstLine="3840" w:firstLineChars="1600"/>
        <w:contextualSpacing/>
        <w:jc w:val="left"/>
        <w:rPr>
          <w:rFonts w:hint="eastAsia" w:ascii="仿宋" w:hAnsi="仿宋" w:eastAsia="仿宋"/>
          <w:color w:val="auto"/>
          <w:sz w:val="24"/>
        </w:rPr>
      </w:pPr>
      <w:r>
        <w:rPr>
          <w:rFonts w:hint="eastAsia" w:ascii="仿宋" w:hAnsi="仿宋" w:eastAsia="仿宋"/>
          <w:color w:val="auto"/>
          <w:sz w:val="24"/>
        </w:rPr>
        <w:t xml:space="preserve">      法定代表人（签字或者盖章）：</w:t>
      </w:r>
      <w:r>
        <w:rPr>
          <w:rFonts w:hint="eastAsia" w:ascii="仿宋" w:hAnsi="仿宋" w:eastAsia="仿宋"/>
          <w:color w:val="auto"/>
          <w:sz w:val="24"/>
          <w:u w:val="single"/>
        </w:rPr>
        <w:t xml:space="preserve">             </w:t>
      </w:r>
    </w:p>
    <w:p w14:paraId="6A2CF43C">
      <w:pPr>
        <w:spacing w:line="400" w:lineRule="exact"/>
        <w:contextualSpacing/>
        <w:jc w:val="left"/>
        <w:rPr>
          <w:rFonts w:hint="eastAsia" w:ascii="仿宋" w:hAnsi="仿宋" w:eastAsia="仿宋"/>
          <w:color w:val="auto"/>
          <w:sz w:val="24"/>
        </w:rPr>
      </w:pPr>
      <w:r>
        <w:rPr>
          <w:rFonts w:hint="eastAsia" w:ascii="仿宋" w:hAnsi="仿宋" w:eastAsia="仿宋"/>
          <w:color w:val="auto"/>
          <w:sz w:val="24"/>
        </w:rPr>
        <w:t xml:space="preserve">                                          投标人（盖公章）：</w:t>
      </w:r>
      <w:r>
        <w:rPr>
          <w:rFonts w:hint="eastAsia" w:ascii="仿宋" w:hAnsi="仿宋" w:eastAsia="仿宋"/>
          <w:color w:val="auto"/>
          <w:sz w:val="24"/>
          <w:u w:val="single"/>
        </w:rPr>
        <w:t xml:space="preserve">                 </w:t>
      </w:r>
    </w:p>
    <w:p w14:paraId="13B242BB">
      <w:pPr>
        <w:spacing w:line="400" w:lineRule="exact"/>
        <w:contextualSpacing/>
        <w:jc w:val="left"/>
        <w:rPr>
          <w:rFonts w:hint="eastAsia" w:ascii="仿宋" w:hAnsi="仿宋" w:eastAsia="仿宋"/>
          <w:color w:val="auto"/>
        </w:rPr>
      </w:pPr>
      <w:r>
        <w:rPr>
          <w:rFonts w:hint="eastAsia" w:ascii="仿宋" w:hAnsi="仿宋" w:eastAsia="仿宋"/>
          <w:color w:val="auto"/>
          <w:sz w:val="24"/>
        </w:rPr>
        <w:t xml:space="preserve">                                                  年    月    日</w:t>
      </w:r>
    </w:p>
    <w:p w14:paraId="168AEBC5">
      <w:pPr>
        <w:rPr>
          <w:rFonts w:ascii="仿宋" w:hAnsi="仿宋" w:eastAsia="仿宋"/>
          <w:b/>
          <w:color w:val="auto"/>
          <w:sz w:val="28"/>
          <w:szCs w:val="28"/>
        </w:rPr>
      </w:pPr>
      <w:bookmarkStart w:id="154" w:name="_Toc19686838"/>
    </w:p>
    <w:p w14:paraId="7D27DF42">
      <w:pPr>
        <w:rPr>
          <w:rFonts w:ascii="仿宋" w:hAnsi="仿宋" w:eastAsia="仿宋"/>
          <w:b/>
          <w:color w:val="auto"/>
          <w:sz w:val="28"/>
          <w:szCs w:val="28"/>
        </w:rPr>
      </w:pPr>
    </w:p>
    <w:p w14:paraId="63EF9DD6">
      <w:pPr>
        <w:rPr>
          <w:rFonts w:ascii="仿宋" w:hAnsi="仿宋" w:eastAsia="仿宋"/>
          <w:b/>
          <w:color w:val="auto"/>
          <w:sz w:val="28"/>
          <w:szCs w:val="28"/>
        </w:rPr>
      </w:pPr>
    </w:p>
    <w:p w14:paraId="420AE54A">
      <w:pPr>
        <w:rPr>
          <w:rFonts w:hint="eastAsia" w:ascii="仿宋" w:hAnsi="仿宋" w:eastAsia="仿宋"/>
          <w:b/>
          <w:color w:val="auto"/>
          <w:sz w:val="28"/>
          <w:szCs w:val="28"/>
        </w:rPr>
      </w:pPr>
      <w:r>
        <w:rPr>
          <w:rFonts w:ascii="仿宋" w:hAnsi="仿宋" w:eastAsia="仿宋"/>
          <w:b/>
          <w:color w:val="auto"/>
          <w:sz w:val="28"/>
          <w:szCs w:val="28"/>
        </w:rPr>
        <w:br w:type="page"/>
      </w:r>
      <w:r>
        <w:rPr>
          <w:rFonts w:hint="eastAsia" w:ascii="仿宋" w:hAnsi="仿宋" w:eastAsia="仿宋"/>
          <w:b/>
          <w:color w:val="auto"/>
          <w:sz w:val="28"/>
          <w:szCs w:val="28"/>
        </w:rPr>
        <w:t>三、商务文件格式</w:t>
      </w:r>
      <w:bookmarkEnd w:id="154"/>
    </w:p>
    <w:p w14:paraId="4643533C">
      <w:pPr>
        <w:snapToGrid w:val="0"/>
        <w:spacing w:beforeLines="50" w:after="50" w:line="360" w:lineRule="auto"/>
        <w:jc w:val="left"/>
        <w:rPr>
          <w:rFonts w:hint="eastAsia" w:ascii="仿宋" w:hAnsi="仿宋" w:eastAsia="仿宋"/>
          <w:b/>
          <w:color w:val="auto"/>
          <w:sz w:val="24"/>
        </w:rPr>
      </w:pPr>
      <w:r>
        <w:rPr>
          <w:rFonts w:hint="eastAsia" w:ascii="仿宋" w:hAnsi="仿宋" w:eastAsia="仿宋"/>
          <w:b/>
          <w:color w:val="auto"/>
          <w:sz w:val="24"/>
        </w:rPr>
        <w:t xml:space="preserve">1.商务文件封面格式： </w:t>
      </w:r>
    </w:p>
    <w:p w14:paraId="39D89A73">
      <w:pPr>
        <w:snapToGrid w:val="0"/>
        <w:spacing w:beforeLines="50" w:after="50"/>
        <w:rPr>
          <w:rFonts w:hint="eastAsia" w:ascii="仿宋" w:hAnsi="仿宋" w:eastAsia="仿宋"/>
          <w:bCs/>
          <w:color w:val="auto"/>
          <w:sz w:val="32"/>
          <w:szCs w:val="20"/>
        </w:rPr>
      </w:pPr>
      <w:r>
        <w:rPr>
          <w:rFonts w:hint="eastAsia" w:ascii="仿宋" w:hAnsi="仿宋" w:eastAsia="仿宋"/>
          <w:color w:val="auto"/>
          <w:sz w:val="24"/>
        </w:rPr>
        <w:t xml:space="preserve">                                                 </w:t>
      </w:r>
    </w:p>
    <w:p w14:paraId="7F873373">
      <w:pPr>
        <w:snapToGrid w:val="0"/>
        <w:spacing w:beforeLines="50" w:after="50"/>
        <w:rPr>
          <w:rFonts w:hint="eastAsia" w:ascii="仿宋" w:hAnsi="仿宋" w:eastAsia="仿宋"/>
          <w:color w:val="auto"/>
          <w:sz w:val="24"/>
          <w:szCs w:val="20"/>
        </w:rPr>
      </w:pPr>
    </w:p>
    <w:p w14:paraId="6FFDFD27">
      <w:pPr>
        <w:snapToGrid w:val="0"/>
        <w:spacing w:beforeLines="50" w:after="50"/>
        <w:rPr>
          <w:rFonts w:hint="eastAsia" w:ascii="仿宋" w:hAnsi="仿宋" w:eastAsia="仿宋"/>
          <w:color w:val="auto"/>
          <w:sz w:val="24"/>
          <w:szCs w:val="20"/>
        </w:rPr>
      </w:pPr>
    </w:p>
    <w:p w14:paraId="5C808F6D">
      <w:pPr>
        <w:snapToGrid w:val="0"/>
        <w:spacing w:beforeLines="50" w:after="50"/>
        <w:rPr>
          <w:rFonts w:hint="eastAsia" w:ascii="仿宋" w:hAnsi="仿宋" w:eastAsia="仿宋"/>
          <w:color w:val="auto"/>
          <w:sz w:val="24"/>
          <w:szCs w:val="20"/>
        </w:rPr>
      </w:pPr>
    </w:p>
    <w:p w14:paraId="177FFE11">
      <w:pPr>
        <w:snapToGrid w:val="0"/>
        <w:spacing w:beforeLines="50" w:after="50"/>
        <w:jc w:val="center"/>
        <w:rPr>
          <w:rFonts w:hint="eastAsia" w:ascii="仿宋" w:hAnsi="仿宋" w:eastAsia="仿宋" w:cs="方正小标宋简体"/>
          <w:color w:val="auto"/>
          <w:sz w:val="84"/>
          <w:szCs w:val="84"/>
        </w:rPr>
      </w:pPr>
      <w:r>
        <w:rPr>
          <w:rFonts w:hint="eastAsia" w:ascii="仿宋" w:hAnsi="仿宋" w:eastAsia="仿宋" w:cs="方正小标宋简体"/>
          <w:color w:val="auto"/>
          <w:sz w:val="84"/>
          <w:szCs w:val="84"/>
        </w:rPr>
        <w:t>投  标  文  件</w:t>
      </w:r>
    </w:p>
    <w:p w14:paraId="6FEEF848">
      <w:pPr>
        <w:snapToGrid w:val="0"/>
        <w:spacing w:beforeLines="50" w:after="50"/>
        <w:rPr>
          <w:rFonts w:hint="eastAsia" w:ascii="仿宋" w:hAnsi="仿宋" w:eastAsia="仿宋"/>
          <w:color w:val="auto"/>
          <w:sz w:val="24"/>
          <w:szCs w:val="20"/>
        </w:rPr>
      </w:pPr>
    </w:p>
    <w:p w14:paraId="17D5DD51">
      <w:pPr>
        <w:snapToGrid w:val="0"/>
        <w:spacing w:beforeLines="50" w:after="50"/>
        <w:rPr>
          <w:rFonts w:hint="eastAsia" w:ascii="仿宋" w:hAnsi="仿宋" w:eastAsia="仿宋"/>
          <w:color w:val="auto"/>
          <w:sz w:val="24"/>
          <w:szCs w:val="20"/>
        </w:rPr>
      </w:pPr>
    </w:p>
    <w:p w14:paraId="5647079D">
      <w:pPr>
        <w:snapToGrid w:val="0"/>
        <w:spacing w:beforeLines="50" w:after="50"/>
        <w:jc w:val="center"/>
        <w:rPr>
          <w:rFonts w:hint="eastAsia" w:ascii="仿宋" w:hAnsi="仿宋" w:eastAsia="仿宋" w:cs="方正小标宋简体"/>
          <w:bCs/>
          <w:color w:val="auto"/>
          <w:sz w:val="32"/>
          <w:szCs w:val="32"/>
        </w:rPr>
      </w:pPr>
      <w:r>
        <w:rPr>
          <w:rFonts w:hint="eastAsia" w:ascii="仿宋" w:hAnsi="仿宋" w:eastAsia="仿宋" w:cs="方正小标宋简体"/>
          <w:bCs/>
          <w:color w:val="auto"/>
          <w:sz w:val="32"/>
          <w:szCs w:val="32"/>
        </w:rPr>
        <w:t>商  务  文  件</w:t>
      </w:r>
    </w:p>
    <w:p w14:paraId="05FC66D2">
      <w:pPr>
        <w:snapToGrid w:val="0"/>
        <w:spacing w:beforeLines="50" w:after="50"/>
        <w:rPr>
          <w:rFonts w:hint="eastAsia" w:ascii="仿宋" w:hAnsi="仿宋" w:eastAsia="仿宋"/>
          <w:bCs/>
          <w:color w:val="auto"/>
          <w:sz w:val="24"/>
          <w:szCs w:val="20"/>
        </w:rPr>
      </w:pPr>
    </w:p>
    <w:p w14:paraId="2C5CF507">
      <w:pPr>
        <w:snapToGrid w:val="0"/>
        <w:spacing w:beforeLines="50" w:after="50"/>
        <w:ind w:firstLine="540" w:firstLineChars="225"/>
        <w:rPr>
          <w:rFonts w:hint="eastAsia" w:ascii="仿宋" w:hAnsi="仿宋" w:eastAsia="仿宋"/>
          <w:bCs/>
          <w:color w:val="auto"/>
          <w:sz w:val="24"/>
        </w:rPr>
      </w:pPr>
    </w:p>
    <w:p w14:paraId="0C2F82B1">
      <w:pPr>
        <w:snapToGrid w:val="0"/>
        <w:spacing w:beforeLines="50" w:after="50"/>
        <w:ind w:firstLine="540" w:firstLineChars="225"/>
        <w:rPr>
          <w:rFonts w:hint="eastAsia" w:ascii="仿宋" w:hAnsi="仿宋" w:eastAsia="仿宋"/>
          <w:bCs/>
          <w:color w:val="auto"/>
          <w:sz w:val="24"/>
        </w:rPr>
      </w:pPr>
    </w:p>
    <w:p w14:paraId="029013F9">
      <w:pPr>
        <w:snapToGrid w:val="0"/>
        <w:spacing w:beforeLines="50" w:after="50"/>
        <w:ind w:firstLine="540" w:firstLineChars="225"/>
        <w:rPr>
          <w:rFonts w:hint="eastAsia" w:ascii="仿宋" w:hAnsi="仿宋" w:eastAsia="仿宋"/>
          <w:bCs/>
          <w:color w:val="auto"/>
          <w:sz w:val="24"/>
        </w:rPr>
      </w:pPr>
    </w:p>
    <w:p w14:paraId="444E1A68">
      <w:pPr>
        <w:snapToGrid w:val="0"/>
        <w:spacing w:beforeLines="50" w:after="50"/>
        <w:ind w:firstLine="540" w:firstLineChars="225"/>
        <w:rPr>
          <w:rFonts w:hint="eastAsia" w:ascii="仿宋" w:hAnsi="仿宋" w:eastAsia="仿宋"/>
          <w:bCs/>
          <w:color w:val="auto"/>
          <w:sz w:val="24"/>
        </w:rPr>
      </w:pPr>
      <w:r>
        <w:rPr>
          <w:rFonts w:hint="eastAsia" w:ascii="仿宋" w:hAnsi="仿宋" w:eastAsia="仿宋"/>
          <w:bCs/>
          <w:color w:val="auto"/>
          <w:sz w:val="24"/>
        </w:rPr>
        <w:t>项目名称：</w:t>
      </w:r>
    </w:p>
    <w:p w14:paraId="292D795D">
      <w:pPr>
        <w:snapToGrid w:val="0"/>
        <w:spacing w:beforeLines="50" w:after="50"/>
        <w:ind w:firstLine="540" w:firstLineChars="225"/>
        <w:rPr>
          <w:rFonts w:hint="eastAsia" w:ascii="仿宋" w:hAnsi="仿宋" w:eastAsia="仿宋"/>
          <w:bCs/>
          <w:color w:val="auto"/>
          <w:sz w:val="24"/>
          <w:szCs w:val="20"/>
        </w:rPr>
      </w:pPr>
    </w:p>
    <w:p w14:paraId="386E069D">
      <w:pPr>
        <w:snapToGrid w:val="0"/>
        <w:spacing w:beforeLines="50" w:after="50"/>
        <w:ind w:firstLine="540" w:firstLineChars="225"/>
        <w:rPr>
          <w:rFonts w:hint="eastAsia" w:ascii="仿宋" w:hAnsi="仿宋" w:eastAsia="仿宋"/>
          <w:bCs/>
          <w:color w:val="auto"/>
          <w:sz w:val="24"/>
        </w:rPr>
      </w:pPr>
      <w:r>
        <w:rPr>
          <w:rFonts w:hint="eastAsia" w:ascii="仿宋" w:hAnsi="仿宋" w:eastAsia="仿宋"/>
          <w:bCs/>
          <w:color w:val="auto"/>
          <w:sz w:val="24"/>
        </w:rPr>
        <w:t>项目编号：</w:t>
      </w:r>
    </w:p>
    <w:p w14:paraId="1F73BC78">
      <w:pPr>
        <w:snapToGrid w:val="0"/>
        <w:spacing w:beforeLines="50" w:after="50"/>
        <w:ind w:firstLine="540" w:firstLineChars="225"/>
        <w:rPr>
          <w:rFonts w:hint="eastAsia" w:ascii="仿宋" w:hAnsi="仿宋" w:eastAsia="仿宋"/>
          <w:bCs/>
          <w:color w:val="auto"/>
          <w:sz w:val="24"/>
          <w:szCs w:val="20"/>
        </w:rPr>
      </w:pPr>
      <w:r>
        <w:rPr>
          <w:rFonts w:hint="eastAsia" w:ascii="仿宋" w:hAnsi="仿宋" w:eastAsia="仿宋"/>
          <w:bCs/>
          <w:color w:val="auto"/>
          <w:sz w:val="24"/>
        </w:rPr>
        <w:t xml:space="preserve"> </w:t>
      </w:r>
    </w:p>
    <w:p w14:paraId="15300369">
      <w:pPr>
        <w:snapToGrid w:val="0"/>
        <w:spacing w:beforeLines="50" w:after="50"/>
        <w:ind w:firstLine="540" w:firstLineChars="225"/>
        <w:rPr>
          <w:rFonts w:hint="eastAsia" w:ascii="仿宋" w:hAnsi="仿宋" w:eastAsia="仿宋"/>
          <w:bCs/>
          <w:color w:val="auto"/>
          <w:sz w:val="24"/>
        </w:rPr>
      </w:pPr>
      <w:r>
        <w:rPr>
          <w:rFonts w:hint="eastAsia" w:ascii="仿宋" w:hAnsi="仿宋" w:eastAsia="仿宋"/>
          <w:bCs/>
          <w:color w:val="auto"/>
          <w:sz w:val="24"/>
        </w:rPr>
        <w:t>所投分标：</w:t>
      </w:r>
    </w:p>
    <w:p w14:paraId="26A3E040">
      <w:pPr>
        <w:snapToGrid w:val="0"/>
        <w:spacing w:beforeLines="50" w:after="50"/>
        <w:ind w:firstLine="540" w:firstLineChars="225"/>
        <w:rPr>
          <w:rFonts w:hint="eastAsia" w:ascii="仿宋" w:hAnsi="仿宋" w:eastAsia="仿宋"/>
          <w:bCs/>
          <w:color w:val="auto"/>
          <w:sz w:val="24"/>
          <w:szCs w:val="20"/>
        </w:rPr>
      </w:pPr>
    </w:p>
    <w:p w14:paraId="592E87F6">
      <w:pPr>
        <w:pStyle w:val="7"/>
        <w:snapToGrid w:val="0"/>
        <w:spacing w:before="50" w:after="50"/>
        <w:ind w:firstLine="540" w:firstLineChars="225"/>
        <w:rPr>
          <w:rFonts w:hint="eastAsia" w:ascii="仿宋" w:hAnsi="仿宋" w:eastAsia="仿宋"/>
          <w:bCs/>
          <w:color w:val="auto"/>
          <w:sz w:val="24"/>
          <w:szCs w:val="24"/>
        </w:rPr>
      </w:pPr>
      <w:r>
        <w:rPr>
          <w:rFonts w:hint="eastAsia" w:ascii="仿宋" w:hAnsi="仿宋" w:eastAsia="仿宋"/>
          <w:bCs/>
          <w:color w:val="auto"/>
          <w:sz w:val="24"/>
          <w:szCs w:val="24"/>
        </w:rPr>
        <w:t>投标人名称：</w:t>
      </w:r>
    </w:p>
    <w:p w14:paraId="33D0B462">
      <w:pPr>
        <w:pStyle w:val="7"/>
        <w:snapToGrid w:val="0"/>
        <w:spacing w:before="50" w:after="50"/>
        <w:ind w:firstLine="540" w:firstLineChars="225"/>
        <w:rPr>
          <w:rFonts w:hint="eastAsia" w:ascii="仿宋" w:hAnsi="仿宋" w:eastAsia="仿宋"/>
          <w:bCs/>
          <w:color w:val="auto"/>
          <w:sz w:val="24"/>
          <w:szCs w:val="24"/>
        </w:rPr>
      </w:pPr>
    </w:p>
    <w:p w14:paraId="1640F809">
      <w:pPr>
        <w:pStyle w:val="7"/>
        <w:snapToGrid w:val="0"/>
        <w:spacing w:before="50" w:after="50"/>
        <w:ind w:firstLine="540" w:firstLineChars="225"/>
        <w:rPr>
          <w:rFonts w:hint="eastAsia" w:ascii="仿宋" w:hAnsi="仿宋" w:eastAsia="仿宋"/>
          <w:bCs/>
          <w:color w:val="auto"/>
          <w:sz w:val="24"/>
          <w:szCs w:val="24"/>
        </w:rPr>
      </w:pPr>
      <w:r>
        <w:rPr>
          <w:rFonts w:hint="eastAsia" w:ascii="仿宋" w:hAnsi="仿宋" w:eastAsia="仿宋"/>
          <w:bCs/>
          <w:color w:val="auto"/>
          <w:sz w:val="24"/>
          <w:szCs w:val="24"/>
        </w:rPr>
        <w:t>投标人地址：</w:t>
      </w:r>
    </w:p>
    <w:p w14:paraId="110B1F39">
      <w:pPr>
        <w:pStyle w:val="7"/>
        <w:snapToGrid w:val="0"/>
        <w:spacing w:before="50" w:after="50"/>
        <w:ind w:firstLine="960" w:firstLineChars="400"/>
        <w:rPr>
          <w:rFonts w:hint="eastAsia" w:ascii="仿宋" w:hAnsi="仿宋" w:eastAsia="仿宋"/>
          <w:bCs/>
          <w:color w:val="auto"/>
          <w:sz w:val="24"/>
          <w:szCs w:val="24"/>
        </w:rPr>
      </w:pPr>
    </w:p>
    <w:p w14:paraId="7D812BC7">
      <w:pPr>
        <w:snapToGrid w:val="0"/>
        <w:spacing w:beforeLines="50" w:after="50"/>
        <w:ind w:firstLine="645"/>
        <w:rPr>
          <w:rFonts w:ascii="仿宋" w:hAnsi="仿宋" w:eastAsia="仿宋"/>
          <w:color w:val="auto"/>
          <w:sz w:val="24"/>
        </w:rPr>
      </w:pPr>
      <w:r>
        <w:rPr>
          <w:rFonts w:hint="eastAsia" w:ascii="仿宋" w:hAnsi="仿宋" w:eastAsia="仿宋"/>
          <w:color w:val="auto"/>
          <w:sz w:val="24"/>
        </w:rPr>
        <w:t xml:space="preserve">                        年  月  日</w:t>
      </w:r>
    </w:p>
    <w:p w14:paraId="0A8E9F20">
      <w:pPr>
        <w:snapToGrid w:val="0"/>
        <w:spacing w:beforeLines="50" w:after="50"/>
        <w:rPr>
          <w:rFonts w:ascii="仿宋" w:hAnsi="仿宋" w:eastAsia="仿宋"/>
          <w:color w:val="auto"/>
          <w:sz w:val="24"/>
          <w:szCs w:val="20"/>
        </w:rPr>
      </w:pPr>
      <w:r>
        <w:rPr>
          <w:rFonts w:ascii="仿宋" w:hAnsi="仿宋" w:eastAsia="仿宋"/>
          <w:color w:val="auto"/>
          <w:sz w:val="24"/>
          <w:szCs w:val="20"/>
        </w:rPr>
        <w:t xml:space="preserve"> </w:t>
      </w:r>
    </w:p>
    <w:p w14:paraId="030FC91E">
      <w:pPr>
        <w:snapToGrid w:val="0"/>
        <w:spacing w:line="360" w:lineRule="auto"/>
        <w:jc w:val="left"/>
        <w:rPr>
          <w:rFonts w:hint="eastAsia" w:ascii="仿宋" w:hAnsi="仿宋" w:eastAsia="仿宋"/>
          <w:b/>
          <w:bCs/>
          <w:color w:val="auto"/>
          <w:sz w:val="28"/>
          <w:szCs w:val="28"/>
        </w:rPr>
      </w:pPr>
      <w:r>
        <w:rPr>
          <w:rFonts w:ascii="仿宋" w:hAnsi="仿宋" w:eastAsia="仿宋"/>
          <w:color w:val="auto"/>
          <w:sz w:val="24"/>
          <w:szCs w:val="20"/>
        </w:rPr>
        <w:br w:type="page"/>
      </w:r>
      <w:r>
        <w:rPr>
          <w:rFonts w:hint="eastAsia" w:ascii="仿宋" w:hAnsi="仿宋" w:eastAsia="仿宋"/>
          <w:b/>
          <w:bCs/>
          <w:color w:val="auto"/>
          <w:sz w:val="24"/>
        </w:rPr>
        <w:t>2.商务文件目录</w:t>
      </w:r>
    </w:p>
    <w:p w14:paraId="2333559E">
      <w:pPr>
        <w:snapToGrid w:val="0"/>
        <w:spacing w:before="50" w:afterLines="50" w:line="360" w:lineRule="auto"/>
        <w:ind w:firstLine="480" w:firstLineChars="200"/>
        <w:jc w:val="left"/>
        <w:rPr>
          <w:rFonts w:ascii="仿宋" w:hAnsi="仿宋" w:eastAsia="仿宋"/>
          <w:b/>
          <w:bCs/>
          <w:color w:val="auto"/>
          <w:sz w:val="32"/>
          <w:szCs w:val="32"/>
        </w:rPr>
      </w:pPr>
      <w:r>
        <w:rPr>
          <w:rFonts w:hint="eastAsia" w:ascii="仿宋" w:hAnsi="仿宋" w:eastAsia="仿宋"/>
          <w:color w:val="auto"/>
          <w:sz w:val="24"/>
        </w:rPr>
        <w:t>根据招标文件规定及投标人提供的材料自行编写目录。</w:t>
      </w:r>
    </w:p>
    <w:p w14:paraId="19102E3E">
      <w:pPr>
        <w:snapToGrid w:val="0"/>
        <w:spacing w:before="50" w:afterLines="50"/>
        <w:jc w:val="left"/>
        <w:rPr>
          <w:rFonts w:hint="eastAsia" w:ascii="仿宋" w:hAnsi="仿宋" w:eastAsia="仿宋"/>
          <w:color w:val="auto"/>
        </w:rPr>
      </w:pPr>
    </w:p>
    <w:p w14:paraId="0EAAA703">
      <w:pPr>
        <w:snapToGrid w:val="0"/>
        <w:spacing w:beforeLines="50" w:after="50"/>
        <w:jc w:val="left"/>
        <w:rPr>
          <w:rFonts w:hint="eastAsia" w:ascii="仿宋" w:hAnsi="仿宋" w:eastAsia="仿宋"/>
          <w:b/>
          <w:color w:val="auto"/>
          <w:sz w:val="24"/>
        </w:rPr>
      </w:pPr>
      <w:r>
        <w:rPr>
          <w:rFonts w:ascii="仿宋" w:hAnsi="仿宋" w:eastAsia="仿宋"/>
          <w:b/>
          <w:color w:val="auto"/>
          <w:sz w:val="24"/>
        </w:rPr>
        <w:br w:type="page"/>
      </w:r>
      <w:r>
        <w:rPr>
          <w:rFonts w:hint="eastAsia" w:ascii="仿宋" w:hAnsi="仿宋" w:eastAsia="仿宋"/>
          <w:b/>
          <w:color w:val="auto"/>
          <w:sz w:val="24"/>
        </w:rPr>
        <w:t>3.投标人参加本项目无围标串标行为的承诺</w:t>
      </w:r>
    </w:p>
    <w:p w14:paraId="45537825">
      <w:pPr>
        <w:snapToGrid w:val="0"/>
        <w:spacing w:beforeLines="50" w:after="50"/>
        <w:jc w:val="left"/>
        <w:rPr>
          <w:rFonts w:hint="eastAsia" w:ascii="仿宋" w:hAnsi="仿宋" w:eastAsia="仿宋"/>
          <w:b/>
          <w:color w:val="auto"/>
          <w:sz w:val="24"/>
        </w:rPr>
      </w:pPr>
    </w:p>
    <w:p w14:paraId="0E440D10">
      <w:pPr>
        <w:spacing w:line="360" w:lineRule="auto"/>
        <w:ind w:left="420"/>
        <w:contextualSpacing/>
        <w:jc w:val="center"/>
        <w:rPr>
          <w:rFonts w:ascii="仿宋" w:hAnsi="仿宋" w:eastAsia="仿宋"/>
          <w:b/>
          <w:color w:val="auto"/>
          <w:sz w:val="24"/>
        </w:rPr>
      </w:pPr>
      <w:r>
        <w:rPr>
          <w:rFonts w:hint="eastAsia" w:ascii="仿宋" w:hAnsi="仿宋" w:eastAsia="仿宋" w:cs="方正小标宋简体"/>
          <w:bCs/>
          <w:color w:val="auto"/>
          <w:spacing w:val="-11"/>
          <w:sz w:val="44"/>
          <w:szCs w:val="44"/>
        </w:rPr>
        <w:t>投标人参加本项目无围标串标行为的承诺函</w:t>
      </w:r>
    </w:p>
    <w:p w14:paraId="61E2A1A5">
      <w:pPr>
        <w:spacing w:line="440" w:lineRule="exact"/>
        <w:contextualSpacing/>
        <w:jc w:val="left"/>
        <w:rPr>
          <w:rFonts w:hint="eastAsia" w:ascii="仿宋" w:hAnsi="仿宋" w:eastAsia="仿宋"/>
          <w:b/>
          <w:color w:val="auto"/>
          <w:sz w:val="24"/>
        </w:rPr>
      </w:pPr>
      <w:r>
        <w:rPr>
          <w:rFonts w:hint="eastAsia" w:ascii="仿宋" w:hAnsi="仿宋" w:eastAsia="仿宋"/>
          <w:b/>
          <w:color w:val="auto"/>
          <w:sz w:val="24"/>
        </w:rPr>
        <w:t>一、我方承诺无下列相互串通投标的情形：</w:t>
      </w:r>
    </w:p>
    <w:p w14:paraId="38C23A91">
      <w:pPr>
        <w:spacing w:line="440" w:lineRule="exact"/>
        <w:ind w:firstLine="470" w:firstLineChars="196"/>
        <w:contextualSpacing/>
        <w:jc w:val="left"/>
        <w:rPr>
          <w:rFonts w:hint="eastAsia" w:ascii="仿宋" w:hAnsi="仿宋" w:eastAsia="仿宋"/>
          <w:color w:val="auto"/>
          <w:sz w:val="24"/>
        </w:rPr>
      </w:pPr>
      <w:r>
        <w:rPr>
          <w:rFonts w:hint="eastAsia" w:ascii="仿宋" w:hAnsi="仿宋" w:eastAsia="仿宋"/>
          <w:color w:val="auto"/>
          <w:sz w:val="24"/>
        </w:rPr>
        <w:t>1.不同投标人的投标文件由同一单位或者个人编制；</w:t>
      </w:r>
    </w:p>
    <w:p w14:paraId="0AC69951">
      <w:pPr>
        <w:spacing w:line="440" w:lineRule="exact"/>
        <w:ind w:firstLine="470" w:firstLineChars="196"/>
        <w:contextualSpacing/>
        <w:jc w:val="left"/>
        <w:rPr>
          <w:rFonts w:hint="eastAsia" w:ascii="仿宋" w:hAnsi="仿宋" w:eastAsia="仿宋"/>
          <w:color w:val="auto"/>
          <w:sz w:val="24"/>
        </w:rPr>
      </w:pPr>
      <w:r>
        <w:rPr>
          <w:rFonts w:hint="eastAsia" w:ascii="仿宋" w:hAnsi="仿宋" w:eastAsia="仿宋"/>
          <w:color w:val="auto"/>
          <w:sz w:val="24"/>
        </w:rPr>
        <w:t>2.不同投标人委托同一单位或者个人办理投标事宜；</w:t>
      </w:r>
    </w:p>
    <w:p w14:paraId="4C743C28">
      <w:pPr>
        <w:spacing w:line="440" w:lineRule="exact"/>
        <w:ind w:firstLine="470" w:firstLineChars="196"/>
        <w:contextualSpacing/>
        <w:jc w:val="left"/>
        <w:rPr>
          <w:rFonts w:hint="eastAsia" w:ascii="仿宋" w:hAnsi="仿宋" w:eastAsia="仿宋"/>
          <w:color w:val="auto"/>
          <w:sz w:val="24"/>
        </w:rPr>
      </w:pPr>
      <w:r>
        <w:rPr>
          <w:rFonts w:hint="eastAsia" w:ascii="仿宋" w:hAnsi="仿宋" w:eastAsia="仿宋"/>
          <w:color w:val="auto"/>
          <w:sz w:val="24"/>
        </w:rPr>
        <w:t>3.不同的投标人的投标文件载明的项目管理员为同一个人；</w:t>
      </w:r>
    </w:p>
    <w:p w14:paraId="0044475F">
      <w:pPr>
        <w:spacing w:line="440" w:lineRule="exact"/>
        <w:ind w:firstLine="470" w:firstLineChars="196"/>
        <w:contextualSpacing/>
        <w:jc w:val="left"/>
        <w:rPr>
          <w:rFonts w:hint="eastAsia" w:ascii="仿宋" w:hAnsi="仿宋" w:eastAsia="仿宋"/>
          <w:color w:val="auto"/>
          <w:sz w:val="24"/>
        </w:rPr>
      </w:pPr>
      <w:r>
        <w:rPr>
          <w:rFonts w:hint="eastAsia" w:ascii="仿宋" w:hAnsi="仿宋" w:eastAsia="仿宋"/>
          <w:color w:val="auto"/>
          <w:sz w:val="24"/>
        </w:rPr>
        <w:t>4.不同投标人的投标文件异常一致或者投标报价呈规律性差异；</w:t>
      </w:r>
    </w:p>
    <w:p w14:paraId="1E429383">
      <w:pPr>
        <w:spacing w:line="440" w:lineRule="exact"/>
        <w:ind w:firstLine="470" w:firstLineChars="196"/>
        <w:contextualSpacing/>
        <w:jc w:val="left"/>
        <w:rPr>
          <w:rFonts w:hint="eastAsia" w:ascii="仿宋" w:hAnsi="仿宋" w:eastAsia="仿宋"/>
          <w:color w:val="auto"/>
          <w:sz w:val="24"/>
        </w:rPr>
      </w:pPr>
      <w:r>
        <w:rPr>
          <w:rFonts w:hint="eastAsia" w:ascii="仿宋" w:hAnsi="仿宋" w:eastAsia="仿宋"/>
          <w:color w:val="auto"/>
          <w:sz w:val="24"/>
        </w:rPr>
        <w:t>5.不同投标人的投标文件相互混装；</w:t>
      </w:r>
    </w:p>
    <w:p w14:paraId="6F70AE84">
      <w:pPr>
        <w:spacing w:line="440" w:lineRule="exact"/>
        <w:ind w:firstLine="470" w:firstLineChars="196"/>
        <w:contextualSpacing/>
        <w:jc w:val="left"/>
        <w:rPr>
          <w:rFonts w:hint="eastAsia" w:ascii="仿宋" w:hAnsi="仿宋" w:eastAsia="仿宋"/>
          <w:color w:val="auto"/>
          <w:sz w:val="24"/>
        </w:rPr>
      </w:pPr>
      <w:r>
        <w:rPr>
          <w:rFonts w:hint="eastAsia" w:ascii="仿宋" w:hAnsi="仿宋" w:eastAsia="仿宋"/>
          <w:color w:val="auto"/>
          <w:sz w:val="24"/>
        </w:rPr>
        <w:t>6.不同投标人的投标保证金从同一单位或者个人账户转出。</w:t>
      </w:r>
    </w:p>
    <w:p w14:paraId="13FC2AF4">
      <w:pPr>
        <w:spacing w:line="440" w:lineRule="exact"/>
        <w:contextualSpacing/>
        <w:jc w:val="left"/>
        <w:rPr>
          <w:rFonts w:hint="eastAsia" w:ascii="仿宋" w:hAnsi="仿宋" w:eastAsia="仿宋"/>
          <w:color w:val="auto"/>
          <w:sz w:val="24"/>
        </w:rPr>
      </w:pPr>
      <w:r>
        <w:rPr>
          <w:rFonts w:hint="eastAsia" w:ascii="仿宋" w:hAnsi="仿宋" w:eastAsia="仿宋"/>
          <w:b/>
          <w:color w:val="auto"/>
          <w:sz w:val="24"/>
        </w:rPr>
        <w:t>二、我方承诺无下列恶意串通的情形：</w:t>
      </w:r>
    </w:p>
    <w:p w14:paraId="47D58CE2">
      <w:pPr>
        <w:spacing w:line="440" w:lineRule="exact"/>
        <w:ind w:firstLine="470" w:firstLineChars="196"/>
        <w:contextualSpacing/>
        <w:jc w:val="left"/>
        <w:rPr>
          <w:rFonts w:hint="eastAsia" w:ascii="仿宋" w:hAnsi="仿宋" w:eastAsia="仿宋"/>
          <w:color w:val="auto"/>
          <w:sz w:val="24"/>
        </w:rPr>
      </w:pPr>
      <w:r>
        <w:rPr>
          <w:rFonts w:hint="eastAsia" w:ascii="仿宋" w:hAnsi="仿宋" w:eastAsia="仿宋"/>
          <w:color w:val="auto"/>
          <w:sz w:val="24"/>
        </w:rPr>
        <w:t>1.投标人直接或者间接从采购人或者采购代理机构处获得其他投标人的相关信息并修改其投标文件或者响应文件；</w:t>
      </w:r>
    </w:p>
    <w:p w14:paraId="3D4B5273">
      <w:pPr>
        <w:spacing w:line="440" w:lineRule="exact"/>
        <w:ind w:firstLine="470" w:firstLineChars="196"/>
        <w:contextualSpacing/>
        <w:jc w:val="left"/>
        <w:rPr>
          <w:rFonts w:hint="eastAsia" w:ascii="仿宋" w:hAnsi="仿宋" w:eastAsia="仿宋"/>
          <w:color w:val="auto"/>
          <w:sz w:val="24"/>
        </w:rPr>
      </w:pPr>
      <w:r>
        <w:rPr>
          <w:rFonts w:hint="eastAsia" w:ascii="仿宋" w:hAnsi="仿宋" w:eastAsia="仿宋"/>
          <w:color w:val="auto"/>
          <w:sz w:val="24"/>
        </w:rPr>
        <w:t>2.投标人按照采购人或者采购代理机构的授意撤换、修改投标文件或者响应文件；</w:t>
      </w:r>
    </w:p>
    <w:p w14:paraId="0097FC2F">
      <w:pPr>
        <w:spacing w:line="440" w:lineRule="exact"/>
        <w:ind w:firstLine="470" w:firstLineChars="196"/>
        <w:contextualSpacing/>
        <w:jc w:val="left"/>
        <w:rPr>
          <w:rFonts w:hint="eastAsia" w:ascii="仿宋" w:hAnsi="仿宋" w:eastAsia="仿宋"/>
          <w:color w:val="auto"/>
          <w:sz w:val="24"/>
        </w:rPr>
      </w:pPr>
      <w:r>
        <w:rPr>
          <w:rFonts w:hint="eastAsia" w:ascii="仿宋" w:hAnsi="仿宋" w:eastAsia="仿宋"/>
          <w:color w:val="auto"/>
          <w:sz w:val="24"/>
        </w:rPr>
        <w:t>3.投标人之间协商报价、技术方案等投标文件或者响应文件的实质性内容；</w:t>
      </w:r>
    </w:p>
    <w:p w14:paraId="07279209">
      <w:pPr>
        <w:spacing w:line="440" w:lineRule="exact"/>
        <w:ind w:firstLine="470" w:firstLineChars="196"/>
        <w:contextualSpacing/>
        <w:jc w:val="left"/>
        <w:rPr>
          <w:rFonts w:hint="eastAsia" w:ascii="仿宋" w:hAnsi="仿宋" w:eastAsia="仿宋"/>
          <w:color w:val="auto"/>
          <w:sz w:val="24"/>
        </w:rPr>
      </w:pPr>
      <w:r>
        <w:rPr>
          <w:rFonts w:hint="eastAsia" w:ascii="仿宋" w:hAnsi="仿宋" w:eastAsia="仿宋"/>
          <w:color w:val="auto"/>
          <w:sz w:val="24"/>
        </w:rPr>
        <w:t>4.属于同一集团、协会、商会等组织成员的投标人按照该组织要求协同参加政府采购活动；</w:t>
      </w:r>
    </w:p>
    <w:p w14:paraId="295C2E5C">
      <w:pPr>
        <w:spacing w:line="440" w:lineRule="exact"/>
        <w:ind w:firstLine="470" w:firstLineChars="196"/>
        <w:contextualSpacing/>
        <w:jc w:val="left"/>
        <w:rPr>
          <w:rFonts w:hint="eastAsia" w:ascii="仿宋" w:hAnsi="仿宋" w:eastAsia="仿宋"/>
          <w:color w:val="auto"/>
          <w:sz w:val="24"/>
        </w:rPr>
      </w:pPr>
      <w:r>
        <w:rPr>
          <w:rFonts w:hint="eastAsia" w:ascii="仿宋" w:hAnsi="仿宋" w:eastAsia="仿宋"/>
          <w:color w:val="auto"/>
          <w:sz w:val="24"/>
        </w:rPr>
        <w:t>5.投标人之间事先约定一致抬高或者压低投标报价，或者在招标项目中事先约定轮流以高价位或者低价位中标，或者事先约定由某一特定投标人中标，然后再参加投标；</w:t>
      </w:r>
    </w:p>
    <w:p w14:paraId="5F53710F">
      <w:pPr>
        <w:spacing w:line="440" w:lineRule="exact"/>
        <w:ind w:firstLine="470" w:firstLineChars="196"/>
        <w:contextualSpacing/>
        <w:jc w:val="left"/>
        <w:rPr>
          <w:rFonts w:hint="eastAsia" w:ascii="仿宋" w:hAnsi="仿宋" w:eastAsia="仿宋"/>
          <w:color w:val="auto"/>
          <w:sz w:val="24"/>
        </w:rPr>
      </w:pPr>
      <w:r>
        <w:rPr>
          <w:rFonts w:hint="eastAsia" w:ascii="仿宋" w:hAnsi="仿宋" w:eastAsia="仿宋"/>
          <w:color w:val="auto"/>
          <w:sz w:val="24"/>
        </w:rPr>
        <w:t>6.投标人之间商定部分投标人放弃参加政府采购活动或者放弃中标；</w:t>
      </w:r>
    </w:p>
    <w:p w14:paraId="4E9F02BC">
      <w:pPr>
        <w:spacing w:line="440" w:lineRule="exact"/>
        <w:ind w:firstLine="470" w:firstLineChars="196"/>
        <w:contextualSpacing/>
        <w:jc w:val="left"/>
        <w:rPr>
          <w:rFonts w:hint="eastAsia" w:ascii="仿宋" w:hAnsi="仿宋" w:eastAsia="仿宋"/>
          <w:color w:val="auto"/>
          <w:sz w:val="24"/>
        </w:rPr>
      </w:pPr>
      <w:r>
        <w:rPr>
          <w:rFonts w:hint="eastAsia" w:ascii="仿宋" w:hAnsi="仿宋" w:eastAsia="仿宋"/>
          <w:color w:val="auto"/>
          <w:sz w:val="24"/>
        </w:rPr>
        <w:t>7.投标人与采购人或者采购代理机构之间、投标人相互之间，为谋求特定投标人中标或者排斥其他投标人的其他串通行为。</w:t>
      </w:r>
    </w:p>
    <w:p w14:paraId="2B871957">
      <w:pPr>
        <w:spacing w:line="440" w:lineRule="exact"/>
        <w:ind w:firstLine="472" w:firstLineChars="196"/>
        <w:contextualSpacing/>
        <w:jc w:val="left"/>
        <w:rPr>
          <w:rFonts w:hint="eastAsia" w:ascii="仿宋" w:hAnsi="仿宋" w:eastAsia="仿宋"/>
          <w:b/>
          <w:color w:val="auto"/>
          <w:sz w:val="24"/>
        </w:rPr>
      </w:pPr>
      <w:r>
        <w:rPr>
          <w:rFonts w:hint="eastAsia" w:ascii="仿宋" w:hAnsi="仿宋" w:eastAsia="仿宋"/>
          <w:b/>
          <w:color w:val="auto"/>
          <w:sz w:val="24"/>
        </w:rPr>
        <w:t>以上情形一经核查属实，我方愿意承担一切后果，并不再寻求任何旨在减轻或者免除法律责任的辩解。</w:t>
      </w:r>
    </w:p>
    <w:p w14:paraId="1D8AE50B">
      <w:pPr>
        <w:pStyle w:val="24"/>
        <w:spacing w:line="440" w:lineRule="exact"/>
        <w:ind w:firstLine="6840" w:firstLineChars="2850"/>
        <w:contextualSpacing/>
        <w:rPr>
          <w:rFonts w:hint="eastAsia" w:ascii="仿宋" w:hAnsi="仿宋" w:eastAsia="仿宋"/>
          <w:color w:val="auto"/>
          <w:sz w:val="24"/>
          <w:szCs w:val="24"/>
        </w:rPr>
      </w:pPr>
    </w:p>
    <w:p w14:paraId="2613D366">
      <w:pPr>
        <w:pStyle w:val="24"/>
        <w:spacing w:line="440" w:lineRule="exact"/>
        <w:contextualSpacing/>
        <w:jc w:val="center"/>
        <w:rPr>
          <w:rFonts w:hint="eastAsia" w:ascii="仿宋" w:hAnsi="仿宋" w:eastAsia="仿宋"/>
          <w:color w:val="auto"/>
          <w:sz w:val="24"/>
          <w:szCs w:val="24"/>
        </w:rPr>
      </w:pPr>
      <w:r>
        <w:rPr>
          <w:rFonts w:hint="eastAsia" w:ascii="仿宋" w:hAnsi="仿宋" w:eastAsia="仿宋"/>
          <w:color w:val="auto"/>
          <w:sz w:val="24"/>
          <w:szCs w:val="24"/>
        </w:rPr>
        <w:t xml:space="preserve"> </w:t>
      </w:r>
      <w:r>
        <w:rPr>
          <w:rFonts w:ascii="仿宋" w:hAnsi="仿宋" w:eastAsia="仿宋"/>
          <w:color w:val="auto"/>
          <w:sz w:val="24"/>
          <w:szCs w:val="24"/>
        </w:rPr>
        <w:t xml:space="preserve">                                   </w:t>
      </w:r>
      <w:r>
        <w:rPr>
          <w:rFonts w:hint="eastAsia" w:ascii="仿宋" w:hAnsi="仿宋" w:eastAsia="仿宋"/>
          <w:color w:val="auto"/>
          <w:sz w:val="24"/>
          <w:szCs w:val="24"/>
        </w:rPr>
        <w:t>投标人名称（公章）</w:t>
      </w:r>
    </w:p>
    <w:p w14:paraId="01B87A57">
      <w:pPr>
        <w:pStyle w:val="24"/>
        <w:spacing w:line="440" w:lineRule="exact"/>
        <w:contextualSpacing/>
        <w:rPr>
          <w:rFonts w:hint="eastAsia" w:ascii="仿宋" w:hAnsi="仿宋" w:eastAsia="仿宋"/>
          <w:color w:val="auto"/>
          <w:sz w:val="24"/>
        </w:rPr>
      </w:pPr>
      <w:r>
        <w:rPr>
          <w:rFonts w:hint="eastAsia" w:ascii="仿宋" w:hAnsi="仿宋" w:eastAsia="仿宋"/>
          <w:color w:val="auto"/>
          <w:sz w:val="24"/>
        </w:rPr>
        <w:t xml:space="preserve">                                                </w:t>
      </w:r>
      <w:r>
        <w:rPr>
          <w:rFonts w:hint="eastAsia" w:ascii="仿宋" w:hAnsi="仿宋" w:eastAsia="仿宋"/>
          <w:color w:val="auto"/>
          <w:sz w:val="24"/>
          <w:u w:val="single"/>
        </w:rPr>
        <w:t xml:space="preserve">      </w:t>
      </w:r>
      <w:r>
        <w:rPr>
          <w:rFonts w:hint="eastAsia" w:ascii="仿宋" w:hAnsi="仿宋" w:eastAsia="仿宋"/>
          <w:color w:val="auto"/>
          <w:sz w:val="24"/>
        </w:rPr>
        <w:t>年</w:t>
      </w:r>
      <w:r>
        <w:rPr>
          <w:rFonts w:hint="eastAsia" w:ascii="仿宋" w:hAnsi="仿宋" w:eastAsia="仿宋"/>
          <w:color w:val="auto"/>
          <w:sz w:val="24"/>
          <w:u w:val="single"/>
        </w:rPr>
        <w:t xml:space="preserve">    </w:t>
      </w:r>
      <w:r>
        <w:rPr>
          <w:rFonts w:hint="eastAsia" w:ascii="仿宋" w:hAnsi="仿宋" w:eastAsia="仿宋"/>
          <w:color w:val="auto"/>
          <w:sz w:val="24"/>
        </w:rPr>
        <w:t>月</w:t>
      </w:r>
      <w:r>
        <w:rPr>
          <w:rFonts w:hint="eastAsia" w:ascii="仿宋" w:hAnsi="仿宋" w:eastAsia="仿宋"/>
          <w:color w:val="auto"/>
          <w:sz w:val="24"/>
          <w:u w:val="single"/>
        </w:rPr>
        <w:t xml:space="preserve">     </w:t>
      </w:r>
      <w:r>
        <w:rPr>
          <w:rFonts w:hint="eastAsia" w:ascii="仿宋" w:hAnsi="仿宋" w:eastAsia="仿宋"/>
          <w:color w:val="auto"/>
          <w:sz w:val="24"/>
        </w:rPr>
        <w:t>日</w:t>
      </w:r>
    </w:p>
    <w:p w14:paraId="43787841">
      <w:pPr>
        <w:snapToGrid w:val="0"/>
        <w:spacing w:beforeLines="50" w:after="50"/>
        <w:jc w:val="left"/>
        <w:rPr>
          <w:rFonts w:ascii="仿宋" w:hAnsi="仿宋" w:eastAsia="仿宋"/>
          <w:b/>
          <w:color w:val="auto"/>
          <w:sz w:val="24"/>
        </w:rPr>
      </w:pPr>
    </w:p>
    <w:p w14:paraId="0E315CEA">
      <w:pPr>
        <w:snapToGrid w:val="0"/>
        <w:spacing w:beforeLines="50" w:after="50"/>
        <w:jc w:val="left"/>
        <w:rPr>
          <w:rFonts w:ascii="仿宋" w:hAnsi="仿宋" w:eastAsia="仿宋"/>
          <w:b/>
          <w:color w:val="auto"/>
          <w:sz w:val="24"/>
        </w:rPr>
      </w:pPr>
    </w:p>
    <w:p w14:paraId="615D24E7">
      <w:pPr>
        <w:snapToGrid w:val="0"/>
        <w:spacing w:beforeLines="50" w:after="50"/>
        <w:jc w:val="left"/>
        <w:rPr>
          <w:rFonts w:ascii="仿宋" w:hAnsi="仿宋" w:eastAsia="仿宋"/>
          <w:b/>
          <w:color w:val="auto"/>
          <w:sz w:val="24"/>
        </w:rPr>
      </w:pPr>
    </w:p>
    <w:p w14:paraId="1AAB9C5F">
      <w:pPr>
        <w:snapToGrid w:val="0"/>
        <w:spacing w:beforeLines="50" w:after="50"/>
        <w:jc w:val="left"/>
        <w:rPr>
          <w:rFonts w:ascii="仿宋" w:hAnsi="仿宋" w:eastAsia="仿宋"/>
          <w:b/>
          <w:color w:val="auto"/>
          <w:sz w:val="24"/>
        </w:rPr>
      </w:pPr>
    </w:p>
    <w:p w14:paraId="61928297">
      <w:pPr>
        <w:snapToGrid w:val="0"/>
        <w:spacing w:beforeLines="50" w:after="50"/>
        <w:jc w:val="left"/>
        <w:rPr>
          <w:rFonts w:ascii="仿宋" w:hAnsi="仿宋" w:eastAsia="仿宋"/>
          <w:b/>
          <w:color w:val="auto"/>
          <w:sz w:val="24"/>
        </w:rPr>
      </w:pPr>
    </w:p>
    <w:p w14:paraId="16A2447C">
      <w:pPr>
        <w:snapToGrid w:val="0"/>
        <w:spacing w:beforeLines="50" w:after="50"/>
        <w:jc w:val="left"/>
        <w:rPr>
          <w:rFonts w:ascii="仿宋" w:hAnsi="仿宋" w:eastAsia="仿宋"/>
          <w:b/>
          <w:color w:val="auto"/>
          <w:sz w:val="24"/>
        </w:rPr>
      </w:pPr>
    </w:p>
    <w:p w14:paraId="61580330">
      <w:pPr>
        <w:snapToGrid w:val="0"/>
        <w:spacing w:beforeLines="50" w:after="50"/>
        <w:jc w:val="left"/>
        <w:rPr>
          <w:rFonts w:hint="eastAsia" w:ascii="仿宋" w:hAnsi="仿宋" w:eastAsia="仿宋"/>
          <w:b/>
          <w:color w:val="auto"/>
          <w:sz w:val="24"/>
          <w:szCs w:val="20"/>
        </w:rPr>
      </w:pPr>
      <w:r>
        <w:rPr>
          <w:rFonts w:hint="eastAsia" w:ascii="仿宋" w:hAnsi="仿宋" w:eastAsia="仿宋"/>
          <w:b/>
          <w:color w:val="auto"/>
          <w:sz w:val="24"/>
        </w:rPr>
        <w:t>4.法定代表人身份证明</w:t>
      </w:r>
    </w:p>
    <w:p w14:paraId="7127FB8F">
      <w:pPr>
        <w:spacing w:beforeLines="100" w:afterLines="50"/>
        <w:ind w:left="540"/>
        <w:jc w:val="center"/>
        <w:rPr>
          <w:rFonts w:ascii="仿宋" w:hAnsi="仿宋" w:eastAsia="仿宋" w:cs="方正小标宋简体"/>
          <w:bCs/>
          <w:color w:val="auto"/>
          <w:sz w:val="44"/>
          <w:szCs w:val="44"/>
        </w:rPr>
      </w:pPr>
    </w:p>
    <w:p w14:paraId="0EFB57E9">
      <w:pPr>
        <w:spacing w:beforeLines="100" w:afterLines="50"/>
        <w:ind w:left="540"/>
        <w:jc w:val="center"/>
        <w:rPr>
          <w:rFonts w:hint="eastAsia" w:ascii="仿宋" w:hAnsi="仿宋" w:eastAsia="仿宋" w:cs="方正小标宋简体"/>
          <w:bCs/>
          <w:color w:val="auto"/>
          <w:sz w:val="44"/>
          <w:szCs w:val="44"/>
        </w:rPr>
      </w:pPr>
      <w:r>
        <w:rPr>
          <w:rFonts w:hint="eastAsia" w:ascii="仿宋" w:hAnsi="仿宋" w:eastAsia="仿宋" w:cs="方正小标宋简体"/>
          <w:bCs/>
          <w:color w:val="auto"/>
          <w:sz w:val="44"/>
          <w:szCs w:val="44"/>
        </w:rPr>
        <w:t>法定代表人身份证明</w:t>
      </w:r>
    </w:p>
    <w:p w14:paraId="221B7FB5">
      <w:pPr>
        <w:spacing w:line="500" w:lineRule="exact"/>
        <w:ind w:left="540"/>
        <w:rPr>
          <w:rFonts w:hint="eastAsia" w:ascii="仿宋" w:hAnsi="仿宋" w:eastAsia="仿宋"/>
          <w:color w:val="auto"/>
          <w:sz w:val="24"/>
        </w:rPr>
      </w:pPr>
      <w:r>
        <w:rPr>
          <w:rFonts w:hint="eastAsia" w:ascii="仿宋" w:hAnsi="仿宋" w:eastAsia="仿宋"/>
          <w:color w:val="auto"/>
          <w:sz w:val="24"/>
        </w:rPr>
        <w:t>投 标 人：</w:t>
      </w:r>
      <w:r>
        <w:rPr>
          <w:rFonts w:hint="eastAsia" w:ascii="仿宋" w:hAnsi="仿宋" w:eastAsia="仿宋"/>
          <w:color w:val="auto"/>
          <w:sz w:val="24"/>
          <w:u w:val="single"/>
        </w:rPr>
        <w:t xml:space="preserve">                                                        </w:t>
      </w:r>
    </w:p>
    <w:p w14:paraId="148745A5">
      <w:pPr>
        <w:spacing w:line="500" w:lineRule="exact"/>
        <w:ind w:left="540"/>
        <w:rPr>
          <w:rFonts w:hint="eastAsia" w:ascii="仿宋" w:hAnsi="仿宋" w:eastAsia="仿宋"/>
          <w:color w:val="auto"/>
          <w:sz w:val="24"/>
        </w:rPr>
      </w:pPr>
      <w:r>
        <w:rPr>
          <w:rFonts w:hint="eastAsia" w:ascii="仿宋" w:hAnsi="仿宋" w:eastAsia="仿宋"/>
          <w:color w:val="auto"/>
          <w:sz w:val="24"/>
        </w:rPr>
        <w:t>地    址：</w:t>
      </w:r>
      <w:r>
        <w:rPr>
          <w:rFonts w:hint="eastAsia" w:ascii="仿宋" w:hAnsi="仿宋" w:eastAsia="仿宋"/>
          <w:color w:val="auto"/>
          <w:sz w:val="24"/>
          <w:u w:val="single"/>
        </w:rPr>
        <w:t xml:space="preserve">                                                        </w:t>
      </w:r>
    </w:p>
    <w:p w14:paraId="16A7C9A0">
      <w:pPr>
        <w:spacing w:line="500" w:lineRule="exact"/>
        <w:ind w:left="540"/>
        <w:rPr>
          <w:rFonts w:hint="eastAsia" w:ascii="仿宋" w:hAnsi="仿宋" w:eastAsia="仿宋"/>
          <w:color w:val="auto"/>
          <w:sz w:val="24"/>
        </w:rPr>
      </w:pPr>
      <w:r>
        <w:rPr>
          <w:rFonts w:hint="eastAsia" w:ascii="仿宋" w:hAnsi="仿宋" w:eastAsia="仿宋"/>
          <w:color w:val="auto"/>
          <w:sz w:val="24"/>
        </w:rPr>
        <w:t>姓    名：</w:t>
      </w:r>
      <w:r>
        <w:rPr>
          <w:rFonts w:hint="eastAsia" w:ascii="仿宋" w:hAnsi="仿宋" w:eastAsia="仿宋"/>
          <w:color w:val="auto"/>
          <w:sz w:val="24"/>
          <w:u w:val="single"/>
        </w:rPr>
        <w:t xml:space="preserve">                          </w:t>
      </w:r>
      <w:r>
        <w:rPr>
          <w:rFonts w:hint="eastAsia" w:ascii="仿宋" w:hAnsi="仿宋" w:eastAsia="仿宋"/>
          <w:color w:val="auto"/>
          <w:sz w:val="24"/>
        </w:rPr>
        <w:t>性      别：</w:t>
      </w:r>
      <w:r>
        <w:rPr>
          <w:rFonts w:hint="eastAsia" w:ascii="仿宋" w:hAnsi="仿宋" w:eastAsia="仿宋"/>
          <w:color w:val="auto"/>
          <w:sz w:val="24"/>
          <w:u w:val="single"/>
        </w:rPr>
        <w:t xml:space="preserve">                </w:t>
      </w:r>
    </w:p>
    <w:p w14:paraId="479E59EF">
      <w:pPr>
        <w:spacing w:line="500" w:lineRule="exact"/>
        <w:ind w:left="540"/>
        <w:rPr>
          <w:rFonts w:hint="eastAsia" w:ascii="仿宋" w:hAnsi="仿宋" w:eastAsia="仿宋"/>
          <w:color w:val="auto"/>
          <w:sz w:val="24"/>
          <w:u w:val="single"/>
        </w:rPr>
      </w:pPr>
      <w:r>
        <w:rPr>
          <w:rFonts w:hint="eastAsia" w:ascii="仿宋" w:hAnsi="仿宋" w:eastAsia="仿宋"/>
          <w:color w:val="auto"/>
          <w:sz w:val="24"/>
        </w:rPr>
        <w:t>年    龄：</w:t>
      </w:r>
      <w:r>
        <w:rPr>
          <w:rFonts w:hint="eastAsia" w:ascii="仿宋" w:hAnsi="仿宋" w:eastAsia="仿宋"/>
          <w:color w:val="auto"/>
          <w:sz w:val="24"/>
          <w:u w:val="single"/>
        </w:rPr>
        <w:t xml:space="preserve">                          </w:t>
      </w:r>
      <w:r>
        <w:rPr>
          <w:rFonts w:hint="eastAsia" w:ascii="仿宋" w:hAnsi="仿宋" w:eastAsia="仿宋"/>
          <w:color w:val="auto"/>
          <w:sz w:val="24"/>
        </w:rPr>
        <w:t>职      务：</w:t>
      </w:r>
      <w:r>
        <w:rPr>
          <w:rFonts w:hint="eastAsia" w:ascii="仿宋" w:hAnsi="仿宋" w:eastAsia="仿宋"/>
          <w:color w:val="auto"/>
          <w:sz w:val="24"/>
          <w:u w:val="single"/>
        </w:rPr>
        <w:t xml:space="preserve">                </w:t>
      </w:r>
    </w:p>
    <w:p w14:paraId="6A9AAFDA">
      <w:pPr>
        <w:spacing w:line="500" w:lineRule="exact"/>
        <w:ind w:left="540"/>
        <w:rPr>
          <w:rFonts w:hint="eastAsia" w:ascii="仿宋" w:hAnsi="仿宋" w:eastAsia="仿宋"/>
          <w:color w:val="auto"/>
          <w:sz w:val="24"/>
        </w:rPr>
      </w:pPr>
      <w:r>
        <w:rPr>
          <w:rFonts w:hint="eastAsia" w:ascii="仿宋" w:hAnsi="仿宋" w:eastAsia="仿宋"/>
          <w:color w:val="auto"/>
          <w:sz w:val="24"/>
        </w:rPr>
        <w:t>身份证号码：</w:t>
      </w:r>
      <w:r>
        <w:rPr>
          <w:rFonts w:hint="eastAsia" w:ascii="仿宋" w:hAnsi="仿宋" w:eastAsia="仿宋"/>
          <w:color w:val="auto"/>
          <w:sz w:val="24"/>
          <w:u w:val="single"/>
        </w:rPr>
        <w:t xml:space="preserve">                                 </w:t>
      </w:r>
    </w:p>
    <w:p w14:paraId="6E1A09B6">
      <w:pPr>
        <w:spacing w:line="500" w:lineRule="exact"/>
        <w:ind w:left="540"/>
        <w:rPr>
          <w:rFonts w:hint="eastAsia" w:ascii="仿宋" w:hAnsi="仿宋" w:eastAsia="仿宋"/>
          <w:color w:val="auto"/>
          <w:sz w:val="24"/>
        </w:rPr>
      </w:pPr>
      <w:r>
        <w:rPr>
          <w:rFonts w:hint="eastAsia" w:ascii="仿宋" w:hAnsi="仿宋" w:eastAsia="仿宋"/>
          <w:color w:val="auto"/>
          <w:sz w:val="24"/>
        </w:rPr>
        <w:t>系</w:t>
      </w:r>
      <w:r>
        <w:rPr>
          <w:rFonts w:hint="eastAsia" w:ascii="仿宋" w:hAnsi="仿宋" w:eastAsia="仿宋"/>
          <w:color w:val="auto"/>
          <w:sz w:val="24"/>
          <w:u w:val="single"/>
        </w:rPr>
        <w:t xml:space="preserve">            （投标人名称）              </w:t>
      </w:r>
      <w:r>
        <w:rPr>
          <w:rFonts w:hint="eastAsia" w:ascii="仿宋" w:hAnsi="仿宋" w:eastAsia="仿宋"/>
          <w:color w:val="auto"/>
          <w:sz w:val="24"/>
        </w:rPr>
        <w:t>的法定代表人。</w:t>
      </w:r>
    </w:p>
    <w:p w14:paraId="2F651239">
      <w:pPr>
        <w:spacing w:line="500" w:lineRule="exact"/>
        <w:ind w:left="540"/>
        <w:rPr>
          <w:rFonts w:hint="eastAsia" w:ascii="仿宋" w:hAnsi="仿宋" w:eastAsia="仿宋"/>
          <w:color w:val="auto"/>
          <w:sz w:val="24"/>
        </w:rPr>
      </w:pPr>
      <w:r>
        <w:rPr>
          <w:rFonts w:hint="eastAsia" w:ascii="仿宋" w:hAnsi="仿宋" w:eastAsia="仿宋"/>
          <w:color w:val="auto"/>
          <w:sz w:val="24"/>
        </w:rPr>
        <w:t>特此证明。</w:t>
      </w:r>
    </w:p>
    <w:p w14:paraId="27BA6B0C">
      <w:pPr>
        <w:spacing w:line="500" w:lineRule="exact"/>
        <w:ind w:left="540"/>
        <w:rPr>
          <w:rFonts w:hint="eastAsia" w:ascii="仿宋" w:hAnsi="仿宋" w:eastAsia="仿宋"/>
          <w:color w:val="auto"/>
          <w:sz w:val="24"/>
        </w:rPr>
      </w:pPr>
    </w:p>
    <w:p w14:paraId="6A62E9F2">
      <w:pPr>
        <w:spacing w:line="500" w:lineRule="exact"/>
        <w:ind w:left="540"/>
        <w:rPr>
          <w:rFonts w:hint="eastAsia" w:ascii="仿宋" w:hAnsi="仿宋" w:eastAsia="仿宋"/>
          <w:color w:val="auto"/>
          <w:sz w:val="24"/>
        </w:rPr>
      </w:pPr>
    </w:p>
    <w:p w14:paraId="555CB838">
      <w:pPr>
        <w:spacing w:line="500" w:lineRule="exact"/>
        <w:ind w:left="540"/>
        <w:rPr>
          <w:rFonts w:hint="eastAsia" w:ascii="仿宋" w:hAnsi="仿宋" w:eastAsia="仿宋"/>
          <w:color w:val="auto"/>
          <w:sz w:val="24"/>
        </w:rPr>
      </w:pPr>
      <w:r>
        <w:rPr>
          <w:rFonts w:hint="eastAsia" w:ascii="仿宋" w:hAnsi="仿宋" w:eastAsia="仿宋"/>
          <w:color w:val="auto"/>
          <w:sz w:val="24"/>
        </w:rPr>
        <w:t>附件：法定代表人有效身份证正反面复印件</w:t>
      </w:r>
    </w:p>
    <w:p w14:paraId="399F2E39">
      <w:pPr>
        <w:spacing w:line="500" w:lineRule="exact"/>
        <w:ind w:left="540"/>
        <w:rPr>
          <w:rFonts w:hint="eastAsia" w:ascii="仿宋" w:hAnsi="仿宋" w:eastAsia="仿宋"/>
          <w:color w:val="auto"/>
          <w:sz w:val="24"/>
        </w:rPr>
      </w:pPr>
    </w:p>
    <w:p w14:paraId="575970B4">
      <w:pPr>
        <w:spacing w:line="500" w:lineRule="exact"/>
        <w:ind w:left="540"/>
        <w:jc w:val="right"/>
        <w:rPr>
          <w:rFonts w:hint="eastAsia" w:ascii="仿宋" w:hAnsi="仿宋" w:eastAsia="仿宋"/>
          <w:color w:val="auto"/>
          <w:sz w:val="24"/>
        </w:rPr>
      </w:pPr>
      <w:r>
        <w:rPr>
          <w:rFonts w:hint="eastAsia" w:ascii="仿宋" w:hAnsi="仿宋" w:eastAsia="仿宋"/>
          <w:color w:val="auto"/>
          <w:sz w:val="24"/>
        </w:rPr>
        <w:t>投标人名称（公章）</w:t>
      </w:r>
    </w:p>
    <w:p w14:paraId="54863800">
      <w:pPr>
        <w:spacing w:line="500" w:lineRule="exact"/>
        <w:ind w:left="540"/>
        <w:jc w:val="right"/>
        <w:rPr>
          <w:rFonts w:hint="eastAsia" w:ascii="仿宋" w:hAnsi="仿宋" w:eastAsia="仿宋"/>
          <w:color w:val="auto"/>
          <w:sz w:val="24"/>
        </w:rPr>
      </w:pPr>
    </w:p>
    <w:p w14:paraId="047891DC">
      <w:pPr>
        <w:snapToGrid w:val="0"/>
        <w:spacing w:beforeLines="50" w:after="50"/>
        <w:ind w:left="540"/>
        <w:jc w:val="right"/>
        <w:rPr>
          <w:rFonts w:hint="eastAsia" w:ascii="仿宋" w:hAnsi="仿宋" w:eastAsia="仿宋"/>
          <w:color w:val="auto"/>
          <w:sz w:val="24"/>
        </w:rPr>
      </w:pPr>
      <w:r>
        <w:rPr>
          <w:rFonts w:hint="eastAsia" w:ascii="仿宋" w:hAnsi="仿宋" w:eastAsia="仿宋"/>
          <w:color w:val="auto"/>
          <w:sz w:val="24"/>
          <w:u w:val="single"/>
        </w:rPr>
        <w:t xml:space="preserve">         </w:t>
      </w:r>
      <w:r>
        <w:rPr>
          <w:rFonts w:hint="eastAsia" w:ascii="仿宋" w:hAnsi="仿宋" w:eastAsia="仿宋"/>
          <w:color w:val="auto"/>
          <w:sz w:val="24"/>
        </w:rPr>
        <w:t>年</w:t>
      </w:r>
      <w:r>
        <w:rPr>
          <w:rFonts w:hint="eastAsia" w:ascii="仿宋" w:hAnsi="仿宋" w:eastAsia="仿宋"/>
          <w:color w:val="auto"/>
          <w:sz w:val="24"/>
          <w:u w:val="single"/>
        </w:rPr>
        <w:t xml:space="preserve">        </w:t>
      </w:r>
      <w:r>
        <w:rPr>
          <w:rFonts w:hint="eastAsia" w:ascii="仿宋" w:hAnsi="仿宋" w:eastAsia="仿宋"/>
          <w:color w:val="auto"/>
          <w:sz w:val="24"/>
        </w:rPr>
        <w:t>月</w:t>
      </w:r>
      <w:r>
        <w:rPr>
          <w:rFonts w:hint="eastAsia" w:ascii="仿宋" w:hAnsi="仿宋" w:eastAsia="仿宋"/>
          <w:color w:val="auto"/>
          <w:sz w:val="24"/>
          <w:u w:val="single"/>
        </w:rPr>
        <w:t xml:space="preserve">        </w:t>
      </w:r>
      <w:r>
        <w:rPr>
          <w:rFonts w:hint="eastAsia" w:ascii="仿宋" w:hAnsi="仿宋" w:eastAsia="仿宋"/>
          <w:color w:val="auto"/>
          <w:sz w:val="24"/>
        </w:rPr>
        <w:t>日</w:t>
      </w:r>
    </w:p>
    <w:p w14:paraId="1A6205D4">
      <w:pPr>
        <w:snapToGrid w:val="0"/>
        <w:spacing w:beforeLines="50" w:after="50"/>
        <w:jc w:val="center"/>
        <w:rPr>
          <w:rFonts w:hint="eastAsia" w:ascii="仿宋" w:hAnsi="仿宋" w:eastAsia="仿宋"/>
          <w:b/>
          <w:color w:val="auto"/>
          <w:sz w:val="24"/>
        </w:rPr>
      </w:pPr>
    </w:p>
    <w:p w14:paraId="4818F4E1">
      <w:pPr>
        <w:snapToGrid w:val="0"/>
        <w:spacing w:beforeLines="50" w:after="50"/>
        <w:jc w:val="left"/>
        <w:rPr>
          <w:rFonts w:hint="eastAsia" w:ascii="仿宋" w:hAnsi="仿宋" w:eastAsia="仿宋"/>
          <w:b/>
          <w:color w:val="auto"/>
          <w:sz w:val="24"/>
          <w:szCs w:val="20"/>
        </w:rPr>
      </w:pPr>
      <w:r>
        <w:rPr>
          <w:rFonts w:hint="eastAsia" w:ascii="仿宋" w:hAnsi="仿宋" w:eastAsia="仿宋"/>
          <w:color w:val="auto"/>
          <w:sz w:val="24"/>
        </w:rPr>
        <w:t>注：自然人投标的无需提供</w:t>
      </w:r>
    </w:p>
    <w:p w14:paraId="6CA67AF4">
      <w:pPr>
        <w:snapToGrid w:val="0"/>
        <w:spacing w:beforeLines="50" w:after="50"/>
        <w:jc w:val="left"/>
        <w:rPr>
          <w:rFonts w:hint="eastAsia" w:ascii="仿宋" w:hAnsi="仿宋" w:eastAsia="仿宋"/>
          <w:b/>
          <w:color w:val="auto"/>
          <w:sz w:val="24"/>
          <w:szCs w:val="20"/>
        </w:rPr>
      </w:pPr>
      <w:r>
        <w:rPr>
          <w:rFonts w:ascii="仿宋" w:hAnsi="仿宋" w:eastAsia="仿宋"/>
          <w:b/>
          <w:color w:val="auto"/>
          <w:sz w:val="24"/>
        </w:rPr>
        <w:br w:type="page"/>
      </w:r>
      <w:r>
        <w:rPr>
          <w:rFonts w:hint="eastAsia" w:ascii="仿宋" w:hAnsi="仿宋" w:eastAsia="仿宋"/>
          <w:b/>
          <w:color w:val="auto"/>
          <w:sz w:val="24"/>
        </w:rPr>
        <w:t>5.授权委托书格式</w:t>
      </w:r>
    </w:p>
    <w:p w14:paraId="2880C8B1">
      <w:pPr>
        <w:snapToGrid w:val="0"/>
        <w:spacing w:beforeLines="50" w:after="50"/>
        <w:jc w:val="center"/>
        <w:rPr>
          <w:rFonts w:hint="eastAsia" w:ascii="仿宋" w:hAnsi="仿宋" w:eastAsia="仿宋"/>
          <w:b/>
          <w:color w:val="auto"/>
          <w:sz w:val="44"/>
          <w:szCs w:val="44"/>
        </w:rPr>
      </w:pPr>
    </w:p>
    <w:p w14:paraId="129EEC27">
      <w:pPr>
        <w:spacing w:line="360" w:lineRule="auto"/>
        <w:contextualSpacing/>
        <w:jc w:val="center"/>
        <w:rPr>
          <w:rFonts w:hint="eastAsia" w:ascii="仿宋" w:hAnsi="仿宋" w:eastAsia="仿宋" w:cs="方正小标宋简体"/>
          <w:bCs/>
          <w:color w:val="auto"/>
          <w:sz w:val="32"/>
          <w:szCs w:val="32"/>
          <w:lang w:eastAsia="zh-CN"/>
        </w:rPr>
      </w:pPr>
      <w:r>
        <w:rPr>
          <w:rFonts w:hint="eastAsia" w:ascii="仿宋" w:hAnsi="仿宋" w:eastAsia="仿宋" w:cs="方正小标宋简体"/>
          <w:bCs/>
          <w:color w:val="auto"/>
          <w:sz w:val="44"/>
          <w:szCs w:val="44"/>
        </w:rPr>
        <w:t>授权委托书</w:t>
      </w:r>
      <w:r>
        <w:rPr>
          <w:rFonts w:hint="eastAsia" w:ascii="仿宋" w:hAnsi="仿宋" w:eastAsia="仿宋" w:cs="方正小标宋简体"/>
          <w:bCs/>
          <w:color w:val="auto"/>
          <w:sz w:val="32"/>
          <w:szCs w:val="32"/>
          <w:lang w:eastAsia="zh-CN"/>
        </w:rPr>
        <w:t>（</w:t>
      </w:r>
      <w:r>
        <w:rPr>
          <w:rFonts w:hint="eastAsia" w:ascii="仿宋" w:hAnsi="仿宋" w:eastAsia="仿宋" w:cs="方正小标宋简体"/>
          <w:bCs/>
          <w:color w:val="auto"/>
          <w:sz w:val="32"/>
          <w:szCs w:val="32"/>
          <w:lang w:val="en-US" w:eastAsia="zh-CN"/>
        </w:rPr>
        <w:t>非</w:t>
      </w:r>
      <w:r>
        <w:rPr>
          <w:rFonts w:hint="eastAsia" w:ascii="仿宋" w:hAnsi="仿宋" w:eastAsia="仿宋" w:cs="方正小标宋简体"/>
          <w:bCs/>
          <w:color w:val="auto"/>
          <w:sz w:val="32"/>
          <w:szCs w:val="32"/>
          <w:lang w:eastAsia="zh-CN"/>
        </w:rPr>
        <w:t>联合体投标格式）</w:t>
      </w:r>
    </w:p>
    <w:p w14:paraId="6EF83C53">
      <w:pPr>
        <w:spacing w:line="360" w:lineRule="auto"/>
        <w:contextualSpacing/>
        <w:jc w:val="center"/>
        <w:rPr>
          <w:rFonts w:hint="eastAsia" w:ascii="仿宋" w:hAnsi="仿宋" w:eastAsia="仿宋" w:cs="方正小标宋简体"/>
          <w:bCs/>
          <w:color w:val="auto"/>
          <w:sz w:val="24"/>
        </w:rPr>
      </w:pPr>
      <w:r>
        <w:rPr>
          <w:rFonts w:hint="eastAsia" w:ascii="仿宋" w:hAnsi="仿宋" w:eastAsia="仿宋" w:cs="方正小标宋简体"/>
          <w:bCs/>
          <w:color w:val="auto"/>
          <w:sz w:val="32"/>
          <w:szCs w:val="32"/>
        </w:rPr>
        <w:t>（如有委托时）</w:t>
      </w:r>
    </w:p>
    <w:p w14:paraId="3AF1269E">
      <w:pPr>
        <w:spacing w:line="440" w:lineRule="exact"/>
        <w:contextualSpacing/>
        <w:jc w:val="center"/>
        <w:rPr>
          <w:rFonts w:hint="eastAsia" w:ascii="仿宋" w:hAnsi="仿宋" w:eastAsia="仿宋"/>
          <w:b/>
          <w:color w:val="auto"/>
          <w:sz w:val="24"/>
        </w:rPr>
      </w:pPr>
    </w:p>
    <w:p w14:paraId="72901B5F">
      <w:pPr>
        <w:spacing w:line="440" w:lineRule="exact"/>
        <w:contextualSpacing/>
        <w:rPr>
          <w:rFonts w:hint="eastAsia" w:ascii="仿宋" w:hAnsi="仿宋" w:eastAsia="仿宋"/>
          <w:b/>
          <w:bCs/>
          <w:color w:val="auto"/>
          <w:sz w:val="24"/>
        </w:rPr>
      </w:pPr>
      <w:r>
        <w:rPr>
          <w:rFonts w:hint="eastAsia" w:ascii="仿宋" w:hAnsi="仿宋" w:eastAsia="仿宋"/>
          <w:bCs/>
          <w:color w:val="auto"/>
          <w:sz w:val="24"/>
        </w:rPr>
        <w:t>致：</w:t>
      </w:r>
      <w:r>
        <w:rPr>
          <w:rFonts w:hint="eastAsia" w:ascii="仿宋" w:hAnsi="仿宋" w:eastAsia="仿宋"/>
          <w:color w:val="auto"/>
          <w:sz w:val="24"/>
          <w:u w:val="single"/>
        </w:rPr>
        <w:t>采购人名称</w:t>
      </w:r>
      <w:r>
        <w:rPr>
          <w:rFonts w:hint="eastAsia" w:ascii="仿宋" w:hAnsi="仿宋" w:eastAsia="仿宋"/>
          <w:color w:val="auto"/>
          <w:sz w:val="24"/>
        </w:rPr>
        <w:t>：</w:t>
      </w:r>
    </w:p>
    <w:p w14:paraId="6F70DBAF">
      <w:pPr>
        <w:spacing w:line="440" w:lineRule="exact"/>
        <w:ind w:firstLine="566" w:firstLineChars="236"/>
        <w:contextualSpacing/>
        <w:rPr>
          <w:rFonts w:hint="eastAsia" w:ascii="仿宋" w:hAnsi="仿宋" w:eastAsia="仿宋"/>
          <w:color w:val="auto"/>
          <w:sz w:val="24"/>
        </w:rPr>
      </w:pPr>
      <w:r>
        <w:rPr>
          <w:rFonts w:hint="eastAsia" w:ascii="仿宋" w:hAnsi="仿宋" w:eastAsia="仿宋"/>
          <w:color w:val="auto"/>
          <w:sz w:val="24"/>
        </w:rPr>
        <w:t>我</w:t>
      </w:r>
      <w:r>
        <w:rPr>
          <w:rFonts w:hint="eastAsia" w:ascii="仿宋" w:hAnsi="仿宋" w:eastAsia="仿宋"/>
          <w:color w:val="auto"/>
          <w:sz w:val="24"/>
          <w:u w:val="single"/>
        </w:rPr>
        <w:t xml:space="preserve">       </w:t>
      </w:r>
      <w:r>
        <w:rPr>
          <w:rFonts w:hint="eastAsia" w:ascii="仿宋" w:hAnsi="仿宋" w:eastAsia="仿宋"/>
          <w:color w:val="auto"/>
          <w:sz w:val="24"/>
        </w:rPr>
        <w:t>（姓名）系</w:t>
      </w:r>
      <w:r>
        <w:rPr>
          <w:rFonts w:hint="eastAsia" w:ascii="仿宋" w:hAnsi="仿宋" w:eastAsia="仿宋"/>
          <w:color w:val="auto"/>
          <w:sz w:val="24"/>
          <w:u w:val="single"/>
        </w:rPr>
        <w:t xml:space="preserve">      </w:t>
      </w:r>
      <w:r>
        <w:rPr>
          <w:rFonts w:hint="eastAsia" w:ascii="仿宋" w:hAnsi="仿宋" w:eastAsia="仿宋"/>
          <w:color w:val="auto"/>
          <w:sz w:val="24"/>
        </w:rPr>
        <w:t>（投标人名称）的法定代表人，现授权委托</w:t>
      </w:r>
      <w:r>
        <w:rPr>
          <w:rFonts w:hint="eastAsia" w:ascii="仿宋" w:hAnsi="仿宋" w:eastAsia="仿宋"/>
          <w:color w:val="auto"/>
          <w:sz w:val="24"/>
          <w:u w:val="single"/>
        </w:rPr>
        <w:t xml:space="preserve">       （姓名）</w:t>
      </w:r>
      <w:r>
        <w:rPr>
          <w:rFonts w:hint="eastAsia" w:ascii="仿宋" w:hAnsi="仿宋" w:eastAsia="仿宋"/>
          <w:color w:val="auto"/>
          <w:sz w:val="24"/>
        </w:rPr>
        <w:t>以我方的名义参加</w:t>
      </w:r>
      <w:r>
        <w:rPr>
          <w:rFonts w:hint="eastAsia" w:ascii="仿宋" w:hAnsi="仿宋" w:eastAsia="仿宋"/>
          <w:color w:val="auto"/>
          <w:sz w:val="24"/>
          <w:u w:val="single"/>
        </w:rPr>
        <w:t xml:space="preserve">              </w:t>
      </w:r>
      <w:r>
        <w:rPr>
          <w:rFonts w:hint="eastAsia" w:ascii="仿宋" w:hAnsi="仿宋" w:eastAsia="仿宋"/>
          <w:color w:val="auto"/>
          <w:sz w:val="24"/>
        </w:rPr>
        <w:t>项目的投标活动，并代表我方全权办理针对上述项目的所有采购程序和环节的具体事务和签署相关文件。</w:t>
      </w:r>
    </w:p>
    <w:p w14:paraId="02DA6D92">
      <w:pPr>
        <w:spacing w:line="440" w:lineRule="exact"/>
        <w:contextualSpacing/>
        <w:rPr>
          <w:rFonts w:hint="eastAsia" w:ascii="仿宋" w:hAnsi="仿宋" w:eastAsia="仿宋"/>
          <w:color w:val="auto"/>
          <w:sz w:val="24"/>
        </w:rPr>
      </w:pPr>
      <w:r>
        <w:rPr>
          <w:rFonts w:hint="eastAsia" w:ascii="仿宋" w:hAnsi="仿宋" w:eastAsia="仿宋"/>
          <w:color w:val="auto"/>
          <w:sz w:val="24"/>
        </w:rPr>
        <w:t xml:space="preserve">    我方对委托代理人的签字事项负全部责任。</w:t>
      </w:r>
    </w:p>
    <w:p w14:paraId="13BA2BFC">
      <w:pPr>
        <w:spacing w:line="440" w:lineRule="exact"/>
        <w:ind w:firstLine="480"/>
        <w:contextualSpacing/>
        <w:rPr>
          <w:rFonts w:hint="eastAsia" w:ascii="仿宋" w:hAnsi="仿宋" w:eastAsia="仿宋"/>
          <w:color w:val="auto"/>
          <w:sz w:val="24"/>
        </w:rPr>
      </w:pPr>
      <w:r>
        <w:rPr>
          <w:rFonts w:hint="eastAsia" w:ascii="仿宋" w:hAnsi="仿宋" w:eastAsia="仿宋"/>
          <w:color w:val="auto"/>
          <w:sz w:val="24"/>
          <w:u w:val="single"/>
        </w:rPr>
        <w:t>本授权书自签署之日起生效，在撤销授权的书面通知以前，本授权书一直有效。委托代理人在授权书有效期内签署的所有文件不因授权的撤销而失效。</w:t>
      </w:r>
    </w:p>
    <w:p w14:paraId="0D0B8D5C">
      <w:pPr>
        <w:spacing w:line="440" w:lineRule="exact"/>
        <w:ind w:firstLine="480"/>
        <w:contextualSpacing/>
        <w:rPr>
          <w:rFonts w:hint="eastAsia" w:ascii="仿宋" w:hAnsi="仿宋" w:eastAsia="仿宋"/>
          <w:color w:val="auto"/>
          <w:sz w:val="24"/>
        </w:rPr>
      </w:pPr>
      <w:r>
        <w:rPr>
          <w:rFonts w:hint="eastAsia" w:ascii="仿宋" w:hAnsi="仿宋" w:eastAsia="仿宋"/>
          <w:color w:val="auto"/>
          <w:sz w:val="24"/>
        </w:rPr>
        <w:t>委托代理人无转委托权，特此委托。</w:t>
      </w:r>
    </w:p>
    <w:p w14:paraId="6D6A384B">
      <w:pPr>
        <w:spacing w:line="440" w:lineRule="exact"/>
        <w:ind w:firstLine="480"/>
        <w:contextualSpacing/>
        <w:rPr>
          <w:rFonts w:hint="eastAsia" w:ascii="仿宋" w:hAnsi="仿宋" w:eastAsia="仿宋"/>
          <w:color w:val="auto"/>
          <w:sz w:val="24"/>
        </w:rPr>
      </w:pPr>
      <w:r>
        <w:rPr>
          <w:rFonts w:hint="eastAsia" w:ascii="仿宋" w:hAnsi="仿宋" w:eastAsia="仿宋"/>
          <w:color w:val="auto"/>
          <w:sz w:val="24"/>
        </w:rPr>
        <w:t>附：法定代表人身份证明及委托代理人有效身份证正反面复印件</w:t>
      </w:r>
    </w:p>
    <w:p w14:paraId="146CED84">
      <w:pPr>
        <w:spacing w:line="440" w:lineRule="exact"/>
        <w:contextualSpacing/>
        <w:rPr>
          <w:rFonts w:hint="eastAsia" w:ascii="仿宋" w:hAnsi="仿宋" w:eastAsia="仿宋"/>
          <w:color w:val="auto"/>
          <w:sz w:val="24"/>
        </w:rPr>
      </w:pPr>
    </w:p>
    <w:p w14:paraId="61EF7B1D">
      <w:pPr>
        <w:spacing w:line="440" w:lineRule="exact"/>
        <w:contextualSpacing/>
        <w:rPr>
          <w:rFonts w:hint="eastAsia" w:ascii="仿宋" w:hAnsi="仿宋" w:eastAsia="仿宋"/>
          <w:color w:val="auto"/>
          <w:sz w:val="24"/>
          <w:u w:val="single"/>
        </w:rPr>
      </w:pPr>
      <w:r>
        <w:rPr>
          <w:rFonts w:hint="eastAsia" w:ascii="仿宋" w:hAnsi="仿宋" w:eastAsia="仿宋"/>
          <w:color w:val="auto"/>
          <w:sz w:val="24"/>
        </w:rPr>
        <w:t>委托代理人（签字</w:t>
      </w:r>
      <w:r>
        <w:rPr>
          <w:rFonts w:hint="eastAsia" w:ascii="仿宋" w:hAnsi="仿宋" w:eastAsia="仿宋" w:cs="仿宋_GB2312"/>
          <w:color w:val="auto"/>
          <w:sz w:val="24"/>
        </w:rPr>
        <w:t>或者盖章</w:t>
      </w:r>
      <w:r>
        <w:rPr>
          <w:rFonts w:hint="eastAsia" w:ascii="仿宋" w:hAnsi="仿宋" w:eastAsia="仿宋"/>
          <w:color w:val="auto"/>
          <w:sz w:val="24"/>
        </w:rPr>
        <w:t>）：</w:t>
      </w:r>
      <w:r>
        <w:rPr>
          <w:rFonts w:hint="eastAsia" w:ascii="仿宋" w:hAnsi="仿宋" w:eastAsia="仿宋"/>
          <w:color w:val="auto"/>
          <w:sz w:val="24"/>
          <w:u w:val="single"/>
        </w:rPr>
        <w:t xml:space="preserve">          </w:t>
      </w:r>
      <w:r>
        <w:rPr>
          <w:rFonts w:hint="eastAsia" w:ascii="仿宋" w:hAnsi="仿宋" w:eastAsia="仿宋"/>
          <w:color w:val="auto"/>
          <w:sz w:val="24"/>
        </w:rPr>
        <w:t xml:space="preserve">   法定代表人（签字或者盖章）：</w:t>
      </w:r>
      <w:r>
        <w:rPr>
          <w:rFonts w:hint="eastAsia" w:ascii="仿宋" w:hAnsi="仿宋" w:eastAsia="仿宋"/>
          <w:color w:val="auto"/>
          <w:sz w:val="24"/>
          <w:u w:val="single"/>
        </w:rPr>
        <w:t xml:space="preserve">              </w:t>
      </w:r>
    </w:p>
    <w:p w14:paraId="13099F17">
      <w:pPr>
        <w:spacing w:line="440" w:lineRule="exact"/>
        <w:contextualSpacing/>
        <w:rPr>
          <w:rFonts w:hint="eastAsia" w:ascii="仿宋" w:hAnsi="仿宋" w:eastAsia="仿宋"/>
          <w:color w:val="auto"/>
          <w:sz w:val="24"/>
        </w:rPr>
      </w:pPr>
      <w:r>
        <w:rPr>
          <w:rFonts w:hint="eastAsia" w:ascii="仿宋" w:hAnsi="仿宋" w:eastAsia="仿宋"/>
          <w:color w:val="auto"/>
          <w:sz w:val="24"/>
        </w:rPr>
        <w:t>委托代理人身份证号码：</w:t>
      </w:r>
      <w:r>
        <w:rPr>
          <w:rFonts w:hint="eastAsia" w:ascii="仿宋" w:hAnsi="仿宋" w:eastAsia="仿宋"/>
          <w:color w:val="auto"/>
          <w:sz w:val="24"/>
          <w:u w:val="single"/>
        </w:rPr>
        <w:t xml:space="preserve">                             </w:t>
      </w:r>
      <w:r>
        <w:rPr>
          <w:rFonts w:hint="eastAsia" w:ascii="仿宋" w:hAnsi="仿宋" w:eastAsia="仿宋"/>
          <w:color w:val="auto"/>
          <w:sz w:val="24"/>
        </w:rPr>
        <w:t xml:space="preserve"> </w:t>
      </w:r>
    </w:p>
    <w:p w14:paraId="663E910A">
      <w:pPr>
        <w:spacing w:line="440" w:lineRule="exact"/>
        <w:contextualSpacing/>
        <w:jc w:val="center"/>
        <w:rPr>
          <w:rFonts w:ascii="仿宋" w:hAnsi="仿宋" w:eastAsia="仿宋"/>
          <w:color w:val="auto"/>
          <w:sz w:val="24"/>
        </w:rPr>
      </w:pPr>
      <w:r>
        <w:rPr>
          <w:rFonts w:hint="eastAsia" w:ascii="仿宋" w:hAnsi="仿宋" w:eastAsia="仿宋"/>
          <w:color w:val="auto"/>
          <w:sz w:val="24"/>
        </w:rPr>
        <w:t xml:space="preserve">                                             </w:t>
      </w:r>
    </w:p>
    <w:p w14:paraId="502C1ED5">
      <w:pPr>
        <w:spacing w:line="440" w:lineRule="exact"/>
        <w:contextualSpacing/>
        <w:jc w:val="center"/>
        <w:rPr>
          <w:rFonts w:hint="eastAsia" w:ascii="仿宋" w:hAnsi="仿宋" w:eastAsia="仿宋"/>
          <w:color w:val="auto"/>
          <w:sz w:val="24"/>
        </w:rPr>
      </w:pPr>
      <w:r>
        <w:rPr>
          <w:rFonts w:ascii="仿宋" w:hAnsi="仿宋" w:eastAsia="仿宋"/>
          <w:color w:val="auto"/>
          <w:sz w:val="24"/>
        </w:rPr>
        <w:t xml:space="preserve">                                         </w:t>
      </w:r>
      <w:r>
        <w:rPr>
          <w:rFonts w:hint="eastAsia" w:ascii="仿宋" w:hAnsi="仿宋" w:eastAsia="仿宋"/>
          <w:color w:val="auto"/>
          <w:sz w:val="24"/>
        </w:rPr>
        <w:t xml:space="preserve">   投标人（盖公章）：</w:t>
      </w:r>
    </w:p>
    <w:p w14:paraId="23333589">
      <w:pPr>
        <w:spacing w:line="440" w:lineRule="exact"/>
        <w:contextualSpacing/>
        <w:jc w:val="center"/>
        <w:rPr>
          <w:rFonts w:hint="eastAsia" w:ascii="仿宋" w:hAnsi="仿宋" w:eastAsia="仿宋"/>
          <w:color w:val="auto"/>
          <w:sz w:val="24"/>
        </w:rPr>
      </w:pPr>
      <w:r>
        <w:rPr>
          <w:rFonts w:hint="eastAsia" w:ascii="仿宋" w:hAnsi="仿宋" w:eastAsia="仿宋"/>
          <w:color w:val="auto"/>
          <w:sz w:val="24"/>
        </w:rPr>
        <w:t xml:space="preserve">                                              年    月    日</w:t>
      </w:r>
    </w:p>
    <w:p w14:paraId="7A95D0B0">
      <w:pPr>
        <w:spacing w:line="440" w:lineRule="exact"/>
        <w:contextualSpacing/>
        <w:rPr>
          <w:rFonts w:hint="eastAsia" w:ascii="仿宋" w:hAnsi="仿宋" w:eastAsia="仿宋" w:cs="仿宋_GB2312"/>
          <w:color w:val="auto"/>
          <w:sz w:val="24"/>
        </w:rPr>
      </w:pPr>
      <w:r>
        <w:rPr>
          <w:rFonts w:hint="eastAsia" w:ascii="仿宋" w:hAnsi="仿宋" w:eastAsia="仿宋" w:cs="仿宋_GB2312"/>
          <w:color w:val="auto"/>
          <w:sz w:val="24"/>
        </w:rPr>
        <w:t>注：1.</w:t>
      </w:r>
      <w:bookmarkStart w:id="155" w:name="_Hlk65851555"/>
      <w:bookmarkStart w:id="156" w:name="_Hlk65851620"/>
      <w:r>
        <w:rPr>
          <w:rFonts w:hint="eastAsia" w:ascii="仿宋" w:hAnsi="仿宋" w:eastAsia="仿宋" w:cs="仿宋_GB2312"/>
          <w:color w:val="auto"/>
          <w:sz w:val="24"/>
        </w:rPr>
        <w:t>法定代表人必须在授权委托书上亲笔签字或者盖章，</w:t>
      </w:r>
      <w:bookmarkEnd w:id="155"/>
      <w:r>
        <w:rPr>
          <w:rFonts w:hint="eastAsia" w:ascii="仿宋" w:hAnsi="仿宋" w:eastAsia="仿宋" w:cs="仿宋_GB2312"/>
          <w:color w:val="auto"/>
          <w:sz w:val="24"/>
        </w:rPr>
        <w:t>委托代理人必须在授权委托书上亲笔签字或者盖章，</w:t>
      </w:r>
      <w:r>
        <w:rPr>
          <w:rFonts w:hint="eastAsia" w:ascii="仿宋" w:hAnsi="仿宋" w:eastAsia="仿宋" w:cs="仿宋_GB2312"/>
          <w:b/>
          <w:bCs/>
          <w:color w:val="auto"/>
          <w:sz w:val="24"/>
        </w:rPr>
        <w:t>否则按无效投标处理</w:t>
      </w:r>
      <w:r>
        <w:rPr>
          <w:rFonts w:hint="eastAsia" w:ascii="仿宋" w:hAnsi="仿宋" w:eastAsia="仿宋" w:cs="仿宋_GB2312"/>
          <w:color w:val="auto"/>
          <w:sz w:val="24"/>
        </w:rPr>
        <w:t>；</w:t>
      </w:r>
      <w:bookmarkEnd w:id="156"/>
    </w:p>
    <w:p w14:paraId="3F592E31">
      <w:pPr>
        <w:spacing w:line="440" w:lineRule="exact"/>
        <w:ind w:firstLine="480" w:firstLineChars="200"/>
        <w:contextualSpacing/>
        <w:jc w:val="left"/>
        <w:rPr>
          <w:rFonts w:hint="eastAsia" w:ascii="仿宋" w:hAnsi="仿宋" w:eastAsia="仿宋"/>
          <w:color w:val="auto"/>
          <w:sz w:val="24"/>
        </w:rPr>
      </w:pPr>
      <w:r>
        <w:rPr>
          <w:rFonts w:hint="eastAsia" w:ascii="仿宋" w:hAnsi="仿宋" w:eastAsia="仿宋" w:cs="仿宋_GB2312"/>
          <w:color w:val="auto"/>
          <w:sz w:val="24"/>
        </w:rPr>
        <w:t>2.法人、其他组织投标时“我方”是指“我单位”，自然人投标时“我方”是指“本人”。</w:t>
      </w:r>
    </w:p>
    <w:p w14:paraId="4C48E410">
      <w:pPr>
        <w:snapToGrid w:val="0"/>
        <w:spacing w:beforeLines="50" w:after="50"/>
        <w:ind w:firstLine="566" w:firstLineChars="236"/>
        <w:jc w:val="center"/>
        <w:rPr>
          <w:rFonts w:hint="eastAsia" w:ascii="仿宋" w:hAnsi="仿宋" w:eastAsia="仿宋" w:cs="方正小标宋简体"/>
          <w:color w:val="auto"/>
          <w:sz w:val="44"/>
          <w:szCs w:val="44"/>
        </w:rPr>
      </w:pPr>
      <w:r>
        <w:rPr>
          <w:rFonts w:ascii="仿宋" w:hAnsi="仿宋" w:eastAsia="仿宋"/>
          <w:color w:val="auto"/>
          <w:sz w:val="24"/>
        </w:rPr>
        <w:br w:type="page"/>
      </w:r>
      <w:r>
        <w:rPr>
          <w:rFonts w:hint="eastAsia" w:ascii="仿宋" w:hAnsi="仿宋" w:eastAsia="仿宋" w:cs="方正小标宋简体"/>
          <w:color w:val="auto"/>
          <w:sz w:val="44"/>
          <w:szCs w:val="44"/>
        </w:rPr>
        <w:t>授权委托书</w:t>
      </w:r>
    </w:p>
    <w:p w14:paraId="2F3E9D6A">
      <w:pPr>
        <w:snapToGrid w:val="0"/>
        <w:spacing w:beforeLines="50" w:after="50"/>
        <w:ind w:firstLine="755" w:firstLineChars="236"/>
        <w:jc w:val="center"/>
        <w:rPr>
          <w:rFonts w:hint="eastAsia" w:ascii="仿宋" w:hAnsi="仿宋" w:eastAsia="仿宋" w:cs="方正小标宋简体"/>
          <w:color w:val="auto"/>
          <w:sz w:val="32"/>
          <w:szCs w:val="32"/>
        </w:rPr>
      </w:pPr>
      <w:r>
        <w:rPr>
          <w:rFonts w:hint="eastAsia" w:ascii="仿宋" w:hAnsi="仿宋" w:eastAsia="仿宋" w:cs="方正小标宋简体"/>
          <w:color w:val="auto"/>
          <w:sz w:val="32"/>
          <w:szCs w:val="32"/>
        </w:rPr>
        <w:t>（联合体投标格式）</w:t>
      </w:r>
    </w:p>
    <w:p w14:paraId="147C8766">
      <w:pPr>
        <w:snapToGrid w:val="0"/>
        <w:spacing w:beforeLines="50" w:after="50"/>
        <w:ind w:firstLine="755" w:firstLineChars="236"/>
        <w:jc w:val="center"/>
        <w:rPr>
          <w:rFonts w:hint="eastAsia" w:ascii="仿宋" w:hAnsi="仿宋" w:eastAsia="仿宋" w:cs="方正小标宋简体"/>
          <w:color w:val="auto"/>
          <w:sz w:val="24"/>
        </w:rPr>
      </w:pPr>
      <w:r>
        <w:rPr>
          <w:rFonts w:hint="eastAsia" w:ascii="仿宋" w:hAnsi="仿宋" w:eastAsia="仿宋" w:cs="方正小标宋简体"/>
          <w:color w:val="auto"/>
          <w:sz w:val="32"/>
          <w:szCs w:val="32"/>
        </w:rPr>
        <w:t>（如有委托时）</w:t>
      </w:r>
    </w:p>
    <w:p w14:paraId="02095C7A">
      <w:pPr>
        <w:spacing w:line="440" w:lineRule="exact"/>
        <w:contextualSpacing/>
        <w:jc w:val="left"/>
        <w:rPr>
          <w:rFonts w:hint="eastAsia" w:ascii="仿宋" w:hAnsi="仿宋" w:eastAsia="仿宋"/>
          <w:color w:val="auto"/>
          <w:sz w:val="24"/>
        </w:rPr>
      </w:pPr>
      <w:r>
        <w:rPr>
          <w:rFonts w:hint="eastAsia" w:ascii="仿宋" w:hAnsi="仿宋" w:eastAsia="仿宋"/>
          <w:bCs/>
          <w:color w:val="auto"/>
          <w:sz w:val="24"/>
        </w:rPr>
        <w:t>致：</w:t>
      </w:r>
      <w:r>
        <w:rPr>
          <w:rFonts w:hint="eastAsia" w:ascii="仿宋" w:hAnsi="仿宋" w:eastAsia="仿宋"/>
          <w:color w:val="auto"/>
          <w:sz w:val="24"/>
          <w:u w:val="single"/>
        </w:rPr>
        <w:t>采购人名称</w:t>
      </w:r>
      <w:r>
        <w:rPr>
          <w:rFonts w:hint="eastAsia" w:ascii="仿宋" w:hAnsi="仿宋" w:eastAsia="仿宋"/>
          <w:color w:val="auto"/>
          <w:sz w:val="24"/>
        </w:rPr>
        <w:t>：</w:t>
      </w:r>
    </w:p>
    <w:p w14:paraId="6CAB17A3">
      <w:pPr>
        <w:spacing w:line="440" w:lineRule="exact"/>
        <w:ind w:firstLine="566" w:firstLineChars="236"/>
        <w:contextualSpacing/>
        <w:rPr>
          <w:rFonts w:hint="eastAsia" w:ascii="仿宋" w:hAnsi="仿宋" w:eastAsia="仿宋"/>
          <w:color w:val="auto"/>
          <w:sz w:val="24"/>
        </w:rPr>
      </w:pPr>
      <w:r>
        <w:rPr>
          <w:rFonts w:hint="eastAsia" w:ascii="仿宋" w:hAnsi="仿宋" w:eastAsia="仿宋"/>
          <w:color w:val="auto"/>
          <w:sz w:val="24"/>
        </w:rPr>
        <w:t xml:space="preserve">根据 </w:t>
      </w:r>
      <w:r>
        <w:rPr>
          <w:rFonts w:hint="eastAsia" w:ascii="仿宋" w:hAnsi="仿宋" w:eastAsia="仿宋"/>
          <w:color w:val="auto"/>
          <w:sz w:val="24"/>
          <w:u w:val="single"/>
        </w:rPr>
        <w:t xml:space="preserve"> （牵头人名称）</w:t>
      </w:r>
      <w:r>
        <w:rPr>
          <w:rFonts w:hint="eastAsia" w:ascii="仿宋" w:hAnsi="仿宋" w:eastAsia="仿宋"/>
          <w:color w:val="auto"/>
          <w:sz w:val="24"/>
        </w:rPr>
        <w:t>与</w:t>
      </w:r>
      <w:r>
        <w:rPr>
          <w:rFonts w:hint="eastAsia" w:ascii="仿宋" w:hAnsi="仿宋" w:eastAsia="仿宋"/>
          <w:color w:val="auto"/>
          <w:sz w:val="24"/>
          <w:u w:val="single"/>
        </w:rPr>
        <w:t>（联合体其他成员名称）</w:t>
      </w:r>
      <w:r>
        <w:rPr>
          <w:rFonts w:hint="eastAsia" w:ascii="仿宋" w:hAnsi="仿宋" w:eastAsia="仿宋"/>
          <w:color w:val="auto"/>
          <w:sz w:val="24"/>
        </w:rPr>
        <w:t>签订的《联合体投标协议书》的内容，</w:t>
      </w:r>
      <w:r>
        <w:rPr>
          <w:rFonts w:hint="eastAsia" w:ascii="仿宋" w:hAnsi="仿宋" w:eastAsia="仿宋"/>
          <w:color w:val="auto"/>
          <w:sz w:val="24"/>
          <w:u w:val="single"/>
        </w:rPr>
        <w:t>（牵头人名称）</w:t>
      </w:r>
      <w:r>
        <w:rPr>
          <w:rFonts w:hint="eastAsia" w:ascii="仿宋" w:hAnsi="仿宋" w:eastAsia="仿宋"/>
          <w:color w:val="auto"/>
          <w:sz w:val="24"/>
        </w:rPr>
        <w:t>的法定代表人</w:t>
      </w:r>
      <w:r>
        <w:rPr>
          <w:rFonts w:hint="eastAsia" w:ascii="仿宋" w:hAnsi="仿宋" w:eastAsia="仿宋"/>
          <w:color w:val="auto"/>
          <w:sz w:val="24"/>
          <w:u w:val="single"/>
        </w:rPr>
        <w:t>（姓名）</w:t>
      </w:r>
      <w:r>
        <w:rPr>
          <w:rFonts w:hint="eastAsia" w:ascii="仿宋" w:hAnsi="仿宋" w:eastAsia="仿宋"/>
          <w:color w:val="auto"/>
          <w:sz w:val="24"/>
        </w:rPr>
        <w:t>现授权委托</w:t>
      </w:r>
      <w:r>
        <w:rPr>
          <w:rFonts w:hint="eastAsia" w:ascii="仿宋" w:hAnsi="仿宋" w:eastAsia="仿宋"/>
          <w:color w:val="auto"/>
          <w:sz w:val="24"/>
          <w:u w:val="single"/>
        </w:rPr>
        <w:t xml:space="preserve">              （姓名）</w:t>
      </w:r>
      <w:r>
        <w:rPr>
          <w:rFonts w:hint="eastAsia" w:ascii="仿宋" w:hAnsi="仿宋" w:eastAsia="仿宋"/>
          <w:color w:val="auto"/>
          <w:sz w:val="24"/>
        </w:rPr>
        <w:t>以我方的名义参加</w:t>
      </w:r>
      <w:r>
        <w:rPr>
          <w:rFonts w:hint="eastAsia" w:ascii="仿宋" w:hAnsi="仿宋" w:eastAsia="仿宋"/>
          <w:color w:val="auto"/>
          <w:sz w:val="24"/>
          <w:u w:val="single"/>
        </w:rPr>
        <w:t xml:space="preserve">              </w:t>
      </w:r>
      <w:r>
        <w:rPr>
          <w:rFonts w:hint="eastAsia" w:ascii="仿宋" w:hAnsi="仿宋" w:eastAsia="仿宋"/>
          <w:color w:val="auto"/>
          <w:sz w:val="24"/>
        </w:rPr>
        <w:t>项目的投标活动，并代表我方全权办理针对上述项目的所有采购程序和环节的具体事务和签署相关文件。</w:t>
      </w:r>
    </w:p>
    <w:p w14:paraId="55DE4AEA">
      <w:pPr>
        <w:spacing w:line="440" w:lineRule="exact"/>
        <w:ind w:firstLine="566" w:firstLineChars="236"/>
        <w:contextualSpacing/>
        <w:rPr>
          <w:rFonts w:hint="eastAsia" w:ascii="仿宋" w:hAnsi="仿宋" w:eastAsia="仿宋"/>
          <w:color w:val="auto"/>
          <w:sz w:val="24"/>
        </w:rPr>
      </w:pPr>
      <w:r>
        <w:rPr>
          <w:rFonts w:hint="eastAsia" w:ascii="仿宋" w:hAnsi="仿宋" w:eastAsia="仿宋"/>
          <w:color w:val="auto"/>
          <w:sz w:val="24"/>
        </w:rPr>
        <w:t>我方对委托代理人的签字事项负全部责任。</w:t>
      </w:r>
    </w:p>
    <w:p w14:paraId="1AFFF9FA">
      <w:pPr>
        <w:spacing w:line="440" w:lineRule="exact"/>
        <w:ind w:firstLine="566" w:firstLineChars="236"/>
        <w:contextualSpacing/>
        <w:rPr>
          <w:rFonts w:hint="eastAsia" w:ascii="仿宋" w:hAnsi="仿宋" w:eastAsia="仿宋"/>
          <w:color w:val="auto"/>
          <w:sz w:val="24"/>
        </w:rPr>
      </w:pPr>
      <w:r>
        <w:rPr>
          <w:rFonts w:hint="eastAsia" w:ascii="仿宋" w:hAnsi="仿宋" w:eastAsia="仿宋"/>
          <w:color w:val="auto"/>
          <w:sz w:val="24"/>
        </w:rPr>
        <w:t>本授权书自签署之日起生效，在撤销授权的书面通知以前，本授权书一直有效。委托代理人在授权书有效期内签署的所有文件不因授权的撤销而失效。</w:t>
      </w:r>
    </w:p>
    <w:p w14:paraId="3E030817">
      <w:pPr>
        <w:spacing w:line="440" w:lineRule="exact"/>
        <w:ind w:firstLine="566" w:firstLineChars="236"/>
        <w:contextualSpacing/>
        <w:rPr>
          <w:rFonts w:hint="eastAsia" w:ascii="仿宋" w:hAnsi="仿宋" w:eastAsia="仿宋"/>
          <w:color w:val="auto"/>
          <w:sz w:val="24"/>
        </w:rPr>
      </w:pPr>
      <w:r>
        <w:rPr>
          <w:rFonts w:hint="eastAsia" w:ascii="仿宋" w:hAnsi="仿宋" w:eastAsia="仿宋"/>
          <w:color w:val="auto"/>
          <w:sz w:val="24"/>
        </w:rPr>
        <w:t>委托代理人无转委托权，特此委托。</w:t>
      </w:r>
    </w:p>
    <w:p w14:paraId="158A4BDF">
      <w:pPr>
        <w:spacing w:line="440" w:lineRule="exact"/>
        <w:ind w:firstLine="566" w:firstLineChars="236"/>
        <w:contextualSpacing/>
        <w:rPr>
          <w:rFonts w:ascii="仿宋" w:hAnsi="仿宋" w:eastAsia="仿宋"/>
          <w:color w:val="auto"/>
          <w:sz w:val="24"/>
        </w:rPr>
      </w:pPr>
      <w:r>
        <w:rPr>
          <w:rFonts w:hint="eastAsia" w:ascii="仿宋" w:hAnsi="仿宋" w:eastAsia="仿宋"/>
          <w:color w:val="auto"/>
          <w:sz w:val="24"/>
        </w:rPr>
        <w:t>附：牵头人法定代表人身份证明及委托代理人有效身份证正反面复印件</w:t>
      </w:r>
    </w:p>
    <w:p w14:paraId="13C2BECA">
      <w:pPr>
        <w:spacing w:line="440" w:lineRule="exact"/>
        <w:ind w:firstLine="566" w:firstLineChars="236"/>
        <w:contextualSpacing/>
        <w:rPr>
          <w:rFonts w:hint="eastAsia" w:ascii="仿宋" w:hAnsi="仿宋" w:eastAsia="仿宋"/>
          <w:color w:val="auto"/>
          <w:sz w:val="24"/>
        </w:rPr>
      </w:pPr>
    </w:p>
    <w:p w14:paraId="4EFBF058">
      <w:pPr>
        <w:spacing w:line="440" w:lineRule="exact"/>
        <w:ind w:firstLine="566" w:firstLineChars="236"/>
        <w:contextualSpacing/>
        <w:rPr>
          <w:rFonts w:hint="eastAsia" w:ascii="仿宋" w:hAnsi="仿宋" w:eastAsia="仿宋"/>
          <w:color w:val="auto"/>
          <w:sz w:val="24"/>
        </w:rPr>
      </w:pPr>
      <w:r>
        <w:rPr>
          <w:rFonts w:hint="eastAsia" w:ascii="仿宋" w:hAnsi="仿宋" w:eastAsia="仿宋"/>
          <w:color w:val="auto"/>
          <w:sz w:val="24"/>
        </w:rPr>
        <w:t>牵头人法定代表人（签字或者盖章）：</w:t>
      </w:r>
    </w:p>
    <w:p w14:paraId="6ACE1533">
      <w:pPr>
        <w:spacing w:line="440" w:lineRule="exact"/>
        <w:ind w:firstLine="566" w:firstLineChars="236"/>
        <w:contextualSpacing/>
        <w:rPr>
          <w:rFonts w:hint="eastAsia" w:ascii="仿宋" w:hAnsi="仿宋" w:eastAsia="仿宋"/>
          <w:color w:val="auto"/>
          <w:sz w:val="24"/>
        </w:rPr>
      </w:pPr>
      <w:r>
        <w:rPr>
          <w:rFonts w:hint="eastAsia" w:ascii="仿宋" w:hAnsi="仿宋" w:eastAsia="仿宋"/>
          <w:color w:val="auto"/>
          <w:sz w:val="24"/>
        </w:rPr>
        <w:t>牵头人（盖公章）：</w:t>
      </w:r>
    </w:p>
    <w:p w14:paraId="51994D54">
      <w:pPr>
        <w:spacing w:line="440" w:lineRule="exact"/>
        <w:ind w:firstLine="566" w:firstLineChars="236"/>
        <w:contextualSpacing/>
        <w:rPr>
          <w:rFonts w:hint="eastAsia" w:ascii="仿宋" w:hAnsi="仿宋" w:eastAsia="仿宋"/>
          <w:color w:val="auto"/>
          <w:sz w:val="24"/>
        </w:rPr>
      </w:pPr>
      <w:r>
        <w:rPr>
          <w:rFonts w:hint="eastAsia" w:ascii="仿宋" w:hAnsi="仿宋" w:eastAsia="仿宋"/>
          <w:color w:val="auto"/>
          <w:sz w:val="24"/>
        </w:rPr>
        <w:t>日期：    年   月   日</w:t>
      </w:r>
    </w:p>
    <w:p w14:paraId="6D681AE1">
      <w:pPr>
        <w:spacing w:line="440" w:lineRule="exact"/>
        <w:ind w:firstLine="566" w:firstLineChars="236"/>
        <w:contextualSpacing/>
        <w:rPr>
          <w:rFonts w:hint="eastAsia" w:ascii="仿宋" w:hAnsi="仿宋" w:eastAsia="仿宋"/>
          <w:color w:val="auto"/>
          <w:sz w:val="24"/>
        </w:rPr>
      </w:pPr>
    </w:p>
    <w:p w14:paraId="58305A77">
      <w:pPr>
        <w:spacing w:line="440" w:lineRule="exact"/>
        <w:ind w:firstLine="566" w:firstLineChars="236"/>
        <w:contextualSpacing/>
        <w:rPr>
          <w:rFonts w:hint="eastAsia" w:ascii="仿宋" w:hAnsi="仿宋" w:eastAsia="仿宋"/>
          <w:color w:val="auto"/>
          <w:sz w:val="24"/>
        </w:rPr>
      </w:pPr>
      <w:r>
        <w:rPr>
          <w:rFonts w:hint="eastAsia" w:ascii="仿宋" w:hAnsi="仿宋" w:eastAsia="仿宋"/>
          <w:color w:val="auto"/>
          <w:sz w:val="24"/>
        </w:rPr>
        <w:t>被授权人（签字</w:t>
      </w:r>
      <w:r>
        <w:rPr>
          <w:rFonts w:hint="eastAsia" w:ascii="仿宋" w:hAnsi="仿宋" w:eastAsia="仿宋" w:cs="仿宋_GB2312"/>
          <w:color w:val="auto"/>
          <w:sz w:val="24"/>
        </w:rPr>
        <w:t>或者盖章</w:t>
      </w:r>
      <w:r>
        <w:rPr>
          <w:rFonts w:hint="eastAsia" w:ascii="仿宋" w:hAnsi="仿宋" w:eastAsia="仿宋"/>
          <w:color w:val="auto"/>
          <w:sz w:val="24"/>
        </w:rPr>
        <w:t>）：</w:t>
      </w:r>
    </w:p>
    <w:p w14:paraId="63AFD9E7">
      <w:pPr>
        <w:spacing w:line="440" w:lineRule="exact"/>
        <w:ind w:firstLine="566" w:firstLineChars="236"/>
        <w:contextualSpacing/>
        <w:rPr>
          <w:rFonts w:hint="eastAsia" w:ascii="仿宋" w:hAnsi="仿宋" w:eastAsia="仿宋" w:cs="仿宋_GB2312"/>
          <w:color w:val="auto"/>
          <w:sz w:val="32"/>
          <w:szCs w:val="32"/>
        </w:rPr>
      </w:pPr>
      <w:r>
        <w:rPr>
          <w:rFonts w:hint="eastAsia" w:ascii="仿宋" w:hAnsi="仿宋" w:eastAsia="仿宋"/>
          <w:color w:val="auto"/>
          <w:sz w:val="24"/>
        </w:rPr>
        <w:t>日期：    年   月   日</w:t>
      </w:r>
    </w:p>
    <w:p w14:paraId="3391CBD9">
      <w:pPr>
        <w:spacing w:line="440" w:lineRule="exact"/>
        <w:contextualSpacing/>
        <w:rPr>
          <w:rFonts w:hint="eastAsia" w:ascii="仿宋" w:hAnsi="仿宋" w:eastAsia="仿宋" w:cs="仿宋_GB2312"/>
          <w:color w:val="auto"/>
          <w:sz w:val="24"/>
        </w:rPr>
      </w:pPr>
      <w:r>
        <w:rPr>
          <w:rFonts w:hint="eastAsia" w:ascii="仿宋" w:hAnsi="仿宋" w:eastAsia="仿宋" w:cs="仿宋_GB2312"/>
          <w:color w:val="auto"/>
          <w:sz w:val="24"/>
        </w:rPr>
        <w:t>注：1. 法定代表人必须在授权委托书上亲笔签字或者盖章，委托代理人必须在授权委托书上亲笔签字，</w:t>
      </w:r>
      <w:r>
        <w:rPr>
          <w:rFonts w:hint="eastAsia" w:ascii="仿宋" w:hAnsi="仿宋" w:eastAsia="仿宋" w:cs="仿宋_GB2312"/>
          <w:b/>
          <w:bCs/>
          <w:color w:val="auto"/>
          <w:sz w:val="24"/>
        </w:rPr>
        <w:t>否则按无效投标处理</w:t>
      </w:r>
      <w:r>
        <w:rPr>
          <w:rFonts w:hint="eastAsia" w:ascii="仿宋" w:hAnsi="仿宋" w:eastAsia="仿宋" w:cs="仿宋_GB2312"/>
          <w:color w:val="auto"/>
          <w:sz w:val="24"/>
        </w:rPr>
        <w:t>；</w:t>
      </w:r>
    </w:p>
    <w:p w14:paraId="57C2E04E">
      <w:pPr>
        <w:spacing w:line="440" w:lineRule="exact"/>
        <w:ind w:firstLine="480" w:firstLineChars="200"/>
        <w:contextualSpacing/>
        <w:jc w:val="left"/>
        <w:rPr>
          <w:rFonts w:ascii="仿宋" w:hAnsi="仿宋" w:eastAsia="仿宋" w:cs="仿宋_GB2312"/>
          <w:color w:val="auto"/>
          <w:sz w:val="24"/>
        </w:rPr>
      </w:pPr>
      <w:r>
        <w:rPr>
          <w:rFonts w:hint="eastAsia" w:ascii="仿宋" w:hAnsi="仿宋" w:eastAsia="仿宋" w:cs="仿宋_GB2312"/>
          <w:color w:val="auto"/>
          <w:sz w:val="24"/>
        </w:rPr>
        <w:t>2.本授权委托书应由联合体牵头人的法定代表人按上述规定签字。</w:t>
      </w:r>
    </w:p>
    <w:p w14:paraId="6B524468">
      <w:pPr>
        <w:spacing w:line="440" w:lineRule="exact"/>
        <w:ind w:firstLine="480" w:firstLineChars="200"/>
        <w:contextualSpacing/>
        <w:jc w:val="left"/>
        <w:rPr>
          <w:rFonts w:hint="eastAsia" w:ascii="仿宋" w:hAnsi="仿宋" w:eastAsia="仿宋"/>
          <w:color w:val="auto"/>
          <w:sz w:val="24"/>
        </w:rPr>
      </w:pPr>
      <w:r>
        <w:rPr>
          <w:rFonts w:hint="eastAsia" w:ascii="仿宋" w:hAnsi="仿宋" w:eastAsia="仿宋" w:cs="仿宋_GB2312"/>
          <w:color w:val="auto"/>
          <w:sz w:val="24"/>
        </w:rPr>
        <w:t>3</w:t>
      </w:r>
      <w:r>
        <w:rPr>
          <w:rFonts w:ascii="仿宋" w:hAnsi="仿宋" w:eastAsia="仿宋" w:cs="仿宋_GB2312"/>
          <w:color w:val="auto"/>
          <w:sz w:val="24"/>
        </w:rPr>
        <w:t>.</w:t>
      </w:r>
      <w:r>
        <w:rPr>
          <w:rFonts w:hint="eastAsia" w:ascii="仿宋" w:hAnsi="仿宋" w:eastAsia="仿宋" w:cs="仿宋_GB2312"/>
          <w:color w:val="auto"/>
          <w:sz w:val="24"/>
        </w:rPr>
        <w:t>法人、其他组织投标时“我方”是指“我单位”，自然人投标时“我方”是指“本人”。</w:t>
      </w:r>
    </w:p>
    <w:p w14:paraId="6F0EA624">
      <w:pPr>
        <w:snapToGrid w:val="0"/>
        <w:spacing w:before="50" w:afterLines="50"/>
        <w:ind w:firstLine="480" w:firstLineChars="200"/>
        <w:jc w:val="left"/>
        <w:rPr>
          <w:rFonts w:hint="eastAsia" w:ascii="仿宋" w:hAnsi="仿宋" w:eastAsia="仿宋"/>
          <w:color w:val="auto"/>
          <w:sz w:val="24"/>
        </w:rPr>
        <w:sectPr>
          <w:footerReference r:id="rId8" w:type="first"/>
          <w:headerReference r:id="rId6" w:type="default"/>
          <w:footerReference r:id="rId7" w:type="default"/>
          <w:pgSz w:w="11906" w:h="16838"/>
          <w:pgMar w:top="1134" w:right="991" w:bottom="1134" w:left="1134" w:header="851" w:footer="567" w:gutter="0"/>
          <w:cols w:space="720" w:num="1"/>
          <w:titlePg/>
          <w:docGrid w:linePitch="312" w:charSpace="0"/>
        </w:sectPr>
      </w:pPr>
    </w:p>
    <w:p w14:paraId="210D1FAD">
      <w:pPr>
        <w:rPr>
          <w:rFonts w:hint="eastAsia" w:ascii="仿宋" w:hAnsi="仿宋" w:eastAsia="仿宋"/>
          <w:color w:val="auto"/>
          <w:sz w:val="24"/>
        </w:rPr>
      </w:pPr>
    </w:p>
    <w:p w14:paraId="7A6EDB85">
      <w:pPr>
        <w:rPr>
          <w:rFonts w:hint="eastAsia" w:ascii="仿宋" w:hAnsi="仿宋" w:eastAsia="仿宋"/>
          <w:b/>
          <w:color w:val="auto"/>
          <w:sz w:val="24"/>
          <w:szCs w:val="20"/>
        </w:rPr>
      </w:pPr>
      <w:r>
        <w:rPr>
          <w:rFonts w:hint="eastAsia" w:ascii="仿宋" w:hAnsi="仿宋" w:eastAsia="仿宋"/>
          <w:b/>
          <w:color w:val="auto"/>
          <w:sz w:val="24"/>
        </w:rPr>
        <w:t>6.商务要求偏离表格式（注：按项目需求表具体项目修改）</w:t>
      </w:r>
    </w:p>
    <w:p w14:paraId="482F6FE1">
      <w:pPr>
        <w:snapToGrid w:val="0"/>
        <w:spacing w:before="50"/>
        <w:jc w:val="left"/>
        <w:rPr>
          <w:rFonts w:hint="eastAsia" w:ascii="仿宋" w:hAnsi="仿宋" w:eastAsia="仿宋"/>
          <w:color w:val="auto"/>
          <w:sz w:val="24"/>
        </w:rPr>
      </w:pPr>
    </w:p>
    <w:p w14:paraId="151E4FE8">
      <w:pPr>
        <w:pStyle w:val="24"/>
        <w:rPr>
          <w:rFonts w:hint="eastAsia" w:ascii="仿宋" w:hAnsi="仿宋" w:eastAsia="仿宋"/>
          <w:color w:val="auto"/>
          <w:sz w:val="24"/>
          <w:szCs w:val="24"/>
        </w:rPr>
      </w:pPr>
      <w:r>
        <w:rPr>
          <w:rFonts w:hint="eastAsia" w:ascii="仿宋" w:hAnsi="仿宋" w:eastAsia="仿宋"/>
          <w:color w:val="auto"/>
          <w:sz w:val="24"/>
          <w:szCs w:val="24"/>
        </w:rPr>
        <w:t>所投分标：</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分标</w:t>
      </w:r>
    </w:p>
    <w:p w14:paraId="6151193F">
      <w:pPr>
        <w:snapToGrid w:val="0"/>
        <w:spacing w:before="50"/>
        <w:jc w:val="left"/>
        <w:rPr>
          <w:rFonts w:hint="eastAsia" w:ascii="仿宋" w:hAnsi="仿宋" w:eastAsia="仿宋"/>
          <w:color w:val="auto"/>
          <w:sz w:val="24"/>
          <w:u w:val="single"/>
        </w:rPr>
      </w:pPr>
    </w:p>
    <w:tbl>
      <w:tblPr>
        <w:tblStyle w:val="4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2686"/>
        <w:gridCol w:w="2410"/>
        <w:gridCol w:w="2035"/>
      </w:tblGrid>
      <w:tr w14:paraId="6624D3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1510" w:type="dxa"/>
            <w:tcBorders>
              <w:top w:val="single" w:color="auto" w:sz="4" w:space="0"/>
              <w:left w:val="single" w:color="auto" w:sz="4" w:space="0"/>
              <w:bottom w:val="single" w:color="auto" w:sz="4" w:space="0"/>
              <w:right w:val="single" w:color="auto" w:sz="4" w:space="0"/>
            </w:tcBorders>
          </w:tcPr>
          <w:p w14:paraId="5ABF0A82">
            <w:pPr>
              <w:snapToGrid w:val="0"/>
              <w:spacing w:beforeLines="50"/>
              <w:jc w:val="center"/>
              <w:rPr>
                <w:rFonts w:hint="eastAsia" w:ascii="仿宋" w:hAnsi="仿宋" w:eastAsia="仿宋"/>
                <w:color w:val="auto"/>
                <w:sz w:val="24"/>
              </w:rPr>
            </w:pPr>
            <w:r>
              <w:rPr>
                <w:rFonts w:hint="eastAsia" w:ascii="仿宋" w:hAnsi="仿宋" w:eastAsia="仿宋"/>
                <w:color w:val="auto"/>
                <w:sz w:val="24"/>
              </w:rPr>
              <w:t>项目内容</w:t>
            </w:r>
          </w:p>
        </w:tc>
        <w:tc>
          <w:tcPr>
            <w:tcW w:w="2686" w:type="dxa"/>
            <w:tcBorders>
              <w:top w:val="single" w:color="auto" w:sz="4" w:space="0"/>
              <w:left w:val="single" w:color="auto" w:sz="4" w:space="0"/>
              <w:bottom w:val="single" w:color="auto" w:sz="4" w:space="0"/>
              <w:right w:val="single" w:color="auto" w:sz="4" w:space="0"/>
            </w:tcBorders>
          </w:tcPr>
          <w:p w14:paraId="1A5EF221">
            <w:pPr>
              <w:snapToGrid w:val="0"/>
              <w:spacing w:beforeLines="50"/>
              <w:jc w:val="center"/>
              <w:rPr>
                <w:rFonts w:hint="eastAsia" w:ascii="仿宋" w:hAnsi="仿宋" w:eastAsia="仿宋"/>
                <w:color w:val="auto"/>
                <w:sz w:val="24"/>
              </w:rPr>
            </w:pPr>
            <w:r>
              <w:rPr>
                <w:rFonts w:hint="eastAsia" w:ascii="仿宋" w:hAnsi="仿宋" w:eastAsia="仿宋"/>
                <w:color w:val="auto"/>
                <w:sz w:val="24"/>
              </w:rPr>
              <w:t>招标文件商务要求</w:t>
            </w:r>
          </w:p>
        </w:tc>
        <w:tc>
          <w:tcPr>
            <w:tcW w:w="2410" w:type="dxa"/>
            <w:tcBorders>
              <w:top w:val="single" w:color="auto" w:sz="4" w:space="0"/>
              <w:left w:val="single" w:color="auto" w:sz="4" w:space="0"/>
              <w:bottom w:val="single" w:color="auto" w:sz="4" w:space="0"/>
              <w:right w:val="single" w:color="auto" w:sz="4" w:space="0"/>
            </w:tcBorders>
          </w:tcPr>
          <w:p w14:paraId="66EB429A">
            <w:pPr>
              <w:snapToGrid w:val="0"/>
              <w:spacing w:beforeLines="50"/>
              <w:jc w:val="center"/>
              <w:rPr>
                <w:rFonts w:hint="eastAsia" w:ascii="仿宋" w:hAnsi="仿宋" w:eastAsia="仿宋"/>
                <w:color w:val="auto"/>
                <w:sz w:val="24"/>
              </w:rPr>
            </w:pPr>
            <w:r>
              <w:rPr>
                <w:rFonts w:hint="eastAsia" w:ascii="仿宋" w:hAnsi="仿宋" w:eastAsia="仿宋"/>
                <w:color w:val="auto"/>
                <w:sz w:val="24"/>
              </w:rPr>
              <w:t>投标人的承诺</w:t>
            </w:r>
          </w:p>
        </w:tc>
        <w:tc>
          <w:tcPr>
            <w:tcW w:w="2035" w:type="dxa"/>
            <w:tcBorders>
              <w:top w:val="single" w:color="auto" w:sz="4" w:space="0"/>
              <w:left w:val="single" w:color="auto" w:sz="4" w:space="0"/>
              <w:bottom w:val="single" w:color="auto" w:sz="4" w:space="0"/>
              <w:right w:val="single" w:color="auto" w:sz="4" w:space="0"/>
            </w:tcBorders>
          </w:tcPr>
          <w:p w14:paraId="1F7822C3">
            <w:pPr>
              <w:snapToGrid w:val="0"/>
              <w:spacing w:beforeLines="50"/>
              <w:jc w:val="center"/>
              <w:rPr>
                <w:rFonts w:hint="eastAsia" w:ascii="仿宋" w:hAnsi="仿宋" w:eastAsia="仿宋"/>
                <w:color w:val="auto"/>
                <w:sz w:val="24"/>
              </w:rPr>
            </w:pPr>
            <w:r>
              <w:rPr>
                <w:rFonts w:hint="eastAsia" w:ascii="仿宋" w:hAnsi="仿宋" w:eastAsia="仿宋"/>
                <w:color w:val="auto"/>
                <w:sz w:val="24"/>
              </w:rPr>
              <w:t>偏离说明</w:t>
            </w:r>
          </w:p>
        </w:tc>
      </w:tr>
      <w:tr w14:paraId="7EB370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14:paraId="686343B0">
            <w:pPr>
              <w:jc w:val="center"/>
              <w:rPr>
                <w:rFonts w:ascii="仿宋" w:hAnsi="仿宋" w:eastAsia="仿宋"/>
                <w:color w:val="auto"/>
                <w:sz w:val="24"/>
              </w:rPr>
            </w:pPr>
          </w:p>
        </w:tc>
        <w:tc>
          <w:tcPr>
            <w:tcW w:w="2686" w:type="dxa"/>
            <w:tcBorders>
              <w:top w:val="single" w:color="auto" w:sz="4" w:space="0"/>
              <w:left w:val="single" w:color="auto" w:sz="4" w:space="0"/>
              <w:bottom w:val="single" w:color="auto" w:sz="4" w:space="0"/>
              <w:right w:val="single" w:color="auto" w:sz="4" w:space="0"/>
            </w:tcBorders>
          </w:tcPr>
          <w:p w14:paraId="691331C2">
            <w:pPr>
              <w:snapToGrid w:val="0"/>
              <w:spacing w:beforeLines="50"/>
              <w:jc w:val="center"/>
              <w:rPr>
                <w:rFonts w:hint="eastAsia" w:ascii="仿宋" w:hAnsi="仿宋" w:eastAsia="仿宋"/>
                <w:color w:val="auto"/>
                <w:sz w:val="24"/>
              </w:rPr>
            </w:pPr>
          </w:p>
        </w:tc>
        <w:tc>
          <w:tcPr>
            <w:tcW w:w="2410" w:type="dxa"/>
            <w:tcBorders>
              <w:top w:val="single" w:color="auto" w:sz="4" w:space="0"/>
              <w:left w:val="single" w:color="auto" w:sz="4" w:space="0"/>
              <w:bottom w:val="single" w:color="auto" w:sz="4" w:space="0"/>
              <w:right w:val="single" w:color="auto" w:sz="4" w:space="0"/>
            </w:tcBorders>
          </w:tcPr>
          <w:p w14:paraId="01CA0A37">
            <w:pPr>
              <w:snapToGrid w:val="0"/>
              <w:spacing w:beforeLines="50"/>
              <w:jc w:val="center"/>
              <w:rPr>
                <w:rFonts w:hint="eastAsia" w:ascii="仿宋" w:hAnsi="仿宋" w:eastAsia="仿宋"/>
                <w:color w:val="auto"/>
                <w:sz w:val="24"/>
              </w:rPr>
            </w:pPr>
          </w:p>
        </w:tc>
        <w:tc>
          <w:tcPr>
            <w:tcW w:w="2035" w:type="dxa"/>
            <w:tcBorders>
              <w:top w:val="single" w:color="auto" w:sz="4" w:space="0"/>
              <w:left w:val="single" w:color="auto" w:sz="4" w:space="0"/>
              <w:bottom w:val="single" w:color="auto" w:sz="4" w:space="0"/>
              <w:right w:val="single" w:color="auto" w:sz="4" w:space="0"/>
            </w:tcBorders>
          </w:tcPr>
          <w:p w14:paraId="4ABEA798">
            <w:pPr>
              <w:snapToGrid w:val="0"/>
              <w:spacing w:beforeLines="50"/>
              <w:jc w:val="center"/>
              <w:rPr>
                <w:rFonts w:hint="eastAsia" w:ascii="仿宋" w:hAnsi="仿宋" w:eastAsia="仿宋"/>
                <w:color w:val="auto"/>
                <w:sz w:val="24"/>
              </w:rPr>
            </w:pPr>
          </w:p>
        </w:tc>
      </w:tr>
      <w:tr w14:paraId="29B29A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14:paraId="347F2356">
            <w:pPr>
              <w:jc w:val="center"/>
              <w:rPr>
                <w:rFonts w:ascii="仿宋" w:hAnsi="仿宋" w:eastAsia="仿宋"/>
                <w:color w:val="auto"/>
                <w:sz w:val="24"/>
              </w:rPr>
            </w:pPr>
          </w:p>
        </w:tc>
        <w:tc>
          <w:tcPr>
            <w:tcW w:w="2686" w:type="dxa"/>
            <w:tcBorders>
              <w:top w:val="single" w:color="auto" w:sz="4" w:space="0"/>
              <w:left w:val="single" w:color="auto" w:sz="4" w:space="0"/>
              <w:bottom w:val="single" w:color="auto" w:sz="4" w:space="0"/>
              <w:right w:val="single" w:color="auto" w:sz="4" w:space="0"/>
            </w:tcBorders>
          </w:tcPr>
          <w:p w14:paraId="20C82D34">
            <w:pPr>
              <w:snapToGrid w:val="0"/>
              <w:spacing w:beforeLines="50"/>
              <w:rPr>
                <w:rFonts w:hint="eastAsia" w:ascii="仿宋" w:hAnsi="仿宋" w:eastAsia="仿宋"/>
                <w:color w:val="auto"/>
                <w:sz w:val="24"/>
                <w:u w:val="single"/>
              </w:rPr>
            </w:pPr>
          </w:p>
        </w:tc>
        <w:tc>
          <w:tcPr>
            <w:tcW w:w="2410" w:type="dxa"/>
            <w:tcBorders>
              <w:top w:val="single" w:color="auto" w:sz="4" w:space="0"/>
              <w:left w:val="single" w:color="auto" w:sz="4" w:space="0"/>
              <w:bottom w:val="single" w:color="auto" w:sz="4" w:space="0"/>
              <w:right w:val="single" w:color="auto" w:sz="4" w:space="0"/>
            </w:tcBorders>
          </w:tcPr>
          <w:p w14:paraId="7A680526">
            <w:pPr>
              <w:snapToGrid w:val="0"/>
              <w:spacing w:beforeLines="50"/>
              <w:ind w:left="43"/>
              <w:jc w:val="center"/>
              <w:rPr>
                <w:rFonts w:hint="eastAsia" w:ascii="仿宋" w:hAnsi="仿宋" w:eastAsia="仿宋"/>
                <w:color w:val="auto"/>
                <w:sz w:val="24"/>
              </w:rPr>
            </w:pPr>
          </w:p>
        </w:tc>
        <w:tc>
          <w:tcPr>
            <w:tcW w:w="2035" w:type="dxa"/>
            <w:tcBorders>
              <w:top w:val="single" w:color="auto" w:sz="4" w:space="0"/>
              <w:left w:val="single" w:color="auto" w:sz="4" w:space="0"/>
              <w:bottom w:val="single" w:color="auto" w:sz="4" w:space="0"/>
              <w:right w:val="single" w:color="auto" w:sz="4" w:space="0"/>
            </w:tcBorders>
          </w:tcPr>
          <w:p w14:paraId="2F0271BE">
            <w:pPr>
              <w:snapToGrid w:val="0"/>
              <w:spacing w:beforeLines="50"/>
              <w:ind w:left="43"/>
              <w:jc w:val="center"/>
              <w:rPr>
                <w:rFonts w:hint="eastAsia" w:ascii="仿宋" w:hAnsi="仿宋" w:eastAsia="仿宋"/>
                <w:color w:val="auto"/>
                <w:sz w:val="24"/>
              </w:rPr>
            </w:pPr>
          </w:p>
        </w:tc>
      </w:tr>
      <w:tr w14:paraId="5B239C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510" w:type="dxa"/>
            <w:tcBorders>
              <w:top w:val="single" w:color="auto" w:sz="4" w:space="0"/>
              <w:left w:val="single" w:color="auto" w:sz="4" w:space="0"/>
              <w:bottom w:val="single" w:color="auto" w:sz="4" w:space="0"/>
              <w:right w:val="single" w:color="auto" w:sz="4" w:space="0"/>
            </w:tcBorders>
          </w:tcPr>
          <w:p w14:paraId="2E4070B5">
            <w:pPr>
              <w:snapToGrid w:val="0"/>
              <w:spacing w:beforeLines="50"/>
              <w:jc w:val="center"/>
              <w:rPr>
                <w:rFonts w:hint="eastAsia" w:ascii="仿宋" w:hAnsi="仿宋" w:eastAsia="仿宋"/>
                <w:color w:val="auto"/>
                <w:sz w:val="24"/>
              </w:rPr>
            </w:pPr>
          </w:p>
        </w:tc>
        <w:tc>
          <w:tcPr>
            <w:tcW w:w="2686" w:type="dxa"/>
            <w:tcBorders>
              <w:top w:val="single" w:color="auto" w:sz="4" w:space="0"/>
              <w:left w:val="single" w:color="auto" w:sz="4" w:space="0"/>
              <w:bottom w:val="single" w:color="auto" w:sz="4" w:space="0"/>
              <w:right w:val="single" w:color="auto" w:sz="4" w:space="0"/>
            </w:tcBorders>
          </w:tcPr>
          <w:p w14:paraId="44DE7721">
            <w:pPr>
              <w:snapToGrid w:val="0"/>
              <w:spacing w:beforeLines="50"/>
              <w:jc w:val="center"/>
              <w:rPr>
                <w:rFonts w:hint="eastAsia" w:ascii="仿宋" w:hAnsi="仿宋" w:eastAsia="仿宋"/>
                <w:color w:val="auto"/>
                <w:sz w:val="24"/>
              </w:rPr>
            </w:pPr>
          </w:p>
        </w:tc>
        <w:tc>
          <w:tcPr>
            <w:tcW w:w="2410" w:type="dxa"/>
            <w:tcBorders>
              <w:top w:val="single" w:color="auto" w:sz="4" w:space="0"/>
              <w:left w:val="single" w:color="auto" w:sz="4" w:space="0"/>
              <w:bottom w:val="single" w:color="auto" w:sz="4" w:space="0"/>
              <w:right w:val="single" w:color="auto" w:sz="4" w:space="0"/>
            </w:tcBorders>
          </w:tcPr>
          <w:p w14:paraId="64136402">
            <w:pPr>
              <w:snapToGrid w:val="0"/>
              <w:spacing w:beforeLines="50"/>
              <w:jc w:val="center"/>
              <w:rPr>
                <w:rFonts w:hint="eastAsia" w:ascii="仿宋" w:hAnsi="仿宋" w:eastAsia="仿宋"/>
                <w:color w:val="auto"/>
                <w:sz w:val="24"/>
              </w:rPr>
            </w:pPr>
          </w:p>
        </w:tc>
        <w:tc>
          <w:tcPr>
            <w:tcW w:w="2035" w:type="dxa"/>
            <w:tcBorders>
              <w:top w:val="single" w:color="auto" w:sz="4" w:space="0"/>
              <w:left w:val="single" w:color="auto" w:sz="4" w:space="0"/>
              <w:bottom w:val="single" w:color="auto" w:sz="4" w:space="0"/>
              <w:right w:val="single" w:color="auto" w:sz="4" w:space="0"/>
            </w:tcBorders>
          </w:tcPr>
          <w:p w14:paraId="3304A740">
            <w:pPr>
              <w:snapToGrid w:val="0"/>
              <w:spacing w:beforeLines="50"/>
              <w:jc w:val="center"/>
              <w:rPr>
                <w:rFonts w:hint="eastAsia" w:ascii="仿宋" w:hAnsi="仿宋" w:eastAsia="仿宋"/>
                <w:color w:val="auto"/>
                <w:sz w:val="24"/>
              </w:rPr>
            </w:pPr>
          </w:p>
        </w:tc>
      </w:tr>
    </w:tbl>
    <w:p w14:paraId="0AAB286E">
      <w:pPr>
        <w:pStyle w:val="17"/>
        <w:rPr>
          <w:rFonts w:hint="eastAsia" w:ascii="仿宋" w:hAnsi="仿宋" w:eastAsia="仿宋"/>
          <w:color w:val="auto"/>
        </w:rPr>
      </w:pPr>
      <w:r>
        <w:rPr>
          <w:rFonts w:hint="eastAsia" w:ascii="仿宋" w:hAnsi="仿宋" w:eastAsia="仿宋"/>
          <w:color w:val="auto"/>
        </w:rPr>
        <w:t>注：</w:t>
      </w:r>
    </w:p>
    <w:p w14:paraId="437E9CD2">
      <w:pPr>
        <w:pStyle w:val="19"/>
        <w:spacing w:line="520" w:lineRule="exact"/>
        <w:ind w:firstLine="0" w:firstLineChars="0"/>
        <w:rPr>
          <w:rFonts w:hint="eastAsia" w:ascii="仿宋" w:hAnsi="仿宋" w:eastAsia="仿宋" w:cs="仿宋_GB2312"/>
          <w:color w:val="auto"/>
          <w:szCs w:val="32"/>
        </w:rPr>
      </w:pPr>
      <w:r>
        <w:rPr>
          <w:rFonts w:hint="eastAsia" w:ascii="仿宋" w:hAnsi="仿宋" w:eastAsia="仿宋"/>
          <w:color w:val="auto"/>
          <w:sz w:val="24"/>
          <w:szCs w:val="24"/>
        </w:rPr>
        <w:t>1.</w:t>
      </w:r>
      <w:r>
        <w:rPr>
          <w:rFonts w:hint="eastAsia" w:ascii="仿宋" w:hAnsi="仿宋" w:eastAsia="仿宋"/>
          <w:color w:val="auto"/>
        </w:rPr>
        <w:t xml:space="preserve"> </w:t>
      </w:r>
      <w:r>
        <w:rPr>
          <w:rFonts w:hint="eastAsia" w:ascii="仿宋" w:hAnsi="仿宋" w:eastAsia="仿宋"/>
          <w:color w:val="auto"/>
          <w:sz w:val="24"/>
          <w:szCs w:val="24"/>
        </w:rPr>
        <w:t>说明：应对照招标文件“第二章 采购需求”中的商务要求逐条作明确的投标响应，并作出偏离说明。</w:t>
      </w:r>
    </w:p>
    <w:p w14:paraId="511F7537">
      <w:pPr>
        <w:pStyle w:val="17"/>
        <w:rPr>
          <w:rFonts w:ascii="仿宋" w:hAnsi="仿宋" w:eastAsia="仿宋"/>
          <w:b w:val="0"/>
          <w:bCs w:val="0"/>
          <w:color w:val="auto"/>
        </w:rPr>
      </w:pPr>
      <w:r>
        <w:rPr>
          <w:rFonts w:ascii="仿宋" w:hAnsi="仿宋" w:eastAsia="仿宋"/>
          <w:b w:val="0"/>
          <w:bCs w:val="0"/>
          <w:color w:val="auto"/>
        </w:rPr>
        <w:t>2.</w:t>
      </w:r>
      <w:r>
        <w:rPr>
          <w:rFonts w:hint="eastAsia" w:ascii="仿宋" w:hAnsi="仿宋" w:eastAsia="仿宋"/>
          <w:b w:val="0"/>
          <w:bCs w:val="0"/>
          <w:color w:val="auto"/>
        </w:rPr>
        <w:t>投标人应根据自身的承诺，对照招标文件要求在“偏离说明”中注明“</w:t>
      </w:r>
      <w:r>
        <w:rPr>
          <w:rFonts w:hint="eastAsia" w:ascii="仿宋" w:hAnsi="仿宋" w:eastAsia="仿宋"/>
          <w:color w:val="auto"/>
        </w:rPr>
        <w:t>正偏离</w:t>
      </w:r>
      <w:r>
        <w:rPr>
          <w:rFonts w:hint="eastAsia" w:ascii="仿宋" w:hAnsi="仿宋" w:eastAsia="仿宋"/>
          <w:b w:val="0"/>
          <w:bCs w:val="0"/>
          <w:color w:val="auto"/>
        </w:rPr>
        <w:t>”、“</w:t>
      </w:r>
      <w:r>
        <w:rPr>
          <w:rFonts w:hint="eastAsia" w:ascii="仿宋" w:hAnsi="仿宋" w:eastAsia="仿宋"/>
          <w:color w:val="auto"/>
        </w:rPr>
        <w:t>负偏离</w:t>
      </w:r>
      <w:r>
        <w:rPr>
          <w:rFonts w:hint="eastAsia" w:ascii="仿宋" w:hAnsi="仿宋" w:eastAsia="仿宋"/>
          <w:b w:val="0"/>
          <w:bCs w:val="0"/>
          <w:color w:val="auto"/>
        </w:rPr>
        <w:t>”或者“</w:t>
      </w:r>
      <w:r>
        <w:rPr>
          <w:rFonts w:hint="eastAsia" w:ascii="仿宋" w:hAnsi="仿宋" w:eastAsia="仿宋"/>
          <w:color w:val="auto"/>
        </w:rPr>
        <w:t>无偏离</w:t>
      </w:r>
      <w:r>
        <w:rPr>
          <w:rFonts w:hint="eastAsia" w:ascii="仿宋" w:hAnsi="仿宋" w:eastAsia="仿宋"/>
          <w:b w:val="0"/>
          <w:bCs w:val="0"/>
          <w:color w:val="auto"/>
        </w:rPr>
        <w:t>”。既不属于“</w:t>
      </w:r>
      <w:r>
        <w:rPr>
          <w:rFonts w:hint="eastAsia" w:ascii="仿宋" w:hAnsi="仿宋" w:eastAsia="仿宋"/>
          <w:color w:val="auto"/>
        </w:rPr>
        <w:t>正偏离</w:t>
      </w:r>
      <w:r>
        <w:rPr>
          <w:rFonts w:hint="eastAsia" w:ascii="仿宋" w:hAnsi="仿宋" w:eastAsia="仿宋"/>
          <w:b w:val="0"/>
          <w:bCs w:val="0"/>
          <w:color w:val="auto"/>
        </w:rPr>
        <w:t>”也不属于“</w:t>
      </w:r>
      <w:r>
        <w:rPr>
          <w:rFonts w:hint="eastAsia" w:ascii="仿宋" w:hAnsi="仿宋" w:eastAsia="仿宋"/>
          <w:color w:val="auto"/>
        </w:rPr>
        <w:t>负偏离</w:t>
      </w:r>
      <w:r>
        <w:rPr>
          <w:rFonts w:hint="eastAsia" w:ascii="仿宋" w:hAnsi="仿宋" w:eastAsia="仿宋"/>
          <w:b w:val="0"/>
          <w:bCs w:val="0"/>
          <w:color w:val="auto"/>
        </w:rPr>
        <w:t>”即为“</w:t>
      </w:r>
      <w:r>
        <w:rPr>
          <w:rFonts w:hint="eastAsia" w:ascii="仿宋" w:hAnsi="仿宋" w:eastAsia="仿宋"/>
          <w:color w:val="auto"/>
        </w:rPr>
        <w:t>无偏离</w:t>
      </w:r>
      <w:r>
        <w:rPr>
          <w:rFonts w:hint="eastAsia" w:ascii="仿宋" w:hAnsi="仿宋" w:eastAsia="仿宋"/>
          <w:b w:val="0"/>
          <w:bCs w:val="0"/>
          <w:color w:val="auto"/>
        </w:rPr>
        <w:t>”。</w:t>
      </w:r>
    </w:p>
    <w:p w14:paraId="4F6AF74B">
      <w:pPr>
        <w:snapToGrid w:val="0"/>
        <w:spacing w:before="50" w:after="50"/>
        <w:rPr>
          <w:rFonts w:ascii="仿宋" w:hAnsi="仿宋" w:eastAsia="仿宋"/>
          <w:color w:val="auto"/>
          <w:sz w:val="24"/>
        </w:rPr>
      </w:pPr>
    </w:p>
    <w:p w14:paraId="169F1BE1">
      <w:pPr>
        <w:snapToGrid w:val="0"/>
        <w:spacing w:before="50" w:after="50"/>
        <w:rPr>
          <w:rFonts w:hint="eastAsia" w:ascii="仿宋" w:hAnsi="仿宋" w:eastAsia="仿宋"/>
          <w:color w:val="auto"/>
          <w:spacing w:val="20"/>
          <w:sz w:val="24"/>
          <w:u w:val="single"/>
        </w:rPr>
      </w:pPr>
      <w:r>
        <w:rPr>
          <w:rFonts w:hint="eastAsia" w:ascii="仿宋" w:hAnsi="仿宋" w:eastAsia="仿宋"/>
          <w:color w:val="auto"/>
          <w:sz w:val="24"/>
        </w:rPr>
        <w:t>法定代表人或者委托代理人</w:t>
      </w:r>
      <w:r>
        <w:rPr>
          <w:rFonts w:hint="eastAsia" w:ascii="仿宋" w:hAnsi="仿宋" w:eastAsia="仿宋"/>
          <w:color w:val="auto"/>
          <w:spacing w:val="20"/>
          <w:sz w:val="24"/>
        </w:rPr>
        <w:t>（签字或者盖章）：</w:t>
      </w:r>
      <w:r>
        <w:rPr>
          <w:rFonts w:hint="eastAsia" w:ascii="仿宋" w:hAnsi="仿宋" w:eastAsia="仿宋"/>
          <w:color w:val="auto"/>
          <w:spacing w:val="20"/>
          <w:sz w:val="24"/>
          <w:u w:val="single"/>
        </w:rPr>
        <w:t xml:space="preserve">        </w:t>
      </w:r>
    </w:p>
    <w:p w14:paraId="60FDD902">
      <w:pPr>
        <w:snapToGrid w:val="0"/>
        <w:spacing w:beforeLines="50"/>
        <w:rPr>
          <w:rFonts w:hint="eastAsia" w:ascii="仿宋" w:hAnsi="仿宋" w:eastAsia="仿宋"/>
          <w:color w:val="auto"/>
          <w:spacing w:val="20"/>
          <w:sz w:val="24"/>
        </w:rPr>
      </w:pPr>
      <w:r>
        <w:rPr>
          <w:rFonts w:hint="eastAsia" w:ascii="仿宋" w:hAnsi="仿宋" w:eastAsia="仿宋"/>
          <w:color w:val="auto"/>
          <w:spacing w:val="20"/>
          <w:sz w:val="24"/>
        </w:rPr>
        <w:t>投标人盖公章：</w:t>
      </w:r>
      <w:r>
        <w:rPr>
          <w:rFonts w:hint="eastAsia" w:ascii="仿宋" w:hAnsi="仿宋" w:eastAsia="仿宋"/>
          <w:color w:val="auto"/>
          <w:spacing w:val="20"/>
          <w:sz w:val="24"/>
          <w:u w:val="single"/>
        </w:rPr>
        <w:t xml:space="preserve">            </w:t>
      </w:r>
      <w:r>
        <w:rPr>
          <w:rFonts w:hint="eastAsia" w:ascii="仿宋" w:hAnsi="仿宋" w:eastAsia="仿宋"/>
          <w:color w:val="auto"/>
          <w:spacing w:val="20"/>
          <w:sz w:val="24"/>
        </w:rPr>
        <w:t xml:space="preserve">   </w:t>
      </w:r>
    </w:p>
    <w:p w14:paraId="2DEC6FBB">
      <w:pPr>
        <w:snapToGrid w:val="0"/>
        <w:spacing w:beforeLines="50"/>
        <w:rPr>
          <w:rFonts w:hint="eastAsia" w:ascii="仿宋" w:hAnsi="仿宋" w:eastAsia="仿宋"/>
          <w:color w:val="auto"/>
          <w:sz w:val="24"/>
          <w:szCs w:val="20"/>
        </w:rPr>
      </w:pPr>
      <w:r>
        <w:rPr>
          <w:rFonts w:hint="eastAsia" w:ascii="仿宋" w:hAnsi="仿宋" w:eastAsia="仿宋"/>
          <w:color w:val="auto"/>
          <w:spacing w:val="20"/>
          <w:sz w:val="24"/>
        </w:rPr>
        <w:t>日  期：</w:t>
      </w:r>
      <w:r>
        <w:rPr>
          <w:rFonts w:hint="eastAsia" w:ascii="仿宋" w:hAnsi="仿宋" w:eastAsia="仿宋"/>
          <w:color w:val="auto"/>
          <w:spacing w:val="20"/>
          <w:sz w:val="24"/>
          <w:u w:val="single"/>
        </w:rPr>
        <w:t xml:space="preserve">         </w:t>
      </w:r>
    </w:p>
    <w:p w14:paraId="790881A0">
      <w:pPr>
        <w:snapToGrid w:val="0"/>
        <w:spacing w:beforeLines="50"/>
        <w:rPr>
          <w:rFonts w:hint="eastAsia" w:ascii="仿宋" w:hAnsi="仿宋" w:eastAsia="仿宋"/>
          <w:color w:val="auto"/>
          <w:sz w:val="24"/>
          <w:szCs w:val="20"/>
        </w:rPr>
      </w:pPr>
    </w:p>
    <w:p w14:paraId="5BCD28D2">
      <w:pPr>
        <w:snapToGrid w:val="0"/>
        <w:spacing w:beforeLines="50" w:after="50"/>
        <w:jc w:val="left"/>
        <w:rPr>
          <w:rFonts w:ascii="仿宋" w:hAnsi="仿宋" w:eastAsia="仿宋"/>
          <w:color w:val="auto"/>
          <w:sz w:val="24"/>
          <w:szCs w:val="20"/>
        </w:rPr>
      </w:pPr>
    </w:p>
    <w:p w14:paraId="3E4DE00C">
      <w:pPr>
        <w:snapToGrid w:val="0"/>
        <w:spacing w:beforeLines="50" w:after="50"/>
        <w:jc w:val="left"/>
        <w:rPr>
          <w:rFonts w:hint="eastAsia" w:ascii="仿宋" w:hAnsi="仿宋" w:eastAsia="仿宋"/>
          <w:b/>
          <w:color w:val="auto"/>
          <w:sz w:val="24"/>
          <w:lang w:eastAsia="zh-CN"/>
        </w:rPr>
      </w:pPr>
      <w:r>
        <w:rPr>
          <w:rFonts w:ascii="仿宋" w:hAnsi="仿宋" w:eastAsia="仿宋"/>
          <w:color w:val="auto"/>
          <w:sz w:val="24"/>
          <w:szCs w:val="20"/>
        </w:rPr>
        <w:br w:type="page"/>
      </w:r>
      <w:r>
        <w:rPr>
          <w:rFonts w:hint="eastAsia" w:ascii="仿宋" w:hAnsi="仿宋" w:eastAsia="仿宋"/>
          <w:b/>
          <w:color w:val="auto"/>
          <w:sz w:val="24"/>
        </w:rPr>
        <w:t>7.投标人业绩证明材料</w:t>
      </w:r>
      <w:r>
        <w:rPr>
          <w:rFonts w:hint="eastAsia" w:ascii="仿宋" w:hAnsi="仿宋" w:eastAsia="仿宋"/>
          <w:b/>
          <w:color w:val="auto"/>
          <w:sz w:val="24"/>
          <w:lang w:eastAsia="zh-CN"/>
        </w:rPr>
        <w:t>（如有）</w:t>
      </w:r>
    </w:p>
    <w:p w14:paraId="008FAE4F">
      <w:pPr>
        <w:pStyle w:val="34"/>
        <w:snapToGrid w:val="0"/>
        <w:ind w:left="480" w:hanging="480"/>
        <w:rPr>
          <w:rFonts w:hint="eastAsia" w:ascii="仿宋" w:hAnsi="仿宋" w:eastAsia="仿宋"/>
          <w:color w:val="auto"/>
          <w:sz w:val="24"/>
        </w:rPr>
      </w:pPr>
    </w:p>
    <w:p w14:paraId="6612A508">
      <w:pPr>
        <w:pStyle w:val="34"/>
        <w:snapToGrid w:val="0"/>
        <w:ind w:left="480" w:hanging="480"/>
        <w:rPr>
          <w:rFonts w:hint="eastAsia" w:ascii="仿宋" w:hAnsi="仿宋" w:eastAsia="仿宋"/>
          <w:color w:val="auto"/>
          <w:sz w:val="24"/>
        </w:rPr>
      </w:pPr>
      <w:r>
        <w:rPr>
          <w:rFonts w:hint="eastAsia" w:ascii="仿宋" w:hAnsi="仿宋" w:eastAsia="仿宋"/>
          <w:color w:val="auto"/>
          <w:sz w:val="24"/>
        </w:rPr>
        <w:t xml:space="preserve">投标人业绩情况一览表格式： </w:t>
      </w:r>
    </w:p>
    <w:tbl>
      <w:tblPr>
        <w:tblStyle w:val="47"/>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1E9895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jc w:val="center"/>
        </w:trPr>
        <w:tc>
          <w:tcPr>
            <w:tcW w:w="1250" w:type="pct"/>
            <w:vMerge w:val="restart"/>
            <w:tcBorders>
              <w:top w:val="single" w:color="auto" w:sz="4" w:space="0"/>
              <w:left w:val="single" w:color="auto" w:sz="4" w:space="0"/>
              <w:bottom w:val="single" w:color="auto" w:sz="4" w:space="0"/>
              <w:right w:val="single" w:color="auto" w:sz="4" w:space="0"/>
            </w:tcBorders>
            <w:vAlign w:val="center"/>
          </w:tcPr>
          <w:p w14:paraId="31D27545">
            <w:pPr>
              <w:snapToGrid w:val="0"/>
              <w:spacing w:line="240" w:lineRule="exact"/>
              <w:jc w:val="center"/>
              <w:rPr>
                <w:rFonts w:hint="eastAsia" w:ascii="仿宋" w:hAnsi="仿宋" w:eastAsia="仿宋"/>
                <w:color w:val="auto"/>
                <w:sz w:val="24"/>
              </w:rPr>
            </w:pPr>
            <w:r>
              <w:rPr>
                <w:rFonts w:hint="eastAsia" w:ascii="仿宋" w:hAnsi="仿宋" w:eastAsia="仿宋"/>
                <w:color w:val="auto"/>
                <w:sz w:val="24"/>
              </w:rPr>
              <w:t>采购人名称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53E4D69A">
            <w:pPr>
              <w:snapToGrid w:val="0"/>
              <w:spacing w:line="240" w:lineRule="exact"/>
              <w:jc w:val="center"/>
              <w:rPr>
                <w:rFonts w:hint="eastAsia" w:ascii="仿宋" w:hAnsi="仿宋" w:eastAsia="仿宋"/>
                <w:color w:val="auto"/>
                <w:sz w:val="24"/>
              </w:rPr>
            </w:pPr>
            <w:r>
              <w:rPr>
                <w:rFonts w:hint="eastAsia" w:ascii="仿宋" w:hAnsi="仿宋" w:eastAsia="仿宋"/>
                <w:color w:val="auto"/>
                <w:sz w:val="24"/>
              </w:rPr>
              <w:t>项目名称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368F803F">
            <w:pPr>
              <w:snapToGrid w:val="0"/>
              <w:spacing w:line="240" w:lineRule="exact"/>
              <w:jc w:val="center"/>
              <w:rPr>
                <w:rFonts w:hint="eastAsia" w:ascii="仿宋" w:hAnsi="仿宋" w:eastAsia="仿宋"/>
                <w:color w:val="auto"/>
                <w:sz w:val="24"/>
              </w:rPr>
            </w:pPr>
            <w:r>
              <w:rPr>
                <w:rFonts w:hint="eastAsia" w:ascii="仿宋" w:hAnsi="仿宋" w:eastAsia="仿宋"/>
                <w:color w:val="auto"/>
                <w:sz w:val="24"/>
              </w:rPr>
              <w:t>合同金额</w:t>
            </w:r>
          </w:p>
          <w:p w14:paraId="50D8C472">
            <w:pPr>
              <w:snapToGrid w:val="0"/>
              <w:spacing w:line="240" w:lineRule="exact"/>
              <w:jc w:val="center"/>
              <w:rPr>
                <w:rFonts w:hint="eastAsia" w:ascii="仿宋" w:hAnsi="仿宋" w:eastAsia="仿宋"/>
                <w:color w:val="auto"/>
                <w:sz w:val="24"/>
              </w:rPr>
            </w:pPr>
            <w:r>
              <w:rPr>
                <w:rFonts w:hint="eastAsia" w:ascii="仿宋" w:hAnsi="仿宋" w:eastAsia="仿宋"/>
                <w:color w:val="auto"/>
                <w:sz w:val="24"/>
              </w:rPr>
              <w:t>（万元）</w:t>
            </w:r>
          </w:p>
        </w:tc>
        <w:tc>
          <w:tcPr>
            <w:tcW w:w="1674" w:type="pct"/>
            <w:vMerge w:val="restart"/>
            <w:tcBorders>
              <w:top w:val="single" w:color="auto" w:sz="4" w:space="0"/>
              <w:left w:val="single" w:color="auto" w:sz="4" w:space="0"/>
              <w:bottom w:val="single" w:color="auto" w:sz="4" w:space="0"/>
              <w:right w:val="single" w:color="auto" w:sz="4" w:space="0"/>
            </w:tcBorders>
            <w:vAlign w:val="center"/>
          </w:tcPr>
          <w:p w14:paraId="444CC14A">
            <w:pPr>
              <w:snapToGrid w:val="0"/>
              <w:spacing w:line="240" w:lineRule="exact"/>
              <w:jc w:val="center"/>
              <w:rPr>
                <w:rFonts w:hint="eastAsia" w:ascii="仿宋" w:hAnsi="仿宋" w:eastAsia="仿宋"/>
                <w:color w:val="auto"/>
                <w:sz w:val="24"/>
              </w:rPr>
            </w:pPr>
            <w:r>
              <w:rPr>
                <w:rFonts w:hint="eastAsia" w:ascii="仿宋" w:hAnsi="仿宋" w:eastAsia="仿宋"/>
                <w:color w:val="auto"/>
                <w:sz w:val="24"/>
              </w:rPr>
              <w:t>采购人联系人及</w:t>
            </w:r>
          </w:p>
          <w:p w14:paraId="5518C7CD">
            <w:pPr>
              <w:snapToGrid w:val="0"/>
              <w:spacing w:line="240" w:lineRule="exact"/>
              <w:jc w:val="center"/>
              <w:rPr>
                <w:rFonts w:hint="eastAsia" w:ascii="仿宋" w:hAnsi="仿宋" w:eastAsia="仿宋"/>
                <w:color w:val="auto"/>
                <w:sz w:val="24"/>
              </w:rPr>
            </w:pPr>
            <w:r>
              <w:rPr>
                <w:rFonts w:hint="eastAsia" w:ascii="仿宋" w:hAnsi="仿宋" w:eastAsia="仿宋"/>
                <w:color w:val="auto"/>
                <w:sz w:val="24"/>
              </w:rPr>
              <w:t>联系电话</w:t>
            </w:r>
          </w:p>
        </w:tc>
      </w:tr>
      <w:tr w14:paraId="2041C3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250" w:type="pct"/>
            <w:vMerge w:val="continue"/>
            <w:tcBorders>
              <w:top w:val="single" w:color="auto" w:sz="4" w:space="0"/>
              <w:left w:val="single" w:color="auto" w:sz="4" w:space="0"/>
              <w:bottom w:val="single" w:color="auto" w:sz="4" w:space="0"/>
              <w:right w:val="single" w:color="auto" w:sz="4" w:space="0"/>
            </w:tcBorders>
            <w:vAlign w:val="center"/>
          </w:tcPr>
          <w:p w14:paraId="74674D9E">
            <w:pPr>
              <w:jc w:val="left"/>
              <w:rPr>
                <w:rFonts w:hint="eastAsia" w:ascii="仿宋" w:hAnsi="仿宋" w:eastAsia="仿宋"/>
                <w:color w:val="auto"/>
                <w:sz w:val="24"/>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13478327">
            <w:pPr>
              <w:jc w:val="left"/>
              <w:rPr>
                <w:rFonts w:hint="eastAsia" w:ascii="仿宋" w:hAnsi="仿宋" w:eastAsia="仿宋"/>
                <w:color w:val="auto"/>
                <w:sz w:val="24"/>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2942984A">
            <w:pPr>
              <w:jc w:val="left"/>
              <w:rPr>
                <w:rFonts w:hint="eastAsia" w:ascii="仿宋" w:hAnsi="仿宋" w:eastAsia="仿宋"/>
                <w:color w:val="auto"/>
                <w:sz w:val="24"/>
              </w:rPr>
            </w:pPr>
          </w:p>
        </w:tc>
        <w:tc>
          <w:tcPr>
            <w:tcW w:w="1674" w:type="pct"/>
            <w:vMerge w:val="continue"/>
            <w:tcBorders>
              <w:top w:val="single" w:color="auto" w:sz="4" w:space="0"/>
              <w:left w:val="single" w:color="auto" w:sz="4" w:space="0"/>
              <w:bottom w:val="single" w:color="auto" w:sz="4" w:space="0"/>
              <w:right w:val="single" w:color="auto" w:sz="4" w:space="0"/>
            </w:tcBorders>
            <w:vAlign w:val="center"/>
          </w:tcPr>
          <w:p w14:paraId="3775F806">
            <w:pPr>
              <w:jc w:val="left"/>
              <w:rPr>
                <w:rFonts w:hint="eastAsia" w:ascii="仿宋" w:hAnsi="仿宋" w:eastAsia="仿宋"/>
                <w:color w:val="auto"/>
                <w:sz w:val="24"/>
              </w:rPr>
            </w:pPr>
          </w:p>
        </w:tc>
      </w:tr>
      <w:tr w14:paraId="07B083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250" w:type="pct"/>
            <w:tcBorders>
              <w:top w:val="single" w:color="auto" w:sz="4" w:space="0"/>
              <w:left w:val="single" w:color="auto" w:sz="4" w:space="0"/>
              <w:bottom w:val="single" w:color="auto" w:sz="4" w:space="0"/>
              <w:right w:val="single" w:color="auto" w:sz="4" w:space="0"/>
            </w:tcBorders>
          </w:tcPr>
          <w:p w14:paraId="637460B2">
            <w:pPr>
              <w:snapToGrid w:val="0"/>
              <w:spacing w:line="240" w:lineRule="exact"/>
              <w:jc w:val="left"/>
              <w:rPr>
                <w:rFonts w:hint="eastAsia" w:ascii="仿宋" w:hAnsi="仿宋" w:eastAsia="仿宋"/>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2B1F4F77">
            <w:pPr>
              <w:snapToGrid w:val="0"/>
              <w:spacing w:line="240" w:lineRule="exact"/>
              <w:jc w:val="left"/>
              <w:rPr>
                <w:rFonts w:hint="eastAsia" w:ascii="仿宋" w:hAnsi="仿宋" w:eastAsia="仿宋"/>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3A5F9F9A">
            <w:pPr>
              <w:snapToGrid w:val="0"/>
              <w:spacing w:line="240" w:lineRule="exact"/>
              <w:jc w:val="left"/>
              <w:rPr>
                <w:rFonts w:hint="eastAsia" w:ascii="仿宋" w:hAnsi="仿宋" w:eastAsia="仿宋"/>
                <w:color w:val="auto"/>
                <w:sz w:val="24"/>
              </w:rPr>
            </w:pPr>
          </w:p>
        </w:tc>
        <w:tc>
          <w:tcPr>
            <w:tcW w:w="1674" w:type="pct"/>
            <w:tcBorders>
              <w:top w:val="single" w:color="auto" w:sz="4" w:space="0"/>
              <w:left w:val="single" w:color="auto" w:sz="4" w:space="0"/>
              <w:bottom w:val="single" w:color="auto" w:sz="4" w:space="0"/>
              <w:right w:val="single" w:color="auto" w:sz="4" w:space="0"/>
            </w:tcBorders>
          </w:tcPr>
          <w:p w14:paraId="46AEE79D">
            <w:pPr>
              <w:snapToGrid w:val="0"/>
              <w:spacing w:line="240" w:lineRule="exact"/>
              <w:jc w:val="left"/>
              <w:rPr>
                <w:rFonts w:hint="eastAsia" w:ascii="仿宋" w:hAnsi="仿宋" w:eastAsia="仿宋"/>
                <w:color w:val="auto"/>
                <w:sz w:val="24"/>
              </w:rPr>
            </w:pPr>
          </w:p>
        </w:tc>
      </w:tr>
      <w:tr w14:paraId="6996CF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tcPr>
          <w:p w14:paraId="043A9071">
            <w:pPr>
              <w:snapToGrid w:val="0"/>
              <w:spacing w:before="50" w:afterLines="50" w:line="400" w:lineRule="exact"/>
              <w:jc w:val="left"/>
              <w:rPr>
                <w:rFonts w:hint="eastAsia" w:ascii="仿宋" w:hAnsi="仿宋" w:eastAsia="仿宋"/>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46E50AF4">
            <w:pPr>
              <w:snapToGrid w:val="0"/>
              <w:spacing w:before="50" w:afterLines="50" w:line="400" w:lineRule="exact"/>
              <w:jc w:val="left"/>
              <w:rPr>
                <w:rFonts w:hint="eastAsia" w:ascii="仿宋" w:hAnsi="仿宋" w:eastAsia="仿宋"/>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098D42DE">
            <w:pPr>
              <w:snapToGrid w:val="0"/>
              <w:spacing w:before="50" w:afterLines="50" w:line="400" w:lineRule="exact"/>
              <w:jc w:val="left"/>
              <w:rPr>
                <w:rFonts w:hint="eastAsia" w:ascii="仿宋" w:hAnsi="仿宋" w:eastAsia="仿宋"/>
                <w:color w:val="auto"/>
                <w:sz w:val="24"/>
              </w:rPr>
            </w:pPr>
          </w:p>
        </w:tc>
        <w:tc>
          <w:tcPr>
            <w:tcW w:w="1674" w:type="pct"/>
            <w:tcBorders>
              <w:top w:val="single" w:color="auto" w:sz="4" w:space="0"/>
              <w:left w:val="single" w:color="auto" w:sz="4" w:space="0"/>
              <w:bottom w:val="single" w:color="auto" w:sz="4" w:space="0"/>
              <w:right w:val="single" w:color="auto" w:sz="4" w:space="0"/>
            </w:tcBorders>
          </w:tcPr>
          <w:p w14:paraId="12D39886">
            <w:pPr>
              <w:snapToGrid w:val="0"/>
              <w:spacing w:before="50" w:afterLines="50" w:line="400" w:lineRule="exact"/>
              <w:jc w:val="left"/>
              <w:rPr>
                <w:rFonts w:hint="eastAsia" w:ascii="仿宋" w:hAnsi="仿宋" w:eastAsia="仿宋"/>
                <w:color w:val="auto"/>
                <w:sz w:val="24"/>
              </w:rPr>
            </w:pPr>
          </w:p>
        </w:tc>
      </w:tr>
      <w:tr w14:paraId="367052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250" w:type="pct"/>
            <w:tcBorders>
              <w:top w:val="single" w:color="auto" w:sz="4" w:space="0"/>
              <w:left w:val="single" w:color="auto" w:sz="4" w:space="0"/>
              <w:bottom w:val="single" w:color="auto" w:sz="4" w:space="0"/>
              <w:right w:val="single" w:color="auto" w:sz="4" w:space="0"/>
            </w:tcBorders>
          </w:tcPr>
          <w:p w14:paraId="676A179C">
            <w:pPr>
              <w:snapToGrid w:val="0"/>
              <w:spacing w:before="50" w:afterLines="50" w:line="400" w:lineRule="exact"/>
              <w:jc w:val="left"/>
              <w:rPr>
                <w:rFonts w:hint="eastAsia" w:ascii="仿宋" w:hAnsi="仿宋" w:eastAsia="仿宋"/>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2775D015">
            <w:pPr>
              <w:snapToGrid w:val="0"/>
              <w:spacing w:before="50" w:afterLines="50" w:line="400" w:lineRule="exact"/>
              <w:jc w:val="left"/>
              <w:rPr>
                <w:rFonts w:hint="eastAsia" w:ascii="仿宋" w:hAnsi="仿宋" w:eastAsia="仿宋"/>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71FA4920">
            <w:pPr>
              <w:snapToGrid w:val="0"/>
              <w:spacing w:before="50" w:afterLines="50" w:line="400" w:lineRule="exact"/>
              <w:jc w:val="left"/>
              <w:rPr>
                <w:rFonts w:hint="eastAsia" w:ascii="仿宋" w:hAnsi="仿宋" w:eastAsia="仿宋"/>
                <w:color w:val="auto"/>
                <w:sz w:val="24"/>
              </w:rPr>
            </w:pPr>
          </w:p>
        </w:tc>
        <w:tc>
          <w:tcPr>
            <w:tcW w:w="1674" w:type="pct"/>
            <w:tcBorders>
              <w:top w:val="single" w:color="auto" w:sz="4" w:space="0"/>
              <w:left w:val="single" w:color="auto" w:sz="4" w:space="0"/>
              <w:bottom w:val="single" w:color="auto" w:sz="4" w:space="0"/>
              <w:right w:val="single" w:color="auto" w:sz="4" w:space="0"/>
            </w:tcBorders>
          </w:tcPr>
          <w:p w14:paraId="28E85C25">
            <w:pPr>
              <w:snapToGrid w:val="0"/>
              <w:spacing w:before="50" w:afterLines="50" w:line="400" w:lineRule="exact"/>
              <w:jc w:val="left"/>
              <w:rPr>
                <w:rFonts w:hint="eastAsia" w:ascii="仿宋" w:hAnsi="仿宋" w:eastAsia="仿宋"/>
                <w:color w:val="auto"/>
                <w:sz w:val="24"/>
              </w:rPr>
            </w:pPr>
          </w:p>
        </w:tc>
      </w:tr>
      <w:tr w14:paraId="0FF8A0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tcPr>
          <w:p w14:paraId="3BF0DDB1">
            <w:pPr>
              <w:snapToGrid w:val="0"/>
              <w:spacing w:before="50" w:afterLines="50" w:line="400" w:lineRule="exact"/>
              <w:jc w:val="left"/>
              <w:rPr>
                <w:rFonts w:hint="eastAsia" w:ascii="仿宋" w:hAnsi="仿宋" w:eastAsia="仿宋"/>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45C25124">
            <w:pPr>
              <w:snapToGrid w:val="0"/>
              <w:spacing w:before="50" w:afterLines="50" w:line="400" w:lineRule="exact"/>
              <w:jc w:val="left"/>
              <w:rPr>
                <w:rFonts w:hint="eastAsia" w:ascii="仿宋" w:hAnsi="仿宋" w:eastAsia="仿宋"/>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1289247A">
            <w:pPr>
              <w:snapToGrid w:val="0"/>
              <w:spacing w:before="50" w:afterLines="50" w:line="400" w:lineRule="exact"/>
              <w:jc w:val="left"/>
              <w:rPr>
                <w:rFonts w:hint="eastAsia" w:ascii="仿宋" w:hAnsi="仿宋" w:eastAsia="仿宋"/>
                <w:color w:val="auto"/>
                <w:sz w:val="24"/>
              </w:rPr>
            </w:pPr>
          </w:p>
        </w:tc>
        <w:tc>
          <w:tcPr>
            <w:tcW w:w="1674" w:type="pct"/>
            <w:tcBorders>
              <w:top w:val="single" w:color="auto" w:sz="4" w:space="0"/>
              <w:left w:val="single" w:color="auto" w:sz="4" w:space="0"/>
              <w:bottom w:val="single" w:color="auto" w:sz="4" w:space="0"/>
              <w:right w:val="single" w:color="auto" w:sz="4" w:space="0"/>
            </w:tcBorders>
          </w:tcPr>
          <w:p w14:paraId="1B0A1680">
            <w:pPr>
              <w:snapToGrid w:val="0"/>
              <w:spacing w:before="50" w:afterLines="50" w:line="400" w:lineRule="exact"/>
              <w:jc w:val="left"/>
              <w:rPr>
                <w:rFonts w:hint="eastAsia" w:ascii="仿宋" w:hAnsi="仿宋" w:eastAsia="仿宋"/>
                <w:color w:val="auto"/>
                <w:sz w:val="24"/>
              </w:rPr>
            </w:pPr>
          </w:p>
        </w:tc>
      </w:tr>
      <w:tr w14:paraId="5EECF5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tcPr>
          <w:p w14:paraId="0F3328BC">
            <w:pPr>
              <w:snapToGrid w:val="0"/>
              <w:spacing w:before="50" w:afterLines="50" w:line="400" w:lineRule="exact"/>
              <w:jc w:val="left"/>
              <w:rPr>
                <w:rFonts w:hint="eastAsia" w:ascii="仿宋" w:hAnsi="仿宋" w:eastAsia="仿宋"/>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06CB750D">
            <w:pPr>
              <w:snapToGrid w:val="0"/>
              <w:spacing w:before="50" w:afterLines="50" w:line="400" w:lineRule="exact"/>
              <w:jc w:val="left"/>
              <w:rPr>
                <w:rFonts w:hint="eastAsia" w:ascii="仿宋" w:hAnsi="仿宋" w:eastAsia="仿宋"/>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00F4C2D5">
            <w:pPr>
              <w:snapToGrid w:val="0"/>
              <w:spacing w:before="50" w:afterLines="50" w:line="400" w:lineRule="exact"/>
              <w:jc w:val="left"/>
              <w:rPr>
                <w:rFonts w:hint="eastAsia" w:ascii="仿宋" w:hAnsi="仿宋" w:eastAsia="仿宋"/>
                <w:color w:val="auto"/>
                <w:sz w:val="24"/>
              </w:rPr>
            </w:pPr>
          </w:p>
        </w:tc>
        <w:tc>
          <w:tcPr>
            <w:tcW w:w="1674" w:type="pct"/>
            <w:tcBorders>
              <w:top w:val="single" w:color="auto" w:sz="4" w:space="0"/>
              <w:left w:val="single" w:color="auto" w:sz="4" w:space="0"/>
              <w:bottom w:val="single" w:color="auto" w:sz="4" w:space="0"/>
              <w:right w:val="single" w:color="auto" w:sz="4" w:space="0"/>
            </w:tcBorders>
          </w:tcPr>
          <w:p w14:paraId="699AA5DC">
            <w:pPr>
              <w:snapToGrid w:val="0"/>
              <w:spacing w:before="50" w:afterLines="50" w:line="400" w:lineRule="exact"/>
              <w:jc w:val="left"/>
              <w:rPr>
                <w:rFonts w:hint="eastAsia" w:ascii="仿宋" w:hAnsi="仿宋" w:eastAsia="仿宋"/>
                <w:color w:val="auto"/>
                <w:sz w:val="24"/>
              </w:rPr>
            </w:pPr>
          </w:p>
        </w:tc>
      </w:tr>
    </w:tbl>
    <w:p w14:paraId="5A953887">
      <w:pPr>
        <w:pStyle w:val="14"/>
        <w:spacing w:before="0" w:after="0" w:line="360" w:lineRule="auto"/>
        <w:contextualSpacing/>
        <w:rPr>
          <w:rFonts w:hint="eastAsia" w:ascii="仿宋" w:hAnsi="仿宋" w:eastAsia="仿宋"/>
          <w:color w:val="auto"/>
          <w:sz w:val="24"/>
          <w:szCs w:val="24"/>
        </w:rPr>
      </w:pPr>
    </w:p>
    <w:p w14:paraId="1274C497">
      <w:pPr>
        <w:pStyle w:val="14"/>
        <w:spacing w:before="0" w:after="0" w:line="360" w:lineRule="auto"/>
        <w:contextualSpacing/>
        <w:rPr>
          <w:rFonts w:ascii="仿宋" w:hAnsi="仿宋" w:eastAsia="仿宋"/>
          <w:color w:val="auto"/>
          <w:sz w:val="24"/>
          <w:szCs w:val="24"/>
        </w:rPr>
      </w:pPr>
    </w:p>
    <w:p w14:paraId="65DC20D6">
      <w:pPr>
        <w:pStyle w:val="14"/>
        <w:spacing w:before="0" w:after="0" w:line="360" w:lineRule="auto"/>
        <w:contextualSpacing/>
        <w:rPr>
          <w:rFonts w:ascii="仿宋" w:hAnsi="仿宋" w:eastAsia="仿宋"/>
          <w:color w:val="auto"/>
          <w:sz w:val="24"/>
          <w:szCs w:val="24"/>
        </w:rPr>
      </w:pPr>
    </w:p>
    <w:p w14:paraId="3A1DC679">
      <w:pPr>
        <w:pStyle w:val="14"/>
        <w:spacing w:before="0" w:after="0" w:line="360" w:lineRule="auto"/>
        <w:contextualSpacing/>
        <w:rPr>
          <w:rFonts w:hint="eastAsia" w:ascii="仿宋" w:hAnsi="仿宋" w:eastAsia="仿宋"/>
          <w:color w:val="auto"/>
          <w:sz w:val="24"/>
          <w:szCs w:val="24"/>
        </w:rPr>
      </w:pPr>
      <w:r>
        <w:rPr>
          <w:rFonts w:hint="eastAsia" w:ascii="仿宋" w:hAnsi="仿宋" w:eastAsia="仿宋"/>
          <w:color w:val="auto"/>
          <w:sz w:val="24"/>
          <w:szCs w:val="24"/>
        </w:rPr>
        <w:t>注：</w:t>
      </w:r>
      <w:r>
        <w:rPr>
          <w:rFonts w:hint="eastAsia" w:ascii="仿宋" w:hAnsi="仿宋" w:eastAsia="仿宋"/>
          <w:color w:val="auto"/>
          <w:sz w:val="24"/>
        </w:rPr>
        <w:t>投标人根据评标标准具体要求附业绩证明材料。</w:t>
      </w:r>
    </w:p>
    <w:p w14:paraId="7250F531">
      <w:pPr>
        <w:pStyle w:val="14"/>
        <w:spacing w:before="0" w:after="0" w:line="360" w:lineRule="auto"/>
        <w:contextualSpacing/>
        <w:jc w:val="left"/>
        <w:rPr>
          <w:rFonts w:hint="eastAsia" w:ascii="仿宋" w:hAnsi="仿宋" w:eastAsia="仿宋"/>
          <w:color w:val="auto"/>
          <w:sz w:val="24"/>
          <w:szCs w:val="24"/>
          <w:u w:val="single"/>
        </w:rPr>
      </w:pPr>
      <w:r>
        <w:rPr>
          <w:rFonts w:hint="eastAsia" w:ascii="仿宋" w:hAnsi="仿宋" w:eastAsia="仿宋"/>
          <w:color w:val="auto"/>
          <w:sz w:val="24"/>
          <w:szCs w:val="24"/>
        </w:rPr>
        <w:t>法定代表人或者委托代理人（签字</w:t>
      </w:r>
      <w:r>
        <w:rPr>
          <w:rFonts w:hint="eastAsia" w:ascii="仿宋" w:hAnsi="仿宋" w:eastAsia="仿宋" w:cs="仿宋_GB2312"/>
          <w:color w:val="auto"/>
          <w:sz w:val="24"/>
        </w:rPr>
        <w:t>或者盖章</w:t>
      </w:r>
      <w:r>
        <w:rPr>
          <w:rFonts w:hint="eastAsia" w:ascii="仿宋" w:hAnsi="仿宋" w:eastAsia="仿宋"/>
          <w:color w:val="auto"/>
          <w:sz w:val="24"/>
          <w:szCs w:val="24"/>
        </w:rPr>
        <w:t>）：</w:t>
      </w:r>
      <w:r>
        <w:rPr>
          <w:rFonts w:hint="eastAsia" w:ascii="仿宋" w:hAnsi="仿宋" w:eastAsia="仿宋"/>
          <w:color w:val="auto"/>
          <w:sz w:val="24"/>
          <w:szCs w:val="24"/>
          <w:u w:val="single"/>
        </w:rPr>
        <w:t>　　　　　</w:t>
      </w:r>
    </w:p>
    <w:p w14:paraId="2028A9DA">
      <w:pPr>
        <w:spacing w:line="360" w:lineRule="auto"/>
        <w:ind w:right="480"/>
        <w:contextualSpacing/>
        <w:jc w:val="left"/>
        <w:rPr>
          <w:rFonts w:hint="eastAsia" w:ascii="仿宋" w:hAnsi="仿宋" w:eastAsia="仿宋"/>
          <w:color w:val="auto"/>
          <w:sz w:val="24"/>
          <w:szCs w:val="20"/>
        </w:rPr>
      </w:pPr>
      <w:r>
        <w:rPr>
          <w:rFonts w:hint="eastAsia" w:ascii="仿宋" w:hAnsi="仿宋" w:eastAsia="仿宋" w:cs="Arial"/>
          <w:color w:val="auto"/>
          <w:sz w:val="24"/>
        </w:rPr>
        <w:t xml:space="preserve">投标人（盖公章）： </w:t>
      </w:r>
      <w:r>
        <w:rPr>
          <w:rFonts w:hint="eastAsia" w:ascii="仿宋" w:hAnsi="仿宋" w:eastAsia="仿宋"/>
          <w:color w:val="auto"/>
          <w:sz w:val="24"/>
          <w:u w:val="single"/>
        </w:rPr>
        <w:t xml:space="preserve">                </w:t>
      </w:r>
      <w:r>
        <w:rPr>
          <w:rFonts w:hint="eastAsia" w:ascii="仿宋" w:hAnsi="仿宋" w:eastAsia="仿宋"/>
          <w:color w:val="auto"/>
          <w:sz w:val="24"/>
        </w:rPr>
        <w:t xml:space="preserve">                                                              年    月    日</w:t>
      </w:r>
    </w:p>
    <w:p w14:paraId="622F0710">
      <w:pPr>
        <w:snapToGrid w:val="0"/>
        <w:spacing w:before="50"/>
        <w:ind w:firstLine="480" w:firstLineChars="200"/>
        <w:jc w:val="left"/>
        <w:rPr>
          <w:rFonts w:hint="eastAsia" w:ascii="仿宋" w:hAnsi="仿宋" w:eastAsia="仿宋"/>
          <w:color w:val="auto"/>
          <w:sz w:val="24"/>
          <w:szCs w:val="20"/>
        </w:rPr>
      </w:pPr>
    </w:p>
    <w:p w14:paraId="73EEAB66">
      <w:pPr>
        <w:snapToGrid w:val="0"/>
        <w:spacing w:before="50"/>
        <w:jc w:val="left"/>
        <w:rPr>
          <w:rFonts w:hint="eastAsia" w:ascii="仿宋" w:hAnsi="仿宋" w:eastAsia="仿宋"/>
          <w:color w:val="auto"/>
          <w:sz w:val="24"/>
        </w:rPr>
      </w:pPr>
    </w:p>
    <w:p w14:paraId="10455615">
      <w:pPr>
        <w:snapToGrid w:val="0"/>
        <w:spacing w:beforeLines="50"/>
        <w:rPr>
          <w:rFonts w:ascii="仿宋" w:hAnsi="仿宋" w:eastAsia="仿宋"/>
          <w:color w:val="auto"/>
          <w:sz w:val="24"/>
          <w:szCs w:val="20"/>
        </w:rPr>
        <w:sectPr>
          <w:pgSz w:w="11906" w:h="16838"/>
          <w:pgMar w:top="1440" w:right="1797" w:bottom="1440" w:left="1797" w:header="851" w:footer="992" w:gutter="0"/>
          <w:cols w:space="720" w:num="1"/>
          <w:docGrid w:linePitch="312" w:charSpace="0"/>
        </w:sectPr>
      </w:pPr>
    </w:p>
    <w:p w14:paraId="24333E2E">
      <w:pPr>
        <w:rPr>
          <w:rFonts w:hint="eastAsia" w:ascii="仿宋" w:hAnsi="仿宋" w:eastAsia="仿宋"/>
          <w:b/>
          <w:color w:val="auto"/>
          <w:sz w:val="28"/>
          <w:szCs w:val="28"/>
        </w:rPr>
      </w:pPr>
      <w:r>
        <w:rPr>
          <w:rFonts w:hint="eastAsia" w:ascii="仿宋" w:hAnsi="仿宋" w:eastAsia="仿宋"/>
          <w:b/>
          <w:color w:val="auto"/>
          <w:sz w:val="28"/>
          <w:szCs w:val="28"/>
        </w:rPr>
        <w:t>四、技术文件格式</w:t>
      </w:r>
    </w:p>
    <w:p w14:paraId="73D22EBC">
      <w:pPr>
        <w:snapToGrid w:val="0"/>
        <w:spacing w:beforeLines="50" w:after="50"/>
        <w:ind w:left="142"/>
        <w:jc w:val="left"/>
        <w:rPr>
          <w:rFonts w:hint="eastAsia" w:ascii="仿宋" w:hAnsi="仿宋" w:eastAsia="仿宋"/>
          <w:b/>
          <w:color w:val="auto"/>
          <w:sz w:val="24"/>
        </w:rPr>
      </w:pPr>
      <w:r>
        <w:rPr>
          <w:rFonts w:hint="eastAsia" w:ascii="仿宋" w:hAnsi="仿宋" w:eastAsia="仿宋"/>
          <w:b/>
          <w:color w:val="auto"/>
          <w:sz w:val="24"/>
        </w:rPr>
        <w:t xml:space="preserve">1. 技术文件封面格式： </w:t>
      </w:r>
    </w:p>
    <w:p w14:paraId="2AF0953E">
      <w:pPr>
        <w:snapToGrid w:val="0"/>
        <w:spacing w:beforeLines="50" w:after="50"/>
        <w:rPr>
          <w:rFonts w:hint="eastAsia" w:ascii="仿宋" w:hAnsi="仿宋" w:eastAsia="仿宋"/>
          <w:b/>
          <w:bCs/>
          <w:color w:val="auto"/>
          <w:sz w:val="32"/>
          <w:szCs w:val="20"/>
        </w:rPr>
      </w:pPr>
      <w:r>
        <w:rPr>
          <w:rFonts w:hint="eastAsia" w:ascii="仿宋" w:hAnsi="仿宋" w:eastAsia="仿宋"/>
          <w:color w:val="auto"/>
          <w:sz w:val="24"/>
        </w:rPr>
        <w:t xml:space="preserve">                                                   </w:t>
      </w:r>
    </w:p>
    <w:p w14:paraId="21572EB9">
      <w:pPr>
        <w:snapToGrid w:val="0"/>
        <w:spacing w:beforeLines="50" w:after="50"/>
        <w:rPr>
          <w:rFonts w:hint="eastAsia" w:ascii="仿宋" w:hAnsi="仿宋" w:eastAsia="仿宋"/>
          <w:color w:val="auto"/>
          <w:sz w:val="24"/>
          <w:szCs w:val="20"/>
        </w:rPr>
      </w:pPr>
    </w:p>
    <w:p w14:paraId="743469F7">
      <w:pPr>
        <w:snapToGrid w:val="0"/>
        <w:spacing w:beforeLines="50" w:after="50"/>
        <w:rPr>
          <w:rFonts w:hint="eastAsia" w:ascii="仿宋" w:hAnsi="仿宋" w:eastAsia="仿宋"/>
          <w:color w:val="auto"/>
          <w:sz w:val="24"/>
          <w:szCs w:val="20"/>
        </w:rPr>
      </w:pPr>
    </w:p>
    <w:p w14:paraId="557A32A9">
      <w:pPr>
        <w:snapToGrid w:val="0"/>
        <w:spacing w:beforeLines="50" w:after="50"/>
        <w:jc w:val="center"/>
        <w:rPr>
          <w:rFonts w:hint="eastAsia" w:ascii="仿宋" w:hAnsi="仿宋" w:eastAsia="仿宋" w:cs="方正小标宋简体"/>
          <w:color w:val="auto"/>
          <w:sz w:val="84"/>
          <w:szCs w:val="84"/>
        </w:rPr>
      </w:pPr>
      <w:r>
        <w:rPr>
          <w:rFonts w:hint="eastAsia" w:ascii="仿宋" w:hAnsi="仿宋" w:eastAsia="仿宋" w:cs="方正小标宋简体"/>
          <w:color w:val="auto"/>
          <w:sz w:val="84"/>
          <w:szCs w:val="84"/>
        </w:rPr>
        <w:t>投  标  文  件</w:t>
      </w:r>
    </w:p>
    <w:p w14:paraId="0FAD7099">
      <w:pPr>
        <w:snapToGrid w:val="0"/>
        <w:spacing w:beforeLines="50" w:after="50"/>
        <w:rPr>
          <w:rFonts w:hint="eastAsia" w:ascii="仿宋" w:hAnsi="仿宋" w:eastAsia="仿宋"/>
          <w:color w:val="auto"/>
          <w:sz w:val="24"/>
          <w:szCs w:val="20"/>
        </w:rPr>
      </w:pPr>
    </w:p>
    <w:p w14:paraId="31D97CAA">
      <w:pPr>
        <w:snapToGrid w:val="0"/>
        <w:spacing w:beforeLines="50" w:after="50"/>
        <w:rPr>
          <w:rFonts w:hint="eastAsia" w:ascii="仿宋" w:hAnsi="仿宋" w:eastAsia="仿宋"/>
          <w:color w:val="auto"/>
          <w:sz w:val="24"/>
          <w:szCs w:val="20"/>
        </w:rPr>
      </w:pPr>
    </w:p>
    <w:p w14:paraId="00D599E2">
      <w:pPr>
        <w:snapToGrid w:val="0"/>
        <w:spacing w:beforeLines="50" w:after="50"/>
        <w:jc w:val="center"/>
        <w:rPr>
          <w:rFonts w:hint="eastAsia" w:ascii="仿宋" w:hAnsi="仿宋" w:eastAsia="仿宋"/>
          <w:b/>
          <w:bCs/>
          <w:color w:val="auto"/>
          <w:sz w:val="32"/>
          <w:szCs w:val="32"/>
        </w:rPr>
      </w:pPr>
      <w:r>
        <w:rPr>
          <w:rFonts w:hint="eastAsia" w:ascii="仿宋" w:hAnsi="仿宋" w:eastAsia="仿宋"/>
          <w:b/>
          <w:bCs/>
          <w:color w:val="auto"/>
          <w:sz w:val="32"/>
          <w:szCs w:val="32"/>
        </w:rPr>
        <w:t>技  术  文  件</w:t>
      </w:r>
    </w:p>
    <w:p w14:paraId="0C9D636C">
      <w:pPr>
        <w:snapToGrid w:val="0"/>
        <w:spacing w:beforeLines="50" w:after="50"/>
        <w:rPr>
          <w:rFonts w:hint="eastAsia" w:ascii="仿宋" w:hAnsi="仿宋" w:eastAsia="仿宋"/>
          <w:bCs/>
          <w:color w:val="auto"/>
          <w:sz w:val="24"/>
          <w:szCs w:val="20"/>
        </w:rPr>
      </w:pPr>
    </w:p>
    <w:p w14:paraId="53EDC22B">
      <w:pPr>
        <w:snapToGrid w:val="0"/>
        <w:spacing w:beforeLines="50" w:after="50"/>
        <w:rPr>
          <w:rFonts w:hint="eastAsia" w:ascii="仿宋" w:hAnsi="仿宋" w:eastAsia="仿宋"/>
          <w:bCs/>
          <w:color w:val="auto"/>
          <w:sz w:val="24"/>
          <w:szCs w:val="20"/>
        </w:rPr>
      </w:pPr>
    </w:p>
    <w:p w14:paraId="1E312766">
      <w:pPr>
        <w:snapToGrid w:val="0"/>
        <w:spacing w:beforeLines="50" w:after="50" w:line="400" w:lineRule="exact"/>
        <w:ind w:firstLine="360" w:firstLineChars="150"/>
        <w:rPr>
          <w:rFonts w:hint="eastAsia" w:ascii="仿宋" w:hAnsi="仿宋" w:eastAsia="仿宋"/>
          <w:bCs/>
          <w:color w:val="auto"/>
          <w:sz w:val="24"/>
        </w:rPr>
      </w:pPr>
      <w:r>
        <w:rPr>
          <w:rFonts w:hint="eastAsia" w:ascii="仿宋" w:hAnsi="仿宋" w:eastAsia="仿宋"/>
          <w:bCs/>
          <w:color w:val="auto"/>
          <w:sz w:val="24"/>
        </w:rPr>
        <w:t xml:space="preserve">项目名称： </w:t>
      </w:r>
    </w:p>
    <w:p w14:paraId="639294BE">
      <w:pPr>
        <w:snapToGrid w:val="0"/>
        <w:spacing w:beforeLines="50" w:after="50" w:line="400" w:lineRule="exact"/>
        <w:ind w:firstLine="360" w:firstLineChars="150"/>
        <w:rPr>
          <w:rFonts w:hint="eastAsia" w:ascii="仿宋" w:hAnsi="仿宋" w:eastAsia="仿宋"/>
          <w:bCs/>
          <w:color w:val="auto"/>
          <w:sz w:val="24"/>
          <w:szCs w:val="20"/>
        </w:rPr>
      </w:pPr>
    </w:p>
    <w:p w14:paraId="6514A830">
      <w:pPr>
        <w:snapToGrid w:val="0"/>
        <w:spacing w:beforeLines="50" w:after="50" w:line="400" w:lineRule="exact"/>
        <w:ind w:firstLine="360" w:firstLineChars="150"/>
        <w:rPr>
          <w:rFonts w:hint="eastAsia" w:ascii="仿宋" w:hAnsi="仿宋" w:eastAsia="仿宋"/>
          <w:bCs/>
          <w:color w:val="auto"/>
          <w:sz w:val="24"/>
        </w:rPr>
      </w:pPr>
      <w:r>
        <w:rPr>
          <w:rFonts w:hint="eastAsia" w:ascii="仿宋" w:hAnsi="仿宋" w:eastAsia="仿宋"/>
          <w:bCs/>
          <w:color w:val="auto"/>
          <w:sz w:val="24"/>
        </w:rPr>
        <w:t xml:space="preserve">项目编号： </w:t>
      </w:r>
    </w:p>
    <w:p w14:paraId="52354DE2">
      <w:pPr>
        <w:snapToGrid w:val="0"/>
        <w:spacing w:beforeLines="50" w:after="50" w:line="400" w:lineRule="exact"/>
        <w:ind w:firstLine="360" w:firstLineChars="150"/>
        <w:rPr>
          <w:rFonts w:hint="eastAsia" w:ascii="仿宋" w:hAnsi="仿宋" w:eastAsia="仿宋"/>
          <w:bCs/>
          <w:color w:val="auto"/>
          <w:sz w:val="24"/>
        </w:rPr>
      </w:pPr>
    </w:p>
    <w:p w14:paraId="579B4032">
      <w:pPr>
        <w:snapToGrid w:val="0"/>
        <w:spacing w:beforeLines="50" w:after="50" w:line="400" w:lineRule="exact"/>
        <w:ind w:firstLine="360" w:firstLineChars="150"/>
        <w:rPr>
          <w:rFonts w:hint="eastAsia" w:ascii="仿宋" w:hAnsi="仿宋" w:eastAsia="仿宋"/>
          <w:bCs/>
          <w:color w:val="auto"/>
          <w:sz w:val="24"/>
        </w:rPr>
      </w:pPr>
      <w:r>
        <w:rPr>
          <w:rFonts w:hint="eastAsia" w:ascii="仿宋" w:hAnsi="仿宋" w:eastAsia="仿宋"/>
          <w:bCs/>
          <w:color w:val="auto"/>
          <w:sz w:val="24"/>
        </w:rPr>
        <w:t>所投分标：</w:t>
      </w:r>
    </w:p>
    <w:p w14:paraId="056A656E">
      <w:pPr>
        <w:snapToGrid w:val="0"/>
        <w:spacing w:beforeLines="50" w:after="50" w:line="400" w:lineRule="exact"/>
        <w:ind w:firstLine="360" w:firstLineChars="150"/>
        <w:rPr>
          <w:rFonts w:hint="eastAsia" w:ascii="仿宋" w:hAnsi="仿宋" w:eastAsia="仿宋"/>
          <w:bCs/>
          <w:color w:val="auto"/>
          <w:sz w:val="24"/>
        </w:rPr>
      </w:pPr>
    </w:p>
    <w:p w14:paraId="1BCA2F5C">
      <w:pPr>
        <w:snapToGrid w:val="0"/>
        <w:spacing w:beforeLines="50" w:after="50" w:line="400" w:lineRule="exact"/>
        <w:ind w:firstLine="360" w:firstLineChars="150"/>
        <w:rPr>
          <w:rFonts w:hint="eastAsia" w:ascii="仿宋" w:hAnsi="仿宋" w:eastAsia="仿宋"/>
          <w:bCs/>
          <w:color w:val="auto"/>
          <w:sz w:val="24"/>
        </w:rPr>
      </w:pPr>
      <w:r>
        <w:rPr>
          <w:rFonts w:hint="eastAsia" w:ascii="仿宋" w:hAnsi="仿宋" w:eastAsia="仿宋"/>
          <w:bCs/>
          <w:color w:val="auto"/>
          <w:sz w:val="24"/>
        </w:rPr>
        <w:t>投标人名称：</w:t>
      </w:r>
    </w:p>
    <w:p w14:paraId="54DC00D9">
      <w:pPr>
        <w:snapToGrid w:val="0"/>
        <w:spacing w:beforeLines="50" w:after="50" w:line="400" w:lineRule="exact"/>
        <w:ind w:firstLine="360" w:firstLineChars="150"/>
        <w:rPr>
          <w:rFonts w:hint="eastAsia" w:ascii="仿宋" w:hAnsi="仿宋" w:eastAsia="仿宋"/>
          <w:bCs/>
          <w:color w:val="auto"/>
          <w:sz w:val="24"/>
        </w:rPr>
      </w:pPr>
    </w:p>
    <w:p w14:paraId="77DE192A">
      <w:pPr>
        <w:snapToGrid w:val="0"/>
        <w:spacing w:beforeLines="50" w:after="50" w:line="400" w:lineRule="exact"/>
        <w:ind w:firstLine="360" w:firstLineChars="150"/>
        <w:rPr>
          <w:rFonts w:hint="eastAsia" w:ascii="仿宋" w:hAnsi="仿宋" w:eastAsia="仿宋"/>
          <w:bCs/>
          <w:color w:val="auto"/>
          <w:sz w:val="24"/>
        </w:rPr>
      </w:pPr>
      <w:r>
        <w:rPr>
          <w:rFonts w:hint="eastAsia" w:ascii="仿宋" w:hAnsi="仿宋" w:eastAsia="仿宋"/>
          <w:bCs/>
          <w:color w:val="auto"/>
          <w:sz w:val="24"/>
        </w:rPr>
        <w:t>投标人地址：</w:t>
      </w:r>
    </w:p>
    <w:p w14:paraId="271C2CBA">
      <w:pPr>
        <w:snapToGrid w:val="0"/>
        <w:spacing w:beforeLines="50" w:after="50" w:line="400" w:lineRule="exact"/>
        <w:ind w:firstLine="360" w:firstLineChars="150"/>
        <w:rPr>
          <w:rFonts w:hint="eastAsia" w:ascii="仿宋" w:hAnsi="仿宋" w:eastAsia="仿宋"/>
          <w:bCs/>
          <w:color w:val="auto"/>
          <w:sz w:val="24"/>
        </w:rPr>
      </w:pPr>
    </w:p>
    <w:p w14:paraId="2731A99C">
      <w:pPr>
        <w:snapToGrid w:val="0"/>
        <w:spacing w:beforeLines="50" w:after="50"/>
        <w:ind w:firstLine="645"/>
        <w:jc w:val="center"/>
        <w:rPr>
          <w:rFonts w:hint="eastAsia" w:ascii="仿宋" w:hAnsi="仿宋" w:eastAsia="仿宋"/>
          <w:color w:val="auto"/>
          <w:sz w:val="24"/>
        </w:rPr>
      </w:pPr>
      <w:r>
        <w:rPr>
          <w:rFonts w:hint="eastAsia" w:ascii="仿宋" w:hAnsi="仿宋" w:eastAsia="仿宋"/>
          <w:color w:val="auto"/>
          <w:sz w:val="24"/>
        </w:rPr>
        <w:t xml:space="preserve">               </w:t>
      </w:r>
    </w:p>
    <w:p w14:paraId="25C24D2B">
      <w:pPr>
        <w:snapToGrid w:val="0"/>
        <w:spacing w:beforeLines="50" w:after="50"/>
        <w:ind w:firstLine="645"/>
        <w:jc w:val="center"/>
        <w:rPr>
          <w:rFonts w:hint="eastAsia" w:ascii="仿宋" w:hAnsi="仿宋" w:eastAsia="仿宋"/>
          <w:color w:val="auto"/>
          <w:sz w:val="24"/>
        </w:rPr>
      </w:pPr>
    </w:p>
    <w:p w14:paraId="264B91F6">
      <w:pPr>
        <w:snapToGrid w:val="0"/>
        <w:spacing w:beforeLines="50" w:after="50"/>
        <w:ind w:firstLine="645"/>
        <w:jc w:val="center"/>
        <w:rPr>
          <w:rFonts w:hint="eastAsia" w:ascii="仿宋" w:hAnsi="仿宋" w:eastAsia="仿宋"/>
          <w:color w:val="auto"/>
          <w:sz w:val="24"/>
        </w:rPr>
      </w:pPr>
      <w:r>
        <w:rPr>
          <w:rFonts w:hint="eastAsia" w:ascii="仿宋" w:hAnsi="仿宋" w:eastAsia="仿宋"/>
          <w:color w:val="auto"/>
          <w:sz w:val="24"/>
        </w:rPr>
        <w:t>年    月    日</w:t>
      </w:r>
    </w:p>
    <w:p w14:paraId="6CF045BB">
      <w:pPr>
        <w:snapToGrid w:val="0"/>
        <w:spacing w:beforeLines="50" w:after="50"/>
        <w:ind w:firstLine="645"/>
        <w:jc w:val="center"/>
        <w:rPr>
          <w:rFonts w:hint="eastAsia" w:ascii="仿宋" w:hAnsi="仿宋" w:eastAsia="仿宋"/>
          <w:color w:val="auto"/>
          <w:sz w:val="24"/>
          <w:szCs w:val="20"/>
        </w:rPr>
      </w:pPr>
    </w:p>
    <w:p w14:paraId="30CEC1BA">
      <w:pPr>
        <w:snapToGrid w:val="0"/>
        <w:spacing w:beforeLines="50" w:after="50"/>
        <w:ind w:left="142"/>
        <w:jc w:val="left"/>
        <w:rPr>
          <w:rFonts w:hint="eastAsia" w:ascii="仿宋" w:hAnsi="仿宋" w:eastAsia="仿宋"/>
          <w:b/>
          <w:bCs/>
          <w:color w:val="auto"/>
          <w:sz w:val="24"/>
        </w:rPr>
      </w:pPr>
      <w:r>
        <w:rPr>
          <w:rFonts w:ascii="仿宋" w:hAnsi="仿宋" w:eastAsia="仿宋"/>
          <w:b/>
          <w:bCs/>
          <w:color w:val="auto"/>
          <w:sz w:val="24"/>
        </w:rPr>
        <w:br w:type="page"/>
      </w:r>
      <w:r>
        <w:rPr>
          <w:rFonts w:hint="eastAsia" w:ascii="仿宋" w:hAnsi="仿宋" w:eastAsia="仿宋"/>
          <w:b/>
          <w:bCs/>
          <w:color w:val="auto"/>
          <w:sz w:val="24"/>
        </w:rPr>
        <w:t>2.技术文件目录</w:t>
      </w:r>
    </w:p>
    <w:p w14:paraId="1B0AF624">
      <w:pPr>
        <w:snapToGrid w:val="0"/>
        <w:spacing w:before="50" w:afterLines="50" w:line="360" w:lineRule="auto"/>
        <w:ind w:firstLine="480" w:firstLineChars="200"/>
        <w:jc w:val="left"/>
        <w:rPr>
          <w:rFonts w:hint="eastAsia" w:ascii="仿宋" w:hAnsi="仿宋" w:eastAsia="仿宋"/>
          <w:color w:val="auto"/>
          <w:sz w:val="24"/>
        </w:rPr>
      </w:pPr>
      <w:r>
        <w:rPr>
          <w:rFonts w:hint="eastAsia" w:ascii="仿宋" w:hAnsi="仿宋" w:eastAsia="仿宋"/>
          <w:color w:val="auto"/>
          <w:sz w:val="24"/>
        </w:rPr>
        <w:t>根据招标文件规定及投标人提供的材料自行编写目录。</w:t>
      </w:r>
    </w:p>
    <w:p w14:paraId="3807D0A7">
      <w:pPr>
        <w:snapToGrid w:val="0"/>
        <w:spacing w:beforeLines="50" w:after="50"/>
        <w:ind w:left="142"/>
        <w:jc w:val="left"/>
        <w:rPr>
          <w:rFonts w:hint="eastAsia" w:ascii="仿宋" w:hAnsi="仿宋" w:eastAsia="仿宋"/>
          <w:b/>
          <w:color w:val="auto"/>
          <w:sz w:val="24"/>
        </w:rPr>
      </w:pPr>
      <w:r>
        <w:rPr>
          <w:rFonts w:ascii="仿宋" w:hAnsi="仿宋" w:eastAsia="仿宋"/>
          <w:b/>
          <w:color w:val="auto"/>
          <w:sz w:val="24"/>
        </w:rPr>
        <w:br w:type="page"/>
      </w:r>
      <w:r>
        <w:rPr>
          <w:rFonts w:hint="eastAsia" w:ascii="仿宋" w:hAnsi="仿宋" w:eastAsia="仿宋"/>
          <w:b/>
          <w:color w:val="auto"/>
          <w:sz w:val="24"/>
          <w:lang w:val="en-US" w:eastAsia="zh-CN"/>
        </w:rPr>
        <w:t>3</w:t>
      </w:r>
      <w:r>
        <w:rPr>
          <w:rFonts w:hint="eastAsia" w:ascii="仿宋" w:hAnsi="仿宋" w:eastAsia="仿宋"/>
          <w:b/>
          <w:color w:val="auto"/>
          <w:sz w:val="24"/>
        </w:rPr>
        <w:t>. 技术要求偏离表格式</w:t>
      </w:r>
    </w:p>
    <w:p w14:paraId="65105B07">
      <w:pPr>
        <w:snapToGrid w:val="0"/>
        <w:spacing w:beforeLines="50" w:after="50"/>
        <w:ind w:left="142"/>
        <w:jc w:val="left"/>
        <w:rPr>
          <w:rFonts w:hint="eastAsia" w:ascii="仿宋" w:hAnsi="仿宋" w:eastAsia="仿宋"/>
          <w:b/>
          <w:color w:val="auto"/>
          <w:sz w:val="24"/>
        </w:rPr>
      </w:pPr>
    </w:p>
    <w:p w14:paraId="7B8DCFE2">
      <w:pPr>
        <w:snapToGrid w:val="0"/>
        <w:spacing w:beforeLines="50" w:after="50"/>
        <w:ind w:left="142"/>
        <w:jc w:val="center"/>
        <w:rPr>
          <w:rFonts w:hint="eastAsia" w:ascii="仿宋" w:hAnsi="仿宋" w:eastAsia="仿宋"/>
          <w:b/>
          <w:color w:val="auto"/>
          <w:sz w:val="32"/>
          <w:szCs w:val="32"/>
        </w:rPr>
      </w:pPr>
      <w:r>
        <w:rPr>
          <w:rFonts w:hint="eastAsia" w:ascii="仿宋" w:hAnsi="仿宋" w:eastAsia="仿宋"/>
          <w:b/>
          <w:color w:val="auto"/>
          <w:sz w:val="32"/>
          <w:szCs w:val="32"/>
        </w:rPr>
        <w:t>技术要求偏离表</w:t>
      </w:r>
    </w:p>
    <w:p w14:paraId="38AB2899">
      <w:pPr>
        <w:snapToGrid w:val="0"/>
        <w:spacing w:beforeLines="50" w:after="50"/>
        <w:ind w:left="142"/>
        <w:jc w:val="center"/>
        <w:rPr>
          <w:rFonts w:hint="eastAsia" w:ascii="仿宋" w:hAnsi="仿宋" w:eastAsia="仿宋"/>
          <w:b/>
          <w:color w:val="auto"/>
          <w:sz w:val="32"/>
          <w:szCs w:val="32"/>
        </w:rPr>
      </w:pPr>
    </w:p>
    <w:tbl>
      <w:tblPr>
        <w:tblStyle w:val="47"/>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583C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7F2E9D25">
            <w:pPr>
              <w:pStyle w:val="24"/>
              <w:spacing w:line="400" w:lineRule="exact"/>
              <w:jc w:val="center"/>
              <w:rPr>
                <w:rFonts w:hint="eastAsia" w:ascii="仿宋" w:hAnsi="仿宋" w:eastAsia="仿宋" w:cs="Courier New"/>
                <w:color w:val="auto"/>
                <w:kern w:val="2"/>
                <w:sz w:val="24"/>
                <w:szCs w:val="24"/>
                <w:lang w:val="en-US" w:eastAsia="zh-CN"/>
              </w:rPr>
            </w:pPr>
            <w:r>
              <w:rPr>
                <w:rFonts w:hint="eastAsia" w:ascii="仿宋" w:hAnsi="仿宋" w:eastAsia="仿宋" w:cs="Courier New"/>
                <w:color w:val="auto"/>
                <w:kern w:val="2"/>
                <w:sz w:val="24"/>
                <w:szCs w:val="24"/>
                <w:lang w:val="en-US" w:eastAsia="zh-CN"/>
              </w:rPr>
              <w:t>项号</w:t>
            </w:r>
          </w:p>
        </w:tc>
        <w:tc>
          <w:tcPr>
            <w:tcW w:w="2143" w:type="dxa"/>
            <w:vAlign w:val="center"/>
          </w:tcPr>
          <w:p w14:paraId="1A85A30B">
            <w:pPr>
              <w:pStyle w:val="24"/>
              <w:spacing w:line="400" w:lineRule="exact"/>
              <w:jc w:val="center"/>
              <w:rPr>
                <w:rFonts w:hint="eastAsia" w:ascii="仿宋" w:hAnsi="仿宋" w:eastAsia="仿宋" w:cs="Courier New"/>
                <w:color w:val="auto"/>
                <w:kern w:val="2"/>
                <w:sz w:val="24"/>
                <w:szCs w:val="24"/>
                <w:lang w:val="en-US" w:eastAsia="zh-CN"/>
              </w:rPr>
            </w:pPr>
            <w:r>
              <w:rPr>
                <w:rFonts w:hint="eastAsia" w:ascii="仿宋" w:hAnsi="仿宋" w:eastAsia="仿宋" w:cs="Courier New"/>
                <w:color w:val="auto"/>
                <w:kern w:val="2"/>
                <w:sz w:val="24"/>
                <w:szCs w:val="24"/>
                <w:lang w:val="en-US" w:eastAsia="zh-CN"/>
              </w:rPr>
              <w:t>标的的名称</w:t>
            </w:r>
          </w:p>
        </w:tc>
        <w:tc>
          <w:tcPr>
            <w:tcW w:w="1834" w:type="dxa"/>
            <w:vAlign w:val="center"/>
          </w:tcPr>
          <w:p w14:paraId="65458238">
            <w:pPr>
              <w:pStyle w:val="24"/>
              <w:spacing w:line="400" w:lineRule="exact"/>
              <w:jc w:val="center"/>
              <w:rPr>
                <w:rFonts w:ascii="仿宋" w:hAnsi="仿宋" w:eastAsia="仿宋" w:cs="Courier New"/>
                <w:color w:val="auto"/>
                <w:kern w:val="2"/>
                <w:sz w:val="24"/>
                <w:szCs w:val="24"/>
                <w:lang w:val="en-US" w:eastAsia="zh-CN"/>
              </w:rPr>
            </w:pPr>
            <w:r>
              <w:rPr>
                <w:rFonts w:hint="eastAsia" w:ascii="仿宋" w:hAnsi="仿宋" w:eastAsia="仿宋" w:cs="Courier New"/>
                <w:color w:val="auto"/>
                <w:kern w:val="2"/>
                <w:sz w:val="24"/>
                <w:szCs w:val="24"/>
                <w:lang w:val="en-US" w:eastAsia="zh-CN"/>
              </w:rPr>
              <w:t>技术要求</w:t>
            </w:r>
          </w:p>
        </w:tc>
        <w:tc>
          <w:tcPr>
            <w:tcW w:w="2181" w:type="dxa"/>
            <w:vAlign w:val="center"/>
          </w:tcPr>
          <w:p w14:paraId="34CC5F32">
            <w:pPr>
              <w:pStyle w:val="24"/>
              <w:spacing w:line="400" w:lineRule="exact"/>
              <w:jc w:val="center"/>
              <w:rPr>
                <w:rFonts w:hint="eastAsia" w:ascii="仿宋" w:hAnsi="仿宋" w:eastAsia="仿宋" w:cs="Courier New"/>
                <w:color w:val="auto"/>
                <w:kern w:val="2"/>
                <w:sz w:val="24"/>
                <w:szCs w:val="24"/>
                <w:lang w:val="en-US" w:eastAsia="zh-CN"/>
              </w:rPr>
            </w:pPr>
            <w:r>
              <w:rPr>
                <w:rFonts w:hint="eastAsia" w:ascii="仿宋" w:hAnsi="仿宋" w:eastAsia="仿宋" w:cs="Courier New"/>
                <w:color w:val="auto"/>
                <w:kern w:val="2"/>
                <w:sz w:val="24"/>
                <w:szCs w:val="24"/>
                <w:lang w:val="en-US" w:eastAsia="zh-CN"/>
              </w:rPr>
              <w:t>投标响应</w:t>
            </w:r>
          </w:p>
        </w:tc>
        <w:tc>
          <w:tcPr>
            <w:tcW w:w="1934" w:type="dxa"/>
            <w:vAlign w:val="center"/>
          </w:tcPr>
          <w:p w14:paraId="786FA928">
            <w:pPr>
              <w:pStyle w:val="24"/>
              <w:spacing w:line="400" w:lineRule="exact"/>
              <w:jc w:val="center"/>
              <w:rPr>
                <w:rFonts w:hint="eastAsia" w:ascii="仿宋" w:hAnsi="仿宋" w:eastAsia="仿宋" w:cs="Courier New"/>
                <w:color w:val="auto"/>
                <w:kern w:val="2"/>
                <w:sz w:val="24"/>
                <w:szCs w:val="24"/>
                <w:lang w:val="en-US" w:eastAsia="zh-CN"/>
              </w:rPr>
            </w:pPr>
            <w:r>
              <w:rPr>
                <w:rFonts w:hint="eastAsia" w:ascii="仿宋" w:hAnsi="仿宋" w:eastAsia="仿宋" w:cs="Courier New"/>
                <w:color w:val="auto"/>
                <w:kern w:val="2"/>
                <w:sz w:val="24"/>
                <w:szCs w:val="24"/>
                <w:lang w:val="en-US" w:eastAsia="zh-CN"/>
              </w:rPr>
              <w:t>偏离说明</w:t>
            </w:r>
          </w:p>
        </w:tc>
      </w:tr>
      <w:tr w14:paraId="3DAA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7F93A8D8">
            <w:pPr>
              <w:pStyle w:val="24"/>
              <w:spacing w:line="600" w:lineRule="exact"/>
              <w:jc w:val="center"/>
              <w:rPr>
                <w:rFonts w:hint="eastAsia" w:ascii="仿宋" w:hAnsi="仿宋" w:eastAsia="仿宋" w:cs="Courier New"/>
                <w:color w:val="auto"/>
                <w:kern w:val="2"/>
                <w:sz w:val="24"/>
                <w:szCs w:val="24"/>
                <w:lang w:val="en-US" w:eastAsia="zh-CN"/>
              </w:rPr>
            </w:pPr>
          </w:p>
        </w:tc>
        <w:tc>
          <w:tcPr>
            <w:tcW w:w="2143" w:type="dxa"/>
            <w:vAlign w:val="center"/>
          </w:tcPr>
          <w:p w14:paraId="428BF07A">
            <w:pPr>
              <w:pStyle w:val="24"/>
              <w:spacing w:line="600" w:lineRule="exact"/>
              <w:jc w:val="center"/>
              <w:rPr>
                <w:rFonts w:hint="eastAsia" w:ascii="仿宋" w:hAnsi="仿宋" w:eastAsia="仿宋" w:cs="Courier New"/>
                <w:color w:val="auto"/>
                <w:kern w:val="2"/>
                <w:sz w:val="24"/>
                <w:szCs w:val="24"/>
                <w:lang w:val="en-US" w:eastAsia="zh-CN"/>
              </w:rPr>
            </w:pPr>
          </w:p>
        </w:tc>
        <w:tc>
          <w:tcPr>
            <w:tcW w:w="1834" w:type="dxa"/>
            <w:vAlign w:val="center"/>
          </w:tcPr>
          <w:p w14:paraId="19048444">
            <w:pPr>
              <w:pStyle w:val="24"/>
              <w:spacing w:line="600" w:lineRule="exact"/>
              <w:jc w:val="center"/>
              <w:rPr>
                <w:rFonts w:hint="eastAsia" w:ascii="仿宋" w:hAnsi="仿宋" w:eastAsia="仿宋" w:cs="Courier New"/>
                <w:color w:val="auto"/>
                <w:kern w:val="2"/>
                <w:sz w:val="24"/>
                <w:szCs w:val="24"/>
                <w:lang w:val="en-US" w:eastAsia="zh-CN"/>
              </w:rPr>
            </w:pPr>
          </w:p>
        </w:tc>
        <w:tc>
          <w:tcPr>
            <w:tcW w:w="2181" w:type="dxa"/>
            <w:vAlign w:val="center"/>
          </w:tcPr>
          <w:p w14:paraId="67A6B30A">
            <w:pPr>
              <w:pStyle w:val="24"/>
              <w:spacing w:line="600" w:lineRule="exact"/>
              <w:jc w:val="center"/>
              <w:rPr>
                <w:rFonts w:hint="eastAsia" w:ascii="仿宋" w:hAnsi="仿宋" w:eastAsia="仿宋" w:cs="Courier New"/>
                <w:color w:val="auto"/>
                <w:kern w:val="2"/>
                <w:sz w:val="24"/>
                <w:szCs w:val="24"/>
                <w:lang w:val="en-US" w:eastAsia="zh-CN"/>
              </w:rPr>
            </w:pPr>
          </w:p>
        </w:tc>
        <w:tc>
          <w:tcPr>
            <w:tcW w:w="1934" w:type="dxa"/>
            <w:vAlign w:val="center"/>
          </w:tcPr>
          <w:p w14:paraId="5FC8BF19">
            <w:pPr>
              <w:pStyle w:val="24"/>
              <w:spacing w:line="600" w:lineRule="exact"/>
              <w:jc w:val="center"/>
              <w:rPr>
                <w:rFonts w:hint="eastAsia" w:ascii="仿宋" w:hAnsi="仿宋" w:eastAsia="仿宋" w:cs="Courier New"/>
                <w:color w:val="auto"/>
                <w:kern w:val="2"/>
                <w:sz w:val="24"/>
                <w:szCs w:val="24"/>
                <w:lang w:val="en-US" w:eastAsia="zh-CN"/>
              </w:rPr>
            </w:pPr>
          </w:p>
        </w:tc>
      </w:tr>
      <w:tr w14:paraId="1E0D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094E62DC">
            <w:pPr>
              <w:pStyle w:val="24"/>
              <w:spacing w:line="600" w:lineRule="exact"/>
              <w:rPr>
                <w:rFonts w:hint="eastAsia" w:ascii="仿宋" w:hAnsi="仿宋" w:eastAsia="仿宋" w:cs="Courier New"/>
                <w:color w:val="auto"/>
                <w:kern w:val="2"/>
                <w:sz w:val="24"/>
                <w:szCs w:val="24"/>
                <w:lang w:val="en-US" w:eastAsia="zh-CN"/>
              </w:rPr>
            </w:pPr>
          </w:p>
        </w:tc>
        <w:tc>
          <w:tcPr>
            <w:tcW w:w="2143" w:type="dxa"/>
          </w:tcPr>
          <w:p w14:paraId="2383FEA8">
            <w:pPr>
              <w:pStyle w:val="24"/>
              <w:spacing w:line="600" w:lineRule="exact"/>
              <w:rPr>
                <w:rFonts w:hint="eastAsia" w:ascii="仿宋" w:hAnsi="仿宋" w:eastAsia="仿宋" w:cs="Courier New"/>
                <w:color w:val="auto"/>
                <w:kern w:val="2"/>
                <w:sz w:val="24"/>
                <w:szCs w:val="24"/>
                <w:lang w:val="en-US" w:eastAsia="zh-CN"/>
              </w:rPr>
            </w:pPr>
          </w:p>
        </w:tc>
        <w:tc>
          <w:tcPr>
            <w:tcW w:w="1834" w:type="dxa"/>
          </w:tcPr>
          <w:p w14:paraId="2B4283F1">
            <w:pPr>
              <w:pStyle w:val="24"/>
              <w:spacing w:line="600" w:lineRule="exact"/>
              <w:rPr>
                <w:rFonts w:hint="eastAsia" w:ascii="仿宋" w:hAnsi="仿宋" w:eastAsia="仿宋" w:cs="Courier New"/>
                <w:color w:val="auto"/>
                <w:kern w:val="2"/>
                <w:sz w:val="24"/>
                <w:szCs w:val="24"/>
                <w:lang w:val="en-US" w:eastAsia="zh-CN"/>
              </w:rPr>
            </w:pPr>
          </w:p>
        </w:tc>
        <w:tc>
          <w:tcPr>
            <w:tcW w:w="2181" w:type="dxa"/>
          </w:tcPr>
          <w:p w14:paraId="2FCB85DD">
            <w:pPr>
              <w:pStyle w:val="24"/>
              <w:spacing w:line="600" w:lineRule="exact"/>
              <w:rPr>
                <w:rFonts w:hint="eastAsia" w:ascii="仿宋" w:hAnsi="仿宋" w:eastAsia="仿宋" w:cs="Courier New"/>
                <w:color w:val="auto"/>
                <w:kern w:val="2"/>
                <w:sz w:val="24"/>
                <w:szCs w:val="24"/>
                <w:lang w:val="en-US" w:eastAsia="zh-CN"/>
              </w:rPr>
            </w:pPr>
          </w:p>
        </w:tc>
        <w:tc>
          <w:tcPr>
            <w:tcW w:w="1934" w:type="dxa"/>
          </w:tcPr>
          <w:p w14:paraId="0BF89E71">
            <w:pPr>
              <w:pStyle w:val="24"/>
              <w:spacing w:line="600" w:lineRule="exact"/>
              <w:rPr>
                <w:rFonts w:hint="eastAsia" w:ascii="仿宋" w:hAnsi="仿宋" w:eastAsia="仿宋" w:cs="Courier New"/>
                <w:color w:val="auto"/>
                <w:kern w:val="2"/>
                <w:sz w:val="24"/>
                <w:szCs w:val="24"/>
                <w:lang w:val="en-US" w:eastAsia="zh-CN"/>
              </w:rPr>
            </w:pPr>
          </w:p>
        </w:tc>
      </w:tr>
      <w:tr w14:paraId="14A7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781DD699">
            <w:pPr>
              <w:pStyle w:val="24"/>
              <w:spacing w:line="600" w:lineRule="exact"/>
              <w:rPr>
                <w:rFonts w:hint="eastAsia" w:ascii="仿宋" w:hAnsi="仿宋" w:eastAsia="仿宋" w:cs="Courier New"/>
                <w:color w:val="auto"/>
                <w:kern w:val="2"/>
                <w:sz w:val="24"/>
                <w:szCs w:val="24"/>
                <w:lang w:val="en-US" w:eastAsia="zh-CN"/>
              </w:rPr>
            </w:pPr>
          </w:p>
        </w:tc>
        <w:tc>
          <w:tcPr>
            <w:tcW w:w="2143" w:type="dxa"/>
          </w:tcPr>
          <w:p w14:paraId="0D1C1F9E">
            <w:pPr>
              <w:pStyle w:val="24"/>
              <w:spacing w:line="600" w:lineRule="exact"/>
              <w:rPr>
                <w:rFonts w:hint="eastAsia" w:ascii="仿宋" w:hAnsi="仿宋" w:eastAsia="仿宋" w:cs="Courier New"/>
                <w:color w:val="auto"/>
                <w:kern w:val="2"/>
                <w:sz w:val="24"/>
                <w:szCs w:val="24"/>
                <w:lang w:val="en-US" w:eastAsia="zh-CN"/>
              </w:rPr>
            </w:pPr>
          </w:p>
        </w:tc>
        <w:tc>
          <w:tcPr>
            <w:tcW w:w="1834" w:type="dxa"/>
          </w:tcPr>
          <w:p w14:paraId="15FD0FEA">
            <w:pPr>
              <w:pStyle w:val="24"/>
              <w:spacing w:line="600" w:lineRule="exact"/>
              <w:rPr>
                <w:rFonts w:hint="eastAsia" w:ascii="仿宋" w:hAnsi="仿宋" w:eastAsia="仿宋" w:cs="Courier New"/>
                <w:color w:val="auto"/>
                <w:kern w:val="2"/>
                <w:sz w:val="24"/>
                <w:szCs w:val="24"/>
                <w:lang w:val="en-US" w:eastAsia="zh-CN"/>
              </w:rPr>
            </w:pPr>
          </w:p>
        </w:tc>
        <w:tc>
          <w:tcPr>
            <w:tcW w:w="2181" w:type="dxa"/>
          </w:tcPr>
          <w:p w14:paraId="5E5B6126">
            <w:pPr>
              <w:pStyle w:val="24"/>
              <w:spacing w:line="600" w:lineRule="exact"/>
              <w:rPr>
                <w:rFonts w:hint="eastAsia" w:ascii="仿宋" w:hAnsi="仿宋" w:eastAsia="仿宋" w:cs="Courier New"/>
                <w:color w:val="auto"/>
                <w:kern w:val="2"/>
                <w:sz w:val="24"/>
                <w:szCs w:val="24"/>
                <w:lang w:val="en-US" w:eastAsia="zh-CN"/>
              </w:rPr>
            </w:pPr>
          </w:p>
        </w:tc>
        <w:tc>
          <w:tcPr>
            <w:tcW w:w="1934" w:type="dxa"/>
          </w:tcPr>
          <w:p w14:paraId="3A9DABF1">
            <w:pPr>
              <w:pStyle w:val="24"/>
              <w:spacing w:line="600" w:lineRule="exact"/>
              <w:rPr>
                <w:rFonts w:hint="eastAsia" w:ascii="仿宋" w:hAnsi="仿宋" w:eastAsia="仿宋" w:cs="Courier New"/>
                <w:color w:val="auto"/>
                <w:kern w:val="2"/>
                <w:sz w:val="24"/>
                <w:szCs w:val="24"/>
                <w:lang w:val="en-US" w:eastAsia="zh-CN"/>
              </w:rPr>
            </w:pPr>
          </w:p>
        </w:tc>
      </w:tr>
      <w:tr w14:paraId="03CA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46256B44">
            <w:pPr>
              <w:pStyle w:val="24"/>
              <w:spacing w:line="600" w:lineRule="exact"/>
              <w:rPr>
                <w:rFonts w:hint="eastAsia" w:ascii="仿宋" w:hAnsi="仿宋" w:eastAsia="仿宋" w:cs="Courier New"/>
                <w:color w:val="auto"/>
                <w:kern w:val="2"/>
                <w:sz w:val="24"/>
                <w:szCs w:val="24"/>
                <w:lang w:val="en-US" w:eastAsia="zh-CN"/>
              </w:rPr>
            </w:pPr>
          </w:p>
        </w:tc>
        <w:tc>
          <w:tcPr>
            <w:tcW w:w="2143" w:type="dxa"/>
          </w:tcPr>
          <w:p w14:paraId="2E026470">
            <w:pPr>
              <w:pStyle w:val="24"/>
              <w:spacing w:line="600" w:lineRule="exact"/>
              <w:rPr>
                <w:rFonts w:hint="eastAsia" w:ascii="仿宋" w:hAnsi="仿宋" w:eastAsia="仿宋" w:cs="Courier New"/>
                <w:color w:val="auto"/>
                <w:kern w:val="2"/>
                <w:sz w:val="24"/>
                <w:szCs w:val="24"/>
                <w:lang w:val="en-US" w:eastAsia="zh-CN"/>
              </w:rPr>
            </w:pPr>
          </w:p>
        </w:tc>
        <w:tc>
          <w:tcPr>
            <w:tcW w:w="1834" w:type="dxa"/>
          </w:tcPr>
          <w:p w14:paraId="621DDAA1">
            <w:pPr>
              <w:pStyle w:val="24"/>
              <w:spacing w:line="600" w:lineRule="exact"/>
              <w:rPr>
                <w:rFonts w:hint="eastAsia" w:ascii="仿宋" w:hAnsi="仿宋" w:eastAsia="仿宋" w:cs="Courier New"/>
                <w:color w:val="auto"/>
                <w:kern w:val="2"/>
                <w:sz w:val="24"/>
                <w:szCs w:val="24"/>
                <w:lang w:val="en-US" w:eastAsia="zh-CN"/>
              </w:rPr>
            </w:pPr>
          </w:p>
        </w:tc>
        <w:tc>
          <w:tcPr>
            <w:tcW w:w="2181" w:type="dxa"/>
          </w:tcPr>
          <w:p w14:paraId="041C25E2">
            <w:pPr>
              <w:pStyle w:val="24"/>
              <w:spacing w:line="600" w:lineRule="exact"/>
              <w:rPr>
                <w:rFonts w:hint="eastAsia" w:ascii="仿宋" w:hAnsi="仿宋" w:eastAsia="仿宋" w:cs="Courier New"/>
                <w:color w:val="auto"/>
                <w:kern w:val="2"/>
                <w:sz w:val="24"/>
                <w:szCs w:val="24"/>
                <w:lang w:val="en-US" w:eastAsia="zh-CN"/>
              </w:rPr>
            </w:pPr>
          </w:p>
        </w:tc>
        <w:tc>
          <w:tcPr>
            <w:tcW w:w="1934" w:type="dxa"/>
          </w:tcPr>
          <w:p w14:paraId="531E5FF5">
            <w:pPr>
              <w:pStyle w:val="24"/>
              <w:spacing w:line="600" w:lineRule="exact"/>
              <w:rPr>
                <w:rFonts w:hint="eastAsia" w:ascii="仿宋" w:hAnsi="仿宋" w:eastAsia="仿宋" w:cs="Courier New"/>
                <w:color w:val="auto"/>
                <w:kern w:val="2"/>
                <w:sz w:val="24"/>
                <w:szCs w:val="24"/>
                <w:lang w:val="en-US" w:eastAsia="zh-CN"/>
              </w:rPr>
            </w:pPr>
          </w:p>
        </w:tc>
      </w:tr>
      <w:tr w14:paraId="68E9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5DDD7940">
            <w:pPr>
              <w:pStyle w:val="24"/>
              <w:spacing w:line="600" w:lineRule="exact"/>
              <w:rPr>
                <w:rFonts w:hint="eastAsia" w:ascii="仿宋" w:hAnsi="仿宋" w:eastAsia="仿宋" w:cs="Courier New"/>
                <w:color w:val="auto"/>
                <w:kern w:val="2"/>
                <w:sz w:val="24"/>
                <w:szCs w:val="24"/>
                <w:lang w:val="en-US" w:eastAsia="zh-CN"/>
              </w:rPr>
            </w:pPr>
          </w:p>
        </w:tc>
        <w:tc>
          <w:tcPr>
            <w:tcW w:w="2143" w:type="dxa"/>
          </w:tcPr>
          <w:p w14:paraId="34CE1DAF">
            <w:pPr>
              <w:pStyle w:val="24"/>
              <w:spacing w:line="600" w:lineRule="exact"/>
              <w:rPr>
                <w:rFonts w:hint="eastAsia" w:ascii="仿宋" w:hAnsi="仿宋" w:eastAsia="仿宋" w:cs="Courier New"/>
                <w:color w:val="auto"/>
                <w:kern w:val="2"/>
                <w:sz w:val="24"/>
                <w:szCs w:val="24"/>
                <w:lang w:val="en-US" w:eastAsia="zh-CN"/>
              </w:rPr>
            </w:pPr>
          </w:p>
        </w:tc>
        <w:tc>
          <w:tcPr>
            <w:tcW w:w="1834" w:type="dxa"/>
          </w:tcPr>
          <w:p w14:paraId="1F331306">
            <w:pPr>
              <w:pStyle w:val="24"/>
              <w:spacing w:line="600" w:lineRule="exact"/>
              <w:rPr>
                <w:rFonts w:hint="eastAsia" w:ascii="仿宋" w:hAnsi="仿宋" w:eastAsia="仿宋" w:cs="Courier New"/>
                <w:color w:val="auto"/>
                <w:kern w:val="2"/>
                <w:sz w:val="24"/>
                <w:szCs w:val="24"/>
                <w:lang w:val="en-US" w:eastAsia="zh-CN"/>
              </w:rPr>
            </w:pPr>
          </w:p>
        </w:tc>
        <w:tc>
          <w:tcPr>
            <w:tcW w:w="2181" w:type="dxa"/>
          </w:tcPr>
          <w:p w14:paraId="313CC773">
            <w:pPr>
              <w:pStyle w:val="24"/>
              <w:spacing w:line="600" w:lineRule="exact"/>
              <w:rPr>
                <w:rFonts w:hint="eastAsia" w:ascii="仿宋" w:hAnsi="仿宋" w:eastAsia="仿宋" w:cs="Courier New"/>
                <w:color w:val="auto"/>
                <w:kern w:val="2"/>
                <w:sz w:val="24"/>
                <w:szCs w:val="24"/>
                <w:lang w:val="en-US" w:eastAsia="zh-CN"/>
              </w:rPr>
            </w:pPr>
          </w:p>
        </w:tc>
        <w:tc>
          <w:tcPr>
            <w:tcW w:w="1934" w:type="dxa"/>
          </w:tcPr>
          <w:p w14:paraId="5A111079">
            <w:pPr>
              <w:pStyle w:val="24"/>
              <w:spacing w:line="600" w:lineRule="exact"/>
              <w:rPr>
                <w:rFonts w:hint="eastAsia" w:ascii="仿宋" w:hAnsi="仿宋" w:eastAsia="仿宋" w:cs="Courier New"/>
                <w:color w:val="auto"/>
                <w:kern w:val="2"/>
                <w:sz w:val="24"/>
                <w:szCs w:val="24"/>
                <w:lang w:val="en-US" w:eastAsia="zh-CN"/>
              </w:rPr>
            </w:pPr>
          </w:p>
        </w:tc>
      </w:tr>
      <w:tr w14:paraId="3AFA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7DFDC7AC">
            <w:pPr>
              <w:pStyle w:val="24"/>
              <w:spacing w:line="600" w:lineRule="exact"/>
              <w:rPr>
                <w:rFonts w:hint="eastAsia" w:ascii="仿宋" w:hAnsi="仿宋" w:eastAsia="仿宋" w:cs="Courier New"/>
                <w:color w:val="auto"/>
                <w:kern w:val="2"/>
                <w:sz w:val="24"/>
                <w:szCs w:val="24"/>
                <w:lang w:val="en-US" w:eastAsia="zh-CN"/>
              </w:rPr>
            </w:pPr>
          </w:p>
        </w:tc>
        <w:tc>
          <w:tcPr>
            <w:tcW w:w="2143" w:type="dxa"/>
          </w:tcPr>
          <w:p w14:paraId="6C7A3B52">
            <w:pPr>
              <w:pStyle w:val="24"/>
              <w:spacing w:line="600" w:lineRule="exact"/>
              <w:rPr>
                <w:rFonts w:hint="eastAsia" w:ascii="仿宋" w:hAnsi="仿宋" w:eastAsia="仿宋" w:cs="Courier New"/>
                <w:color w:val="auto"/>
                <w:kern w:val="2"/>
                <w:sz w:val="24"/>
                <w:szCs w:val="24"/>
                <w:lang w:val="en-US" w:eastAsia="zh-CN"/>
              </w:rPr>
            </w:pPr>
          </w:p>
        </w:tc>
        <w:tc>
          <w:tcPr>
            <w:tcW w:w="1834" w:type="dxa"/>
          </w:tcPr>
          <w:p w14:paraId="6EDF15A9">
            <w:pPr>
              <w:pStyle w:val="24"/>
              <w:spacing w:line="600" w:lineRule="exact"/>
              <w:rPr>
                <w:rFonts w:hint="eastAsia" w:ascii="仿宋" w:hAnsi="仿宋" w:eastAsia="仿宋" w:cs="Courier New"/>
                <w:color w:val="auto"/>
                <w:kern w:val="2"/>
                <w:sz w:val="24"/>
                <w:szCs w:val="24"/>
                <w:lang w:val="en-US" w:eastAsia="zh-CN"/>
              </w:rPr>
            </w:pPr>
          </w:p>
        </w:tc>
        <w:tc>
          <w:tcPr>
            <w:tcW w:w="2181" w:type="dxa"/>
          </w:tcPr>
          <w:p w14:paraId="35ABC3E7">
            <w:pPr>
              <w:pStyle w:val="24"/>
              <w:spacing w:line="600" w:lineRule="exact"/>
              <w:rPr>
                <w:rFonts w:hint="eastAsia" w:ascii="仿宋" w:hAnsi="仿宋" w:eastAsia="仿宋" w:cs="Courier New"/>
                <w:color w:val="auto"/>
                <w:kern w:val="2"/>
                <w:sz w:val="24"/>
                <w:szCs w:val="24"/>
                <w:lang w:val="en-US" w:eastAsia="zh-CN"/>
              </w:rPr>
            </w:pPr>
          </w:p>
        </w:tc>
        <w:tc>
          <w:tcPr>
            <w:tcW w:w="1934" w:type="dxa"/>
          </w:tcPr>
          <w:p w14:paraId="18954662">
            <w:pPr>
              <w:pStyle w:val="24"/>
              <w:spacing w:line="600" w:lineRule="exact"/>
              <w:rPr>
                <w:rFonts w:hint="eastAsia" w:ascii="仿宋" w:hAnsi="仿宋" w:eastAsia="仿宋" w:cs="Courier New"/>
                <w:color w:val="auto"/>
                <w:kern w:val="2"/>
                <w:sz w:val="24"/>
                <w:szCs w:val="24"/>
                <w:lang w:val="en-US" w:eastAsia="zh-CN"/>
              </w:rPr>
            </w:pPr>
          </w:p>
        </w:tc>
      </w:tr>
    </w:tbl>
    <w:p w14:paraId="22AE2119">
      <w:pPr>
        <w:pStyle w:val="17"/>
        <w:rPr>
          <w:rFonts w:hint="eastAsia" w:ascii="仿宋" w:hAnsi="仿宋" w:eastAsia="仿宋"/>
          <w:color w:val="auto"/>
        </w:rPr>
      </w:pPr>
      <w:r>
        <w:rPr>
          <w:rFonts w:hint="eastAsia" w:ascii="仿宋" w:hAnsi="仿宋" w:eastAsia="仿宋"/>
          <w:color w:val="auto"/>
        </w:rPr>
        <w:t>注：</w:t>
      </w:r>
    </w:p>
    <w:p w14:paraId="519D3751">
      <w:pPr>
        <w:pStyle w:val="19"/>
        <w:spacing w:line="360" w:lineRule="auto"/>
        <w:ind w:firstLine="0" w:firstLineChars="0"/>
        <w:rPr>
          <w:rFonts w:hint="eastAsia" w:ascii="仿宋" w:hAnsi="仿宋" w:eastAsia="仿宋" w:cs="仿宋_GB2312"/>
          <w:color w:val="auto"/>
          <w:szCs w:val="32"/>
          <w:highlight w:val="none"/>
        </w:rPr>
      </w:pPr>
      <w:r>
        <w:rPr>
          <w:rFonts w:hint="eastAsia" w:ascii="仿宋" w:hAnsi="仿宋" w:eastAsia="仿宋"/>
          <w:color w:val="auto"/>
          <w:sz w:val="24"/>
          <w:szCs w:val="24"/>
        </w:rPr>
        <w:t>1. 说明：应对照招标文件“第二章 采购需求”中的“技术要求”逐条作明确的投标响应，并作出偏离说明</w:t>
      </w:r>
      <w:r>
        <w:rPr>
          <w:rFonts w:hint="eastAsia" w:ascii="仿宋" w:hAnsi="仿宋" w:eastAsia="仿宋"/>
          <w:color w:val="auto"/>
          <w:sz w:val="24"/>
          <w:szCs w:val="24"/>
          <w:highlight w:val="none"/>
        </w:rPr>
        <w:t>。</w:t>
      </w:r>
    </w:p>
    <w:p w14:paraId="2E0BB760">
      <w:pPr>
        <w:pStyle w:val="17"/>
        <w:spacing w:line="360" w:lineRule="auto"/>
        <w:rPr>
          <w:rFonts w:hint="eastAsia" w:ascii="仿宋" w:hAnsi="仿宋" w:eastAsia="仿宋"/>
          <w:b w:val="0"/>
          <w:bCs w:val="0"/>
          <w:color w:val="auto"/>
        </w:rPr>
      </w:pPr>
      <w:r>
        <w:rPr>
          <w:rFonts w:ascii="仿宋" w:hAnsi="仿宋" w:eastAsia="仿宋"/>
          <w:b w:val="0"/>
          <w:bCs w:val="0"/>
          <w:color w:val="auto"/>
        </w:rPr>
        <w:t>2.</w:t>
      </w:r>
      <w:r>
        <w:rPr>
          <w:rFonts w:hint="eastAsia" w:ascii="仿宋" w:hAnsi="仿宋" w:eastAsia="仿宋"/>
          <w:b w:val="0"/>
          <w:bCs w:val="0"/>
          <w:color w:val="auto"/>
        </w:rPr>
        <w:t>投标人根据自身的承诺，对照招标文件技术要求，在“偏离说明”中注明“</w:t>
      </w:r>
      <w:r>
        <w:rPr>
          <w:rFonts w:hint="eastAsia" w:ascii="仿宋" w:hAnsi="仿宋" w:eastAsia="仿宋"/>
          <w:color w:val="auto"/>
        </w:rPr>
        <w:t>正偏离</w:t>
      </w:r>
      <w:r>
        <w:rPr>
          <w:rFonts w:hint="eastAsia" w:ascii="仿宋" w:hAnsi="仿宋" w:eastAsia="仿宋"/>
          <w:b w:val="0"/>
          <w:bCs w:val="0"/>
          <w:color w:val="auto"/>
        </w:rPr>
        <w:t>”、“</w:t>
      </w:r>
      <w:r>
        <w:rPr>
          <w:rFonts w:hint="eastAsia" w:ascii="仿宋" w:hAnsi="仿宋" w:eastAsia="仿宋"/>
          <w:color w:val="auto"/>
        </w:rPr>
        <w:t>负偏离</w:t>
      </w:r>
      <w:r>
        <w:rPr>
          <w:rFonts w:hint="eastAsia" w:ascii="仿宋" w:hAnsi="仿宋" w:eastAsia="仿宋"/>
          <w:b w:val="0"/>
          <w:bCs w:val="0"/>
          <w:color w:val="auto"/>
        </w:rPr>
        <w:t>”或者“</w:t>
      </w:r>
      <w:r>
        <w:rPr>
          <w:rFonts w:hint="eastAsia" w:ascii="仿宋" w:hAnsi="仿宋" w:eastAsia="仿宋"/>
          <w:color w:val="auto"/>
        </w:rPr>
        <w:t>无偏离</w:t>
      </w:r>
      <w:r>
        <w:rPr>
          <w:rFonts w:hint="eastAsia" w:ascii="仿宋" w:hAnsi="仿宋" w:eastAsia="仿宋"/>
          <w:b w:val="0"/>
          <w:bCs w:val="0"/>
          <w:color w:val="auto"/>
        </w:rPr>
        <w:t>”。既不属于“</w:t>
      </w:r>
      <w:r>
        <w:rPr>
          <w:rFonts w:hint="eastAsia" w:ascii="仿宋" w:hAnsi="仿宋" w:eastAsia="仿宋"/>
          <w:color w:val="auto"/>
        </w:rPr>
        <w:t>正偏离</w:t>
      </w:r>
      <w:r>
        <w:rPr>
          <w:rFonts w:hint="eastAsia" w:ascii="仿宋" w:hAnsi="仿宋" w:eastAsia="仿宋"/>
          <w:b w:val="0"/>
          <w:bCs w:val="0"/>
          <w:color w:val="auto"/>
        </w:rPr>
        <w:t>”也不属于“</w:t>
      </w:r>
      <w:r>
        <w:rPr>
          <w:rFonts w:hint="eastAsia" w:ascii="仿宋" w:hAnsi="仿宋" w:eastAsia="仿宋"/>
          <w:color w:val="auto"/>
        </w:rPr>
        <w:t>负偏离</w:t>
      </w:r>
      <w:r>
        <w:rPr>
          <w:rFonts w:hint="eastAsia" w:ascii="仿宋" w:hAnsi="仿宋" w:eastAsia="仿宋"/>
          <w:b w:val="0"/>
          <w:bCs w:val="0"/>
          <w:color w:val="auto"/>
        </w:rPr>
        <w:t>”即为“</w:t>
      </w:r>
      <w:r>
        <w:rPr>
          <w:rFonts w:hint="eastAsia" w:ascii="仿宋" w:hAnsi="仿宋" w:eastAsia="仿宋"/>
          <w:color w:val="auto"/>
        </w:rPr>
        <w:t>无偏离</w:t>
      </w:r>
      <w:r>
        <w:rPr>
          <w:rFonts w:hint="eastAsia" w:ascii="仿宋" w:hAnsi="仿宋" w:eastAsia="仿宋"/>
          <w:b w:val="0"/>
          <w:bCs w:val="0"/>
          <w:color w:val="auto"/>
        </w:rPr>
        <w:t>”。</w:t>
      </w:r>
    </w:p>
    <w:p w14:paraId="4A6B229E">
      <w:pPr>
        <w:snapToGrid w:val="0"/>
        <w:spacing w:before="50" w:after="50" w:line="360" w:lineRule="auto"/>
        <w:rPr>
          <w:rFonts w:ascii="仿宋" w:hAnsi="仿宋" w:eastAsia="仿宋"/>
          <w:color w:val="auto"/>
          <w:sz w:val="24"/>
        </w:rPr>
      </w:pPr>
    </w:p>
    <w:p w14:paraId="0696B3BB">
      <w:pPr>
        <w:snapToGrid w:val="0"/>
        <w:spacing w:before="50" w:after="50" w:line="360" w:lineRule="auto"/>
        <w:rPr>
          <w:rFonts w:hint="eastAsia" w:ascii="仿宋" w:hAnsi="仿宋" w:eastAsia="仿宋"/>
          <w:color w:val="auto"/>
          <w:spacing w:val="20"/>
          <w:sz w:val="24"/>
          <w:u w:val="single"/>
        </w:rPr>
      </w:pPr>
      <w:r>
        <w:rPr>
          <w:rFonts w:hint="eastAsia" w:ascii="仿宋" w:hAnsi="仿宋" w:eastAsia="仿宋"/>
          <w:color w:val="auto"/>
          <w:sz w:val="24"/>
        </w:rPr>
        <w:t>法定代表人或者委托代理人</w:t>
      </w:r>
      <w:r>
        <w:rPr>
          <w:rFonts w:hint="eastAsia" w:ascii="仿宋" w:hAnsi="仿宋" w:eastAsia="仿宋"/>
          <w:color w:val="auto"/>
          <w:spacing w:val="20"/>
          <w:sz w:val="24"/>
        </w:rPr>
        <w:t>（签字或盖章）：</w:t>
      </w:r>
      <w:r>
        <w:rPr>
          <w:rFonts w:hint="eastAsia" w:ascii="仿宋" w:hAnsi="仿宋" w:eastAsia="仿宋"/>
          <w:color w:val="auto"/>
          <w:spacing w:val="20"/>
          <w:sz w:val="24"/>
          <w:u w:val="single"/>
        </w:rPr>
        <w:t xml:space="preserve">        </w:t>
      </w:r>
    </w:p>
    <w:p w14:paraId="1C72DBEA">
      <w:pPr>
        <w:snapToGrid w:val="0"/>
        <w:spacing w:before="50" w:after="50" w:line="360" w:lineRule="auto"/>
        <w:rPr>
          <w:rFonts w:ascii="仿宋" w:hAnsi="仿宋" w:eastAsia="仿宋"/>
          <w:color w:val="auto"/>
          <w:spacing w:val="20"/>
          <w:sz w:val="24"/>
        </w:rPr>
      </w:pPr>
      <w:r>
        <w:rPr>
          <w:rFonts w:hint="eastAsia" w:ascii="仿宋" w:hAnsi="仿宋" w:eastAsia="仿宋"/>
          <w:color w:val="auto"/>
          <w:spacing w:val="20"/>
          <w:sz w:val="24"/>
        </w:rPr>
        <w:t>投标人（盖公章）：</w:t>
      </w:r>
      <w:r>
        <w:rPr>
          <w:rFonts w:hint="eastAsia" w:ascii="仿宋" w:hAnsi="仿宋" w:eastAsia="仿宋"/>
          <w:color w:val="auto"/>
          <w:spacing w:val="20"/>
          <w:sz w:val="24"/>
          <w:u w:val="single"/>
        </w:rPr>
        <w:t xml:space="preserve">            </w:t>
      </w:r>
      <w:r>
        <w:rPr>
          <w:rFonts w:hint="eastAsia" w:ascii="仿宋" w:hAnsi="仿宋" w:eastAsia="仿宋"/>
          <w:color w:val="auto"/>
          <w:spacing w:val="20"/>
          <w:sz w:val="24"/>
        </w:rPr>
        <w:t xml:space="preserve">              </w:t>
      </w:r>
    </w:p>
    <w:p w14:paraId="65C48796">
      <w:pPr>
        <w:snapToGrid w:val="0"/>
        <w:spacing w:before="50" w:after="50" w:line="360" w:lineRule="auto"/>
        <w:rPr>
          <w:rFonts w:hint="eastAsia" w:ascii="仿宋" w:hAnsi="仿宋" w:eastAsia="仿宋"/>
          <w:color w:val="auto"/>
          <w:spacing w:val="20"/>
          <w:sz w:val="24"/>
          <w:u w:val="single"/>
        </w:rPr>
      </w:pPr>
      <w:r>
        <w:rPr>
          <w:rFonts w:hint="eastAsia" w:ascii="仿宋" w:hAnsi="仿宋" w:eastAsia="仿宋"/>
          <w:color w:val="auto"/>
          <w:spacing w:val="20"/>
          <w:sz w:val="24"/>
        </w:rPr>
        <w:t>日 期：</w:t>
      </w:r>
      <w:r>
        <w:rPr>
          <w:rFonts w:hint="eastAsia" w:ascii="仿宋" w:hAnsi="仿宋" w:eastAsia="仿宋"/>
          <w:color w:val="auto"/>
          <w:spacing w:val="20"/>
          <w:sz w:val="24"/>
          <w:u w:val="single"/>
        </w:rPr>
        <w:t xml:space="preserve">        </w:t>
      </w:r>
    </w:p>
    <w:p w14:paraId="6CBBFAB6">
      <w:pPr>
        <w:snapToGrid w:val="0"/>
        <w:spacing w:before="50" w:after="50" w:line="360" w:lineRule="auto"/>
        <w:rPr>
          <w:rFonts w:hint="eastAsia" w:ascii="仿宋" w:hAnsi="仿宋" w:eastAsia="仿宋"/>
          <w:color w:val="auto"/>
          <w:sz w:val="24"/>
          <w:szCs w:val="20"/>
        </w:rPr>
      </w:pPr>
    </w:p>
    <w:p w14:paraId="12E3F0B5">
      <w:pPr>
        <w:snapToGrid w:val="0"/>
        <w:spacing w:beforeLines="50" w:after="50"/>
        <w:ind w:left="142"/>
        <w:jc w:val="left"/>
        <w:rPr>
          <w:rFonts w:hint="eastAsia" w:ascii="仿宋" w:hAnsi="仿宋" w:eastAsia="仿宋"/>
          <w:b/>
          <w:color w:val="auto"/>
          <w:sz w:val="24"/>
          <w:lang w:val="en-US" w:eastAsia="zh-CN"/>
        </w:rPr>
      </w:pPr>
    </w:p>
    <w:p w14:paraId="27CD4348">
      <w:pPr>
        <w:snapToGrid w:val="0"/>
        <w:spacing w:beforeLines="50" w:after="50"/>
        <w:ind w:left="142"/>
        <w:jc w:val="left"/>
        <w:rPr>
          <w:rFonts w:hint="eastAsia" w:ascii="仿宋" w:hAnsi="仿宋" w:eastAsia="仿宋"/>
          <w:b/>
          <w:color w:val="auto"/>
          <w:sz w:val="24"/>
          <w:lang w:val="en-US" w:eastAsia="zh-CN"/>
        </w:rPr>
      </w:pPr>
    </w:p>
    <w:p w14:paraId="4BE02D3E">
      <w:pPr>
        <w:snapToGrid w:val="0"/>
        <w:spacing w:beforeLines="50" w:after="50"/>
        <w:ind w:left="142"/>
        <w:jc w:val="left"/>
        <w:rPr>
          <w:rFonts w:hint="eastAsia" w:ascii="仿宋" w:hAnsi="仿宋" w:eastAsia="仿宋"/>
          <w:b/>
          <w:color w:val="auto"/>
          <w:sz w:val="24"/>
          <w:lang w:val="en-US" w:eastAsia="zh-CN"/>
        </w:rPr>
      </w:pPr>
    </w:p>
    <w:p w14:paraId="491D5D2D">
      <w:pPr>
        <w:snapToGrid w:val="0"/>
        <w:spacing w:beforeLines="50" w:after="50"/>
        <w:ind w:left="142"/>
        <w:jc w:val="left"/>
        <w:rPr>
          <w:rFonts w:hint="eastAsia" w:ascii="仿宋" w:hAnsi="仿宋" w:eastAsia="仿宋"/>
          <w:b/>
          <w:color w:val="auto"/>
          <w:sz w:val="24"/>
          <w:lang w:val="en-US" w:eastAsia="zh-CN"/>
        </w:rPr>
      </w:pPr>
    </w:p>
    <w:p w14:paraId="00349E3A">
      <w:pPr>
        <w:snapToGrid w:val="0"/>
        <w:spacing w:beforeLines="50" w:after="50"/>
        <w:ind w:left="142"/>
        <w:jc w:val="left"/>
        <w:rPr>
          <w:rFonts w:hint="eastAsia" w:ascii="仿宋" w:hAnsi="仿宋" w:eastAsia="仿宋"/>
          <w:b/>
          <w:color w:val="auto"/>
          <w:sz w:val="24"/>
          <w:lang w:val="en-US" w:eastAsia="zh-CN"/>
        </w:rPr>
      </w:pPr>
    </w:p>
    <w:p w14:paraId="7896D4C9">
      <w:pPr>
        <w:snapToGrid w:val="0"/>
        <w:spacing w:beforeLines="50" w:after="50"/>
        <w:ind w:left="142"/>
        <w:jc w:val="left"/>
        <w:rPr>
          <w:rFonts w:hint="eastAsia" w:ascii="仿宋" w:hAnsi="仿宋" w:eastAsia="仿宋"/>
          <w:b/>
          <w:color w:val="auto"/>
          <w:sz w:val="24"/>
        </w:rPr>
      </w:pPr>
      <w:r>
        <w:rPr>
          <w:rFonts w:hint="eastAsia" w:ascii="仿宋" w:hAnsi="仿宋" w:eastAsia="仿宋"/>
          <w:b/>
          <w:color w:val="auto"/>
          <w:sz w:val="24"/>
          <w:lang w:val="en-US" w:eastAsia="zh-CN"/>
        </w:rPr>
        <w:t>4</w:t>
      </w:r>
      <w:r>
        <w:rPr>
          <w:rFonts w:hint="eastAsia" w:ascii="仿宋" w:hAnsi="仿宋" w:eastAsia="仿宋"/>
          <w:b/>
          <w:color w:val="auto"/>
          <w:sz w:val="24"/>
        </w:rPr>
        <w:t>. 项目实施人员一览表格式</w:t>
      </w:r>
    </w:p>
    <w:p w14:paraId="6431BBC3">
      <w:pPr>
        <w:snapToGrid w:val="0"/>
        <w:spacing w:beforeLines="50" w:after="50"/>
        <w:ind w:left="142"/>
        <w:jc w:val="left"/>
        <w:rPr>
          <w:rFonts w:hint="eastAsia" w:ascii="仿宋" w:hAnsi="仿宋" w:eastAsia="仿宋"/>
          <w:b/>
          <w:color w:val="auto"/>
          <w:sz w:val="24"/>
        </w:rPr>
      </w:pPr>
    </w:p>
    <w:p w14:paraId="0A2E7C5F">
      <w:pPr>
        <w:snapToGrid w:val="0"/>
        <w:spacing w:beforeLines="50" w:after="50"/>
        <w:ind w:left="142"/>
        <w:jc w:val="center"/>
        <w:rPr>
          <w:rFonts w:hint="eastAsia" w:ascii="仿宋" w:hAnsi="仿宋" w:eastAsia="仿宋"/>
          <w:b/>
          <w:color w:val="auto"/>
          <w:sz w:val="32"/>
          <w:szCs w:val="32"/>
        </w:rPr>
      </w:pPr>
      <w:r>
        <w:rPr>
          <w:rFonts w:hint="eastAsia" w:ascii="仿宋" w:hAnsi="仿宋" w:eastAsia="仿宋"/>
          <w:b/>
          <w:color w:val="auto"/>
          <w:sz w:val="32"/>
          <w:szCs w:val="32"/>
        </w:rPr>
        <w:t>项目实施人员一览表</w:t>
      </w:r>
    </w:p>
    <w:p w14:paraId="60E42642">
      <w:pPr>
        <w:snapToGrid w:val="0"/>
        <w:spacing w:beforeLines="50" w:after="50"/>
        <w:ind w:left="142"/>
        <w:jc w:val="center"/>
        <w:rPr>
          <w:rFonts w:hint="eastAsia" w:ascii="仿宋" w:hAnsi="仿宋" w:eastAsia="仿宋"/>
          <w:b/>
          <w:color w:val="auto"/>
          <w:sz w:val="32"/>
          <w:szCs w:val="32"/>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984"/>
        <w:gridCol w:w="1418"/>
        <w:gridCol w:w="1417"/>
        <w:gridCol w:w="1843"/>
      </w:tblGrid>
      <w:tr w14:paraId="50C3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69E6A9D4">
            <w:pPr>
              <w:snapToGrid w:val="0"/>
              <w:spacing w:before="50" w:afterLines="50"/>
              <w:jc w:val="center"/>
              <w:rPr>
                <w:rFonts w:hint="eastAsia" w:ascii="仿宋" w:hAnsi="仿宋" w:eastAsia="仿宋"/>
                <w:color w:val="auto"/>
                <w:sz w:val="24"/>
                <w:szCs w:val="20"/>
              </w:rPr>
            </w:pPr>
          </w:p>
          <w:p w14:paraId="6250C900">
            <w:pPr>
              <w:snapToGrid w:val="0"/>
              <w:spacing w:before="50" w:afterLines="50"/>
              <w:jc w:val="center"/>
              <w:rPr>
                <w:rFonts w:hint="eastAsia" w:ascii="仿宋" w:hAnsi="仿宋" w:eastAsia="仿宋"/>
                <w:color w:val="auto"/>
                <w:sz w:val="24"/>
                <w:szCs w:val="20"/>
              </w:rPr>
            </w:pPr>
            <w:r>
              <w:rPr>
                <w:rFonts w:hint="eastAsia" w:ascii="仿宋" w:hAnsi="仿宋" w:eastAsia="仿宋"/>
                <w:color w:val="auto"/>
                <w:sz w:val="24"/>
                <w:szCs w:val="20"/>
              </w:rPr>
              <w:t>姓名</w:t>
            </w:r>
          </w:p>
        </w:tc>
        <w:tc>
          <w:tcPr>
            <w:tcW w:w="709" w:type="dxa"/>
            <w:vAlign w:val="center"/>
          </w:tcPr>
          <w:p w14:paraId="175AD263">
            <w:pPr>
              <w:snapToGrid w:val="0"/>
              <w:spacing w:before="50" w:afterLines="50"/>
              <w:jc w:val="center"/>
              <w:rPr>
                <w:rFonts w:hint="eastAsia" w:ascii="仿宋" w:hAnsi="仿宋" w:eastAsia="仿宋"/>
                <w:color w:val="auto"/>
                <w:sz w:val="24"/>
                <w:szCs w:val="20"/>
              </w:rPr>
            </w:pPr>
            <w:r>
              <w:rPr>
                <w:rFonts w:hint="eastAsia" w:ascii="仿宋" w:hAnsi="仿宋" w:eastAsia="仿宋"/>
                <w:color w:val="auto"/>
                <w:sz w:val="24"/>
                <w:szCs w:val="20"/>
              </w:rPr>
              <w:t>职务</w:t>
            </w:r>
          </w:p>
        </w:tc>
        <w:tc>
          <w:tcPr>
            <w:tcW w:w="1984" w:type="dxa"/>
            <w:vAlign w:val="center"/>
          </w:tcPr>
          <w:p w14:paraId="724E9374">
            <w:pPr>
              <w:snapToGrid w:val="0"/>
              <w:spacing w:before="50" w:afterLines="50"/>
              <w:jc w:val="center"/>
              <w:rPr>
                <w:rFonts w:hint="eastAsia" w:ascii="仿宋" w:hAnsi="仿宋" w:eastAsia="仿宋"/>
                <w:color w:val="auto"/>
                <w:sz w:val="24"/>
                <w:szCs w:val="20"/>
              </w:rPr>
            </w:pPr>
            <w:r>
              <w:rPr>
                <w:rFonts w:hint="eastAsia" w:ascii="仿宋" w:hAnsi="仿宋" w:eastAsia="仿宋"/>
                <w:color w:val="auto"/>
                <w:sz w:val="24"/>
                <w:szCs w:val="20"/>
              </w:rPr>
              <w:t>专业技术资格（职称）或者职业资格或者执业资格证或者其他证书（如有）</w:t>
            </w:r>
          </w:p>
        </w:tc>
        <w:tc>
          <w:tcPr>
            <w:tcW w:w="1418" w:type="dxa"/>
            <w:vAlign w:val="center"/>
          </w:tcPr>
          <w:p w14:paraId="25ED4CC2">
            <w:pPr>
              <w:snapToGrid w:val="0"/>
              <w:spacing w:before="50" w:afterLines="50"/>
              <w:jc w:val="center"/>
              <w:rPr>
                <w:rFonts w:hint="eastAsia" w:ascii="仿宋" w:hAnsi="仿宋" w:eastAsia="仿宋"/>
                <w:color w:val="auto"/>
                <w:sz w:val="24"/>
                <w:szCs w:val="20"/>
              </w:rPr>
            </w:pPr>
            <w:r>
              <w:rPr>
                <w:rFonts w:hint="eastAsia" w:ascii="仿宋" w:hAnsi="仿宋" w:eastAsia="仿宋"/>
                <w:color w:val="auto"/>
                <w:sz w:val="24"/>
                <w:szCs w:val="20"/>
              </w:rPr>
              <w:t>证书编号（如有）</w:t>
            </w:r>
          </w:p>
        </w:tc>
        <w:tc>
          <w:tcPr>
            <w:tcW w:w="1417" w:type="dxa"/>
            <w:vAlign w:val="center"/>
          </w:tcPr>
          <w:p w14:paraId="114A647C">
            <w:pPr>
              <w:snapToGrid w:val="0"/>
              <w:spacing w:before="50" w:afterLines="50"/>
              <w:jc w:val="center"/>
              <w:rPr>
                <w:rFonts w:hint="eastAsia" w:ascii="仿宋" w:hAnsi="仿宋" w:eastAsia="仿宋"/>
                <w:color w:val="auto"/>
                <w:sz w:val="24"/>
                <w:szCs w:val="20"/>
              </w:rPr>
            </w:pPr>
            <w:r>
              <w:rPr>
                <w:rFonts w:hint="eastAsia" w:ascii="仿宋" w:hAnsi="仿宋" w:eastAsia="仿宋"/>
                <w:color w:val="auto"/>
                <w:sz w:val="24"/>
                <w:szCs w:val="20"/>
              </w:rPr>
              <w:t>参加本单位</w:t>
            </w:r>
          </w:p>
          <w:p w14:paraId="13002740">
            <w:pPr>
              <w:snapToGrid w:val="0"/>
              <w:spacing w:before="50" w:afterLines="50"/>
              <w:jc w:val="center"/>
              <w:rPr>
                <w:rFonts w:hint="eastAsia" w:ascii="仿宋" w:hAnsi="仿宋" w:eastAsia="仿宋"/>
                <w:color w:val="auto"/>
                <w:sz w:val="24"/>
                <w:szCs w:val="20"/>
              </w:rPr>
            </w:pPr>
            <w:r>
              <w:rPr>
                <w:rFonts w:hint="eastAsia" w:ascii="仿宋" w:hAnsi="仿宋" w:eastAsia="仿宋"/>
                <w:color w:val="auto"/>
                <w:sz w:val="24"/>
                <w:szCs w:val="20"/>
              </w:rPr>
              <w:t>工作时间</w:t>
            </w:r>
          </w:p>
        </w:tc>
        <w:tc>
          <w:tcPr>
            <w:tcW w:w="1843" w:type="dxa"/>
            <w:vAlign w:val="center"/>
          </w:tcPr>
          <w:p w14:paraId="47EF1CCD">
            <w:pPr>
              <w:snapToGrid w:val="0"/>
              <w:spacing w:before="50" w:afterLines="50"/>
              <w:jc w:val="center"/>
              <w:rPr>
                <w:rFonts w:hint="eastAsia" w:ascii="仿宋" w:hAnsi="仿宋" w:eastAsia="仿宋"/>
                <w:color w:val="auto"/>
                <w:sz w:val="24"/>
                <w:szCs w:val="20"/>
              </w:rPr>
            </w:pPr>
            <w:r>
              <w:rPr>
                <w:rFonts w:hint="eastAsia" w:ascii="仿宋" w:hAnsi="仿宋" w:eastAsia="仿宋"/>
                <w:color w:val="auto"/>
                <w:sz w:val="24"/>
                <w:szCs w:val="20"/>
              </w:rPr>
              <w:t>劳动合同编号</w:t>
            </w:r>
          </w:p>
        </w:tc>
      </w:tr>
      <w:tr w14:paraId="0A46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350B4FE2">
            <w:pPr>
              <w:snapToGrid w:val="0"/>
              <w:spacing w:before="50" w:afterLines="50"/>
              <w:jc w:val="center"/>
              <w:rPr>
                <w:rFonts w:hint="eastAsia" w:ascii="仿宋" w:hAnsi="仿宋" w:eastAsia="仿宋"/>
                <w:color w:val="auto"/>
                <w:sz w:val="24"/>
                <w:szCs w:val="20"/>
              </w:rPr>
            </w:pPr>
          </w:p>
        </w:tc>
        <w:tc>
          <w:tcPr>
            <w:tcW w:w="709" w:type="dxa"/>
            <w:vAlign w:val="center"/>
          </w:tcPr>
          <w:p w14:paraId="50EB2DD8">
            <w:pPr>
              <w:snapToGrid w:val="0"/>
              <w:spacing w:before="50" w:afterLines="50"/>
              <w:jc w:val="center"/>
              <w:rPr>
                <w:rFonts w:hint="eastAsia" w:ascii="仿宋" w:hAnsi="仿宋" w:eastAsia="仿宋"/>
                <w:color w:val="auto"/>
                <w:sz w:val="24"/>
                <w:szCs w:val="20"/>
              </w:rPr>
            </w:pPr>
          </w:p>
        </w:tc>
        <w:tc>
          <w:tcPr>
            <w:tcW w:w="1984" w:type="dxa"/>
            <w:vAlign w:val="center"/>
          </w:tcPr>
          <w:p w14:paraId="344C2360">
            <w:pPr>
              <w:snapToGrid w:val="0"/>
              <w:spacing w:before="50" w:afterLines="50"/>
              <w:jc w:val="center"/>
              <w:rPr>
                <w:rFonts w:hint="eastAsia" w:ascii="仿宋" w:hAnsi="仿宋" w:eastAsia="仿宋"/>
                <w:color w:val="auto"/>
                <w:sz w:val="24"/>
                <w:szCs w:val="20"/>
              </w:rPr>
            </w:pPr>
          </w:p>
        </w:tc>
        <w:tc>
          <w:tcPr>
            <w:tcW w:w="1418" w:type="dxa"/>
            <w:vAlign w:val="center"/>
          </w:tcPr>
          <w:p w14:paraId="5266DC54">
            <w:pPr>
              <w:snapToGrid w:val="0"/>
              <w:spacing w:before="50" w:afterLines="50"/>
              <w:jc w:val="center"/>
              <w:rPr>
                <w:rFonts w:hint="eastAsia" w:ascii="仿宋" w:hAnsi="仿宋" w:eastAsia="仿宋"/>
                <w:color w:val="auto"/>
                <w:sz w:val="24"/>
                <w:szCs w:val="20"/>
              </w:rPr>
            </w:pPr>
          </w:p>
        </w:tc>
        <w:tc>
          <w:tcPr>
            <w:tcW w:w="1417" w:type="dxa"/>
            <w:vAlign w:val="center"/>
          </w:tcPr>
          <w:p w14:paraId="14E14090">
            <w:pPr>
              <w:snapToGrid w:val="0"/>
              <w:spacing w:before="50" w:afterLines="50"/>
              <w:jc w:val="center"/>
              <w:rPr>
                <w:rFonts w:hint="eastAsia" w:ascii="仿宋" w:hAnsi="仿宋" w:eastAsia="仿宋"/>
                <w:color w:val="auto"/>
                <w:sz w:val="24"/>
                <w:szCs w:val="20"/>
              </w:rPr>
            </w:pPr>
          </w:p>
        </w:tc>
        <w:tc>
          <w:tcPr>
            <w:tcW w:w="1843" w:type="dxa"/>
            <w:vAlign w:val="center"/>
          </w:tcPr>
          <w:p w14:paraId="3C07F96C">
            <w:pPr>
              <w:snapToGrid w:val="0"/>
              <w:spacing w:before="50" w:afterLines="50"/>
              <w:jc w:val="center"/>
              <w:rPr>
                <w:rFonts w:hint="eastAsia" w:ascii="仿宋" w:hAnsi="仿宋" w:eastAsia="仿宋"/>
                <w:color w:val="auto"/>
                <w:sz w:val="24"/>
                <w:szCs w:val="20"/>
              </w:rPr>
            </w:pPr>
          </w:p>
        </w:tc>
      </w:tr>
      <w:tr w14:paraId="6D4A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03C5695D">
            <w:pPr>
              <w:snapToGrid w:val="0"/>
              <w:spacing w:before="50" w:afterLines="50"/>
              <w:jc w:val="center"/>
              <w:rPr>
                <w:rFonts w:hint="eastAsia" w:ascii="仿宋" w:hAnsi="仿宋" w:eastAsia="仿宋"/>
                <w:color w:val="auto"/>
                <w:sz w:val="24"/>
                <w:szCs w:val="20"/>
              </w:rPr>
            </w:pPr>
          </w:p>
        </w:tc>
        <w:tc>
          <w:tcPr>
            <w:tcW w:w="709" w:type="dxa"/>
            <w:vAlign w:val="center"/>
          </w:tcPr>
          <w:p w14:paraId="7DC1C251">
            <w:pPr>
              <w:snapToGrid w:val="0"/>
              <w:spacing w:before="50" w:afterLines="50"/>
              <w:jc w:val="center"/>
              <w:rPr>
                <w:rFonts w:hint="eastAsia" w:ascii="仿宋" w:hAnsi="仿宋" w:eastAsia="仿宋"/>
                <w:color w:val="auto"/>
                <w:sz w:val="24"/>
                <w:szCs w:val="20"/>
              </w:rPr>
            </w:pPr>
          </w:p>
        </w:tc>
        <w:tc>
          <w:tcPr>
            <w:tcW w:w="1984" w:type="dxa"/>
            <w:vAlign w:val="center"/>
          </w:tcPr>
          <w:p w14:paraId="02CBFE9E">
            <w:pPr>
              <w:snapToGrid w:val="0"/>
              <w:spacing w:before="50" w:afterLines="50"/>
              <w:jc w:val="center"/>
              <w:rPr>
                <w:rFonts w:hint="eastAsia" w:ascii="仿宋" w:hAnsi="仿宋" w:eastAsia="仿宋"/>
                <w:color w:val="auto"/>
                <w:sz w:val="24"/>
                <w:szCs w:val="20"/>
              </w:rPr>
            </w:pPr>
          </w:p>
        </w:tc>
        <w:tc>
          <w:tcPr>
            <w:tcW w:w="1418" w:type="dxa"/>
            <w:vAlign w:val="center"/>
          </w:tcPr>
          <w:p w14:paraId="5B32BEB7">
            <w:pPr>
              <w:snapToGrid w:val="0"/>
              <w:spacing w:before="50" w:afterLines="50"/>
              <w:jc w:val="center"/>
              <w:rPr>
                <w:rFonts w:hint="eastAsia" w:ascii="仿宋" w:hAnsi="仿宋" w:eastAsia="仿宋"/>
                <w:color w:val="auto"/>
                <w:sz w:val="24"/>
                <w:szCs w:val="20"/>
              </w:rPr>
            </w:pPr>
          </w:p>
        </w:tc>
        <w:tc>
          <w:tcPr>
            <w:tcW w:w="1417" w:type="dxa"/>
            <w:vAlign w:val="center"/>
          </w:tcPr>
          <w:p w14:paraId="7B34FECB">
            <w:pPr>
              <w:snapToGrid w:val="0"/>
              <w:spacing w:before="50" w:afterLines="50"/>
              <w:jc w:val="center"/>
              <w:rPr>
                <w:rFonts w:hint="eastAsia" w:ascii="仿宋" w:hAnsi="仿宋" w:eastAsia="仿宋"/>
                <w:color w:val="auto"/>
                <w:sz w:val="24"/>
                <w:szCs w:val="20"/>
              </w:rPr>
            </w:pPr>
          </w:p>
        </w:tc>
        <w:tc>
          <w:tcPr>
            <w:tcW w:w="1843" w:type="dxa"/>
            <w:vAlign w:val="center"/>
          </w:tcPr>
          <w:p w14:paraId="31964020">
            <w:pPr>
              <w:snapToGrid w:val="0"/>
              <w:spacing w:before="50" w:afterLines="50"/>
              <w:jc w:val="center"/>
              <w:rPr>
                <w:rFonts w:hint="eastAsia" w:ascii="仿宋" w:hAnsi="仿宋" w:eastAsia="仿宋"/>
                <w:color w:val="auto"/>
                <w:sz w:val="24"/>
                <w:szCs w:val="20"/>
              </w:rPr>
            </w:pPr>
          </w:p>
        </w:tc>
      </w:tr>
      <w:tr w14:paraId="77E8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179C430A">
            <w:pPr>
              <w:snapToGrid w:val="0"/>
              <w:spacing w:before="50" w:afterLines="50"/>
              <w:jc w:val="center"/>
              <w:rPr>
                <w:rFonts w:hint="eastAsia" w:ascii="仿宋" w:hAnsi="仿宋" w:eastAsia="仿宋"/>
                <w:color w:val="auto"/>
                <w:sz w:val="24"/>
                <w:szCs w:val="20"/>
              </w:rPr>
            </w:pPr>
          </w:p>
        </w:tc>
        <w:tc>
          <w:tcPr>
            <w:tcW w:w="709" w:type="dxa"/>
            <w:vAlign w:val="center"/>
          </w:tcPr>
          <w:p w14:paraId="1557F75B">
            <w:pPr>
              <w:snapToGrid w:val="0"/>
              <w:spacing w:before="50" w:afterLines="50"/>
              <w:jc w:val="center"/>
              <w:rPr>
                <w:rFonts w:hint="eastAsia" w:ascii="仿宋" w:hAnsi="仿宋" w:eastAsia="仿宋"/>
                <w:color w:val="auto"/>
                <w:sz w:val="24"/>
                <w:szCs w:val="20"/>
              </w:rPr>
            </w:pPr>
          </w:p>
        </w:tc>
        <w:tc>
          <w:tcPr>
            <w:tcW w:w="1984" w:type="dxa"/>
            <w:vAlign w:val="center"/>
          </w:tcPr>
          <w:p w14:paraId="4EA402F6">
            <w:pPr>
              <w:snapToGrid w:val="0"/>
              <w:spacing w:before="50" w:afterLines="50"/>
              <w:jc w:val="center"/>
              <w:rPr>
                <w:rFonts w:hint="eastAsia" w:ascii="仿宋" w:hAnsi="仿宋" w:eastAsia="仿宋"/>
                <w:color w:val="auto"/>
                <w:sz w:val="24"/>
                <w:szCs w:val="20"/>
              </w:rPr>
            </w:pPr>
          </w:p>
        </w:tc>
        <w:tc>
          <w:tcPr>
            <w:tcW w:w="1418" w:type="dxa"/>
            <w:vAlign w:val="center"/>
          </w:tcPr>
          <w:p w14:paraId="0BA8D341">
            <w:pPr>
              <w:snapToGrid w:val="0"/>
              <w:spacing w:before="50" w:afterLines="50"/>
              <w:jc w:val="center"/>
              <w:rPr>
                <w:rFonts w:hint="eastAsia" w:ascii="仿宋" w:hAnsi="仿宋" w:eastAsia="仿宋"/>
                <w:color w:val="auto"/>
                <w:sz w:val="24"/>
                <w:szCs w:val="20"/>
              </w:rPr>
            </w:pPr>
          </w:p>
        </w:tc>
        <w:tc>
          <w:tcPr>
            <w:tcW w:w="1417" w:type="dxa"/>
            <w:vAlign w:val="center"/>
          </w:tcPr>
          <w:p w14:paraId="4BA0B7B5">
            <w:pPr>
              <w:snapToGrid w:val="0"/>
              <w:spacing w:before="50" w:afterLines="50"/>
              <w:jc w:val="center"/>
              <w:rPr>
                <w:rFonts w:hint="eastAsia" w:ascii="仿宋" w:hAnsi="仿宋" w:eastAsia="仿宋"/>
                <w:color w:val="auto"/>
                <w:sz w:val="24"/>
                <w:szCs w:val="20"/>
              </w:rPr>
            </w:pPr>
          </w:p>
        </w:tc>
        <w:tc>
          <w:tcPr>
            <w:tcW w:w="1843" w:type="dxa"/>
            <w:vAlign w:val="center"/>
          </w:tcPr>
          <w:p w14:paraId="169878BF">
            <w:pPr>
              <w:snapToGrid w:val="0"/>
              <w:spacing w:before="50" w:afterLines="50"/>
              <w:jc w:val="center"/>
              <w:rPr>
                <w:rFonts w:hint="eastAsia" w:ascii="仿宋" w:hAnsi="仿宋" w:eastAsia="仿宋"/>
                <w:color w:val="auto"/>
                <w:sz w:val="24"/>
                <w:szCs w:val="20"/>
              </w:rPr>
            </w:pPr>
          </w:p>
        </w:tc>
      </w:tr>
    </w:tbl>
    <w:p w14:paraId="33802C94">
      <w:pPr>
        <w:snapToGrid w:val="0"/>
        <w:spacing w:before="50" w:afterLines="50"/>
        <w:jc w:val="left"/>
        <w:rPr>
          <w:rFonts w:hint="eastAsia" w:ascii="仿宋" w:hAnsi="仿宋" w:eastAsia="仿宋"/>
          <w:color w:val="auto"/>
          <w:sz w:val="24"/>
          <w:szCs w:val="20"/>
        </w:rPr>
      </w:pPr>
    </w:p>
    <w:p w14:paraId="7F5F5C01">
      <w:pPr>
        <w:spacing w:line="360" w:lineRule="auto"/>
        <w:contextualSpacing/>
        <w:jc w:val="left"/>
        <w:rPr>
          <w:rFonts w:ascii="仿宋" w:hAnsi="仿宋" w:eastAsia="仿宋"/>
          <w:color w:val="auto"/>
          <w:sz w:val="24"/>
          <w:szCs w:val="20"/>
        </w:rPr>
      </w:pPr>
      <w:r>
        <w:rPr>
          <w:rFonts w:hint="eastAsia" w:ascii="仿宋" w:hAnsi="仿宋" w:eastAsia="仿宋"/>
          <w:color w:val="auto"/>
          <w:sz w:val="24"/>
          <w:szCs w:val="20"/>
        </w:rPr>
        <w:t>注：</w:t>
      </w:r>
    </w:p>
    <w:p w14:paraId="0B533565">
      <w:pPr>
        <w:spacing w:line="360" w:lineRule="auto"/>
        <w:contextualSpacing/>
        <w:jc w:val="left"/>
        <w:rPr>
          <w:rFonts w:ascii="仿宋" w:hAnsi="仿宋" w:eastAsia="仿宋"/>
          <w:color w:val="auto"/>
          <w:sz w:val="24"/>
          <w:szCs w:val="20"/>
        </w:rPr>
      </w:pPr>
      <w:r>
        <w:rPr>
          <w:rFonts w:hint="eastAsia" w:ascii="仿宋" w:hAnsi="仿宋" w:eastAsia="仿宋"/>
          <w:color w:val="auto"/>
          <w:sz w:val="24"/>
          <w:szCs w:val="20"/>
        </w:rPr>
        <w:t>1</w:t>
      </w:r>
      <w:r>
        <w:rPr>
          <w:rFonts w:ascii="仿宋" w:hAnsi="仿宋" w:eastAsia="仿宋"/>
          <w:color w:val="auto"/>
          <w:sz w:val="24"/>
          <w:szCs w:val="20"/>
        </w:rPr>
        <w:t>.</w:t>
      </w:r>
      <w:r>
        <w:rPr>
          <w:rFonts w:hint="eastAsia" w:ascii="仿宋" w:hAnsi="仿宋" w:eastAsia="仿宋"/>
          <w:color w:val="auto"/>
          <w:sz w:val="24"/>
          <w:szCs w:val="20"/>
        </w:rPr>
        <w:t>在填写时，如本表格不适合投标单位的实际情况，可根据本表格式自行制表填写。</w:t>
      </w:r>
    </w:p>
    <w:p w14:paraId="2E9A7D9C">
      <w:pPr>
        <w:spacing w:line="360" w:lineRule="auto"/>
        <w:contextualSpacing/>
        <w:jc w:val="left"/>
        <w:rPr>
          <w:rFonts w:hint="eastAsia" w:ascii="仿宋" w:hAnsi="仿宋" w:eastAsia="仿宋"/>
          <w:color w:val="auto"/>
          <w:sz w:val="24"/>
          <w:szCs w:val="20"/>
        </w:rPr>
      </w:pPr>
      <w:r>
        <w:rPr>
          <w:rFonts w:ascii="仿宋" w:hAnsi="仿宋" w:eastAsia="仿宋"/>
          <w:color w:val="auto"/>
          <w:sz w:val="24"/>
          <w:szCs w:val="20"/>
        </w:rPr>
        <w:t>2.</w:t>
      </w:r>
      <w:r>
        <w:rPr>
          <w:rFonts w:hint="eastAsia" w:ascii="仿宋" w:hAnsi="仿宋" w:eastAsia="仿宋"/>
          <w:color w:val="auto"/>
          <w:sz w:val="24"/>
          <w:szCs w:val="20"/>
        </w:rPr>
        <w:t>投标人应当附本表所列证书的复印件并加盖投标人公章。</w:t>
      </w:r>
    </w:p>
    <w:p w14:paraId="42BD006A">
      <w:pPr>
        <w:spacing w:line="360" w:lineRule="auto"/>
        <w:contextualSpacing/>
        <w:rPr>
          <w:rFonts w:hint="eastAsia" w:ascii="仿宋" w:hAnsi="仿宋" w:eastAsia="仿宋"/>
          <w:color w:val="auto"/>
          <w:spacing w:val="20"/>
          <w:sz w:val="24"/>
          <w:szCs w:val="20"/>
          <w:u w:val="single"/>
        </w:rPr>
      </w:pPr>
      <w:r>
        <w:rPr>
          <w:rFonts w:hint="eastAsia" w:ascii="仿宋" w:hAnsi="仿宋" w:eastAsia="仿宋"/>
          <w:color w:val="auto"/>
          <w:sz w:val="24"/>
        </w:rPr>
        <w:t>法定代表人或者委托代理人</w:t>
      </w:r>
      <w:r>
        <w:rPr>
          <w:rFonts w:hint="eastAsia" w:ascii="仿宋" w:hAnsi="仿宋" w:eastAsia="仿宋"/>
          <w:color w:val="auto"/>
          <w:spacing w:val="20"/>
          <w:sz w:val="24"/>
        </w:rPr>
        <w:t>（签字或盖章）：</w:t>
      </w:r>
      <w:r>
        <w:rPr>
          <w:rFonts w:hint="eastAsia" w:ascii="仿宋" w:hAnsi="仿宋" w:eastAsia="仿宋"/>
          <w:color w:val="auto"/>
          <w:spacing w:val="20"/>
          <w:sz w:val="24"/>
          <w:u w:val="single"/>
        </w:rPr>
        <w:t xml:space="preserve">        </w:t>
      </w:r>
    </w:p>
    <w:p w14:paraId="0A0795AA">
      <w:pPr>
        <w:spacing w:line="360" w:lineRule="auto"/>
        <w:contextualSpacing/>
        <w:jc w:val="left"/>
        <w:rPr>
          <w:rFonts w:ascii="仿宋" w:hAnsi="仿宋" w:eastAsia="仿宋"/>
          <w:color w:val="auto"/>
          <w:spacing w:val="20"/>
          <w:sz w:val="24"/>
        </w:rPr>
      </w:pPr>
      <w:r>
        <w:rPr>
          <w:rFonts w:hint="eastAsia" w:ascii="仿宋" w:hAnsi="仿宋" w:eastAsia="仿宋"/>
          <w:color w:val="auto"/>
          <w:spacing w:val="20"/>
          <w:sz w:val="24"/>
        </w:rPr>
        <w:t>投标人（盖公章）：</w:t>
      </w:r>
      <w:r>
        <w:rPr>
          <w:rFonts w:hint="eastAsia" w:ascii="仿宋" w:hAnsi="仿宋" w:eastAsia="仿宋"/>
          <w:color w:val="auto"/>
          <w:spacing w:val="20"/>
          <w:sz w:val="24"/>
          <w:u w:val="single"/>
        </w:rPr>
        <w:t xml:space="preserve">            </w:t>
      </w:r>
      <w:r>
        <w:rPr>
          <w:rFonts w:hint="eastAsia" w:ascii="仿宋" w:hAnsi="仿宋" w:eastAsia="仿宋"/>
          <w:color w:val="auto"/>
          <w:spacing w:val="20"/>
          <w:sz w:val="24"/>
        </w:rPr>
        <w:t xml:space="preserve">              </w:t>
      </w:r>
    </w:p>
    <w:p w14:paraId="7432646F">
      <w:pPr>
        <w:spacing w:line="360" w:lineRule="auto"/>
        <w:contextualSpacing/>
        <w:jc w:val="left"/>
        <w:rPr>
          <w:rFonts w:hint="eastAsia" w:ascii="仿宋" w:hAnsi="仿宋" w:eastAsia="仿宋"/>
          <w:color w:val="auto"/>
          <w:sz w:val="24"/>
          <w:szCs w:val="20"/>
        </w:rPr>
      </w:pPr>
      <w:r>
        <w:rPr>
          <w:rFonts w:hint="eastAsia" w:ascii="仿宋" w:hAnsi="仿宋" w:eastAsia="仿宋"/>
          <w:color w:val="auto"/>
          <w:spacing w:val="20"/>
          <w:sz w:val="24"/>
        </w:rPr>
        <w:t>日 期：</w:t>
      </w:r>
      <w:r>
        <w:rPr>
          <w:rFonts w:hint="eastAsia" w:ascii="仿宋" w:hAnsi="仿宋" w:eastAsia="仿宋"/>
          <w:color w:val="auto"/>
          <w:spacing w:val="20"/>
          <w:sz w:val="24"/>
          <w:u w:val="single"/>
        </w:rPr>
        <w:t xml:space="preserve">         </w:t>
      </w:r>
    </w:p>
    <w:p w14:paraId="4000625E">
      <w:pPr>
        <w:snapToGrid w:val="0"/>
        <w:spacing w:before="50" w:afterLines="50"/>
        <w:jc w:val="left"/>
        <w:rPr>
          <w:rFonts w:hint="eastAsia" w:ascii="仿宋" w:hAnsi="仿宋" w:eastAsia="仿宋"/>
          <w:color w:val="auto"/>
          <w:sz w:val="24"/>
          <w:szCs w:val="20"/>
        </w:rPr>
      </w:pPr>
    </w:p>
    <w:p w14:paraId="5D8BA986">
      <w:pPr>
        <w:rPr>
          <w:rFonts w:hint="eastAsia" w:ascii="仿宋" w:hAnsi="仿宋" w:eastAsia="仿宋"/>
          <w:b/>
          <w:color w:val="auto"/>
          <w:sz w:val="28"/>
          <w:szCs w:val="28"/>
        </w:rPr>
      </w:pPr>
      <w:r>
        <w:rPr>
          <w:rFonts w:ascii="仿宋" w:hAnsi="仿宋" w:eastAsia="仿宋"/>
          <w:b/>
          <w:color w:val="auto"/>
          <w:sz w:val="24"/>
        </w:rPr>
        <w:br w:type="page"/>
      </w:r>
      <w:r>
        <w:rPr>
          <w:rFonts w:hint="eastAsia" w:ascii="仿宋" w:hAnsi="仿宋" w:eastAsia="仿宋"/>
          <w:b/>
          <w:color w:val="auto"/>
          <w:sz w:val="28"/>
          <w:szCs w:val="28"/>
        </w:rPr>
        <w:t>五、其他文书、文件格式</w:t>
      </w:r>
    </w:p>
    <w:p w14:paraId="6C0530DD">
      <w:pPr>
        <w:snapToGrid w:val="0"/>
        <w:spacing w:beforeLines="50" w:after="50"/>
        <w:ind w:left="142"/>
        <w:jc w:val="left"/>
        <w:rPr>
          <w:rFonts w:hint="eastAsia" w:ascii="仿宋" w:hAnsi="仿宋" w:eastAsia="仿宋"/>
          <w:b/>
          <w:color w:val="auto"/>
          <w:spacing w:val="20"/>
          <w:sz w:val="24"/>
        </w:rPr>
      </w:pPr>
      <w:r>
        <w:rPr>
          <w:rFonts w:hint="eastAsia" w:ascii="仿宋" w:hAnsi="仿宋" w:eastAsia="仿宋"/>
          <w:b/>
          <w:color w:val="auto"/>
          <w:spacing w:val="20"/>
          <w:sz w:val="24"/>
        </w:rPr>
        <w:t>1.联合投标协议书格式</w:t>
      </w:r>
    </w:p>
    <w:p w14:paraId="5D3748BA">
      <w:pPr>
        <w:snapToGrid w:val="0"/>
        <w:spacing w:beforeLines="50" w:after="50"/>
        <w:ind w:left="142"/>
        <w:jc w:val="left"/>
        <w:rPr>
          <w:rFonts w:hint="eastAsia" w:ascii="仿宋" w:hAnsi="仿宋" w:eastAsia="仿宋"/>
          <w:b/>
          <w:color w:val="auto"/>
          <w:spacing w:val="20"/>
          <w:sz w:val="24"/>
        </w:rPr>
      </w:pPr>
    </w:p>
    <w:p w14:paraId="2C64CD61">
      <w:pPr>
        <w:pStyle w:val="7"/>
        <w:overflowPunct w:val="0"/>
        <w:jc w:val="center"/>
        <w:rPr>
          <w:rFonts w:hint="eastAsia" w:ascii="仿宋" w:hAnsi="仿宋" w:eastAsia="仿宋" w:cs="方正小标宋简体"/>
          <w:color w:val="auto"/>
          <w:sz w:val="44"/>
          <w:szCs w:val="44"/>
        </w:rPr>
      </w:pPr>
      <w:r>
        <w:rPr>
          <w:rFonts w:hint="eastAsia" w:ascii="仿宋" w:hAnsi="仿宋" w:eastAsia="仿宋" w:cs="方正小标宋简体"/>
          <w:color w:val="auto"/>
          <w:sz w:val="44"/>
          <w:szCs w:val="44"/>
        </w:rPr>
        <w:t>联合体协议书</w:t>
      </w:r>
    </w:p>
    <w:p w14:paraId="4EA93D89">
      <w:pPr>
        <w:pStyle w:val="7"/>
        <w:overflowPunct w:val="0"/>
        <w:rPr>
          <w:rFonts w:ascii="仿宋" w:hAnsi="仿宋" w:eastAsia="仿宋"/>
          <w:color w:val="auto"/>
          <w:sz w:val="24"/>
        </w:rPr>
      </w:pPr>
    </w:p>
    <w:p w14:paraId="722E6B31">
      <w:pPr>
        <w:pStyle w:val="7"/>
        <w:overflowPunct w:val="0"/>
        <w:spacing w:line="360" w:lineRule="auto"/>
        <w:contextualSpacing/>
        <w:rPr>
          <w:rFonts w:ascii="仿宋" w:hAnsi="仿宋" w:eastAsia="仿宋"/>
          <w:color w:val="auto"/>
          <w:sz w:val="24"/>
        </w:rPr>
      </w:pPr>
      <w:r>
        <w:rPr>
          <w:rFonts w:ascii="仿宋" w:hAnsi="仿宋" w:eastAsia="仿宋"/>
          <w:color w:val="auto"/>
          <w:sz w:val="24"/>
          <w:u w:val="single"/>
        </w:rPr>
        <w:t xml:space="preserve"> </w:t>
      </w:r>
      <w:r>
        <w:rPr>
          <w:rFonts w:ascii="仿宋" w:hAnsi="仿宋" w:eastAsia="仿宋"/>
          <w:color w:val="auto"/>
          <w:sz w:val="24"/>
          <w:u w:val="single"/>
        </w:rPr>
        <w:tab/>
      </w:r>
      <w:r>
        <w:rPr>
          <w:rFonts w:hint="eastAsia" w:ascii="仿宋" w:hAnsi="仿宋" w:eastAsia="仿宋"/>
          <w:color w:val="auto"/>
          <w:sz w:val="24"/>
        </w:rPr>
        <w:t>（所有成员单位名称）自愿组成</w:t>
      </w:r>
      <w:r>
        <w:rPr>
          <w:rFonts w:ascii="仿宋" w:hAnsi="仿宋" w:eastAsia="仿宋"/>
          <w:color w:val="auto"/>
          <w:sz w:val="24"/>
          <w:u w:val="single"/>
        </w:rPr>
        <w:t xml:space="preserve"> </w:t>
      </w:r>
      <w:r>
        <w:rPr>
          <w:rFonts w:ascii="仿宋" w:hAnsi="仿宋" w:eastAsia="仿宋"/>
          <w:color w:val="auto"/>
          <w:sz w:val="24"/>
          <w:u w:val="single"/>
        </w:rPr>
        <w:tab/>
      </w:r>
      <w:r>
        <w:rPr>
          <w:rFonts w:hint="eastAsia" w:ascii="仿宋" w:hAnsi="仿宋" w:eastAsia="仿宋"/>
          <w:color w:val="auto"/>
          <w:sz w:val="24"/>
        </w:rPr>
        <w:t>（联合体名称）联合体，共同参加</w:t>
      </w:r>
      <w:r>
        <w:rPr>
          <w:rFonts w:ascii="仿宋" w:hAnsi="仿宋" w:eastAsia="仿宋"/>
          <w:color w:val="auto"/>
          <w:sz w:val="24"/>
          <w:u w:val="single"/>
        </w:rPr>
        <w:t xml:space="preserve"> </w:t>
      </w:r>
      <w:r>
        <w:rPr>
          <w:rFonts w:ascii="仿宋" w:hAnsi="仿宋" w:eastAsia="仿宋"/>
          <w:color w:val="auto"/>
          <w:sz w:val="24"/>
          <w:u w:val="single"/>
        </w:rPr>
        <w:tab/>
      </w:r>
      <w:r>
        <w:rPr>
          <w:rFonts w:hint="eastAsia" w:ascii="仿宋" w:hAnsi="仿宋" w:eastAsia="仿宋"/>
          <w:color w:val="auto"/>
          <w:sz w:val="24"/>
          <w:u w:val="single"/>
        </w:rPr>
        <w:t>（项</w:t>
      </w:r>
      <w:r>
        <w:rPr>
          <w:rFonts w:hint="eastAsia" w:ascii="仿宋" w:hAnsi="仿宋" w:eastAsia="仿宋"/>
          <w:color w:val="auto"/>
          <w:sz w:val="24"/>
        </w:rPr>
        <w:t>目名称）采购招标项目投标。现就联合体投标事宜订立如下协议。</w:t>
      </w:r>
    </w:p>
    <w:p w14:paraId="5EFCAD21">
      <w:pPr>
        <w:pStyle w:val="7"/>
        <w:overflowPunct w:val="0"/>
        <w:spacing w:line="360" w:lineRule="auto"/>
        <w:ind w:firstLineChars="175"/>
        <w:contextualSpacing/>
        <w:rPr>
          <w:rFonts w:ascii="仿宋" w:hAnsi="仿宋" w:eastAsia="仿宋"/>
          <w:color w:val="auto"/>
          <w:sz w:val="24"/>
        </w:rPr>
      </w:pPr>
      <w:r>
        <w:rPr>
          <w:rFonts w:ascii="仿宋" w:hAnsi="仿宋" w:eastAsia="仿宋"/>
          <w:color w:val="auto"/>
          <w:sz w:val="24"/>
        </w:rPr>
        <w:t xml:space="preserve">1.  </w:t>
      </w:r>
      <w:r>
        <w:rPr>
          <w:rFonts w:ascii="仿宋" w:hAnsi="仿宋" w:eastAsia="仿宋"/>
          <w:color w:val="auto"/>
          <w:sz w:val="24"/>
          <w:u w:val="single"/>
        </w:rPr>
        <w:t xml:space="preserve"> </w:t>
      </w:r>
      <w:r>
        <w:rPr>
          <w:rFonts w:ascii="仿宋" w:hAnsi="仿宋" w:eastAsia="仿宋"/>
          <w:color w:val="auto"/>
          <w:sz w:val="24"/>
          <w:u w:val="single"/>
        </w:rPr>
        <w:tab/>
      </w:r>
      <w:r>
        <w:rPr>
          <w:rFonts w:hint="eastAsia" w:ascii="仿宋" w:hAnsi="仿宋" w:eastAsia="仿宋"/>
          <w:color w:val="auto"/>
          <w:sz w:val="24"/>
        </w:rPr>
        <w:t>（某成员单位名称）为</w:t>
      </w:r>
      <w:r>
        <w:rPr>
          <w:rFonts w:ascii="仿宋" w:hAnsi="仿宋" w:eastAsia="仿宋"/>
          <w:color w:val="auto"/>
          <w:sz w:val="24"/>
          <w:u w:val="single"/>
        </w:rPr>
        <w:t xml:space="preserve"> </w:t>
      </w:r>
      <w:r>
        <w:rPr>
          <w:rFonts w:ascii="仿宋" w:hAnsi="仿宋" w:eastAsia="仿宋"/>
          <w:color w:val="auto"/>
          <w:sz w:val="24"/>
          <w:u w:val="single"/>
        </w:rPr>
        <w:tab/>
      </w:r>
      <w:r>
        <w:rPr>
          <w:rFonts w:hint="eastAsia" w:ascii="仿宋" w:hAnsi="仿宋" w:eastAsia="仿宋"/>
          <w:color w:val="auto"/>
          <w:sz w:val="24"/>
        </w:rPr>
        <w:t>（联合体名称）牵头人。</w:t>
      </w:r>
    </w:p>
    <w:p w14:paraId="4A732E09">
      <w:pPr>
        <w:pStyle w:val="7"/>
        <w:overflowPunct w:val="0"/>
        <w:spacing w:line="360" w:lineRule="auto"/>
        <w:ind w:firstLineChars="175"/>
        <w:contextualSpacing/>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联合体各成员授权牵头人代表联合体参加投标活动，签署文件及对文件的盖章，提交和接收相关的资料、</w:t>
      </w:r>
      <w:r>
        <w:rPr>
          <w:rFonts w:ascii="仿宋" w:hAnsi="仿宋" w:eastAsia="仿宋"/>
          <w:color w:val="auto"/>
          <w:sz w:val="24"/>
        </w:rPr>
        <w:t xml:space="preserve"> </w:t>
      </w:r>
      <w:r>
        <w:rPr>
          <w:rFonts w:hint="eastAsia" w:ascii="仿宋" w:hAnsi="仿宋" w:eastAsia="仿宋"/>
          <w:color w:val="auto"/>
          <w:sz w:val="24"/>
        </w:rPr>
        <w:t>信息及指示，进行合同谈判活动，负责合同实施阶段的组织和协调工作，以及处理与本招标项</w:t>
      </w:r>
      <w:r>
        <w:rPr>
          <w:rFonts w:ascii="仿宋" w:hAnsi="仿宋" w:eastAsia="仿宋"/>
          <w:color w:val="auto"/>
          <w:sz w:val="24"/>
        </w:rPr>
        <w:t xml:space="preserve"> </w:t>
      </w:r>
      <w:r>
        <w:rPr>
          <w:rFonts w:hint="eastAsia" w:ascii="仿宋" w:hAnsi="仿宋" w:eastAsia="仿宋"/>
          <w:color w:val="auto"/>
          <w:sz w:val="24"/>
        </w:rPr>
        <w:t>目有关的一切事宜。</w:t>
      </w:r>
    </w:p>
    <w:p w14:paraId="5B502D85">
      <w:pPr>
        <w:pStyle w:val="7"/>
        <w:overflowPunct w:val="0"/>
        <w:spacing w:line="360" w:lineRule="auto"/>
        <w:ind w:firstLineChars="175"/>
        <w:contextualSpacing/>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联合体牵头人在本项目中签署和盖章的一切文件和处理的一切事宜，联合体各成员均予以承认。</w:t>
      </w:r>
      <w:r>
        <w:rPr>
          <w:rFonts w:ascii="仿宋" w:hAnsi="仿宋" w:eastAsia="仿宋"/>
          <w:color w:val="auto"/>
          <w:sz w:val="24"/>
        </w:rPr>
        <w:t xml:space="preserve"> </w:t>
      </w:r>
      <w:r>
        <w:rPr>
          <w:rFonts w:hint="eastAsia" w:ascii="仿宋" w:hAnsi="仿宋" w:eastAsia="仿宋"/>
          <w:color w:val="auto"/>
          <w:sz w:val="24"/>
        </w:rPr>
        <w:t>联合体各成员将严格按照招标文件、投标文件和合同的要求全面履行义务，并向招标人承担连带责任。</w:t>
      </w:r>
    </w:p>
    <w:p w14:paraId="77879CEA">
      <w:pPr>
        <w:pStyle w:val="7"/>
        <w:overflowPunct w:val="0"/>
        <w:spacing w:line="360" w:lineRule="auto"/>
        <w:ind w:firstLineChars="175"/>
        <w:contextualSpacing/>
        <w:rPr>
          <w:rFonts w:ascii="仿宋" w:hAnsi="仿宋" w:eastAsia="仿宋"/>
          <w:color w:val="auto"/>
          <w:sz w:val="24"/>
        </w:rPr>
      </w:pPr>
      <w:r>
        <w:rPr>
          <w:rFonts w:ascii="仿宋" w:hAnsi="仿宋" w:eastAsia="仿宋"/>
          <w:color w:val="auto"/>
          <w:sz w:val="24"/>
        </w:rPr>
        <w:t>4.</w:t>
      </w:r>
      <w:r>
        <w:rPr>
          <w:rFonts w:hint="eastAsia" w:ascii="仿宋" w:hAnsi="仿宋" w:eastAsia="仿宋"/>
          <w:color w:val="auto"/>
          <w:sz w:val="24"/>
        </w:rPr>
        <w:t>联合体各成员单位内部的职责分工如下：</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ab/>
      </w:r>
      <w:r>
        <w:rPr>
          <w:rFonts w:hint="eastAsia" w:ascii="仿宋" w:hAnsi="仿宋" w:eastAsia="仿宋"/>
          <w:color w:val="auto"/>
          <w:sz w:val="24"/>
        </w:rPr>
        <w:t>。</w:t>
      </w:r>
    </w:p>
    <w:p w14:paraId="0E675C78">
      <w:pPr>
        <w:pStyle w:val="7"/>
        <w:overflowPunct w:val="0"/>
        <w:spacing w:line="360" w:lineRule="auto"/>
        <w:ind w:firstLineChars="175"/>
        <w:contextualSpacing/>
        <w:rPr>
          <w:rFonts w:ascii="仿宋" w:hAnsi="仿宋" w:eastAsia="仿宋"/>
          <w:color w:val="auto"/>
          <w:sz w:val="24"/>
        </w:rPr>
      </w:pPr>
      <w:r>
        <w:rPr>
          <w:rFonts w:ascii="仿宋" w:hAnsi="仿宋" w:eastAsia="仿宋"/>
          <w:color w:val="auto"/>
          <w:sz w:val="24"/>
        </w:rPr>
        <w:t>5.</w:t>
      </w:r>
      <w:r>
        <w:rPr>
          <w:rFonts w:hint="eastAsia" w:ascii="仿宋" w:hAnsi="仿宋" w:eastAsia="仿宋"/>
          <w:color w:val="auto"/>
          <w:sz w:val="24"/>
        </w:rPr>
        <w:t>本协议书自所有成员单位法定代表人或者其委托代理人签字或者盖公章之日起生效，合同履行完毕后自动失效。</w:t>
      </w:r>
    </w:p>
    <w:p w14:paraId="6CFE58D9">
      <w:pPr>
        <w:pStyle w:val="7"/>
        <w:overflowPunct w:val="0"/>
        <w:spacing w:line="360" w:lineRule="auto"/>
        <w:ind w:firstLineChars="175"/>
        <w:contextualSpacing/>
        <w:rPr>
          <w:rFonts w:ascii="仿宋" w:hAnsi="仿宋" w:eastAsia="仿宋"/>
          <w:color w:val="auto"/>
          <w:sz w:val="24"/>
        </w:rPr>
      </w:pPr>
      <w:r>
        <w:rPr>
          <w:rFonts w:ascii="仿宋" w:hAnsi="仿宋" w:eastAsia="仿宋"/>
          <w:color w:val="auto"/>
          <w:sz w:val="24"/>
        </w:rPr>
        <w:t>6.</w:t>
      </w:r>
      <w:r>
        <w:rPr>
          <w:rFonts w:hint="eastAsia" w:ascii="仿宋" w:hAnsi="仿宋" w:eastAsia="仿宋"/>
          <w:color w:val="auto"/>
          <w:sz w:val="24"/>
        </w:rPr>
        <w:t>本协议书一式</w:t>
      </w:r>
      <w:r>
        <w:rPr>
          <w:rFonts w:ascii="仿宋" w:hAnsi="仿宋" w:eastAsia="仿宋"/>
          <w:color w:val="auto"/>
          <w:sz w:val="24"/>
          <w:u w:val="single"/>
        </w:rPr>
        <w:t xml:space="preserve"> </w:t>
      </w:r>
      <w:r>
        <w:rPr>
          <w:rFonts w:ascii="仿宋" w:hAnsi="仿宋" w:eastAsia="仿宋"/>
          <w:color w:val="auto"/>
          <w:sz w:val="24"/>
          <w:u w:val="single"/>
        </w:rPr>
        <w:tab/>
      </w:r>
      <w:r>
        <w:rPr>
          <w:rFonts w:hint="eastAsia" w:ascii="仿宋" w:hAnsi="仿宋" w:eastAsia="仿宋"/>
          <w:color w:val="auto"/>
          <w:sz w:val="24"/>
        </w:rPr>
        <w:t>份，联合体成员和招标人各执一份。</w:t>
      </w:r>
    </w:p>
    <w:p w14:paraId="6FE9B985">
      <w:pPr>
        <w:pStyle w:val="7"/>
        <w:overflowPunct w:val="0"/>
        <w:spacing w:line="360" w:lineRule="auto"/>
        <w:ind w:firstLineChars="175"/>
        <w:contextualSpacing/>
        <w:rPr>
          <w:rFonts w:ascii="仿宋" w:hAnsi="仿宋" w:eastAsia="仿宋"/>
          <w:color w:val="auto"/>
          <w:sz w:val="24"/>
        </w:rPr>
      </w:pPr>
      <w:r>
        <w:rPr>
          <w:rFonts w:hint="eastAsia" w:ascii="仿宋" w:hAnsi="仿宋" w:eastAsia="仿宋"/>
          <w:color w:val="auto"/>
          <w:sz w:val="24"/>
        </w:rPr>
        <w:t>注：本协议书由法定代表人签字的，应附法定代表人身份证明；由委托代理人签字的，应附授权委托书。</w:t>
      </w:r>
    </w:p>
    <w:p w14:paraId="73BAD30E">
      <w:pPr>
        <w:pStyle w:val="7"/>
        <w:overflowPunct w:val="0"/>
        <w:spacing w:line="360" w:lineRule="auto"/>
        <w:ind w:firstLineChars="175"/>
        <w:contextualSpacing/>
        <w:rPr>
          <w:rFonts w:ascii="仿宋" w:hAnsi="仿宋" w:eastAsia="仿宋"/>
          <w:color w:val="auto"/>
          <w:sz w:val="24"/>
        </w:rPr>
      </w:pPr>
    </w:p>
    <w:p w14:paraId="78BF9DF5">
      <w:pPr>
        <w:pStyle w:val="7"/>
        <w:overflowPunct w:val="0"/>
        <w:spacing w:line="360" w:lineRule="auto"/>
        <w:ind w:firstLineChars="175"/>
        <w:contextualSpacing/>
        <w:rPr>
          <w:rFonts w:ascii="仿宋" w:hAnsi="仿宋" w:eastAsia="仿宋"/>
          <w:color w:val="auto"/>
          <w:sz w:val="24"/>
        </w:rPr>
      </w:pPr>
      <w:r>
        <w:rPr>
          <w:rFonts w:hint="eastAsia" w:ascii="仿宋" w:hAnsi="仿宋" w:eastAsia="仿宋"/>
          <w:color w:val="auto"/>
          <w:sz w:val="24"/>
        </w:rPr>
        <w:t>联合体牵头人名称（盖公章）：</w:t>
      </w:r>
    </w:p>
    <w:p w14:paraId="3441E6C7">
      <w:pPr>
        <w:pStyle w:val="7"/>
        <w:overflowPunct w:val="0"/>
        <w:spacing w:line="360" w:lineRule="auto"/>
        <w:ind w:firstLineChars="175"/>
        <w:contextualSpacing/>
        <w:rPr>
          <w:rFonts w:ascii="仿宋" w:hAnsi="仿宋" w:eastAsia="仿宋"/>
          <w:color w:val="auto"/>
          <w:sz w:val="24"/>
        </w:rPr>
      </w:pPr>
      <w:r>
        <w:rPr>
          <w:rFonts w:hint="eastAsia" w:ascii="仿宋" w:hAnsi="仿宋" w:eastAsia="仿宋"/>
          <w:color w:val="auto"/>
          <w:sz w:val="24"/>
        </w:rPr>
        <w:t>法定代表人或者其委托代理人：</w:t>
      </w:r>
      <w:r>
        <w:rPr>
          <w:rFonts w:ascii="仿宋" w:hAnsi="仿宋" w:eastAsia="仿宋"/>
          <w:color w:val="auto"/>
          <w:sz w:val="24"/>
        </w:rPr>
        <w:t xml:space="preserve"> </w:t>
      </w:r>
      <w:r>
        <w:rPr>
          <w:rFonts w:ascii="仿宋" w:hAnsi="仿宋" w:eastAsia="仿宋"/>
          <w:color w:val="auto"/>
          <w:sz w:val="24"/>
        </w:rPr>
        <w:tab/>
      </w:r>
      <w:r>
        <w:rPr>
          <w:rFonts w:hint="eastAsia" w:ascii="仿宋" w:hAnsi="仿宋" w:eastAsia="仿宋"/>
          <w:color w:val="auto"/>
          <w:sz w:val="24"/>
        </w:rPr>
        <w:t>（签字</w:t>
      </w:r>
      <w:r>
        <w:rPr>
          <w:rFonts w:hint="eastAsia" w:ascii="仿宋" w:hAnsi="仿宋" w:eastAsia="仿宋"/>
          <w:color w:val="auto"/>
          <w:spacing w:val="20"/>
          <w:sz w:val="24"/>
        </w:rPr>
        <w:t>或盖章</w:t>
      </w:r>
      <w:r>
        <w:rPr>
          <w:rFonts w:hint="eastAsia" w:ascii="仿宋" w:hAnsi="仿宋" w:eastAsia="仿宋"/>
          <w:color w:val="auto"/>
          <w:sz w:val="24"/>
        </w:rPr>
        <w:t>）</w:t>
      </w:r>
    </w:p>
    <w:p w14:paraId="07193AE3">
      <w:pPr>
        <w:pStyle w:val="7"/>
        <w:overflowPunct w:val="0"/>
        <w:spacing w:line="360" w:lineRule="auto"/>
        <w:ind w:firstLineChars="175"/>
        <w:contextualSpacing/>
        <w:rPr>
          <w:rFonts w:ascii="仿宋" w:hAnsi="仿宋" w:eastAsia="仿宋"/>
          <w:color w:val="auto"/>
          <w:sz w:val="24"/>
        </w:rPr>
      </w:pPr>
    </w:p>
    <w:p w14:paraId="17FE6CF6">
      <w:pPr>
        <w:pStyle w:val="7"/>
        <w:overflowPunct w:val="0"/>
        <w:spacing w:line="360" w:lineRule="auto"/>
        <w:ind w:firstLineChars="175"/>
        <w:contextualSpacing/>
        <w:rPr>
          <w:rFonts w:ascii="仿宋" w:hAnsi="仿宋" w:eastAsia="仿宋"/>
          <w:color w:val="auto"/>
          <w:sz w:val="24"/>
        </w:rPr>
      </w:pPr>
      <w:r>
        <w:rPr>
          <w:rFonts w:hint="eastAsia" w:ascii="仿宋" w:hAnsi="仿宋" w:eastAsia="仿宋"/>
          <w:color w:val="auto"/>
          <w:sz w:val="24"/>
        </w:rPr>
        <w:t>联合体成员名称（盖公章）：</w:t>
      </w:r>
    </w:p>
    <w:p w14:paraId="1BB7E84D">
      <w:pPr>
        <w:pStyle w:val="7"/>
        <w:overflowPunct w:val="0"/>
        <w:spacing w:line="360" w:lineRule="auto"/>
        <w:ind w:firstLineChars="175"/>
        <w:contextualSpacing/>
        <w:rPr>
          <w:rFonts w:ascii="仿宋" w:hAnsi="仿宋" w:eastAsia="仿宋"/>
          <w:color w:val="auto"/>
          <w:sz w:val="24"/>
        </w:rPr>
      </w:pPr>
      <w:r>
        <w:rPr>
          <w:rFonts w:hint="eastAsia" w:ascii="仿宋" w:hAnsi="仿宋" w:eastAsia="仿宋"/>
          <w:color w:val="auto"/>
          <w:sz w:val="24"/>
        </w:rPr>
        <w:t>法定代表人或者其委托代理人：</w:t>
      </w:r>
      <w:r>
        <w:rPr>
          <w:rFonts w:ascii="仿宋" w:hAnsi="仿宋" w:eastAsia="仿宋"/>
          <w:color w:val="auto"/>
          <w:sz w:val="24"/>
        </w:rPr>
        <w:t xml:space="preserve"> </w:t>
      </w:r>
      <w:r>
        <w:rPr>
          <w:rFonts w:ascii="仿宋" w:hAnsi="仿宋" w:eastAsia="仿宋"/>
          <w:color w:val="auto"/>
          <w:sz w:val="24"/>
        </w:rPr>
        <w:tab/>
      </w:r>
      <w:r>
        <w:rPr>
          <w:rFonts w:hint="eastAsia" w:ascii="仿宋" w:hAnsi="仿宋" w:eastAsia="仿宋"/>
          <w:color w:val="auto"/>
          <w:sz w:val="24"/>
        </w:rPr>
        <w:t>（签字</w:t>
      </w:r>
      <w:r>
        <w:rPr>
          <w:rFonts w:hint="eastAsia" w:ascii="仿宋" w:hAnsi="仿宋" w:eastAsia="仿宋"/>
          <w:color w:val="auto"/>
          <w:spacing w:val="20"/>
          <w:sz w:val="24"/>
        </w:rPr>
        <w:t>或盖章</w:t>
      </w:r>
      <w:r>
        <w:rPr>
          <w:rFonts w:hint="eastAsia" w:ascii="仿宋" w:hAnsi="仿宋" w:eastAsia="仿宋"/>
          <w:color w:val="auto"/>
          <w:sz w:val="24"/>
        </w:rPr>
        <w:t>）</w:t>
      </w:r>
    </w:p>
    <w:p w14:paraId="25A3951E">
      <w:pPr>
        <w:pStyle w:val="7"/>
        <w:overflowPunct w:val="0"/>
        <w:spacing w:line="360" w:lineRule="auto"/>
        <w:ind w:firstLineChars="175"/>
        <w:contextualSpacing/>
        <w:rPr>
          <w:rFonts w:ascii="仿宋" w:hAnsi="仿宋" w:eastAsia="仿宋"/>
          <w:color w:val="auto"/>
          <w:sz w:val="24"/>
        </w:rPr>
      </w:pPr>
      <w:r>
        <w:rPr>
          <w:rFonts w:ascii="仿宋" w:hAnsi="仿宋" w:eastAsia="仿宋"/>
          <w:color w:val="auto"/>
          <w:sz w:val="24"/>
        </w:rPr>
        <w:t>……</w:t>
      </w:r>
    </w:p>
    <w:p w14:paraId="4AF21201">
      <w:pPr>
        <w:pStyle w:val="7"/>
        <w:overflowPunct w:val="0"/>
        <w:spacing w:line="360" w:lineRule="auto"/>
        <w:ind w:firstLineChars="175"/>
        <w:contextualSpacing/>
        <w:rPr>
          <w:rFonts w:ascii="仿宋" w:hAnsi="仿宋" w:eastAsia="仿宋"/>
          <w:color w:val="auto"/>
          <w:sz w:val="24"/>
        </w:rPr>
      </w:pPr>
    </w:p>
    <w:p w14:paraId="1B7D614D">
      <w:pPr>
        <w:pStyle w:val="7"/>
        <w:overflowPunct w:val="0"/>
        <w:spacing w:line="360" w:lineRule="auto"/>
        <w:ind w:firstLineChars="175"/>
        <w:contextualSpacing/>
        <w:jc w:val="right"/>
        <w:rPr>
          <w:rFonts w:ascii="仿宋" w:hAnsi="仿宋" w:eastAsia="仿宋"/>
          <w:b/>
          <w:color w:val="auto"/>
          <w:sz w:val="24"/>
        </w:rPr>
      </w:pPr>
      <w:r>
        <w:rPr>
          <w:rFonts w:ascii="仿宋" w:hAnsi="仿宋" w:eastAsia="仿宋"/>
          <w:color w:val="auto"/>
          <w:sz w:val="24"/>
        </w:rPr>
        <w:t xml:space="preserve"> </w:t>
      </w:r>
      <w:r>
        <w:rPr>
          <w:rFonts w:ascii="仿宋" w:hAnsi="仿宋" w:eastAsia="仿宋"/>
          <w:color w:val="auto"/>
          <w:sz w:val="24"/>
        </w:rPr>
        <w:tab/>
      </w:r>
      <w:r>
        <w:rPr>
          <w:rFonts w:hint="eastAsia" w:ascii="仿宋" w:hAnsi="仿宋" w:eastAsia="仿宋"/>
          <w:color w:val="auto"/>
          <w:sz w:val="24"/>
        </w:rPr>
        <w:t>年</w:t>
      </w:r>
      <w:r>
        <w:rPr>
          <w:rFonts w:ascii="仿宋" w:hAnsi="仿宋" w:eastAsia="仿宋"/>
          <w:color w:val="auto"/>
          <w:sz w:val="24"/>
        </w:rPr>
        <w:t xml:space="preserve"> </w:t>
      </w:r>
      <w:r>
        <w:rPr>
          <w:rFonts w:ascii="仿宋" w:hAnsi="仿宋" w:eastAsia="仿宋"/>
          <w:color w:val="auto"/>
          <w:sz w:val="24"/>
        </w:rPr>
        <w:tab/>
      </w:r>
      <w:r>
        <w:rPr>
          <w:rFonts w:hint="eastAsia" w:ascii="仿宋" w:hAnsi="仿宋" w:eastAsia="仿宋"/>
          <w:color w:val="auto"/>
          <w:sz w:val="24"/>
        </w:rPr>
        <w:t>月</w:t>
      </w:r>
      <w:r>
        <w:rPr>
          <w:rFonts w:ascii="仿宋" w:hAnsi="仿宋" w:eastAsia="仿宋"/>
          <w:color w:val="auto"/>
          <w:sz w:val="24"/>
        </w:rPr>
        <w:t xml:space="preserve"> </w:t>
      </w:r>
      <w:r>
        <w:rPr>
          <w:rFonts w:ascii="仿宋" w:hAnsi="仿宋" w:eastAsia="仿宋"/>
          <w:color w:val="auto"/>
          <w:sz w:val="24"/>
        </w:rPr>
        <w:tab/>
      </w:r>
      <w:r>
        <w:rPr>
          <w:rFonts w:hint="eastAsia" w:ascii="仿宋" w:hAnsi="仿宋" w:eastAsia="仿宋"/>
          <w:color w:val="auto"/>
          <w:sz w:val="24"/>
        </w:rPr>
        <w:t>日</w:t>
      </w:r>
    </w:p>
    <w:p w14:paraId="4CDC8869">
      <w:pPr>
        <w:snapToGrid w:val="0"/>
        <w:spacing w:beforeLines="50" w:after="50"/>
        <w:jc w:val="left"/>
        <w:rPr>
          <w:rFonts w:ascii="仿宋" w:hAnsi="仿宋" w:eastAsia="仿宋"/>
          <w:b/>
          <w:color w:val="auto"/>
          <w:sz w:val="24"/>
        </w:rPr>
      </w:pPr>
    </w:p>
    <w:p w14:paraId="3CEAC59F">
      <w:pPr>
        <w:snapToGrid w:val="0"/>
        <w:spacing w:beforeLines="50" w:after="50"/>
        <w:jc w:val="left"/>
        <w:rPr>
          <w:rFonts w:hint="eastAsia" w:ascii="仿宋" w:hAnsi="仿宋" w:eastAsia="仿宋"/>
          <w:color w:val="auto"/>
        </w:rPr>
      </w:pPr>
      <w:r>
        <w:rPr>
          <w:rFonts w:hint="eastAsia" w:ascii="仿宋" w:hAnsi="仿宋" w:eastAsia="仿宋"/>
          <w:b/>
          <w:color w:val="auto"/>
          <w:sz w:val="24"/>
        </w:rPr>
        <w:t xml:space="preserve"> 2.中小企业声明函格式</w:t>
      </w:r>
    </w:p>
    <w:p w14:paraId="3C63AD8B">
      <w:pPr>
        <w:rPr>
          <w:rFonts w:hint="eastAsia" w:ascii="仿宋" w:hAnsi="仿宋" w:eastAsia="仿宋"/>
          <w:color w:val="auto"/>
        </w:rPr>
      </w:pPr>
    </w:p>
    <w:p w14:paraId="4F3DBA30">
      <w:pPr>
        <w:jc w:val="center"/>
        <w:rPr>
          <w:rFonts w:hint="eastAsia" w:ascii="仿宋" w:hAnsi="仿宋" w:eastAsia="仿宋" w:cs="方正小标宋简体"/>
          <w:color w:val="auto"/>
          <w:sz w:val="44"/>
          <w:szCs w:val="44"/>
        </w:rPr>
      </w:pPr>
      <w:r>
        <w:rPr>
          <w:rFonts w:hint="eastAsia" w:ascii="仿宋" w:hAnsi="仿宋" w:eastAsia="仿宋" w:cs="方正小标宋简体"/>
          <w:color w:val="auto"/>
          <w:sz w:val="44"/>
          <w:szCs w:val="44"/>
        </w:rPr>
        <w:t>中小企业声明函（</w:t>
      </w:r>
      <w:r>
        <w:rPr>
          <w:rFonts w:hint="eastAsia" w:ascii="仿宋" w:hAnsi="仿宋" w:eastAsia="仿宋" w:cs="方正小标宋简体"/>
          <w:color w:val="auto"/>
          <w:sz w:val="44"/>
          <w:szCs w:val="44"/>
          <w:lang w:eastAsia="zh-CN"/>
        </w:rPr>
        <w:t>服务</w:t>
      </w:r>
      <w:r>
        <w:rPr>
          <w:rFonts w:hint="eastAsia" w:ascii="仿宋" w:hAnsi="仿宋" w:eastAsia="仿宋" w:cs="方正小标宋简体"/>
          <w:color w:val="auto"/>
          <w:sz w:val="44"/>
          <w:szCs w:val="44"/>
        </w:rPr>
        <w:t>）</w:t>
      </w:r>
    </w:p>
    <w:p w14:paraId="2CBB0193">
      <w:pPr>
        <w:spacing w:before="2" w:line="500" w:lineRule="exact"/>
        <w:rPr>
          <w:rFonts w:ascii="仿宋" w:hAnsi="仿宋" w:eastAsia="仿宋" w:cs="宋体"/>
          <w:b/>
          <w:bCs/>
          <w:color w:val="auto"/>
          <w:sz w:val="27"/>
          <w:szCs w:val="27"/>
        </w:rPr>
      </w:pPr>
    </w:p>
    <w:p w14:paraId="7D7B6300">
      <w:pPr>
        <w:pStyle w:val="18"/>
        <w:spacing w:line="500" w:lineRule="exact"/>
        <w:ind w:right="142" w:firstLine="480" w:firstLineChars="200"/>
        <w:rPr>
          <w:rFonts w:ascii="宋体" w:hAnsi="宋体"/>
        </w:rPr>
      </w:pPr>
      <w:r>
        <w:rPr>
          <w:rFonts w:ascii="宋体" w:hAnsi="宋体"/>
        </w:rPr>
        <w:t>本公司（联合体）郑重声明，根据《政府采购促进中小企业发展管理办法》（财库﹝2020﹞46号）的规定，本公司（联合体）参加</w:t>
      </w:r>
      <w:r>
        <w:rPr>
          <w:rFonts w:ascii="宋体" w:hAnsi="宋体"/>
          <w:u w:val="single"/>
        </w:rPr>
        <w:t>（单位名称）</w:t>
      </w:r>
      <w:r>
        <w:rPr>
          <w:rFonts w:ascii="宋体" w:hAnsi="宋体"/>
        </w:rPr>
        <w:t>的</w:t>
      </w:r>
      <w:r>
        <w:rPr>
          <w:rFonts w:ascii="宋体" w:hAnsi="宋体"/>
          <w:u w:val="single"/>
        </w:rPr>
        <w:t>（项目名称）</w:t>
      </w:r>
      <w:r>
        <w:rPr>
          <w:rFonts w:ascii="宋体" w:hAnsi="宋体"/>
        </w:rPr>
        <w:t>采购活动，</w:t>
      </w:r>
      <w:r>
        <w:rPr>
          <w:rFonts w:hint="eastAsia" w:ascii="宋体" w:hAnsi="宋体"/>
        </w:rPr>
        <w:t>服务全部由符合政策要求的中小企业承接。相关企业（含联合体中的中小企业、签订分包意向协议的中小企业）的具体情况如下：</w:t>
      </w:r>
    </w:p>
    <w:p w14:paraId="33933A74">
      <w:pPr>
        <w:tabs>
          <w:tab w:val="left" w:pos="1384"/>
          <w:tab w:val="left" w:pos="4562"/>
          <w:tab w:val="left" w:pos="6803"/>
        </w:tabs>
        <w:spacing w:before="13" w:line="500" w:lineRule="exact"/>
        <w:ind w:right="142" w:firstLine="686" w:firstLineChars="286"/>
        <w:rPr>
          <w:rFonts w:ascii="宋体" w:hAnsi="宋体"/>
          <w:sz w:val="24"/>
        </w:rPr>
      </w:pPr>
      <w:r>
        <w:rPr>
          <w:rFonts w:ascii="宋体" w:hAnsi="宋体"/>
          <w:sz w:val="24"/>
        </w:rPr>
        <w:t>1.</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hint="eastAsia" w:ascii="宋体" w:hAnsi="宋体"/>
          <w:sz w:val="24"/>
          <w:u w:val="single"/>
        </w:rPr>
        <w:t>行</w:t>
      </w:r>
      <w:r>
        <w:rPr>
          <w:rFonts w:ascii="宋体" w:hAnsi="宋体"/>
          <w:sz w:val="24"/>
          <w:u w:val="single"/>
        </w:rPr>
        <w:t>业）</w:t>
      </w:r>
      <w:r>
        <w:rPr>
          <w:rFonts w:ascii="宋体" w:hAnsi="宋体"/>
          <w:sz w:val="24"/>
        </w:rPr>
        <w:t>；</w:t>
      </w:r>
      <w:r>
        <w:rPr>
          <w:rFonts w:hint="eastAsia" w:ascii="宋体" w:hAnsi="宋体"/>
          <w:sz w:val="24"/>
        </w:rPr>
        <w:t>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w:t>
      </w:r>
      <w:r>
        <w:rPr>
          <w:rFonts w:ascii="宋体" w:hAnsi="宋体"/>
          <w:sz w:val="24"/>
        </w:rPr>
        <w:t>，属于</w:t>
      </w:r>
      <w:r>
        <w:rPr>
          <w:rFonts w:ascii="宋体" w:hAnsi="宋体"/>
          <w:sz w:val="24"/>
          <w:u w:val="single"/>
        </w:rPr>
        <w:t>（中型企业、</w:t>
      </w:r>
      <w:r>
        <w:rPr>
          <w:rFonts w:hint="eastAsia" w:ascii="宋体" w:hAnsi="宋体"/>
          <w:sz w:val="24"/>
          <w:u w:val="single"/>
        </w:rPr>
        <w:t>小型企业、微型企业）</w:t>
      </w:r>
      <w:r>
        <w:rPr>
          <w:rFonts w:hint="eastAsia" w:ascii="宋体" w:hAnsi="宋体"/>
          <w:sz w:val="24"/>
        </w:rPr>
        <w:t>；</w:t>
      </w:r>
    </w:p>
    <w:p w14:paraId="1EE5DC27">
      <w:pPr>
        <w:tabs>
          <w:tab w:val="left" w:pos="1065"/>
          <w:tab w:val="left" w:pos="4262"/>
          <w:tab w:val="left" w:pos="6477"/>
        </w:tabs>
        <w:spacing w:before="20" w:line="500" w:lineRule="exact"/>
        <w:ind w:right="84" w:firstLine="686" w:firstLineChars="286"/>
        <w:rPr>
          <w:rFonts w:ascii="宋体" w:hAnsi="宋体"/>
          <w:sz w:val="24"/>
          <w:u w:val="single"/>
        </w:rPr>
      </w:pPr>
      <w:r>
        <w:rPr>
          <w:rFonts w:ascii="宋体" w:hAnsi="宋体"/>
          <w:sz w:val="24"/>
        </w:rPr>
        <w:t>2.</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hint="eastAsia" w:ascii="宋体" w:hAnsi="宋体"/>
          <w:sz w:val="24"/>
          <w:u w:val="single"/>
        </w:rPr>
        <w:t>行业</w:t>
      </w:r>
      <w:r>
        <w:rPr>
          <w:rFonts w:ascii="宋体" w:hAnsi="宋体"/>
          <w:sz w:val="24"/>
          <w:u w:val="single"/>
        </w:rPr>
        <w:t>）</w:t>
      </w:r>
      <w:r>
        <w:rPr>
          <w:rFonts w:ascii="宋体" w:hAnsi="宋体"/>
          <w:sz w:val="24"/>
        </w:rPr>
        <w:t>；</w:t>
      </w:r>
      <w:r>
        <w:rPr>
          <w:rFonts w:hint="eastAsia" w:ascii="宋体" w:hAnsi="宋体"/>
          <w:sz w:val="24"/>
        </w:rPr>
        <w:t>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w:t>
      </w:r>
      <w:r>
        <w:rPr>
          <w:rFonts w:ascii="宋体" w:hAnsi="宋体"/>
          <w:sz w:val="24"/>
        </w:rPr>
        <w:t>，属于</w:t>
      </w:r>
      <w:r>
        <w:rPr>
          <w:rFonts w:ascii="宋体" w:hAnsi="宋体"/>
          <w:sz w:val="24"/>
          <w:u w:val="single"/>
        </w:rPr>
        <w:t>（中型企业、</w:t>
      </w:r>
      <w:r>
        <w:rPr>
          <w:rFonts w:hint="eastAsia" w:ascii="宋体" w:hAnsi="宋体"/>
          <w:sz w:val="24"/>
          <w:u w:val="single"/>
        </w:rPr>
        <w:t>小型企业、微型企业）</w:t>
      </w:r>
      <w:r>
        <w:rPr>
          <w:rFonts w:hint="eastAsia" w:ascii="宋体" w:hAnsi="宋体"/>
          <w:sz w:val="24"/>
        </w:rPr>
        <w:t>；</w:t>
      </w:r>
    </w:p>
    <w:p w14:paraId="67514A5C">
      <w:pPr>
        <w:pStyle w:val="18"/>
        <w:spacing w:before="34" w:line="500" w:lineRule="exact"/>
        <w:ind w:left="765" w:right="142" w:hanging="5"/>
        <w:rPr>
          <w:rFonts w:ascii="宋体" w:hAnsi="宋体"/>
        </w:rPr>
      </w:pPr>
      <w:r>
        <w:rPr>
          <w:rFonts w:ascii="宋体" w:hAnsi="宋体"/>
        </w:rPr>
        <w:t xml:space="preserve">…… </w:t>
      </w:r>
    </w:p>
    <w:p w14:paraId="6604E905">
      <w:pPr>
        <w:pStyle w:val="18"/>
        <w:spacing w:before="34" w:line="500" w:lineRule="exact"/>
        <w:ind w:right="142" w:firstLine="480" w:firstLineChars="200"/>
        <w:rPr>
          <w:rFonts w:hint="eastAsia" w:ascii="宋体" w:hAnsi="宋体"/>
        </w:rPr>
      </w:pPr>
      <w:r>
        <w:rPr>
          <w:rFonts w:ascii="宋体" w:hAnsi="宋体"/>
        </w:rPr>
        <w:t>以上企业，不属于大企业的分支机构，不存在控股股东为大企业的情形，也不存在与大企业的负责人为同一人的情形。</w:t>
      </w:r>
    </w:p>
    <w:p w14:paraId="49A23C5B">
      <w:pPr>
        <w:pStyle w:val="18"/>
        <w:spacing w:before="34" w:line="500" w:lineRule="exact"/>
        <w:ind w:right="142" w:firstLine="480" w:firstLineChars="200"/>
        <w:rPr>
          <w:rFonts w:ascii="宋体" w:hAnsi="宋体"/>
        </w:rPr>
      </w:pPr>
      <w:r>
        <w:rPr>
          <w:rFonts w:ascii="宋体" w:hAnsi="宋体"/>
        </w:rPr>
        <w:t>本企业对上述声明内容的真实性负责。如有虚假，将依法承担相应责任。</w:t>
      </w:r>
    </w:p>
    <w:p w14:paraId="000735B6">
      <w:pPr>
        <w:pStyle w:val="18"/>
        <w:spacing w:before="56" w:line="500" w:lineRule="exact"/>
        <w:ind w:left="3960" w:right="1808"/>
        <w:rPr>
          <w:rFonts w:ascii="宋体" w:hAnsi="宋体"/>
        </w:rPr>
      </w:pPr>
      <w:r>
        <w:rPr>
          <w:rFonts w:ascii="宋体" w:hAnsi="宋体"/>
        </w:rPr>
        <w:t xml:space="preserve">企业名称（章）： </w:t>
      </w:r>
    </w:p>
    <w:p w14:paraId="7689D61F">
      <w:pPr>
        <w:pStyle w:val="18"/>
        <w:spacing w:before="56" w:line="500" w:lineRule="exact"/>
        <w:ind w:left="3960" w:right="1808"/>
        <w:rPr>
          <w:rFonts w:hint="eastAsia" w:ascii="宋体" w:hAnsi="宋体"/>
        </w:rPr>
      </w:pPr>
      <w:r>
        <w:rPr>
          <w:rFonts w:ascii="宋体" w:hAnsi="宋体"/>
        </w:rPr>
        <w:t>日 期：</w:t>
      </w:r>
    </w:p>
    <w:p w14:paraId="4F1C0CEF">
      <w:pPr>
        <w:pStyle w:val="18"/>
        <w:spacing w:line="360" w:lineRule="auto"/>
        <w:ind w:left="3960" w:right="1808"/>
        <w:contextualSpacing/>
        <w:rPr>
          <w:rFonts w:ascii="仿宋" w:hAnsi="仿宋" w:eastAsia="仿宋"/>
          <w:color w:val="auto"/>
          <w:kern w:val="24"/>
        </w:rPr>
      </w:pPr>
    </w:p>
    <w:p w14:paraId="32C14FA5">
      <w:pPr>
        <w:pStyle w:val="18"/>
        <w:spacing w:line="360" w:lineRule="auto"/>
        <w:ind w:left="3960" w:right="1808"/>
        <w:contextualSpacing/>
        <w:rPr>
          <w:rFonts w:ascii="仿宋" w:hAnsi="仿宋" w:eastAsia="仿宋"/>
          <w:color w:val="auto"/>
          <w:kern w:val="24"/>
        </w:rPr>
      </w:pPr>
    </w:p>
    <w:p w14:paraId="0EDDCAA8">
      <w:pPr>
        <w:pStyle w:val="18"/>
        <w:spacing w:line="360" w:lineRule="auto"/>
        <w:ind w:left="-426" w:right="142" w:firstLine="567"/>
        <w:contextualSpacing/>
        <w:rPr>
          <w:rFonts w:hint="eastAsia" w:ascii="仿宋" w:hAnsi="仿宋" w:eastAsia="仿宋"/>
          <w:color w:val="auto"/>
          <w:kern w:val="24"/>
        </w:rPr>
      </w:pPr>
      <w:r>
        <w:rPr>
          <w:rFonts w:hint="eastAsia" w:ascii="仿宋" w:hAnsi="仿宋" w:eastAsia="仿宋"/>
          <w:color w:val="auto"/>
          <w:kern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1D3D8749">
      <w:pPr>
        <w:snapToGrid w:val="0"/>
        <w:spacing w:beforeLines="50" w:after="50"/>
        <w:ind w:left="142"/>
        <w:jc w:val="left"/>
        <w:rPr>
          <w:rFonts w:hint="eastAsia" w:ascii="仿宋" w:hAnsi="仿宋" w:eastAsia="仿宋"/>
          <w:b/>
          <w:color w:val="auto"/>
          <w:sz w:val="24"/>
        </w:rPr>
      </w:pPr>
    </w:p>
    <w:p w14:paraId="0294C5FB">
      <w:pPr>
        <w:spacing w:line="360" w:lineRule="auto"/>
        <w:jc w:val="left"/>
        <w:rPr>
          <w:rFonts w:hint="eastAsia" w:ascii="仿宋" w:hAnsi="仿宋" w:eastAsia="仿宋"/>
          <w:b/>
          <w:color w:val="auto"/>
          <w:sz w:val="24"/>
        </w:rPr>
      </w:pPr>
      <w:r>
        <w:rPr>
          <w:rFonts w:ascii="仿宋" w:hAnsi="仿宋" w:eastAsia="仿宋" w:cs="Arial Unicode MS"/>
          <w:color w:val="auto"/>
          <w:sz w:val="32"/>
          <w:szCs w:val="32"/>
        </w:rPr>
        <w:br w:type="page"/>
      </w:r>
      <w:r>
        <w:rPr>
          <w:rFonts w:hint="eastAsia" w:ascii="仿宋" w:hAnsi="仿宋" w:eastAsia="仿宋"/>
          <w:b/>
          <w:color w:val="auto"/>
          <w:sz w:val="24"/>
        </w:rPr>
        <w:t>3.残疾人福利性单位声明函格式</w:t>
      </w:r>
    </w:p>
    <w:p w14:paraId="195A6EE6">
      <w:pPr>
        <w:spacing w:line="588" w:lineRule="exact"/>
        <w:jc w:val="center"/>
        <w:rPr>
          <w:rFonts w:hint="eastAsia" w:ascii="仿宋" w:hAnsi="仿宋" w:eastAsia="仿宋"/>
          <w:b/>
          <w:color w:val="auto"/>
          <w:spacing w:val="6"/>
          <w:sz w:val="32"/>
          <w:szCs w:val="32"/>
        </w:rPr>
      </w:pPr>
    </w:p>
    <w:p w14:paraId="4B7A9D51">
      <w:pPr>
        <w:spacing w:line="588" w:lineRule="exact"/>
        <w:jc w:val="center"/>
        <w:rPr>
          <w:rFonts w:hint="eastAsia" w:ascii="仿宋" w:hAnsi="仿宋" w:eastAsia="仿宋" w:cs="方正小标宋简体"/>
          <w:bCs/>
          <w:color w:val="auto"/>
          <w:spacing w:val="6"/>
          <w:sz w:val="44"/>
          <w:szCs w:val="44"/>
        </w:rPr>
      </w:pPr>
      <w:r>
        <w:rPr>
          <w:rFonts w:hint="eastAsia" w:ascii="仿宋" w:hAnsi="仿宋" w:eastAsia="仿宋" w:cs="方正小标宋简体"/>
          <w:bCs/>
          <w:color w:val="auto"/>
          <w:spacing w:val="6"/>
          <w:sz w:val="44"/>
          <w:szCs w:val="44"/>
        </w:rPr>
        <w:t>残疾人福利性单位声明函</w:t>
      </w:r>
    </w:p>
    <w:p w14:paraId="1B0BF162">
      <w:pPr>
        <w:spacing w:line="360" w:lineRule="auto"/>
        <w:contextualSpacing/>
        <w:rPr>
          <w:rFonts w:ascii="仿宋" w:hAnsi="仿宋" w:eastAsia="仿宋"/>
          <w:bCs/>
          <w:color w:val="auto"/>
          <w:spacing w:val="6"/>
          <w:sz w:val="30"/>
          <w:szCs w:val="30"/>
        </w:rPr>
      </w:pPr>
    </w:p>
    <w:p w14:paraId="69E23FDB">
      <w:pPr>
        <w:spacing w:line="360" w:lineRule="auto"/>
        <w:ind w:firstLine="504" w:firstLineChars="200"/>
        <w:contextualSpacing/>
        <w:rPr>
          <w:rFonts w:ascii="仿宋" w:hAnsi="仿宋" w:eastAsia="仿宋"/>
          <w:color w:val="auto"/>
          <w:spacing w:val="6"/>
          <w:sz w:val="24"/>
        </w:rPr>
      </w:pPr>
      <w:r>
        <w:rPr>
          <w:rFonts w:hint="eastAsia" w:ascii="仿宋" w:hAnsi="仿宋" w:eastAsia="仿宋"/>
          <w:color w:val="auto"/>
          <w:spacing w:val="6"/>
          <w:sz w:val="24"/>
        </w:rPr>
        <w:t>本单位郑重声明，根据《财政部 民政部 中国残疾人联合会关于促进残疾人就业政府采购政策的通知》（财库</w:t>
      </w:r>
      <w:r>
        <w:rPr>
          <w:rFonts w:hint="eastAsia" w:ascii="仿宋" w:hAnsi="仿宋" w:eastAsia="仿宋"/>
          <w:color w:val="auto"/>
          <w:sz w:val="24"/>
        </w:rPr>
        <w:t>〔2017〕 141</w:t>
      </w:r>
      <w:r>
        <w:rPr>
          <w:rFonts w:hint="eastAsia" w:ascii="仿宋" w:hAnsi="仿宋" w:eastAsia="仿宋"/>
          <w:color w:val="auto"/>
          <w:spacing w:val="6"/>
          <w:sz w:val="24"/>
        </w:rPr>
        <w:t>号）的规定，本单位为符合条件的残疾人福利性单位，且本单位参加______单位的______项目采购活动提供本单位制造的货物（由本单位承担工程/提供服务），或者提供其他残</w:t>
      </w:r>
      <w:r>
        <w:rPr>
          <w:rFonts w:hint="eastAsia" w:ascii="仿宋" w:hAnsi="仿宋" w:eastAsia="仿宋"/>
          <w:color w:val="auto"/>
          <w:spacing w:val="-6"/>
          <w:sz w:val="24"/>
        </w:rPr>
        <w:t>疾人福利性单位制造的货物（不包括使用非残疾人福利性单位注册商标的货物）。</w:t>
      </w:r>
    </w:p>
    <w:p w14:paraId="34701164">
      <w:pPr>
        <w:spacing w:line="360" w:lineRule="auto"/>
        <w:ind w:firstLine="504" w:firstLineChars="200"/>
        <w:contextualSpacing/>
        <w:rPr>
          <w:rFonts w:ascii="仿宋" w:hAnsi="仿宋" w:eastAsia="仿宋"/>
          <w:color w:val="auto"/>
          <w:spacing w:val="6"/>
          <w:sz w:val="24"/>
        </w:rPr>
      </w:pPr>
      <w:r>
        <w:rPr>
          <w:rFonts w:hint="eastAsia" w:ascii="仿宋" w:hAnsi="仿宋" w:eastAsia="仿宋"/>
          <w:color w:val="auto"/>
          <w:spacing w:val="6"/>
          <w:sz w:val="24"/>
        </w:rPr>
        <w:t>本单位对上述声明的真实性负责。如有虚假，将依法承担相应责任。</w:t>
      </w:r>
    </w:p>
    <w:p w14:paraId="3B8F2655">
      <w:pPr>
        <w:spacing w:line="360" w:lineRule="auto"/>
        <w:ind w:firstLine="504" w:firstLineChars="200"/>
        <w:contextualSpacing/>
        <w:rPr>
          <w:rFonts w:ascii="仿宋" w:hAnsi="仿宋" w:eastAsia="仿宋"/>
          <w:color w:val="auto"/>
          <w:spacing w:val="6"/>
          <w:sz w:val="24"/>
        </w:rPr>
      </w:pPr>
    </w:p>
    <w:p w14:paraId="5782CCC1">
      <w:pPr>
        <w:spacing w:line="360" w:lineRule="auto"/>
        <w:ind w:firstLine="504" w:firstLineChars="200"/>
        <w:contextualSpacing/>
        <w:rPr>
          <w:rFonts w:ascii="仿宋" w:hAnsi="仿宋" w:eastAsia="仿宋"/>
          <w:color w:val="auto"/>
          <w:spacing w:val="6"/>
          <w:sz w:val="24"/>
        </w:rPr>
      </w:pPr>
    </w:p>
    <w:p w14:paraId="1688B727">
      <w:pPr>
        <w:tabs>
          <w:tab w:val="left" w:pos="4860"/>
        </w:tabs>
        <w:spacing w:line="360" w:lineRule="auto"/>
        <w:ind w:right="1560" w:firstLine="504" w:firstLineChars="200"/>
        <w:contextualSpacing/>
        <w:jc w:val="center"/>
        <w:rPr>
          <w:rFonts w:ascii="仿宋" w:hAnsi="仿宋" w:eastAsia="仿宋"/>
          <w:color w:val="auto"/>
          <w:spacing w:val="6"/>
          <w:sz w:val="24"/>
        </w:rPr>
      </w:pPr>
      <w:r>
        <w:rPr>
          <w:rFonts w:hint="eastAsia" w:ascii="仿宋" w:hAnsi="仿宋" w:eastAsia="仿宋"/>
          <w:color w:val="auto"/>
          <w:spacing w:val="6"/>
          <w:sz w:val="24"/>
        </w:rPr>
        <w:t>单位名称（盖公章）：</w:t>
      </w:r>
    </w:p>
    <w:p w14:paraId="4694F45F">
      <w:pPr>
        <w:tabs>
          <w:tab w:val="left" w:pos="4860"/>
        </w:tabs>
        <w:spacing w:line="360" w:lineRule="auto"/>
        <w:ind w:right="1560" w:firstLine="504" w:firstLineChars="200"/>
        <w:contextualSpacing/>
        <w:jc w:val="center"/>
        <w:rPr>
          <w:rFonts w:ascii="仿宋" w:hAnsi="仿宋" w:eastAsia="仿宋"/>
          <w:color w:val="auto"/>
          <w:spacing w:val="6"/>
          <w:sz w:val="24"/>
        </w:rPr>
      </w:pPr>
      <w:r>
        <w:rPr>
          <w:rFonts w:hint="eastAsia" w:ascii="仿宋" w:hAnsi="仿宋" w:eastAsia="仿宋"/>
          <w:color w:val="auto"/>
          <w:spacing w:val="6"/>
          <w:sz w:val="24"/>
        </w:rPr>
        <w:t>日  期：</w:t>
      </w:r>
    </w:p>
    <w:p w14:paraId="0CEFA54C">
      <w:pPr>
        <w:spacing w:line="360" w:lineRule="auto"/>
        <w:contextualSpacing/>
        <w:rPr>
          <w:rFonts w:ascii="仿宋" w:hAnsi="仿宋" w:eastAsia="仿宋"/>
          <w:color w:val="auto"/>
          <w:sz w:val="24"/>
        </w:rPr>
      </w:pPr>
    </w:p>
    <w:p w14:paraId="23F9C77E">
      <w:pPr>
        <w:spacing w:line="360" w:lineRule="auto"/>
        <w:contextualSpacing/>
        <w:rPr>
          <w:rFonts w:hint="eastAsia" w:ascii="仿宋" w:hAnsi="仿宋" w:eastAsia="仿宋"/>
          <w:color w:val="auto"/>
          <w:sz w:val="24"/>
        </w:rPr>
      </w:pPr>
    </w:p>
    <w:p w14:paraId="0DF6F57A">
      <w:pPr>
        <w:spacing w:line="360" w:lineRule="auto"/>
        <w:contextualSpacing/>
        <w:rPr>
          <w:rFonts w:ascii="仿宋" w:hAnsi="仿宋" w:eastAsia="仿宋"/>
          <w:color w:val="auto"/>
          <w:sz w:val="24"/>
        </w:rPr>
      </w:pPr>
    </w:p>
    <w:p w14:paraId="04F4EFD5">
      <w:pPr>
        <w:spacing w:line="360" w:lineRule="auto"/>
        <w:contextualSpacing/>
        <w:rPr>
          <w:rFonts w:ascii="仿宋" w:hAnsi="仿宋" w:eastAsia="仿宋"/>
          <w:color w:val="auto"/>
          <w:sz w:val="24"/>
        </w:rPr>
      </w:pPr>
      <w:r>
        <w:rPr>
          <w:rFonts w:hint="eastAsia" w:ascii="仿宋" w:hAnsi="仿宋" w:eastAsia="仿宋"/>
          <w:color w:val="auto"/>
          <w:sz w:val="24"/>
        </w:rPr>
        <w:t>注：请根据自己的真实情况出具《残疾人福利性单位声明函》。依法享受中小企业优惠政策的，采购人或者采购代理机构在公告中标结果时，同时公告其《残疾人福利性单位声明函》，接受社会监督。</w:t>
      </w:r>
    </w:p>
    <w:p w14:paraId="7B08524B">
      <w:pPr>
        <w:spacing w:line="360" w:lineRule="auto"/>
        <w:jc w:val="left"/>
        <w:rPr>
          <w:rFonts w:ascii="仿宋" w:hAnsi="仿宋" w:eastAsia="仿宋"/>
          <w:color w:val="auto"/>
          <w:sz w:val="24"/>
        </w:rPr>
      </w:pPr>
      <w:r>
        <w:rPr>
          <w:rFonts w:ascii="仿宋" w:hAnsi="仿宋" w:eastAsia="仿宋"/>
          <w:color w:val="auto"/>
          <w:sz w:val="24"/>
        </w:rPr>
        <w:br w:type="page"/>
      </w:r>
      <w:r>
        <w:rPr>
          <w:rFonts w:hint="eastAsia" w:ascii="仿宋" w:hAnsi="仿宋" w:eastAsia="仿宋"/>
          <w:b/>
          <w:color w:val="auto"/>
          <w:sz w:val="24"/>
        </w:rPr>
        <w:t>4.质疑函格式</w:t>
      </w:r>
    </w:p>
    <w:p w14:paraId="01C92F63">
      <w:pPr>
        <w:spacing w:line="360" w:lineRule="auto"/>
        <w:jc w:val="center"/>
        <w:rPr>
          <w:rFonts w:hint="eastAsia" w:ascii="仿宋" w:hAnsi="仿宋" w:eastAsia="仿宋" w:cs="方正小标宋简体"/>
          <w:color w:val="auto"/>
          <w:sz w:val="44"/>
          <w:szCs w:val="44"/>
        </w:rPr>
      </w:pPr>
      <w:r>
        <w:rPr>
          <w:rFonts w:hint="eastAsia" w:ascii="仿宋" w:hAnsi="仿宋" w:eastAsia="仿宋" w:cs="方正小标宋简体"/>
          <w:color w:val="auto"/>
          <w:sz w:val="44"/>
          <w:szCs w:val="44"/>
        </w:rPr>
        <w:t>质疑函</w:t>
      </w:r>
    </w:p>
    <w:p w14:paraId="5911C67D">
      <w:pPr>
        <w:pStyle w:val="24"/>
        <w:snapToGrid w:val="0"/>
        <w:spacing w:line="360" w:lineRule="auto"/>
        <w:ind w:firstLine="482" w:firstLineChars="200"/>
        <w:rPr>
          <w:rFonts w:ascii="仿宋" w:hAnsi="仿宋" w:eastAsia="仿宋"/>
          <w:b/>
          <w:bCs/>
          <w:color w:val="auto"/>
          <w:sz w:val="24"/>
          <w:szCs w:val="24"/>
        </w:rPr>
      </w:pPr>
      <w:r>
        <w:rPr>
          <w:rFonts w:hint="eastAsia" w:ascii="仿宋" w:hAnsi="仿宋" w:eastAsia="仿宋"/>
          <w:b/>
          <w:bCs/>
          <w:color w:val="auto"/>
          <w:sz w:val="24"/>
          <w:szCs w:val="24"/>
        </w:rPr>
        <w:t>一、质疑供应商基本信息：</w:t>
      </w:r>
    </w:p>
    <w:p w14:paraId="453701DB">
      <w:pPr>
        <w:pStyle w:val="24"/>
        <w:snapToGrid w:val="0"/>
        <w:spacing w:line="360" w:lineRule="auto"/>
        <w:ind w:firstLine="480" w:firstLineChars="200"/>
        <w:rPr>
          <w:rFonts w:hint="eastAsia" w:ascii="仿宋" w:hAnsi="仿宋" w:eastAsia="仿宋"/>
          <w:bCs/>
          <w:color w:val="auto"/>
          <w:sz w:val="24"/>
          <w:szCs w:val="24"/>
          <w:u w:val="single"/>
        </w:rPr>
      </w:pPr>
      <w:r>
        <w:rPr>
          <w:rFonts w:hint="eastAsia" w:ascii="仿宋" w:hAnsi="仿宋" w:eastAsia="仿宋"/>
          <w:bCs/>
          <w:color w:val="auto"/>
          <w:sz w:val="24"/>
          <w:szCs w:val="24"/>
        </w:rPr>
        <w:t>质疑供应商：</w:t>
      </w:r>
      <w:r>
        <w:rPr>
          <w:rFonts w:hint="eastAsia" w:ascii="仿宋" w:hAnsi="仿宋" w:eastAsia="仿宋"/>
          <w:bCs/>
          <w:color w:val="auto"/>
          <w:sz w:val="24"/>
          <w:szCs w:val="24"/>
          <w:u w:val="single"/>
        </w:rPr>
        <w:t xml:space="preserve">                                       </w:t>
      </w:r>
      <w:r>
        <w:rPr>
          <w:rFonts w:hint="eastAsia" w:ascii="仿宋" w:hAnsi="仿宋" w:eastAsia="仿宋"/>
          <w:bCs/>
          <w:color w:val="auto"/>
          <w:sz w:val="24"/>
          <w:szCs w:val="24"/>
        </w:rPr>
        <w:t xml:space="preserve">                 </w:t>
      </w:r>
    </w:p>
    <w:p w14:paraId="067DABF5">
      <w:pPr>
        <w:pStyle w:val="24"/>
        <w:snapToGrid w:val="0"/>
        <w:spacing w:line="360" w:lineRule="auto"/>
        <w:ind w:firstLine="480" w:firstLineChars="200"/>
        <w:rPr>
          <w:rFonts w:hint="eastAsia" w:ascii="仿宋" w:hAnsi="仿宋" w:eastAsia="仿宋"/>
          <w:bCs/>
          <w:color w:val="auto"/>
          <w:sz w:val="24"/>
          <w:szCs w:val="24"/>
        </w:rPr>
      </w:pPr>
      <w:r>
        <w:rPr>
          <w:rFonts w:ascii="仿宋" w:hAnsi="仿宋" w:eastAsia="仿宋"/>
          <w:bCs/>
          <w:color w:val="auto"/>
          <w:sz w:val="24"/>
          <w:szCs w:val="24"/>
        </w:rPr>
        <w:t>地址</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r>
        <w:rPr>
          <w:rFonts w:ascii="仿宋" w:hAnsi="仿宋" w:eastAsia="仿宋"/>
          <w:bCs/>
          <w:color w:val="auto"/>
          <w:sz w:val="24"/>
          <w:szCs w:val="24"/>
        </w:rPr>
        <w:t>邮编</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r>
        <w:rPr>
          <w:rFonts w:hint="eastAsia" w:ascii="仿宋" w:hAnsi="仿宋" w:eastAsia="仿宋"/>
          <w:bCs/>
          <w:color w:val="auto"/>
          <w:sz w:val="24"/>
          <w:szCs w:val="24"/>
        </w:rPr>
        <w:t xml:space="preserve">                 </w:t>
      </w:r>
    </w:p>
    <w:p w14:paraId="411268B7">
      <w:pPr>
        <w:pStyle w:val="24"/>
        <w:snapToGrid w:val="0"/>
        <w:spacing w:line="360" w:lineRule="auto"/>
        <w:ind w:firstLine="480" w:firstLineChars="200"/>
        <w:rPr>
          <w:rFonts w:hint="eastAsia" w:ascii="仿宋" w:hAnsi="仿宋" w:eastAsia="仿宋"/>
          <w:bCs/>
          <w:color w:val="auto"/>
          <w:sz w:val="24"/>
          <w:szCs w:val="24"/>
        </w:rPr>
      </w:pPr>
      <w:r>
        <w:rPr>
          <w:rFonts w:ascii="仿宋" w:hAnsi="仿宋" w:eastAsia="仿宋"/>
          <w:bCs/>
          <w:color w:val="auto"/>
          <w:sz w:val="24"/>
          <w:szCs w:val="24"/>
        </w:rPr>
        <w:t>联系人</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r>
        <w:rPr>
          <w:rFonts w:ascii="仿宋" w:hAnsi="仿宋" w:eastAsia="仿宋"/>
          <w:bCs/>
          <w:color w:val="auto"/>
          <w:sz w:val="24"/>
          <w:szCs w:val="24"/>
        </w:rPr>
        <w:t>联系电话</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p>
    <w:p w14:paraId="2806BF95">
      <w:pPr>
        <w:pStyle w:val="24"/>
        <w:snapToGrid w:val="0"/>
        <w:spacing w:line="360" w:lineRule="auto"/>
        <w:ind w:firstLine="480" w:firstLineChars="200"/>
        <w:rPr>
          <w:rFonts w:hint="eastAsia" w:ascii="仿宋" w:hAnsi="仿宋" w:eastAsia="仿宋"/>
          <w:bCs/>
          <w:color w:val="auto"/>
          <w:sz w:val="24"/>
          <w:szCs w:val="24"/>
        </w:rPr>
      </w:pPr>
      <w:r>
        <w:rPr>
          <w:rFonts w:hint="eastAsia" w:ascii="仿宋" w:hAnsi="仿宋" w:eastAsia="仿宋"/>
          <w:bCs/>
          <w:color w:val="auto"/>
          <w:sz w:val="24"/>
          <w:szCs w:val="24"/>
        </w:rPr>
        <w:t>授权代表：</w:t>
      </w:r>
      <w:r>
        <w:rPr>
          <w:rFonts w:hint="eastAsia" w:ascii="仿宋" w:hAnsi="仿宋" w:eastAsia="仿宋"/>
          <w:bCs/>
          <w:color w:val="auto"/>
          <w:sz w:val="24"/>
          <w:szCs w:val="24"/>
          <w:u w:val="single"/>
        </w:rPr>
        <w:t xml:space="preserve">                      </w:t>
      </w:r>
    </w:p>
    <w:p w14:paraId="18FE794C">
      <w:pPr>
        <w:pStyle w:val="24"/>
        <w:snapToGrid w:val="0"/>
        <w:spacing w:line="360" w:lineRule="auto"/>
        <w:ind w:firstLine="480" w:firstLineChars="200"/>
        <w:rPr>
          <w:rFonts w:hint="eastAsia" w:ascii="仿宋" w:hAnsi="仿宋" w:eastAsia="仿宋"/>
          <w:bCs/>
          <w:color w:val="auto"/>
          <w:sz w:val="24"/>
          <w:szCs w:val="24"/>
          <w:u w:val="single"/>
        </w:rPr>
      </w:pPr>
      <w:r>
        <w:rPr>
          <w:rFonts w:ascii="仿宋" w:hAnsi="仿宋" w:eastAsia="仿宋"/>
          <w:bCs/>
          <w:color w:val="auto"/>
          <w:sz w:val="24"/>
          <w:szCs w:val="24"/>
        </w:rPr>
        <w:t>联系</w:t>
      </w:r>
      <w:r>
        <w:rPr>
          <w:rFonts w:hint="eastAsia" w:ascii="仿宋" w:hAnsi="仿宋" w:eastAsia="仿宋"/>
          <w:bCs/>
          <w:color w:val="auto"/>
          <w:sz w:val="24"/>
          <w:szCs w:val="24"/>
        </w:rPr>
        <w:t>电话：</w:t>
      </w:r>
      <w:r>
        <w:rPr>
          <w:rFonts w:hint="eastAsia" w:ascii="仿宋" w:hAnsi="仿宋" w:eastAsia="仿宋"/>
          <w:bCs/>
          <w:color w:val="auto"/>
          <w:sz w:val="24"/>
          <w:szCs w:val="24"/>
          <w:u w:val="single"/>
        </w:rPr>
        <w:t xml:space="preserve">                      </w:t>
      </w:r>
    </w:p>
    <w:p w14:paraId="0BA59284">
      <w:pPr>
        <w:pStyle w:val="24"/>
        <w:snapToGrid w:val="0"/>
        <w:spacing w:line="360" w:lineRule="auto"/>
        <w:ind w:firstLine="480" w:firstLineChars="200"/>
        <w:rPr>
          <w:rFonts w:hint="eastAsia" w:ascii="仿宋" w:hAnsi="仿宋" w:eastAsia="仿宋"/>
          <w:bCs/>
          <w:color w:val="auto"/>
          <w:sz w:val="24"/>
          <w:szCs w:val="24"/>
        </w:rPr>
      </w:pPr>
      <w:r>
        <w:rPr>
          <w:rFonts w:ascii="仿宋" w:hAnsi="仿宋" w:eastAsia="仿宋"/>
          <w:bCs/>
          <w:color w:val="auto"/>
          <w:sz w:val="24"/>
          <w:szCs w:val="24"/>
        </w:rPr>
        <w:t>地址</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r>
        <w:rPr>
          <w:rFonts w:ascii="仿宋" w:hAnsi="仿宋" w:eastAsia="仿宋"/>
          <w:bCs/>
          <w:color w:val="auto"/>
          <w:sz w:val="24"/>
          <w:szCs w:val="24"/>
        </w:rPr>
        <w:t>邮编</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r>
        <w:rPr>
          <w:rFonts w:hint="eastAsia" w:ascii="仿宋" w:hAnsi="仿宋" w:eastAsia="仿宋"/>
          <w:bCs/>
          <w:color w:val="auto"/>
          <w:sz w:val="24"/>
          <w:szCs w:val="24"/>
        </w:rPr>
        <w:t xml:space="preserve">     </w:t>
      </w:r>
    </w:p>
    <w:p w14:paraId="3093F97E">
      <w:pPr>
        <w:pStyle w:val="24"/>
        <w:snapToGrid w:val="0"/>
        <w:spacing w:line="360" w:lineRule="auto"/>
        <w:ind w:firstLine="482" w:firstLineChars="200"/>
        <w:rPr>
          <w:rFonts w:hint="eastAsia" w:ascii="仿宋" w:hAnsi="仿宋" w:eastAsia="仿宋"/>
          <w:b/>
          <w:bCs/>
          <w:color w:val="auto"/>
          <w:sz w:val="24"/>
          <w:szCs w:val="24"/>
        </w:rPr>
      </w:pPr>
      <w:r>
        <w:rPr>
          <w:rFonts w:hint="eastAsia" w:ascii="仿宋" w:hAnsi="仿宋" w:eastAsia="仿宋"/>
          <w:b/>
          <w:bCs/>
          <w:color w:val="auto"/>
          <w:sz w:val="24"/>
          <w:szCs w:val="24"/>
        </w:rPr>
        <w:t>二、质疑项目基本情况：</w:t>
      </w:r>
    </w:p>
    <w:p w14:paraId="0BA3D0C8">
      <w:pPr>
        <w:pStyle w:val="24"/>
        <w:spacing w:line="360" w:lineRule="auto"/>
        <w:ind w:left="25" w:leftChars="12" w:firstLine="472" w:firstLineChars="197"/>
        <w:rPr>
          <w:rFonts w:hint="eastAsia" w:ascii="仿宋" w:hAnsi="仿宋" w:eastAsia="仿宋"/>
          <w:color w:val="auto"/>
          <w:sz w:val="24"/>
          <w:szCs w:val="24"/>
        </w:rPr>
      </w:pPr>
      <w:r>
        <w:rPr>
          <w:rFonts w:hint="eastAsia" w:ascii="仿宋" w:hAnsi="仿宋" w:eastAsia="仿宋"/>
          <w:bCs/>
          <w:color w:val="auto"/>
          <w:sz w:val="24"/>
          <w:szCs w:val="24"/>
        </w:rPr>
        <w:t>质疑</w:t>
      </w:r>
      <w:r>
        <w:rPr>
          <w:rFonts w:hint="eastAsia" w:ascii="仿宋" w:hAnsi="仿宋" w:eastAsia="仿宋"/>
          <w:color w:val="auto"/>
          <w:sz w:val="24"/>
          <w:szCs w:val="24"/>
        </w:rPr>
        <w:t>项目的名称：</w:t>
      </w:r>
      <w:r>
        <w:rPr>
          <w:rFonts w:hint="eastAsia" w:ascii="仿宋" w:hAnsi="仿宋" w:eastAsia="仿宋"/>
          <w:bCs/>
          <w:color w:val="auto"/>
          <w:sz w:val="24"/>
          <w:szCs w:val="24"/>
          <w:u w:val="single"/>
        </w:rPr>
        <w:t xml:space="preserve">                                     </w:t>
      </w:r>
    </w:p>
    <w:p w14:paraId="2931CFC8">
      <w:pPr>
        <w:pStyle w:val="24"/>
        <w:spacing w:line="360" w:lineRule="auto"/>
        <w:ind w:left="25" w:leftChars="12" w:firstLine="472" w:firstLineChars="197"/>
        <w:rPr>
          <w:rFonts w:hint="eastAsia" w:ascii="仿宋" w:hAnsi="仿宋" w:eastAsia="仿宋"/>
          <w:color w:val="auto"/>
          <w:sz w:val="24"/>
          <w:szCs w:val="24"/>
        </w:rPr>
      </w:pPr>
      <w:r>
        <w:rPr>
          <w:rFonts w:hint="eastAsia" w:ascii="仿宋" w:hAnsi="仿宋" w:eastAsia="仿宋"/>
          <w:bCs/>
          <w:color w:val="auto"/>
          <w:sz w:val="24"/>
          <w:szCs w:val="24"/>
        </w:rPr>
        <w:t>质疑</w:t>
      </w:r>
      <w:r>
        <w:rPr>
          <w:rFonts w:hint="eastAsia" w:ascii="仿宋" w:hAnsi="仿宋" w:eastAsia="仿宋"/>
          <w:color w:val="auto"/>
          <w:sz w:val="24"/>
          <w:szCs w:val="24"/>
        </w:rPr>
        <w:t>项目的编号：</w:t>
      </w:r>
      <w:r>
        <w:rPr>
          <w:rFonts w:hint="eastAsia" w:ascii="仿宋" w:hAnsi="仿宋" w:eastAsia="仿宋"/>
          <w:bCs/>
          <w:color w:val="auto"/>
          <w:sz w:val="24"/>
          <w:szCs w:val="24"/>
          <w:u w:val="single"/>
        </w:rPr>
        <w:t xml:space="preserve">                                     </w:t>
      </w:r>
    </w:p>
    <w:p w14:paraId="66F63C2F">
      <w:pPr>
        <w:pStyle w:val="24"/>
        <w:spacing w:line="360" w:lineRule="auto"/>
        <w:ind w:left="25" w:leftChars="12" w:firstLine="472" w:firstLineChars="197"/>
        <w:rPr>
          <w:rFonts w:hint="eastAsia" w:ascii="仿宋" w:hAnsi="仿宋" w:eastAsia="仿宋"/>
          <w:color w:val="auto"/>
          <w:sz w:val="24"/>
          <w:szCs w:val="24"/>
        </w:rPr>
      </w:pPr>
      <w:r>
        <w:rPr>
          <w:rFonts w:hint="eastAsia" w:ascii="仿宋" w:hAnsi="仿宋" w:eastAsia="仿宋"/>
          <w:color w:val="auto"/>
          <w:sz w:val="24"/>
          <w:szCs w:val="24"/>
        </w:rPr>
        <w:t>采购人名称：</w:t>
      </w:r>
      <w:r>
        <w:rPr>
          <w:rFonts w:hint="eastAsia" w:ascii="仿宋" w:hAnsi="仿宋" w:eastAsia="仿宋"/>
          <w:bCs/>
          <w:color w:val="auto"/>
          <w:sz w:val="24"/>
          <w:szCs w:val="24"/>
          <w:u w:val="single"/>
        </w:rPr>
        <w:t xml:space="preserve">                                         </w:t>
      </w:r>
    </w:p>
    <w:p w14:paraId="56D5E047">
      <w:pPr>
        <w:pStyle w:val="24"/>
        <w:spacing w:line="360" w:lineRule="auto"/>
        <w:ind w:left="25" w:leftChars="12" w:firstLine="472" w:firstLineChars="197"/>
        <w:rPr>
          <w:rFonts w:hint="eastAsia" w:ascii="仿宋" w:hAnsi="仿宋" w:eastAsia="仿宋"/>
          <w:color w:val="auto"/>
          <w:sz w:val="24"/>
          <w:szCs w:val="24"/>
        </w:rPr>
      </w:pPr>
      <w:r>
        <w:rPr>
          <w:rFonts w:hint="eastAsia" w:ascii="仿宋" w:hAnsi="仿宋" w:eastAsia="仿宋"/>
          <w:color w:val="auto"/>
          <w:sz w:val="24"/>
          <w:szCs w:val="24"/>
        </w:rPr>
        <w:t>质疑事项：</w:t>
      </w:r>
    </w:p>
    <w:p w14:paraId="47547E76">
      <w:pPr>
        <w:pStyle w:val="24"/>
        <w:spacing w:line="360" w:lineRule="auto"/>
        <w:ind w:left="25" w:leftChars="12" w:firstLine="352" w:firstLineChars="147"/>
        <w:rPr>
          <w:rFonts w:hint="eastAsia" w:ascii="仿宋" w:hAnsi="仿宋" w:eastAsia="仿宋"/>
          <w:color w:val="auto"/>
          <w:sz w:val="24"/>
          <w:szCs w:val="24"/>
        </w:rPr>
      </w:pPr>
      <w:r>
        <w:rPr>
          <w:rFonts w:hint="eastAsia" w:ascii="仿宋" w:hAnsi="仿宋" w:eastAsia="仿宋"/>
          <w:color w:val="auto"/>
          <w:sz w:val="24"/>
          <w:szCs w:val="24"/>
        </w:rPr>
        <w:t>□招标文件   招标文件获取日期：</w:t>
      </w:r>
      <w:r>
        <w:rPr>
          <w:rFonts w:hint="eastAsia" w:ascii="仿宋" w:hAnsi="仿宋" w:eastAsia="仿宋"/>
          <w:bCs/>
          <w:color w:val="auto"/>
          <w:sz w:val="24"/>
          <w:szCs w:val="24"/>
          <w:u w:val="single"/>
        </w:rPr>
        <w:t xml:space="preserve">                                   </w:t>
      </w:r>
    </w:p>
    <w:p w14:paraId="2C8CCAE2">
      <w:pPr>
        <w:pStyle w:val="24"/>
        <w:spacing w:line="360" w:lineRule="auto"/>
        <w:ind w:left="25" w:leftChars="12" w:firstLine="352" w:firstLineChars="147"/>
        <w:rPr>
          <w:rFonts w:hint="eastAsia" w:ascii="仿宋" w:hAnsi="仿宋" w:eastAsia="仿宋"/>
          <w:color w:val="auto"/>
          <w:sz w:val="24"/>
          <w:szCs w:val="24"/>
        </w:rPr>
      </w:pPr>
      <w:r>
        <w:rPr>
          <w:rFonts w:hint="eastAsia" w:ascii="仿宋" w:hAnsi="仿宋" w:eastAsia="仿宋"/>
          <w:color w:val="auto"/>
          <w:sz w:val="24"/>
          <w:szCs w:val="24"/>
        </w:rPr>
        <w:t xml:space="preserve">□采购过程   </w:t>
      </w:r>
    </w:p>
    <w:p w14:paraId="210DBD1E">
      <w:pPr>
        <w:pStyle w:val="24"/>
        <w:spacing w:line="360" w:lineRule="auto"/>
        <w:ind w:left="25" w:leftChars="12" w:firstLine="352" w:firstLineChars="147"/>
        <w:rPr>
          <w:rFonts w:hint="eastAsia" w:ascii="仿宋" w:hAnsi="仿宋" w:eastAsia="仿宋"/>
          <w:bCs/>
          <w:color w:val="auto"/>
          <w:sz w:val="24"/>
          <w:szCs w:val="24"/>
          <w:u w:val="single"/>
        </w:rPr>
      </w:pPr>
      <w:r>
        <w:rPr>
          <w:rFonts w:hint="eastAsia" w:ascii="仿宋" w:hAnsi="仿宋" w:eastAsia="仿宋"/>
          <w:color w:val="auto"/>
          <w:sz w:val="24"/>
          <w:szCs w:val="24"/>
        </w:rPr>
        <w:t xml:space="preserve">□中标结果   </w:t>
      </w:r>
    </w:p>
    <w:p w14:paraId="22F8AFD7">
      <w:pPr>
        <w:pStyle w:val="24"/>
        <w:spacing w:line="360" w:lineRule="auto"/>
        <w:ind w:left="25" w:leftChars="12" w:firstLine="472" w:firstLineChars="196"/>
        <w:rPr>
          <w:rFonts w:hint="eastAsia" w:ascii="仿宋" w:hAnsi="仿宋" w:eastAsia="仿宋"/>
          <w:b/>
          <w:color w:val="auto"/>
          <w:sz w:val="24"/>
          <w:szCs w:val="24"/>
        </w:rPr>
      </w:pPr>
      <w:r>
        <w:rPr>
          <w:rFonts w:hint="eastAsia" w:ascii="仿宋" w:hAnsi="仿宋" w:eastAsia="仿宋"/>
          <w:b/>
          <w:color w:val="auto"/>
          <w:sz w:val="24"/>
          <w:szCs w:val="24"/>
        </w:rPr>
        <w:t>三、质疑事项具体内容</w:t>
      </w:r>
    </w:p>
    <w:p w14:paraId="5F8C9BF1">
      <w:pPr>
        <w:pStyle w:val="24"/>
        <w:spacing w:line="360" w:lineRule="auto"/>
        <w:ind w:left="25" w:leftChars="12" w:firstLine="472" w:firstLineChars="197"/>
        <w:rPr>
          <w:rFonts w:hint="eastAsia" w:ascii="仿宋" w:hAnsi="仿宋" w:eastAsia="仿宋"/>
          <w:color w:val="auto"/>
          <w:sz w:val="24"/>
          <w:szCs w:val="24"/>
        </w:rPr>
      </w:pPr>
      <w:r>
        <w:rPr>
          <w:rFonts w:hint="eastAsia" w:ascii="仿宋" w:hAnsi="仿宋" w:eastAsia="仿宋"/>
          <w:color w:val="auto"/>
          <w:sz w:val="24"/>
          <w:szCs w:val="24"/>
        </w:rPr>
        <w:t>质疑事项1：</w:t>
      </w:r>
      <w:r>
        <w:rPr>
          <w:rFonts w:hint="eastAsia" w:ascii="仿宋" w:hAnsi="仿宋" w:eastAsia="仿宋"/>
          <w:bCs/>
          <w:color w:val="auto"/>
          <w:sz w:val="24"/>
          <w:szCs w:val="24"/>
          <w:u w:val="single"/>
        </w:rPr>
        <w:t xml:space="preserve">                                                                    </w:t>
      </w:r>
    </w:p>
    <w:p w14:paraId="6E68F919">
      <w:pPr>
        <w:pStyle w:val="24"/>
        <w:spacing w:line="360" w:lineRule="auto"/>
        <w:ind w:left="25" w:leftChars="12" w:firstLine="472" w:firstLineChars="197"/>
        <w:rPr>
          <w:rFonts w:hint="eastAsia" w:ascii="仿宋" w:hAnsi="仿宋" w:eastAsia="仿宋"/>
          <w:color w:val="auto"/>
          <w:sz w:val="24"/>
          <w:szCs w:val="24"/>
        </w:rPr>
      </w:pPr>
      <w:r>
        <w:rPr>
          <w:rFonts w:hint="eastAsia" w:ascii="仿宋" w:hAnsi="仿宋" w:eastAsia="仿宋"/>
          <w:color w:val="auto"/>
          <w:sz w:val="24"/>
          <w:szCs w:val="24"/>
        </w:rPr>
        <w:t>事实依据：</w:t>
      </w:r>
      <w:r>
        <w:rPr>
          <w:rFonts w:hint="eastAsia" w:ascii="仿宋" w:hAnsi="仿宋" w:eastAsia="仿宋"/>
          <w:bCs/>
          <w:color w:val="auto"/>
          <w:sz w:val="24"/>
          <w:szCs w:val="24"/>
          <w:u w:val="single"/>
        </w:rPr>
        <w:t xml:space="preserve">                                                                      </w:t>
      </w:r>
    </w:p>
    <w:p w14:paraId="55F364DE">
      <w:pPr>
        <w:pStyle w:val="24"/>
        <w:spacing w:line="360" w:lineRule="auto"/>
        <w:ind w:left="25" w:leftChars="12" w:firstLine="472" w:firstLineChars="197"/>
        <w:rPr>
          <w:rFonts w:hint="eastAsia" w:ascii="仿宋" w:hAnsi="仿宋" w:eastAsia="仿宋"/>
          <w:color w:val="auto"/>
          <w:sz w:val="24"/>
          <w:szCs w:val="24"/>
        </w:rPr>
      </w:pPr>
      <w:r>
        <w:rPr>
          <w:rFonts w:hint="eastAsia" w:ascii="仿宋" w:hAnsi="仿宋" w:eastAsia="仿宋"/>
          <w:color w:val="auto"/>
          <w:sz w:val="24"/>
          <w:szCs w:val="24"/>
        </w:rPr>
        <w:t>法律依据：</w:t>
      </w:r>
      <w:r>
        <w:rPr>
          <w:rFonts w:hint="eastAsia" w:ascii="仿宋" w:hAnsi="仿宋" w:eastAsia="仿宋"/>
          <w:color w:val="auto"/>
          <w:sz w:val="24"/>
          <w:szCs w:val="24"/>
          <w:u w:val="single"/>
        </w:rPr>
        <w:t xml:space="preserve">                                                        </w:t>
      </w:r>
      <w:r>
        <w:rPr>
          <w:rFonts w:hint="eastAsia" w:ascii="仿宋" w:hAnsi="仿宋" w:eastAsia="仿宋"/>
          <w:bCs/>
          <w:color w:val="auto"/>
          <w:sz w:val="24"/>
          <w:szCs w:val="24"/>
          <w:u w:val="single"/>
        </w:rPr>
        <w:t xml:space="preserve">               </w:t>
      </w:r>
    </w:p>
    <w:p w14:paraId="239B560D">
      <w:pPr>
        <w:pStyle w:val="24"/>
        <w:spacing w:line="360" w:lineRule="auto"/>
        <w:ind w:left="25" w:leftChars="12" w:firstLine="472" w:firstLineChars="197"/>
        <w:rPr>
          <w:rFonts w:hint="eastAsia" w:ascii="仿宋" w:hAnsi="仿宋" w:eastAsia="仿宋"/>
          <w:color w:val="auto"/>
          <w:sz w:val="24"/>
          <w:szCs w:val="24"/>
        </w:rPr>
      </w:pPr>
      <w:r>
        <w:rPr>
          <w:rFonts w:hint="eastAsia" w:ascii="仿宋" w:hAnsi="仿宋" w:eastAsia="仿宋"/>
          <w:color w:val="auto"/>
          <w:sz w:val="24"/>
          <w:szCs w:val="24"/>
        </w:rPr>
        <w:t>质疑事项2</w:t>
      </w:r>
    </w:p>
    <w:p w14:paraId="1678A6CD">
      <w:pPr>
        <w:pStyle w:val="24"/>
        <w:spacing w:line="360" w:lineRule="auto"/>
        <w:ind w:left="25" w:leftChars="12" w:firstLine="472" w:firstLineChars="197"/>
        <w:rPr>
          <w:rFonts w:hint="eastAsia" w:ascii="仿宋" w:hAnsi="仿宋" w:eastAsia="仿宋"/>
          <w:color w:val="auto"/>
          <w:sz w:val="24"/>
          <w:szCs w:val="24"/>
        </w:rPr>
      </w:pPr>
      <w:r>
        <w:rPr>
          <w:rFonts w:ascii="仿宋" w:hAnsi="仿宋" w:eastAsia="仿宋"/>
          <w:color w:val="auto"/>
          <w:sz w:val="24"/>
          <w:szCs w:val="24"/>
        </w:rPr>
        <w:t>……</w:t>
      </w:r>
    </w:p>
    <w:p w14:paraId="4640C7C9">
      <w:pPr>
        <w:pStyle w:val="24"/>
        <w:spacing w:line="360" w:lineRule="auto"/>
        <w:ind w:left="25" w:leftChars="12" w:firstLine="472" w:firstLineChars="197"/>
        <w:rPr>
          <w:rFonts w:hint="eastAsia" w:ascii="仿宋" w:hAnsi="仿宋" w:eastAsia="仿宋"/>
          <w:color w:val="auto"/>
          <w:sz w:val="24"/>
          <w:szCs w:val="24"/>
        </w:rPr>
      </w:pPr>
      <w:r>
        <w:rPr>
          <w:rFonts w:hint="eastAsia" w:ascii="仿宋" w:hAnsi="仿宋" w:eastAsia="仿宋"/>
          <w:color w:val="auto"/>
          <w:sz w:val="24"/>
          <w:szCs w:val="24"/>
        </w:rPr>
        <w:t>四、与质疑事项相关的质疑请求：</w:t>
      </w:r>
    </w:p>
    <w:p w14:paraId="35999D94">
      <w:pPr>
        <w:pStyle w:val="24"/>
        <w:spacing w:line="360" w:lineRule="auto"/>
        <w:ind w:left="25" w:leftChars="12" w:firstLine="472" w:firstLineChars="197"/>
        <w:rPr>
          <w:rFonts w:hint="eastAsia" w:ascii="仿宋" w:hAnsi="仿宋" w:eastAsia="仿宋"/>
          <w:color w:val="auto"/>
          <w:sz w:val="24"/>
          <w:szCs w:val="24"/>
        </w:rPr>
      </w:pPr>
      <w:r>
        <w:rPr>
          <w:rFonts w:hint="eastAsia" w:ascii="仿宋" w:hAnsi="仿宋" w:eastAsia="仿宋"/>
          <w:color w:val="auto"/>
          <w:sz w:val="24"/>
          <w:szCs w:val="24"/>
        </w:rPr>
        <w:t>请求：</w:t>
      </w:r>
      <w:r>
        <w:rPr>
          <w:rFonts w:hint="eastAsia" w:ascii="仿宋" w:hAnsi="仿宋" w:eastAsia="仿宋"/>
          <w:bCs/>
          <w:color w:val="auto"/>
          <w:sz w:val="24"/>
          <w:szCs w:val="24"/>
          <w:u w:val="single"/>
        </w:rPr>
        <w:t xml:space="preserve">                                                                </w:t>
      </w:r>
    </w:p>
    <w:p w14:paraId="3E2AA594">
      <w:pPr>
        <w:pStyle w:val="24"/>
        <w:spacing w:line="360" w:lineRule="auto"/>
        <w:ind w:left="25" w:leftChars="12" w:firstLine="352" w:firstLineChars="147"/>
        <w:rPr>
          <w:rFonts w:hint="eastAsia" w:ascii="仿宋" w:hAnsi="仿宋" w:eastAsia="仿宋"/>
          <w:color w:val="auto"/>
          <w:sz w:val="24"/>
          <w:szCs w:val="24"/>
        </w:rPr>
      </w:pPr>
    </w:p>
    <w:p w14:paraId="24C6F420">
      <w:pPr>
        <w:pStyle w:val="24"/>
        <w:spacing w:line="360" w:lineRule="auto"/>
        <w:ind w:left="25" w:leftChars="12" w:firstLine="472" w:firstLineChars="197"/>
        <w:rPr>
          <w:rFonts w:hint="eastAsia" w:ascii="仿宋" w:hAnsi="仿宋" w:eastAsia="仿宋"/>
          <w:color w:val="auto"/>
          <w:sz w:val="24"/>
          <w:szCs w:val="24"/>
        </w:rPr>
      </w:pPr>
      <w:r>
        <w:rPr>
          <w:rFonts w:hint="eastAsia" w:ascii="仿宋" w:hAnsi="仿宋" w:eastAsia="仿宋"/>
          <w:color w:val="auto"/>
          <w:sz w:val="24"/>
          <w:szCs w:val="24"/>
        </w:rPr>
        <w:t>签字（签章）：                                       公章：</w:t>
      </w:r>
    </w:p>
    <w:p w14:paraId="1C807E80">
      <w:pPr>
        <w:pStyle w:val="24"/>
        <w:spacing w:line="360" w:lineRule="auto"/>
        <w:ind w:left="25" w:leftChars="12" w:firstLine="352" w:firstLineChars="147"/>
        <w:rPr>
          <w:rFonts w:hint="eastAsia" w:ascii="仿宋" w:hAnsi="仿宋" w:eastAsia="仿宋"/>
          <w:color w:val="auto"/>
          <w:sz w:val="24"/>
          <w:szCs w:val="24"/>
        </w:rPr>
      </w:pPr>
    </w:p>
    <w:p w14:paraId="555BBDD2">
      <w:pPr>
        <w:pStyle w:val="24"/>
        <w:spacing w:line="360" w:lineRule="auto"/>
        <w:ind w:left="25" w:leftChars="12" w:firstLine="472" w:firstLineChars="197"/>
        <w:rPr>
          <w:rFonts w:hint="eastAsia" w:ascii="仿宋" w:hAnsi="仿宋" w:eastAsia="仿宋"/>
          <w:color w:val="auto"/>
          <w:sz w:val="24"/>
          <w:szCs w:val="24"/>
        </w:rPr>
      </w:pPr>
      <w:r>
        <w:rPr>
          <w:rFonts w:hint="eastAsia" w:ascii="仿宋" w:hAnsi="仿宋" w:eastAsia="仿宋"/>
          <w:color w:val="auto"/>
          <w:sz w:val="24"/>
          <w:szCs w:val="24"/>
        </w:rPr>
        <w:t>日期：</w:t>
      </w:r>
    </w:p>
    <w:p w14:paraId="7F8C4687">
      <w:pPr>
        <w:pStyle w:val="24"/>
        <w:snapToGrid w:val="0"/>
        <w:spacing w:line="360" w:lineRule="auto"/>
        <w:rPr>
          <w:rFonts w:hint="eastAsia" w:ascii="仿宋" w:hAnsi="仿宋" w:eastAsia="仿宋"/>
          <w:b/>
          <w:color w:val="auto"/>
          <w:sz w:val="24"/>
          <w:szCs w:val="24"/>
        </w:rPr>
      </w:pPr>
    </w:p>
    <w:p w14:paraId="23D57127">
      <w:pPr>
        <w:pStyle w:val="24"/>
        <w:snapToGrid w:val="0"/>
        <w:spacing w:line="360" w:lineRule="auto"/>
        <w:rPr>
          <w:rFonts w:hint="eastAsia" w:ascii="仿宋" w:hAnsi="仿宋" w:eastAsia="仿宋"/>
          <w:b/>
          <w:color w:val="auto"/>
          <w:sz w:val="24"/>
          <w:szCs w:val="24"/>
        </w:rPr>
      </w:pPr>
      <w:r>
        <w:rPr>
          <w:rFonts w:hint="eastAsia" w:ascii="仿宋" w:hAnsi="仿宋" w:eastAsia="仿宋"/>
          <w:b/>
          <w:color w:val="auto"/>
          <w:sz w:val="24"/>
          <w:szCs w:val="24"/>
        </w:rPr>
        <w:t>说明：</w:t>
      </w:r>
    </w:p>
    <w:p w14:paraId="69D649DA">
      <w:pPr>
        <w:pStyle w:val="24"/>
        <w:spacing w:line="360" w:lineRule="auto"/>
        <w:ind w:left="25" w:leftChars="12" w:firstLine="354" w:firstLineChars="147"/>
        <w:rPr>
          <w:rFonts w:hint="eastAsia" w:ascii="仿宋" w:hAnsi="仿宋" w:eastAsia="仿宋"/>
          <w:b/>
          <w:bCs/>
          <w:color w:val="auto"/>
          <w:sz w:val="24"/>
          <w:szCs w:val="24"/>
        </w:rPr>
      </w:pPr>
      <w:r>
        <w:rPr>
          <w:rFonts w:hint="eastAsia" w:ascii="仿宋" w:hAnsi="仿宋" w:eastAsia="仿宋"/>
          <w:b/>
          <w:color w:val="auto"/>
          <w:sz w:val="24"/>
          <w:szCs w:val="24"/>
        </w:rPr>
        <w:t>1.供应商提出质疑时，应提交质疑函和必要的证明材料</w:t>
      </w:r>
      <w:r>
        <w:rPr>
          <w:rFonts w:hint="eastAsia" w:ascii="仿宋" w:hAnsi="仿宋" w:eastAsia="仿宋"/>
          <w:b/>
          <w:bCs/>
          <w:color w:val="auto"/>
          <w:sz w:val="24"/>
          <w:szCs w:val="24"/>
        </w:rPr>
        <w:t>。</w:t>
      </w:r>
    </w:p>
    <w:p w14:paraId="21175382">
      <w:pPr>
        <w:pStyle w:val="24"/>
        <w:spacing w:line="360" w:lineRule="auto"/>
        <w:ind w:left="25" w:leftChars="12" w:firstLine="354" w:firstLineChars="147"/>
        <w:rPr>
          <w:rFonts w:hint="eastAsia" w:ascii="仿宋" w:hAnsi="仿宋" w:eastAsia="仿宋"/>
          <w:b/>
          <w:color w:val="auto"/>
          <w:sz w:val="24"/>
          <w:szCs w:val="24"/>
        </w:rPr>
      </w:pPr>
      <w:r>
        <w:rPr>
          <w:rFonts w:hint="eastAsia" w:ascii="仿宋" w:hAnsi="仿宋" w:eastAsia="仿宋"/>
          <w:b/>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101AD08">
      <w:pPr>
        <w:pStyle w:val="24"/>
        <w:spacing w:line="360" w:lineRule="auto"/>
        <w:ind w:left="25" w:leftChars="12" w:firstLine="354" w:firstLineChars="147"/>
        <w:rPr>
          <w:rFonts w:hint="eastAsia" w:ascii="仿宋" w:hAnsi="仿宋" w:eastAsia="仿宋"/>
          <w:b/>
          <w:color w:val="auto"/>
          <w:sz w:val="24"/>
          <w:szCs w:val="24"/>
        </w:rPr>
      </w:pPr>
      <w:r>
        <w:rPr>
          <w:rFonts w:hint="eastAsia" w:ascii="仿宋" w:hAnsi="仿宋" w:eastAsia="仿宋"/>
          <w:b/>
          <w:color w:val="auto"/>
          <w:sz w:val="24"/>
          <w:szCs w:val="24"/>
        </w:rPr>
        <w:t>3.质疑函的质疑事项应具体、明确，并有必要的事实依据和法律依据。</w:t>
      </w:r>
    </w:p>
    <w:p w14:paraId="15BACE43">
      <w:pPr>
        <w:pStyle w:val="24"/>
        <w:spacing w:line="360" w:lineRule="auto"/>
        <w:ind w:left="25" w:leftChars="12" w:firstLine="354" w:firstLineChars="147"/>
        <w:rPr>
          <w:rFonts w:hint="eastAsia" w:ascii="仿宋" w:hAnsi="仿宋" w:eastAsia="仿宋"/>
          <w:b/>
          <w:color w:val="auto"/>
          <w:sz w:val="24"/>
          <w:szCs w:val="24"/>
        </w:rPr>
      </w:pPr>
      <w:r>
        <w:rPr>
          <w:rFonts w:hint="eastAsia" w:ascii="仿宋" w:hAnsi="仿宋" w:eastAsia="仿宋"/>
          <w:b/>
          <w:color w:val="auto"/>
          <w:sz w:val="24"/>
          <w:szCs w:val="24"/>
        </w:rPr>
        <w:t>4.质疑函的质疑请求应与质疑事项相关。</w:t>
      </w:r>
    </w:p>
    <w:p w14:paraId="52F2300E">
      <w:pPr>
        <w:pStyle w:val="24"/>
        <w:spacing w:line="360" w:lineRule="auto"/>
        <w:ind w:left="25" w:leftChars="12" w:firstLine="354" w:firstLineChars="147"/>
        <w:rPr>
          <w:rFonts w:hint="eastAsia" w:ascii="仿宋" w:hAnsi="仿宋" w:eastAsia="仿宋"/>
          <w:b/>
          <w:color w:val="auto"/>
        </w:rPr>
      </w:pPr>
      <w:r>
        <w:rPr>
          <w:rFonts w:hint="eastAsia" w:ascii="仿宋" w:hAnsi="仿宋" w:eastAsia="仿宋"/>
          <w:b/>
          <w:color w:val="auto"/>
          <w:sz w:val="24"/>
          <w:szCs w:val="24"/>
        </w:rPr>
        <w:t>5.质疑供应商为法人或者其他组织的，质疑函应由法定代表人、主要负责人，或者其授权代表签字或者盖章，并加盖公章。</w:t>
      </w:r>
    </w:p>
    <w:p w14:paraId="63F83F35">
      <w:pPr>
        <w:pStyle w:val="24"/>
        <w:snapToGrid w:val="0"/>
        <w:rPr>
          <w:rFonts w:hint="eastAsia" w:ascii="仿宋" w:hAnsi="仿宋" w:eastAsia="仿宋"/>
          <w:b/>
          <w:color w:val="auto"/>
          <w:sz w:val="24"/>
          <w:szCs w:val="24"/>
        </w:rPr>
      </w:pPr>
    </w:p>
    <w:p w14:paraId="591D4F12">
      <w:pPr>
        <w:spacing w:line="360" w:lineRule="auto"/>
        <w:jc w:val="left"/>
        <w:rPr>
          <w:rFonts w:hint="eastAsia" w:ascii="仿宋" w:hAnsi="仿宋" w:eastAsia="仿宋"/>
          <w:b/>
          <w:bCs/>
          <w:color w:val="auto"/>
          <w:sz w:val="32"/>
          <w:szCs w:val="32"/>
        </w:rPr>
      </w:pPr>
      <w:r>
        <w:rPr>
          <w:rFonts w:ascii="仿宋" w:hAnsi="仿宋" w:eastAsia="仿宋"/>
          <w:color w:val="auto"/>
          <w:sz w:val="44"/>
        </w:rPr>
        <w:br w:type="page"/>
      </w:r>
      <w:r>
        <w:rPr>
          <w:rFonts w:hint="eastAsia" w:ascii="仿宋" w:hAnsi="仿宋" w:eastAsia="仿宋"/>
          <w:b/>
          <w:color w:val="auto"/>
          <w:sz w:val="24"/>
        </w:rPr>
        <w:t>5.投诉书格式</w:t>
      </w:r>
    </w:p>
    <w:p w14:paraId="05F8BF87">
      <w:pPr>
        <w:jc w:val="center"/>
        <w:rPr>
          <w:rFonts w:hint="eastAsia" w:ascii="仿宋" w:hAnsi="仿宋" w:eastAsia="仿宋" w:cs="方正小标宋简体"/>
          <w:color w:val="auto"/>
          <w:sz w:val="44"/>
          <w:szCs w:val="44"/>
        </w:rPr>
      </w:pPr>
      <w:r>
        <w:rPr>
          <w:rFonts w:hint="eastAsia" w:ascii="仿宋" w:hAnsi="仿宋" w:eastAsia="仿宋" w:cs="方正小标宋简体"/>
          <w:color w:val="auto"/>
          <w:sz w:val="44"/>
          <w:szCs w:val="44"/>
        </w:rPr>
        <w:t>投诉书</w:t>
      </w:r>
    </w:p>
    <w:p w14:paraId="7342487D">
      <w:pPr>
        <w:pStyle w:val="24"/>
        <w:snapToGrid w:val="0"/>
        <w:spacing w:line="440" w:lineRule="exact"/>
        <w:ind w:firstLine="482" w:firstLineChars="200"/>
        <w:rPr>
          <w:rFonts w:hint="eastAsia" w:ascii="仿宋" w:hAnsi="仿宋" w:eastAsia="仿宋"/>
          <w:b/>
          <w:bCs/>
          <w:color w:val="auto"/>
          <w:sz w:val="24"/>
          <w:szCs w:val="24"/>
        </w:rPr>
      </w:pPr>
    </w:p>
    <w:p w14:paraId="3860AFD5">
      <w:pPr>
        <w:pStyle w:val="24"/>
        <w:snapToGrid w:val="0"/>
        <w:spacing w:line="440" w:lineRule="exact"/>
        <w:ind w:firstLine="482" w:firstLineChars="200"/>
        <w:rPr>
          <w:rFonts w:ascii="仿宋" w:hAnsi="仿宋" w:eastAsia="仿宋"/>
          <w:b/>
          <w:bCs/>
          <w:color w:val="auto"/>
          <w:sz w:val="24"/>
          <w:szCs w:val="24"/>
        </w:rPr>
      </w:pPr>
      <w:r>
        <w:rPr>
          <w:rFonts w:hint="eastAsia" w:ascii="仿宋" w:hAnsi="仿宋" w:eastAsia="仿宋"/>
          <w:b/>
          <w:bCs/>
          <w:color w:val="auto"/>
          <w:sz w:val="24"/>
          <w:szCs w:val="24"/>
        </w:rPr>
        <w:t>一、投诉相关主体基本情况：</w:t>
      </w:r>
    </w:p>
    <w:p w14:paraId="18911A2A">
      <w:pPr>
        <w:pStyle w:val="24"/>
        <w:snapToGrid w:val="0"/>
        <w:spacing w:line="440" w:lineRule="exact"/>
        <w:ind w:firstLine="480" w:firstLineChars="200"/>
        <w:jc w:val="left"/>
        <w:rPr>
          <w:rFonts w:hint="eastAsia" w:ascii="仿宋" w:hAnsi="仿宋" w:eastAsia="仿宋"/>
          <w:bCs/>
          <w:color w:val="auto"/>
          <w:sz w:val="24"/>
          <w:szCs w:val="24"/>
          <w:u w:val="single"/>
        </w:rPr>
      </w:pPr>
      <w:r>
        <w:rPr>
          <w:rFonts w:hint="eastAsia" w:ascii="仿宋" w:hAnsi="仿宋" w:eastAsia="仿宋"/>
          <w:bCs/>
          <w:color w:val="auto"/>
          <w:sz w:val="24"/>
          <w:szCs w:val="24"/>
        </w:rPr>
        <w:t>投标人：</w:t>
      </w:r>
      <w:r>
        <w:rPr>
          <w:rFonts w:hint="eastAsia" w:ascii="仿宋" w:hAnsi="仿宋" w:eastAsia="仿宋"/>
          <w:bCs/>
          <w:color w:val="auto"/>
          <w:sz w:val="24"/>
          <w:szCs w:val="24"/>
          <w:u w:val="single"/>
        </w:rPr>
        <w:t xml:space="preserve">                                                                        </w:t>
      </w:r>
      <w:r>
        <w:rPr>
          <w:rFonts w:hint="eastAsia" w:ascii="仿宋" w:hAnsi="仿宋" w:eastAsia="仿宋"/>
          <w:bCs/>
          <w:color w:val="auto"/>
          <w:sz w:val="24"/>
          <w:szCs w:val="24"/>
        </w:rPr>
        <w:t xml:space="preserve">                 </w:t>
      </w:r>
    </w:p>
    <w:p w14:paraId="5BF4FCE8">
      <w:pPr>
        <w:pStyle w:val="24"/>
        <w:snapToGrid w:val="0"/>
        <w:spacing w:line="440" w:lineRule="exact"/>
        <w:ind w:firstLine="480" w:firstLineChars="200"/>
        <w:jc w:val="left"/>
        <w:rPr>
          <w:rFonts w:hint="eastAsia" w:ascii="仿宋" w:hAnsi="仿宋" w:eastAsia="仿宋"/>
          <w:bCs/>
          <w:color w:val="auto"/>
          <w:sz w:val="24"/>
          <w:szCs w:val="24"/>
        </w:rPr>
      </w:pPr>
      <w:r>
        <w:rPr>
          <w:rFonts w:ascii="仿宋" w:hAnsi="仿宋" w:eastAsia="仿宋"/>
          <w:bCs/>
          <w:color w:val="auto"/>
          <w:sz w:val="24"/>
          <w:szCs w:val="24"/>
        </w:rPr>
        <w:t>地址</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r>
        <w:rPr>
          <w:rFonts w:ascii="仿宋" w:hAnsi="仿宋" w:eastAsia="仿宋"/>
          <w:bCs/>
          <w:color w:val="auto"/>
          <w:sz w:val="24"/>
          <w:szCs w:val="24"/>
        </w:rPr>
        <w:t>邮编</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r>
        <w:rPr>
          <w:rFonts w:hint="eastAsia" w:ascii="仿宋" w:hAnsi="仿宋" w:eastAsia="仿宋"/>
          <w:bCs/>
          <w:color w:val="auto"/>
          <w:sz w:val="24"/>
          <w:szCs w:val="24"/>
        </w:rPr>
        <w:t xml:space="preserve">                 </w:t>
      </w:r>
    </w:p>
    <w:p w14:paraId="78CF8815">
      <w:pPr>
        <w:pStyle w:val="24"/>
        <w:snapToGrid w:val="0"/>
        <w:spacing w:line="440" w:lineRule="exact"/>
        <w:ind w:firstLine="480" w:firstLineChars="200"/>
        <w:jc w:val="left"/>
        <w:rPr>
          <w:rFonts w:hint="eastAsia" w:ascii="仿宋" w:hAnsi="仿宋" w:eastAsia="仿宋"/>
          <w:bCs/>
          <w:color w:val="auto"/>
          <w:sz w:val="24"/>
          <w:szCs w:val="24"/>
          <w:u w:val="single"/>
        </w:rPr>
      </w:pPr>
      <w:r>
        <w:rPr>
          <w:rFonts w:hint="eastAsia" w:ascii="仿宋" w:hAnsi="仿宋" w:eastAsia="仿宋"/>
          <w:bCs/>
          <w:color w:val="auto"/>
          <w:sz w:val="24"/>
          <w:szCs w:val="24"/>
        </w:rPr>
        <w:t>法定代表人/主要负责人：</w:t>
      </w:r>
      <w:r>
        <w:rPr>
          <w:rFonts w:hint="eastAsia" w:ascii="仿宋" w:hAnsi="仿宋" w:eastAsia="仿宋"/>
          <w:bCs/>
          <w:color w:val="auto"/>
          <w:sz w:val="24"/>
          <w:szCs w:val="24"/>
          <w:u w:val="single"/>
        </w:rPr>
        <w:t xml:space="preserve">                                                         </w:t>
      </w:r>
    </w:p>
    <w:p w14:paraId="448AF304">
      <w:pPr>
        <w:pStyle w:val="24"/>
        <w:snapToGrid w:val="0"/>
        <w:spacing w:line="440" w:lineRule="exact"/>
        <w:ind w:firstLine="480" w:firstLineChars="200"/>
        <w:jc w:val="left"/>
        <w:rPr>
          <w:rFonts w:hint="eastAsia" w:ascii="仿宋" w:hAnsi="仿宋" w:eastAsia="仿宋"/>
          <w:bCs/>
          <w:color w:val="auto"/>
          <w:sz w:val="24"/>
          <w:szCs w:val="24"/>
        </w:rPr>
      </w:pPr>
      <w:r>
        <w:rPr>
          <w:rFonts w:ascii="仿宋" w:hAnsi="仿宋" w:eastAsia="仿宋"/>
          <w:bCs/>
          <w:color w:val="auto"/>
          <w:sz w:val="24"/>
          <w:szCs w:val="24"/>
        </w:rPr>
        <w:t>联系电话</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p>
    <w:p w14:paraId="35C3291E">
      <w:pPr>
        <w:pStyle w:val="24"/>
        <w:snapToGrid w:val="0"/>
        <w:spacing w:line="440" w:lineRule="exact"/>
        <w:ind w:firstLine="480" w:firstLineChars="200"/>
        <w:jc w:val="left"/>
        <w:rPr>
          <w:rFonts w:hint="eastAsia" w:ascii="仿宋" w:hAnsi="仿宋" w:eastAsia="仿宋"/>
          <w:bCs/>
          <w:color w:val="auto"/>
          <w:sz w:val="24"/>
          <w:szCs w:val="24"/>
          <w:u w:val="single"/>
        </w:rPr>
      </w:pPr>
      <w:r>
        <w:rPr>
          <w:rFonts w:hint="eastAsia" w:ascii="仿宋" w:hAnsi="仿宋" w:eastAsia="仿宋"/>
          <w:bCs/>
          <w:color w:val="auto"/>
          <w:sz w:val="24"/>
          <w:szCs w:val="24"/>
        </w:rPr>
        <w:t>授权代表：</w:t>
      </w:r>
      <w:r>
        <w:rPr>
          <w:rFonts w:hint="eastAsia" w:ascii="仿宋" w:hAnsi="仿宋" w:eastAsia="仿宋"/>
          <w:bCs/>
          <w:color w:val="auto"/>
          <w:sz w:val="24"/>
          <w:szCs w:val="24"/>
          <w:u w:val="single"/>
        </w:rPr>
        <w:t xml:space="preserve">                                         </w:t>
      </w:r>
      <w:r>
        <w:rPr>
          <w:rFonts w:ascii="仿宋" w:hAnsi="仿宋" w:eastAsia="仿宋"/>
          <w:bCs/>
          <w:color w:val="auto"/>
          <w:sz w:val="24"/>
          <w:szCs w:val="24"/>
        </w:rPr>
        <w:t>联系</w:t>
      </w:r>
      <w:r>
        <w:rPr>
          <w:rFonts w:hint="eastAsia" w:ascii="仿宋" w:hAnsi="仿宋" w:eastAsia="仿宋"/>
          <w:bCs/>
          <w:color w:val="auto"/>
          <w:sz w:val="24"/>
          <w:szCs w:val="24"/>
        </w:rPr>
        <w:t>电话：</w:t>
      </w:r>
      <w:r>
        <w:rPr>
          <w:rFonts w:hint="eastAsia" w:ascii="仿宋" w:hAnsi="仿宋" w:eastAsia="仿宋"/>
          <w:bCs/>
          <w:color w:val="auto"/>
          <w:sz w:val="24"/>
          <w:szCs w:val="24"/>
          <w:u w:val="single"/>
        </w:rPr>
        <w:t xml:space="preserve">                   </w:t>
      </w:r>
    </w:p>
    <w:p w14:paraId="1688ED87">
      <w:pPr>
        <w:pStyle w:val="24"/>
        <w:snapToGrid w:val="0"/>
        <w:spacing w:line="440" w:lineRule="exact"/>
        <w:ind w:firstLine="480" w:firstLineChars="200"/>
        <w:jc w:val="left"/>
        <w:rPr>
          <w:rFonts w:hint="eastAsia" w:ascii="仿宋" w:hAnsi="仿宋" w:eastAsia="仿宋"/>
          <w:bCs/>
          <w:color w:val="auto"/>
          <w:sz w:val="24"/>
          <w:szCs w:val="24"/>
          <w:u w:val="single"/>
        </w:rPr>
      </w:pPr>
      <w:r>
        <w:rPr>
          <w:rFonts w:ascii="仿宋" w:hAnsi="仿宋" w:eastAsia="仿宋"/>
          <w:bCs/>
          <w:color w:val="auto"/>
          <w:sz w:val="24"/>
          <w:szCs w:val="24"/>
        </w:rPr>
        <w:t>地址</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p>
    <w:p w14:paraId="525F0CDD">
      <w:pPr>
        <w:pStyle w:val="24"/>
        <w:snapToGrid w:val="0"/>
        <w:spacing w:line="440" w:lineRule="exact"/>
        <w:ind w:firstLine="480" w:firstLineChars="200"/>
        <w:jc w:val="left"/>
        <w:rPr>
          <w:rFonts w:hint="eastAsia" w:ascii="仿宋" w:hAnsi="仿宋" w:eastAsia="仿宋"/>
          <w:bCs/>
          <w:color w:val="auto"/>
          <w:sz w:val="24"/>
          <w:szCs w:val="24"/>
        </w:rPr>
      </w:pPr>
      <w:r>
        <w:rPr>
          <w:rFonts w:ascii="仿宋" w:hAnsi="仿宋" w:eastAsia="仿宋"/>
          <w:bCs/>
          <w:color w:val="auto"/>
          <w:sz w:val="24"/>
          <w:szCs w:val="24"/>
        </w:rPr>
        <w:t>邮编</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r>
        <w:rPr>
          <w:rFonts w:hint="eastAsia" w:ascii="仿宋" w:hAnsi="仿宋" w:eastAsia="仿宋"/>
          <w:bCs/>
          <w:color w:val="auto"/>
          <w:sz w:val="24"/>
          <w:szCs w:val="24"/>
        </w:rPr>
        <w:t xml:space="preserve">   </w:t>
      </w:r>
    </w:p>
    <w:p w14:paraId="217C7FD3">
      <w:pPr>
        <w:pStyle w:val="24"/>
        <w:snapToGrid w:val="0"/>
        <w:spacing w:line="440" w:lineRule="exact"/>
        <w:ind w:firstLine="480" w:firstLineChars="200"/>
        <w:jc w:val="left"/>
        <w:rPr>
          <w:rFonts w:hint="eastAsia" w:ascii="仿宋" w:hAnsi="仿宋" w:eastAsia="仿宋"/>
          <w:bCs/>
          <w:color w:val="auto"/>
          <w:sz w:val="24"/>
          <w:szCs w:val="24"/>
        </w:rPr>
      </w:pPr>
      <w:r>
        <w:rPr>
          <w:rFonts w:hint="eastAsia" w:ascii="仿宋" w:hAnsi="仿宋" w:eastAsia="仿宋"/>
          <w:bCs/>
          <w:color w:val="auto"/>
          <w:sz w:val="24"/>
          <w:szCs w:val="24"/>
        </w:rPr>
        <w:t>被投诉人1：</w:t>
      </w:r>
    </w:p>
    <w:p w14:paraId="48078A3C">
      <w:pPr>
        <w:pStyle w:val="24"/>
        <w:snapToGrid w:val="0"/>
        <w:spacing w:line="440" w:lineRule="exact"/>
        <w:ind w:firstLine="480" w:firstLineChars="200"/>
        <w:jc w:val="left"/>
        <w:rPr>
          <w:rFonts w:hint="eastAsia" w:ascii="仿宋" w:hAnsi="仿宋" w:eastAsia="仿宋"/>
          <w:bCs/>
          <w:color w:val="auto"/>
          <w:sz w:val="24"/>
          <w:szCs w:val="24"/>
          <w:u w:val="single"/>
        </w:rPr>
      </w:pPr>
      <w:r>
        <w:rPr>
          <w:rFonts w:hint="eastAsia" w:ascii="仿宋" w:hAnsi="仿宋" w:eastAsia="仿宋"/>
          <w:bCs/>
          <w:color w:val="auto"/>
          <w:sz w:val="24"/>
          <w:szCs w:val="24"/>
        </w:rPr>
        <w:t>地址：</w:t>
      </w:r>
      <w:r>
        <w:rPr>
          <w:rFonts w:hint="eastAsia" w:ascii="仿宋" w:hAnsi="仿宋" w:eastAsia="仿宋"/>
          <w:bCs/>
          <w:color w:val="auto"/>
          <w:sz w:val="24"/>
          <w:szCs w:val="24"/>
          <w:u w:val="single"/>
        </w:rPr>
        <w:t xml:space="preserve">                                                            </w:t>
      </w:r>
    </w:p>
    <w:p w14:paraId="46F37DC9">
      <w:pPr>
        <w:pStyle w:val="24"/>
        <w:snapToGrid w:val="0"/>
        <w:spacing w:line="440" w:lineRule="exact"/>
        <w:ind w:firstLine="480" w:firstLineChars="200"/>
        <w:jc w:val="left"/>
        <w:rPr>
          <w:rFonts w:hint="eastAsia" w:ascii="仿宋" w:hAnsi="仿宋" w:eastAsia="仿宋"/>
          <w:bCs/>
          <w:color w:val="auto"/>
          <w:sz w:val="24"/>
          <w:szCs w:val="24"/>
        </w:rPr>
      </w:pPr>
      <w:r>
        <w:rPr>
          <w:rFonts w:ascii="仿宋" w:hAnsi="仿宋" w:eastAsia="仿宋"/>
          <w:bCs/>
          <w:color w:val="auto"/>
          <w:sz w:val="24"/>
          <w:szCs w:val="24"/>
        </w:rPr>
        <w:t>邮编</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r>
        <w:rPr>
          <w:rFonts w:hint="eastAsia" w:ascii="仿宋" w:hAnsi="仿宋" w:eastAsia="仿宋"/>
          <w:bCs/>
          <w:color w:val="auto"/>
          <w:sz w:val="24"/>
          <w:szCs w:val="24"/>
        </w:rPr>
        <w:t xml:space="preserve">  </w:t>
      </w:r>
    </w:p>
    <w:p w14:paraId="7EE34FFB">
      <w:pPr>
        <w:pStyle w:val="24"/>
        <w:snapToGrid w:val="0"/>
        <w:spacing w:line="440" w:lineRule="exact"/>
        <w:ind w:firstLine="480" w:firstLineChars="200"/>
        <w:jc w:val="left"/>
        <w:rPr>
          <w:rFonts w:hint="eastAsia" w:ascii="仿宋" w:hAnsi="仿宋" w:eastAsia="仿宋"/>
          <w:bCs/>
          <w:color w:val="auto"/>
          <w:sz w:val="24"/>
          <w:szCs w:val="24"/>
          <w:u w:val="single"/>
        </w:rPr>
      </w:pPr>
      <w:r>
        <w:rPr>
          <w:rFonts w:hint="eastAsia" w:ascii="仿宋" w:hAnsi="仿宋" w:eastAsia="仿宋"/>
          <w:bCs/>
          <w:color w:val="auto"/>
          <w:sz w:val="24"/>
          <w:szCs w:val="24"/>
        </w:rPr>
        <w:t>联系人：</w:t>
      </w:r>
      <w:r>
        <w:rPr>
          <w:rFonts w:hint="eastAsia" w:ascii="仿宋" w:hAnsi="仿宋" w:eastAsia="仿宋"/>
          <w:bCs/>
          <w:color w:val="auto"/>
          <w:sz w:val="24"/>
          <w:szCs w:val="24"/>
          <w:u w:val="single"/>
        </w:rPr>
        <w:t xml:space="preserve">                            </w:t>
      </w:r>
      <w:r>
        <w:rPr>
          <w:rFonts w:ascii="仿宋" w:hAnsi="仿宋" w:eastAsia="仿宋"/>
          <w:bCs/>
          <w:color w:val="auto"/>
          <w:sz w:val="24"/>
          <w:szCs w:val="24"/>
        </w:rPr>
        <w:t>联系</w:t>
      </w:r>
      <w:r>
        <w:rPr>
          <w:rFonts w:hint="eastAsia" w:ascii="仿宋" w:hAnsi="仿宋" w:eastAsia="仿宋"/>
          <w:bCs/>
          <w:color w:val="auto"/>
          <w:sz w:val="24"/>
          <w:szCs w:val="24"/>
        </w:rPr>
        <w:t>电话：</w:t>
      </w:r>
      <w:r>
        <w:rPr>
          <w:rFonts w:hint="eastAsia" w:ascii="仿宋" w:hAnsi="仿宋" w:eastAsia="仿宋"/>
          <w:bCs/>
          <w:color w:val="auto"/>
          <w:sz w:val="24"/>
          <w:szCs w:val="24"/>
          <w:u w:val="single"/>
        </w:rPr>
        <w:t xml:space="preserve">                </w:t>
      </w:r>
    </w:p>
    <w:p w14:paraId="62A34927">
      <w:pPr>
        <w:pStyle w:val="24"/>
        <w:snapToGrid w:val="0"/>
        <w:spacing w:line="440" w:lineRule="exact"/>
        <w:ind w:firstLine="480" w:firstLineChars="200"/>
        <w:jc w:val="left"/>
        <w:rPr>
          <w:rFonts w:hint="eastAsia" w:ascii="仿宋" w:hAnsi="仿宋" w:eastAsia="仿宋"/>
          <w:bCs/>
          <w:color w:val="auto"/>
          <w:sz w:val="24"/>
          <w:szCs w:val="24"/>
        </w:rPr>
      </w:pPr>
      <w:r>
        <w:rPr>
          <w:rFonts w:hint="eastAsia" w:ascii="仿宋" w:hAnsi="仿宋" w:eastAsia="仿宋"/>
          <w:bCs/>
          <w:color w:val="auto"/>
          <w:sz w:val="24"/>
          <w:szCs w:val="24"/>
        </w:rPr>
        <w:t>被投诉人2：</w:t>
      </w:r>
    </w:p>
    <w:p w14:paraId="18FFC981">
      <w:pPr>
        <w:pStyle w:val="24"/>
        <w:snapToGrid w:val="0"/>
        <w:spacing w:line="440" w:lineRule="exact"/>
        <w:ind w:firstLine="480" w:firstLineChars="200"/>
        <w:jc w:val="left"/>
        <w:rPr>
          <w:rFonts w:hint="eastAsia" w:ascii="仿宋" w:hAnsi="仿宋" w:eastAsia="仿宋"/>
          <w:bCs/>
          <w:color w:val="auto"/>
          <w:sz w:val="24"/>
          <w:szCs w:val="24"/>
        </w:rPr>
      </w:pPr>
      <w:r>
        <w:rPr>
          <w:rFonts w:ascii="仿宋" w:hAnsi="仿宋" w:eastAsia="仿宋"/>
          <w:bCs/>
          <w:color w:val="auto"/>
          <w:sz w:val="24"/>
          <w:szCs w:val="24"/>
        </w:rPr>
        <w:t>……</w:t>
      </w:r>
    </w:p>
    <w:p w14:paraId="6AABF066">
      <w:pPr>
        <w:pStyle w:val="24"/>
        <w:snapToGrid w:val="0"/>
        <w:spacing w:line="440" w:lineRule="exact"/>
        <w:ind w:firstLine="480" w:firstLineChars="200"/>
        <w:jc w:val="left"/>
        <w:rPr>
          <w:rFonts w:hint="eastAsia" w:ascii="仿宋" w:hAnsi="仿宋" w:eastAsia="仿宋"/>
          <w:bCs/>
          <w:color w:val="auto"/>
          <w:sz w:val="24"/>
          <w:szCs w:val="24"/>
          <w:u w:val="single"/>
        </w:rPr>
      </w:pPr>
      <w:r>
        <w:rPr>
          <w:rFonts w:hint="eastAsia" w:ascii="仿宋" w:hAnsi="仿宋" w:eastAsia="仿宋"/>
          <w:bCs/>
          <w:color w:val="auto"/>
          <w:sz w:val="24"/>
          <w:szCs w:val="24"/>
        </w:rPr>
        <w:t>相关供应商：</w:t>
      </w:r>
      <w:r>
        <w:rPr>
          <w:rFonts w:hint="eastAsia" w:ascii="仿宋" w:hAnsi="仿宋" w:eastAsia="仿宋"/>
          <w:bCs/>
          <w:color w:val="auto"/>
          <w:sz w:val="24"/>
          <w:szCs w:val="24"/>
          <w:u w:val="single"/>
        </w:rPr>
        <w:t xml:space="preserve">                                                                       </w:t>
      </w:r>
    </w:p>
    <w:p w14:paraId="363075B1">
      <w:pPr>
        <w:pStyle w:val="24"/>
        <w:snapToGrid w:val="0"/>
        <w:spacing w:line="440" w:lineRule="exact"/>
        <w:ind w:firstLine="480" w:firstLineChars="200"/>
        <w:jc w:val="left"/>
        <w:rPr>
          <w:rFonts w:hint="eastAsia" w:ascii="仿宋" w:hAnsi="仿宋" w:eastAsia="仿宋"/>
          <w:bCs/>
          <w:color w:val="auto"/>
          <w:sz w:val="24"/>
          <w:szCs w:val="24"/>
          <w:u w:val="single"/>
        </w:rPr>
      </w:pPr>
      <w:r>
        <w:rPr>
          <w:rFonts w:ascii="仿宋" w:hAnsi="仿宋" w:eastAsia="仿宋"/>
          <w:bCs/>
          <w:color w:val="auto"/>
          <w:sz w:val="24"/>
          <w:szCs w:val="24"/>
        </w:rPr>
        <w:t>地址</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r>
        <w:rPr>
          <w:rFonts w:ascii="仿宋" w:hAnsi="仿宋" w:eastAsia="仿宋"/>
          <w:bCs/>
          <w:color w:val="auto"/>
          <w:sz w:val="24"/>
          <w:szCs w:val="24"/>
        </w:rPr>
        <w:t>邮编</w:t>
      </w:r>
      <w:r>
        <w:rPr>
          <w:rFonts w:hint="eastAsia" w:ascii="仿宋" w:hAnsi="仿宋" w:eastAsia="仿宋"/>
          <w:bCs/>
          <w:color w:val="auto"/>
          <w:sz w:val="24"/>
          <w:szCs w:val="24"/>
        </w:rPr>
        <w:t>：</w:t>
      </w:r>
      <w:r>
        <w:rPr>
          <w:rFonts w:hint="eastAsia" w:ascii="仿宋" w:hAnsi="仿宋" w:eastAsia="仿宋"/>
          <w:bCs/>
          <w:color w:val="auto"/>
          <w:sz w:val="24"/>
          <w:szCs w:val="24"/>
          <w:u w:val="single"/>
        </w:rPr>
        <w:t xml:space="preserve">                         </w:t>
      </w:r>
    </w:p>
    <w:p w14:paraId="408537DE">
      <w:pPr>
        <w:pStyle w:val="24"/>
        <w:snapToGrid w:val="0"/>
        <w:spacing w:line="440" w:lineRule="exact"/>
        <w:ind w:firstLine="480" w:firstLineChars="200"/>
        <w:jc w:val="left"/>
        <w:rPr>
          <w:rFonts w:hint="eastAsia" w:ascii="仿宋" w:hAnsi="仿宋" w:eastAsia="仿宋"/>
          <w:bCs/>
          <w:color w:val="auto"/>
          <w:sz w:val="24"/>
          <w:szCs w:val="24"/>
        </w:rPr>
      </w:pPr>
      <w:r>
        <w:rPr>
          <w:rFonts w:hint="eastAsia" w:ascii="仿宋" w:hAnsi="仿宋" w:eastAsia="仿宋"/>
          <w:bCs/>
          <w:color w:val="auto"/>
          <w:sz w:val="24"/>
          <w:szCs w:val="24"/>
        </w:rPr>
        <w:t>联系人：</w:t>
      </w:r>
      <w:r>
        <w:rPr>
          <w:rFonts w:hint="eastAsia" w:ascii="仿宋" w:hAnsi="仿宋" w:eastAsia="仿宋"/>
          <w:bCs/>
          <w:color w:val="auto"/>
          <w:sz w:val="24"/>
          <w:szCs w:val="24"/>
          <w:u w:val="single"/>
        </w:rPr>
        <w:t xml:space="preserve">                                            </w:t>
      </w:r>
      <w:r>
        <w:rPr>
          <w:rFonts w:ascii="仿宋" w:hAnsi="仿宋" w:eastAsia="仿宋"/>
          <w:bCs/>
          <w:color w:val="auto"/>
          <w:sz w:val="24"/>
          <w:szCs w:val="24"/>
        </w:rPr>
        <w:t>联系</w:t>
      </w:r>
      <w:r>
        <w:rPr>
          <w:rFonts w:hint="eastAsia" w:ascii="仿宋" w:hAnsi="仿宋" w:eastAsia="仿宋"/>
          <w:bCs/>
          <w:color w:val="auto"/>
          <w:sz w:val="24"/>
          <w:szCs w:val="24"/>
        </w:rPr>
        <w:t>电话：</w:t>
      </w:r>
      <w:r>
        <w:rPr>
          <w:rFonts w:hint="eastAsia" w:ascii="仿宋" w:hAnsi="仿宋" w:eastAsia="仿宋"/>
          <w:bCs/>
          <w:color w:val="auto"/>
          <w:sz w:val="24"/>
          <w:szCs w:val="24"/>
          <w:u w:val="single"/>
        </w:rPr>
        <w:t xml:space="preserve">                     </w:t>
      </w:r>
      <w:r>
        <w:rPr>
          <w:rFonts w:hint="eastAsia" w:ascii="仿宋" w:hAnsi="仿宋" w:eastAsia="仿宋"/>
          <w:bCs/>
          <w:color w:val="auto"/>
          <w:sz w:val="24"/>
          <w:szCs w:val="24"/>
        </w:rPr>
        <w:t xml:space="preserve">                </w:t>
      </w:r>
    </w:p>
    <w:p w14:paraId="3FF04CCB">
      <w:pPr>
        <w:pStyle w:val="24"/>
        <w:snapToGrid w:val="0"/>
        <w:spacing w:line="440" w:lineRule="exact"/>
        <w:ind w:firstLine="482" w:firstLineChars="200"/>
        <w:rPr>
          <w:rFonts w:hint="eastAsia" w:ascii="仿宋" w:hAnsi="仿宋" w:eastAsia="仿宋"/>
          <w:b/>
          <w:bCs/>
          <w:color w:val="auto"/>
          <w:sz w:val="24"/>
          <w:szCs w:val="24"/>
        </w:rPr>
      </w:pPr>
      <w:r>
        <w:rPr>
          <w:rFonts w:hint="eastAsia" w:ascii="仿宋" w:hAnsi="仿宋" w:eastAsia="仿宋"/>
          <w:b/>
          <w:bCs/>
          <w:color w:val="auto"/>
          <w:sz w:val="24"/>
          <w:szCs w:val="24"/>
        </w:rPr>
        <w:t>二、投诉项目基本情况：</w:t>
      </w:r>
    </w:p>
    <w:p w14:paraId="5DC90047">
      <w:pPr>
        <w:pStyle w:val="24"/>
        <w:spacing w:line="440" w:lineRule="exact"/>
        <w:ind w:left="25" w:leftChars="12" w:firstLine="472" w:firstLineChars="197"/>
        <w:rPr>
          <w:rFonts w:hint="eastAsia" w:ascii="仿宋" w:hAnsi="仿宋" w:eastAsia="仿宋"/>
          <w:color w:val="auto"/>
          <w:sz w:val="24"/>
          <w:szCs w:val="24"/>
        </w:rPr>
      </w:pPr>
      <w:r>
        <w:rPr>
          <w:rFonts w:hint="eastAsia" w:ascii="仿宋" w:hAnsi="仿宋" w:eastAsia="仿宋"/>
          <w:bCs/>
          <w:color w:val="auto"/>
          <w:sz w:val="24"/>
          <w:szCs w:val="24"/>
        </w:rPr>
        <w:t>采购</w:t>
      </w:r>
      <w:r>
        <w:rPr>
          <w:rFonts w:hint="eastAsia" w:ascii="仿宋" w:hAnsi="仿宋" w:eastAsia="仿宋"/>
          <w:color w:val="auto"/>
          <w:sz w:val="24"/>
          <w:szCs w:val="24"/>
        </w:rPr>
        <w:t>项目的名称：</w:t>
      </w:r>
      <w:r>
        <w:rPr>
          <w:rFonts w:hint="eastAsia" w:ascii="仿宋" w:hAnsi="仿宋" w:eastAsia="仿宋"/>
          <w:bCs/>
          <w:color w:val="auto"/>
          <w:sz w:val="24"/>
          <w:szCs w:val="24"/>
          <w:u w:val="single"/>
        </w:rPr>
        <w:t xml:space="preserve">                                                                   </w:t>
      </w:r>
    </w:p>
    <w:p w14:paraId="3FEFBBB2">
      <w:pPr>
        <w:pStyle w:val="24"/>
        <w:spacing w:line="440" w:lineRule="exact"/>
        <w:ind w:left="25" w:leftChars="12" w:firstLine="472" w:firstLineChars="197"/>
        <w:rPr>
          <w:rFonts w:hint="eastAsia" w:ascii="仿宋" w:hAnsi="仿宋" w:eastAsia="仿宋"/>
          <w:color w:val="auto"/>
          <w:sz w:val="24"/>
          <w:szCs w:val="24"/>
        </w:rPr>
      </w:pPr>
      <w:r>
        <w:rPr>
          <w:rFonts w:hint="eastAsia" w:ascii="仿宋" w:hAnsi="仿宋" w:eastAsia="仿宋"/>
          <w:bCs/>
          <w:color w:val="auto"/>
          <w:sz w:val="24"/>
          <w:szCs w:val="24"/>
        </w:rPr>
        <w:t>采购</w:t>
      </w:r>
      <w:r>
        <w:rPr>
          <w:rFonts w:hint="eastAsia" w:ascii="仿宋" w:hAnsi="仿宋" w:eastAsia="仿宋"/>
          <w:color w:val="auto"/>
          <w:sz w:val="24"/>
          <w:szCs w:val="24"/>
        </w:rPr>
        <w:t>项目的编号：</w:t>
      </w:r>
      <w:r>
        <w:rPr>
          <w:rFonts w:hint="eastAsia" w:ascii="仿宋" w:hAnsi="仿宋" w:eastAsia="仿宋"/>
          <w:bCs/>
          <w:color w:val="auto"/>
          <w:sz w:val="24"/>
          <w:szCs w:val="24"/>
          <w:u w:val="single"/>
        </w:rPr>
        <w:t xml:space="preserve">                                          </w:t>
      </w:r>
    </w:p>
    <w:p w14:paraId="6C7EE4D8">
      <w:pPr>
        <w:pStyle w:val="24"/>
        <w:spacing w:line="440" w:lineRule="exact"/>
        <w:ind w:left="25" w:leftChars="12" w:firstLine="472" w:firstLineChars="197"/>
        <w:rPr>
          <w:rFonts w:hint="eastAsia" w:ascii="仿宋" w:hAnsi="仿宋" w:eastAsia="仿宋"/>
          <w:bCs/>
          <w:color w:val="auto"/>
          <w:sz w:val="24"/>
          <w:szCs w:val="24"/>
          <w:u w:val="single"/>
        </w:rPr>
      </w:pPr>
      <w:r>
        <w:rPr>
          <w:rFonts w:hint="eastAsia" w:ascii="仿宋" w:hAnsi="仿宋" w:eastAsia="仿宋"/>
          <w:color w:val="auto"/>
          <w:sz w:val="24"/>
          <w:szCs w:val="24"/>
        </w:rPr>
        <w:t>采购人名称：</w:t>
      </w:r>
      <w:r>
        <w:rPr>
          <w:rFonts w:hint="eastAsia" w:ascii="仿宋" w:hAnsi="仿宋" w:eastAsia="仿宋"/>
          <w:bCs/>
          <w:color w:val="auto"/>
          <w:sz w:val="24"/>
          <w:szCs w:val="24"/>
          <w:u w:val="single"/>
        </w:rPr>
        <w:t xml:space="preserve">                                                                        </w:t>
      </w:r>
    </w:p>
    <w:p w14:paraId="0A27E440">
      <w:pPr>
        <w:pStyle w:val="24"/>
        <w:spacing w:line="440" w:lineRule="exact"/>
        <w:ind w:left="25" w:leftChars="12" w:firstLine="472" w:firstLineChars="197"/>
        <w:rPr>
          <w:rFonts w:hint="eastAsia" w:ascii="仿宋" w:hAnsi="仿宋" w:eastAsia="仿宋"/>
          <w:bCs/>
          <w:color w:val="auto"/>
          <w:sz w:val="24"/>
          <w:szCs w:val="24"/>
          <w:u w:val="single"/>
        </w:rPr>
      </w:pPr>
      <w:r>
        <w:rPr>
          <w:rFonts w:hint="eastAsia" w:ascii="仿宋" w:hAnsi="仿宋" w:eastAsia="仿宋"/>
          <w:color w:val="auto"/>
          <w:sz w:val="24"/>
          <w:szCs w:val="24"/>
        </w:rPr>
        <w:t>代理机构名称：</w:t>
      </w:r>
      <w:r>
        <w:rPr>
          <w:rFonts w:hint="eastAsia" w:ascii="仿宋" w:hAnsi="仿宋" w:eastAsia="仿宋"/>
          <w:bCs/>
          <w:color w:val="auto"/>
          <w:sz w:val="24"/>
          <w:szCs w:val="24"/>
          <w:u w:val="single"/>
        </w:rPr>
        <w:t xml:space="preserve">                                                                      </w:t>
      </w:r>
    </w:p>
    <w:p w14:paraId="5F33313E">
      <w:pPr>
        <w:pStyle w:val="24"/>
        <w:spacing w:line="440" w:lineRule="exact"/>
        <w:ind w:left="25" w:leftChars="12" w:firstLine="472" w:firstLineChars="197"/>
        <w:rPr>
          <w:rFonts w:hint="eastAsia" w:ascii="仿宋" w:hAnsi="仿宋" w:eastAsia="仿宋"/>
          <w:bCs/>
          <w:color w:val="auto"/>
          <w:sz w:val="24"/>
          <w:szCs w:val="24"/>
          <w:u w:val="single"/>
        </w:rPr>
      </w:pPr>
      <w:r>
        <w:rPr>
          <w:rFonts w:hint="eastAsia" w:ascii="仿宋" w:hAnsi="仿宋" w:eastAsia="仿宋"/>
          <w:bCs/>
          <w:color w:val="auto"/>
          <w:sz w:val="24"/>
          <w:szCs w:val="24"/>
        </w:rPr>
        <w:t>招标文件公告：</w:t>
      </w:r>
      <w:r>
        <w:rPr>
          <w:rFonts w:hint="eastAsia" w:ascii="仿宋" w:hAnsi="仿宋" w:eastAsia="仿宋"/>
          <w:bCs/>
          <w:color w:val="auto"/>
          <w:sz w:val="24"/>
          <w:szCs w:val="24"/>
          <w:u w:val="single"/>
        </w:rPr>
        <w:t>是/否</w:t>
      </w:r>
      <w:r>
        <w:rPr>
          <w:rFonts w:hint="eastAsia" w:ascii="仿宋" w:hAnsi="仿宋" w:eastAsia="仿宋"/>
          <w:bCs/>
          <w:color w:val="auto"/>
          <w:sz w:val="24"/>
          <w:szCs w:val="24"/>
        </w:rPr>
        <w:t>公告期限：</w:t>
      </w:r>
      <w:r>
        <w:rPr>
          <w:rFonts w:hint="eastAsia" w:ascii="仿宋" w:hAnsi="仿宋" w:eastAsia="仿宋"/>
          <w:bCs/>
          <w:color w:val="auto"/>
          <w:sz w:val="24"/>
          <w:szCs w:val="24"/>
          <w:u w:val="single"/>
        </w:rPr>
        <w:t xml:space="preserve">                                                       </w:t>
      </w:r>
    </w:p>
    <w:p w14:paraId="2C3A42F6">
      <w:pPr>
        <w:pStyle w:val="24"/>
        <w:spacing w:line="440" w:lineRule="exact"/>
        <w:ind w:left="25" w:leftChars="12" w:firstLine="472" w:firstLineChars="197"/>
        <w:rPr>
          <w:rFonts w:hint="eastAsia" w:ascii="仿宋" w:hAnsi="仿宋" w:eastAsia="仿宋"/>
          <w:b/>
          <w:color w:val="auto"/>
          <w:sz w:val="24"/>
          <w:szCs w:val="24"/>
        </w:rPr>
      </w:pPr>
      <w:r>
        <w:rPr>
          <w:rFonts w:hint="eastAsia" w:ascii="仿宋" w:hAnsi="仿宋" w:eastAsia="仿宋"/>
          <w:bCs/>
          <w:color w:val="auto"/>
          <w:sz w:val="24"/>
          <w:szCs w:val="24"/>
        </w:rPr>
        <w:t>采购结果公告：</w:t>
      </w:r>
      <w:r>
        <w:rPr>
          <w:rFonts w:hint="eastAsia" w:ascii="仿宋" w:hAnsi="仿宋" w:eastAsia="仿宋"/>
          <w:bCs/>
          <w:color w:val="auto"/>
          <w:sz w:val="24"/>
          <w:szCs w:val="24"/>
          <w:u w:val="single"/>
        </w:rPr>
        <w:t>是/否</w:t>
      </w:r>
      <w:r>
        <w:rPr>
          <w:rFonts w:hint="eastAsia" w:ascii="仿宋" w:hAnsi="仿宋" w:eastAsia="仿宋"/>
          <w:bCs/>
          <w:color w:val="auto"/>
          <w:sz w:val="24"/>
          <w:szCs w:val="24"/>
        </w:rPr>
        <w:t>公告期限：</w:t>
      </w:r>
      <w:r>
        <w:rPr>
          <w:rFonts w:hint="eastAsia" w:ascii="仿宋" w:hAnsi="仿宋" w:eastAsia="仿宋"/>
          <w:bCs/>
          <w:color w:val="auto"/>
          <w:sz w:val="24"/>
          <w:szCs w:val="24"/>
          <w:u w:val="single"/>
        </w:rPr>
        <w:t xml:space="preserve">                                                       </w:t>
      </w:r>
    </w:p>
    <w:p w14:paraId="14B89CBA">
      <w:pPr>
        <w:pStyle w:val="24"/>
        <w:spacing w:line="440" w:lineRule="exact"/>
        <w:ind w:left="25" w:leftChars="12" w:firstLine="472" w:firstLineChars="196"/>
        <w:rPr>
          <w:rFonts w:hint="eastAsia" w:ascii="仿宋" w:hAnsi="仿宋" w:eastAsia="仿宋"/>
          <w:b/>
          <w:color w:val="auto"/>
          <w:sz w:val="24"/>
          <w:szCs w:val="24"/>
        </w:rPr>
      </w:pPr>
      <w:r>
        <w:rPr>
          <w:rFonts w:hint="eastAsia" w:ascii="仿宋" w:hAnsi="仿宋" w:eastAsia="仿宋"/>
          <w:b/>
          <w:color w:val="auto"/>
          <w:sz w:val="24"/>
          <w:szCs w:val="24"/>
        </w:rPr>
        <w:t>三、质疑基本情况</w:t>
      </w:r>
    </w:p>
    <w:p w14:paraId="057507C1">
      <w:pPr>
        <w:pStyle w:val="24"/>
        <w:spacing w:line="440" w:lineRule="exact"/>
        <w:ind w:left="25" w:leftChars="12" w:firstLine="480" w:firstLineChars="200"/>
        <w:rPr>
          <w:rFonts w:hint="eastAsia" w:ascii="仿宋" w:hAnsi="仿宋" w:eastAsia="仿宋"/>
          <w:color w:val="auto"/>
          <w:sz w:val="24"/>
          <w:szCs w:val="24"/>
        </w:rPr>
      </w:pPr>
      <w:r>
        <w:rPr>
          <w:rFonts w:hint="eastAsia" w:ascii="仿宋" w:hAnsi="仿宋" w:eastAsia="仿宋"/>
          <w:color w:val="auto"/>
          <w:sz w:val="24"/>
          <w:szCs w:val="24"/>
        </w:rPr>
        <w:t>投诉人于</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年</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月</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日，向</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提出质疑，质疑事项为：</w:t>
      </w:r>
    </w:p>
    <w:p w14:paraId="2120CFDB">
      <w:pPr>
        <w:pStyle w:val="24"/>
        <w:spacing w:line="440" w:lineRule="exact"/>
        <w:ind w:firstLine="241"/>
        <w:rPr>
          <w:rFonts w:hint="eastAsia" w:ascii="仿宋" w:hAnsi="仿宋" w:eastAsia="仿宋"/>
          <w:bCs/>
          <w:color w:val="auto"/>
          <w:sz w:val="24"/>
          <w:szCs w:val="24"/>
          <w:u w:val="single"/>
        </w:rPr>
      </w:pPr>
      <w:r>
        <w:rPr>
          <w:rFonts w:hint="eastAsia" w:ascii="仿宋" w:hAnsi="仿宋" w:eastAsia="仿宋"/>
          <w:color w:val="auto"/>
          <w:sz w:val="24"/>
          <w:szCs w:val="24"/>
        </w:rPr>
        <w:t xml:space="preserve">    </w:t>
      </w:r>
      <w:r>
        <w:rPr>
          <w:rFonts w:hint="eastAsia" w:ascii="仿宋" w:hAnsi="仿宋" w:eastAsia="仿宋"/>
          <w:bCs/>
          <w:color w:val="auto"/>
          <w:sz w:val="24"/>
          <w:szCs w:val="24"/>
          <w:u w:val="single"/>
        </w:rPr>
        <w:t xml:space="preserve">                                                                                      </w:t>
      </w:r>
    </w:p>
    <w:p w14:paraId="14AE11F8">
      <w:pPr>
        <w:pStyle w:val="24"/>
        <w:spacing w:line="440" w:lineRule="exact"/>
        <w:ind w:firstLine="241"/>
        <w:rPr>
          <w:rFonts w:hint="eastAsia" w:ascii="仿宋" w:hAnsi="仿宋" w:eastAsia="仿宋"/>
          <w:bCs/>
          <w:color w:val="auto"/>
          <w:sz w:val="24"/>
          <w:szCs w:val="24"/>
          <w:u w:val="single"/>
        </w:rPr>
      </w:pPr>
      <w:r>
        <w:rPr>
          <w:rFonts w:hint="eastAsia" w:ascii="仿宋" w:hAnsi="仿宋" w:eastAsia="仿宋"/>
          <w:bCs/>
          <w:color w:val="auto"/>
          <w:sz w:val="24"/>
          <w:szCs w:val="24"/>
        </w:rPr>
        <w:t xml:space="preserve">    </w:t>
      </w:r>
      <w:r>
        <w:rPr>
          <w:rFonts w:hint="eastAsia" w:ascii="仿宋" w:hAnsi="仿宋" w:eastAsia="仿宋"/>
          <w:bCs/>
          <w:color w:val="auto"/>
          <w:sz w:val="24"/>
          <w:szCs w:val="24"/>
          <w:u w:val="single"/>
        </w:rPr>
        <w:t xml:space="preserve">                                                                                      </w:t>
      </w:r>
    </w:p>
    <w:p w14:paraId="111DE476">
      <w:pPr>
        <w:pStyle w:val="24"/>
        <w:spacing w:line="440" w:lineRule="exact"/>
        <w:ind w:firstLine="480" w:firstLineChars="200"/>
        <w:rPr>
          <w:rFonts w:hint="eastAsia" w:ascii="仿宋" w:hAnsi="仿宋" w:eastAsia="仿宋"/>
          <w:color w:val="auto"/>
          <w:sz w:val="24"/>
          <w:szCs w:val="24"/>
        </w:rPr>
      </w:pPr>
      <w:r>
        <w:rPr>
          <w:rFonts w:hint="eastAsia" w:ascii="仿宋" w:hAnsi="仿宋" w:eastAsia="仿宋"/>
          <w:bCs/>
          <w:color w:val="auto"/>
          <w:sz w:val="24"/>
          <w:szCs w:val="24"/>
          <w:u w:val="single"/>
        </w:rPr>
        <w:t>采购人/代理机构</w:t>
      </w:r>
      <w:r>
        <w:rPr>
          <w:rFonts w:hint="eastAsia" w:ascii="仿宋" w:hAnsi="仿宋" w:eastAsia="仿宋"/>
          <w:bCs/>
          <w:color w:val="auto"/>
          <w:sz w:val="24"/>
          <w:szCs w:val="24"/>
        </w:rPr>
        <w:t>于</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年</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月</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日，</w:t>
      </w:r>
      <w:r>
        <w:rPr>
          <w:rFonts w:hint="eastAsia" w:ascii="仿宋" w:hAnsi="仿宋" w:eastAsia="仿宋"/>
          <w:bCs/>
          <w:color w:val="auto"/>
          <w:sz w:val="24"/>
          <w:szCs w:val="24"/>
        </w:rPr>
        <w:t xml:space="preserve">就质疑事项作出了答复/没有在法定期限内作出答复。                                                                                             </w:t>
      </w:r>
    </w:p>
    <w:p w14:paraId="3295DD65">
      <w:pPr>
        <w:pStyle w:val="24"/>
        <w:spacing w:line="440" w:lineRule="exact"/>
        <w:ind w:left="25" w:leftChars="12" w:firstLine="472" w:firstLineChars="196"/>
        <w:rPr>
          <w:rFonts w:hint="eastAsia" w:ascii="仿宋" w:hAnsi="仿宋" w:eastAsia="仿宋"/>
          <w:b/>
          <w:color w:val="auto"/>
          <w:sz w:val="24"/>
          <w:szCs w:val="24"/>
        </w:rPr>
      </w:pPr>
      <w:r>
        <w:rPr>
          <w:rFonts w:hint="eastAsia" w:ascii="仿宋" w:hAnsi="仿宋" w:eastAsia="仿宋"/>
          <w:b/>
          <w:color w:val="auto"/>
          <w:sz w:val="24"/>
          <w:szCs w:val="24"/>
        </w:rPr>
        <w:t>四、投诉事项具体内容</w:t>
      </w:r>
    </w:p>
    <w:p w14:paraId="3FBA92AC">
      <w:pPr>
        <w:pStyle w:val="24"/>
        <w:spacing w:line="440" w:lineRule="exact"/>
        <w:ind w:left="25" w:leftChars="12" w:firstLine="472" w:firstLineChars="197"/>
        <w:rPr>
          <w:rFonts w:hint="eastAsia" w:ascii="仿宋" w:hAnsi="仿宋" w:eastAsia="仿宋"/>
          <w:bCs/>
          <w:color w:val="auto"/>
          <w:sz w:val="24"/>
          <w:szCs w:val="24"/>
          <w:u w:val="single"/>
        </w:rPr>
      </w:pPr>
      <w:r>
        <w:rPr>
          <w:rFonts w:hint="eastAsia" w:ascii="仿宋" w:hAnsi="仿宋" w:eastAsia="仿宋"/>
          <w:color w:val="auto"/>
          <w:sz w:val="24"/>
          <w:szCs w:val="24"/>
        </w:rPr>
        <w:t>投诉事项1：</w:t>
      </w:r>
      <w:r>
        <w:rPr>
          <w:rFonts w:hint="eastAsia" w:ascii="仿宋" w:hAnsi="仿宋" w:eastAsia="仿宋"/>
          <w:bCs/>
          <w:color w:val="auto"/>
          <w:sz w:val="24"/>
          <w:szCs w:val="24"/>
          <w:u w:val="single"/>
        </w:rPr>
        <w:t xml:space="preserve">                                                                           </w:t>
      </w:r>
    </w:p>
    <w:p w14:paraId="23B5A3B1">
      <w:pPr>
        <w:pStyle w:val="24"/>
        <w:spacing w:line="440" w:lineRule="exact"/>
        <w:ind w:firstLine="480" w:firstLineChars="200"/>
        <w:rPr>
          <w:rFonts w:hint="eastAsia" w:ascii="仿宋" w:hAnsi="仿宋" w:eastAsia="仿宋"/>
          <w:bCs/>
          <w:color w:val="auto"/>
          <w:sz w:val="24"/>
          <w:szCs w:val="24"/>
          <w:u w:val="single"/>
        </w:rPr>
      </w:pPr>
      <w:r>
        <w:rPr>
          <w:rFonts w:hint="eastAsia" w:ascii="仿宋" w:hAnsi="仿宋" w:eastAsia="仿宋"/>
          <w:bCs/>
          <w:color w:val="auto"/>
          <w:sz w:val="24"/>
          <w:szCs w:val="24"/>
        </w:rPr>
        <w:t>事实依据：</w:t>
      </w:r>
      <w:r>
        <w:rPr>
          <w:rFonts w:hint="eastAsia" w:ascii="仿宋" w:hAnsi="仿宋" w:eastAsia="仿宋"/>
          <w:color w:val="auto"/>
          <w:sz w:val="24"/>
          <w:szCs w:val="24"/>
        </w:rPr>
        <w:t xml:space="preserve"> </w:t>
      </w:r>
      <w:r>
        <w:rPr>
          <w:rFonts w:hint="eastAsia" w:ascii="仿宋" w:hAnsi="仿宋" w:eastAsia="仿宋"/>
          <w:bCs/>
          <w:color w:val="auto"/>
          <w:sz w:val="24"/>
          <w:szCs w:val="24"/>
          <w:u w:val="single"/>
        </w:rPr>
        <w:t xml:space="preserve">                                                                                      </w:t>
      </w:r>
    </w:p>
    <w:p w14:paraId="26AA63DA">
      <w:pPr>
        <w:pStyle w:val="24"/>
        <w:spacing w:line="440" w:lineRule="exact"/>
        <w:ind w:left="25" w:leftChars="12" w:firstLine="472" w:firstLineChars="197"/>
        <w:rPr>
          <w:rFonts w:hint="eastAsia" w:ascii="仿宋" w:hAnsi="仿宋" w:eastAsia="仿宋"/>
          <w:color w:val="auto"/>
          <w:sz w:val="24"/>
          <w:szCs w:val="24"/>
        </w:rPr>
      </w:pPr>
      <w:r>
        <w:rPr>
          <w:rFonts w:hint="eastAsia" w:ascii="仿宋" w:hAnsi="仿宋" w:eastAsia="仿宋"/>
          <w:bCs/>
          <w:color w:val="auto"/>
          <w:sz w:val="24"/>
          <w:szCs w:val="24"/>
          <w:u w:val="single"/>
        </w:rPr>
        <w:t xml:space="preserve">                                                                                        </w:t>
      </w:r>
    </w:p>
    <w:p w14:paraId="30AC6B45">
      <w:pPr>
        <w:pStyle w:val="24"/>
        <w:spacing w:line="440" w:lineRule="exact"/>
        <w:ind w:firstLine="480" w:firstLineChars="200"/>
        <w:rPr>
          <w:rFonts w:hint="eastAsia" w:ascii="仿宋" w:hAnsi="仿宋" w:eastAsia="仿宋"/>
          <w:bCs/>
          <w:color w:val="auto"/>
          <w:sz w:val="24"/>
          <w:szCs w:val="24"/>
          <w:u w:val="single"/>
        </w:rPr>
      </w:pPr>
      <w:r>
        <w:rPr>
          <w:rFonts w:hint="eastAsia" w:ascii="仿宋" w:hAnsi="仿宋" w:eastAsia="仿宋"/>
          <w:bCs/>
          <w:color w:val="auto"/>
          <w:sz w:val="24"/>
          <w:szCs w:val="24"/>
        </w:rPr>
        <w:t>法律依据：</w:t>
      </w:r>
      <w:r>
        <w:rPr>
          <w:rFonts w:hint="eastAsia" w:ascii="仿宋" w:hAnsi="仿宋" w:eastAsia="仿宋"/>
          <w:color w:val="auto"/>
          <w:sz w:val="24"/>
          <w:szCs w:val="24"/>
        </w:rPr>
        <w:t xml:space="preserve"> </w:t>
      </w:r>
      <w:r>
        <w:rPr>
          <w:rFonts w:hint="eastAsia" w:ascii="仿宋" w:hAnsi="仿宋" w:eastAsia="仿宋"/>
          <w:bCs/>
          <w:color w:val="auto"/>
          <w:sz w:val="24"/>
          <w:szCs w:val="24"/>
          <w:u w:val="single"/>
        </w:rPr>
        <w:t xml:space="preserve">                                                                                      </w:t>
      </w:r>
    </w:p>
    <w:p w14:paraId="19D654EC">
      <w:pPr>
        <w:pStyle w:val="24"/>
        <w:spacing w:line="440" w:lineRule="exact"/>
        <w:ind w:left="25" w:leftChars="12" w:firstLine="352" w:firstLineChars="147"/>
        <w:rPr>
          <w:rFonts w:hint="eastAsia" w:ascii="仿宋" w:hAnsi="仿宋" w:eastAsia="仿宋"/>
          <w:bCs/>
          <w:color w:val="auto"/>
          <w:sz w:val="24"/>
          <w:szCs w:val="24"/>
          <w:u w:val="single"/>
        </w:rPr>
      </w:pPr>
      <w:r>
        <w:rPr>
          <w:rFonts w:hint="eastAsia" w:ascii="仿宋" w:hAnsi="仿宋" w:eastAsia="仿宋"/>
          <w:bCs/>
          <w:color w:val="auto"/>
          <w:sz w:val="24"/>
          <w:szCs w:val="24"/>
        </w:rPr>
        <w:t xml:space="preserve"> </w:t>
      </w:r>
      <w:r>
        <w:rPr>
          <w:rFonts w:hint="eastAsia" w:ascii="仿宋" w:hAnsi="仿宋" w:eastAsia="仿宋"/>
          <w:bCs/>
          <w:color w:val="auto"/>
          <w:sz w:val="24"/>
          <w:szCs w:val="24"/>
          <w:u w:val="single"/>
        </w:rPr>
        <w:t xml:space="preserve">                                                                                        </w:t>
      </w:r>
    </w:p>
    <w:p w14:paraId="3F7A9796">
      <w:pPr>
        <w:pStyle w:val="24"/>
        <w:spacing w:line="440" w:lineRule="exact"/>
        <w:ind w:left="25" w:leftChars="12" w:firstLine="472" w:firstLineChars="197"/>
        <w:rPr>
          <w:rFonts w:hint="eastAsia" w:ascii="仿宋" w:hAnsi="仿宋" w:eastAsia="仿宋"/>
          <w:bCs/>
          <w:color w:val="auto"/>
          <w:sz w:val="24"/>
          <w:szCs w:val="24"/>
        </w:rPr>
      </w:pPr>
      <w:r>
        <w:rPr>
          <w:rFonts w:hint="eastAsia" w:ascii="仿宋" w:hAnsi="仿宋" w:eastAsia="仿宋"/>
          <w:color w:val="auto"/>
          <w:sz w:val="24"/>
          <w:szCs w:val="24"/>
        </w:rPr>
        <w:t xml:space="preserve">投诉事项2  </w:t>
      </w:r>
      <w:r>
        <w:rPr>
          <w:rFonts w:hint="eastAsia" w:ascii="仿宋" w:hAnsi="仿宋" w:eastAsia="仿宋"/>
          <w:bCs/>
          <w:color w:val="auto"/>
          <w:sz w:val="24"/>
          <w:szCs w:val="24"/>
        </w:rPr>
        <w:t xml:space="preserve">   </w:t>
      </w:r>
    </w:p>
    <w:p w14:paraId="440EDFFF">
      <w:pPr>
        <w:pStyle w:val="24"/>
        <w:spacing w:line="440" w:lineRule="exact"/>
        <w:ind w:left="25" w:leftChars="12" w:firstLine="472" w:firstLineChars="197"/>
        <w:rPr>
          <w:rFonts w:hint="eastAsia" w:ascii="仿宋" w:hAnsi="仿宋" w:eastAsia="仿宋"/>
          <w:bCs/>
          <w:color w:val="auto"/>
          <w:sz w:val="24"/>
          <w:szCs w:val="24"/>
        </w:rPr>
      </w:pPr>
      <w:r>
        <w:rPr>
          <w:rFonts w:ascii="仿宋" w:hAnsi="仿宋" w:eastAsia="仿宋"/>
          <w:bCs/>
          <w:color w:val="auto"/>
          <w:sz w:val="24"/>
          <w:szCs w:val="24"/>
        </w:rPr>
        <w:t>……</w:t>
      </w:r>
    </w:p>
    <w:p w14:paraId="49D76AC8">
      <w:pPr>
        <w:pStyle w:val="24"/>
        <w:spacing w:line="440" w:lineRule="exact"/>
        <w:ind w:left="25" w:leftChars="12" w:firstLine="472" w:firstLineChars="196"/>
        <w:rPr>
          <w:rFonts w:hint="eastAsia" w:ascii="仿宋" w:hAnsi="仿宋" w:eastAsia="仿宋"/>
          <w:b/>
          <w:color w:val="auto"/>
          <w:sz w:val="24"/>
          <w:szCs w:val="24"/>
        </w:rPr>
      </w:pPr>
      <w:r>
        <w:rPr>
          <w:rFonts w:hint="eastAsia" w:ascii="仿宋" w:hAnsi="仿宋" w:eastAsia="仿宋"/>
          <w:b/>
          <w:color w:val="auto"/>
          <w:sz w:val="24"/>
          <w:szCs w:val="24"/>
        </w:rPr>
        <w:t>五、与投诉事项相关的投诉请求：</w:t>
      </w:r>
    </w:p>
    <w:p w14:paraId="07028892">
      <w:pPr>
        <w:pStyle w:val="24"/>
        <w:spacing w:line="440" w:lineRule="exact"/>
        <w:ind w:left="25" w:leftChars="12" w:firstLine="472" w:firstLineChars="197"/>
        <w:rPr>
          <w:rFonts w:hint="eastAsia" w:ascii="仿宋" w:hAnsi="仿宋" w:eastAsia="仿宋"/>
          <w:color w:val="auto"/>
          <w:sz w:val="24"/>
          <w:szCs w:val="24"/>
        </w:rPr>
      </w:pPr>
      <w:r>
        <w:rPr>
          <w:rFonts w:hint="eastAsia" w:ascii="仿宋" w:hAnsi="仿宋" w:eastAsia="仿宋"/>
          <w:color w:val="auto"/>
          <w:sz w:val="24"/>
          <w:szCs w:val="24"/>
        </w:rPr>
        <w:t>请求：</w:t>
      </w:r>
      <w:r>
        <w:rPr>
          <w:rFonts w:hint="eastAsia" w:ascii="仿宋" w:hAnsi="仿宋" w:eastAsia="仿宋"/>
          <w:bCs/>
          <w:color w:val="auto"/>
          <w:sz w:val="24"/>
          <w:szCs w:val="24"/>
          <w:u w:val="single"/>
        </w:rPr>
        <w:t xml:space="preserve">                                                                                 </w:t>
      </w:r>
    </w:p>
    <w:p w14:paraId="6934E553">
      <w:pPr>
        <w:pStyle w:val="24"/>
        <w:spacing w:line="440" w:lineRule="exact"/>
        <w:ind w:left="25" w:leftChars="12" w:firstLine="352" w:firstLineChars="147"/>
        <w:rPr>
          <w:rFonts w:hint="eastAsia" w:ascii="仿宋" w:hAnsi="仿宋" w:eastAsia="仿宋"/>
          <w:color w:val="auto"/>
          <w:sz w:val="24"/>
          <w:szCs w:val="24"/>
        </w:rPr>
      </w:pPr>
    </w:p>
    <w:p w14:paraId="79302F56">
      <w:pPr>
        <w:pStyle w:val="24"/>
        <w:spacing w:line="440" w:lineRule="exact"/>
        <w:ind w:left="25" w:leftChars="12" w:firstLine="472" w:firstLineChars="197"/>
        <w:rPr>
          <w:rFonts w:hint="eastAsia" w:ascii="仿宋" w:hAnsi="仿宋" w:eastAsia="仿宋"/>
          <w:color w:val="auto"/>
          <w:sz w:val="24"/>
          <w:szCs w:val="24"/>
        </w:rPr>
      </w:pPr>
      <w:r>
        <w:rPr>
          <w:rFonts w:hint="eastAsia" w:ascii="仿宋" w:hAnsi="仿宋" w:eastAsia="仿宋"/>
          <w:color w:val="auto"/>
          <w:sz w:val="24"/>
          <w:szCs w:val="24"/>
        </w:rPr>
        <w:t>签字（签章）：                                       公章：</w:t>
      </w:r>
    </w:p>
    <w:p w14:paraId="265E6209">
      <w:pPr>
        <w:pStyle w:val="24"/>
        <w:spacing w:line="440" w:lineRule="exact"/>
        <w:ind w:left="25" w:leftChars="12" w:firstLine="352" w:firstLineChars="147"/>
        <w:rPr>
          <w:rFonts w:hint="eastAsia" w:ascii="仿宋" w:hAnsi="仿宋" w:eastAsia="仿宋"/>
          <w:color w:val="auto"/>
          <w:sz w:val="24"/>
          <w:szCs w:val="24"/>
        </w:rPr>
      </w:pPr>
    </w:p>
    <w:p w14:paraId="3C1DAB36">
      <w:pPr>
        <w:pStyle w:val="24"/>
        <w:spacing w:line="440" w:lineRule="exact"/>
        <w:ind w:left="25" w:leftChars="12" w:firstLine="472" w:firstLineChars="197"/>
        <w:rPr>
          <w:rFonts w:hint="eastAsia" w:ascii="仿宋" w:hAnsi="仿宋" w:eastAsia="仿宋"/>
          <w:color w:val="auto"/>
          <w:sz w:val="24"/>
          <w:szCs w:val="24"/>
        </w:rPr>
      </w:pPr>
      <w:r>
        <w:rPr>
          <w:rFonts w:hint="eastAsia" w:ascii="仿宋" w:hAnsi="仿宋" w:eastAsia="仿宋"/>
          <w:color w:val="auto"/>
          <w:sz w:val="24"/>
          <w:szCs w:val="24"/>
        </w:rPr>
        <w:t>日期：</w:t>
      </w:r>
    </w:p>
    <w:p w14:paraId="48965D65">
      <w:pPr>
        <w:pStyle w:val="24"/>
        <w:spacing w:line="440" w:lineRule="exact"/>
        <w:ind w:left="25" w:leftChars="12" w:firstLine="472" w:firstLineChars="197"/>
        <w:rPr>
          <w:rFonts w:hint="eastAsia" w:ascii="仿宋" w:hAnsi="仿宋" w:eastAsia="仿宋"/>
          <w:color w:val="auto"/>
          <w:sz w:val="24"/>
          <w:szCs w:val="24"/>
        </w:rPr>
      </w:pPr>
      <w:r>
        <w:rPr>
          <w:rFonts w:hint="eastAsia" w:ascii="仿宋" w:hAnsi="仿宋" w:eastAsia="仿宋"/>
          <w:bCs/>
          <w:color w:val="auto"/>
          <w:sz w:val="24"/>
          <w:szCs w:val="24"/>
        </w:rPr>
        <w:t xml:space="preserve">                                                                              </w:t>
      </w:r>
    </w:p>
    <w:p w14:paraId="769DAA15">
      <w:pPr>
        <w:pStyle w:val="24"/>
        <w:snapToGrid w:val="0"/>
        <w:spacing w:line="440" w:lineRule="exact"/>
        <w:rPr>
          <w:rFonts w:hint="eastAsia" w:ascii="仿宋" w:hAnsi="仿宋" w:eastAsia="仿宋"/>
          <w:b/>
          <w:color w:val="auto"/>
          <w:sz w:val="24"/>
          <w:szCs w:val="24"/>
        </w:rPr>
      </w:pPr>
      <w:r>
        <w:rPr>
          <w:rFonts w:hint="eastAsia" w:ascii="仿宋" w:hAnsi="仿宋" w:eastAsia="仿宋"/>
          <w:b/>
          <w:color w:val="auto"/>
          <w:sz w:val="24"/>
          <w:szCs w:val="24"/>
        </w:rPr>
        <w:t>说明：</w:t>
      </w:r>
    </w:p>
    <w:p w14:paraId="469B328F">
      <w:pPr>
        <w:pStyle w:val="24"/>
        <w:spacing w:line="440" w:lineRule="exact"/>
        <w:ind w:left="25" w:leftChars="12" w:firstLine="354" w:firstLineChars="147"/>
        <w:rPr>
          <w:rFonts w:hint="eastAsia" w:ascii="仿宋" w:hAnsi="仿宋" w:eastAsia="仿宋"/>
          <w:b/>
          <w:bCs/>
          <w:color w:val="auto"/>
          <w:sz w:val="24"/>
          <w:szCs w:val="24"/>
        </w:rPr>
      </w:pPr>
      <w:r>
        <w:rPr>
          <w:rFonts w:hint="eastAsia" w:ascii="仿宋" w:hAnsi="仿宋" w:eastAsia="仿宋"/>
          <w:b/>
          <w:color w:val="auto"/>
          <w:sz w:val="24"/>
          <w:szCs w:val="24"/>
        </w:rPr>
        <w:t>1.投诉人提起投诉时，应当提交投诉书和必要的证明材料，并按照被投诉人和与投诉事项有关的供应商数量提供投诉书副本</w:t>
      </w:r>
      <w:r>
        <w:rPr>
          <w:rFonts w:hint="eastAsia" w:ascii="仿宋" w:hAnsi="仿宋" w:eastAsia="仿宋"/>
          <w:b/>
          <w:bCs/>
          <w:color w:val="auto"/>
          <w:sz w:val="24"/>
          <w:szCs w:val="24"/>
        </w:rPr>
        <w:t>。</w:t>
      </w:r>
    </w:p>
    <w:p w14:paraId="5DDBB819">
      <w:pPr>
        <w:pStyle w:val="24"/>
        <w:spacing w:line="440" w:lineRule="exact"/>
        <w:ind w:left="25" w:leftChars="12" w:firstLine="354" w:firstLineChars="147"/>
        <w:rPr>
          <w:rFonts w:hint="eastAsia" w:ascii="仿宋" w:hAnsi="仿宋" w:eastAsia="仿宋"/>
          <w:b/>
          <w:color w:val="auto"/>
          <w:sz w:val="24"/>
          <w:szCs w:val="24"/>
        </w:rPr>
      </w:pPr>
      <w:r>
        <w:rPr>
          <w:rFonts w:hint="eastAsia" w:ascii="仿宋" w:hAnsi="仿宋" w:eastAsia="仿宋"/>
          <w:b/>
          <w:color w:val="auto"/>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B65B45C">
      <w:pPr>
        <w:pStyle w:val="24"/>
        <w:spacing w:line="440" w:lineRule="exact"/>
        <w:ind w:left="25" w:leftChars="12" w:firstLine="354" w:firstLineChars="147"/>
        <w:rPr>
          <w:rFonts w:hint="eastAsia" w:ascii="仿宋" w:hAnsi="仿宋" w:eastAsia="仿宋"/>
          <w:b/>
          <w:color w:val="auto"/>
          <w:sz w:val="24"/>
          <w:szCs w:val="24"/>
        </w:rPr>
      </w:pPr>
      <w:r>
        <w:rPr>
          <w:rFonts w:hint="eastAsia" w:ascii="仿宋" w:hAnsi="仿宋" w:eastAsia="仿宋"/>
          <w:b/>
          <w:color w:val="auto"/>
          <w:sz w:val="24"/>
          <w:szCs w:val="24"/>
        </w:rPr>
        <w:t>3.投诉书应简要列明质疑事项，质疑函、质疑答复等作为附件材料提供。</w:t>
      </w:r>
    </w:p>
    <w:p w14:paraId="56977227">
      <w:pPr>
        <w:pStyle w:val="24"/>
        <w:spacing w:line="440" w:lineRule="exact"/>
        <w:ind w:left="25" w:leftChars="12" w:firstLine="354" w:firstLineChars="147"/>
        <w:rPr>
          <w:rFonts w:hint="eastAsia" w:ascii="仿宋" w:hAnsi="仿宋" w:eastAsia="仿宋"/>
          <w:b/>
          <w:color w:val="auto"/>
          <w:sz w:val="24"/>
          <w:szCs w:val="24"/>
        </w:rPr>
      </w:pPr>
      <w:r>
        <w:rPr>
          <w:rFonts w:hint="eastAsia" w:ascii="仿宋" w:hAnsi="仿宋" w:eastAsia="仿宋"/>
          <w:b/>
          <w:color w:val="auto"/>
          <w:sz w:val="24"/>
          <w:szCs w:val="24"/>
        </w:rPr>
        <w:t>4.投诉书的投诉事项应具体、明确，并有必要的事实依据和法律依据。</w:t>
      </w:r>
    </w:p>
    <w:p w14:paraId="37390FBC">
      <w:pPr>
        <w:pStyle w:val="24"/>
        <w:spacing w:line="440" w:lineRule="exact"/>
        <w:ind w:left="25" w:leftChars="12" w:firstLine="354" w:firstLineChars="147"/>
        <w:rPr>
          <w:rFonts w:hint="eastAsia" w:ascii="仿宋" w:hAnsi="仿宋" w:eastAsia="仿宋"/>
          <w:b/>
          <w:color w:val="auto"/>
          <w:sz w:val="24"/>
          <w:szCs w:val="24"/>
        </w:rPr>
      </w:pPr>
      <w:r>
        <w:rPr>
          <w:rFonts w:hint="eastAsia" w:ascii="仿宋" w:hAnsi="仿宋" w:eastAsia="仿宋"/>
          <w:b/>
          <w:color w:val="auto"/>
          <w:sz w:val="24"/>
          <w:szCs w:val="24"/>
        </w:rPr>
        <w:t>5.投诉书的投诉请求应与投诉事项相关。</w:t>
      </w:r>
    </w:p>
    <w:p w14:paraId="1022A3F1">
      <w:pPr>
        <w:pStyle w:val="24"/>
        <w:spacing w:line="440" w:lineRule="exact"/>
        <w:ind w:left="25" w:leftChars="12" w:firstLine="354" w:firstLineChars="147"/>
        <w:rPr>
          <w:rFonts w:hint="eastAsia" w:ascii="仿宋" w:hAnsi="仿宋" w:eastAsia="仿宋"/>
          <w:b/>
          <w:color w:val="auto"/>
        </w:rPr>
      </w:pPr>
      <w:r>
        <w:rPr>
          <w:rFonts w:hint="eastAsia" w:ascii="仿宋" w:hAnsi="仿宋" w:eastAsia="仿宋"/>
          <w:b/>
          <w:color w:val="auto"/>
          <w:sz w:val="24"/>
          <w:szCs w:val="24"/>
        </w:rPr>
        <w:t>6.投诉人为法人或者其他组织的，投诉书应由法定代表人、主要负责人，或者其授权代表签字或者盖章，并加盖公章。</w:t>
      </w:r>
    </w:p>
    <w:sectPr>
      <w:footerReference r:id="rId12" w:type="first"/>
      <w:headerReference r:id="rId9" w:type="default"/>
      <w:footerReference r:id="rId10" w:type="default"/>
      <w:footerReference r:id="rId11" w:type="even"/>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6BC6788-6C88-47F2-89BD-9215B2020DE7}"/>
  </w:font>
  <w:font w:name="Arial">
    <w:panose1 w:val="020B0604020202020204"/>
    <w:charset w:val="01"/>
    <w:family w:val="swiss"/>
    <w:pitch w:val="default"/>
    <w:sig w:usb0="E0002AFF" w:usb1="C0007843" w:usb2="00000009" w:usb3="00000000" w:csb0="400001FF" w:csb1="FFFF0000"/>
    <w:embedRegular r:id="rId2" w:fontKey="{AFB8A631-A06C-4DB5-929E-86545E4F5C7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6A46187-547A-49C5-A5E8-A72A69C6817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altName w:val="宋体"/>
    <w:panose1 w:val="02010509060101010101"/>
    <w:charset w:val="86"/>
    <w:family w:val="modern"/>
    <w:pitch w:val="default"/>
    <w:sig w:usb0="00000000" w:usb1="00000000" w:usb2="00000000" w:usb3="00000000" w:csb0="00040000" w:csb1="00000000"/>
    <w:embedRegular r:id="rId4" w:fontKey="{022FCE19-3F09-467E-83AE-FFEB7C169FCF}"/>
  </w:font>
  <w:font w:name="仿宋_GB2312">
    <w:panose1 w:val="02010609030101010101"/>
    <w:charset w:val="86"/>
    <w:family w:val="modern"/>
    <w:pitch w:val="default"/>
    <w:sig w:usb0="00000001" w:usb1="080E0000" w:usb2="00000000" w:usb3="00000000" w:csb0="00040000" w:csb1="00000000"/>
    <w:embedRegular r:id="rId5" w:fontKey="{F090DEF9-4B41-4941-AE48-D39391F2B2BD}"/>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embedRegular r:id="rId6" w:fontKey="{FAE89D47-3D0C-4C6A-8ED4-A9A19702F96F}"/>
  </w:font>
  <w:font w:name="Century">
    <w:altName w:val="Times New Roman"/>
    <w:panose1 w:val="02040604050505020304"/>
    <w:charset w:val="00"/>
    <w:family w:val="roman"/>
    <w:pitch w:val="default"/>
    <w:sig w:usb0="00000000"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embedRegular r:id="rId7" w:fontKey="{471073C5-134C-42DB-8002-40F313413108}"/>
  </w:font>
  <w:font w:name="Calibri Light">
    <w:panose1 w:val="020F0302020204030204"/>
    <w:charset w:val="00"/>
    <w:family w:val="roman"/>
    <w:pitch w:val="default"/>
    <w:sig w:usb0="A00002EF" w:usb1="4000207B" w:usb2="00000000" w:usb3="00000000" w:csb0="2000019F" w:csb1="00000000"/>
  </w:font>
  <w:font w:name="Wingdings 2">
    <w:panose1 w:val="05020102010507070707"/>
    <w:charset w:val="02"/>
    <w:family w:val="roman"/>
    <w:pitch w:val="default"/>
    <w:sig w:usb0="00000000" w:usb1="00000000" w:usb2="00000000" w:usb3="00000000" w:csb0="80000000" w:csb1="00000000"/>
    <w:embedRegular r:id="rId8" w:fontKey="{8B5394D4-3F89-4C72-B278-D8CE5D4EEB01}"/>
  </w:font>
  <w:font w:name="宋体-简">
    <w:altName w:val="宋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2DC98E0E-C666-4799-8D64-7CB3475FBCC3}"/>
  </w:font>
  <w:font w:name="Helvetica">
    <w:altName w:val="Arial"/>
    <w:panose1 w:val="020B0604020202020204"/>
    <w:charset w:val="00"/>
    <w:family w:val="swiss"/>
    <w:pitch w:val="default"/>
    <w:sig w:usb0="00000000" w:usb1="00000000" w:usb2="00000009" w:usb3="00000000" w:csb0="000001FF" w:csb1="00000000"/>
    <w:embedRegular r:id="rId10" w:fontKey="{30599A88-B08A-416A-8D55-4842221DD293}"/>
  </w:font>
  <w:font w:name="方正小标宋简体">
    <w:panose1 w:val="03000509000000000000"/>
    <w:charset w:val="86"/>
    <w:family w:val="script"/>
    <w:pitch w:val="default"/>
    <w:sig w:usb0="00000001" w:usb1="080E0000" w:usb2="00000000" w:usb3="00000000" w:csb0="00040000" w:csb1="00000000"/>
    <w:embedRegular r:id="rId11" w:fontKey="{C27D9C6D-F54D-40D2-9E86-3F4C5F2A04D9}"/>
  </w:font>
  <w:font w:name="MS PGothic">
    <w:panose1 w:val="020B0600070205080204"/>
    <w:charset w:val="80"/>
    <w:family w:val="auto"/>
    <w:pitch w:val="default"/>
    <w:sig w:usb0="E00002FF" w:usb1="6AC7FDFB" w:usb2="00000012" w:usb3="00000000" w:csb0="4002009F" w:csb1="DFD70000"/>
  </w:font>
  <w:font w:name="WPSEMBED4">
    <w:panose1 w:val="05020102010507070707"/>
    <w:charset w:val="00"/>
    <w:family w:val="auto"/>
    <w:pitch w:val="default"/>
    <w:sig w:usb0="00000000" w:usb1="00000000" w:usb2="00000000" w:usb3="00000000" w:csb0="80000000" w:csb1="00000000"/>
  </w:font>
  <w:font w:name="WPSEMBED3">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CE80A">
    <w:pPr>
      <w:pStyle w:val="3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BC2A8">
    <w:pPr>
      <w:pStyle w:val="30"/>
      <w:framePr w:wrap="around" w:vAnchor="text" w:hAnchor="margin" w:xAlign="center" w:y="1"/>
      <w:rPr>
        <w:rStyle w:val="51"/>
        <w:sz w:val="21"/>
      </w:rPr>
    </w:pPr>
    <w:r>
      <w:rPr>
        <w:sz w:val="21"/>
      </w:rPr>
      <w:fldChar w:fldCharType="begin"/>
    </w:r>
    <w:r>
      <w:rPr>
        <w:rStyle w:val="51"/>
        <w:sz w:val="21"/>
      </w:rPr>
      <w:instrText xml:space="preserve">PAGE  </w:instrText>
    </w:r>
    <w:r>
      <w:rPr>
        <w:sz w:val="21"/>
      </w:rPr>
      <w:fldChar w:fldCharType="separate"/>
    </w:r>
    <w:r>
      <w:rPr>
        <w:rStyle w:val="51"/>
        <w:sz w:val="21"/>
      </w:rPr>
      <w:t>0</w:t>
    </w:r>
    <w:r>
      <w:rPr>
        <w:sz w:val="21"/>
      </w:rPr>
      <w:fldChar w:fldCharType="end"/>
    </w:r>
  </w:p>
  <w:p w14:paraId="5081617B">
    <w:pPr>
      <w:pStyle w:val="3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F1F57">
    <w:pPr>
      <w:pStyle w:val="30"/>
      <w:jc w:val="center"/>
    </w:pPr>
    <w:r>
      <w:fldChar w:fldCharType="begin"/>
    </w:r>
    <w:r>
      <w:instrText xml:space="preserve"> PAGE   \* MERGEFORMAT </w:instrText>
    </w:r>
    <w:r>
      <w:fldChar w:fldCharType="separate"/>
    </w:r>
    <w:r>
      <w:rPr>
        <w:lang w:val="zh-CN" w:eastAsia="zh-CN"/>
      </w:rPr>
      <w:t>98</w:t>
    </w:r>
    <w:r>
      <w:rPr>
        <w:lang w:val="zh-CN" w:eastAsia="zh-CN"/>
      </w:rPr>
      <w:fldChar w:fldCharType="end"/>
    </w:r>
  </w:p>
  <w:p w14:paraId="47B3B915">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A4AB2">
    <w:pPr>
      <w:pStyle w:val="30"/>
      <w:jc w:val="center"/>
    </w:pPr>
    <w:r>
      <w:fldChar w:fldCharType="begin"/>
    </w:r>
    <w:r>
      <w:instrText xml:space="preserve">PAGE   \* MERGEFORMAT</w:instrText>
    </w:r>
    <w:r>
      <w:fldChar w:fldCharType="separate"/>
    </w:r>
    <w:r>
      <w:rPr>
        <w:lang w:val="zh-CN" w:eastAsia="zh-CN"/>
      </w:rPr>
      <w:t>2</w:t>
    </w:r>
    <w:r>
      <w:rPr>
        <w:lang w:val="zh-CN" w:eastAsia="zh-CN"/>
      </w:rPr>
      <w:fldChar w:fldCharType="end"/>
    </w:r>
  </w:p>
  <w:p w14:paraId="402CC5DC">
    <w:pPr>
      <w:pStyle w:val="30"/>
      <w:ind w:right="360"/>
      <w:jc w:val="both"/>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36E7B">
    <w:pPr>
      <w:pStyle w:val="30"/>
      <w:jc w:val="center"/>
    </w:pPr>
    <w:r>
      <w:fldChar w:fldCharType="begin"/>
    </w:r>
    <w:r>
      <w:instrText xml:space="preserve"> PAGE   \* MERGEFORMAT </w:instrText>
    </w:r>
    <w:r>
      <w:fldChar w:fldCharType="separate"/>
    </w:r>
    <w:r>
      <w:rPr>
        <w:lang w:val="zh-CN" w:eastAsia="zh-CN"/>
      </w:rPr>
      <w:t>152</w:t>
    </w:r>
    <w:r>
      <w:rPr>
        <w:lang w:val="zh-CN" w:eastAsia="zh-CN"/>
      </w:rPr>
      <w:fldChar w:fldCharType="end"/>
    </w:r>
  </w:p>
  <w:p w14:paraId="3FFB7F6E">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3B43">
    <w:pPr>
      <w:pStyle w:val="30"/>
      <w:framePr w:wrap="around" w:vAnchor="text" w:hAnchor="margin" w:xAlign="center" w:y="1"/>
      <w:rPr>
        <w:rStyle w:val="51"/>
      </w:rPr>
    </w:pPr>
    <w:r>
      <w:fldChar w:fldCharType="begin"/>
    </w:r>
    <w:r>
      <w:rPr>
        <w:rStyle w:val="51"/>
      </w:rPr>
      <w:instrText xml:space="preserve">PAGE  </w:instrText>
    </w:r>
    <w:r>
      <w:fldChar w:fldCharType="end"/>
    </w:r>
  </w:p>
  <w:p w14:paraId="388FA41B">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FFD28">
    <w:pPr>
      <w:pStyle w:val="30"/>
      <w:ind w:right="360"/>
      <w:jc w:val="both"/>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9C16B">
    <w:pPr>
      <w:pStyle w:val="31"/>
      <w:pBdr>
        <w:bottom w:val="none" w:color="auto" w:sz="0" w:space="1"/>
      </w:pBdr>
      <w:tabs>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1780B">
    <w:pPr>
      <w:pStyle w:val="3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1468A">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524E49"/>
    <w:multiLevelType w:val="singleLevel"/>
    <w:tmpl w:val="89524E49"/>
    <w:lvl w:ilvl="0" w:tentative="0">
      <w:start w:val="1"/>
      <w:numFmt w:val="decimal"/>
      <w:suff w:val="nothing"/>
      <w:lvlText w:val="（%1）"/>
      <w:lvlJc w:val="left"/>
      <w:pPr>
        <w:ind w:left="845"/>
      </w:pPr>
    </w:lvl>
  </w:abstractNum>
  <w:abstractNum w:abstractNumId="1">
    <w:nsid w:val="97EB3FFE"/>
    <w:multiLevelType w:val="singleLevel"/>
    <w:tmpl w:val="97EB3FFE"/>
    <w:lvl w:ilvl="0" w:tentative="0">
      <w:start w:val="3"/>
      <w:numFmt w:val="decimal"/>
      <w:suff w:val="nothing"/>
      <w:lvlText w:val="%1、"/>
      <w:lvlJc w:val="left"/>
    </w:lvl>
  </w:abstractNum>
  <w:abstractNum w:abstractNumId="2">
    <w:nsid w:val="E1DB096E"/>
    <w:multiLevelType w:val="singleLevel"/>
    <w:tmpl w:val="E1DB096E"/>
    <w:lvl w:ilvl="0" w:tentative="0">
      <w:start w:val="11"/>
      <w:numFmt w:val="chineseCounting"/>
      <w:suff w:val="nothing"/>
      <w:lvlText w:val="第%1条，"/>
      <w:lvlJc w:val="left"/>
      <w:rPr>
        <w:rFonts w:hint="eastAsia"/>
        <w:b/>
        <w:bCs/>
      </w:rPr>
    </w:lvl>
  </w:abstractNum>
  <w:abstractNum w:abstractNumId="3">
    <w:nsid w:val="FFFFFF7E"/>
    <w:multiLevelType w:val="singleLevel"/>
    <w:tmpl w:val="FFFFFF7E"/>
    <w:lvl w:ilvl="0" w:tentative="0">
      <w:start w:val="1"/>
      <w:numFmt w:val="decimal"/>
      <w:pStyle w:val="20"/>
      <w:lvlText w:val="%1."/>
      <w:lvlJc w:val="left"/>
      <w:pPr>
        <w:tabs>
          <w:tab w:val="left" w:pos="1200"/>
        </w:tabs>
        <w:ind w:left="1200" w:hanging="360"/>
      </w:pPr>
    </w:lvl>
  </w:abstractNum>
  <w:abstractNum w:abstractNumId="4">
    <w:nsid w:val="145E8A43"/>
    <w:multiLevelType w:val="singleLevel"/>
    <w:tmpl w:val="145E8A43"/>
    <w:lvl w:ilvl="0" w:tentative="0">
      <w:start w:val="1"/>
      <w:numFmt w:val="decimal"/>
      <w:suff w:val="nothing"/>
      <w:lvlText w:val="（%1）"/>
      <w:lvlJc w:val="left"/>
    </w:lvl>
  </w:abstractNum>
  <w:abstractNum w:abstractNumId="5">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6">
    <w:nsid w:val="3A4D0537"/>
    <w:multiLevelType w:val="singleLevel"/>
    <w:tmpl w:val="3A4D0537"/>
    <w:lvl w:ilvl="0" w:tentative="0">
      <w:start w:val="3"/>
      <w:numFmt w:val="chineseCounting"/>
      <w:suff w:val="nothing"/>
      <w:lvlText w:val="%1、"/>
      <w:lvlJc w:val="left"/>
      <w:rPr>
        <w:rFonts w:hint="eastAsia"/>
      </w:rPr>
    </w:lvl>
  </w:abstractNum>
  <w:abstractNum w:abstractNumId="7">
    <w:nsid w:val="43D2922A"/>
    <w:multiLevelType w:val="singleLevel"/>
    <w:tmpl w:val="43D2922A"/>
    <w:lvl w:ilvl="0" w:tentative="0">
      <w:start w:val="2"/>
      <w:numFmt w:val="decimal"/>
      <w:suff w:val="nothing"/>
      <w:lvlText w:val="（%1）"/>
      <w:lvlJc w:val="left"/>
    </w:lvl>
  </w:abstractNum>
  <w:abstractNum w:abstractNumId="8">
    <w:nsid w:val="5FABD14B"/>
    <w:multiLevelType w:val="singleLevel"/>
    <w:tmpl w:val="5FABD14B"/>
    <w:lvl w:ilvl="0" w:tentative="0">
      <w:start w:val="1"/>
      <w:numFmt w:val="decimal"/>
      <w:suff w:val="nothing"/>
      <w:lvlText w:val="（%1）"/>
      <w:lvlJc w:val="left"/>
    </w:lvl>
  </w:abstractNum>
  <w:abstractNum w:abstractNumId="9">
    <w:nsid w:val="651B087B"/>
    <w:multiLevelType w:val="multilevel"/>
    <w:tmpl w:val="651B087B"/>
    <w:lvl w:ilvl="0" w:tentative="0">
      <w:start w:val="3"/>
      <w:numFmt w:val="japaneseCounting"/>
      <w:lvlText w:val="%1、"/>
      <w:lvlJc w:val="left"/>
      <w:pPr>
        <w:ind w:left="1303" w:hanging="66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0">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5"/>
  </w:num>
  <w:num w:numId="2">
    <w:abstractNumId w:val="3"/>
  </w:num>
  <w:num w:numId="3">
    <w:abstractNumId w:val="6"/>
  </w:num>
  <w:num w:numId="4">
    <w:abstractNumId w:val="7"/>
  </w:num>
  <w:num w:numId="5">
    <w:abstractNumId w:val="1"/>
  </w:num>
  <w:num w:numId="6">
    <w:abstractNumId w:val="8"/>
  </w:num>
  <w:num w:numId="7">
    <w:abstractNumId w:val="4"/>
  </w:num>
  <w:num w:numId="8">
    <w:abstractNumId w:val="9"/>
  </w:num>
  <w:num w:numId="9">
    <w:abstractNumId w:val="2"/>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xZTliOGFlMTE4ZjNiYjg5ODQ1ZDE1ZjY5MzJmNTMifQ=="/>
  </w:docVars>
  <w:rsids>
    <w:rsidRoot w:val="00F9008B"/>
    <w:rsid w:val="0000010C"/>
    <w:rsid w:val="000004FE"/>
    <w:rsid w:val="00000FAD"/>
    <w:rsid w:val="00000FE0"/>
    <w:rsid w:val="00001068"/>
    <w:rsid w:val="0000114A"/>
    <w:rsid w:val="00001731"/>
    <w:rsid w:val="00001C2D"/>
    <w:rsid w:val="00001C55"/>
    <w:rsid w:val="00001CA8"/>
    <w:rsid w:val="00001FAE"/>
    <w:rsid w:val="00002291"/>
    <w:rsid w:val="00002DBF"/>
    <w:rsid w:val="00002EC0"/>
    <w:rsid w:val="00003224"/>
    <w:rsid w:val="000033F5"/>
    <w:rsid w:val="0000358C"/>
    <w:rsid w:val="0000361D"/>
    <w:rsid w:val="00003BEF"/>
    <w:rsid w:val="00004130"/>
    <w:rsid w:val="0000431F"/>
    <w:rsid w:val="00004634"/>
    <w:rsid w:val="00004D8B"/>
    <w:rsid w:val="000059E2"/>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267"/>
    <w:rsid w:val="00014D89"/>
    <w:rsid w:val="00014DD9"/>
    <w:rsid w:val="00014EE0"/>
    <w:rsid w:val="000151E4"/>
    <w:rsid w:val="00015577"/>
    <w:rsid w:val="000156E4"/>
    <w:rsid w:val="000159A7"/>
    <w:rsid w:val="00015FB8"/>
    <w:rsid w:val="0001609F"/>
    <w:rsid w:val="0001635B"/>
    <w:rsid w:val="00016549"/>
    <w:rsid w:val="00016814"/>
    <w:rsid w:val="00016BF7"/>
    <w:rsid w:val="0001720C"/>
    <w:rsid w:val="0001767E"/>
    <w:rsid w:val="0001776D"/>
    <w:rsid w:val="00017F31"/>
    <w:rsid w:val="00020607"/>
    <w:rsid w:val="0002103A"/>
    <w:rsid w:val="000217E4"/>
    <w:rsid w:val="00021852"/>
    <w:rsid w:val="00021A12"/>
    <w:rsid w:val="000223BF"/>
    <w:rsid w:val="00022622"/>
    <w:rsid w:val="000226E5"/>
    <w:rsid w:val="00023363"/>
    <w:rsid w:val="000235F3"/>
    <w:rsid w:val="00023644"/>
    <w:rsid w:val="00023712"/>
    <w:rsid w:val="00024E3C"/>
    <w:rsid w:val="00024EB0"/>
    <w:rsid w:val="00025604"/>
    <w:rsid w:val="00025DAF"/>
    <w:rsid w:val="0002646A"/>
    <w:rsid w:val="0002651D"/>
    <w:rsid w:val="00026CFD"/>
    <w:rsid w:val="00027C8B"/>
    <w:rsid w:val="00027CD9"/>
    <w:rsid w:val="00030242"/>
    <w:rsid w:val="00030B06"/>
    <w:rsid w:val="0003183A"/>
    <w:rsid w:val="00031CDC"/>
    <w:rsid w:val="00032461"/>
    <w:rsid w:val="0003263B"/>
    <w:rsid w:val="0003282C"/>
    <w:rsid w:val="00032F6D"/>
    <w:rsid w:val="0003304A"/>
    <w:rsid w:val="0003310E"/>
    <w:rsid w:val="0003317E"/>
    <w:rsid w:val="00033413"/>
    <w:rsid w:val="000337F3"/>
    <w:rsid w:val="00033DDB"/>
    <w:rsid w:val="00034B24"/>
    <w:rsid w:val="00034C27"/>
    <w:rsid w:val="00034E2A"/>
    <w:rsid w:val="0003577F"/>
    <w:rsid w:val="00035B29"/>
    <w:rsid w:val="00036466"/>
    <w:rsid w:val="0003675E"/>
    <w:rsid w:val="00037F87"/>
    <w:rsid w:val="00037FA2"/>
    <w:rsid w:val="000400D0"/>
    <w:rsid w:val="00040343"/>
    <w:rsid w:val="000425AC"/>
    <w:rsid w:val="000427B8"/>
    <w:rsid w:val="00042F4A"/>
    <w:rsid w:val="00043AC8"/>
    <w:rsid w:val="00043BE5"/>
    <w:rsid w:val="00044003"/>
    <w:rsid w:val="00044527"/>
    <w:rsid w:val="000447E8"/>
    <w:rsid w:val="00044897"/>
    <w:rsid w:val="00044ACF"/>
    <w:rsid w:val="000454F4"/>
    <w:rsid w:val="00045D1E"/>
    <w:rsid w:val="00045E69"/>
    <w:rsid w:val="00045E97"/>
    <w:rsid w:val="00045EF4"/>
    <w:rsid w:val="00046547"/>
    <w:rsid w:val="000466D7"/>
    <w:rsid w:val="00046753"/>
    <w:rsid w:val="00047254"/>
    <w:rsid w:val="00047E41"/>
    <w:rsid w:val="0005022B"/>
    <w:rsid w:val="00050450"/>
    <w:rsid w:val="00050771"/>
    <w:rsid w:val="000509BA"/>
    <w:rsid w:val="000513F3"/>
    <w:rsid w:val="00052287"/>
    <w:rsid w:val="000522E0"/>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E2"/>
    <w:rsid w:val="000570FB"/>
    <w:rsid w:val="000575B8"/>
    <w:rsid w:val="00060131"/>
    <w:rsid w:val="0006026B"/>
    <w:rsid w:val="00060293"/>
    <w:rsid w:val="00061341"/>
    <w:rsid w:val="00061AA1"/>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61CA"/>
    <w:rsid w:val="0006668D"/>
    <w:rsid w:val="00066896"/>
    <w:rsid w:val="00067002"/>
    <w:rsid w:val="00067993"/>
    <w:rsid w:val="00067B1C"/>
    <w:rsid w:val="00067CED"/>
    <w:rsid w:val="00067F66"/>
    <w:rsid w:val="0007041A"/>
    <w:rsid w:val="00070634"/>
    <w:rsid w:val="00070883"/>
    <w:rsid w:val="00070C3F"/>
    <w:rsid w:val="0007102C"/>
    <w:rsid w:val="00071D68"/>
    <w:rsid w:val="00071FCE"/>
    <w:rsid w:val="00072661"/>
    <w:rsid w:val="00072CCC"/>
    <w:rsid w:val="00073053"/>
    <w:rsid w:val="0007315D"/>
    <w:rsid w:val="00073549"/>
    <w:rsid w:val="0007483E"/>
    <w:rsid w:val="000751DB"/>
    <w:rsid w:val="0007542D"/>
    <w:rsid w:val="0007578F"/>
    <w:rsid w:val="00075E43"/>
    <w:rsid w:val="00077706"/>
    <w:rsid w:val="00077878"/>
    <w:rsid w:val="000804EF"/>
    <w:rsid w:val="00080558"/>
    <w:rsid w:val="00081230"/>
    <w:rsid w:val="000814E2"/>
    <w:rsid w:val="000818C9"/>
    <w:rsid w:val="00081CBB"/>
    <w:rsid w:val="00081D42"/>
    <w:rsid w:val="000822EF"/>
    <w:rsid w:val="0008241E"/>
    <w:rsid w:val="000826F5"/>
    <w:rsid w:val="000829B1"/>
    <w:rsid w:val="00082AAB"/>
    <w:rsid w:val="0008307D"/>
    <w:rsid w:val="000831E9"/>
    <w:rsid w:val="000833BB"/>
    <w:rsid w:val="0008452D"/>
    <w:rsid w:val="0008467B"/>
    <w:rsid w:val="000850FA"/>
    <w:rsid w:val="000857A6"/>
    <w:rsid w:val="00085C12"/>
    <w:rsid w:val="00085DA0"/>
    <w:rsid w:val="00085F82"/>
    <w:rsid w:val="00086506"/>
    <w:rsid w:val="00086B6E"/>
    <w:rsid w:val="00086C2F"/>
    <w:rsid w:val="00086C64"/>
    <w:rsid w:val="000874BB"/>
    <w:rsid w:val="0008781A"/>
    <w:rsid w:val="00090951"/>
    <w:rsid w:val="00090A61"/>
    <w:rsid w:val="000918F5"/>
    <w:rsid w:val="000919B5"/>
    <w:rsid w:val="00091C1D"/>
    <w:rsid w:val="00091E08"/>
    <w:rsid w:val="00092100"/>
    <w:rsid w:val="000922D8"/>
    <w:rsid w:val="000932E7"/>
    <w:rsid w:val="0009333A"/>
    <w:rsid w:val="000933C3"/>
    <w:rsid w:val="00093459"/>
    <w:rsid w:val="00093B8B"/>
    <w:rsid w:val="000951E7"/>
    <w:rsid w:val="00095B82"/>
    <w:rsid w:val="00096098"/>
    <w:rsid w:val="000961B2"/>
    <w:rsid w:val="000969D9"/>
    <w:rsid w:val="00096F37"/>
    <w:rsid w:val="00097FE5"/>
    <w:rsid w:val="000A0354"/>
    <w:rsid w:val="000A091F"/>
    <w:rsid w:val="000A0958"/>
    <w:rsid w:val="000A0FCC"/>
    <w:rsid w:val="000A1033"/>
    <w:rsid w:val="000A2712"/>
    <w:rsid w:val="000A2877"/>
    <w:rsid w:val="000A355D"/>
    <w:rsid w:val="000A35DA"/>
    <w:rsid w:val="000A371E"/>
    <w:rsid w:val="000A3DE5"/>
    <w:rsid w:val="000A4011"/>
    <w:rsid w:val="000A45D5"/>
    <w:rsid w:val="000A46CD"/>
    <w:rsid w:val="000A490E"/>
    <w:rsid w:val="000A529E"/>
    <w:rsid w:val="000A5B49"/>
    <w:rsid w:val="000A5FE5"/>
    <w:rsid w:val="000A6684"/>
    <w:rsid w:val="000A7194"/>
    <w:rsid w:val="000A7218"/>
    <w:rsid w:val="000A740A"/>
    <w:rsid w:val="000A7446"/>
    <w:rsid w:val="000A7E7F"/>
    <w:rsid w:val="000A7ECD"/>
    <w:rsid w:val="000B04DD"/>
    <w:rsid w:val="000B0996"/>
    <w:rsid w:val="000B0F01"/>
    <w:rsid w:val="000B1346"/>
    <w:rsid w:val="000B1914"/>
    <w:rsid w:val="000B19DC"/>
    <w:rsid w:val="000B1B44"/>
    <w:rsid w:val="000B1CA2"/>
    <w:rsid w:val="000B202E"/>
    <w:rsid w:val="000B2293"/>
    <w:rsid w:val="000B24A4"/>
    <w:rsid w:val="000B255C"/>
    <w:rsid w:val="000B395E"/>
    <w:rsid w:val="000B39C3"/>
    <w:rsid w:val="000B3A00"/>
    <w:rsid w:val="000B4840"/>
    <w:rsid w:val="000B4D79"/>
    <w:rsid w:val="000B5627"/>
    <w:rsid w:val="000B5671"/>
    <w:rsid w:val="000B6BF0"/>
    <w:rsid w:val="000B6CE8"/>
    <w:rsid w:val="000B7684"/>
    <w:rsid w:val="000B7DAF"/>
    <w:rsid w:val="000C006F"/>
    <w:rsid w:val="000C071C"/>
    <w:rsid w:val="000C0931"/>
    <w:rsid w:val="000C0BB4"/>
    <w:rsid w:val="000C0BEE"/>
    <w:rsid w:val="000C11BE"/>
    <w:rsid w:val="000C1CB9"/>
    <w:rsid w:val="000C1D9A"/>
    <w:rsid w:val="000C2159"/>
    <w:rsid w:val="000C21BB"/>
    <w:rsid w:val="000C289B"/>
    <w:rsid w:val="000C2EB4"/>
    <w:rsid w:val="000C352F"/>
    <w:rsid w:val="000C3F01"/>
    <w:rsid w:val="000C410D"/>
    <w:rsid w:val="000C420D"/>
    <w:rsid w:val="000C4773"/>
    <w:rsid w:val="000C4944"/>
    <w:rsid w:val="000C4E24"/>
    <w:rsid w:val="000C5851"/>
    <w:rsid w:val="000C5C4A"/>
    <w:rsid w:val="000C5F01"/>
    <w:rsid w:val="000C63C4"/>
    <w:rsid w:val="000C66C1"/>
    <w:rsid w:val="000C6F0B"/>
    <w:rsid w:val="000C6F32"/>
    <w:rsid w:val="000C6FEF"/>
    <w:rsid w:val="000C7324"/>
    <w:rsid w:val="000C778C"/>
    <w:rsid w:val="000C7833"/>
    <w:rsid w:val="000C7E1B"/>
    <w:rsid w:val="000C7E73"/>
    <w:rsid w:val="000D001B"/>
    <w:rsid w:val="000D0A45"/>
    <w:rsid w:val="000D136E"/>
    <w:rsid w:val="000D14AC"/>
    <w:rsid w:val="000D15BA"/>
    <w:rsid w:val="000D15BE"/>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372"/>
    <w:rsid w:val="000D6979"/>
    <w:rsid w:val="000D6CE7"/>
    <w:rsid w:val="000D6E38"/>
    <w:rsid w:val="000D6E63"/>
    <w:rsid w:val="000D711C"/>
    <w:rsid w:val="000D7B6E"/>
    <w:rsid w:val="000E0644"/>
    <w:rsid w:val="000E076D"/>
    <w:rsid w:val="000E087C"/>
    <w:rsid w:val="000E187C"/>
    <w:rsid w:val="000E1B28"/>
    <w:rsid w:val="000E1E8D"/>
    <w:rsid w:val="000E1EBC"/>
    <w:rsid w:val="000E2173"/>
    <w:rsid w:val="000E220B"/>
    <w:rsid w:val="000E2266"/>
    <w:rsid w:val="000E2A50"/>
    <w:rsid w:val="000E30F2"/>
    <w:rsid w:val="000E316B"/>
    <w:rsid w:val="000E372D"/>
    <w:rsid w:val="000E3D08"/>
    <w:rsid w:val="000E4728"/>
    <w:rsid w:val="000E4D1F"/>
    <w:rsid w:val="000E5658"/>
    <w:rsid w:val="000E5698"/>
    <w:rsid w:val="000E5723"/>
    <w:rsid w:val="000E581B"/>
    <w:rsid w:val="000E64B2"/>
    <w:rsid w:val="000E65D2"/>
    <w:rsid w:val="000E6919"/>
    <w:rsid w:val="000E6B1B"/>
    <w:rsid w:val="000E6F0C"/>
    <w:rsid w:val="000E732D"/>
    <w:rsid w:val="000F07ED"/>
    <w:rsid w:val="000F0CF2"/>
    <w:rsid w:val="000F1401"/>
    <w:rsid w:val="000F1A32"/>
    <w:rsid w:val="000F1CC2"/>
    <w:rsid w:val="000F1D15"/>
    <w:rsid w:val="000F270A"/>
    <w:rsid w:val="000F2FA3"/>
    <w:rsid w:val="000F34C8"/>
    <w:rsid w:val="000F38BC"/>
    <w:rsid w:val="000F3E2A"/>
    <w:rsid w:val="000F4D26"/>
    <w:rsid w:val="000F5639"/>
    <w:rsid w:val="000F58A4"/>
    <w:rsid w:val="000F5F99"/>
    <w:rsid w:val="000F6833"/>
    <w:rsid w:val="000F6A24"/>
    <w:rsid w:val="000F7502"/>
    <w:rsid w:val="000F7616"/>
    <w:rsid w:val="000F7DE9"/>
    <w:rsid w:val="000F7F7A"/>
    <w:rsid w:val="001002F4"/>
    <w:rsid w:val="0010050C"/>
    <w:rsid w:val="001006CB"/>
    <w:rsid w:val="001011FC"/>
    <w:rsid w:val="0010165F"/>
    <w:rsid w:val="00101E7C"/>
    <w:rsid w:val="001023DC"/>
    <w:rsid w:val="00102572"/>
    <w:rsid w:val="00102946"/>
    <w:rsid w:val="00102FBF"/>
    <w:rsid w:val="0010333D"/>
    <w:rsid w:val="0010372A"/>
    <w:rsid w:val="00103F41"/>
    <w:rsid w:val="00104662"/>
    <w:rsid w:val="00104F34"/>
    <w:rsid w:val="001053C5"/>
    <w:rsid w:val="001055AD"/>
    <w:rsid w:val="00105C14"/>
    <w:rsid w:val="001065A3"/>
    <w:rsid w:val="00106610"/>
    <w:rsid w:val="00106831"/>
    <w:rsid w:val="0010683E"/>
    <w:rsid w:val="0010691D"/>
    <w:rsid w:val="00106B33"/>
    <w:rsid w:val="00106E69"/>
    <w:rsid w:val="00110AC5"/>
    <w:rsid w:val="00110F0B"/>
    <w:rsid w:val="0011108B"/>
    <w:rsid w:val="00111136"/>
    <w:rsid w:val="00111164"/>
    <w:rsid w:val="00111761"/>
    <w:rsid w:val="00112164"/>
    <w:rsid w:val="0011241F"/>
    <w:rsid w:val="001128BF"/>
    <w:rsid w:val="00112D09"/>
    <w:rsid w:val="00112E8F"/>
    <w:rsid w:val="00112F03"/>
    <w:rsid w:val="00112F38"/>
    <w:rsid w:val="00113821"/>
    <w:rsid w:val="00114058"/>
    <w:rsid w:val="0011449E"/>
    <w:rsid w:val="001153EF"/>
    <w:rsid w:val="00115D55"/>
    <w:rsid w:val="00115E45"/>
    <w:rsid w:val="00115F85"/>
    <w:rsid w:val="0011688E"/>
    <w:rsid w:val="00116ACD"/>
    <w:rsid w:val="00116E19"/>
    <w:rsid w:val="0011718F"/>
    <w:rsid w:val="00117B7D"/>
    <w:rsid w:val="00117EFC"/>
    <w:rsid w:val="001205A8"/>
    <w:rsid w:val="00121766"/>
    <w:rsid w:val="0012291C"/>
    <w:rsid w:val="00122A6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F09"/>
    <w:rsid w:val="0013002A"/>
    <w:rsid w:val="0013085D"/>
    <w:rsid w:val="0013089C"/>
    <w:rsid w:val="00130A2D"/>
    <w:rsid w:val="00130F54"/>
    <w:rsid w:val="00131888"/>
    <w:rsid w:val="00131F17"/>
    <w:rsid w:val="0013212F"/>
    <w:rsid w:val="00132284"/>
    <w:rsid w:val="001323F9"/>
    <w:rsid w:val="0013251F"/>
    <w:rsid w:val="00133088"/>
    <w:rsid w:val="00133346"/>
    <w:rsid w:val="001335B1"/>
    <w:rsid w:val="00133B4E"/>
    <w:rsid w:val="0013410F"/>
    <w:rsid w:val="001346AF"/>
    <w:rsid w:val="00134990"/>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A3A"/>
    <w:rsid w:val="00141FD4"/>
    <w:rsid w:val="001423FA"/>
    <w:rsid w:val="001427B5"/>
    <w:rsid w:val="001428CF"/>
    <w:rsid w:val="00142D0C"/>
    <w:rsid w:val="00142E3C"/>
    <w:rsid w:val="00143387"/>
    <w:rsid w:val="001439BA"/>
    <w:rsid w:val="00144013"/>
    <w:rsid w:val="001455C3"/>
    <w:rsid w:val="00145A17"/>
    <w:rsid w:val="00145BBE"/>
    <w:rsid w:val="001460B5"/>
    <w:rsid w:val="0014641F"/>
    <w:rsid w:val="001464A8"/>
    <w:rsid w:val="001467BB"/>
    <w:rsid w:val="00146CA8"/>
    <w:rsid w:val="00147884"/>
    <w:rsid w:val="00150827"/>
    <w:rsid w:val="00150B0D"/>
    <w:rsid w:val="00150E10"/>
    <w:rsid w:val="00151A32"/>
    <w:rsid w:val="00151B2C"/>
    <w:rsid w:val="00151E31"/>
    <w:rsid w:val="00151F9B"/>
    <w:rsid w:val="00152289"/>
    <w:rsid w:val="00152425"/>
    <w:rsid w:val="00152BAD"/>
    <w:rsid w:val="00152CE3"/>
    <w:rsid w:val="00153652"/>
    <w:rsid w:val="00153697"/>
    <w:rsid w:val="00153956"/>
    <w:rsid w:val="00153B95"/>
    <w:rsid w:val="00154146"/>
    <w:rsid w:val="00154190"/>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7C"/>
    <w:rsid w:val="00160E30"/>
    <w:rsid w:val="0016106D"/>
    <w:rsid w:val="001612E1"/>
    <w:rsid w:val="001614DB"/>
    <w:rsid w:val="0016194E"/>
    <w:rsid w:val="0016236C"/>
    <w:rsid w:val="00162625"/>
    <w:rsid w:val="001630A8"/>
    <w:rsid w:val="00163826"/>
    <w:rsid w:val="00163943"/>
    <w:rsid w:val="00163BA1"/>
    <w:rsid w:val="00163F22"/>
    <w:rsid w:val="0016417B"/>
    <w:rsid w:val="001643A6"/>
    <w:rsid w:val="0016470E"/>
    <w:rsid w:val="001649D3"/>
    <w:rsid w:val="00164E0A"/>
    <w:rsid w:val="001652D7"/>
    <w:rsid w:val="00165A5F"/>
    <w:rsid w:val="00166223"/>
    <w:rsid w:val="0016793E"/>
    <w:rsid w:val="00167D4D"/>
    <w:rsid w:val="0017054C"/>
    <w:rsid w:val="00170635"/>
    <w:rsid w:val="0017070D"/>
    <w:rsid w:val="00170837"/>
    <w:rsid w:val="00171035"/>
    <w:rsid w:val="001713B7"/>
    <w:rsid w:val="00171ADB"/>
    <w:rsid w:val="00171E2C"/>
    <w:rsid w:val="00172029"/>
    <w:rsid w:val="001733A4"/>
    <w:rsid w:val="00173AB9"/>
    <w:rsid w:val="00173EED"/>
    <w:rsid w:val="00174368"/>
    <w:rsid w:val="001744EA"/>
    <w:rsid w:val="00174731"/>
    <w:rsid w:val="00174D82"/>
    <w:rsid w:val="00174E44"/>
    <w:rsid w:val="00175053"/>
    <w:rsid w:val="001753B7"/>
    <w:rsid w:val="001757E7"/>
    <w:rsid w:val="00175873"/>
    <w:rsid w:val="00175C59"/>
    <w:rsid w:val="001760BC"/>
    <w:rsid w:val="00176674"/>
    <w:rsid w:val="00176818"/>
    <w:rsid w:val="00176B82"/>
    <w:rsid w:val="00176E3B"/>
    <w:rsid w:val="00176ECB"/>
    <w:rsid w:val="0017752D"/>
    <w:rsid w:val="0017759F"/>
    <w:rsid w:val="00177832"/>
    <w:rsid w:val="00181178"/>
    <w:rsid w:val="0018119E"/>
    <w:rsid w:val="0018152C"/>
    <w:rsid w:val="00181DBA"/>
    <w:rsid w:val="00181EEF"/>
    <w:rsid w:val="00181F3E"/>
    <w:rsid w:val="00182FE0"/>
    <w:rsid w:val="00183911"/>
    <w:rsid w:val="00184418"/>
    <w:rsid w:val="001845FB"/>
    <w:rsid w:val="001857FB"/>
    <w:rsid w:val="00185DA6"/>
    <w:rsid w:val="00185F64"/>
    <w:rsid w:val="00186096"/>
    <w:rsid w:val="001862FE"/>
    <w:rsid w:val="001864AC"/>
    <w:rsid w:val="00187317"/>
    <w:rsid w:val="0018772E"/>
    <w:rsid w:val="00187A94"/>
    <w:rsid w:val="0019029E"/>
    <w:rsid w:val="00190804"/>
    <w:rsid w:val="0019088F"/>
    <w:rsid w:val="00190C51"/>
    <w:rsid w:val="00192F00"/>
    <w:rsid w:val="00193ACC"/>
    <w:rsid w:val="00193BFE"/>
    <w:rsid w:val="00195322"/>
    <w:rsid w:val="0019560E"/>
    <w:rsid w:val="001958E3"/>
    <w:rsid w:val="00195FFA"/>
    <w:rsid w:val="0019601B"/>
    <w:rsid w:val="00196048"/>
    <w:rsid w:val="00196A82"/>
    <w:rsid w:val="0019769B"/>
    <w:rsid w:val="001979F9"/>
    <w:rsid w:val="00197FFE"/>
    <w:rsid w:val="001A0D25"/>
    <w:rsid w:val="001A0E14"/>
    <w:rsid w:val="001A1570"/>
    <w:rsid w:val="001A1917"/>
    <w:rsid w:val="001A1C64"/>
    <w:rsid w:val="001A1DFB"/>
    <w:rsid w:val="001A1E7F"/>
    <w:rsid w:val="001A2918"/>
    <w:rsid w:val="001A2D02"/>
    <w:rsid w:val="001A3076"/>
    <w:rsid w:val="001A3163"/>
    <w:rsid w:val="001A31A5"/>
    <w:rsid w:val="001A389C"/>
    <w:rsid w:val="001A3B75"/>
    <w:rsid w:val="001A42A3"/>
    <w:rsid w:val="001A46FB"/>
    <w:rsid w:val="001A4EC9"/>
    <w:rsid w:val="001A5944"/>
    <w:rsid w:val="001A5FB1"/>
    <w:rsid w:val="001A618F"/>
    <w:rsid w:val="001A698A"/>
    <w:rsid w:val="001A6CCC"/>
    <w:rsid w:val="001A6E3B"/>
    <w:rsid w:val="001A70C8"/>
    <w:rsid w:val="001A71C9"/>
    <w:rsid w:val="001A7360"/>
    <w:rsid w:val="001A7429"/>
    <w:rsid w:val="001A760C"/>
    <w:rsid w:val="001A76F0"/>
    <w:rsid w:val="001A7977"/>
    <w:rsid w:val="001A799B"/>
    <w:rsid w:val="001A7AC7"/>
    <w:rsid w:val="001A7C38"/>
    <w:rsid w:val="001B02F8"/>
    <w:rsid w:val="001B2104"/>
    <w:rsid w:val="001B2279"/>
    <w:rsid w:val="001B2729"/>
    <w:rsid w:val="001B2866"/>
    <w:rsid w:val="001B2881"/>
    <w:rsid w:val="001B2B73"/>
    <w:rsid w:val="001B3675"/>
    <w:rsid w:val="001B37C8"/>
    <w:rsid w:val="001B48BA"/>
    <w:rsid w:val="001B4B2C"/>
    <w:rsid w:val="001B4F10"/>
    <w:rsid w:val="001B5154"/>
    <w:rsid w:val="001B6E30"/>
    <w:rsid w:val="001B7C8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54"/>
    <w:rsid w:val="001C3308"/>
    <w:rsid w:val="001C3BBB"/>
    <w:rsid w:val="001C40D1"/>
    <w:rsid w:val="001C468A"/>
    <w:rsid w:val="001C4A38"/>
    <w:rsid w:val="001C4A9E"/>
    <w:rsid w:val="001C5001"/>
    <w:rsid w:val="001C5103"/>
    <w:rsid w:val="001C52A8"/>
    <w:rsid w:val="001C5ADF"/>
    <w:rsid w:val="001C5E8E"/>
    <w:rsid w:val="001C6120"/>
    <w:rsid w:val="001C6516"/>
    <w:rsid w:val="001C6B5C"/>
    <w:rsid w:val="001C7155"/>
    <w:rsid w:val="001C7E48"/>
    <w:rsid w:val="001D0190"/>
    <w:rsid w:val="001D039B"/>
    <w:rsid w:val="001D0849"/>
    <w:rsid w:val="001D1258"/>
    <w:rsid w:val="001D1AB8"/>
    <w:rsid w:val="001D26F5"/>
    <w:rsid w:val="001D286F"/>
    <w:rsid w:val="001D2C94"/>
    <w:rsid w:val="001D33D9"/>
    <w:rsid w:val="001D36F6"/>
    <w:rsid w:val="001D4303"/>
    <w:rsid w:val="001D45E5"/>
    <w:rsid w:val="001D461A"/>
    <w:rsid w:val="001D4A9D"/>
    <w:rsid w:val="001D4AAD"/>
    <w:rsid w:val="001D4E16"/>
    <w:rsid w:val="001D5AFA"/>
    <w:rsid w:val="001D652D"/>
    <w:rsid w:val="001D72D9"/>
    <w:rsid w:val="001D784A"/>
    <w:rsid w:val="001E04A4"/>
    <w:rsid w:val="001E07C5"/>
    <w:rsid w:val="001E0B45"/>
    <w:rsid w:val="001E176D"/>
    <w:rsid w:val="001E1BCE"/>
    <w:rsid w:val="001E1E05"/>
    <w:rsid w:val="001E2086"/>
    <w:rsid w:val="001E339F"/>
    <w:rsid w:val="001E3629"/>
    <w:rsid w:val="001E3E7D"/>
    <w:rsid w:val="001E40F0"/>
    <w:rsid w:val="001E4172"/>
    <w:rsid w:val="001E4F08"/>
    <w:rsid w:val="001E5490"/>
    <w:rsid w:val="001E5730"/>
    <w:rsid w:val="001E5E2E"/>
    <w:rsid w:val="001E6352"/>
    <w:rsid w:val="001E700A"/>
    <w:rsid w:val="001E70AD"/>
    <w:rsid w:val="001E7237"/>
    <w:rsid w:val="001E7AF6"/>
    <w:rsid w:val="001F01B8"/>
    <w:rsid w:val="001F0FC3"/>
    <w:rsid w:val="001F1188"/>
    <w:rsid w:val="001F1B8D"/>
    <w:rsid w:val="001F1C50"/>
    <w:rsid w:val="001F274F"/>
    <w:rsid w:val="001F289C"/>
    <w:rsid w:val="001F2BF9"/>
    <w:rsid w:val="001F3AF2"/>
    <w:rsid w:val="001F6008"/>
    <w:rsid w:val="001F604B"/>
    <w:rsid w:val="001F641B"/>
    <w:rsid w:val="001F6D4D"/>
    <w:rsid w:val="001F7CA7"/>
    <w:rsid w:val="0020125C"/>
    <w:rsid w:val="0020130D"/>
    <w:rsid w:val="00201916"/>
    <w:rsid w:val="00201D06"/>
    <w:rsid w:val="00201E9F"/>
    <w:rsid w:val="00202F25"/>
    <w:rsid w:val="002035B3"/>
    <w:rsid w:val="00203929"/>
    <w:rsid w:val="00203A67"/>
    <w:rsid w:val="00203CD6"/>
    <w:rsid w:val="00203D01"/>
    <w:rsid w:val="00204460"/>
    <w:rsid w:val="002051EA"/>
    <w:rsid w:val="00205CBC"/>
    <w:rsid w:val="00206259"/>
    <w:rsid w:val="002074B7"/>
    <w:rsid w:val="0020758D"/>
    <w:rsid w:val="00207C7B"/>
    <w:rsid w:val="00211470"/>
    <w:rsid w:val="00211922"/>
    <w:rsid w:val="0021213A"/>
    <w:rsid w:val="0021265F"/>
    <w:rsid w:val="00213232"/>
    <w:rsid w:val="00213817"/>
    <w:rsid w:val="00214428"/>
    <w:rsid w:val="002145EB"/>
    <w:rsid w:val="00214F82"/>
    <w:rsid w:val="00214FE7"/>
    <w:rsid w:val="00215033"/>
    <w:rsid w:val="00215834"/>
    <w:rsid w:val="00215CC2"/>
    <w:rsid w:val="00215D95"/>
    <w:rsid w:val="00215ED8"/>
    <w:rsid w:val="00215FAF"/>
    <w:rsid w:val="00217700"/>
    <w:rsid w:val="002177E2"/>
    <w:rsid w:val="0021783B"/>
    <w:rsid w:val="00217B43"/>
    <w:rsid w:val="002205F3"/>
    <w:rsid w:val="0022085B"/>
    <w:rsid w:val="00220E53"/>
    <w:rsid w:val="0022176C"/>
    <w:rsid w:val="002220BB"/>
    <w:rsid w:val="002225D1"/>
    <w:rsid w:val="002230FA"/>
    <w:rsid w:val="002232B9"/>
    <w:rsid w:val="0022375F"/>
    <w:rsid w:val="00223DF2"/>
    <w:rsid w:val="002249A2"/>
    <w:rsid w:val="00224C0C"/>
    <w:rsid w:val="002256C2"/>
    <w:rsid w:val="002256D0"/>
    <w:rsid w:val="00225C8E"/>
    <w:rsid w:val="00226428"/>
    <w:rsid w:val="002265A9"/>
    <w:rsid w:val="002266CB"/>
    <w:rsid w:val="00227052"/>
    <w:rsid w:val="002272D5"/>
    <w:rsid w:val="0022738E"/>
    <w:rsid w:val="00227906"/>
    <w:rsid w:val="00227934"/>
    <w:rsid w:val="00227E21"/>
    <w:rsid w:val="0023008A"/>
    <w:rsid w:val="00231D05"/>
    <w:rsid w:val="0023241A"/>
    <w:rsid w:val="002336E2"/>
    <w:rsid w:val="00233AC2"/>
    <w:rsid w:val="00233BAF"/>
    <w:rsid w:val="00233F80"/>
    <w:rsid w:val="0023423A"/>
    <w:rsid w:val="00235420"/>
    <w:rsid w:val="00235700"/>
    <w:rsid w:val="0023788D"/>
    <w:rsid w:val="00240422"/>
    <w:rsid w:val="0024065B"/>
    <w:rsid w:val="002409A6"/>
    <w:rsid w:val="00240C63"/>
    <w:rsid w:val="00240D91"/>
    <w:rsid w:val="00240EA5"/>
    <w:rsid w:val="00241132"/>
    <w:rsid w:val="00241205"/>
    <w:rsid w:val="002418C5"/>
    <w:rsid w:val="0024261D"/>
    <w:rsid w:val="00242712"/>
    <w:rsid w:val="00242DFB"/>
    <w:rsid w:val="00243807"/>
    <w:rsid w:val="002440AC"/>
    <w:rsid w:val="00244365"/>
    <w:rsid w:val="0024459A"/>
    <w:rsid w:val="002446A3"/>
    <w:rsid w:val="00244771"/>
    <w:rsid w:val="00244903"/>
    <w:rsid w:val="00244AFB"/>
    <w:rsid w:val="002453DF"/>
    <w:rsid w:val="00245A81"/>
    <w:rsid w:val="00245D60"/>
    <w:rsid w:val="002462A5"/>
    <w:rsid w:val="00246B86"/>
    <w:rsid w:val="00247335"/>
    <w:rsid w:val="002473EF"/>
    <w:rsid w:val="002477B9"/>
    <w:rsid w:val="00247B69"/>
    <w:rsid w:val="00247CBE"/>
    <w:rsid w:val="00250A1F"/>
    <w:rsid w:val="00250ADA"/>
    <w:rsid w:val="00250F1D"/>
    <w:rsid w:val="00251FF1"/>
    <w:rsid w:val="002520BA"/>
    <w:rsid w:val="00252234"/>
    <w:rsid w:val="002528E3"/>
    <w:rsid w:val="00252944"/>
    <w:rsid w:val="00252D55"/>
    <w:rsid w:val="00252D82"/>
    <w:rsid w:val="00253006"/>
    <w:rsid w:val="00253165"/>
    <w:rsid w:val="002531EA"/>
    <w:rsid w:val="002533F5"/>
    <w:rsid w:val="00253C60"/>
    <w:rsid w:val="00253F21"/>
    <w:rsid w:val="0025429D"/>
    <w:rsid w:val="002549E9"/>
    <w:rsid w:val="00254FF6"/>
    <w:rsid w:val="00255099"/>
    <w:rsid w:val="002555C6"/>
    <w:rsid w:val="0025597E"/>
    <w:rsid w:val="00255E14"/>
    <w:rsid w:val="00255E45"/>
    <w:rsid w:val="00255FF9"/>
    <w:rsid w:val="00257059"/>
    <w:rsid w:val="0025712F"/>
    <w:rsid w:val="00257395"/>
    <w:rsid w:val="00257857"/>
    <w:rsid w:val="002578DA"/>
    <w:rsid w:val="00257CBC"/>
    <w:rsid w:val="002602C2"/>
    <w:rsid w:val="002602DA"/>
    <w:rsid w:val="0026040B"/>
    <w:rsid w:val="002604F2"/>
    <w:rsid w:val="00260802"/>
    <w:rsid w:val="002609E3"/>
    <w:rsid w:val="00261223"/>
    <w:rsid w:val="002617AB"/>
    <w:rsid w:val="00261D08"/>
    <w:rsid w:val="00261DCC"/>
    <w:rsid w:val="002624D0"/>
    <w:rsid w:val="00263EC7"/>
    <w:rsid w:val="0026491B"/>
    <w:rsid w:val="00264A36"/>
    <w:rsid w:val="00264B06"/>
    <w:rsid w:val="00264C1B"/>
    <w:rsid w:val="002657FB"/>
    <w:rsid w:val="00265D10"/>
    <w:rsid w:val="00265E2E"/>
    <w:rsid w:val="002661AB"/>
    <w:rsid w:val="0026742B"/>
    <w:rsid w:val="002674FE"/>
    <w:rsid w:val="00267E59"/>
    <w:rsid w:val="002702F6"/>
    <w:rsid w:val="00270748"/>
    <w:rsid w:val="00270CAB"/>
    <w:rsid w:val="0027117F"/>
    <w:rsid w:val="002712DC"/>
    <w:rsid w:val="00271875"/>
    <w:rsid w:val="002718FF"/>
    <w:rsid w:val="00271955"/>
    <w:rsid w:val="00272278"/>
    <w:rsid w:val="00272432"/>
    <w:rsid w:val="00272633"/>
    <w:rsid w:val="00272D36"/>
    <w:rsid w:val="00272E48"/>
    <w:rsid w:val="00272FBF"/>
    <w:rsid w:val="00273A10"/>
    <w:rsid w:val="00273A58"/>
    <w:rsid w:val="00274C6E"/>
    <w:rsid w:val="00274CAB"/>
    <w:rsid w:val="00274E8A"/>
    <w:rsid w:val="002755A8"/>
    <w:rsid w:val="00275E2D"/>
    <w:rsid w:val="00275FCE"/>
    <w:rsid w:val="002766B8"/>
    <w:rsid w:val="0027680F"/>
    <w:rsid w:val="002777C0"/>
    <w:rsid w:val="0028076D"/>
    <w:rsid w:val="00281006"/>
    <w:rsid w:val="002815B1"/>
    <w:rsid w:val="00281893"/>
    <w:rsid w:val="00281C1F"/>
    <w:rsid w:val="00281EEA"/>
    <w:rsid w:val="00281F88"/>
    <w:rsid w:val="0028240D"/>
    <w:rsid w:val="0028288D"/>
    <w:rsid w:val="002829B7"/>
    <w:rsid w:val="00282B82"/>
    <w:rsid w:val="00282C74"/>
    <w:rsid w:val="00282E5B"/>
    <w:rsid w:val="00283995"/>
    <w:rsid w:val="00283B11"/>
    <w:rsid w:val="002841A9"/>
    <w:rsid w:val="00284313"/>
    <w:rsid w:val="00284554"/>
    <w:rsid w:val="002848AD"/>
    <w:rsid w:val="00284DE4"/>
    <w:rsid w:val="00285154"/>
    <w:rsid w:val="00285BF2"/>
    <w:rsid w:val="00285C78"/>
    <w:rsid w:val="002863CE"/>
    <w:rsid w:val="00287E20"/>
    <w:rsid w:val="0029110F"/>
    <w:rsid w:val="00291492"/>
    <w:rsid w:val="00291527"/>
    <w:rsid w:val="002916B4"/>
    <w:rsid w:val="0029199A"/>
    <w:rsid w:val="00291BBE"/>
    <w:rsid w:val="00291FEB"/>
    <w:rsid w:val="00293146"/>
    <w:rsid w:val="0029361E"/>
    <w:rsid w:val="00293D68"/>
    <w:rsid w:val="0029408A"/>
    <w:rsid w:val="00294352"/>
    <w:rsid w:val="002944A0"/>
    <w:rsid w:val="002946E4"/>
    <w:rsid w:val="0029495C"/>
    <w:rsid w:val="002957D9"/>
    <w:rsid w:val="00295B52"/>
    <w:rsid w:val="00296024"/>
    <w:rsid w:val="00296293"/>
    <w:rsid w:val="002969C7"/>
    <w:rsid w:val="00296AF7"/>
    <w:rsid w:val="00297021"/>
    <w:rsid w:val="002972F9"/>
    <w:rsid w:val="00297612"/>
    <w:rsid w:val="002977CA"/>
    <w:rsid w:val="00297ED7"/>
    <w:rsid w:val="002A0007"/>
    <w:rsid w:val="002A03AA"/>
    <w:rsid w:val="002A056D"/>
    <w:rsid w:val="002A07FE"/>
    <w:rsid w:val="002A094D"/>
    <w:rsid w:val="002A0CAF"/>
    <w:rsid w:val="002A0DDB"/>
    <w:rsid w:val="002A1565"/>
    <w:rsid w:val="002A16A9"/>
    <w:rsid w:val="002A2941"/>
    <w:rsid w:val="002A2DC4"/>
    <w:rsid w:val="002A3E69"/>
    <w:rsid w:val="002A44F9"/>
    <w:rsid w:val="002A4946"/>
    <w:rsid w:val="002A49EF"/>
    <w:rsid w:val="002A4B8B"/>
    <w:rsid w:val="002A5107"/>
    <w:rsid w:val="002A535E"/>
    <w:rsid w:val="002A5DBD"/>
    <w:rsid w:val="002A6406"/>
    <w:rsid w:val="002A6432"/>
    <w:rsid w:val="002A6CF0"/>
    <w:rsid w:val="002A6FFC"/>
    <w:rsid w:val="002A7010"/>
    <w:rsid w:val="002A70BA"/>
    <w:rsid w:val="002A7A57"/>
    <w:rsid w:val="002A7BB2"/>
    <w:rsid w:val="002A7CC1"/>
    <w:rsid w:val="002A7DCB"/>
    <w:rsid w:val="002B0685"/>
    <w:rsid w:val="002B0B53"/>
    <w:rsid w:val="002B1617"/>
    <w:rsid w:val="002B1A90"/>
    <w:rsid w:val="002B1D11"/>
    <w:rsid w:val="002B273B"/>
    <w:rsid w:val="002B29AA"/>
    <w:rsid w:val="002B2A7E"/>
    <w:rsid w:val="002B2F1B"/>
    <w:rsid w:val="002B3332"/>
    <w:rsid w:val="002B34C7"/>
    <w:rsid w:val="002B3F25"/>
    <w:rsid w:val="002B5AFB"/>
    <w:rsid w:val="002B6320"/>
    <w:rsid w:val="002B66AC"/>
    <w:rsid w:val="002B6852"/>
    <w:rsid w:val="002B74EF"/>
    <w:rsid w:val="002B77E1"/>
    <w:rsid w:val="002C0656"/>
    <w:rsid w:val="002C0714"/>
    <w:rsid w:val="002C0A96"/>
    <w:rsid w:val="002C13C6"/>
    <w:rsid w:val="002C1BF4"/>
    <w:rsid w:val="002C1E0D"/>
    <w:rsid w:val="002C2266"/>
    <w:rsid w:val="002C2356"/>
    <w:rsid w:val="002C238F"/>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131"/>
    <w:rsid w:val="002D12FB"/>
    <w:rsid w:val="002D19D1"/>
    <w:rsid w:val="002D1F35"/>
    <w:rsid w:val="002D1FA3"/>
    <w:rsid w:val="002D20CD"/>
    <w:rsid w:val="002D23C6"/>
    <w:rsid w:val="002D24F0"/>
    <w:rsid w:val="002D25EB"/>
    <w:rsid w:val="002D29F3"/>
    <w:rsid w:val="002D3126"/>
    <w:rsid w:val="002D3529"/>
    <w:rsid w:val="002D3D0A"/>
    <w:rsid w:val="002D3EF0"/>
    <w:rsid w:val="002D478E"/>
    <w:rsid w:val="002D47AE"/>
    <w:rsid w:val="002D4A94"/>
    <w:rsid w:val="002D4AFE"/>
    <w:rsid w:val="002D65FF"/>
    <w:rsid w:val="002D6D10"/>
    <w:rsid w:val="002D71E2"/>
    <w:rsid w:val="002D7B6A"/>
    <w:rsid w:val="002E0026"/>
    <w:rsid w:val="002E08E8"/>
    <w:rsid w:val="002E0918"/>
    <w:rsid w:val="002E0BAA"/>
    <w:rsid w:val="002E0D96"/>
    <w:rsid w:val="002E0EA5"/>
    <w:rsid w:val="002E0F1C"/>
    <w:rsid w:val="002E1E19"/>
    <w:rsid w:val="002E1FAC"/>
    <w:rsid w:val="002E283F"/>
    <w:rsid w:val="002E2854"/>
    <w:rsid w:val="002E2E74"/>
    <w:rsid w:val="002E32D2"/>
    <w:rsid w:val="002E361B"/>
    <w:rsid w:val="002E37AB"/>
    <w:rsid w:val="002E3A80"/>
    <w:rsid w:val="002E41C7"/>
    <w:rsid w:val="002E51DF"/>
    <w:rsid w:val="002E57B9"/>
    <w:rsid w:val="002E6127"/>
    <w:rsid w:val="002E6885"/>
    <w:rsid w:val="002E72E4"/>
    <w:rsid w:val="002E739D"/>
    <w:rsid w:val="002F0F36"/>
    <w:rsid w:val="002F1276"/>
    <w:rsid w:val="002F1986"/>
    <w:rsid w:val="002F1E5F"/>
    <w:rsid w:val="002F2A49"/>
    <w:rsid w:val="002F3550"/>
    <w:rsid w:val="002F3B63"/>
    <w:rsid w:val="002F3C56"/>
    <w:rsid w:val="002F4271"/>
    <w:rsid w:val="002F46B0"/>
    <w:rsid w:val="002F4B17"/>
    <w:rsid w:val="002F5150"/>
    <w:rsid w:val="002F5463"/>
    <w:rsid w:val="002F58C2"/>
    <w:rsid w:val="002F5932"/>
    <w:rsid w:val="002F5C85"/>
    <w:rsid w:val="002F603B"/>
    <w:rsid w:val="002F6201"/>
    <w:rsid w:val="002F6493"/>
    <w:rsid w:val="002F724B"/>
    <w:rsid w:val="002F72BA"/>
    <w:rsid w:val="00300267"/>
    <w:rsid w:val="003004D2"/>
    <w:rsid w:val="00300D6B"/>
    <w:rsid w:val="00301380"/>
    <w:rsid w:val="00301D6A"/>
    <w:rsid w:val="00301E89"/>
    <w:rsid w:val="00302052"/>
    <w:rsid w:val="00302142"/>
    <w:rsid w:val="00302169"/>
    <w:rsid w:val="00302612"/>
    <w:rsid w:val="00303254"/>
    <w:rsid w:val="003044D9"/>
    <w:rsid w:val="00304D8A"/>
    <w:rsid w:val="00305216"/>
    <w:rsid w:val="0030555B"/>
    <w:rsid w:val="003061F5"/>
    <w:rsid w:val="00306A49"/>
    <w:rsid w:val="00306D27"/>
    <w:rsid w:val="0030739C"/>
    <w:rsid w:val="00310D51"/>
    <w:rsid w:val="003119C3"/>
    <w:rsid w:val="00311B36"/>
    <w:rsid w:val="00311C92"/>
    <w:rsid w:val="00313109"/>
    <w:rsid w:val="00313321"/>
    <w:rsid w:val="003133AE"/>
    <w:rsid w:val="0031371B"/>
    <w:rsid w:val="00314156"/>
    <w:rsid w:val="00314CF8"/>
    <w:rsid w:val="0031535B"/>
    <w:rsid w:val="003154DD"/>
    <w:rsid w:val="00316F76"/>
    <w:rsid w:val="003170F4"/>
    <w:rsid w:val="0032035D"/>
    <w:rsid w:val="003205E9"/>
    <w:rsid w:val="00320B28"/>
    <w:rsid w:val="0032123E"/>
    <w:rsid w:val="003216D5"/>
    <w:rsid w:val="003216FF"/>
    <w:rsid w:val="00321866"/>
    <w:rsid w:val="00321A83"/>
    <w:rsid w:val="00321C1A"/>
    <w:rsid w:val="00321F6B"/>
    <w:rsid w:val="00322389"/>
    <w:rsid w:val="003223CA"/>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638F"/>
    <w:rsid w:val="003263EA"/>
    <w:rsid w:val="00326B59"/>
    <w:rsid w:val="00326BD4"/>
    <w:rsid w:val="003272C6"/>
    <w:rsid w:val="00327752"/>
    <w:rsid w:val="00327C7C"/>
    <w:rsid w:val="00330009"/>
    <w:rsid w:val="003301E6"/>
    <w:rsid w:val="0033098F"/>
    <w:rsid w:val="003310AB"/>
    <w:rsid w:val="003314D2"/>
    <w:rsid w:val="00331712"/>
    <w:rsid w:val="00331A3F"/>
    <w:rsid w:val="00332191"/>
    <w:rsid w:val="00332720"/>
    <w:rsid w:val="0033289F"/>
    <w:rsid w:val="00332EED"/>
    <w:rsid w:val="003334A7"/>
    <w:rsid w:val="003337E8"/>
    <w:rsid w:val="00333A14"/>
    <w:rsid w:val="00333B2A"/>
    <w:rsid w:val="00333FD5"/>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2B37"/>
    <w:rsid w:val="00343560"/>
    <w:rsid w:val="00343A20"/>
    <w:rsid w:val="0034402B"/>
    <w:rsid w:val="0034449E"/>
    <w:rsid w:val="003449F4"/>
    <w:rsid w:val="00344D46"/>
    <w:rsid w:val="00345337"/>
    <w:rsid w:val="003465A5"/>
    <w:rsid w:val="00346817"/>
    <w:rsid w:val="00347440"/>
    <w:rsid w:val="003475EA"/>
    <w:rsid w:val="00347A27"/>
    <w:rsid w:val="00347CD4"/>
    <w:rsid w:val="00347E2E"/>
    <w:rsid w:val="00350A55"/>
    <w:rsid w:val="00350DF8"/>
    <w:rsid w:val="00351A8A"/>
    <w:rsid w:val="0035266A"/>
    <w:rsid w:val="0035279C"/>
    <w:rsid w:val="003535D2"/>
    <w:rsid w:val="0035384D"/>
    <w:rsid w:val="00353C0B"/>
    <w:rsid w:val="00354472"/>
    <w:rsid w:val="00354AE4"/>
    <w:rsid w:val="00354B0A"/>
    <w:rsid w:val="0035551B"/>
    <w:rsid w:val="003555ED"/>
    <w:rsid w:val="00355911"/>
    <w:rsid w:val="00355BFC"/>
    <w:rsid w:val="0035636B"/>
    <w:rsid w:val="003564CC"/>
    <w:rsid w:val="00357424"/>
    <w:rsid w:val="00357BE9"/>
    <w:rsid w:val="003601A2"/>
    <w:rsid w:val="003607C7"/>
    <w:rsid w:val="00361789"/>
    <w:rsid w:val="0036196D"/>
    <w:rsid w:val="00361A59"/>
    <w:rsid w:val="00362136"/>
    <w:rsid w:val="003627BD"/>
    <w:rsid w:val="00362997"/>
    <w:rsid w:val="00362C59"/>
    <w:rsid w:val="00363040"/>
    <w:rsid w:val="003630B7"/>
    <w:rsid w:val="00363728"/>
    <w:rsid w:val="00363786"/>
    <w:rsid w:val="003638A4"/>
    <w:rsid w:val="003639BF"/>
    <w:rsid w:val="00363E41"/>
    <w:rsid w:val="00363FD2"/>
    <w:rsid w:val="00364653"/>
    <w:rsid w:val="00364ECA"/>
    <w:rsid w:val="0036572E"/>
    <w:rsid w:val="00366168"/>
    <w:rsid w:val="003663D9"/>
    <w:rsid w:val="003666BF"/>
    <w:rsid w:val="00366707"/>
    <w:rsid w:val="00366FA9"/>
    <w:rsid w:val="00367B19"/>
    <w:rsid w:val="00367E49"/>
    <w:rsid w:val="003700E6"/>
    <w:rsid w:val="0037017C"/>
    <w:rsid w:val="00370490"/>
    <w:rsid w:val="00371C86"/>
    <w:rsid w:val="0037236C"/>
    <w:rsid w:val="003729DE"/>
    <w:rsid w:val="00372EA2"/>
    <w:rsid w:val="003735D3"/>
    <w:rsid w:val="0037386D"/>
    <w:rsid w:val="00373956"/>
    <w:rsid w:val="00374153"/>
    <w:rsid w:val="00374671"/>
    <w:rsid w:val="003750E0"/>
    <w:rsid w:val="00375AF1"/>
    <w:rsid w:val="00375C2F"/>
    <w:rsid w:val="00375FC5"/>
    <w:rsid w:val="003769BA"/>
    <w:rsid w:val="00377871"/>
    <w:rsid w:val="003778B2"/>
    <w:rsid w:val="00377E58"/>
    <w:rsid w:val="003805E3"/>
    <w:rsid w:val="00380618"/>
    <w:rsid w:val="0038062E"/>
    <w:rsid w:val="003806D7"/>
    <w:rsid w:val="003807F7"/>
    <w:rsid w:val="00381610"/>
    <w:rsid w:val="00381C9E"/>
    <w:rsid w:val="00381CA8"/>
    <w:rsid w:val="00382106"/>
    <w:rsid w:val="00382657"/>
    <w:rsid w:val="00382708"/>
    <w:rsid w:val="00382B82"/>
    <w:rsid w:val="003844BF"/>
    <w:rsid w:val="003854D5"/>
    <w:rsid w:val="0038552A"/>
    <w:rsid w:val="003859EA"/>
    <w:rsid w:val="0038709E"/>
    <w:rsid w:val="00387D30"/>
    <w:rsid w:val="00390DF3"/>
    <w:rsid w:val="00391753"/>
    <w:rsid w:val="00391C7F"/>
    <w:rsid w:val="00392454"/>
    <w:rsid w:val="00392C85"/>
    <w:rsid w:val="00392FD8"/>
    <w:rsid w:val="00393E11"/>
    <w:rsid w:val="00394475"/>
    <w:rsid w:val="0039517A"/>
    <w:rsid w:val="003954FE"/>
    <w:rsid w:val="00395B51"/>
    <w:rsid w:val="00396796"/>
    <w:rsid w:val="00396EC6"/>
    <w:rsid w:val="003970BA"/>
    <w:rsid w:val="0039746C"/>
    <w:rsid w:val="00397DC6"/>
    <w:rsid w:val="003A0E82"/>
    <w:rsid w:val="003A0FAC"/>
    <w:rsid w:val="003A184D"/>
    <w:rsid w:val="003A1FB7"/>
    <w:rsid w:val="003A2773"/>
    <w:rsid w:val="003A371E"/>
    <w:rsid w:val="003A3957"/>
    <w:rsid w:val="003A3E29"/>
    <w:rsid w:val="003A439B"/>
    <w:rsid w:val="003A462A"/>
    <w:rsid w:val="003A595F"/>
    <w:rsid w:val="003A5EEC"/>
    <w:rsid w:val="003A6B7A"/>
    <w:rsid w:val="003A748F"/>
    <w:rsid w:val="003A79AE"/>
    <w:rsid w:val="003A7CA3"/>
    <w:rsid w:val="003B00B6"/>
    <w:rsid w:val="003B01C4"/>
    <w:rsid w:val="003B0BB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F6A"/>
    <w:rsid w:val="003B6B7F"/>
    <w:rsid w:val="003B7820"/>
    <w:rsid w:val="003C01A4"/>
    <w:rsid w:val="003C0219"/>
    <w:rsid w:val="003C0941"/>
    <w:rsid w:val="003C0C12"/>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4F4"/>
    <w:rsid w:val="003C6D4E"/>
    <w:rsid w:val="003C724B"/>
    <w:rsid w:val="003C73DB"/>
    <w:rsid w:val="003D0185"/>
    <w:rsid w:val="003D02CB"/>
    <w:rsid w:val="003D0382"/>
    <w:rsid w:val="003D069C"/>
    <w:rsid w:val="003D18F6"/>
    <w:rsid w:val="003D191E"/>
    <w:rsid w:val="003D1A19"/>
    <w:rsid w:val="003D2027"/>
    <w:rsid w:val="003D22A5"/>
    <w:rsid w:val="003D23A4"/>
    <w:rsid w:val="003D3414"/>
    <w:rsid w:val="003D3426"/>
    <w:rsid w:val="003D3654"/>
    <w:rsid w:val="003D3721"/>
    <w:rsid w:val="003D413A"/>
    <w:rsid w:val="003D6722"/>
    <w:rsid w:val="003D7428"/>
    <w:rsid w:val="003D77F2"/>
    <w:rsid w:val="003D78CC"/>
    <w:rsid w:val="003D7D01"/>
    <w:rsid w:val="003D7ED8"/>
    <w:rsid w:val="003E0003"/>
    <w:rsid w:val="003E0099"/>
    <w:rsid w:val="003E08C7"/>
    <w:rsid w:val="003E122B"/>
    <w:rsid w:val="003E1427"/>
    <w:rsid w:val="003E1A72"/>
    <w:rsid w:val="003E27B8"/>
    <w:rsid w:val="003E2880"/>
    <w:rsid w:val="003E28FB"/>
    <w:rsid w:val="003E2A00"/>
    <w:rsid w:val="003E382C"/>
    <w:rsid w:val="003E3D00"/>
    <w:rsid w:val="003E4487"/>
    <w:rsid w:val="003E4531"/>
    <w:rsid w:val="003E4771"/>
    <w:rsid w:val="003E52E3"/>
    <w:rsid w:val="003E541C"/>
    <w:rsid w:val="003E54A8"/>
    <w:rsid w:val="003E5833"/>
    <w:rsid w:val="003E5DA8"/>
    <w:rsid w:val="003E7109"/>
    <w:rsid w:val="003E77DC"/>
    <w:rsid w:val="003E7BC1"/>
    <w:rsid w:val="003F0453"/>
    <w:rsid w:val="003F0C9F"/>
    <w:rsid w:val="003F144A"/>
    <w:rsid w:val="003F1B02"/>
    <w:rsid w:val="003F1EFE"/>
    <w:rsid w:val="003F2240"/>
    <w:rsid w:val="003F2460"/>
    <w:rsid w:val="003F2E7B"/>
    <w:rsid w:val="003F3CD5"/>
    <w:rsid w:val="003F4473"/>
    <w:rsid w:val="003F4CF5"/>
    <w:rsid w:val="003F4E31"/>
    <w:rsid w:val="003F51EE"/>
    <w:rsid w:val="003F574E"/>
    <w:rsid w:val="003F60D6"/>
    <w:rsid w:val="003F68E9"/>
    <w:rsid w:val="003F728C"/>
    <w:rsid w:val="003F7E15"/>
    <w:rsid w:val="003F7FDA"/>
    <w:rsid w:val="00400E65"/>
    <w:rsid w:val="004013AD"/>
    <w:rsid w:val="00401BCA"/>
    <w:rsid w:val="00401E20"/>
    <w:rsid w:val="004021C0"/>
    <w:rsid w:val="004024F9"/>
    <w:rsid w:val="004028CE"/>
    <w:rsid w:val="0040313D"/>
    <w:rsid w:val="004043FA"/>
    <w:rsid w:val="00404970"/>
    <w:rsid w:val="00405181"/>
    <w:rsid w:val="0040567F"/>
    <w:rsid w:val="00405727"/>
    <w:rsid w:val="00405873"/>
    <w:rsid w:val="00405F09"/>
    <w:rsid w:val="004066F4"/>
    <w:rsid w:val="00406A32"/>
    <w:rsid w:val="0040760B"/>
    <w:rsid w:val="00410117"/>
    <w:rsid w:val="00410C3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D45"/>
    <w:rsid w:val="00414197"/>
    <w:rsid w:val="004144D7"/>
    <w:rsid w:val="00414D68"/>
    <w:rsid w:val="00414FD9"/>
    <w:rsid w:val="00415773"/>
    <w:rsid w:val="00415CAE"/>
    <w:rsid w:val="00415EE7"/>
    <w:rsid w:val="00415FD6"/>
    <w:rsid w:val="004160FA"/>
    <w:rsid w:val="0041669E"/>
    <w:rsid w:val="00416ACA"/>
    <w:rsid w:val="00416C56"/>
    <w:rsid w:val="00417294"/>
    <w:rsid w:val="004176B8"/>
    <w:rsid w:val="00417B99"/>
    <w:rsid w:val="00417CE0"/>
    <w:rsid w:val="004209D5"/>
    <w:rsid w:val="00420FAF"/>
    <w:rsid w:val="00421184"/>
    <w:rsid w:val="004212C1"/>
    <w:rsid w:val="004214B7"/>
    <w:rsid w:val="00421510"/>
    <w:rsid w:val="00421892"/>
    <w:rsid w:val="00421FB5"/>
    <w:rsid w:val="004226ED"/>
    <w:rsid w:val="00422AF4"/>
    <w:rsid w:val="004235F4"/>
    <w:rsid w:val="004236C9"/>
    <w:rsid w:val="00423CF3"/>
    <w:rsid w:val="00423E18"/>
    <w:rsid w:val="004245E4"/>
    <w:rsid w:val="00424B7C"/>
    <w:rsid w:val="0042500C"/>
    <w:rsid w:val="00425514"/>
    <w:rsid w:val="004256BD"/>
    <w:rsid w:val="00425863"/>
    <w:rsid w:val="00425D02"/>
    <w:rsid w:val="00425D12"/>
    <w:rsid w:val="00425EDC"/>
    <w:rsid w:val="00426C3E"/>
    <w:rsid w:val="00426CF3"/>
    <w:rsid w:val="004275CD"/>
    <w:rsid w:val="00427E74"/>
    <w:rsid w:val="00427FEB"/>
    <w:rsid w:val="00427FF2"/>
    <w:rsid w:val="004305C0"/>
    <w:rsid w:val="00430B20"/>
    <w:rsid w:val="00430B6C"/>
    <w:rsid w:val="0043227C"/>
    <w:rsid w:val="004330B1"/>
    <w:rsid w:val="004335C0"/>
    <w:rsid w:val="00433B34"/>
    <w:rsid w:val="00435121"/>
    <w:rsid w:val="00435715"/>
    <w:rsid w:val="0043571B"/>
    <w:rsid w:val="00435EE0"/>
    <w:rsid w:val="00435F29"/>
    <w:rsid w:val="0043610C"/>
    <w:rsid w:val="004366FF"/>
    <w:rsid w:val="00437D83"/>
    <w:rsid w:val="004401DD"/>
    <w:rsid w:val="00440344"/>
    <w:rsid w:val="00441264"/>
    <w:rsid w:val="00441B0F"/>
    <w:rsid w:val="00441F06"/>
    <w:rsid w:val="004425C6"/>
    <w:rsid w:val="00443D5D"/>
    <w:rsid w:val="00445CBA"/>
    <w:rsid w:val="004463CB"/>
    <w:rsid w:val="004466F7"/>
    <w:rsid w:val="00446858"/>
    <w:rsid w:val="00447304"/>
    <w:rsid w:val="004476F6"/>
    <w:rsid w:val="00447CDD"/>
    <w:rsid w:val="00450127"/>
    <w:rsid w:val="0045075F"/>
    <w:rsid w:val="004516AD"/>
    <w:rsid w:val="00451E84"/>
    <w:rsid w:val="00451EA3"/>
    <w:rsid w:val="00451F01"/>
    <w:rsid w:val="00454660"/>
    <w:rsid w:val="004546A7"/>
    <w:rsid w:val="00454831"/>
    <w:rsid w:val="004548DF"/>
    <w:rsid w:val="00456CC0"/>
    <w:rsid w:val="00457933"/>
    <w:rsid w:val="00457C78"/>
    <w:rsid w:val="0046068D"/>
    <w:rsid w:val="00460735"/>
    <w:rsid w:val="00460AD5"/>
    <w:rsid w:val="00460EB8"/>
    <w:rsid w:val="00461090"/>
    <w:rsid w:val="00461991"/>
    <w:rsid w:val="00461ACB"/>
    <w:rsid w:val="00461C43"/>
    <w:rsid w:val="00462125"/>
    <w:rsid w:val="00463216"/>
    <w:rsid w:val="0046334D"/>
    <w:rsid w:val="00463911"/>
    <w:rsid w:val="00463C95"/>
    <w:rsid w:val="00463E1C"/>
    <w:rsid w:val="00464052"/>
    <w:rsid w:val="00465153"/>
    <w:rsid w:val="00465602"/>
    <w:rsid w:val="004656A4"/>
    <w:rsid w:val="00466A4A"/>
    <w:rsid w:val="00466AFD"/>
    <w:rsid w:val="00470696"/>
    <w:rsid w:val="004713A5"/>
    <w:rsid w:val="0047162F"/>
    <w:rsid w:val="00472177"/>
    <w:rsid w:val="00472234"/>
    <w:rsid w:val="004724C9"/>
    <w:rsid w:val="00472585"/>
    <w:rsid w:val="0047273D"/>
    <w:rsid w:val="004730D9"/>
    <w:rsid w:val="00474130"/>
    <w:rsid w:val="00474EDD"/>
    <w:rsid w:val="00475A6C"/>
    <w:rsid w:val="004764AF"/>
    <w:rsid w:val="00476D04"/>
    <w:rsid w:val="00476F58"/>
    <w:rsid w:val="0047775E"/>
    <w:rsid w:val="00477AAE"/>
    <w:rsid w:val="00477AF6"/>
    <w:rsid w:val="00477B3B"/>
    <w:rsid w:val="00477BCB"/>
    <w:rsid w:val="004801A7"/>
    <w:rsid w:val="00480E47"/>
    <w:rsid w:val="00481666"/>
    <w:rsid w:val="0048181B"/>
    <w:rsid w:val="00481F2B"/>
    <w:rsid w:val="004820C5"/>
    <w:rsid w:val="00482198"/>
    <w:rsid w:val="004823D8"/>
    <w:rsid w:val="00482F20"/>
    <w:rsid w:val="00483196"/>
    <w:rsid w:val="0048340F"/>
    <w:rsid w:val="0048423C"/>
    <w:rsid w:val="00484449"/>
    <w:rsid w:val="004852CE"/>
    <w:rsid w:val="0048540C"/>
    <w:rsid w:val="00485F92"/>
    <w:rsid w:val="004860BD"/>
    <w:rsid w:val="004866E1"/>
    <w:rsid w:val="00486C72"/>
    <w:rsid w:val="00487D3A"/>
    <w:rsid w:val="00490954"/>
    <w:rsid w:val="0049102F"/>
    <w:rsid w:val="0049277A"/>
    <w:rsid w:val="00492B38"/>
    <w:rsid w:val="00492FE4"/>
    <w:rsid w:val="00493035"/>
    <w:rsid w:val="0049330F"/>
    <w:rsid w:val="00493321"/>
    <w:rsid w:val="004936DE"/>
    <w:rsid w:val="004949B0"/>
    <w:rsid w:val="00494A50"/>
    <w:rsid w:val="0049544E"/>
    <w:rsid w:val="00495670"/>
    <w:rsid w:val="0049567B"/>
    <w:rsid w:val="0049604B"/>
    <w:rsid w:val="00496666"/>
    <w:rsid w:val="00496AC9"/>
    <w:rsid w:val="004A040E"/>
    <w:rsid w:val="004A042D"/>
    <w:rsid w:val="004A11E0"/>
    <w:rsid w:val="004A1953"/>
    <w:rsid w:val="004A1FC5"/>
    <w:rsid w:val="004A2158"/>
    <w:rsid w:val="004A29A5"/>
    <w:rsid w:val="004A3225"/>
    <w:rsid w:val="004A374A"/>
    <w:rsid w:val="004A395B"/>
    <w:rsid w:val="004A3C59"/>
    <w:rsid w:val="004A3FE2"/>
    <w:rsid w:val="004A4195"/>
    <w:rsid w:val="004A480D"/>
    <w:rsid w:val="004A4D76"/>
    <w:rsid w:val="004A5851"/>
    <w:rsid w:val="004A5A91"/>
    <w:rsid w:val="004A5B0F"/>
    <w:rsid w:val="004A5CF1"/>
    <w:rsid w:val="004A6363"/>
    <w:rsid w:val="004A66E0"/>
    <w:rsid w:val="004A7AAE"/>
    <w:rsid w:val="004A7D49"/>
    <w:rsid w:val="004A7E52"/>
    <w:rsid w:val="004A7F21"/>
    <w:rsid w:val="004B08DB"/>
    <w:rsid w:val="004B1422"/>
    <w:rsid w:val="004B1DF2"/>
    <w:rsid w:val="004B24EB"/>
    <w:rsid w:val="004B29AC"/>
    <w:rsid w:val="004B3C8B"/>
    <w:rsid w:val="004B44A9"/>
    <w:rsid w:val="004B4509"/>
    <w:rsid w:val="004B452A"/>
    <w:rsid w:val="004B4871"/>
    <w:rsid w:val="004B4ADF"/>
    <w:rsid w:val="004B4C00"/>
    <w:rsid w:val="004B4E06"/>
    <w:rsid w:val="004B5493"/>
    <w:rsid w:val="004B5914"/>
    <w:rsid w:val="004B6C77"/>
    <w:rsid w:val="004B6D0A"/>
    <w:rsid w:val="004B6DA4"/>
    <w:rsid w:val="004B794C"/>
    <w:rsid w:val="004B7995"/>
    <w:rsid w:val="004C02B3"/>
    <w:rsid w:val="004C098E"/>
    <w:rsid w:val="004C0BBE"/>
    <w:rsid w:val="004C0E2F"/>
    <w:rsid w:val="004C1463"/>
    <w:rsid w:val="004C1705"/>
    <w:rsid w:val="004C222E"/>
    <w:rsid w:val="004C2561"/>
    <w:rsid w:val="004C25B4"/>
    <w:rsid w:val="004C2806"/>
    <w:rsid w:val="004C3A7A"/>
    <w:rsid w:val="004C3ADD"/>
    <w:rsid w:val="004C428E"/>
    <w:rsid w:val="004C441A"/>
    <w:rsid w:val="004C4775"/>
    <w:rsid w:val="004C483D"/>
    <w:rsid w:val="004C48A9"/>
    <w:rsid w:val="004C4924"/>
    <w:rsid w:val="004C49B3"/>
    <w:rsid w:val="004C4D05"/>
    <w:rsid w:val="004C4FF6"/>
    <w:rsid w:val="004C590B"/>
    <w:rsid w:val="004C6017"/>
    <w:rsid w:val="004C63C7"/>
    <w:rsid w:val="004C6D39"/>
    <w:rsid w:val="004C6D98"/>
    <w:rsid w:val="004C7217"/>
    <w:rsid w:val="004C7743"/>
    <w:rsid w:val="004C77A7"/>
    <w:rsid w:val="004D039E"/>
    <w:rsid w:val="004D04A3"/>
    <w:rsid w:val="004D0C9F"/>
    <w:rsid w:val="004D15FD"/>
    <w:rsid w:val="004D1A0A"/>
    <w:rsid w:val="004D2369"/>
    <w:rsid w:val="004D2485"/>
    <w:rsid w:val="004D25D5"/>
    <w:rsid w:val="004D292A"/>
    <w:rsid w:val="004D3A57"/>
    <w:rsid w:val="004D47FF"/>
    <w:rsid w:val="004D4D35"/>
    <w:rsid w:val="004D518F"/>
    <w:rsid w:val="004D54D7"/>
    <w:rsid w:val="004D5BB7"/>
    <w:rsid w:val="004D6053"/>
    <w:rsid w:val="004D6FA4"/>
    <w:rsid w:val="004D7C23"/>
    <w:rsid w:val="004E01C6"/>
    <w:rsid w:val="004E0212"/>
    <w:rsid w:val="004E0ADC"/>
    <w:rsid w:val="004E0FB1"/>
    <w:rsid w:val="004E1043"/>
    <w:rsid w:val="004E1DCA"/>
    <w:rsid w:val="004E21B4"/>
    <w:rsid w:val="004E252B"/>
    <w:rsid w:val="004E2861"/>
    <w:rsid w:val="004E2A85"/>
    <w:rsid w:val="004E3F72"/>
    <w:rsid w:val="004E4A78"/>
    <w:rsid w:val="004E551E"/>
    <w:rsid w:val="004E584D"/>
    <w:rsid w:val="004E58F6"/>
    <w:rsid w:val="004E5E37"/>
    <w:rsid w:val="004E5E4C"/>
    <w:rsid w:val="004E5F79"/>
    <w:rsid w:val="004E623E"/>
    <w:rsid w:val="004E6589"/>
    <w:rsid w:val="004E6CF9"/>
    <w:rsid w:val="004E7152"/>
    <w:rsid w:val="004E734E"/>
    <w:rsid w:val="004E7EC0"/>
    <w:rsid w:val="004E7F48"/>
    <w:rsid w:val="004F014E"/>
    <w:rsid w:val="004F023B"/>
    <w:rsid w:val="004F0BC6"/>
    <w:rsid w:val="004F1123"/>
    <w:rsid w:val="004F12D3"/>
    <w:rsid w:val="004F1715"/>
    <w:rsid w:val="004F17DA"/>
    <w:rsid w:val="004F355B"/>
    <w:rsid w:val="004F3BD2"/>
    <w:rsid w:val="004F4372"/>
    <w:rsid w:val="004F43E0"/>
    <w:rsid w:val="004F45EB"/>
    <w:rsid w:val="004F5079"/>
    <w:rsid w:val="004F521B"/>
    <w:rsid w:val="004F52BB"/>
    <w:rsid w:val="004F5582"/>
    <w:rsid w:val="004F56B1"/>
    <w:rsid w:val="004F59B8"/>
    <w:rsid w:val="004F62A7"/>
    <w:rsid w:val="004F62F9"/>
    <w:rsid w:val="004F66B3"/>
    <w:rsid w:val="004F6FA7"/>
    <w:rsid w:val="004F72DA"/>
    <w:rsid w:val="004F7352"/>
    <w:rsid w:val="004F7889"/>
    <w:rsid w:val="0050015C"/>
    <w:rsid w:val="00500418"/>
    <w:rsid w:val="00500CCF"/>
    <w:rsid w:val="00500E62"/>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9B9"/>
    <w:rsid w:val="00505F64"/>
    <w:rsid w:val="00506DCD"/>
    <w:rsid w:val="00507325"/>
    <w:rsid w:val="00507583"/>
    <w:rsid w:val="00507C56"/>
    <w:rsid w:val="00507F13"/>
    <w:rsid w:val="005109D4"/>
    <w:rsid w:val="00510CF4"/>
    <w:rsid w:val="0051160A"/>
    <w:rsid w:val="005118BA"/>
    <w:rsid w:val="00511C56"/>
    <w:rsid w:val="00512385"/>
    <w:rsid w:val="00512A4D"/>
    <w:rsid w:val="00512D87"/>
    <w:rsid w:val="005130DA"/>
    <w:rsid w:val="00513DDA"/>
    <w:rsid w:val="00513E19"/>
    <w:rsid w:val="005148B4"/>
    <w:rsid w:val="00514B29"/>
    <w:rsid w:val="00514E8C"/>
    <w:rsid w:val="005152B1"/>
    <w:rsid w:val="005152F0"/>
    <w:rsid w:val="0051532D"/>
    <w:rsid w:val="00515856"/>
    <w:rsid w:val="005163E6"/>
    <w:rsid w:val="00516D23"/>
    <w:rsid w:val="005172EC"/>
    <w:rsid w:val="0051740D"/>
    <w:rsid w:val="005178CE"/>
    <w:rsid w:val="00521356"/>
    <w:rsid w:val="00521CAB"/>
    <w:rsid w:val="00521DFB"/>
    <w:rsid w:val="005224EF"/>
    <w:rsid w:val="00522654"/>
    <w:rsid w:val="00522835"/>
    <w:rsid w:val="0052293D"/>
    <w:rsid w:val="00522AF4"/>
    <w:rsid w:val="00523499"/>
    <w:rsid w:val="00523BC7"/>
    <w:rsid w:val="00523C08"/>
    <w:rsid w:val="00523C10"/>
    <w:rsid w:val="00523E23"/>
    <w:rsid w:val="005245D5"/>
    <w:rsid w:val="005247FE"/>
    <w:rsid w:val="00524889"/>
    <w:rsid w:val="0052575D"/>
    <w:rsid w:val="005259FC"/>
    <w:rsid w:val="00525A53"/>
    <w:rsid w:val="005260F1"/>
    <w:rsid w:val="00526569"/>
    <w:rsid w:val="00526726"/>
    <w:rsid w:val="00526F91"/>
    <w:rsid w:val="00527256"/>
    <w:rsid w:val="00527934"/>
    <w:rsid w:val="00527B57"/>
    <w:rsid w:val="00527C8D"/>
    <w:rsid w:val="00527C9C"/>
    <w:rsid w:val="00530AC4"/>
    <w:rsid w:val="00531F7B"/>
    <w:rsid w:val="00532064"/>
    <w:rsid w:val="0053268A"/>
    <w:rsid w:val="0053309E"/>
    <w:rsid w:val="00533169"/>
    <w:rsid w:val="00533194"/>
    <w:rsid w:val="005332C8"/>
    <w:rsid w:val="00534021"/>
    <w:rsid w:val="0053464E"/>
    <w:rsid w:val="00534CBD"/>
    <w:rsid w:val="005352C8"/>
    <w:rsid w:val="005354C1"/>
    <w:rsid w:val="00535F99"/>
    <w:rsid w:val="005361DE"/>
    <w:rsid w:val="00536356"/>
    <w:rsid w:val="00536CBB"/>
    <w:rsid w:val="00536DDD"/>
    <w:rsid w:val="00537033"/>
    <w:rsid w:val="00540A37"/>
    <w:rsid w:val="00540B49"/>
    <w:rsid w:val="005418DB"/>
    <w:rsid w:val="0054230B"/>
    <w:rsid w:val="005434EA"/>
    <w:rsid w:val="00544ABA"/>
    <w:rsid w:val="00545D55"/>
    <w:rsid w:val="005461AB"/>
    <w:rsid w:val="00546C6A"/>
    <w:rsid w:val="00546FBA"/>
    <w:rsid w:val="00547F04"/>
    <w:rsid w:val="00550924"/>
    <w:rsid w:val="00550D63"/>
    <w:rsid w:val="00550EF1"/>
    <w:rsid w:val="00551075"/>
    <w:rsid w:val="005513C8"/>
    <w:rsid w:val="0055236E"/>
    <w:rsid w:val="0055352C"/>
    <w:rsid w:val="005538A6"/>
    <w:rsid w:val="00554F94"/>
    <w:rsid w:val="00555161"/>
    <w:rsid w:val="00555A59"/>
    <w:rsid w:val="00555DE6"/>
    <w:rsid w:val="00555EB3"/>
    <w:rsid w:val="00556776"/>
    <w:rsid w:val="005567F6"/>
    <w:rsid w:val="00556E29"/>
    <w:rsid w:val="00557474"/>
    <w:rsid w:val="00557DAA"/>
    <w:rsid w:val="00557DAD"/>
    <w:rsid w:val="00561138"/>
    <w:rsid w:val="00561699"/>
    <w:rsid w:val="0056194F"/>
    <w:rsid w:val="005619E1"/>
    <w:rsid w:val="00562629"/>
    <w:rsid w:val="005628FE"/>
    <w:rsid w:val="0056364B"/>
    <w:rsid w:val="00563D49"/>
    <w:rsid w:val="00564191"/>
    <w:rsid w:val="00564557"/>
    <w:rsid w:val="0056458C"/>
    <w:rsid w:val="00564628"/>
    <w:rsid w:val="005648B9"/>
    <w:rsid w:val="00564A3C"/>
    <w:rsid w:val="00564F82"/>
    <w:rsid w:val="00564FF6"/>
    <w:rsid w:val="005653AF"/>
    <w:rsid w:val="00565501"/>
    <w:rsid w:val="00565755"/>
    <w:rsid w:val="0056601E"/>
    <w:rsid w:val="00566406"/>
    <w:rsid w:val="005664A6"/>
    <w:rsid w:val="00566538"/>
    <w:rsid w:val="0056725A"/>
    <w:rsid w:val="0056741F"/>
    <w:rsid w:val="00567647"/>
    <w:rsid w:val="0056781B"/>
    <w:rsid w:val="00567BE2"/>
    <w:rsid w:val="00570102"/>
    <w:rsid w:val="00570505"/>
    <w:rsid w:val="005712E6"/>
    <w:rsid w:val="00572942"/>
    <w:rsid w:val="005730DB"/>
    <w:rsid w:val="00573251"/>
    <w:rsid w:val="005733A8"/>
    <w:rsid w:val="005734F9"/>
    <w:rsid w:val="00573B5B"/>
    <w:rsid w:val="00573F55"/>
    <w:rsid w:val="00574070"/>
    <w:rsid w:val="00575148"/>
    <w:rsid w:val="0057540E"/>
    <w:rsid w:val="005757B6"/>
    <w:rsid w:val="005761E2"/>
    <w:rsid w:val="0058000F"/>
    <w:rsid w:val="00580557"/>
    <w:rsid w:val="0058074F"/>
    <w:rsid w:val="00580A76"/>
    <w:rsid w:val="00581042"/>
    <w:rsid w:val="00581703"/>
    <w:rsid w:val="00581B15"/>
    <w:rsid w:val="005821DD"/>
    <w:rsid w:val="00583908"/>
    <w:rsid w:val="00583C9C"/>
    <w:rsid w:val="00584757"/>
    <w:rsid w:val="00584E21"/>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E1"/>
    <w:rsid w:val="00594B8A"/>
    <w:rsid w:val="00595009"/>
    <w:rsid w:val="005954B7"/>
    <w:rsid w:val="00595A05"/>
    <w:rsid w:val="00595E36"/>
    <w:rsid w:val="00595F17"/>
    <w:rsid w:val="00595F3D"/>
    <w:rsid w:val="00595F89"/>
    <w:rsid w:val="005960C7"/>
    <w:rsid w:val="005963FB"/>
    <w:rsid w:val="005964F2"/>
    <w:rsid w:val="00596873"/>
    <w:rsid w:val="00596BB3"/>
    <w:rsid w:val="00596BD4"/>
    <w:rsid w:val="00596FA8"/>
    <w:rsid w:val="005971A7"/>
    <w:rsid w:val="00597310"/>
    <w:rsid w:val="005977AB"/>
    <w:rsid w:val="005A01C5"/>
    <w:rsid w:val="005A0532"/>
    <w:rsid w:val="005A071C"/>
    <w:rsid w:val="005A07E7"/>
    <w:rsid w:val="005A0A57"/>
    <w:rsid w:val="005A0B9F"/>
    <w:rsid w:val="005A0DBB"/>
    <w:rsid w:val="005A0EBD"/>
    <w:rsid w:val="005A1270"/>
    <w:rsid w:val="005A1295"/>
    <w:rsid w:val="005A1FBF"/>
    <w:rsid w:val="005A1FD5"/>
    <w:rsid w:val="005A29B1"/>
    <w:rsid w:val="005A2EBF"/>
    <w:rsid w:val="005A3750"/>
    <w:rsid w:val="005A380B"/>
    <w:rsid w:val="005A4890"/>
    <w:rsid w:val="005A49D4"/>
    <w:rsid w:val="005A4D7C"/>
    <w:rsid w:val="005A51C9"/>
    <w:rsid w:val="005A5A96"/>
    <w:rsid w:val="005A5D7F"/>
    <w:rsid w:val="005A5DC0"/>
    <w:rsid w:val="005A65C3"/>
    <w:rsid w:val="005A6B6D"/>
    <w:rsid w:val="005A6ED5"/>
    <w:rsid w:val="005A6F0E"/>
    <w:rsid w:val="005A6F57"/>
    <w:rsid w:val="005A7235"/>
    <w:rsid w:val="005A795B"/>
    <w:rsid w:val="005A7BAF"/>
    <w:rsid w:val="005B05FA"/>
    <w:rsid w:val="005B0652"/>
    <w:rsid w:val="005B1213"/>
    <w:rsid w:val="005B1B55"/>
    <w:rsid w:val="005B1DBD"/>
    <w:rsid w:val="005B26B0"/>
    <w:rsid w:val="005B3EBD"/>
    <w:rsid w:val="005B3F0C"/>
    <w:rsid w:val="005B4173"/>
    <w:rsid w:val="005B48E8"/>
    <w:rsid w:val="005B564F"/>
    <w:rsid w:val="005B56D9"/>
    <w:rsid w:val="005B5BA3"/>
    <w:rsid w:val="005B5E62"/>
    <w:rsid w:val="005B6DBE"/>
    <w:rsid w:val="005B7E97"/>
    <w:rsid w:val="005B7F46"/>
    <w:rsid w:val="005C059E"/>
    <w:rsid w:val="005C07D2"/>
    <w:rsid w:val="005C09A7"/>
    <w:rsid w:val="005C0EA8"/>
    <w:rsid w:val="005C102D"/>
    <w:rsid w:val="005C132C"/>
    <w:rsid w:val="005C17FB"/>
    <w:rsid w:val="005C1833"/>
    <w:rsid w:val="005C1838"/>
    <w:rsid w:val="005C18C2"/>
    <w:rsid w:val="005C2063"/>
    <w:rsid w:val="005C244F"/>
    <w:rsid w:val="005C2767"/>
    <w:rsid w:val="005C2922"/>
    <w:rsid w:val="005C2C01"/>
    <w:rsid w:val="005C2F60"/>
    <w:rsid w:val="005C323D"/>
    <w:rsid w:val="005C3772"/>
    <w:rsid w:val="005C39C3"/>
    <w:rsid w:val="005C4229"/>
    <w:rsid w:val="005C4580"/>
    <w:rsid w:val="005C5065"/>
    <w:rsid w:val="005C52F3"/>
    <w:rsid w:val="005C564C"/>
    <w:rsid w:val="005C6234"/>
    <w:rsid w:val="005C64DC"/>
    <w:rsid w:val="005C6605"/>
    <w:rsid w:val="005C6CCB"/>
    <w:rsid w:val="005C71A0"/>
    <w:rsid w:val="005C7802"/>
    <w:rsid w:val="005C7B50"/>
    <w:rsid w:val="005D029E"/>
    <w:rsid w:val="005D0427"/>
    <w:rsid w:val="005D0776"/>
    <w:rsid w:val="005D07AE"/>
    <w:rsid w:val="005D08FD"/>
    <w:rsid w:val="005D0C83"/>
    <w:rsid w:val="005D113B"/>
    <w:rsid w:val="005D1732"/>
    <w:rsid w:val="005D2D9A"/>
    <w:rsid w:val="005D3A6E"/>
    <w:rsid w:val="005D3B21"/>
    <w:rsid w:val="005D4019"/>
    <w:rsid w:val="005D41DC"/>
    <w:rsid w:val="005D460F"/>
    <w:rsid w:val="005D4DC5"/>
    <w:rsid w:val="005D5442"/>
    <w:rsid w:val="005D5C22"/>
    <w:rsid w:val="005D5E6C"/>
    <w:rsid w:val="005D63A9"/>
    <w:rsid w:val="005D65AF"/>
    <w:rsid w:val="005D65D5"/>
    <w:rsid w:val="005D6C56"/>
    <w:rsid w:val="005D6CED"/>
    <w:rsid w:val="005D6F49"/>
    <w:rsid w:val="005D7E8A"/>
    <w:rsid w:val="005E06FA"/>
    <w:rsid w:val="005E11A5"/>
    <w:rsid w:val="005E13D4"/>
    <w:rsid w:val="005E1435"/>
    <w:rsid w:val="005E21F3"/>
    <w:rsid w:val="005E235C"/>
    <w:rsid w:val="005E3078"/>
    <w:rsid w:val="005E34C0"/>
    <w:rsid w:val="005E45F3"/>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5F6"/>
    <w:rsid w:val="005F0A62"/>
    <w:rsid w:val="005F0FA8"/>
    <w:rsid w:val="005F1C5D"/>
    <w:rsid w:val="005F2317"/>
    <w:rsid w:val="005F2550"/>
    <w:rsid w:val="005F2B2D"/>
    <w:rsid w:val="005F2BB1"/>
    <w:rsid w:val="005F2FD5"/>
    <w:rsid w:val="005F340A"/>
    <w:rsid w:val="005F359B"/>
    <w:rsid w:val="005F3869"/>
    <w:rsid w:val="005F3AE8"/>
    <w:rsid w:val="005F3B09"/>
    <w:rsid w:val="005F3B47"/>
    <w:rsid w:val="005F47C1"/>
    <w:rsid w:val="005F4926"/>
    <w:rsid w:val="005F4B6F"/>
    <w:rsid w:val="005F5009"/>
    <w:rsid w:val="005F5054"/>
    <w:rsid w:val="005F530F"/>
    <w:rsid w:val="005F5D2A"/>
    <w:rsid w:val="005F65D9"/>
    <w:rsid w:val="005F6768"/>
    <w:rsid w:val="005F69CF"/>
    <w:rsid w:val="005F6E39"/>
    <w:rsid w:val="005F6E58"/>
    <w:rsid w:val="005F7031"/>
    <w:rsid w:val="005F704C"/>
    <w:rsid w:val="005F7A22"/>
    <w:rsid w:val="005F7B9D"/>
    <w:rsid w:val="00600501"/>
    <w:rsid w:val="00600B0C"/>
    <w:rsid w:val="00602DFA"/>
    <w:rsid w:val="006031D1"/>
    <w:rsid w:val="006033BF"/>
    <w:rsid w:val="00603702"/>
    <w:rsid w:val="00603B4B"/>
    <w:rsid w:val="00603F20"/>
    <w:rsid w:val="006046A9"/>
    <w:rsid w:val="0060471B"/>
    <w:rsid w:val="00604F37"/>
    <w:rsid w:val="0060508A"/>
    <w:rsid w:val="006055AF"/>
    <w:rsid w:val="00605942"/>
    <w:rsid w:val="00605C9F"/>
    <w:rsid w:val="006068E8"/>
    <w:rsid w:val="00606ADB"/>
    <w:rsid w:val="006070E8"/>
    <w:rsid w:val="006072DE"/>
    <w:rsid w:val="006075F4"/>
    <w:rsid w:val="006078A8"/>
    <w:rsid w:val="00607BAD"/>
    <w:rsid w:val="00607EC7"/>
    <w:rsid w:val="006102BC"/>
    <w:rsid w:val="0061048A"/>
    <w:rsid w:val="00610AE7"/>
    <w:rsid w:val="00611178"/>
    <w:rsid w:val="0061148D"/>
    <w:rsid w:val="00611D01"/>
    <w:rsid w:val="006122EC"/>
    <w:rsid w:val="006124B3"/>
    <w:rsid w:val="00612611"/>
    <w:rsid w:val="0061279A"/>
    <w:rsid w:val="00612A10"/>
    <w:rsid w:val="00613009"/>
    <w:rsid w:val="006132EA"/>
    <w:rsid w:val="00613481"/>
    <w:rsid w:val="00613CA5"/>
    <w:rsid w:val="0061401C"/>
    <w:rsid w:val="0061420B"/>
    <w:rsid w:val="00614A59"/>
    <w:rsid w:val="00614BD4"/>
    <w:rsid w:val="00614D33"/>
    <w:rsid w:val="00614E7E"/>
    <w:rsid w:val="0061537D"/>
    <w:rsid w:val="0061537F"/>
    <w:rsid w:val="006156D7"/>
    <w:rsid w:val="00615CF1"/>
    <w:rsid w:val="00615DEA"/>
    <w:rsid w:val="006165A4"/>
    <w:rsid w:val="00616A60"/>
    <w:rsid w:val="00616D0C"/>
    <w:rsid w:val="00616EE6"/>
    <w:rsid w:val="006171FB"/>
    <w:rsid w:val="00617283"/>
    <w:rsid w:val="00617A2A"/>
    <w:rsid w:val="006207F4"/>
    <w:rsid w:val="00620C67"/>
    <w:rsid w:val="00620D09"/>
    <w:rsid w:val="00621646"/>
    <w:rsid w:val="00621803"/>
    <w:rsid w:val="00621A34"/>
    <w:rsid w:val="006220F1"/>
    <w:rsid w:val="00623E46"/>
    <w:rsid w:val="00624604"/>
    <w:rsid w:val="00624D2C"/>
    <w:rsid w:val="00624F7F"/>
    <w:rsid w:val="00625142"/>
    <w:rsid w:val="00625145"/>
    <w:rsid w:val="00626768"/>
    <w:rsid w:val="006268A3"/>
    <w:rsid w:val="00626F9D"/>
    <w:rsid w:val="00627402"/>
    <w:rsid w:val="00627403"/>
    <w:rsid w:val="00627474"/>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1CE"/>
    <w:rsid w:val="006352FD"/>
    <w:rsid w:val="00635B15"/>
    <w:rsid w:val="00636037"/>
    <w:rsid w:val="006362E1"/>
    <w:rsid w:val="006367DA"/>
    <w:rsid w:val="00636F62"/>
    <w:rsid w:val="006370E1"/>
    <w:rsid w:val="00637382"/>
    <w:rsid w:val="006375B2"/>
    <w:rsid w:val="006375BB"/>
    <w:rsid w:val="006409EE"/>
    <w:rsid w:val="00640BF7"/>
    <w:rsid w:val="00640FFF"/>
    <w:rsid w:val="00641761"/>
    <w:rsid w:val="006419AF"/>
    <w:rsid w:val="006425FC"/>
    <w:rsid w:val="00642631"/>
    <w:rsid w:val="00642DF5"/>
    <w:rsid w:val="0064304A"/>
    <w:rsid w:val="0064380B"/>
    <w:rsid w:val="00643A4F"/>
    <w:rsid w:val="00643FF5"/>
    <w:rsid w:val="006441FD"/>
    <w:rsid w:val="00644E5A"/>
    <w:rsid w:val="00644F2C"/>
    <w:rsid w:val="00645065"/>
    <w:rsid w:val="006450DD"/>
    <w:rsid w:val="00645141"/>
    <w:rsid w:val="00645AEE"/>
    <w:rsid w:val="00646428"/>
    <w:rsid w:val="00646AFD"/>
    <w:rsid w:val="0064707F"/>
    <w:rsid w:val="006471E8"/>
    <w:rsid w:val="00647E90"/>
    <w:rsid w:val="00647FA3"/>
    <w:rsid w:val="006500F7"/>
    <w:rsid w:val="00650769"/>
    <w:rsid w:val="0065106D"/>
    <w:rsid w:val="006516B7"/>
    <w:rsid w:val="006518E4"/>
    <w:rsid w:val="006519F4"/>
    <w:rsid w:val="00651FB8"/>
    <w:rsid w:val="0065203F"/>
    <w:rsid w:val="006520D5"/>
    <w:rsid w:val="0065239B"/>
    <w:rsid w:val="00652BA0"/>
    <w:rsid w:val="00653045"/>
    <w:rsid w:val="00653A25"/>
    <w:rsid w:val="00653D93"/>
    <w:rsid w:val="00653FDA"/>
    <w:rsid w:val="006541A0"/>
    <w:rsid w:val="00654E99"/>
    <w:rsid w:val="00655104"/>
    <w:rsid w:val="0065548F"/>
    <w:rsid w:val="00655633"/>
    <w:rsid w:val="006559BB"/>
    <w:rsid w:val="00655D93"/>
    <w:rsid w:val="00655E86"/>
    <w:rsid w:val="00656614"/>
    <w:rsid w:val="00656934"/>
    <w:rsid w:val="00656945"/>
    <w:rsid w:val="00656C4D"/>
    <w:rsid w:val="006577CD"/>
    <w:rsid w:val="00657CCC"/>
    <w:rsid w:val="00660162"/>
    <w:rsid w:val="0066036D"/>
    <w:rsid w:val="006604FA"/>
    <w:rsid w:val="00660879"/>
    <w:rsid w:val="00660B3F"/>
    <w:rsid w:val="006610B1"/>
    <w:rsid w:val="00661639"/>
    <w:rsid w:val="00661655"/>
    <w:rsid w:val="0066174D"/>
    <w:rsid w:val="00661E36"/>
    <w:rsid w:val="0066288A"/>
    <w:rsid w:val="0066318A"/>
    <w:rsid w:val="006631D3"/>
    <w:rsid w:val="00663D0F"/>
    <w:rsid w:val="00664525"/>
    <w:rsid w:val="0066465B"/>
    <w:rsid w:val="00664C81"/>
    <w:rsid w:val="0066521A"/>
    <w:rsid w:val="0066540C"/>
    <w:rsid w:val="00665EAE"/>
    <w:rsid w:val="006661EA"/>
    <w:rsid w:val="00666909"/>
    <w:rsid w:val="00666EBC"/>
    <w:rsid w:val="00667189"/>
    <w:rsid w:val="0066749E"/>
    <w:rsid w:val="00667CCB"/>
    <w:rsid w:val="00667EFD"/>
    <w:rsid w:val="00670475"/>
    <w:rsid w:val="00670B8C"/>
    <w:rsid w:val="00670C4A"/>
    <w:rsid w:val="006712FE"/>
    <w:rsid w:val="00671F3E"/>
    <w:rsid w:val="00672482"/>
    <w:rsid w:val="00672A18"/>
    <w:rsid w:val="006735D0"/>
    <w:rsid w:val="006739E9"/>
    <w:rsid w:val="00674D52"/>
    <w:rsid w:val="00674F93"/>
    <w:rsid w:val="0067546F"/>
    <w:rsid w:val="00676287"/>
    <w:rsid w:val="00676CE4"/>
    <w:rsid w:val="00676EC2"/>
    <w:rsid w:val="00676F61"/>
    <w:rsid w:val="00676FA5"/>
    <w:rsid w:val="006771A4"/>
    <w:rsid w:val="006771AD"/>
    <w:rsid w:val="006774A8"/>
    <w:rsid w:val="00677572"/>
    <w:rsid w:val="00681156"/>
    <w:rsid w:val="00681229"/>
    <w:rsid w:val="00681514"/>
    <w:rsid w:val="0068185E"/>
    <w:rsid w:val="00681BE5"/>
    <w:rsid w:val="00681E30"/>
    <w:rsid w:val="0068379B"/>
    <w:rsid w:val="00683D98"/>
    <w:rsid w:val="00683D99"/>
    <w:rsid w:val="00684079"/>
    <w:rsid w:val="006848EE"/>
    <w:rsid w:val="0068629B"/>
    <w:rsid w:val="00686425"/>
    <w:rsid w:val="00686C12"/>
    <w:rsid w:val="00686D75"/>
    <w:rsid w:val="0068736A"/>
    <w:rsid w:val="00687D17"/>
    <w:rsid w:val="00690024"/>
    <w:rsid w:val="006903A4"/>
    <w:rsid w:val="00690CAA"/>
    <w:rsid w:val="00690EFB"/>
    <w:rsid w:val="0069137B"/>
    <w:rsid w:val="006913EC"/>
    <w:rsid w:val="006914B7"/>
    <w:rsid w:val="00691742"/>
    <w:rsid w:val="00691DEE"/>
    <w:rsid w:val="00692242"/>
    <w:rsid w:val="0069236E"/>
    <w:rsid w:val="00692704"/>
    <w:rsid w:val="00692E67"/>
    <w:rsid w:val="00693ACF"/>
    <w:rsid w:val="00693EE5"/>
    <w:rsid w:val="006944C5"/>
    <w:rsid w:val="00694B8D"/>
    <w:rsid w:val="0069532F"/>
    <w:rsid w:val="0069561C"/>
    <w:rsid w:val="00695634"/>
    <w:rsid w:val="0069600D"/>
    <w:rsid w:val="006963AE"/>
    <w:rsid w:val="00697053"/>
    <w:rsid w:val="006A066A"/>
    <w:rsid w:val="006A06CA"/>
    <w:rsid w:val="006A083E"/>
    <w:rsid w:val="006A0FFD"/>
    <w:rsid w:val="006A1170"/>
    <w:rsid w:val="006A14A3"/>
    <w:rsid w:val="006A159D"/>
    <w:rsid w:val="006A18BF"/>
    <w:rsid w:val="006A1F58"/>
    <w:rsid w:val="006A242E"/>
    <w:rsid w:val="006A26AB"/>
    <w:rsid w:val="006A298D"/>
    <w:rsid w:val="006A2F80"/>
    <w:rsid w:val="006A31C8"/>
    <w:rsid w:val="006A3A48"/>
    <w:rsid w:val="006A3FD6"/>
    <w:rsid w:val="006A4076"/>
    <w:rsid w:val="006A436F"/>
    <w:rsid w:val="006A4E5B"/>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3DC"/>
    <w:rsid w:val="006B5423"/>
    <w:rsid w:val="006B5855"/>
    <w:rsid w:val="006B5AB2"/>
    <w:rsid w:val="006B5C67"/>
    <w:rsid w:val="006B6B5D"/>
    <w:rsid w:val="006B6BF6"/>
    <w:rsid w:val="006B6C0D"/>
    <w:rsid w:val="006B7657"/>
    <w:rsid w:val="006C166D"/>
    <w:rsid w:val="006C1818"/>
    <w:rsid w:val="006C1C4F"/>
    <w:rsid w:val="006C1F8B"/>
    <w:rsid w:val="006C2721"/>
    <w:rsid w:val="006C2BE5"/>
    <w:rsid w:val="006C377A"/>
    <w:rsid w:val="006C3868"/>
    <w:rsid w:val="006C38FF"/>
    <w:rsid w:val="006C3E6E"/>
    <w:rsid w:val="006C3EEA"/>
    <w:rsid w:val="006C3F92"/>
    <w:rsid w:val="006C43A6"/>
    <w:rsid w:val="006C4A4A"/>
    <w:rsid w:val="006C4E89"/>
    <w:rsid w:val="006C53EB"/>
    <w:rsid w:val="006C5434"/>
    <w:rsid w:val="006C5D29"/>
    <w:rsid w:val="006C650D"/>
    <w:rsid w:val="006C69A5"/>
    <w:rsid w:val="006C7740"/>
    <w:rsid w:val="006D0389"/>
    <w:rsid w:val="006D0848"/>
    <w:rsid w:val="006D0BA5"/>
    <w:rsid w:val="006D0C15"/>
    <w:rsid w:val="006D0D8B"/>
    <w:rsid w:val="006D0FBF"/>
    <w:rsid w:val="006D10DC"/>
    <w:rsid w:val="006D1586"/>
    <w:rsid w:val="006D19C1"/>
    <w:rsid w:val="006D2827"/>
    <w:rsid w:val="006D2848"/>
    <w:rsid w:val="006D2B19"/>
    <w:rsid w:val="006D2EC9"/>
    <w:rsid w:val="006D3A05"/>
    <w:rsid w:val="006D3B62"/>
    <w:rsid w:val="006D3FDF"/>
    <w:rsid w:val="006D4527"/>
    <w:rsid w:val="006D4B05"/>
    <w:rsid w:val="006D4F86"/>
    <w:rsid w:val="006D5F98"/>
    <w:rsid w:val="006D6665"/>
    <w:rsid w:val="006D7098"/>
    <w:rsid w:val="006D740E"/>
    <w:rsid w:val="006D7F72"/>
    <w:rsid w:val="006E00B7"/>
    <w:rsid w:val="006E0E5B"/>
    <w:rsid w:val="006E2562"/>
    <w:rsid w:val="006E3023"/>
    <w:rsid w:val="006E3369"/>
    <w:rsid w:val="006E3D12"/>
    <w:rsid w:val="006E449C"/>
    <w:rsid w:val="006E4726"/>
    <w:rsid w:val="006E4E72"/>
    <w:rsid w:val="006E50D0"/>
    <w:rsid w:val="006E663E"/>
    <w:rsid w:val="006E6EDF"/>
    <w:rsid w:val="006E7BA5"/>
    <w:rsid w:val="006F01E8"/>
    <w:rsid w:val="006F02D7"/>
    <w:rsid w:val="006F03EC"/>
    <w:rsid w:val="006F059F"/>
    <w:rsid w:val="006F0EBB"/>
    <w:rsid w:val="006F1E96"/>
    <w:rsid w:val="006F2D24"/>
    <w:rsid w:val="006F352A"/>
    <w:rsid w:val="006F37F7"/>
    <w:rsid w:val="006F3909"/>
    <w:rsid w:val="006F4036"/>
    <w:rsid w:val="006F428E"/>
    <w:rsid w:val="006F48E1"/>
    <w:rsid w:val="006F4FA0"/>
    <w:rsid w:val="006F5096"/>
    <w:rsid w:val="006F5160"/>
    <w:rsid w:val="006F5374"/>
    <w:rsid w:val="006F57D7"/>
    <w:rsid w:val="006F5C15"/>
    <w:rsid w:val="006F60DF"/>
    <w:rsid w:val="006F64DE"/>
    <w:rsid w:val="006F6766"/>
    <w:rsid w:val="006F67E2"/>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95F"/>
    <w:rsid w:val="00704B6E"/>
    <w:rsid w:val="00704F73"/>
    <w:rsid w:val="0070508D"/>
    <w:rsid w:val="0070542E"/>
    <w:rsid w:val="0070604A"/>
    <w:rsid w:val="007060D4"/>
    <w:rsid w:val="0070624C"/>
    <w:rsid w:val="00706451"/>
    <w:rsid w:val="00706721"/>
    <w:rsid w:val="00707E0F"/>
    <w:rsid w:val="0071068A"/>
    <w:rsid w:val="00710E19"/>
    <w:rsid w:val="00710E52"/>
    <w:rsid w:val="0071154B"/>
    <w:rsid w:val="0071174F"/>
    <w:rsid w:val="0071176F"/>
    <w:rsid w:val="0071196A"/>
    <w:rsid w:val="00711B11"/>
    <w:rsid w:val="007131CF"/>
    <w:rsid w:val="007133C0"/>
    <w:rsid w:val="00713613"/>
    <w:rsid w:val="0071370F"/>
    <w:rsid w:val="007137C6"/>
    <w:rsid w:val="007138FC"/>
    <w:rsid w:val="0071393D"/>
    <w:rsid w:val="00713E79"/>
    <w:rsid w:val="00714245"/>
    <w:rsid w:val="00714A14"/>
    <w:rsid w:val="00715441"/>
    <w:rsid w:val="00715739"/>
    <w:rsid w:val="0071576C"/>
    <w:rsid w:val="00715C94"/>
    <w:rsid w:val="007165F0"/>
    <w:rsid w:val="00716A09"/>
    <w:rsid w:val="007170DB"/>
    <w:rsid w:val="00717880"/>
    <w:rsid w:val="00717CA8"/>
    <w:rsid w:val="007205E7"/>
    <w:rsid w:val="007209C4"/>
    <w:rsid w:val="00720A51"/>
    <w:rsid w:val="00720A9F"/>
    <w:rsid w:val="00721E9E"/>
    <w:rsid w:val="007227FE"/>
    <w:rsid w:val="007233C3"/>
    <w:rsid w:val="00723C95"/>
    <w:rsid w:val="007244E7"/>
    <w:rsid w:val="0072505F"/>
    <w:rsid w:val="00725B00"/>
    <w:rsid w:val="0072680C"/>
    <w:rsid w:val="00726B3D"/>
    <w:rsid w:val="00726C64"/>
    <w:rsid w:val="007310B7"/>
    <w:rsid w:val="00731237"/>
    <w:rsid w:val="00731A22"/>
    <w:rsid w:val="0073207E"/>
    <w:rsid w:val="00732523"/>
    <w:rsid w:val="0073254B"/>
    <w:rsid w:val="00732664"/>
    <w:rsid w:val="00732BA7"/>
    <w:rsid w:val="007333EA"/>
    <w:rsid w:val="00733601"/>
    <w:rsid w:val="00733A22"/>
    <w:rsid w:val="00733A57"/>
    <w:rsid w:val="00733F36"/>
    <w:rsid w:val="007340CE"/>
    <w:rsid w:val="00734781"/>
    <w:rsid w:val="007349FC"/>
    <w:rsid w:val="00734B6F"/>
    <w:rsid w:val="007351A5"/>
    <w:rsid w:val="00735293"/>
    <w:rsid w:val="00735376"/>
    <w:rsid w:val="00736038"/>
    <w:rsid w:val="007363EA"/>
    <w:rsid w:val="00736A02"/>
    <w:rsid w:val="00736E06"/>
    <w:rsid w:val="00736E37"/>
    <w:rsid w:val="00737286"/>
    <w:rsid w:val="007373DB"/>
    <w:rsid w:val="00737847"/>
    <w:rsid w:val="00737F27"/>
    <w:rsid w:val="00737FD3"/>
    <w:rsid w:val="00740240"/>
    <w:rsid w:val="007407DB"/>
    <w:rsid w:val="00740BFC"/>
    <w:rsid w:val="00740F76"/>
    <w:rsid w:val="00741037"/>
    <w:rsid w:val="007422B3"/>
    <w:rsid w:val="007424BF"/>
    <w:rsid w:val="007435F1"/>
    <w:rsid w:val="00743BC1"/>
    <w:rsid w:val="00743DDD"/>
    <w:rsid w:val="00744625"/>
    <w:rsid w:val="007446BB"/>
    <w:rsid w:val="00744AF1"/>
    <w:rsid w:val="00745882"/>
    <w:rsid w:val="00745A04"/>
    <w:rsid w:val="00745A0F"/>
    <w:rsid w:val="00745DFD"/>
    <w:rsid w:val="00746197"/>
    <w:rsid w:val="0074689C"/>
    <w:rsid w:val="00746B3F"/>
    <w:rsid w:val="00747117"/>
    <w:rsid w:val="007479C2"/>
    <w:rsid w:val="00747B0D"/>
    <w:rsid w:val="00751452"/>
    <w:rsid w:val="007521A5"/>
    <w:rsid w:val="0075297B"/>
    <w:rsid w:val="00752E99"/>
    <w:rsid w:val="00753959"/>
    <w:rsid w:val="00753DD6"/>
    <w:rsid w:val="007541DF"/>
    <w:rsid w:val="00754A4A"/>
    <w:rsid w:val="00755F9F"/>
    <w:rsid w:val="007566FB"/>
    <w:rsid w:val="007567A8"/>
    <w:rsid w:val="00756D6A"/>
    <w:rsid w:val="00757EE2"/>
    <w:rsid w:val="0076043F"/>
    <w:rsid w:val="00760F66"/>
    <w:rsid w:val="007611F8"/>
    <w:rsid w:val="00761200"/>
    <w:rsid w:val="00761931"/>
    <w:rsid w:val="00761BD1"/>
    <w:rsid w:val="007627BA"/>
    <w:rsid w:val="0076291E"/>
    <w:rsid w:val="00762C76"/>
    <w:rsid w:val="00762D81"/>
    <w:rsid w:val="0076317B"/>
    <w:rsid w:val="007643D5"/>
    <w:rsid w:val="00765366"/>
    <w:rsid w:val="00765914"/>
    <w:rsid w:val="00765AC2"/>
    <w:rsid w:val="0076614D"/>
    <w:rsid w:val="0076624C"/>
    <w:rsid w:val="0076627D"/>
    <w:rsid w:val="00766304"/>
    <w:rsid w:val="00766345"/>
    <w:rsid w:val="00767A28"/>
    <w:rsid w:val="00767DD2"/>
    <w:rsid w:val="00770264"/>
    <w:rsid w:val="0077082B"/>
    <w:rsid w:val="00770E60"/>
    <w:rsid w:val="00771324"/>
    <w:rsid w:val="00771C8F"/>
    <w:rsid w:val="0077266E"/>
    <w:rsid w:val="0077292E"/>
    <w:rsid w:val="007737D4"/>
    <w:rsid w:val="007737D8"/>
    <w:rsid w:val="0077391C"/>
    <w:rsid w:val="00773D24"/>
    <w:rsid w:val="00774576"/>
    <w:rsid w:val="007745DA"/>
    <w:rsid w:val="0077508A"/>
    <w:rsid w:val="00775475"/>
    <w:rsid w:val="00775567"/>
    <w:rsid w:val="00775E0D"/>
    <w:rsid w:val="00776343"/>
    <w:rsid w:val="00776416"/>
    <w:rsid w:val="00776C7B"/>
    <w:rsid w:val="00776CEF"/>
    <w:rsid w:val="007774AE"/>
    <w:rsid w:val="00777E7E"/>
    <w:rsid w:val="00777EFA"/>
    <w:rsid w:val="007804DD"/>
    <w:rsid w:val="00780EC1"/>
    <w:rsid w:val="00780F3B"/>
    <w:rsid w:val="0078115B"/>
    <w:rsid w:val="007816EE"/>
    <w:rsid w:val="00782071"/>
    <w:rsid w:val="00782783"/>
    <w:rsid w:val="00782946"/>
    <w:rsid w:val="00782ECD"/>
    <w:rsid w:val="00782F44"/>
    <w:rsid w:val="0078363B"/>
    <w:rsid w:val="00783CCF"/>
    <w:rsid w:val="00783F5B"/>
    <w:rsid w:val="00784609"/>
    <w:rsid w:val="00784720"/>
    <w:rsid w:val="0078481D"/>
    <w:rsid w:val="00784BE8"/>
    <w:rsid w:val="007859FC"/>
    <w:rsid w:val="00785F1E"/>
    <w:rsid w:val="00785F4C"/>
    <w:rsid w:val="0078609C"/>
    <w:rsid w:val="00786355"/>
    <w:rsid w:val="00787370"/>
    <w:rsid w:val="007874AE"/>
    <w:rsid w:val="0078750B"/>
    <w:rsid w:val="00787F5E"/>
    <w:rsid w:val="0079024D"/>
    <w:rsid w:val="00791069"/>
    <w:rsid w:val="007911B8"/>
    <w:rsid w:val="00791DAE"/>
    <w:rsid w:val="007930E8"/>
    <w:rsid w:val="00793A57"/>
    <w:rsid w:val="00793A9C"/>
    <w:rsid w:val="00793AA6"/>
    <w:rsid w:val="00793F28"/>
    <w:rsid w:val="007944D2"/>
    <w:rsid w:val="00794B19"/>
    <w:rsid w:val="00794FFA"/>
    <w:rsid w:val="00795B8D"/>
    <w:rsid w:val="00795E34"/>
    <w:rsid w:val="00795F0E"/>
    <w:rsid w:val="00796495"/>
    <w:rsid w:val="00797063"/>
    <w:rsid w:val="00797D8F"/>
    <w:rsid w:val="007A0C00"/>
    <w:rsid w:val="007A0E15"/>
    <w:rsid w:val="007A176E"/>
    <w:rsid w:val="007A19BF"/>
    <w:rsid w:val="007A2850"/>
    <w:rsid w:val="007A2A69"/>
    <w:rsid w:val="007A2CF1"/>
    <w:rsid w:val="007A384E"/>
    <w:rsid w:val="007A41B5"/>
    <w:rsid w:val="007A4486"/>
    <w:rsid w:val="007A4682"/>
    <w:rsid w:val="007A5879"/>
    <w:rsid w:val="007A58A8"/>
    <w:rsid w:val="007A5BDC"/>
    <w:rsid w:val="007A629D"/>
    <w:rsid w:val="007A6610"/>
    <w:rsid w:val="007A6D51"/>
    <w:rsid w:val="007A6DD3"/>
    <w:rsid w:val="007A6FF3"/>
    <w:rsid w:val="007A7065"/>
    <w:rsid w:val="007A7169"/>
    <w:rsid w:val="007A71DC"/>
    <w:rsid w:val="007A7A04"/>
    <w:rsid w:val="007B04FF"/>
    <w:rsid w:val="007B0976"/>
    <w:rsid w:val="007B0CAC"/>
    <w:rsid w:val="007B15F3"/>
    <w:rsid w:val="007B1701"/>
    <w:rsid w:val="007B1C32"/>
    <w:rsid w:val="007B1DBB"/>
    <w:rsid w:val="007B2319"/>
    <w:rsid w:val="007B2FBF"/>
    <w:rsid w:val="007B3E13"/>
    <w:rsid w:val="007B3FBF"/>
    <w:rsid w:val="007B4044"/>
    <w:rsid w:val="007B4046"/>
    <w:rsid w:val="007B4300"/>
    <w:rsid w:val="007B565C"/>
    <w:rsid w:val="007B595F"/>
    <w:rsid w:val="007B5B7E"/>
    <w:rsid w:val="007B5D75"/>
    <w:rsid w:val="007B6D5E"/>
    <w:rsid w:val="007B7115"/>
    <w:rsid w:val="007B736B"/>
    <w:rsid w:val="007C012E"/>
    <w:rsid w:val="007C055A"/>
    <w:rsid w:val="007C0853"/>
    <w:rsid w:val="007C0C90"/>
    <w:rsid w:val="007C0E07"/>
    <w:rsid w:val="007C0E86"/>
    <w:rsid w:val="007C192C"/>
    <w:rsid w:val="007C249E"/>
    <w:rsid w:val="007C26CF"/>
    <w:rsid w:val="007C271B"/>
    <w:rsid w:val="007C2C14"/>
    <w:rsid w:val="007C3A55"/>
    <w:rsid w:val="007C3EDA"/>
    <w:rsid w:val="007C404B"/>
    <w:rsid w:val="007C4166"/>
    <w:rsid w:val="007C44E1"/>
    <w:rsid w:val="007C48DD"/>
    <w:rsid w:val="007C4A05"/>
    <w:rsid w:val="007C5711"/>
    <w:rsid w:val="007C57B9"/>
    <w:rsid w:val="007C6325"/>
    <w:rsid w:val="007C73A3"/>
    <w:rsid w:val="007C74EB"/>
    <w:rsid w:val="007C7975"/>
    <w:rsid w:val="007C7EF5"/>
    <w:rsid w:val="007D06AC"/>
    <w:rsid w:val="007D0741"/>
    <w:rsid w:val="007D0997"/>
    <w:rsid w:val="007D0A53"/>
    <w:rsid w:val="007D0FFC"/>
    <w:rsid w:val="007D1013"/>
    <w:rsid w:val="007D19EC"/>
    <w:rsid w:val="007D2608"/>
    <w:rsid w:val="007D30C3"/>
    <w:rsid w:val="007D35AC"/>
    <w:rsid w:val="007D36B1"/>
    <w:rsid w:val="007D36D7"/>
    <w:rsid w:val="007D3BA1"/>
    <w:rsid w:val="007D3EC8"/>
    <w:rsid w:val="007D40AC"/>
    <w:rsid w:val="007D4317"/>
    <w:rsid w:val="007D4C12"/>
    <w:rsid w:val="007D57E0"/>
    <w:rsid w:val="007D5946"/>
    <w:rsid w:val="007D5962"/>
    <w:rsid w:val="007D5A2B"/>
    <w:rsid w:val="007D6213"/>
    <w:rsid w:val="007D63B2"/>
    <w:rsid w:val="007D651D"/>
    <w:rsid w:val="007D71B7"/>
    <w:rsid w:val="007D7C66"/>
    <w:rsid w:val="007D7CF3"/>
    <w:rsid w:val="007E0274"/>
    <w:rsid w:val="007E02A7"/>
    <w:rsid w:val="007E0415"/>
    <w:rsid w:val="007E0991"/>
    <w:rsid w:val="007E0AFE"/>
    <w:rsid w:val="007E0B2C"/>
    <w:rsid w:val="007E0BD1"/>
    <w:rsid w:val="007E107F"/>
    <w:rsid w:val="007E2FD7"/>
    <w:rsid w:val="007E310B"/>
    <w:rsid w:val="007E38DA"/>
    <w:rsid w:val="007E3D65"/>
    <w:rsid w:val="007E3EE2"/>
    <w:rsid w:val="007E47E7"/>
    <w:rsid w:val="007E4A68"/>
    <w:rsid w:val="007E4A98"/>
    <w:rsid w:val="007E4EB6"/>
    <w:rsid w:val="007E5DD7"/>
    <w:rsid w:val="007E6FB9"/>
    <w:rsid w:val="007E7139"/>
    <w:rsid w:val="007E7366"/>
    <w:rsid w:val="007E7EA1"/>
    <w:rsid w:val="007E7EA4"/>
    <w:rsid w:val="007F03CE"/>
    <w:rsid w:val="007F04D3"/>
    <w:rsid w:val="007F137D"/>
    <w:rsid w:val="007F17B5"/>
    <w:rsid w:val="007F245F"/>
    <w:rsid w:val="007F2D8D"/>
    <w:rsid w:val="007F2EBF"/>
    <w:rsid w:val="007F3044"/>
    <w:rsid w:val="007F3249"/>
    <w:rsid w:val="007F3704"/>
    <w:rsid w:val="007F4657"/>
    <w:rsid w:val="007F5609"/>
    <w:rsid w:val="007F5625"/>
    <w:rsid w:val="007F568A"/>
    <w:rsid w:val="007F59F7"/>
    <w:rsid w:val="007F5E21"/>
    <w:rsid w:val="007F6413"/>
    <w:rsid w:val="007F6761"/>
    <w:rsid w:val="007F676E"/>
    <w:rsid w:val="007F6B11"/>
    <w:rsid w:val="007F6E2B"/>
    <w:rsid w:val="007F7D12"/>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A31"/>
    <w:rsid w:val="00804E1E"/>
    <w:rsid w:val="00804E43"/>
    <w:rsid w:val="008050F5"/>
    <w:rsid w:val="0080519C"/>
    <w:rsid w:val="0080553F"/>
    <w:rsid w:val="00805E48"/>
    <w:rsid w:val="00807ADD"/>
    <w:rsid w:val="00810BC2"/>
    <w:rsid w:val="00811683"/>
    <w:rsid w:val="00811AFF"/>
    <w:rsid w:val="00812373"/>
    <w:rsid w:val="00812D30"/>
    <w:rsid w:val="00813F3A"/>
    <w:rsid w:val="008140E8"/>
    <w:rsid w:val="008148D4"/>
    <w:rsid w:val="0081491F"/>
    <w:rsid w:val="00814941"/>
    <w:rsid w:val="00814A65"/>
    <w:rsid w:val="00814BD9"/>
    <w:rsid w:val="008158AC"/>
    <w:rsid w:val="00816805"/>
    <w:rsid w:val="00816BE8"/>
    <w:rsid w:val="00816CD5"/>
    <w:rsid w:val="00816DBD"/>
    <w:rsid w:val="00816FE2"/>
    <w:rsid w:val="00817062"/>
    <w:rsid w:val="00817991"/>
    <w:rsid w:val="00817F58"/>
    <w:rsid w:val="008203C5"/>
    <w:rsid w:val="0082046A"/>
    <w:rsid w:val="00820B84"/>
    <w:rsid w:val="0082199B"/>
    <w:rsid w:val="00821C2A"/>
    <w:rsid w:val="008227B7"/>
    <w:rsid w:val="008243A8"/>
    <w:rsid w:val="00824925"/>
    <w:rsid w:val="00824C8B"/>
    <w:rsid w:val="008252E8"/>
    <w:rsid w:val="00825BA8"/>
    <w:rsid w:val="00825C14"/>
    <w:rsid w:val="0082641D"/>
    <w:rsid w:val="008267CA"/>
    <w:rsid w:val="00826E45"/>
    <w:rsid w:val="008270EE"/>
    <w:rsid w:val="0082722B"/>
    <w:rsid w:val="0082745B"/>
    <w:rsid w:val="00827C1B"/>
    <w:rsid w:val="0083016B"/>
    <w:rsid w:val="008301F1"/>
    <w:rsid w:val="00830C0E"/>
    <w:rsid w:val="008313E0"/>
    <w:rsid w:val="008317EC"/>
    <w:rsid w:val="0083195D"/>
    <w:rsid w:val="00831B7B"/>
    <w:rsid w:val="00831D90"/>
    <w:rsid w:val="008324F3"/>
    <w:rsid w:val="00832691"/>
    <w:rsid w:val="0083296B"/>
    <w:rsid w:val="00832B8A"/>
    <w:rsid w:val="00833547"/>
    <w:rsid w:val="00833852"/>
    <w:rsid w:val="00833AB9"/>
    <w:rsid w:val="00833B62"/>
    <w:rsid w:val="00834820"/>
    <w:rsid w:val="00834C82"/>
    <w:rsid w:val="00834DB6"/>
    <w:rsid w:val="00834F93"/>
    <w:rsid w:val="00835F6D"/>
    <w:rsid w:val="008367C1"/>
    <w:rsid w:val="008375DA"/>
    <w:rsid w:val="00840C4A"/>
    <w:rsid w:val="008411B9"/>
    <w:rsid w:val="0084122F"/>
    <w:rsid w:val="00841573"/>
    <w:rsid w:val="00841D08"/>
    <w:rsid w:val="00842D43"/>
    <w:rsid w:val="00842F64"/>
    <w:rsid w:val="0084323E"/>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DFA"/>
    <w:rsid w:val="00851331"/>
    <w:rsid w:val="008516D1"/>
    <w:rsid w:val="00851BEE"/>
    <w:rsid w:val="00852003"/>
    <w:rsid w:val="0085212C"/>
    <w:rsid w:val="00852988"/>
    <w:rsid w:val="00852F9E"/>
    <w:rsid w:val="00853FD8"/>
    <w:rsid w:val="00854053"/>
    <w:rsid w:val="008543AC"/>
    <w:rsid w:val="008548B8"/>
    <w:rsid w:val="00854965"/>
    <w:rsid w:val="00855298"/>
    <w:rsid w:val="008554D1"/>
    <w:rsid w:val="008558E0"/>
    <w:rsid w:val="008569E0"/>
    <w:rsid w:val="00857AF7"/>
    <w:rsid w:val="00857BE5"/>
    <w:rsid w:val="00860109"/>
    <w:rsid w:val="008601BD"/>
    <w:rsid w:val="00860359"/>
    <w:rsid w:val="00860E43"/>
    <w:rsid w:val="00861252"/>
    <w:rsid w:val="0086171A"/>
    <w:rsid w:val="0086226C"/>
    <w:rsid w:val="00863237"/>
    <w:rsid w:val="00863C07"/>
    <w:rsid w:val="008640B7"/>
    <w:rsid w:val="008644A4"/>
    <w:rsid w:val="00864A6C"/>
    <w:rsid w:val="00864BB1"/>
    <w:rsid w:val="00864DF7"/>
    <w:rsid w:val="00865278"/>
    <w:rsid w:val="008654F9"/>
    <w:rsid w:val="008658C0"/>
    <w:rsid w:val="008660F7"/>
    <w:rsid w:val="00866388"/>
    <w:rsid w:val="0086644B"/>
    <w:rsid w:val="00866FE3"/>
    <w:rsid w:val="0086722D"/>
    <w:rsid w:val="00867AD8"/>
    <w:rsid w:val="00867D56"/>
    <w:rsid w:val="00867D70"/>
    <w:rsid w:val="00870646"/>
    <w:rsid w:val="008706C3"/>
    <w:rsid w:val="00870BAA"/>
    <w:rsid w:val="00870D91"/>
    <w:rsid w:val="008716D1"/>
    <w:rsid w:val="008716ED"/>
    <w:rsid w:val="008718AD"/>
    <w:rsid w:val="0087193F"/>
    <w:rsid w:val="008724E6"/>
    <w:rsid w:val="008728C8"/>
    <w:rsid w:val="00873205"/>
    <w:rsid w:val="008735E8"/>
    <w:rsid w:val="0087377E"/>
    <w:rsid w:val="00874594"/>
    <w:rsid w:val="00874776"/>
    <w:rsid w:val="0087487C"/>
    <w:rsid w:val="00874A07"/>
    <w:rsid w:val="00874B75"/>
    <w:rsid w:val="00875007"/>
    <w:rsid w:val="008750DB"/>
    <w:rsid w:val="008751B4"/>
    <w:rsid w:val="0087527F"/>
    <w:rsid w:val="008754B5"/>
    <w:rsid w:val="00875AF3"/>
    <w:rsid w:val="008765E9"/>
    <w:rsid w:val="00876605"/>
    <w:rsid w:val="00876B13"/>
    <w:rsid w:val="00880017"/>
    <w:rsid w:val="00880305"/>
    <w:rsid w:val="0088088A"/>
    <w:rsid w:val="00880A3F"/>
    <w:rsid w:val="00880EE2"/>
    <w:rsid w:val="008813BC"/>
    <w:rsid w:val="0088161A"/>
    <w:rsid w:val="00881732"/>
    <w:rsid w:val="008818A2"/>
    <w:rsid w:val="00881FF9"/>
    <w:rsid w:val="0088213D"/>
    <w:rsid w:val="008821C6"/>
    <w:rsid w:val="0088243D"/>
    <w:rsid w:val="0088251A"/>
    <w:rsid w:val="00882D28"/>
    <w:rsid w:val="00883A67"/>
    <w:rsid w:val="008848E9"/>
    <w:rsid w:val="00884FD8"/>
    <w:rsid w:val="00885244"/>
    <w:rsid w:val="008857C7"/>
    <w:rsid w:val="008858B3"/>
    <w:rsid w:val="00885BF6"/>
    <w:rsid w:val="008866CF"/>
    <w:rsid w:val="00886782"/>
    <w:rsid w:val="008869A1"/>
    <w:rsid w:val="00886B3F"/>
    <w:rsid w:val="0088727A"/>
    <w:rsid w:val="0089015D"/>
    <w:rsid w:val="0089021A"/>
    <w:rsid w:val="0089022E"/>
    <w:rsid w:val="00890475"/>
    <w:rsid w:val="00890A7C"/>
    <w:rsid w:val="00890B77"/>
    <w:rsid w:val="00890D11"/>
    <w:rsid w:val="008910EE"/>
    <w:rsid w:val="00891A26"/>
    <w:rsid w:val="008923F8"/>
    <w:rsid w:val="008928F1"/>
    <w:rsid w:val="00892BBF"/>
    <w:rsid w:val="00892DB5"/>
    <w:rsid w:val="0089346D"/>
    <w:rsid w:val="008935AB"/>
    <w:rsid w:val="00893F27"/>
    <w:rsid w:val="008942BD"/>
    <w:rsid w:val="0089478A"/>
    <w:rsid w:val="0089480A"/>
    <w:rsid w:val="00894FE5"/>
    <w:rsid w:val="00895658"/>
    <w:rsid w:val="008956DA"/>
    <w:rsid w:val="00895BA9"/>
    <w:rsid w:val="00895D79"/>
    <w:rsid w:val="0089601B"/>
    <w:rsid w:val="0089647F"/>
    <w:rsid w:val="0089655D"/>
    <w:rsid w:val="00896784"/>
    <w:rsid w:val="00896C56"/>
    <w:rsid w:val="00897051"/>
    <w:rsid w:val="00897824"/>
    <w:rsid w:val="00897BCB"/>
    <w:rsid w:val="00897C07"/>
    <w:rsid w:val="00897DBA"/>
    <w:rsid w:val="008A02FA"/>
    <w:rsid w:val="008A06A8"/>
    <w:rsid w:val="008A1AAC"/>
    <w:rsid w:val="008A20CA"/>
    <w:rsid w:val="008A239B"/>
    <w:rsid w:val="008A2505"/>
    <w:rsid w:val="008A2956"/>
    <w:rsid w:val="008A2EA1"/>
    <w:rsid w:val="008A2EF6"/>
    <w:rsid w:val="008A3480"/>
    <w:rsid w:val="008A3642"/>
    <w:rsid w:val="008A4F3C"/>
    <w:rsid w:val="008A51AD"/>
    <w:rsid w:val="008A53BA"/>
    <w:rsid w:val="008A551D"/>
    <w:rsid w:val="008A56BA"/>
    <w:rsid w:val="008A570A"/>
    <w:rsid w:val="008A58E4"/>
    <w:rsid w:val="008A58E7"/>
    <w:rsid w:val="008A5C1D"/>
    <w:rsid w:val="008A615A"/>
    <w:rsid w:val="008A6357"/>
    <w:rsid w:val="008A650C"/>
    <w:rsid w:val="008A6A36"/>
    <w:rsid w:val="008A6CB9"/>
    <w:rsid w:val="008A6DC1"/>
    <w:rsid w:val="008A7083"/>
    <w:rsid w:val="008A7100"/>
    <w:rsid w:val="008A7139"/>
    <w:rsid w:val="008A776D"/>
    <w:rsid w:val="008A7BB8"/>
    <w:rsid w:val="008A7C74"/>
    <w:rsid w:val="008B03BD"/>
    <w:rsid w:val="008B04C0"/>
    <w:rsid w:val="008B09E1"/>
    <w:rsid w:val="008B0A83"/>
    <w:rsid w:val="008B0DCF"/>
    <w:rsid w:val="008B0E93"/>
    <w:rsid w:val="008B0F8D"/>
    <w:rsid w:val="008B198D"/>
    <w:rsid w:val="008B1A68"/>
    <w:rsid w:val="008B23A8"/>
    <w:rsid w:val="008B29A4"/>
    <w:rsid w:val="008B2BB4"/>
    <w:rsid w:val="008B2C30"/>
    <w:rsid w:val="008B3C2B"/>
    <w:rsid w:val="008B4679"/>
    <w:rsid w:val="008B4D00"/>
    <w:rsid w:val="008B4D13"/>
    <w:rsid w:val="008B4E78"/>
    <w:rsid w:val="008B4FE2"/>
    <w:rsid w:val="008B61A1"/>
    <w:rsid w:val="008B66D8"/>
    <w:rsid w:val="008B66EE"/>
    <w:rsid w:val="008B6793"/>
    <w:rsid w:val="008B6E87"/>
    <w:rsid w:val="008B75C2"/>
    <w:rsid w:val="008B787A"/>
    <w:rsid w:val="008C0A89"/>
    <w:rsid w:val="008C0AA9"/>
    <w:rsid w:val="008C0E71"/>
    <w:rsid w:val="008C1852"/>
    <w:rsid w:val="008C2CFF"/>
    <w:rsid w:val="008C2E1E"/>
    <w:rsid w:val="008C2E22"/>
    <w:rsid w:val="008C2ED2"/>
    <w:rsid w:val="008C3612"/>
    <w:rsid w:val="008C3D4D"/>
    <w:rsid w:val="008C4026"/>
    <w:rsid w:val="008C417E"/>
    <w:rsid w:val="008C4E31"/>
    <w:rsid w:val="008C5B51"/>
    <w:rsid w:val="008C5F0A"/>
    <w:rsid w:val="008C6105"/>
    <w:rsid w:val="008C6124"/>
    <w:rsid w:val="008C6334"/>
    <w:rsid w:val="008C66BD"/>
    <w:rsid w:val="008C6968"/>
    <w:rsid w:val="008C742A"/>
    <w:rsid w:val="008C74C7"/>
    <w:rsid w:val="008C7714"/>
    <w:rsid w:val="008C7F4F"/>
    <w:rsid w:val="008D00F3"/>
    <w:rsid w:val="008D0241"/>
    <w:rsid w:val="008D0B34"/>
    <w:rsid w:val="008D0F27"/>
    <w:rsid w:val="008D11F0"/>
    <w:rsid w:val="008D15A2"/>
    <w:rsid w:val="008D18CD"/>
    <w:rsid w:val="008D1F86"/>
    <w:rsid w:val="008D20E0"/>
    <w:rsid w:val="008D2B6E"/>
    <w:rsid w:val="008D335C"/>
    <w:rsid w:val="008D35B7"/>
    <w:rsid w:val="008D4007"/>
    <w:rsid w:val="008D436A"/>
    <w:rsid w:val="008D4C72"/>
    <w:rsid w:val="008D4CF8"/>
    <w:rsid w:val="008D5246"/>
    <w:rsid w:val="008D5291"/>
    <w:rsid w:val="008D5368"/>
    <w:rsid w:val="008D561B"/>
    <w:rsid w:val="008D582B"/>
    <w:rsid w:val="008D5CF9"/>
    <w:rsid w:val="008D5D0A"/>
    <w:rsid w:val="008D6199"/>
    <w:rsid w:val="008D64B9"/>
    <w:rsid w:val="008D6794"/>
    <w:rsid w:val="008D71D9"/>
    <w:rsid w:val="008D7F65"/>
    <w:rsid w:val="008E0178"/>
    <w:rsid w:val="008E02F8"/>
    <w:rsid w:val="008E12AF"/>
    <w:rsid w:val="008E1342"/>
    <w:rsid w:val="008E1DC9"/>
    <w:rsid w:val="008E211C"/>
    <w:rsid w:val="008E28EC"/>
    <w:rsid w:val="008E2BB3"/>
    <w:rsid w:val="008E2BC5"/>
    <w:rsid w:val="008E2C79"/>
    <w:rsid w:val="008E3176"/>
    <w:rsid w:val="008E3564"/>
    <w:rsid w:val="008E3A0B"/>
    <w:rsid w:val="008E3A90"/>
    <w:rsid w:val="008E3AAB"/>
    <w:rsid w:val="008E3F34"/>
    <w:rsid w:val="008E4043"/>
    <w:rsid w:val="008E4520"/>
    <w:rsid w:val="008E54E8"/>
    <w:rsid w:val="008E5740"/>
    <w:rsid w:val="008E5868"/>
    <w:rsid w:val="008E5ADB"/>
    <w:rsid w:val="008E5DC8"/>
    <w:rsid w:val="008E6465"/>
    <w:rsid w:val="008E6C57"/>
    <w:rsid w:val="008E7082"/>
    <w:rsid w:val="008E72AF"/>
    <w:rsid w:val="008F0952"/>
    <w:rsid w:val="008F1154"/>
    <w:rsid w:val="008F1B84"/>
    <w:rsid w:val="008F1B9D"/>
    <w:rsid w:val="008F1DB6"/>
    <w:rsid w:val="008F337C"/>
    <w:rsid w:val="008F39C0"/>
    <w:rsid w:val="008F39E4"/>
    <w:rsid w:val="008F51F0"/>
    <w:rsid w:val="008F57CD"/>
    <w:rsid w:val="008F5960"/>
    <w:rsid w:val="008F5CD0"/>
    <w:rsid w:val="008F629A"/>
    <w:rsid w:val="008F6A9B"/>
    <w:rsid w:val="008F6F03"/>
    <w:rsid w:val="008F7603"/>
    <w:rsid w:val="008F769D"/>
    <w:rsid w:val="008F76B7"/>
    <w:rsid w:val="008F76DC"/>
    <w:rsid w:val="008F7D2F"/>
    <w:rsid w:val="008F7E68"/>
    <w:rsid w:val="009013C5"/>
    <w:rsid w:val="0090147B"/>
    <w:rsid w:val="00901649"/>
    <w:rsid w:val="00901CBA"/>
    <w:rsid w:val="00901DC6"/>
    <w:rsid w:val="00901EEE"/>
    <w:rsid w:val="009021DC"/>
    <w:rsid w:val="00902EFD"/>
    <w:rsid w:val="00903026"/>
    <w:rsid w:val="0090357B"/>
    <w:rsid w:val="00903832"/>
    <w:rsid w:val="009042D0"/>
    <w:rsid w:val="009044BE"/>
    <w:rsid w:val="009048EB"/>
    <w:rsid w:val="00904913"/>
    <w:rsid w:val="00904C15"/>
    <w:rsid w:val="009050B3"/>
    <w:rsid w:val="00905298"/>
    <w:rsid w:val="00905945"/>
    <w:rsid w:val="00905FEB"/>
    <w:rsid w:val="00906164"/>
    <w:rsid w:val="00906252"/>
    <w:rsid w:val="0090672E"/>
    <w:rsid w:val="00906A4F"/>
    <w:rsid w:val="00906BD6"/>
    <w:rsid w:val="00907074"/>
    <w:rsid w:val="009073C7"/>
    <w:rsid w:val="009078BA"/>
    <w:rsid w:val="009079C7"/>
    <w:rsid w:val="009079F7"/>
    <w:rsid w:val="00907B44"/>
    <w:rsid w:val="00907C33"/>
    <w:rsid w:val="009108D2"/>
    <w:rsid w:val="00910C20"/>
    <w:rsid w:val="00910D99"/>
    <w:rsid w:val="00910FE1"/>
    <w:rsid w:val="0091106A"/>
    <w:rsid w:val="00911C09"/>
    <w:rsid w:val="00911D1C"/>
    <w:rsid w:val="00912F38"/>
    <w:rsid w:val="0091340D"/>
    <w:rsid w:val="00913C58"/>
    <w:rsid w:val="009140B4"/>
    <w:rsid w:val="00914174"/>
    <w:rsid w:val="0091428A"/>
    <w:rsid w:val="00914733"/>
    <w:rsid w:val="0091495E"/>
    <w:rsid w:val="00914AA5"/>
    <w:rsid w:val="00914EAF"/>
    <w:rsid w:val="00915295"/>
    <w:rsid w:val="00915428"/>
    <w:rsid w:val="00915A83"/>
    <w:rsid w:val="009162DD"/>
    <w:rsid w:val="009163E7"/>
    <w:rsid w:val="0091670A"/>
    <w:rsid w:val="0091671A"/>
    <w:rsid w:val="009169F6"/>
    <w:rsid w:val="009170FD"/>
    <w:rsid w:val="0091719D"/>
    <w:rsid w:val="00917903"/>
    <w:rsid w:val="00917BEA"/>
    <w:rsid w:val="00920189"/>
    <w:rsid w:val="00920203"/>
    <w:rsid w:val="00920997"/>
    <w:rsid w:val="00920B1E"/>
    <w:rsid w:val="00920DD5"/>
    <w:rsid w:val="00921161"/>
    <w:rsid w:val="00922492"/>
    <w:rsid w:val="009224EB"/>
    <w:rsid w:val="0092272F"/>
    <w:rsid w:val="00922BE2"/>
    <w:rsid w:val="00922EDE"/>
    <w:rsid w:val="009237D9"/>
    <w:rsid w:val="0092406C"/>
    <w:rsid w:val="00924096"/>
    <w:rsid w:val="009243BC"/>
    <w:rsid w:val="009244D5"/>
    <w:rsid w:val="0092523A"/>
    <w:rsid w:val="009252F1"/>
    <w:rsid w:val="00925588"/>
    <w:rsid w:val="00925733"/>
    <w:rsid w:val="00925AF5"/>
    <w:rsid w:val="00926268"/>
    <w:rsid w:val="009264A2"/>
    <w:rsid w:val="0092715D"/>
    <w:rsid w:val="00927299"/>
    <w:rsid w:val="009278F0"/>
    <w:rsid w:val="00930632"/>
    <w:rsid w:val="009310BC"/>
    <w:rsid w:val="00931D3F"/>
    <w:rsid w:val="009324C4"/>
    <w:rsid w:val="00932671"/>
    <w:rsid w:val="00932A7A"/>
    <w:rsid w:val="00932D26"/>
    <w:rsid w:val="009330BF"/>
    <w:rsid w:val="00933817"/>
    <w:rsid w:val="009340EB"/>
    <w:rsid w:val="00934510"/>
    <w:rsid w:val="0093476C"/>
    <w:rsid w:val="00935A1E"/>
    <w:rsid w:val="00935AA3"/>
    <w:rsid w:val="00935B7C"/>
    <w:rsid w:val="00935E3A"/>
    <w:rsid w:val="00936005"/>
    <w:rsid w:val="0093607C"/>
    <w:rsid w:val="00940008"/>
    <w:rsid w:val="00940FFA"/>
    <w:rsid w:val="00941010"/>
    <w:rsid w:val="00941503"/>
    <w:rsid w:val="0094187D"/>
    <w:rsid w:val="009423ED"/>
    <w:rsid w:val="00942C90"/>
    <w:rsid w:val="00942F29"/>
    <w:rsid w:val="00942FB6"/>
    <w:rsid w:val="009430E1"/>
    <w:rsid w:val="009434EB"/>
    <w:rsid w:val="00943EA6"/>
    <w:rsid w:val="009443F2"/>
    <w:rsid w:val="009448F2"/>
    <w:rsid w:val="009451E0"/>
    <w:rsid w:val="0094524B"/>
    <w:rsid w:val="009456E3"/>
    <w:rsid w:val="00945759"/>
    <w:rsid w:val="00945925"/>
    <w:rsid w:val="009466E9"/>
    <w:rsid w:val="00946CB3"/>
    <w:rsid w:val="00946D20"/>
    <w:rsid w:val="00946E51"/>
    <w:rsid w:val="009473F4"/>
    <w:rsid w:val="0094767D"/>
    <w:rsid w:val="00950231"/>
    <w:rsid w:val="00950794"/>
    <w:rsid w:val="009507AA"/>
    <w:rsid w:val="009509EF"/>
    <w:rsid w:val="009512DC"/>
    <w:rsid w:val="009515CA"/>
    <w:rsid w:val="00951691"/>
    <w:rsid w:val="00951FCE"/>
    <w:rsid w:val="009521CC"/>
    <w:rsid w:val="0095226C"/>
    <w:rsid w:val="0095269B"/>
    <w:rsid w:val="00952C05"/>
    <w:rsid w:val="00952D52"/>
    <w:rsid w:val="009540B7"/>
    <w:rsid w:val="009543D0"/>
    <w:rsid w:val="00954AF9"/>
    <w:rsid w:val="00954DAE"/>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23A"/>
    <w:rsid w:val="009607AB"/>
    <w:rsid w:val="00961154"/>
    <w:rsid w:val="009615DB"/>
    <w:rsid w:val="00962683"/>
    <w:rsid w:val="00962ADC"/>
    <w:rsid w:val="00962E23"/>
    <w:rsid w:val="0096487C"/>
    <w:rsid w:val="00964BC2"/>
    <w:rsid w:val="00964D4A"/>
    <w:rsid w:val="00964EAE"/>
    <w:rsid w:val="00965023"/>
    <w:rsid w:val="009650B7"/>
    <w:rsid w:val="0096515D"/>
    <w:rsid w:val="0096554B"/>
    <w:rsid w:val="00965841"/>
    <w:rsid w:val="00966568"/>
    <w:rsid w:val="00966623"/>
    <w:rsid w:val="009678DB"/>
    <w:rsid w:val="00970728"/>
    <w:rsid w:val="009707C9"/>
    <w:rsid w:val="00971303"/>
    <w:rsid w:val="00971E0B"/>
    <w:rsid w:val="00972101"/>
    <w:rsid w:val="00972285"/>
    <w:rsid w:val="00972FB5"/>
    <w:rsid w:val="00973607"/>
    <w:rsid w:val="009736FE"/>
    <w:rsid w:val="00973B96"/>
    <w:rsid w:val="00973E3C"/>
    <w:rsid w:val="00974763"/>
    <w:rsid w:val="009757CA"/>
    <w:rsid w:val="00976E76"/>
    <w:rsid w:val="00977A14"/>
    <w:rsid w:val="00977E9B"/>
    <w:rsid w:val="009807BF"/>
    <w:rsid w:val="009809CE"/>
    <w:rsid w:val="0098131F"/>
    <w:rsid w:val="00981479"/>
    <w:rsid w:val="00981F74"/>
    <w:rsid w:val="0098237C"/>
    <w:rsid w:val="009829B3"/>
    <w:rsid w:val="00982C31"/>
    <w:rsid w:val="00982D45"/>
    <w:rsid w:val="00983165"/>
    <w:rsid w:val="00983343"/>
    <w:rsid w:val="009833C4"/>
    <w:rsid w:val="009834E0"/>
    <w:rsid w:val="009838FF"/>
    <w:rsid w:val="00984149"/>
    <w:rsid w:val="00984788"/>
    <w:rsid w:val="00984909"/>
    <w:rsid w:val="00984FF3"/>
    <w:rsid w:val="00984FF9"/>
    <w:rsid w:val="009850C5"/>
    <w:rsid w:val="0098516C"/>
    <w:rsid w:val="00985208"/>
    <w:rsid w:val="00986326"/>
    <w:rsid w:val="00986849"/>
    <w:rsid w:val="00986BB7"/>
    <w:rsid w:val="00986D4B"/>
    <w:rsid w:val="00986F6D"/>
    <w:rsid w:val="0098727C"/>
    <w:rsid w:val="00987708"/>
    <w:rsid w:val="00987DF0"/>
    <w:rsid w:val="00987E2E"/>
    <w:rsid w:val="0099008B"/>
    <w:rsid w:val="00990387"/>
    <w:rsid w:val="0099177B"/>
    <w:rsid w:val="00991B8C"/>
    <w:rsid w:val="0099367E"/>
    <w:rsid w:val="00993FE4"/>
    <w:rsid w:val="0099425E"/>
    <w:rsid w:val="00994CDC"/>
    <w:rsid w:val="009958D0"/>
    <w:rsid w:val="009969CD"/>
    <w:rsid w:val="0099770A"/>
    <w:rsid w:val="00997769"/>
    <w:rsid w:val="00997A2E"/>
    <w:rsid w:val="009A048E"/>
    <w:rsid w:val="009A119F"/>
    <w:rsid w:val="009A1609"/>
    <w:rsid w:val="009A16A3"/>
    <w:rsid w:val="009A1A7E"/>
    <w:rsid w:val="009A3480"/>
    <w:rsid w:val="009A3DB8"/>
    <w:rsid w:val="009A43B3"/>
    <w:rsid w:val="009A464D"/>
    <w:rsid w:val="009A496F"/>
    <w:rsid w:val="009A4B78"/>
    <w:rsid w:val="009A4D73"/>
    <w:rsid w:val="009A4E41"/>
    <w:rsid w:val="009A5297"/>
    <w:rsid w:val="009A5851"/>
    <w:rsid w:val="009A5C0C"/>
    <w:rsid w:val="009A5D40"/>
    <w:rsid w:val="009A5E10"/>
    <w:rsid w:val="009A6665"/>
    <w:rsid w:val="009A743F"/>
    <w:rsid w:val="009A74F7"/>
    <w:rsid w:val="009B00F2"/>
    <w:rsid w:val="009B0E67"/>
    <w:rsid w:val="009B0FB2"/>
    <w:rsid w:val="009B1113"/>
    <w:rsid w:val="009B1C34"/>
    <w:rsid w:val="009B1D22"/>
    <w:rsid w:val="009B1E86"/>
    <w:rsid w:val="009B27C4"/>
    <w:rsid w:val="009B2BE6"/>
    <w:rsid w:val="009B2D92"/>
    <w:rsid w:val="009B31DE"/>
    <w:rsid w:val="009B3250"/>
    <w:rsid w:val="009B35A6"/>
    <w:rsid w:val="009B42A4"/>
    <w:rsid w:val="009B42D2"/>
    <w:rsid w:val="009B44D0"/>
    <w:rsid w:val="009B4A06"/>
    <w:rsid w:val="009B60EA"/>
    <w:rsid w:val="009B70C8"/>
    <w:rsid w:val="009B737C"/>
    <w:rsid w:val="009B742E"/>
    <w:rsid w:val="009C0AC6"/>
    <w:rsid w:val="009C11B2"/>
    <w:rsid w:val="009C1456"/>
    <w:rsid w:val="009C164F"/>
    <w:rsid w:val="009C1C30"/>
    <w:rsid w:val="009C22DD"/>
    <w:rsid w:val="009C29D5"/>
    <w:rsid w:val="009C30A0"/>
    <w:rsid w:val="009C359E"/>
    <w:rsid w:val="009C37FE"/>
    <w:rsid w:val="009C4082"/>
    <w:rsid w:val="009C4A38"/>
    <w:rsid w:val="009C4A72"/>
    <w:rsid w:val="009C4AD8"/>
    <w:rsid w:val="009C4D3D"/>
    <w:rsid w:val="009C55E2"/>
    <w:rsid w:val="009C5A4E"/>
    <w:rsid w:val="009C5EE5"/>
    <w:rsid w:val="009C61E3"/>
    <w:rsid w:val="009C6B56"/>
    <w:rsid w:val="009C7DB8"/>
    <w:rsid w:val="009C7FF0"/>
    <w:rsid w:val="009D010D"/>
    <w:rsid w:val="009D0244"/>
    <w:rsid w:val="009D0F71"/>
    <w:rsid w:val="009D111C"/>
    <w:rsid w:val="009D17A0"/>
    <w:rsid w:val="009D1F7A"/>
    <w:rsid w:val="009D2873"/>
    <w:rsid w:val="009D2942"/>
    <w:rsid w:val="009D2BB8"/>
    <w:rsid w:val="009D3A1A"/>
    <w:rsid w:val="009D426A"/>
    <w:rsid w:val="009D5BDB"/>
    <w:rsid w:val="009D6B03"/>
    <w:rsid w:val="009D6B3D"/>
    <w:rsid w:val="009D7422"/>
    <w:rsid w:val="009D78E7"/>
    <w:rsid w:val="009E0742"/>
    <w:rsid w:val="009E0B29"/>
    <w:rsid w:val="009E1291"/>
    <w:rsid w:val="009E12BC"/>
    <w:rsid w:val="009E139D"/>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90"/>
    <w:rsid w:val="009E4EB7"/>
    <w:rsid w:val="009E57C1"/>
    <w:rsid w:val="009E624A"/>
    <w:rsid w:val="009E6B0A"/>
    <w:rsid w:val="009E6B32"/>
    <w:rsid w:val="009E7039"/>
    <w:rsid w:val="009E70F3"/>
    <w:rsid w:val="009E7E98"/>
    <w:rsid w:val="009F00EE"/>
    <w:rsid w:val="009F0827"/>
    <w:rsid w:val="009F0BED"/>
    <w:rsid w:val="009F1673"/>
    <w:rsid w:val="009F3255"/>
    <w:rsid w:val="009F341D"/>
    <w:rsid w:val="009F34AA"/>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F86"/>
    <w:rsid w:val="00A0034D"/>
    <w:rsid w:val="00A00BFB"/>
    <w:rsid w:val="00A00DCF"/>
    <w:rsid w:val="00A0126C"/>
    <w:rsid w:val="00A012DA"/>
    <w:rsid w:val="00A0187E"/>
    <w:rsid w:val="00A026F0"/>
    <w:rsid w:val="00A02F2D"/>
    <w:rsid w:val="00A02F61"/>
    <w:rsid w:val="00A03529"/>
    <w:rsid w:val="00A03E0E"/>
    <w:rsid w:val="00A040D1"/>
    <w:rsid w:val="00A044B7"/>
    <w:rsid w:val="00A04A0A"/>
    <w:rsid w:val="00A050A8"/>
    <w:rsid w:val="00A056A3"/>
    <w:rsid w:val="00A059AF"/>
    <w:rsid w:val="00A05B51"/>
    <w:rsid w:val="00A06286"/>
    <w:rsid w:val="00A06318"/>
    <w:rsid w:val="00A063BC"/>
    <w:rsid w:val="00A068E1"/>
    <w:rsid w:val="00A06A80"/>
    <w:rsid w:val="00A06D8A"/>
    <w:rsid w:val="00A0711F"/>
    <w:rsid w:val="00A07B0B"/>
    <w:rsid w:val="00A102A0"/>
    <w:rsid w:val="00A10860"/>
    <w:rsid w:val="00A114FA"/>
    <w:rsid w:val="00A11AF3"/>
    <w:rsid w:val="00A12ACF"/>
    <w:rsid w:val="00A12B42"/>
    <w:rsid w:val="00A12BD4"/>
    <w:rsid w:val="00A12C09"/>
    <w:rsid w:val="00A13084"/>
    <w:rsid w:val="00A1327F"/>
    <w:rsid w:val="00A13817"/>
    <w:rsid w:val="00A138D3"/>
    <w:rsid w:val="00A13E0F"/>
    <w:rsid w:val="00A144B7"/>
    <w:rsid w:val="00A149B4"/>
    <w:rsid w:val="00A152D3"/>
    <w:rsid w:val="00A15F4F"/>
    <w:rsid w:val="00A160AB"/>
    <w:rsid w:val="00A16745"/>
    <w:rsid w:val="00A16747"/>
    <w:rsid w:val="00A17E93"/>
    <w:rsid w:val="00A20013"/>
    <w:rsid w:val="00A2056F"/>
    <w:rsid w:val="00A20582"/>
    <w:rsid w:val="00A20C65"/>
    <w:rsid w:val="00A21767"/>
    <w:rsid w:val="00A21FD5"/>
    <w:rsid w:val="00A22751"/>
    <w:rsid w:val="00A22940"/>
    <w:rsid w:val="00A23102"/>
    <w:rsid w:val="00A233D8"/>
    <w:rsid w:val="00A2343F"/>
    <w:rsid w:val="00A23505"/>
    <w:rsid w:val="00A2428B"/>
    <w:rsid w:val="00A247E5"/>
    <w:rsid w:val="00A248BD"/>
    <w:rsid w:val="00A24D81"/>
    <w:rsid w:val="00A24EA5"/>
    <w:rsid w:val="00A25173"/>
    <w:rsid w:val="00A252F0"/>
    <w:rsid w:val="00A259F2"/>
    <w:rsid w:val="00A26463"/>
    <w:rsid w:val="00A2660E"/>
    <w:rsid w:val="00A26916"/>
    <w:rsid w:val="00A26B47"/>
    <w:rsid w:val="00A26FF1"/>
    <w:rsid w:val="00A27547"/>
    <w:rsid w:val="00A2770B"/>
    <w:rsid w:val="00A27806"/>
    <w:rsid w:val="00A3068C"/>
    <w:rsid w:val="00A3127F"/>
    <w:rsid w:val="00A31922"/>
    <w:rsid w:val="00A31BCC"/>
    <w:rsid w:val="00A31C70"/>
    <w:rsid w:val="00A31C87"/>
    <w:rsid w:val="00A325BB"/>
    <w:rsid w:val="00A3297A"/>
    <w:rsid w:val="00A32A58"/>
    <w:rsid w:val="00A32EEC"/>
    <w:rsid w:val="00A333A5"/>
    <w:rsid w:val="00A336C5"/>
    <w:rsid w:val="00A339D9"/>
    <w:rsid w:val="00A33BD6"/>
    <w:rsid w:val="00A3510A"/>
    <w:rsid w:val="00A3515F"/>
    <w:rsid w:val="00A35751"/>
    <w:rsid w:val="00A3577F"/>
    <w:rsid w:val="00A35BBC"/>
    <w:rsid w:val="00A35DAB"/>
    <w:rsid w:val="00A36724"/>
    <w:rsid w:val="00A367AF"/>
    <w:rsid w:val="00A36C13"/>
    <w:rsid w:val="00A377C2"/>
    <w:rsid w:val="00A37A31"/>
    <w:rsid w:val="00A40B1F"/>
    <w:rsid w:val="00A40B4D"/>
    <w:rsid w:val="00A411E2"/>
    <w:rsid w:val="00A41373"/>
    <w:rsid w:val="00A41638"/>
    <w:rsid w:val="00A41B15"/>
    <w:rsid w:val="00A4224E"/>
    <w:rsid w:val="00A4229F"/>
    <w:rsid w:val="00A428A9"/>
    <w:rsid w:val="00A42ACA"/>
    <w:rsid w:val="00A4327C"/>
    <w:rsid w:val="00A43496"/>
    <w:rsid w:val="00A43665"/>
    <w:rsid w:val="00A43AAB"/>
    <w:rsid w:val="00A43AFE"/>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E44"/>
    <w:rsid w:val="00A47F91"/>
    <w:rsid w:val="00A507D7"/>
    <w:rsid w:val="00A50A5C"/>
    <w:rsid w:val="00A50BE2"/>
    <w:rsid w:val="00A50CC6"/>
    <w:rsid w:val="00A50E40"/>
    <w:rsid w:val="00A51462"/>
    <w:rsid w:val="00A51946"/>
    <w:rsid w:val="00A51FF7"/>
    <w:rsid w:val="00A52079"/>
    <w:rsid w:val="00A52143"/>
    <w:rsid w:val="00A521E9"/>
    <w:rsid w:val="00A5298E"/>
    <w:rsid w:val="00A52B3E"/>
    <w:rsid w:val="00A5313B"/>
    <w:rsid w:val="00A5320E"/>
    <w:rsid w:val="00A53F7B"/>
    <w:rsid w:val="00A54090"/>
    <w:rsid w:val="00A541F3"/>
    <w:rsid w:val="00A54282"/>
    <w:rsid w:val="00A549D3"/>
    <w:rsid w:val="00A54DF0"/>
    <w:rsid w:val="00A55616"/>
    <w:rsid w:val="00A57E98"/>
    <w:rsid w:val="00A60017"/>
    <w:rsid w:val="00A60849"/>
    <w:rsid w:val="00A6105B"/>
    <w:rsid w:val="00A61355"/>
    <w:rsid w:val="00A61668"/>
    <w:rsid w:val="00A621D3"/>
    <w:rsid w:val="00A628F8"/>
    <w:rsid w:val="00A62B7A"/>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E37"/>
    <w:rsid w:val="00A66ECF"/>
    <w:rsid w:val="00A67681"/>
    <w:rsid w:val="00A67E38"/>
    <w:rsid w:val="00A703E4"/>
    <w:rsid w:val="00A704C9"/>
    <w:rsid w:val="00A70DC6"/>
    <w:rsid w:val="00A71080"/>
    <w:rsid w:val="00A71986"/>
    <w:rsid w:val="00A71E3D"/>
    <w:rsid w:val="00A71E73"/>
    <w:rsid w:val="00A71EBA"/>
    <w:rsid w:val="00A72740"/>
    <w:rsid w:val="00A73A64"/>
    <w:rsid w:val="00A742AD"/>
    <w:rsid w:val="00A746D7"/>
    <w:rsid w:val="00A74AB2"/>
    <w:rsid w:val="00A7545E"/>
    <w:rsid w:val="00A75A27"/>
    <w:rsid w:val="00A75A46"/>
    <w:rsid w:val="00A75B36"/>
    <w:rsid w:val="00A7623B"/>
    <w:rsid w:val="00A7660A"/>
    <w:rsid w:val="00A7663A"/>
    <w:rsid w:val="00A7696B"/>
    <w:rsid w:val="00A769D4"/>
    <w:rsid w:val="00A8008F"/>
    <w:rsid w:val="00A804C7"/>
    <w:rsid w:val="00A80857"/>
    <w:rsid w:val="00A80A39"/>
    <w:rsid w:val="00A80DF0"/>
    <w:rsid w:val="00A80E64"/>
    <w:rsid w:val="00A81A16"/>
    <w:rsid w:val="00A823A7"/>
    <w:rsid w:val="00A824D4"/>
    <w:rsid w:val="00A825C8"/>
    <w:rsid w:val="00A82742"/>
    <w:rsid w:val="00A82A29"/>
    <w:rsid w:val="00A83984"/>
    <w:rsid w:val="00A83A1E"/>
    <w:rsid w:val="00A84198"/>
    <w:rsid w:val="00A841AB"/>
    <w:rsid w:val="00A84FFD"/>
    <w:rsid w:val="00A86104"/>
    <w:rsid w:val="00A8655A"/>
    <w:rsid w:val="00A87203"/>
    <w:rsid w:val="00A87744"/>
    <w:rsid w:val="00A87AE6"/>
    <w:rsid w:val="00A87B09"/>
    <w:rsid w:val="00A87C22"/>
    <w:rsid w:val="00A90590"/>
    <w:rsid w:val="00A90856"/>
    <w:rsid w:val="00A90A39"/>
    <w:rsid w:val="00A90A97"/>
    <w:rsid w:val="00A90CB4"/>
    <w:rsid w:val="00A910DA"/>
    <w:rsid w:val="00A920E1"/>
    <w:rsid w:val="00A92998"/>
    <w:rsid w:val="00A933AE"/>
    <w:rsid w:val="00A93863"/>
    <w:rsid w:val="00A93928"/>
    <w:rsid w:val="00A93F73"/>
    <w:rsid w:val="00A9415E"/>
    <w:rsid w:val="00A9423F"/>
    <w:rsid w:val="00A94EBD"/>
    <w:rsid w:val="00A9510D"/>
    <w:rsid w:val="00A95580"/>
    <w:rsid w:val="00A956AC"/>
    <w:rsid w:val="00A95D2A"/>
    <w:rsid w:val="00A961D6"/>
    <w:rsid w:val="00A96214"/>
    <w:rsid w:val="00A96398"/>
    <w:rsid w:val="00A967E8"/>
    <w:rsid w:val="00A97F4B"/>
    <w:rsid w:val="00AA04C5"/>
    <w:rsid w:val="00AA10B1"/>
    <w:rsid w:val="00AA2803"/>
    <w:rsid w:val="00AA2BF2"/>
    <w:rsid w:val="00AA2D68"/>
    <w:rsid w:val="00AA2D6F"/>
    <w:rsid w:val="00AA2E92"/>
    <w:rsid w:val="00AA3987"/>
    <w:rsid w:val="00AA3B68"/>
    <w:rsid w:val="00AA3E79"/>
    <w:rsid w:val="00AA4FB4"/>
    <w:rsid w:val="00AA5C0B"/>
    <w:rsid w:val="00AA5E3B"/>
    <w:rsid w:val="00AA63AD"/>
    <w:rsid w:val="00AA65B4"/>
    <w:rsid w:val="00AA6A75"/>
    <w:rsid w:val="00AA745E"/>
    <w:rsid w:val="00AB04AB"/>
    <w:rsid w:val="00AB0733"/>
    <w:rsid w:val="00AB09D2"/>
    <w:rsid w:val="00AB0B64"/>
    <w:rsid w:val="00AB0C30"/>
    <w:rsid w:val="00AB176B"/>
    <w:rsid w:val="00AB2C5F"/>
    <w:rsid w:val="00AB37E6"/>
    <w:rsid w:val="00AB3DBA"/>
    <w:rsid w:val="00AB431C"/>
    <w:rsid w:val="00AB470E"/>
    <w:rsid w:val="00AB4C80"/>
    <w:rsid w:val="00AB506B"/>
    <w:rsid w:val="00AB5467"/>
    <w:rsid w:val="00AB5883"/>
    <w:rsid w:val="00AB5A7E"/>
    <w:rsid w:val="00AB7538"/>
    <w:rsid w:val="00AB77F3"/>
    <w:rsid w:val="00AB7A1E"/>
    <w:rsid w:val="00AC0256"/>
    <w:rsid w:val="00AC0AAD"/>
    <w:rsid w:val="00AC1231"/>
    <w:rsid w:val="00AC1992"/>
    <w:rsid w:val="00AC1E14"/>
    <w:rsid w:val="00AC2CFA"/>
    <w:rsid w:val="00AC3263"/>
    <w:rsid w:val="00AC337E"/>
    <w:rsid w:val="00AC3E12"/>
    <w:rsid w:val="00AC406E"/>
    <w:rsid w:val="00AC417C"/>
    <w:rsid w:val="00AC430C"/>
    <w:rsid w:val="00AC4951"/>
    <w:rsid w:val="00AC49C9"/>
    <w:rsid w:val="00AC4A6B"/>
    <w:rsid w:val="00AC5C19"/>
    <w:rsid w:val="00AC60F0"/>
    <w:rsid w:val="00AC63C7"/>
    <w:rsid w:val="00AC6657"/>
    <w:rsid w:val="00AC6D7A"/>
    <w:rsid w:val="00AC7363"/>
    <w:rsid w:val="00AC7401"/>
    <w:rsid w:val="00AC7901"/>
    <w:rsid w:val="00AC79F3"/>
    <w:rsid w:val="00AC7FDD"/>
    <w:rsid w:val="00AD0949"/>
    <w:rsid w:val="00AD0F1D"/>
    <w:rsid w:val="00AD1179"/>
    <w:rsid w:val="00AD1359"/>
    <w:rsid w:val="00AD19F0"/>
    <w:rsid w:val="00AD1FCE"/>
    <w:rsid w:val="00AD26E1"/>
    <w:rsid w:val="00AD29CC"/>
    <w:rsid w:val="00AD3268"/>
    <w:rsid w:val="00AD3652"/>
    <w:rsid w:val="00AD3D6C"/>
    <w:rsid w:val="00AD3DE2"/>
    <w:rsid w:val="00AD4261"/>
    <w:rsid w:val="00AD46F5"/>
    <w:rsid w:val="00AD51A3"/>
    <w:rsid w:val="00AD598B"/>
    <w:rsid w:val="00AD7154"/>
    <w:rsid w:val="00AD797D"/>
    <w:rsid w:val="00AD7E02"/>
    <w:rsid w:val="00AE0034"/>
    <w:rsid w:val="00AE0483"/>
    <w:rsid w:val="00AE08DD"/>
    <w:rsid w:val="00AE13BD"/>
    <w:rsid w:val="00AE1ABF"/>
    <w:rsid w:val="00AE1AF9"/>
    <w:rsid w:val="00AE1E60"/>
    <w:rsid w:val="00AE2068"/>
    <w:rsid w:val="00AE2258"/>
    <w:rsid w:val="00AE277E"/>
    <w:rsid w:val="00AE2A36"/>
    <w:rsid w:val="00AE2BC6"/>
    <w:rsid w:val="00AE3251"/>
    <w:rsid w:val="00AE33DA"/>
    <w:rsid w:val="00AE3FE0"/>
    <w:rsid w:val="00AE5058"/>
    <w:rsid w:val="00AE51CD"/>
    <w:rsid w:val="00AE5471"/>
    <w:rsid w:val="00AE54AA"/>
    <w:rsid w:val="00AE60E4"/>
    <w:rsid w:val="00AE615F"/>
    <w:rsid w:val="00AE6872"/>
    <w:rsid w:val="00AE6C58"/>
    <w:rsid w:val="00AE72C4"/>
    <w:rsid w:val="00AE7F05"/>
    <w:rsid w:val="00AE7F38"/>
    <w:rsid w:val="00AF054D"/>
    <w:rsid w:val="00AF0939"/>
    <w:rsid w:val="00AF0981"/>
    <w:rsid w:val="00AF0F9C"/>
    <w:rsid w:val="00AF10F0"/>
    <w:rsid w:val="00AF18E2"/>
    <w:rsid w:val="00AF19C4"/>
    <w:rsid w:val="00AF24E7"/>
    <w:rsid w:val="00AF272B"/>
    <w:rsid w:val="00AF291B"/>
    <w:rsid w:val="00AF2DAA"/>
    <w:rsid w:val="00AF2EBD"/>
    <w:rsid w:val="00AF33AE"/>
    <w:rsid w:val="00AF3CDC"/>
    <w:rsid w:val="00AF44B1"/>
    <w:rsid w:val="00AF5800"/>
    <w:rsid w:val="00AF6986"/>
    <w:rsid w:val="00AF69FE"/>
    <w:rsid w:val="00AF6A77"/>
    <w:rsid w:val="00AF6D1B"/>
    <w:rsid w:val="00AF73ED"/>
    <w:rsid w:val="00AF76A8"/>
    <w:rsid w:val="00AF7D69"/>
    <w:rsid w:val="00AF7ED2"/>
    <w:rsid w:val="00B004D8"/>
    <w:rsid w:val="00B00830"/>
    <w:rsid w:val="00B00CC5"/>
    <w:rsid w:val="00B016D2"/>
    <w:rsid w:val="00B02091"/>
    <w:rsid w:val="00B0250E"/>
    <w:rsid w:val="00B02B43"/>
    <w:rsid w:val="00B03697"/>
    <w:rsid w:val="00B03D36"/>
    <w:rsid w:val="00B04540"/>
    <w:rsid w:val="00B046F1"/>
    <w:rsid w:val="00B05116"/>
    <w:rsid w:val="00B051A7"/>
    <w:rsid w:val="00B05F1A"/>
    <w:rsid w:val="00B066A2"/>
    <w:rsid w:val="00B06D58"/>
    <w:rsid w:val="00B07B33"/>
    <w:rsid w:val="00B07FA2"/>
    <w:rsid w:val="00B100CF"/>
    <w:rsid w:val="00B1074F"/>
    <w:rsid w:val="00B10E82"/>
    <w:rsid w:val="00B111A6"/>
    <w:rsid w:val="00B115E5"/>
    <w:rsid w:val="00B118EE"/>
    <w:rsid w:val="00B11B03"/>
    <w:rsid w:val="00B11C5B"/>
    <w:rsid w:val="00B121CD"/>
    <w:rsid w:val="00B12343"/>
    <w:rsid w:val="00B12529"/>
    <w:rsid w:val="00B128C5"/>
    <w:rsid w:val="00B12B11"/>
    <w:rsid w:val="00B12C94"/>
    <w:rsid w:val="00B135AB"/>
    <w:rsid w:val="00B135DC"/>
    <w:rsid w:val="00B13797"/>
    <w:rsid w:val="00B137BF"/>
    <w:rsid w:val="00B13A1B"/>
    <w:rsid w:val="00B13A76"/>
    <w:rsid w:val="00B142D9"/>
    <w:rsid w:val="00B145D5"/>
    <w:rsid w:val="00B14BC4"/>
    <w:rsid w:val="00B158A3"/>
    <w:rsid w:val="00B15B25"/>
    <w:rsid w:val="00B15C36"/>
    <w:rsid w:val="00B15EA0"/>
    <w:rsid w:val="00B16069"/>
    <w:rsid w:val="00B1745A"/>
    <w:rsid w:val="00B17785"/>
    <w:rsid w:val="00B17A19"/>
    <w:rsid w:val="00B17A4E"/>
    <w:rsid w:val="00B17B30"/>
    <w:rsid w:val="00B17C2F"/>
    <w:rsid w:val="00B2153E"/>
    <w:rsid w:val="00B218CB"/>
    <w:rsid w:val="00B21FA7"/>
    <w:rsid w:val="00B22022"/>
    <w:rsid w:val="00B225E4"/>
    <w:rsid w:val="00B23223"/>
    <w:rsid w:val="00B23F7A"/>
    <w:rsid w:val="00B240B1"/>
    <w:rsid w:val="00B24208"/>
    <w:rsid w:val="00B24374"/>
    <w:rsid w:val="00B24728"/>
    <w:rsid w:val="00B248A9"/>
    <w:rsid w:val="00B2490A"/>
    <w:rsid w:val="00B24BE3"/>
    <w:rsid w:val="00B24D28"/>
    <w:rsid w:val="00B24F1C"/>
    <w:rsid w:val="00B25D76"/>
    <w:rsid w:val="00B27032"/>
    <w:rsid w:val="00B27085"/>
    <w:rsid w:val="00B27583"/>
    <w:rsid w:val="00B30003"/>
    <w:rsid w:val="00B3015C"/>
    <w:rsid w:val="00B3036D"/>
    <w:rsid w:val="00B30642"/>
    <w:rsid w:val="00B31201"/>
    <w:rsid w:val="00B31B4B"/>
    <w:rsid w:val="00B31E36"/>
    <w:rsid w:val="00B32E26"/>
    <w:rsid w:val="00B332F0"/>
    <w:rsid w:val="00B338B7"/>
    <w:rsid w:val="00B34061"/>
    <w:rsid w:val="00B34376"/>
    <w:rsid w:val="00B3440A"/>
    <w:rsid w:val="00B34441"/>
    <w:rsid w:val="00B35533"/>
    <w:rsid w:val="00B35534"/>
    <w:rsid w:val="00B35A87"/>
    <w:rsid w:val="00B35AFD"/>
    <w:rsid w:val="00B35F9A"/>
    <w:rsid w:val="00B3609C"/>
    <w:rsid w:val="00B36236"/>
    <w:rsid w:val="00B3662E"/>
    <w:rsid w:val="00B36645"/>
    <w:rsid w:val="00B366D2"/>
    <w:rsid w:val="00B366FA"/>
    <w:rsid w:val="00B36E86"/>
    <w:rsid w:val="00B379BA"/>
    <w:rsid w:val="00B40B30"/>
    <w:rsid w:val="00B40E47"/>
    <w:rsid w:val="00B412FD"/>
    <w:rsid w:val="00B41D4A"/>
    <w:rsid w:val="00B41E1C"/>
    <w:rsid w:val="00B422BE"/>
    <w:rsid w:val="00B4241D"/>
    <w:rsid w:val="00B426BB"/>
    <w:rsid w:val="00B42C49"/>
    <w:rsid w:val="00B42EB9"/>
    <w:rsid w:val="00B436F0"/>
    <w:rsid w:val="00B441FE"/>
    <w:rsid w:val="00B44821"/>
    <w:rsid w:val="00B44AD3"/>
    <w:rsid w:val="00B450EB"/>
    <w:rsid w:val="00B45152"/>
    <w:rsid w:val="00B454DD"/>
    <w:rsid w:val="00B45E54"/>
    <w:rsid w:val="00B460B8"/>
    <w:rsid w:val="00B464E4"/>
    <w:rsid w:val="00B4689A"/>
    <w:rsid w:val="00B46D5F"/>
    <w:rsid w:val="00B46E7B"/>
    <w:rsid w:val="00B47DC5"/>
    <w:rsid w:val="00B50395"/>
    <w:rsid w:val="00B503C6"/>
    <w:rsid w:val="00B505B3"/>
    <w:rsid w:val="00B50882"/>
    <w:rsid w:val="00B50A74"/>
    <w:rsid w:val="00B5199C"/>
    <w:rsid w:val="00B520A0"/>
    <w:rsid w:val="00B5257E"/>
    <w:rsid w:val="00B525CE"/>
    <w:rsid w:val="00B52CFD"/>
    <w:rsid w:val="00B545A8"/>
    <w:rsid w:val="00B56527"/>
    <w:rsid w:val="00B56706"/>
    <w:rsid w:val="00B57019"/>
    <w:rsid w:val="00B576DA"/>
    <w:rsid w:val="00B57710"/>
    <w:rsid w:val="00B601C9"/>
    <w:rsid w:val="00B60D04"/>
    <w:rsid w:val="00B6158F"/>
    <w:rsid w:val="00B61EE8"/>
    <w:rsid w:val="00B633A3"/>
    <w:rsid w:val="00B63533"/>
    <w:rsid w:val="00B63BDB"/>
    <w:rsid w:val="00B64A0E"/>
    <w:rsid w:val="00B64DDF"/>
    <w:rsid w:val="00B6601E"/>
    <w:rsid w:val="00B663AA"/>
    <w:rsid w:val="00B66DD5"/>
    <w:rsid w:val="00B67722"/>
    <w:rsid w:val="00B67B97"/>
    <w:rsid w:val="00B67F01"/>
    <w:rsid w:val="00B70329"/>
    <w:rsid w:val="00B711AB"/>
    <w:rsid w:val="00B714F0"/>
    <w:rsid w:val="00B71A40"/>
    <w:rsid w:val="00B71C8C"/>
    <w:rsid w:val="00B71CB4"/>
    <w:rsid w:val="00B71FD7"/>
    <w:rsid w:val="00B725E7"/>
    <w:rsid w:val="00B72C07"/>
    <w:rsid w:val="00B72DF7"/>
    <w:rsid w:val="00B72F42"/>
    <w:rsid w:val="00B73E44"/>
    <w:rsid w:val="00B74290"/>
    <w:rsid w:val="00B74510"/>
    <w:rsid w:val="00B74BD4"/>
    <w:rsid w:val="00B74BF7"/>
    <w:rsid w:val="00B760FD"/>
    <w:rsid w:val="00B76185"/>
    <w:rsid w:val="00B76BCD"/>
    <w:rsid w:val="00B779E6"/>
    <w:rsid w:val="00B804E2"/>
    <w:rsid w:val="00B811B2"/>
    <w:rsid w:val="00B81BA3"/>
    <w:rsid w:val="00B82213"/>
    <w:rsid w:val="00B8276E"/>
    <w:rsid w:val="00B82912"/>
    <w:rsid w:val="00B839A9"/>
    <w:rsid w:val="00B83A62"/>
    <w:rsid w:val="00B83B59"/>
    <w:rsid w:val="00B84252"/>
    <w:rsid w:val="00B8468F"/>
    <w:rsid w:val="00B849F1"/>
    <w:rsid w:val="00B84FC6"/>
    <w:rsid w:val="00B857F5"/>
    <w:rsid w:val="00B86D6C"/>
    <w:rsid w:val="00B86EB5"/>
    <w:rsid w:val="00B86F47"/>
    <w:rsid w:val="00B874B4"/>
    <w:rsid w:val="00B8787A"/>
    <w:rsid w:val="00B87887"/>
    <w:rsid w:val="00B90123"/>
    <w:rsid w:val="00B90196"/>
    <w:rsid w:val="00B911C1"/>
    <w:rsid w:val="00B91374"/>
    <w:rsid w:val="00B9216A"/>
    <w:rsid w:val="00B922C3"/>
    <w:rsid w:val="00B9272E"/>
    <w:rsid w:val="00B927A7"/>
    <w:rsid w:val="00B92B9E"/>
    <w:rsid w:val="00B93315"/>
    <w:rsid w:val="00B93519"/>
    <w:rsid w:val="00B9372A"/>
    <w:rsid w:val="00B9425C"/>
    <w:rsid w:val="00B94AAF"/>
    <w:rsid w:val="00B953FF"/>
    <w:rsid w:val="00B9622D"/>
    <w:rsid w:val="00B96263"/>
    <w:rsid w:val="00B968A5"/>
    <w:rsid w:val="00B972CD"/>
    <w:rsid w:val="00B97D02"/>
    <w:rsid w:val="00BA0304"/>
    <w:rsid w:val="00BA0557"/>
    <w:rsid w:val="00BA19C4"/>
    <w:rsid w:val="00BA3038"/>
    <w:rsid w:val="00BA370A"/>
    <w:rsid w:val="00BA48BC"/>
    <w:rsid w:val="00BA4A29"/>
    <w:rsid w:val="00BA4BE7"/>
    <w:rsid w:val="00BA5F20"/>
    <w:rsid w:val="00BA5F44"/>
    <w:rsid w:val="00BA68D9"/>
    <w:rsid w:val="00BA695F"/>
    <w:rsid w:val="00BA6FD8"/>
    <w:rsid w:val="00BA7172"/>
    <w:rsid w:val="00BA7B01"/>
    <w:rsid w:val="00BB02D7"/>
    <w:rsid w:val="00BB0D9F"/>
    <w:rsid w:val="00BB0DEE"/>
    <w:rsid w:val="00BB0F93"/>
    <w:rsid w:val="00BB1031"/>
    <w:rsid w:val="00BB1B33"/>
    <w:rsid w:val="00BB2480"/>
    <w:rsid w:val="00BB27FD"/>
    <w:rsid w:val="00BB2C4E"/>
    <w:rsid w:val="00BB2E29"/>
    <w:rsid w:val="00BB2F74"/>
    <w:rsid w:val="00BB3206"/>
    <w:rsid w:val="00BB3277"/>
    <w:rsid w:val="00BB32C2"/>
    <w:rsid w:val="00BB39BF"/>
    <w:rsid w:val="00BB3B0D"/>
    <w:rsid w:val="00BB524C"/>
    <w:rsid w:val="00BB5DAB"/>
    <w:rsid w:val="00BB6195"/>
    <w:rsid w:val="00BB61A3"/>
    <w:rsid w:val="00BB67EA"/>
    <w:rsid w:val="00BB707E"/>
    <w:rsid w:val="00BB7568"/>
    <w:rsid w:val="00BC007C"/>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93"/>
    <w:rsid w:val="00BC5EDB"/>
    <w:rsid w:val="00BC69A2"/>
    <w:rsid w:val="00BC6ED6"/>
    <w:rsid w:val="00BC6F03"/>
    <w:rsid w:val="00BC6FA1"/>
    <w:rsid w:val="00BC7487"/>
    <w:rsid w:val="00BD0570"/>
    <w:rsid w:val="00BD0853"/>
    <w:rsid w:val="00BD112D"/>
    <w:rsid w:val="00BD214E"/>
    <w:rsid w:val="00BD2395"/>
    <w:rsid w:val="00BD25B8"/>
    <w:rsid w:val="00BD2842"/>
    <w:rsid w:val="00BD3120"/>
    <w:rsid w:val="00BD3354"/>
    <w:rsid w:val="00BD384E"/>
    <w:rsid w:val="00BD3E76"/>
    <w:rsid w:val="00BD3EE2"/>
    <w:rsid w:val="00BD3FCF"/>
    <w:rsid w:val="00BD42D2"/>
    <w:rsid w:val="00BD47D7"/>
    <w:rsid w:val="00BD4EFB"/>
    <w:rsid w:val="00BD5076"/>
    <w:rsid w:val="00BD5551"/>
    <w:rsid w:val="00BD6D43"/>
    <w:rsid w:val="00BD7090"/>
    <w:rsid w:val="00BD7490"/>
    <w:rsid w:val="00BD767F"/>
    <w:rsid w:val="00BD7DA0"/>
    <w:rsid w:val="00BE096B"/>
    <w:rsid w:val="00BE09C3"/>
    <w:rsid w:val="00BE0C27"/>
    <w:rsid w:val="00BE0F9B"/>
    <w:rsid w:val="00BE15BB"/>
    <w:rsid w:val="00BE198F"/>
    <w:rsid w:val="00BE4875"/>
    <w:rsid w:val="00BE4CCF"/>
    <w:rsid w:val="00BE5964"/>
    <w:rsid w:val="00BE660B"/>
    <w:rsid w:val="00BE6AFE"/>
    <w:rsid w:val="00BE6BBE"/>
    <w:rsid w:val="00BE7021"/>
    <w:rsid w:val="00BE7300"/>
    <w:rsid w:val="00BE76F7"/>
    <w:rsid w:val="00BE784F"/>
    <w:rsid w:val="00BE79C6"/>
    <w:rsid w:val="00BF0238"/>
    <w:rsid w:val="00BF0717"/>
    <w:rsid w:val="00BF1750"/>
    <w:rsid w:val="00BF178E"/>
    <w:rsid w:val="00BF189F"/>
    <w:rsid w:val="00BF1B44"/>
    <w:rsid w:val="00BF1D88"/>
    <w:rsid w:val="00BF1F01"/>
    <w:rsid w:val="00BF1FC2"/>
    <w:rsid w:val="00BF23CC"/>
    <w:rsid w:val="00BF243F"/>
    <w:rsid w:val="00BF2708"/>
    <w:rsid w:val="00BF3284"/>
    <w:rsid w:val="00BF3CDF"/>
    <w:rsid w:val="00BF4C2B"/>
    <w:rsid w:val="00BF507A"/>
    <w:rsid w:val="00BF53F1"/>
    <w:rsid w:val="00BF5717"/>
    <w:rsid w:val="00BF5B9D"/>
    <w:rsid w:val="00BF5C45"/>
    <w:rsid w:val="00BF5FA3"/>
    <w:rsid w:val="00BF62F2"/>
    <w:rsid w:val="00BF63A5"/>
    <w:rsid w:val="00BF72A7"/>
    <w:rsid w:val="00BF7558"/>
    <w:rsid w:val="00BF7DD2"/>
    <w:rsid w:val="00C0111E"/>
    <w:rsid w:val="00C02676"/>
    <w:rsid w:val="00C029AB"/>
    <w:rsid w:val="00C02D74"/>
    <w:rsid w:val="00C03BD5"/>
    <w:rsid w:val="00C03C8B"/>
    <w:rsid w:val="00C03F3C"/>
    <w:rsid w:val="00C0425C"/>
    <w:rsid w:val="00C049BE"/>
    <w:rsid w:val="00C04A71"/>
    <w:rsid w:val="00C04DF0"/>
    <w:rsid w:val="00C05A4C"/>
    <w:rsid w:val="00C05A67"/>
    <w:rsid w:val="00C0632D"/>
    <w:rsid w:val="00C0641F"/>
    <w:rsid w:val="00C06C9A"/>
    <w:rsid w:val="00C06E6F"/>
    <w:rsid w:val="00C075DB"/>
    <w:rsid w:val="00C07EBA"/>
    <w:rsid w:val="00C07FBC"/>
    <w:rsid w:val="00C100E2"/>
    <w:rsid w:val="00C100E7"/>
    <w:rsid w:val="00C11113"/>
    <w:rsid w:val="00C11687"/>
    <w:rsid w:val="00C11E28"/>
    <w:rsid w:val="00C11F66"/>
    <w:rsid w:val="00C1225B"/>
    <w:rsid w:val="00C122F9"/>
    <w:rsid w:val="00C1253A"/>
    <w:rsid w:val="00C128C9"/>
    <w:rsid w:val="00C12CF3"/>
    <w:rsid w:val="00C12F88"/>
    <w:rsid w:val="00C131A8"/>
    <w:rsid w:val="00C1322D"/>
    <w:rsid w:val="00C135A3"/>
    <w:rsid w:val="00C1477A"/>
    <w:rsid w:val="00C14A62"/>
    <w:rsid w:val="00C158EB"/>
    <w:rsid w:val="00C159B1"/>
    <w:rsid w:val="00C15D51"/>
    <w:rsid w:val="00C161F5"/>
    <w:rsid w:val="00C16C92"/>
    <w:rsid w:val="00C16ED6"/>
    <w:rsid w:val="00C1706B"/>
    <w:rsid w:val="00C17DB7"/>
    <w:rsid w:val="00C17E48"/>
    <w:rsid w:val="00C17F0B"/>
    <w:rsid w:val="00C201E7"/>
    <w:rsid w:val="00C20506"/>
    <w:rsid w:val="00C20AA2"/>
    <w:rsid w:val="00C20B91"/>
    <w:rsid w:val="00C21155"/>
    <w:rsid w:val="00C2146C"/>
    <w:rsid w:val="00C214D7"/>
    <w:rsid w:val="00C21561"/>
    <w:rsid w:val="00C217EE"/>
    <w:rsid w:val="00C22784"/>
    <w:rsid w:val="00C22FAA"/>
    <w:rsid w:val="00C23A4C"/>
    <w:rsid w:val="00C2419D"/>
    <w:rsid w:val="00C243A4"/>
    <w:rsid w:val="00C24416"/>
    <w:rsid w:val="00C248DB"/>
    <w:rsid w:val="00C24DA7"/>
    <w:rsid w:val="00C26170"/>
    <w:rsid w:val="00C26B5A"/>
    <w:rsid w:val="00C26BB1"/>
    <w:rsid w:val="00C26D52"/>
    <w:rsid w:val="00C303E4"/>
    <w:rsid w:val="00C30775"/>
    <w:rsid w:val="00C30B8D"/>
    <w:rsid w:val="00C30DBE"/>
    <w:rsid w:val="00C3134E"/>
    <w:rsid w:val="00C315D8"/>
    <w:rsid w:val="00C31C4A"/>
    <w:rsid w:val="00C31D2D"/>
    <w:rsid w:val="00C3209A"/>
    <w:rsid w:val="00C32639"/>
    <w:rsid w:val="00C32808"/>
    <w:rsid w:val="00C32AD2"/>
    <w:rsid w:val="00C33114"/>
    <w:rsid w:val="00C3415E"/>
    <w:rsid w:val="00C34193"/>
    <w:rsid w:val="00C347FD"/>
    <w:rsid w:val="00C34CB0"/>
    <w:rsid w:val="00C34DAE"/>
    <w:rsid w:val="00C34E1E"/>
    <w:rsid w:val="00C34E5A"/>
    <w:rsid w:val="00C35553"/>
    <w:rsid w:val="00C35D9C"/>
    <w:rsid w:val="00C36219"/>
    <w:rsid w:val="00C36656"/>
    <w:rsid w:val="00C3698E"/>
    <w:rsid w:val="00C36CCA"/>
    <w:rsid w:val="00C36E1C"/>
    <w:rsid w:val="00C36F42"/>
    <w:rsid w:val="00C3718A"/>
    <w:rsid w:val="00C379C5"/>
    <w:rsid w:val="00C37EEE"/>
    <w:rsid w:val="00C40453"/>
    <w:rsid w:val="00C404A7"/>
    <w:rsid w:val="00C40E71"/>
    <w:rsid w:val="00C41879"/>
    <w:rsid w:val="00C41A7C"/>
    <w:rsid w:val="00C42CEF"/>
    <w:rsid w:val="00C42D55"/>
    <w:rsid w:val="00C43080"/>
    <w:rsid w:val="00C4370E"/>
    <w:rsid w:val="00C43823"/>
    <w:rsid w:val="00C4384B"/>
    <w:rsid w:val="00C4393C"/>
    <w:rsid w:val="00C43F2D"/>
    <w:rsid w:val="00C44068"/>
    <w:rsid w:val="00C442AE"/>
    <w:rsid w:val="00C44C2B"/>
    <w:rsid w:val="00C4518B"/>
    <w:rsid w:val="00C45780"/>
    <w:rsid w:val="00C458D6"/>
    <w:rsid w:val="00C45919"/>
    <w:rsid w:val="00C4655A"/>
    <w:rsid w:val="00C466BF"/>
    <w:rsid w:val="00C47385"/>
    <w:rsid w:val="00C47555"/>
    <w:rsid w:val="00C476AC"/>
    <w:rsid w:val="00C47E67"/>
    <w:rsid w:val="00C47FD9"/>
    <w:rsid w:val="00C50C1A"/>
    <w:rsid w:val="00C50E1E"/>
    <w:rsid w:val="00C51132"/>
    <w:rsid w:val="00C51508"/>
    <w:rsid w:val="00C51D73"/>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C45"/>
    <w:rsid w:val="00C573CC"/>
    <w:rsid w:val="00C57B81"/>
    <w:rsid w:val="00C57FB9"/>
    <w:rsid w:val="00C6077B"/>
    <w:rsid w:val="00C60950"/>
    <w:rsid w:val="00C60DD1"/>
    <w:rsid w:val="00C61565"/>
    <w:rsid w:val="00C61574"/>
    <w:rsid w:val="00C615B4"/>
    <w:rsid w:val="00C6184A"/>
    <w:rsid w:val="00C61AC6"/>
    <w:rsid w:val="00C61ACF"/>
    <w:rsid w:val="00C6211D"/>
    <w:rsid w:val="00C62B32"/>
    <w:rsid w:val="00C63DED"/>
    <w:rsid w:val="00C63E88"/>
    <w:rsid w:val="00C6436D"/>
    <w:rsid w:val="00C64F97"/>
    <w:rsid w:val="00C65585"/>
    <w:rsid w:val="00C656EB"/>
    <w:rsid w:val="00C65DF4"/>
    <w:rsid w:val="00C667F0"/>
    <w:rsid w:val="00C66AC8"/>
    <w:rsid w:val="00C67B49"/>
    <w:rsid w:val="00C711F5"/>
    <w:rsid w:val="00C713A1"/>
    <w:rsid w:val="00C71828"/>
    <w:rsid w:val="00C72105"/>
    <w:rsid w:val="00C74520"/>
    <w:rsid w:val="00C74954"/>
    <w:rsid w:val="00C75765"/>
    <w:rsid w:val="00C76028"/>
    <w:rsid w:val="00C76184"/>
    <w:rsid w:val="00C76462"/>
    <w:rsid w:val="00C7673D"/>
    <w:rsid w:val="00C76A80"/>
    <w:rsid w:val="00C76C27"/>
    <w:rsid w:val="00C76E09"/>
    <w:rsid w:val="00C76F07"/>
    <w:rsid w:val="00C77528"/>
    <w:rsid w:val="00C77EF6"/>
    <w:rsid w:val="00C80B4B"/>
    <w:rsid w:val="00C80D63"/>
    <w:rsid w:val="00C80E85"/>
    <w:rsid w:val="00C8129D"/>
    <w:rsid w:val="00C812D5"/>
    <w:rsid w:val="00C81536"/>
    <w:rsid w:val="00C81BEA"/>
    <w:rsid w:val="00C81DF5"/>
    <w:rsid w:val="00C82188"/>
    <w:rsid w:val="00C8242B"/>
    <w:rsid w:val="00C82A50"/>
    <w:rsid w:val="00C83240"/>
    <w:rsid w:val="00C83381"/>
    <w:rsid w:val="00C83607"/>
    <w:rsid w:val="00C83768"/>
    <w:rsid w:val="00C83B18"/>
    <w:rsid w:val="00C840C3"/>
    <w:rsid w:val="00C841B4"/>
    <w:rsid w:val="00C84266"/>
    <w:rsid w:val="00C8466F"/>
    <w:rsid w:val="00C8489E"/>
    <w:rsid w:val="00C849E0"/>
    <w:rsid w:val="00C84B74"/>
    <w:rsid w:val="00C8512A"/>
    <w:rsid w:val="00C85378"/>
    <w:rsid w:val="00C85970"/>
    <w:rsid w:val="00C85E9B"/>
    <w:rsid w:val="00C874C8"/>
    <w:rsid w:val="00C90165"/>
    <w:rsid w:val="00C902DA"/>
    <w:rsid w:val="00C90733"/>
    <w:rsid w:val="00C921C4"/>
    <w:rsid w:val="00C9235F"/>
    <w:rsid w:val="00C9257F"/>
    <w:rsid w:val="00C9319C"/>
    <w:rsid w:val="00C9330C"/>
    <w:rsid w:val="00C934F6"/>
    <w:rsid w:val="00C93874"/>
    <w:rsid w:val="00C93A4C"/>
    <w:rsid w:val="00C944EB"/>
    <w:rsid w:val="00C94FD2"/>
    <w:rsid w:val="00C95341"/>
    <w:rsid w:val="00C95B76"/>
    <w:rsid w:val="00C964C3"/>
    <w:rsid w:val="00C964D6"/>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EEE"/>
    <w:rsid w:val="00CA5098"/>
    <w:rsid w:val="00CA5503"/>
    <w:rsid w:val="00CA612D"/>
    <w:rsid w:val="00CA66C3"/>
    <w:rsid w:val="00CA6CAD"/>
    <w:rsid w:val="00CA70A8"/>
    <w:rsid w:val="00CA70D0"/>
    <w:rsid w:val="00CA74A4"/>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9E7"/>
    <w:rsid w:val="00CB5D27"/>
    <w:rsid w:val="00CB5E4A"/>
    <w:rsid w:val="00CB6FCA"/>
    <w:rsid w:val="00CB724D"/>
    <w:rsid w:val="00CB73EA"/>
    <w:rsid w:val="00CB76E3"/>
    <w:rsid w:val="00CB7D4E"/>
    <w:rsid w:val="00CB7F12"/>
    <w:rsid w:val="00CB7F1F"/>
    <w:rsid w:val="00CC002B"/>
    <w:rsid w:val="00CC07E5"/>
    <w:rsid w:val="00CC09F0"/>
    <w:rsid w:val="00CC0C11"/>
    <w:rsid w:val="00CC1F52"/>
    <w:rsid w:val="00CC233F"/>
    <w:rsid w:val="00CC27FD"/>
    <w:rsid w:val="00CC29A4"/>
    <w:rsid w:val="00CC31E8"/>
    <w:rsid w:val="00CC3AB9"/>
    <w:rsid w:val="00CC3C9E"/>
    <w:rsid w:val="00CC45E0"/>
    <w:rsid w:val="00CC4BBE"/>
    <w:rsid w:val="00CC4BC3"/>
    <w:rsid w:val="00CC50C7"/>
    <w:rsid w:val="00CC55AC"/>
    <w:rsid w:val="00CC5859"/>
    <w:rsid w:val="00CC66CB"/>
    <w:rsid w:val="00CC6D1C"/>
    <w:rsid w:val="00CC71DD"/>
    <w:rsid w:val="00CC71F3"/>
    <w:rsid w:val="00CC72C0"/>
    <w:rsid w:val="00CC757D"/>
    <w:rsid w:val="00CC7C74"/>
    <w:rsid w:val="00CD00DB"/>
    <w:rsid w:val="00CD0119"/>
    <w:rsid w:val="00CD07FD"/>
    <w:rsid w:val="00CD0866"/>
    <w:rsid w:val="00CD1169"/>
    <w:rsid w:val="00CD15F1"/>
    <w:rsid w:val="00CD16C7"/>
    <w:rsid w:val="00CD1A40"/>
    <w:rsid w:val="00CD1B33"/>
    <w:rsid w:val="00CD25F3"/>
    <w:rsid w:val="00CD27FF"/>
    <w:rsid w:val="00CD2875"/>
    <w:rsid w:val="00CD2DF3"/>
    <w:rsid w:val="00CD305C"/>
    <w:rsid w:val="00CD3A6D"/>
    <w:rsid w:val="00CD3E5A"/>
    <w:rsid w:val="00CD3E63"/>
    <w:rsid w:val="00CD40A3"/>
    <w:rsid w:val="00CD457E"/>
    <w:rsid w:val="00CD4CD3"/>
    <w:rsid w:val="00CD589F"/>
    <w:rsid w:val="00CD5B61"/>
    <w:rsid w:val="00CD60C9"/>
    <w:rsid w:val="00CD6345"/>
    <w:rsid w:val="00CD6835"/>
    <w:rsid w:val="00CD6BBB"/>
    <w:rsid w:val="00CD7482"/>
    <w:rsid w:val="00CE05BD"/>
    <w:rsid w:val="00CE07C1"/>
    <w:rsid w:val="00CE1567"/>
    <w:rsid w:val="00CE1859"/>
    <w:rsid w:val="00CE186F"/>
    <w:rsid w:val="00CE20E3"/>
    <w:rsid w:val="00CE273A"/>
    <w:rsid w:val="00CE321C"/>
    <w:rsid w:val="00CE32E8"/>
    <w:rsid w:val="00CE353C"/>
    <w:rsid w:val="00CE3700"/>
    <w:rsid w:val="00CE3B69"/>
    <w:rsid w:val="00CE4559"/>
    <w:rsid w:val="00CE4B49"/>
    <w:rsid w:val="00CE5118"/>
    <w:rsid w:val="00CE5487"/>
    <w:rsid w:val="00CE59B5"/>
    <w:rsid w:val="00CE59DB"/>
    <w:rsid w:val="00CE5D3A"/>
    <w:rsid w:val="00CE67D8"/>
    <w:rsid w:val="00CE68EA"/>
    <w:rsid w:val="00CE7381"/>
    <w:rsid w:val="00CE7447"/>
    <w:rsid w:val="00CE74CE"/>
    <w:rsid w:val="00CE7510"/>
    <w:rsid w:val="00CF0829"/>
    <w:rsid w:val="00CF0E74"/>
    <w:rsid w:val="00CF1833"/>
    <w:rsid w:val="00CF1AEA"/>
    <w:rsid w:val="00CF2091"/>
    <w:rsid w:val="00CF21F6"/>
    <w:rsid w:val="00CF2278"/>
    <w:rsid w:val="00CF2C62"/>
    <w:rsid w:val="00CF2F66"/>
    <w:rsid w:val="00CF337B"/>
    <w:rsid w:val="00CF3FE7"/>
    <w:rsid w:val="00CF4416"/>
    <w:rsid w:val="00CF5762"/>
    <w:rsid w:val="00CF65B4"/>
    <w:rsid w:val="00CF6806"/>
    <w:rsid w:val="00CF69B0"/>
    <w:rsid w:val="00CF6C05"/>
    <w:rsid w:val="00CF709F"/>
    <w:rsid w:val="00CF7485"/>
    <w:rsid w:val="00CF7E56"/>
    <w:rsid w:val="00D01744"/>
    <w:rsid w:val="00D01C03"/>
    <w:rsid w:val="00D025CE"/>
    <w:rsid w:val="00D026A3"/>
    <w:rsid w:val="00D02A0F"/>
    <w:rsid w:val="00D02CA6"/>
    <w:rsid w:val="00D02DF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A9C"/>
    <w:rsid w:val="00D07B44"/>
    <w:rsid w:val="00D10076"/>
    <w:rsid w:val="00D1033B"/>
    <w:rsid w:val="00D10477"/>
    <w:rsid w:val="00D107E2"/>
    <w:rsid w:val="00D11D76"/>
    <w:rsid w:val="00D121F5"/>
    <w:rsid w:val="00D126E4"/>
    <w:rsid w:val="00D131BF"/>
    <w:rsid w:val="00D13A90"/>
    <w:rsid w:val="00D140E6"/>
    <w:rsid w:val="00D14C7E"/>
    <w:rsid w:val="00D158EF"/>
    <w:rsid w:val="00D15C14"/>
    <w:rsid w:val="00D15E74"/>
    <w:rsid w:val="00D15FAA"/>
    <w:rsid w:val="00D16ECB"/>
    <w:rsid w:val="00D16EEE"/>
    <w:rsid w:val="00D17167"/>
    <w:rsid w:val="00D17BA5"/>
    <w:rsid w:val="00D2058D"/>
    <w:rsid w:val="00D2176E"/>
    <w:rsid w:val="00D2182A"/>
    <w:rsid w:val="00D218BC"/>
    <w:rsid w:val="00D2193D"/>
    <w:rsid w:val="00D22105"/>
    <w:rsid w:val="00D2211C"/>
    <w:rsid w:val="00D22B55"/>
    <w:rsid w:val="00D22C81"/>
    <w:rsid w:val="00D23055"/>
    <w:rsid w:val="00D230AD"/>
    <w:rsid w:val="00D2320E"/>
    <w:rsid w:val="00D2327A"/>
    <w:rsid w:val="00D2355E"/>
    <w:rsid w:val="00D251AB"/>
    <w:rsid w:val="00D25240"/>
    <w:rsid w:val="00D25AC6"/>
    <w:rsid w:val="00D25BF1"/>
    <w:rsid w:val="00D261D3"/>
    <w:rsid w:val="00D27086"/>
    <w:rsid w:val="00D319DF"/>
    <w:rsid w:val="00D31C02"/>
    <w:rsid w:val="00D3225E"/>
    <w:rsid w:val="00D324BC"/>
    <w:rsid w:val="00D32B9F"/>
    <w:rsid w:val="00D331A5"/>
    <w:rsid w:val="00D33565"/>
    <w:rsid w:val="00D33761"/>
    <w:rsid w:val="00D33762"/>
    <w:rsid w:val="00D34BD1"/>
    <w:rsid w:val="00D35177"/>
    <w:rsid w:val="00D356E1"/>
    <w:rsid w:val="00D40609"/>
    <w:rsid w:val="00D40983"/>
    <w:rsid w:val="00D40B3B"/>
    <w:rsid w:val="00D41188"/>
    <w:rsid w:val="00D417D3"/>
    <w:rsid w:val="00D418D5"/>
    <w:rsid w:val="00D41DB1"/>
    <w:rsid w:val="00D42147"/>
    <w:rsid w:val="00D4276D"/>
    <w:rsid w:val="00D42798"/>
    <w:rsid w:val="00D42970"/>
    <w:rsid w:val="00D43468"/>
    <w:rsid w:val="00D43AED"/>
    <w:rsid w:val="00D44916"/>
    <w:rsid w:val="00D45AE4"/>
    <w:rsid w:val="00D45CA4"/>
    <w:rsid w:val="00D45EA7"/>
    <w:rsid w:val="00D45F22"/>
    <w:rsid w:val="00D47178"/>
    <w:rsid w:val="00D4752E"/>
    <w:rsid w:val="00D47842"/>
    <w:rsid w:val="00D47BEF"/>
    <w:rsid w:val="00D50826"/>
    <w:rsid w:val="00D51675"/>
    <w:rsid w:val="00D51F73"/>
    <w:rsid w:val="00D52827"/>
    <w:rsid w:val="00D529BE"/>
    <w:rsid w:val="00D52CF6"/>
    <w:rsid w:val="00D53D3E"/>
    <w:rsid w:val="00D547E0"/>
    <w:rsid w:val="00D54992"/>
    <w:rsid w:val="00D54A27"/>
    <w:rsid w:val="00D55291"/>
    <w:rsid w:val="00D55C48"/>
    <w:rsid w:val="00D55E47"/>
    <w:rsid w:val="00D56392"/>
    <w:rsid w:val="00D56997"/>
    <w:rsid w:val="00D56BF7"/>
    <w:rsid w:val="00D570CB"/>
    <w:rsid w:val="00D570E6"/>
    <w:rsid w:val="00D5730F"/>
    <w:rsid w:val="00D573F2"/>
    <w:rsid w:val="00D5774F"/>
    <w:rsid w:val="00D60809"/>
    <w:rsid w:val="00D60D7F"/>
    <w:rsid w:val="00D61066"/>
    <w:rsid w:val="00D61C9C"/>
    <w:rsid w:val="00D61E7B"/>
    <w:rsid w:val="00D62111"/>
    <w:rsid w:val="00D62229"/>
    <w:rsid w:val="00D625B8"/>
    <w:rsid w:val="00D626F8"/>
    <w:rsid w:val="00D636DC"/>
    <w:rsid w:val="00D63F4C"/>
    <w:rsid w:val="00D64238"/>
    <w:rsid w:val="00D64613"/>
    <w:rsid w:val="00D64702"/>
    <w:rsid w:val="00D649DC"/>
    <w:rsid w:val="00D65A6A"/>
    <w:rsid w:val="00D66BFD"/>
    <w:rsid w:val="00D66C91"/>
    <w:rsid w:val="00D674EE"/>
    <w:rsid w:val="00D67535"/>
    <w:rsid w:val="00D67BC9"/>
    <w:rsid w:val="00D67DBC"/>
    <w:rsid w:val="00D704D9"/>
    <w:rsid w:val="00D70612"/>
    <w:rsid w:val="00D70934"/>
    <w:rsid w:val="00D70BD2"/>
    <w:rsid w:val="00D713F2"/>
    <w:rsid w:val="00D721B1"/>
    <w:rsid w:val="00D72705"/>
    <w:rsid w:val="00D738BF"/>
    <w:rsid w:val="00D73B93"/>
    <w:rsid w:val="00D73C95"/>
    <w:rsid w:val="00D7400F"/>
    <w:rsid w:val="00D745C1"/>
    <w:rsid w:val="00D74784"/>
    <w:rsid w:val="00D756F6"/>
    <w:rsid w:val="00D75731"/>
    <w:rsid w:val="00D75B45"/>
    <w:rsid w:val="00D75B5C"/>
    <w:rsid w:val="00D75F8C"/>
    <w:rsid w:val="00D76050"/>
    <w:rsid w:val="00D76210"/>
    <w:rsid w:val="00D76309"/>
    <w:rsid w:val="00D76423"/>
    <w:rsid w:val="00D767BF"/>
    <w:rsid w:val="00D77278"/>
    <w:rsid w:val="00D775B5"/>
    <w:rsid w:val="00D77961"/>
    <w:rsid w:val="00D77A47"/>
    <w:rsid w:val="00D77B20"/>
    <w:rsid w:val="00D77B3B"/>
    <w:rsid w:val="00D8007C"/>
    <w:rsid w:val="00D8079F"/>
    <w:rsid w:val="00D8103B"/>
    <w:rsid w:val="00D8111B"/>
    <w:rsid w:val="00D81242"/>
    <w:rsid w:val="00D812D2"/>
    <w:rsid w:val="00D82C80"/>
    <w:rsid w:val="00D82D02"/>
    <w:rsid w:val="00D82D0F"/>
    <w:rsid w:val="00D83A5A"/>
    <w:rsid w:val="00D84157"/>
    <w:rsid w:val="00D84AB8"/>
    <w:rsid w:val="00D84BD7"/>
    <w:rsid w:val="00D84DCA"/>
    <w:rsid w:val="00D85114"/>
    <w:rsid w:val="00D857BC"/>
    <w:rsid w:val="00D85CC6"/>
    <w:rsid w:val="00D86A92"/>
    <w:rsid w:val="00D871B6"/>
    <w:rsid w:val="00D875E1"/>
    <w:rsid w:val="00D90275"/>
    <w:rsid w:val="00D902F5"/>
    <w:rsid w:val="00D9075D"/>
    <w:rsid w:val="00D90959"/>
    <w:rsid w:val="00D91410"/>
    <w:rsid w:val="00D91438"/>
    <w:rsid w:val="00D91594"/>
    <w:rsid w:val="00D91ABE"/>
    <w:rsid w:val="00D91DFB"/>
    <w:rsid w:val="00D921DA"/>
    <w:rsid w:val="00D92A4A"/>
    <w:rsid w:val="00D92C2F"/>
    <w:rsid w:val="00D92F7F"/>
    <w:rsid w:val="00D930AC"/>
    <w:rsid w:val="00D9459D"/>
    <w:rsid w:val="00D94730"/>
    <w:rsid w:val="00D94858"/>
    <w:rsid w:val="00D9487D"/>
    <w:rsid w:val="00D94972"/>
    <w:rsid w:val="00D94B71"/>
    <w:rsid w:val="00D954A1"/>
    <w:rsid w:val="00D95519"/>
    <w:rsid w:val="00D95744"/>
    <w:rsid w:val="00D958FC"/>
    <w:rsid w:val="00D959AE"/>
    <w:rsid w:val="00D95DC2"/>
    <w:rsid w:val="00D96678"/>
    <w:rsid w:val="00D9673A"/>
    <w:rsid w:val="00D96C73"/>
    <w:rsid w:val="00D96D46"/>
    <w:rsid w:val="00D97C27"/>
    <w:rsid w:val="00DA032C"/>
    <w:rsid w:val="00DA0526"/>
    <w:rsid w:val="00DA0639"/>
    <w:rsid w:val="00DA0B8C"/>
    <w:rsid w:val="00DA0CF7"/>
    <w:rsid w:val="00DA0E96"/>
    <w:rsid w:val="00DA11F2"/>
    <w:rsid w:val="00DA1203"/>
    <w:rsid w:val="00DA14A0"/>
    <w:rsid w:val="00DA15AC"/>
    <w:rsid w:val="00DA18DA"/>
    <w:rsid w:val="00DA1F0C"/>
    <w:rsid w:val="00DA2B06"/>
    <w:rsid w:val="00DA2B20"/>
    <w:rsid w:val="00DA3565"/>
    <w:rsid w:val="00DA3A5B"/>
    <w:rsid w:val="00DA3D0B"/>
    <w:rsid w:val="00DA3F51"/>
    <w:rsid w:val="00DA45A0"/>
    <w:rsid w:val="00DA45DB"/>
    <w:rsid w:val="00DA48D9"/>
    <w:rsid w:val="00DA49F8"/>
    <w:rsid w:val="00DA4AAE"/>
    <w:rsid w:val="00DA5572"/>
    <w:rsid w:val="00DA5D5D"/>
    <w:rsid w:val="00DA6A15"/>
    <w:rsid w:val="00DA6B3A"/>
    <w:rsid w:val="00DA6CC2"/>
    <w:rsid w:val="00DA7029"/>
    <w:rsid w:val="00DA77A0"/>
    <w:rsid w:val="00DB09A2"/>
    <w:rsid w:val="00DB103D"/>
    <w:rsid w:val="00DB1448"/>
    <w:rsid w:val="00DB1907"/>
    <w:rsid w:val="00DB1998"/>
    <w:rsid w:val="00DB1FC4"/>
    <w:rsid w:val="00DB21F0"/>
    <w:rsid w:val="00DB2C5F"/>
    <w:rsid w:val="00DB3A58"/>
    <w:rsid w:val="00DB3BDF"/>
    <w:rsid w:val="00DB3C58"/>
    <w:rsid w:val="00DB3D46"/>
    <w:rsid w:val="00DB401C"/>
    <w:rsid w:val="00DB46C8"/>
    <w:rsid w:val="00DB52F0"/>
    <w:rsid w:val="00DB540E"/>
    <w:rsid w:val="00DB5A63"/>
    <w:rsid w:val="00DB6166"/>
    <w:rsid w:val="00DB6520"/>
    <w:rsid w:val="00DB656B"/>
    <w:rsid w:val="00DB6803"/>
    <w:rsid w:val="00DB691E"/>
    <w:rsid w:val="00DB6C99"/>
    <w:rsid w:val="00DB75A3"/>
    <w:rsid w:val="00DC02F5"/>
    <w:rsid w:val="00DC0574"/>
    <w:rsid w:val="00DC0C65"/>
    <w:rsid w:val="00DC10E5"/>
    <w:rsid w:val="00DC16BF"/>
    <w:rsid w:val="00DC16E1"/>
    <w:rsid w:val="00DC16FC"/>
    <w:rsid w:val="00DC1881"/>
    <w:rsid w:val="00DC1ED7"/>
    <w:rsid w:val="00DC294E"/>
    <w:rsid w:val="00DC3A6F"/>
    <w:rsid w:val="00DC3D1C"/>
    <w:rsid w:val="00DC43E1"/>
    <w:rsid w:val="00DC5199"/>
    <w:rsid w:val="00DC5A32"/>
    <w:rsid w:val="00DC5E4E"/>
    <w:rsid w:val="00DC651B"/>
    <w:rsid w:val="00DC662F"/>
    <w:rsid w:val="00DC6961"/>
    <w:rsid w:val="00DC6E78"/>
    <w:rsid w:val="00DC707F"/>
    <w:rsid w:val="00DC729A"/>
    <w:rsid w:val="00DC73B1"/>
    <w:rsid w:val="00DC7519"/>
    <w:rsid w:val="00DC7630"/>
    <w:rsid w:val="00DC7EB5"/>
    <w:rsid w:val="00DD04AC"/>
    <w:rsid w:val="00DD04DD"/>
    <w:rsid w:val="00DD0891"/>
    <w:rsid w:val="00DD0B35"/>
    <w:rsid w:val="00DD0C4D"/>
    <w:rsid w:val="00DD0F9F"/>
    <w:rsid w:val="00DD11A7"/>
    <w:rsid w:val="00DD1298"/>
    <w:rsid w:val="00DD1C7B"/>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865"/>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C45"/>
    <w:rsid w:val="00DE2D49"/>
    <w:rsid w:val="00DE2ED5"/>
    <w:rsid w:val="00DE2F4E"/>
    <w:rsid w:val="00DE2FB5"/>
    <w:rsid w:val="00DE3E66"/>
    <w:rsid w:val="00DE3F75"/>
    <w:rsid w:val="00DE41FC"/>
    <w:rsid w:val="00DE45F5"/>
    <w:rsid w:val="00DE4AAD"/>
    <w:rsid w:val="00DE4C0C"/>
    <w:rsid w:val="00DE4FC8"/>
    <w:rsid w:val="00DE53B5"/>
    <w:rsid w:val="00DE5A50"/>
    <w:rsid w:val="00DE60C5"/>
    <w:rsid w:val="00DE7323"/>
    <w:rsid w:val="00DE75F0"/>
    <w:rsid w:val="00DE77CB"/>
    <w:rsid w:val="00DE7EBA"/>
    <w:rsid w:val="00DF04BD"/>
    <w:rsid w:val="00DF050A"/>
    <w:rsid w:val="00DF068D"/>
    <w:rsid w:val="00DF0D3A"/>
    <w:rsid w:val="00DF140A"/>
    <w:rsid w:val="00DF1A9A"/>
    <w:rsid w:val="00DF1C2D"/>
    <w:rsid w:val="00DF1F8A"/>
    <w:rsid w:val="00DF2209"/>
    <w:rsid w:val="00DF248E"/>
    <w:rsid w:val="00DF2715"/>
    <w:rsid w:val="00DF3577"/>
    <w:rsid w:val="00DF4063"/>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453"/>
    <w:rsid w:val="00E03D3F"/>
    <w:rsid w:val="00E03DED"/>
    <w:rsid w:val="00E0437C"/>
    <w:rsid w:val="00E0452C"/>
    <w:rsid w:val="00E04D61"/>
    <w:rsid w:val="00E0504C"/>
    <w:rsid w:val="00E05074"/>
    <w:rsid w:val="00E052DA"/>
    <w:rsid w:val="00E05489"/>
    <w:rsid w:val="00E05741"/>
    <w:rsid w:val="00E05F7F"/>
    <w:rsid w:val="00E06549"/>
    <w:rsid w:val="00E06930"/>
    <w:rsid w:val="00E06971"/>
    <w:rsid w:val="00E06C11"/>
    <w:rsid w:val="00E0786F"/>
    <w:rsid w:val="00E07D90"/>
    <w:rsid w:val="00E105B3"/>
    <w:rsid w:val="00E10846"/>
    <w:rsid w:val="00E10883"/>
    <w:rsid w:val="00E108F4"/>
    <w:rsid w:val="00E10D4E"/>
    <w:rsid w:val="00E1100C"/>
    <w:rsid w:val="00E11489"/>
    <w:rsid w:val="00E11711"/>
    <w:rsid w:val="00E11E63"/>
    <w:rsid w:val="00E11F94"/>
    <w:rsid w:val="00E12696"/>
    <w:rsid w:val="00E1310D"/>
    <w:rsid w:val="00E13359"/>
    <w:rsid w:val="00E138BF"/>
    <w:rsid w:val="00E14EFA"/>
    <w:rsid w:val="00E151B9"/>
    <w:rsid w:val="00E158C4"/>
    <w:rsid w:val="00E15CC4"/>
    <w:rsid w:val="00E161E6"/>
    <w:rsid w:val="00E167C9"/>
    <w:rsid w:val="00E1698C"/>
    <w:rsid w:val="00E16BDB"/>
    <w:rsid w:val="00E172BE"/>
    <w:rsid w:val="00E17CF7"/>
    <w:rsid w:val="00E205D6"/>
    <w:rsid w:val="00E209AB"/>
    <w:rsid w:val="00E216EC"/>
    <w:rsid w:val="00E2189A"/>
    <w:rsid w:val="00E21A60"/>
    <w:rsid w:val="00E22B5A"/>
    <w:rsid w:val="00E22B68"/>
    <w:rsid w:val="00E231C9"/>
    <w:rsid w:val="00E23EBF"/>
    <w:rsid w:val="00E23FD5"/>
    <w:rsid w:val="00E24669"/>
    <w:rsid w:val="00E24A70"/>
    <w:rsid w:val="00E24C48"/>
    <w:rsid w:val="00E24EE4"/>
    <w:rsid w:val="00E25981"/>
    <w:rsid w:val="00E26056"/>
    <w:rsid w:val="00E26141"/>
    <w:rsid w:val="00E266F5"/>
    <w:rsid w:val="00E2673E"/>
    <w:rsid w:val="00E270D3"/>
    <w:rsid w:val="00E27FC7"/>
    <w:rsid w:val="00E3050B"/>
    <w:rsid w:val="00E306CB"/>
    <w:rsid w:val="00E30700"/>
    <w:rsid w:val="00E31115"/>
    <w:rsid w:val="00E31360"/>
    <w:rsid w:val="00E317F8"/>
    <w:rsid w:val="00E31D28"/>
    <w:rsid w:val="00E32425"/>
    <w:rsid w:val="00E3252C"/>
    <w:rsid w:val="00E325FF"/>
    <w:rsid w:val="00E32CB8"/>
    <w:rsid w:val="00E32F67"/>
    <w:rsid w:val="00E3440F"/>
    <w:rsid w:val="00E34F3A"/>
    <w:rsid w:val="00E35F99"/>
    <w:rsid w:val="00E35F9A"/>
    <w:rsid w:val="00E3637F"/>
    <w:rsid w:val="00E364B6"/>
    <w:rsid w:val="00E36723"/>
    <w:rsid w:val="00E3713C"/>
    <w:rsid w:val="00E3767B"/>
    <w:rsid w:val="00E37E1C"/>
    <w:rsid w:val="00E40079"/>
    <w:rsid w:val="00E40126"/>
    <w:rsid w:val="00E4013B"/>
    <w:rsid w:val="00E40C85"/>
    <w:rsid w:val="00E40CBF"/>
    <w:rsid w:val="00E40E7D"/>
    <w:rsid w:val="00E40EE4"/>
    <w:rsid w:val="00E413C6"/>
    <w:rsid w:val="00E420D5"/>
    <w:rsid w:val="00E42517"/>
    <w:rsid w:val="00E42948"/>
    <w:rsid w:val="00E42D55"/>
    <w:rsid w:val="00E42FFE"/>
    <w:rsid w:val="00E4316E"/>
    <w:rsid w:val="00E435AB"/>
    <w:rsid w:val="00E44275"/>
    <w:rsid w:val="00E44705"/>
    <w:rsid w:val="00E44777"/>
    <w:rsid w:val="00E44F67"/>
    <w:rsid w:val="00E4535F"/>
    <w:rsid w:val="00E455E3"/>
    <w:rsid w:val="00E466BC"/>
    <w:rsid w:val="00E4686A"/>
    <w:rsid w:val="00E479FD"/>
    <w:rsid w:val="00E47A76"/>
    <w:rsid w:val="00E504D6"/>
    <w:rsid w:val="00E50B6F"/>
    <w:rsid w:val="00E50EBE"/>
    <w:rsid w:val="00E50F69"/>
    <w:rsid w:val="00E50FC6"/>
    <w:rsid w:val="00E52372"/>
    <w:rsid w:val="00E5272D"/>
    <w:rsid w:val="00E52786"/>
    <w:rsid w:val="00E52F05"/>
    <w:rsid w:val="00E540CA"/>
    <w:rsid w:val="00E54C83"/>
    <w:rsid w:val="00E54D24"/>
    <w:rsid w:val="00E55460"/>
    <w:rsid w:val="00E55B28"/>
    <w:rsid w:val="00E56D4A"/>
    <w:rsid w:val="00E57119"/>
    <w:rsid w:val="00E5719E"/>
    <w:rsid w:val="00E57D7B"/>
    <w:rsid w:val="00E57F4B"/>
    <w:rsid w:val="00E602E5"/>
    <w:rsid w:val="00E602F8"/>
    <w:rsid w:val="00E6085B"/>
    <w:rsid w:val="00E60FBA"/>
    <w:rsid w:val="00E60FBF"/>
    <w:rsid w:val="00E611AE"/>
    <w:rsid w:val="00E616F9"/>
    <w:rsid w:val="00E61852"/>
    <w:rsid w:val="00E61A0C"/>
    <w:rsid w:val="00E61D22"/>
    <w:rsid w:val="00E61D96"/>
    <w:rsid w:val="00E61E4B"/>
    <w:rsid w:val="00E61E57"/>
    <w:rsid w:val="00E62F6E"/>
    <w:rsid w:val="00E63DA2"/>
    <w:rsid w:val="00E641E8"/>
    <w:rsid w:val="00E642AF"/>
    <w:rsid w:val="00E644C6"/>
    <w:rsid w:val="00E64555"/>
    <w:rsid w:val="00E64595"/>
    <w:rsid w:val="00E646BB"/>
    <w:rsid w:val="00E64B83"/>
    <w:rsid w:val="00E64D24"/>
    <w:rsid w:val="00E64FAF"/>
    <w:rsid w:val="00E653A6"/>
    <w:rsid w:val="00E6549C"/>
    <w:rsid w:val="00E654B9"/>
    <w:rsid w:val="00E6589D"/>
    <w:rsid w:val="00E65E8C"/>
    <w:rsid w:val="00E665E7"/>
    <w:rsid w:val="00E6661C"/>
    <w:rsid w:val="00E66C96"/>
    <w:rsid w:val="00E70130"/>
    <w:rsid w:val="00E706DE"/>
    <w:rsid w:val="00E71063"/>
    <w:rsid w:val="00E715FC"/>
    <w:rsid w:val="00E71A45"/>
    <w:rsid w:val="00E71C21"/>
    <w:rsid w:val="00E72F23"/>
    <w:rsid w:val="00E730FC"/>
    <w:rsid w:val="00E73481"/>
    <w:rsid w:val="00E7385A"/>
    <w:rsid w:val="00E7391F"/>
    <w:rsid w:val="00E73CE6"/>
    <w:rsid w:val="00E74780"/>
    <w:rsid w:val="00E74956"/>
    <w:rsid w:val="00E752F7"/>
    <w:rsid w:val="00E75848"/>
    <w:rsid w:val="00E759D4"/>
    <w:rsid w:val="00E76A3C"/>
    <w:rsid w:val="00E76F9B"/>
    <w:rsid w:val="00E77100"/>
    <w:rsid w:val="00E771FC"/>
    <w:rsid w:val="00E773E5"/>
    <w:rsid w:val="00E77BDD"/>
    <w:rsid w:val="00E806D3"/>
    <w:rsid w:val="00E8104D"/>
    <w:rsid w:val="00E81C34"/>
    <w:rsid w:val="00E81D83"/>
    <w:rsid w:val="00E81E61"/>
    <w:rsid w:val="00E821BB"/>
    <w:rsid w:val="00E822E9"/>
    <w:rsid w:val="00E826FE"/>
    <w:rsid w:val="00E8275E"/>
    <w:rsid w:val="00E827AF"/>
    <w:rsid w:val="00E82DE9"/>
    <w:rsid w:val="00E83253"/>
    <w:rsid w:val="00E83714"/>
    <w:rsid w:val="00E83831"/>
    <w:rsid w:val="00E844AB"/>
    <w:rsid w:val="00E8463C"/>
    <w:rsid w:val="00E84C97"/>
    <w:rsid w:val="00E85005"/>
    <w:rsid w:val="00E85296"/>
    <w:rsid w:val="00E8533B"/>
    <w:rsid w:val="00E85E4E"/>
    <w:rsid w:val="00E86327"/>
    <w:rsid w:val="00E86DF0"/>
    <w:rsid w:val="00E871B7"/>
    <w:rsid w:val="00E87BD2"/>
    <w:rsid w:val="00E87CDC"/>
    <w:rsid w:val="00E908FD"/>
    <w:rsid w:val="00E90B33"/>
    <w:rsid w:val="00E910E4"/>
    <w:rsid w:val="00E911E0"/>
    <w:rsid w:val="00E92115"/>
    <w:rsid w:val="00E93407"/>
    <w:rsid w:val="00E940A8"/>
    <w:rsid w:val="00E94307"/>
    <w:rsid w:val="00E947E8"/>
    <w:rsid w:val="00E94B0F"/>
    <w:rsid w:val="00E9503F"/>
    <w:rsid w:val="00E956F3"/>
    <w:rsid w:val="00E95AA7"/>
    <w:rsid w:val="00E96E68"/>
    <w:rsid w:val="00E97013"/>
    <w:rsid w:val="00E97EA1"/>
    <w:rsid w:val="00EA0BBE"/>
    <w:rsid w:val="00EA1242"/>
    <w:rsid w:val="00EA18B9"/>
    <w:rsid w:val="00EA1AED"/>
    <w:rsid w:val="00EA1FBC"/>
    <w:rsid w:val="00EA20A1"/>
    <w:rsid w:val="00EA212B"/>
    <w:rsid w:val="00EA24B5"/>
    <w:rsid w:val="00EA2AAA"/>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F0F"/>
    <w:rsid w:val="00EB12A5"/>
    <w:rsid w:val="00EB24D8"/>
    <w:rsid w:val="00EB277B"/>
    <w:rsid w:val="00EB2F20"/>
    <w:rsid w:val="00EB2F35"/>
    <w:rsid w:val="00EB31DB"/>
    <w:rsid w:val="00EB3422"/>
    <w:rsid w:val="00EB3A31"/>
    <w:rsid w:val="00EB4EAF"/>
    <w:rsid w:val="00EB548E"/>
    <w:rsid w:val="00EB5C41"/>
    <w:rsid w:val="00EB5F5A"/>
    <w:rsid w:val="00EB656C"/>
    <w:rsid w:val="00EB657E"/>
    <w:rsid w:val="00EB695E"/>
    <w:rsid w:val="00EB69D1"/>
    <w:rsid w:val="00EB69D4"/>
    <w:rsid w:val="00EB6FE9"/>
    <w:rsid w:val="00EB72FF"/>
    <w:rsid w:val="00EB756F"/>
    <w:rsid w:val="00EB79C8"/>
    <w:rsid w:val="00EB7E3F"/>
    <w:rsid w:val="00EB7E78"/>
    <w:rsid w:val="00EC0301"/>
    <w:rsid w:val="00EC08B5"/>
    <w:rsid w:val="00EC09C6"/>
    <w:rsid w:val="00EC0EA5"/>
    <w:rsid w:val="00EC1056"/>
    <w:rsid w:val="00EC1470"/>
    <w:rsid w:val="00EC222E"/>
    <w:rsid w:val="00EC2716"/>
    <w:rsid w:val="00EC2DBB"/>
    <w:rsid w:val="00EC358E"/>
    <w:rsid w:val="00EC3FD2"/>
    <w:rsid w:val="00EC4095"/>
    <w:rsid w:val="00EC43B5"/>
    <w:rsid w:val="00EC4537"/>
    <w:rsid w:val="00EC4960"/>
    <w:rsid w:val="00EC4AE3"/>
    <w:rsid w:val="00EC5414"/>
    <w:rsid w:val="00EC54EE"/>
    <w:rsid w:val="00EC59B2"/>
    <w:rsid w:val="00EC5A3B"/>
    <w:rsid w:val="00EC6424"/>
    <w:rsid w:val="00EC786C"/>
    <w:rsid w:val="00EC7ADD"/>
    <w:rsid w:val="00EC7C26"/>
    <w:rsid w:val="00ED04FE"/>
    <w:rsid w:val="00ED0D25"/>
    <w:rsid w:val="00ED0DD0"/>
    <w:rsid w:val="00ED1122"/>
    <w:rsid w:val="00ED1989"/>
    <w:rsid w:val="00ED28F2"/>
    <w:rsid w:val="00ED2F3E"/>
    <w:rsid w:val="00ED3145"/>
    <w:rsid w:val="00ED3309"/>
    <w:rsid w:val="00ED356E"/>
    <w:rsid w:val="00ED3792"/>
    <w:rsid w:val="00ED3BDA"/>
    <w:rsid w:val="00ED5A3B"/>
    <w:rsid w:val="00ED5C30"/>
    <w:rsid w:val="00ED5E02"/>
    <w:rsid w:val="00ED5EED"/>
    <w:rsid w:val="00ED612A"/>
    <w:rsid w:val="00ED6B1C"/>
    <w:rsid w:val="00ED6CF7"/>
    <w:rsid w:val="00ED6F33"/>
    <w:rsid w:val="00ED70A5"/>
    <w:rsid w:val="00ED7716"/>
    <w:rsid w:val="00ED7737"/>
    <w:rsid w:val="00ED7747"/>
    <w:rsid w:val="00ED7CF4"/>
    <w:rsid w:val="00ED7FA2"/>
    <w:rsid w:val="00EE0786"/>
    <w:rsid w:val="00EE1B0E"/>
    <w:rsid w:val="00EE22FB"/>
    <w:rsid w:val="00EE2407"/>
    <w:rsid w:val="00EE26AE"/>
    <w:rsid w:val="00EE29C8"/>
    <w:rsid w:val="00EE2A54"/>
    <w:rsid w:val="00EE2FC2"/>
    <w:rsid w:val="00EE3B6B"/>
    <w:rsid w:val="00EE3B88"/>
    <w:rsid w:val="00EE4B75"/>
    <w:rsid w:val="00EE4D34"/>
    <w:rsid w:val="00EE4DBD"/>
    <w:rsid w:val="00EE6AC6"/>
    <w:rsid w:val="00EE6E26"/>
    <w:rsid w:val="00EE784F"/>
    <w:rsid w:val="00EE7A1D"/>
    <w:rsid w:val="00EE7DBD"/>
    <w:rsid w:val="00EF0500"/>
    <w:rsid w:val="00EF0808"/>
    <w:rsid w:val="00EF1002"/>
    <w:rsid w:val="00EF143F"/>
    <w:rsid w:val="00EF1D3B"/>
    <w:rsid w:val="00EF23D8"/>
    <w:rsid w:val="00EF2A5A"/>
    <w:rsid w:val="00EF2A87"/>
    <w:rsid w:val="00EF3A74"/>
    <w:rsid w:val="00EF3AE9"/>
    <w:rsid w:val="00EF3EA5"/>
    <w:rsid w:val="00EF49FB"/>
    <w:rsid w:val="00EF55D6"/>
    <w:rsid w:val="00EF644D"/>
    <w:rsid w:val="00EF6BAD"/>
    <w:rsid w:val="00EF6D29"/>
    <w:rsid w:val="00EF6E79"/>
    <w:rsid w:val="00EF7138"/>
    <w:rsid w:val="00EF7E0B"/>
    <w:rsid w:val="00F00881"/>
    <w:rsid w:val="00F00917"/>
    <w:rsid w:val="00F00B65"/>
    <w:rsid w:val="00F010BB"/>
    <w:rsid w:val="00F012C1"/>
    <w:rsid w:val="00F0175F"/>
    <w:rsid w:val="00F01A41"/>
    <w:rsid w:val="00F03280"/>
    <w:rsid w:val="00F0362A"/>
    <w:rsid w:val="00F0385C"/>
    <w:rsid w:val="00F03ABE"/>
    <w:rsid w:val="00F03B69"/>
    <w:rsid w:val="00F04345"/>
    <w:rsid w:val="00F047A4"/>
    <w:rsid w:val="00F04F52"/>
    <w:rsid w:val="00F0510F"/>
    <w:rsid w:val="00F0563F"/>
    <w:rsid w:val="00F05973"/>
    <w:rsid w:val="00F064EF"/>
    <w:rsid w:val="00F06558"/>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D9F"/>
    <w:rsid w:val="00F11E31"/>
    <w:rsid w:val="00F12C53"/>
    <w:rsid w:val="00F1360C"/>
    <w:rsid w:val="00F13AA1"/>
    <w:rsid w:val="00F13F2A"/>
    <w:rsid w:val="00F14D9E"/>
    <w:rsid w:val="00F15097"/>
    <w:rsid w:val="00F153F8"/>
    <w:rsid w:val="00F15671"/>
    <w:rsid w:val="00F1643E"/>
    <w:rsid w:val="00F16695"/>
    <w:rsid w:val="00F17159"/>
    <w:rsid w:val="00F1733F"/>
    <w:rsid w:val="00F202E3"/>
    <w:rsid w:val="00F20C6E"/>
    <w:rsid w:val="00F20D6C"/>
    <w:rsid w:val="00F20F03"/>
    <w:rsid w:val="00F2255F"/>
    <w:rsid w:val="00F225CF"/>
    <w:rsid w:val="00F22882"/>
    <w:rsid w:val="00F22985"/>
    <w:rsid w:val="00F22AEF"/>
    <w:rsid w:val="00F22F7A"/>
    <w:rsid w:val="00F2343C"/>
    <w:rsid w:val="00F23CFC"/>
    <w:rsid w:val="00F24076"/>
    <w:rsid w:val="00F240CB"/>
    <w:rsid w:val="00F2492F"/>
    <w:rsid w:val="00F2500D"/>
    <w:rsid w:val="00F25157"/>
    <w:rsid w:val="00F251B2"/>
    <w:rsid w:val="00F2596D"/>
    <w:rsid w:val="00F25CAA"/>
    <w:rsid w:val="00F26AD6"/>
    <w:rsid w:val="00F2711C"/>
    <w:rsid w:val="00F2720E"/>
    <w:rsid w:val="00F27253"/>
    <w:rsid w:val="00F277E8"/>
    <w:rsid w:val="00F27B04"/>
    <w:rsid w:val="00F27E3D"/>
    <w:rsid w:val="00F27EB2"/>
    <w:rsid w:val="00F301D0"/>
    <w:rsid w:val="00F3069F"/>
    <w:rsid w:val="00F30A02"/>
    <w:rsid w:val="00F30C3F"/>
    <w:rsid w:val="00F30C60"/>
    <w:rsid w:val="00F30F38"/>
    <w:rsid w:val="00F311D1"/>
    <w:rsid w:val="00F3158A"/>
    <w:rsid w:val="00F318DB"/>
    <w:rsid w:val="00F3199C"/>
    <w:rsid w:val="00F31F7D"/>
    <w:rsid w:val="00F31FB9"/>
    <w:rsid w:val="00F326F6"/>
    <w:rsid w:val="00F32AFF"/>
    <w:rsid w:val="00F33825"/>
    <w:rsid w:val="00F33A8B"/>
    <w:rsid w:val="00F33D3B"/>
    <w:rsid w:val="00F3419C"/>
    <w:rsid w:val="00F34A96"/>
    <w:rsid w:val="00F34EBF"/>
    <w:rsid w:val="00F34F05"/>
    <w:rsid w:val="00F356D5"/>
    <w:rsid w:val="00F359A5"/>
    <w:rsid w:val="00F361AE"/>
    <w:rsid w:val="00F36240"/>
    <w:rsid w:val="00F363EB"/>
    <w:rsid w:val="00F365DE"/>
    <w:rsid w:val="00F366DA"/>
    <w:rsid w:val="00F367CF"/>
    <w:rsid w:val="00F36D37"/>
    <w:rsid w:val="00F3719A"/>
    <w:rsid w:val="00F379BF"/>
    <w:rsid w:val="00F37EA7"/>
    <w:rsid w:val="00F40805"/>
    <w:rsid w:val="00F40B93"/>
    <w:rsid w:val="00F40C5E"/>
    <w:rsid w:val="00F40E3E"/>
    <w:rsid w:val="00F4163A"/>
    <w:rsid w:val="00F41873"/>
    <w:rsid w:val="00F419C3"/>
    <w:rsid w:val="00F41D91"/>
    <w:rsid w:val="00F41E2B"/>
    <w:rsid w:val="00F423BE"/>
    <w:rsid w:val="00F424A5"/>
    <w:rsid w:val="00F425EF"/>
    <w:rsid w:val="00F428AC"/>
    <w:rsid w:val="00F42AAD"/>
    <w:rsid w:val="00F42EE3"/>
    <w:rsid w:val="00F43149"/>
    <w:rsid w:val="00F43660"/>
    <w:rsid w:val="00F43B91"/>
    <w:rsid w:val="00F44542"/>
    <w:rsid w:val="00F448DD"/>
    <w:rsid w:val="00F44D6A"/>
    <w:rsid w:val="00F44DB8"/>
    <w:rsid w:val="00F44F03"/>
    <w:rsid w:val="00F45760"/>
    <w:rsid w:val="00F45925"/>
    <w:rsid w:val="00F46BA6"/>
    <w:rsid w:val="00F46C97"/>
    <w:rsid w:val="00F4703E"/>
    <w:rsid w:val="00F4775F"/>
    <w:rsid w:val="00F50781"/>
    <w:rsid w:val="00F50CA3"/>
    <w:rsid w:val="00F517ED"/>
    <w:rsid w:val="00F51F3F"/>
    <w:rsid w:val="00F528B5"/>
    <w:rsid w:val="00F528E7"/>
    <w:rsid w:val="00F52C8A"/>
    <w:rsid w:val="00F5352D"/>
    <w:rsid w:val="00F53615"/>
    <w:rsid w:val="00F53A91"/>
    <w:rsid w:val="00F54466"/>
    <w:rsid w:val="00F54783"/>
    <w:rsid w:val="00F547E9"/>
    <w:rsid w:val="00F5494E"/>
    <w:rsid w:val="00F54ABE"/>
    <w:rsid w:val="00F55804"/>
    <w:rsid w:val="00F55F1A"/>
    <w:rsid w:val="00F56310"/>
    <w:rsid w:val="00F5684C"/>
    <w:rsid w:val="00F57210"/>
    <w:rsid w:val="00F577FC"/>
    <w:rsid w:val="00F602F0"/>
    <w:rsid w:val="00F60C90"/>
    <w:rsid w:val="00F619EE"/>
    <w:rsid w:val="00F61CF5"/>
    <w:rsid w:val="00F61FF9"/>
    <w:rsid w:val="00F62069"/>
    <w:rsid w:val="00F62159"/>
    <w:rsid w:val="00F62A7C"/>
    <w:rsid w:val="00F62B93"/>
    <w:rsid w:val="00F633E5"/>
    <w:rsid w:val="00F63C89"/>
    <w:rsid w:val="00F647EC"/>
    <w:rsid w:val="00F64FAB"/>
    <w:rsid w:val="00F65AC8"/>
    <w:rsid w:val="00F65CEA"/>
    <w:rsid w:val="00F65F15"/>
    <w:rsid w:val="00F66443"/>
    <w:rsid w:val="00F675EA"/>
    <w:rsid w:val="00F7073B"/>
    <w:rsid w:val="00F7074A"/>
    <w:rsid w:val="00F70A34"/>
    <w:rsid w:val="00F70AB1"/>
    <w:rsid w:val="00F70AD6"/>
    <w:rsid w:val="00F71687"/>
    <w:rsid w:val="00F71708"/>
    <w:rsid w:val="00F717C1"/>
    <w:rsid w:val="00F71AAE"/>
    <w:rsid w:val="00F71CDB"/>
    <w:rsid w:val="00F725D3"/>
    <w:rsid w:val="00F7281E"/>
    <w:rsid w:val="00F72C1A"/>
    <w:rsid w:val="00F72C3D"/>
    <w:rsid w:val="00F737AB"/>
    <w:rsid w:val="00F74216"/>
    <w:rsid w:val="00F74F0F"/>
    <w:rsid w:val="00F75731"/>
    <w:rsid w:val="00F75841"/>
    <w:rsid w:val="00F76333"/>
    <w:rsid w:val="00F770C6"/>
    <w:rsid w:val="00F77100"/>
    <w:rsid w:val="00F8090F"/>
    <w:rsid w:val="00F80A8A"/>
    <w:rsid w:val="00F8139A"/>
    <w:rsid w:val="00F82AAE"/>
    <w:rsid w:val="00F834BE"/>
    <w:rsid w:val="00F838A9"/>
    <w:rsid w:val="00F849E3"/>
    <w:rsid w:val="00F84B4E"/>
    <w:rsid w:val="00F84C44"/>
    <w:rsid w:val="00F84F30"/>
    <w:rsid w:val="00F851B7"/>
    <w:rsid w:val="00F8566C"/>
    <w:rsid w:val="00F858D4"/>
    <w:rsid w:val="00F85C65"/>
    <w:rsid w:val="00F860EB"/>
    <w:rsid w:val="00F868B6"/>
    <w:rsid w:val="00F86968"/>
    <w:rsid w:val="00F86E42"/>
    <w:rsid w:val="00F876E6"/>
    <w:rsid w:val="00F87825"/>
    <w:rsid w:val="00F87838"/>
    <w:rsid w:val="00F879E8"/>
    <w:rsid w:val="00F87FCE"/>
    <w:rsid w:val="00F9008B"/>
    <w:rsid w:val="00F90232"/>
    <w:rsid w:val="00F909C7"/>
    <w:rsid w:val="00F91669"/>
    <w:rsid w:val="00F916DE"/>
    <w:rsid w:val="00F9184F"/>
    <w:rsid w:val="00F91943"/>
    <w:rsid w:val="00F9231D"/>
    <w:rsid w:val="00F92A66"/>
    <w:rsid w:val="00F931CF"/>
    <w:rsid w:val="00F93A31"/>
    <w:rsid w:val="00F93D6E"/>
    <w:rsid w:val="00F9423D"/>
    <w:rsid w:val="00F942C2"/>
    <w:rsid w:val="00F94609"/>
    <w:rsid w:val="00F94F16"/>
    <w:rsid w:val="00F95182"/>
    <w:rsid w:val="00F957D2"/>
    <w:rsid w:val="00F95D94"/>
    <w:rsid w:val="00F96F86"/>
    <w:rsid w:val="00FA02B8"/>
    <w:rsid w:val="00FA0980"/>
    <w:rsid w:val="00FA1028"/>
    <w:rsid w:val="00FA157E"/>
    <w:rsid w:val="00FA181F"/>
    <w:rsid w:val="00FA1C1F"/>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8F"/>
    <w:rsid w:val="00FA7DA6"/>
    <w:rsid w:val="00FB02F8"/>
    <w:rsid w:val="00FB06E7"/>
    <w:rsid w:val="00FB0822"/>
    <w:rsid w:val="00FB0AC3"/>
    <w:rsid w:val="00FB1093"/>
    <w:rsid w:val="00FB13A0"/>
    <w:rsid w:val="00FB2142"/>
    <w:rsid w:val="00FB227E"/>
    <w:rsid w:val="00FB25DA"/>
    <w:rsid w:val="00FB25F9"/>
    <w:rsid w:val="00FB267D"/>
    <w:rsid w:val="00FB2A18"/>
    <w:rsid w:val="00FB2BF4"/>
    <w:rsid w:val="00FB2C8D"/>
    <w:rsid w:val="00FB2DC6"/>
    <w:rsid w:val="00FB333A"/>
    <w:rsid w:val="00FB39EB"/>
    <w:rsid w:val="00FB4267"/>
    <w:rsid w:val="00FB59D4"/>
    <w:rsid w:val="00FB5E81"/>
    <w:rsid w:val="00FB62F5"/>
    <w:rsid w:val="00FB6E6C"/>
    <w:rsid w:val="00FB71B0"/>
    <w:rsid w:val="00FB7ABA"/>
    <w:rsid w:val="00FB7C21"/>
    <w:rsid w:val="00FB7C46"/>
    <w:rsid w:val="00FC04E0"/>
    <w:rsid w:val="00FC06CE"/>
    <w:rsid w:val="00FC0D98"/>
    <w:rsid w:val="00FC0E2F"/>
    <w:rsid w:val="00FC1042"/>
    <w:rsid w:val="00FC11C6"/>
    <w:rsid w:val="00FC17D8"/>
    <w:rsid w:val="00FC279A"/>
    <w:rsid w:val="00FC324D"/>
    <w:rsid w:val="00FC39A1"/>
    <w:rsid w:val="00FC3BC3"/>
    <w:rsid w:val="00FC3E47"/>
    <w:rsid w:val="00FC4B53"/>
    <w:rsid w:val="00FC4BAE"/>
    <w:rsid w:val="00FC4F75"/>
    <w:rsid w:val="00FC5160"/>
    <w:rsid w:val="00FC5A36"/>
    <w:rsid w:val="00FC6353"/>
    <w:rsid w:val="00FC69CF"/>
    <w:rsid w:val="00FC6B0B"/>
    <w:rsid w:val="00FC713B"/>
    <w:rsid w:val="00FC7862"/>
    <w:rsid w:val="00FC79D5"/>
    <w:rsid w:val="00FC7B35"/>
    <w:rsid w:val="00FC7B53"/>
    <w:rsid w:val="00FC7BD8"/>
    <w:rsid w:val="00FD0177"/>
    <w:rsid w:val="00FD0AE7"/>
    <w:rsid w:val="00FD0B44"/>
    <w:rsid w:val="00FD0F70"/>
    <w:rsid w:val="00FD2315"/>
    <w:rsid w:val="00FD29A7"/>
    <w:rsid w:val="00FD2B15"/>
    <w:rsid w:val="00FD3092"/>
    <w:rsid w:val="00FD3D48"/>
    <w:rsid w:val="00FD412E"/>
    <w:rsid w:val="00FD420F"/>
    <w:rsid w:val="00FD4339"/>
    <w:rsid w:val="00FD4B0C"/>
    <w:rsid w:val="00FD4F2F"/>
    <w:rsid w:val="00FD51F7"/>
    <w:rsid w:val="00FD5258"/>
    <w:rsid w:val="00FD5602"/>
    <w:rsid w:val="00FD5661"/>
    <w:rsid w:val="00FD5A2A"/>
    <w:rsid w:val="00FD5AE2"/>
    <w:rsid w:val="00FD62B4"/>
    <w:rsid w:val="00FD7142"/>
    <w:rsid w:val="00FD750F"/>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AE5"/>
    <w:rsid w:val="00FE3CF7"/>
    <w:rsid w:val="00FE4071"/>
    <w:rsid w:val="00FE42E3"/>
    <w:rsid w:val="00FE4ECD"/>
    <w:rsid w:val="00FE52B7"/>
    <w:rsid w:val="00FE53C5"/>
    <w:rsid w:val="00FE56A8"/>
    <w:rsid w:val="00FE5807"/>
    <w:rsid w:val="00FE5C39"/>
    <w:rsid w:val="00FE5C57"/>
    <w:rsid w:val="00FE624E"/>
    <w:rsid w:val="00FE6415"/>
    <w:rsid w:val="00FE69E7"/>
    <w:rsid w:val="00FE6BB8"/>
    <w:rsid w:val="00FE6E76"/>
    <w:rsid w:val="00FF027B"/>
    <w:rsid w:val="00FF033B"/>
    <w:rsid w:val="00FF1174"/>
    <w:rsid w:val="00FF165A"/>
    <w:rsid w:val="00FF1B72"/>
    <w:rsid w:val="00FF1CF1"/>
    <w:rsid w:val="00FF1F4C"/>
    <w:rsid w:val="00FF1F90"/>
    <w:rsid w:val="00FF228F"/>
    <w:rsid w:val="00FF35DC"/>
    <w:rsid w:val="00FF3A6A"/>
    <w:rsid w:val="00FF3C7A"/>
    <w:rsid w:val="00FF3E09"/>
    <w:rsid w:val="00FF411C"/>
    <w:rsid w:val="00FF44C6"/>
    <w:rsid w:val="00FF4B2E"/>
    <w:rsid w:val="00FF4E4B"/>
    <w:rsid w:val="00FF4E4E"/>
    <w:rsid w:val="00FF5049"/>
    <w:rsid w:val="00FF519C"/>
    <w:rsid w:val="00FF5D1F"/>
    <w:rsid w:val="00FF5F95"/>
    <w:rsid w:val="00FF6126"/>
    <w:rsid w:val="00FF61F5"/>
    <w:rsid w:val="00FF62AA"/>
    <w:rsid w:val="00FF64D7"/>
    <w:rsid w:val="00FF6B6C"/>
    <w:rsid w:val="00FF6DD4"/>
    <w:rsid w:val="012543D4"/>
    <w:rsid w:val="01583748"/>
    <w:rsid w:val="0187402D"/>
    <w:rsid w:val="01AA2C10"/>
    <w:rsid w:val="01D02219"/>
    <w:rsid w:val="02CE01AC"/>
    <w:rsid w:val="02E21879"/>
    <w:rsid w:val="03082567"/>
    <w:rsid w:val="031472F9"/>
    <w:rsid w:val="03174F3D"/>
    <w:rsid w:val="03483413"/>
    <w:rsid w:val="0356096C"/>
    <w:rsid w:val="035F7FF2"/>
    <w:rsid w:val="037738D8"/>
    <w:rsid w:val="03A353D8"/>
    <w:rsid w:val="04043713"/>
    <w:rsid w:val="04272850"/>
    <w:rsid w:val="045C1B47"/>
    <w:rsid w:val="047107B7"/>
    <w:rsid w:val="04726FC9"/>
    <w:rsid w:val="052534B8"/>
    <w:rsid w:val="056C5580"/>
    <w:rsid w:val="05A14F91"/>
    <w:rsid w:val="05C30230"/>
    <w:rsid w:val="0615572C"/>
    <w:rsid w:val="0648365F"/>
    <w:rsid w:val="0657245C"/>
    <w:rsid w:val="066761DB"/>
    <w:rsid w:val="068955F4"/>
    <w:rsid w:val="06B44CED"/>
    <w:rsid w:val="06DB020D"/>
    <w:rsid w:val="06EC66E0"/>
    <w:rsid w:val="074C6936"/>
    <w:rsid w:val="075F0692"/>
    <w:rsid w:val="078E1545"/>
    <w:rsid w:val="07AA7883"/>
    <w:rsid w:val="07C5765D"/>
    <w:rsid w:val="07DB054A"/>
    <w:rsid w:val="082C4FE6"/>
    <w:rsid w:val="082D5622"/>
    <w:rsid w:val="08380AB6"/>
    <w:rsid w:val="083D2AF4"/>
    <w:rsid w:val="08907C6B"/>
    <w:rsid w:val="08CC67C9"/>
    <w:rsid w:val="08F43AA3"/>
    <w:rsid w:val="08F53B23"/>
    <w:rsid w:val="093C74AB"/>
    <w:rsid w:val="094E18FC"/>
    <w:rsid w:val="0A053C89"/>
    <w:rsid w:val="0A070656"/>
    <w:rsid w:val="0A193C90"/>
    <w:rsid w:val="0A422426"/>
    <w:rsid w:val="0A83110A"/>
    <w:rsid w:val="0A913ED8"/>
    <w:rsid w:val="0AC736EC"/>
    <w:rsid w:val="0B24171E"/>
    <w:rsid w:val="0B2D0853"/>
    <w:rsid w:val="0B374326"/>
    <w:rsid w:val="0B402A57"/>
    <w:rsid w:val="0B4668AE"/>
    <w:rsid w:val="0B546B41"/>
    <w:rsid w:val="0B58718A"/>
    <w:rsid w:val="0B5C3243"/>
    <w:rsid w:val="0B5E59FA"/>
    <w:rsid w:val="0BAD59A4"/>
    <w:rsid w:val="0BC02F47"/>
    <w:rsid w:val="0BD47E6F"/>
    <w:rsid w:val="0BF20520"/>
    <w:rsid w:val="0C2A4509"/>
    <w:rsid w:val="0C357211"/>
    <w:rsid w:val="0C466B45"/>
    <w:rsid w:val="0C757319"/>
    <w:rsid w:val="0CFE2D6E"/>
    <w:rsid w:val="0D2A119F"/>
    <w:rsid w:val="0D584403"/>
    <w:rsid w:val="0D624402"/>
    <w:rsid w:val="0DAF3BB1"/>
    <w:rsid w:val="0DEE7765"/>
    <w:rsid w:val="0EBB5B55"/>
    <w:rsid w:val="0F084F33"/>
    <w:rsid w:val="0F096081"/>
    <w:rsid w:val="0F172E25"/>
    <w:rsid w:val="0F1B4006"/>
    <w:rsid w:val="0F204221"/>
    <w:rsid w:val="0F2B5D1F"/>
    <w:rsid w:val="0FA5772B"/>
    <w:rsid w:val="101C0A97"/>
    <w:rsid w:val="103D460F"/>
    <w:rsid w:val="10806817"/>
    <w:rsid w:val="10EA4A5A"/>
    <w:rsid w:val="10F67974"/>
    <w:rsid w:val="110E630F"/>
    <w:rsid w:val="111149D9"/>
    <w:rsid w:val="11644F24"/>
    <w:rsid w:val="11757447"/>
    <w:rsid w:val="122356AC"/>
    <w:rsid w:val="12685FCD"/>
    <w:rsid w:val="12955A5D"/>
    <w:rsid w:val="13EF0479"/>
    <w:rsid w:val="142E0338"/>
    <w:rsid w:val="143F1925"/>
    <w:rsid w:val="14575AE1"/>
    <w:rsid w:val="145E6E6F"/>
    <w:rsid w:val="146F2C7A"/>
    <w:rsid w:val="14706952"/>
    <w:rsid w:val="148A7AA3"/>
    <w:rsid w:val="149E4992"/>
    <w:rsid w:val="14A168E7"/>
    <w:rsid w:val="14A44AAD"/>
    <w:rsid w:val="14EC30BA"/>
    <w:rsid w:val="15250FF2"/>
    <w:rsid w:val="15391F96"/>
    <w:rsid w:val="15417C8C"/>
    <w:rsid w:val="15932B49"/>
    <w:rsid w:val="15FB249C"/>
    <w:rsid w:val="163D4862"/>
    <w:rsid w:val="16417322"/>
    <w:rsid w:val="170726CC"/>
    <w:rsid w:val="170E5D26"/>
    <w:rsid w:val="17254D7D"/>
    <w:rsid w:val="17694B12"/>
    <w:rsid w:val="17AF62B6"/>
    <w:rsid w:val="17BC05EB"/>
    <w:rsid w:val="17BE59A2"/>
    <w:rsid w:val="17CC4181"/>
    <w:rsid w:val="17F90C5D"/>
    <w:rsid w:val="18185849"/>
    <w:rsid w:val="189C1D14"/>
    <w:rsid w:val="189D56D4"/>
    <w:rsid w:val="18BA663E"/>
    <w:rsid w:val="18D25736"/>
    <w:rsid w:val="18D712BE"/>
    <w:rsid w:val="18F36028"/>
    <w:rsid w:val="190E3EDF"/>
    <w:rsid w:val="195E6FCA"/>
    <w:rsid w:val="19726844"/>
    <w:rsid w:val="198D71C1"/>
    <w:rsid w:val="198E116C"/>
    <w:rsid w:val="19E34F90"/>
    <w:rsid w:val="1A0D4FAE"/>
    <w:rsid w:val="1A2F6BB8"/>
    <w:rsid w:val="1A442DE9"/>
    <w:rsid w:val="1A8E7D82"/>
    <w:rsid w:val="1A9A0DA0"/>
    <w:rsid w:val="1A9C0831"/>
    <w:rsid w:val="1A9F3D3E"/>
    <w:rsid w:val="1AA6099B"/>
    <w:rsid w:val="1AAD2361"/>
    <w:rsid w:val="1AD42284"/>
    <w:rsid w:val="1AFB2E83"/>
    <w:rsid w:val="1B084BCF"/>
    <w:rsid w:val="1B580F6E"/>
    <w:rsid w:val="1B7F7D64"/>
    <w:rsid w:val="1BC305D3"/>
    <w:rsid w:val="1BD34411"/>
    <w:rsid w:val="1BEF4851"/>
    <w:rsid w:val="1BF51C89"/>
    <w:rsid w:val="1BFE6C5F"/>
    <w:rsid w:val="1C2A7F82"/>
    <w:rsid w:val="1CD55680"/>
    <w:rsid w:val="1CD92947"/>
    <w:rsid w:val="1CDB608B"/>
    <w:rsid w:val="1D321E13"/>
    <w:rsid w:val="1D416E03"/>
    <w:rsid w:val="1DBC044E"/>
    <w:rsid w:val="1DCA7323"/>
    <w:rsid w:val="1DDC23A0"/>
    <w:rsid w:val="1E445F94"/>
    <w:rsid w:val="1E5D6A5F"/>
    <w:rsid w:val="1EAC6A29"/>
    <w:rsid w:val="1F0B4ACE"/>
    <w:rsid w:val="1F255953"/>
    <w:rsid w:val="1F4849CA"/>
    <w:rsid w:val="1F873477"/>
    <w:rsid w:val="1F8D239D"/>
    <w:rsid w:val="1F9128C8"/>
    <w:rsid w:val="1FA31BDA"/>
    <w:rsid w:val="1FF227DB"/>
    <w:rsid w:val="206326AF"/>
    <w:rsid w:val="208A2D9A"/>
    <w:rsid w:val="20B00655"/>
    <w:rsid w:val="21354AB4"/>
    <w:rsid w:val="213A656E"/>
    <w:rsid w:val="21455F84"/>
    <w:rsid w:val="21506168"/>
    <w:rsid w:val="215B0355"/>
    <w:rsid w:val="219F0AC7"/>
    <w:rsid w:val="21A60522"/>
    <w:rsid w:val="21D56578"/>
    <w:rsid w:val="21E82382"/>
    <w:rsid w:val="22482F0D"/>
    <w:rsid w:val="225F1B7B"/>
    <w:rsid w:val="228F5837"/>
    <w:rsid w:val="22AD2D70"/>
    <w:rsid w:val="22B969F5"/>
    <w:rsid w:val="22C8518E"/>
    <w:rsid w:val="23524303"/>
    <w:rsid w:val="238B0826"/>
    <w:rsid w:val="238E0DF3"/>
    <w:rsid w:val="239B4777"/>
    <w:rsid w:val="23AD5CF5"/>
    <w:rsid w:val="23BA10C2"/>
    <w:rsid w:val="23BD16F5"/>
    <w:rsid w:val="23F03B13"/>
    <w:rsid w:val="243D47FE"/>
    <w:rsid w:val="24831FDA"/>
    <w:rsid w:val="24977600"/>
    <w:rsid w:val="24B46637"/>
    <w:rsid w:val="24B831E2"/>
    <w:rsid w:val="24DB58A5"/>
    <w:rsid w:val="250B120F"/>
    <w:rsid w:val="252C7220"/>
    <w:rsid w:val="252F7E06"/>
    <w:rsid w:val="25697E3B"/>
    <w:rsid w:val="259A3A7F"/>
    <w:rsid w:val="25C6196A"/>
    <w:rsid w:val="2637307C"/>
    <w:rsid w:val="26A50560"/>
    <w:rsid w:val="26C47E1C"/>
    <w:rsid w:val="270F55EE"/>
    <w:rsid w:val="2713500D"/>
    <w:rsid w:val="272F1A96"/>
    <w:rsid w:val="274206C0"/>
    <w:rsid w:val="274E2D73"/>
    <w:rsid w:val="27E15995"/>
    <w:rsid w:val="27EC7D1E"/>
    <w:rsid w:val="27ED1213"/>
    <w:rsid w:val="27F52753"/>
    <w:rsid w:val="28506677"/>
    <w:rsid w:val="286D1D0D"/>
    <w:rsid w:val="28883B68"/>
    <w:rsid w:val="288C2DBC"/>
    <w:rsid w:val="288D2CC2"/>
    <w:rsid w:val="28C17614"/>
    <w:rsid w:val="28D41136"/>
    <w:rsid w:val="294A57BC"/>
    <w:rsid w:val="296B5304"/>
    <w:rsid w:val="297B0CF7"/>
    <w:rsid w:val="29FD0301"/>
    <w:rsid w:val="2A5D6CB9"/>
    <w:rsid w:val="2A7D1396"/>
    <w:rsid w:val="2AED28A3"/>
    <w:rsid w:val="2B123539"/>
    <w:rsid w:val="2B3B716B"/>
    <w:rsid w:val="2B7B038C"/>
    <w:rsid w:val="2B822DA1"/>
    <w:rsid w:val="2BC70368"/>
    <w:rsid w:val="2BC96E6C"/>
    <w:rsid w:val="2BD876B2"/>
    <w:rsid w:val="2C2C2F57"/>
    <w:rsid w:val="2C324A12"/>
    <w:rsid w:val="2C7A1F15"/>
    <w:rsid w:val="2C8405EA"/>
    <w:rsid w:val="2CF115A9"/>
    <w:rsid w:val="2D0427FE"/>
    <w:rsid w:val="2D094E24"/>
    <w:rsid w:val="2D832920"/>
    <w:rsid w:val="2E025EDF"/>
    <w:rsid w:val="2E2C5664"/>
    <w:rsid w:val="2E4B1DBB"/>
    <w:rsid w:val="2E6D2E1F"/>
    <w:rsid w:val="2EA133AF"/>
    <w:rsid w:val="2EB707A1"/>
    <w:rsid w:val="2ED84657"/>
    <w:rsid w:val="2EDD2DD9"/>
    <w:rsid w:val="2EEF0AF1"/>
    <w:rsid w:val="2EFC79F2"/>
    <w:rsid w:val="2F3740ED"/>
    <w:rsid w:val="2F723467"/>
    <w:rsid w:val="2F922149"/>
    <w:rsid w:val="2FFB1F66"/>
    <w:rsid w:val="306835D0"/>
    <w:rsid w:val="30894C9F"/>
    <w:rsid w:val="30B9756B"/>
    <w:rsid w:val="31077AEF"/>
    <w:rsid w:val="31F4373E"/>
    <w:rsid w:val="32153FA4"/>
    <w:rsid w:val="32175457"/>
    <w:rsid w:val="32222E32"/>
    <w:rsid w:val="32A0292F"/>
    <w:rsid w:val="32A02B99"/>
    <w:rsid w:val="32DD31FD"/>
    <w:rsid w:val="330F2BAA"/>
    <w:rsid w:val="331210F9"/>
    <w:rsid w:val="33174961"/>
    <w:rsid w:val="33186085"/>
    <w:rsid w:val="33563B58"/>
    <w:rsid w:val="337D5F7B"/>
    <w:rsid w:val="33813B89"/>
    <w:rsid w:val="33A3446E"/>
    <w:rsid w:val="33B171C7"/>
    <w:rsid w:val="33D414D0"/>
    <w:rsid w:val="33EA3E24"/>
    <w:rsid w:val="3411197D"/>
    <w:rsid w:val="34112321"/>
    <w:rsid w:val="34276A20"/>
    <w:rsid w:val="342D0442"/>
    <w:rsid w:val="34603E67"/>
    <w:rsid w:val="348225B1"/>
    <w:rsid w:val="349B511E"/>
    <w:rsid w:val="349E4D9F"/>
    <w:rsid w:val="34A00986"/>
    <w:rsid w:val="35242D0E"/>
    <w:rsid w:val="356D33F0"/>
    <w:rsid w:val="359F7282"/>
    <w:rsid w:val="35CD358A"/>
    <w:rsid w:val="35ED5910"/>
    <w:rsid w:val="36232DB0"/>
    <w:rsid w:val="365365D2"/>
    <w:rsid w:val="36902F82"/>
    <w:rsid w:val="36CB76B3"/>
    <w:rsid w:val="37155B10"/>
    <w:rsid w:val="37712166"/>
    <w:rsid w:val="377C08FC"/>
    <w:rsid w:val="378E4D5D"/>
    <w:rsid w:val="38217529"/>
    <w:rsid w:val="385E4E0A"/>
    <w:rsid w:val="385F359C"/>
    <w:rsid w:val="38B7004D"/>
    <w:rsid w:val="38BD5663"/>
    <w:rsid w:val="38D91DC5"/>
    <w:rsid w:val="39336CED"/>
    <w:rsid w:val="394D740D"/>
    <w:rsid w:val="39606C14"/>
    <w:rsid w:val="39C540F8"/>
    <w:rsid w:val="39FB720A"/>
    <w:rsid w:val="3A340FF7"/>
    <w:rsid w:val="3A654870"/>
    <w:rsid w:val="3A6D30B9"/>
    <w:rsid w:val="3A847614"/>
    <w:rsid w:val="3AB21926"/>
    <w:rsid w:val="3AFF146B"/>
    <w:rsid w:val="3B027CA5"/>
    <w:rsid w:val="3B477579"/>
    <w:rsid w:val="3B716BE4"/>
    <w:rsid w:val="3BA80B19"/>
    <w:rsid w:val="3C2E47AB"/>
    <w:rsid w:val="3C4240EC"/>
    <w:rsid w:val="3C491519"/>
    <w:rsid w:val="3C4B567C"/>
    <w:rsid w:val="3C4E263B"/>
    <w:rsid w:val="3CB649C9"/>
    <w:rsid w:val="3D112421"/>
    <w:rsid w:val="3D202664"/>
    <w:rsid w:val="3D3D1ADC"/>
    <w:rsid w:val="3D707339"/>
    <w:rsid w:val="3D711B40"/>
    <w:rsid w:val="3DAB4624"/>
    <w:rsid w:val="3E086AF8"/>
    <w:rsid w:val="3E343F9A"/>
    <w:rsid w:val="3E5E6398"/>
    <w:rsid w:val="3E800AA6"/>
    <w:rsid w:val="3EB47508"/>
    <w:rsid w:val="3EE07759"/>
    <w:rsid w:val="3EED14D1"/>
    <w:rsid w:val="3F1C59E2"/>
    <w:rsid w:val="3F3A1FEB"/>
    <w:rsid w:val="3F626354"/>
    <w:rsid w:val="3FE060DB"/>
    <w:rsid w:val="40042095"/>
    <w:rsid w:val="40191039"/>
    <w:rsid w:val="40662A84"/>
    <w:rsid w:val="408F4E50"/>
    <w:rsid w:val="40A67243"/>
    <w:rsid w:val="415B1EBD"/>
    <w:rsid w:val="416C23A8"/>
    <w:rsid w:val="42253D73"/>
    <w:rsid w:val="422C7D41"/>
    <w:rsid w:val="426A6105"/>
    <w:rsid w:val="428A2D00"/>
    <w:rsid w:val="42E14644"/>
    <w:rsid w:val="43193D76"/>
    <w:rsid w:val="431C1B20"/>
    <w:rsid w:val="43563BC3"/>
    <w:rsid w:val="43652EF0"/>
    <w:rsid w:val="439145F1"/>
    <w:rsid w:val="440C56F0"/>
    <w:rsid w:val="44323381"/>
    <w:rsid w:val="44384BF0"/>
    <w:rsid w:val="446B134A"/>
    <w:rsid w:val="44E4602A"/>
    <w:rsid w:val="456A4035"/>
    <w:rsid w:val="45804EB1"/>
    <w:rsid w:val="45B80788"/>
    <w:rsid w:val="45B94D5A"/>
    <w:rsid w:val="468C2D6E"/>
    <w:rsid w:val="46AA2F9F"/>
    <w:rsid w:val="46DA3C94"/>
    <w:rsid w:val="4767621D"/>
    <w:rsid w:val="479D439F"/>
    <w:rsid w:val="47E9061B"/>
    <w:rsid w:val="47EA1E34"/>
    <w:rsid w:val="484245C7"/>
    <w:rsid w:val="488D7CFE"/>
    <w:rsid w:val="48930EED"/>
    <w:rsid w:val="48B134AD"/>
    <w:rsid w:val="49323FD7"/>
    <w:rsid w:val="493B327C"/>
    <w:rsid w:val="4A114B60"/>
    <w:rsid w:val="4A965D14"/>
    <w:rsid w:val="4AE039B6"/>
    <w:rsid w:val="4AF90314"/>
    <w:rsid w:val="4BC535EC"/>
    <w:rsid w:val="4C12409B"/>
    <w:rsid w:val="4C7B10AA"/>
    <w:rsid w:val="4CAD2284"/>
    <w:rsid w:val="4CDF1BF4"/>
    <w:rsid w:val="4CE0736C"/>
    <w:rsid w:val="4D5601C7"/>
    <w:rsid w:val="4D6640C3"/>
    <w:rsid w:val="4DEF5FB2"/>
    <w:rsid w:val="4E26547A"/>
    <w:rsid w:val="4E8E2F0D"/>
    <w:rsid w:val="4EAC5711"/>
    <w:rsid w:val="4F4B17C3"/>
    <w:rsid w:val="4FC54132"/>
    <w:rsid w:val="50120532"/>
    <w:rsid w:val="503443E9"/>
    <w:rsid w:val="506858AC"/>
    <w:rsid w:val="50736D7F"/>
    <w:rsid w:val="507A2AA2"/>
    <w:rsid w:val="50946380"/>
    <w:rsid w:val="50AC1958"/>
    <w:rsid w:val="50ED67CC"/>
    <w:rsid w:val="513D0316"/>
    <w:rsid w:val="518569D9"/>
    <w:rsid w:val="518816A1"/>
    <w:rsid w:val="51956D25"/>
    <w:rsid w:val="519B00B4"/>
    <w:rsid w:val="51A76A58"/>
    <w:rsid w:val="51B2004B"/>
    <w:rsid w:val="51CA3B38"/>
    <w:rsid w:val="5220385A"/>
    <w:rsid w:val="52466896"/>
    <w:rsid w:val="526E7D02"/>
    <w:rsid w:val="52CA29FF"/>
    <w:rsid w:val="52E8557B"/>
    <w:rsid w:val="52F4683E"/>
    <w:rsid w:val="53211658"/>
    <w:rsid w:val="53223242"/>
    <w:rsid w:val="532F0AEC"/>
    <w:rsid w:val="534F55FA"/>
    <w:rsid w:val="5371731E"/>
    <w:rsid w:val="539946CE"/>
    <w:rsid w:val="53B042EA"/>
    <w:rsid w:val="53F70807"/>
    <w:rsid w:val="53F87A3F"/>
    <w:rsid w:val="54252519"/>
    <w:rsid w:val="54556AEA"/>
    <w:rsid w:val="54996B2C"/>
    <w:rsid w:val="54CE1507"/>
    <w:rsid w:val="55110DB9"/>
    <w:rsid w:val="55131A57"/>
    <w:rsid w:val="551972D6"/>
    <w:rsid w:val="55371339"/>
    <w:rsid w:val="55427A76"/>
    <w:rsid w:val="55622629"/>
    <w:rsid w:val="55B11F2F"/>
    <w:rsid w:val="55EB785C"/>
    <w:rsid w:val="56982E14"/>
    <w:rsid w:val="56A4741E"/>
    <w:rsid w:val="577D71D5"/>
    <w:rsid w:val="577D753E"/>
    <w:rsid w:val="57BC3F3F"/>
    <w:rsid w:val="57C944BA"/>
    <w:rsid w:val="57E33A25"/>
    <w:rsid w:val="57E427B4"/>
    <w:rsid w:val="582F16F9"/>
    <w:rsid w:val="5866141B"/>
    <w:rsid w:val="58BA3A4E"/>
    <w:rsid w:val="58BC020F"/>
    <w:rsid w:val="58CE1D75"/>
    <w:rsid w:val="58D20294"/>
    <w:rsid w:val="58F11DC1"/>
    <w:rsid w:val="592D3CE7"/>
    <w:rsid w:val="596D506E"/>
    <w:rsid w:val="59750976"/>
    <w:rsid w:val="59A81F82"/>
    <w:rsid w:val="5A3A2DDD"/>
    <w:rsid w:val="5A501D38"/>
    <w:rsid w:val="5AF67612"/>
    <w:rsid w:val="5B157129"/>
    <w:rsid w:val="5B1769FD"/>
    <w:rsid w:val="5B5A41D4"/>
    <w:rsid w:val="5B6A6121"/>
    <w:rsid w:val="5B6F5394"/>
    <w:rsid w:val="5B81161C"/>
    <w:rsid w:val="5BA81076"/>
    <w:rsid w:val="5BF918A2"/>
    <w:rsid w:val="5C230B87"/>
    <w:rsid w:val="5C641899"/>
    <w:rsid w:val="5C79589A"/>
    <w:rsid w:val="5C8D5D82"/>
    <w:rsid w:val="5C9E08ED"/>
    <w:rsid w:val="5CBD1826"/>
    <w:rsid w:val="5CF61AD7"/>
    <w:rsid w:val="5D490DC3"/>
    <w:rsid w:val="5DAB0D40"/>
    <w:rsid w:val="5DB23302"/>
    <w:rsid w:val="5EDF082A"/>
    <w:rsid w:val="5F0F339A"/>
    <w:rsid w:val="5F2016DF"/>
    <w:rsid w:val="5F394529"/>
    <w:rsid w:val="5F557AF4"/>
    <w:rsid w:val="5F93686E"/>
    <w:rsid w:val="5FDB3F37"/>
    <w:rsid w:val="60190504"/>
    <w:rsid w:val="607D5554"/>
    <w:rsid w:val="60B43074"/>
    <w:rsid w:val="60F31CBA"/>
    <w:rsid w:val="6172142E"/>
    <w:rsid w:val="61E4331F"/>
    <w:rsid w:val="62093465"/>
    <w:rsid w:val="621C2B4B"/>
    <w:rsid w:val="62210161"/>
    <w:rsid w:val="62315204"/>
    <w:rsid w:val="62400EAD"/>
    <w:rsid w:val="62B8336A"/>
    <w:rsid w:val="62DB0C58"/>
    <w:rsid w:val="62EF025F"/>
    <w:rsid w:val="636203B7"/>
    <w:rsid w:val="63676244"/>
    <w:rsid w:val="63744F21"/>
    <w:rsid w:val="63FB0C33"/>
    <w:rsid w:val="63FF0FC8"/>
    <w:rsid w:val="64337579"/>
    <w:rsid w:val="644011CB"/>
    <w:rsid w:val="64441196"/>
    <w:rsid w:val="648A0DE3"/>
    <w:rsid w:val="648B6A6E"/>
    <w:rsid w:val="64E738E4"/>
    <w:rsid w:val="64E9084D"/>
    <w:rsid w:val="64EC051E"/>
    <w:rsid w:val="65091B75"/>
    <w:rsid w:val="659D48A5"/>
    <w:rsid w:val="65BC6440"/>
    <w:rsid w:val="65C36E7F"/>
    <w:rsid w:val="65D21A26"/>
    <w:rsid w:val="65D2271B"/>
    <w:rsid w:val="660A3F5C"/>
    <w:rsid w:val="663444EB"/>
    <w:rsid w:val="663B7430"/>
    <w:rsid w:val="664240C0"/>
    <w:rsid w:val="667C2D93"/>
    <w:rsid w:val="66FE41E3"/>
    <w:rsid w:val="670D7075"/>
    <w:rsid w:val="672A0BC3"/>
    <w:rsid w:val="673B57D9"/>
    <w:rsid w:val="67B22418"/>
    <w:rsid w:val="68000819"/>
    <w:rsid w:val="68172B1F"/>
    <w:rsid w:val="68247623"/>
    <w:rsid w:val="683D7C81"/>
    <w:rsid w:val="686F7E78"/>
    <w:rsid w:val="687775B2"/>
    <w:rsid w:val="6892449C"/>
    <w:rsid w:val="68E71F20"/>
    <w:rsid w:val="69230C63"/>
    <w:rsid w:val="69393D31"/>
    <w:rsid w:val="693E5EAC"/>
    <w:rsid w:val="697463E4"/>
    <w:rsid w:val="69845BA5"/>
    <w:rsid w:val="69C20C02"/>
    <w:rsid w:val="69EE78FF"/>
    <w:rsid w:val="69F61ED3"/>
    <w:rsid w:val="6A1B14A7"/>
    <w:rsid w:val="6A386990"/>
    <w:rsid w:val="6A46300A"/>
    <w:rsid w:val="6A902695"/>
    <w:rsid w:val="6AC65D4A"/>
    <w:rsid w:val="6AD41793"/>
    <w:rsid w:val="6AE12DE8"/>
    <w:rsid w:val="6AE5012B"/>
    <w:rsid w:val="6B1148DF"/>
    <w:rsid w:val="6B241A17"/>
    <w:rsid w:val="6B4105BE"/>
    <w:rsid w:val="6B56437F"/>
    <w:rsid w:val="6B7636D8"/>
    <w:rsid w:val="6B8364BF"/>
    <w:rsid w:val="6BA240C1"/>
    <w:rsid w:val="6C504D15"/>
    <w:rsid w:val="6C8E184E"/>
    <w:rsid w:val="6CB30550"/>
    <w:rsid w:val="6CE17438"/>
    <w:rsid w:val="6CFD0573"/>
    <w:rsid w:val="6D47422B"/>
    <w:rsid w:val="6D655CEE"/>
    <w:rsid w:val="6D692400"/>
    <w:rsid w:val="6DB970FF"/>
    <w:rsid w:val="6DC5678C"/>
    <w:rsid w:val="6E1148C4"/>
    <w:rsid w:val="6E3116CE"/>
    <w:rsid w:val="6E3553D1"/>
    <w:rsid w:val="6E761835"/>
    <w:rsid w:val="6E8726D8"/>
    <w:rsid w:val="6E914282"/>
    <w:rsid w:val="6E9C0F6F"/>
    <w:rsid w:val="6EA14B04"/>
    <w:rsid w:val="6EAB14DE"/>
    <w:rsid w:val="6EC82A12"/>
    <w:rsid w:val="6EE66692"/>
    <w:rsid w:val="6F0E4EC3"/>
    <w:rsid w:val="6FEA4288"/>
    <w:rsid w:val="70557737"/>
    <w:rsid w:val="70C11743"/>
    <w:rsid w:val="70E02D2D"/>
    <w:rsid w:val="70E81CF8"/>
    <w:rsid w:val="717F6C52"/>
    <w:rsid w:val="718A51C2"/>
    <w:rsid w:val="719A17A2"/>
    <w:rsid w:val="719E5866"/>
    <w:rsid w:val="719F7978"/>
    <w:rsid w:val="71AD7318"/>
    <w:rsid w:val="71C37A53"/>
    <w:rsid w:val="71CB54AB"/>
    <w:rsid w:val="71DD0AEE"/>
    <w:rsid w:val="71E61073"/>
    <w:rsid w:val="71FE226D"/>
    <w:rsid w:val="72553376"/>
    <w:rsid w:val="725D6D65"/>
    <w:rsid w:val="726D70E7"/>
    <w:rsid w:val="72807317"/>
    <w:rsid w:val="72A63D8F"/>
    <w:rsid w:val="72CA4821"/>
    <w:rsid w:val="72CF11F9"/>
    <w:rsid w:val="72D035A6"/>
    <w:rsid w:val="7395151F"/>
    <w:rsid w:val="73B76D1E"/>
    <w:rsid w:val="73F25E01"/>
    <w:rsid w:val="741335DF"/>
    <w:rsid w:val="74150FA4"/>
    <w:rsid w:val="742F670E"/>
    <w:rsid w:val="747D74F0"/>
    <w:rsid w:val="74A44BEF"/>
    <w:rsid w:val="74B4507D"/>
    <w:rsid w:val="74C31ECB"/>
    <w:rsid w:val="74D873DC"/>
    <w:rsid w:val="75463263"/>
    <w:rsid w:val="754F3F1B"/>
    <w:rsid w:val="755C39DC"/>
    <w:rsid w:val="757271FA"/>
    <w:rsid w:val="757D2C68"/>
    <w:rsid w:val="75942919"/>
    <w:rsid w:val="75C3416E"/>
    <w:rsid w:val="75E76750"/>
    <w:rsid w:val="75FE6CDF"/>
    <w:rsid w:val="765E46F3"/>
    <w:rsid w:val="76770826"/>
    <w:rsid w:val="77194BC1"/>
    <w:rsid w:val="77692691"/>
    <w:rsid w:val="77AA57AB"/>
    <w:rsid w:val="77B63846"/>
    <w:rsid w:val="780A7ED0"/>
    <w:rsid w:val="780D5A03"/>
    <w:rsid w:val="78125442"/>
    <w:rsid w:val="78D6184E"/>
    <w:rsid w:val="78E71CAD"/>
    <w:rsid w:val="78FF163D"/>
    <w:rsid w:val="790939D1"/>
    <w:rsid w:val="794B6CDD"/>
    <w:rsid w:val="794E62CA"/>
    <w:rsid w:val="7971144F"/>
    <w:rsid w:val="79775D09"/>
    <w:rsid w:val="797A4436"/>
    <w:rsid w:val="7A305008"/>
    <w:rsid w:val="7A7D6F86"/>
    <w:rsid w:val="7A85177D"/>
    <w:rsid w:val="7AA120D9"/>
    <w:rsid w:val="7AAA36FF"/>
    <w:rsid w:val="7AAF05A8"/>
    <w:rsid w:val="7B196A3A"/>
    <w:rsid w:val="7B2443BF"/>
    <w:rsid w:val="7B5D1DB2"/>
    <w:rsid w:val="7B740E40"/>
    <w:rsid w:val="7BBA7B82"/>
    <w:rsid w:val="7BC04B6A"/>
    <w:rsid w:val="7C2F59DB"/>
    <w:rsid w:val="7C43267C"/>
    <w:rsid w:val="7C8A156A"/>
    <w:rsid w:val="7C9C4E59"/>
    <w:rsid w:val="7CBF02C8"/>
    <w:rsid w:val="7D5D7C86"/>
    <w:rsid w:val="7DB0477D"/>
    <w:rsid w:val="7DB3054C"/>
    <w:rsid w:val="7DDF587F"/>
    <w:rsid w:val="7E261C08"/>
    <w:rsid w:val="7E2F1D63"/>
    <w:rsid w:val="7E45730E"/>
    <w:rsid w:val="7EAA7A04"/>
    <w:rsid w:val="7EB87FC7"/>
    <w:rsid w:val="7F291DCD"/>
    <w:rsid w:val="7F4A08A0"/>
    <w:rsid w:val="7F631961"/>
    <w:rsid w:val="7F800E17"/>
    <w:rsid w:val="7FC61538"/>
    <w:rsid w:val="7FC70CA0"/>
    <w:rsid w:val="7FC900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8"/>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59"/>
    <w:qFormat/>
    <w:uiPriority w:val="0"/>
    <w:pPr>
      <w:keepNext/>
      <w:keepLines/>
      <w:spacing w:before="260" w:after="260" w:line="416" w:lineRule="auto"/>
      <w:outlineLvl w:val="2"/>
    </w:pPr>
    <w:rPr>
      <w:b/>
      <w:bCs/>
      <w:kern w:val="0"/>
      <w:sz w:val="32"/>
      <w:szCs w:val="32"/>
    </w:rPr>
  </w:style>
  <w:style w:type="paragraph" w:styleId="5">
    <w:name w:val="heading 4"/>
    <w:basedOn w:val="1"/>
    <w:next w:val="1"/>
    <w:qFormat/>
    <w:uiPriority w:val="0"/>
    <w:pPr>
      <w:keepNext/>
      <w:spacing w:line="320" w:lineRule="exact"/>
      <w:outlineLvl w:val="3"/>
    </w:pPr>
    <w:rPr>
      <w:rFonts w:ascii="@幼圆" w:hAnsi="@幼圆" w:eastAsia="@幼圆"/>
      <w:b/>
      <w:sz w:val="28"/>
    </w:rPr>
  </w:style>
  <w:style w:type="paragraph" w:styleId="6">
    <w:name w:val="heading 5"/>
    <w:basedOn w:val="1"/>
    <w:next w:val="7"/>
    <w:link w:val="60"/>
    <w:qFormat/>
    <w:uiPriority w:val="0"/>
    <w:pPr>
      <w:keepNext/>
      <w:keepLines/>
      <w:numPr>
        <w:ilvl w:val="4"/>
        <w:numId w:val="1"/>
      </w:numPr>
      <w:spacing w:before="280" w:after="290" w:line="376" w:lineRule="auto"/>
      <w:outlineLvl w:val="4"/>
    </w:pPr>
    <w:rPr>
      <w:b/>
      <w:sz w:val="28"/>
    </w:rPr>
  </w:style>
  <w:style w:type="paragraph" w:styleId="8">
    <w:name w:val="heading 6"/>
    <w:basedOn w:val="1"/>
    <w:next w:val="7"/>
    <w:link w:val="61"/>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62"/>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link w:val="63"/>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64"/>
    <w:qFormat/>
    <w:uiPriority w:val="0"/>
    <w:pPr>
      <w:keepNext/>
      <w:keepLines/>
      <w:numPr>
        <w:ilvl w:val="8"/>
        <w:numId w:val="1"/>
      </w:numPr>
      <w:spacing w:before="240" w:after="64" w:line="320" w:lineRule="auto"/>
      <w:outlineLvl w:val="8"/>
    </w:pPr>
    <w:rPr>
      <w:rFonts w:ascii="Arial" w:hAnsi="Arial" w:eastAsia="黑体"/>
    </w:rPr>
  </w:style>
  <w:style w:type="character" w:default="1" w:styleId="49">
    <w:name w:val="Default Paragraph Font"/>
    <w:unhideWhenUsed/>
    <w:qFormat/>
    <w:uiPriority w:val="1"/>
  </w:style>
  <w:style w:type="table" w:default="1" w:styleId="47">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toc 7"/>
    <w:basedOn w:val="1"/>
    <w:next w:val="1"/>
    <w:unhideWhenUsed/>
    <w:qFormat/>
    <w:uiPriority w:val="39"/>
    <w:pPr>
      <w:ind w:left="2520" w:leftChars="1200"/>
    </w:pPr>
    <w:rPr>
      <w:rFonts w:ascii="Calibri" w:hAnsi="Calibri"/>
      <w:szCs w:val="22"/>
    </w:rPr>
  </w:style>
  <w:style w:type="paragraph" w:styleId="13">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link w:val="65"/>
    <w:unhideWhenUsed/>
    <w:qFormat/>
    <w:uiPriority w:val="0"/>
    <w:pPr>
      <w:shd w:val="clear" w:color="auto" w:fill="000080"/>
    </w:pPr>
    <w:rPr>
      <w:rFonts w:hint="eastAsia" w:ascii="宋体" w:hAnsi="宋体"/>
      <w:kern w:val="0"/>
      <w:sz w:val="20"/>
      <w:szCs w:val="20"/>
    </w:rPr>
  </w:style>
  <w:style w:type="paragraph" w:styleId="16">
    <w:name w:val="annotation text"/>
    <w:basedOn w:val="1"/>
    <w:link w:val="66"/>
    <w:unhideWhenUsed/>
    <w:qFormat/>
    <w:uiPriority w:val="0"/>
    <w:pPr>
      <w:jc w:val="left"/>
    </w:pPr>
  </w:style>
  <w:style w:type="paragraph" w:styleId="17">
    <w:name w:val="Body Text 3"/>
    <w:basedOn w:val="1"/>
    <w:link w:val="67"/>
    <w:qFormat/>
    <w:uiPriority w:val="0"/>
    <w:pPr>
      <w:spacing w:line="500" w:lineRule="exact"/>
    </w:pPr>
    <w:rPr>
      <w:b/>
      <w:bCs/>
      <w:kern w:val="0"/>
      <w:sz w:val="24"/>
    </w:rPr>
  </w:style>
  <w:style w:type="paragraph" w:styleId="18">
    <w:name w:val="Body Text"/>
    <w:basedOn w:val="1"/>
    <w:link w:val="68"/>
    <w:qFormat/>
    <w:uiPriority w:val="99"/>
    <w:pPr>
      <w:spacing w:line="380" w:lineRule="exact"/>
    </w:pPr>
    <w:rPr>
      <w:kern w:val="0"/>
      <w:sz w:val="24"/>
    </w:rPr>
  </w:style>
  <w:style w:type="paragraph" w:styleId="19">
    <w:name w:val="Body Text Indent"/>
    <w:basedOn w:val="1"/>
    <w:next w:val="1"/>
    <w:link w:val="69"/>
    <w:qFormat/>
    <w:uiPriority w:val="0"/>
    <w:pPr>
      <w:ind w:firstLine="830" w:firstLineChars="352"/>
    </w:pPr>
    <w:rPr>
      <w:rFonts w:ascii="仿宋_GB2312" w:eastAsia="仿宋_GB2312"/>
      <w:kern w:val="0"/>
      <w:sz w:val="32"/>
      <w:szCs w:val="20"/>
    </w:rPr>
  </w:style>
  <w:style w:type="paragraph" w:styleId="20">
    <w:name w:val="List Number 3"/>
    <w:basedOn w:val="1"/>
    <w:qFormat/>
    <w:uiPriority w:val="0"/>
    <w:pPr>
      <w:numPr>
        <w:ilvl w:val="0"/>
        <w:numId w:val="2"/>
      </w:numPr>
    </w:pPr>
  </w:style>
  <w:style w:type="paragraph" w:styleId="21">
    <w:name w:val="List 2"/>
    <w:basedOn w:val="1"/>
    <w:qFormat/>
    <w:uiPriority w:val="0"/>
    <w:pPr>
      <w:ind w:left="100" w:leftChars="200" w:hanging="200" w:hangingChars="200"/>
    </w:pPr>
    <w:rPr>
      <w:sz w:val="28"/>
    </w:rPr>
  </w:style>
  <w:style w:type="paragraph" w:styleId="22">
    <w:name w:val="toc 5"/>
    <w:basedOn w:val="1"/>
    <w:next w:val="1"/>
    <w:unhideWhenUsed/>
    <w:qFormat/>
    <w:uiPriority w:val="39"/>
    <w:pPr>
      <w:ind w:left="1680" w:leftChars="800"/>
    </w:pPr>
    <w:rPr>
      <w:rFonts w:ascii="Calibri" w:hAnsi="Calibri"/>
      <w:szCs w:val="22"/>
    </w:rPr>
  </w:style>
  <w:style w:type="paragraph" w:styleId="23">
    <w:name w:val="toc 3"/>
    <w:basedOn w:val="1"/>
    <w:next w:val="1"/>
    <w:unhideWhenUsed/>
    <w:qFormat/>
    <w:uiPriority w:val="39"/>
    <w:pPr>
      <w:ind w:left="840" w:leftChars="400"/>
    </w:pPr>
    <w:rPr>
      <w:rFonts w:ascii="Calibri" w:hAnsi="Calibri"/>
      <w:szCs w:val="22"/>
    </w:rPr>
  </w:style>
  <w:style w:type="paragraph" w:styleId="24">
    <w:name w:val="Plain Text"/>
    <w:basedOn w:val="1"/>
    <w:link w:val="70"/>
    <w:qFormat/>
    <w:uiPriority w:val="0"/>
    <w:rPr>
      <w:rFonts w:ascii="宋体" w:hAnsi="Courier New"/>
      <w:kern w:val="0"/>
      <w:sz w:val="20"/>
      <w:szCs w:val="21"/>
    </w:rPr>
  </w:style>
  <w:style w:type="paragraph" w:styleId="25">
    <w:name w:val="toc 8"/>
    <w:basedOn w:val="1"/>
    <w:next w:val="1"/>
    <w:unhideWhenUsed/>
    <w:qFormat/>
    <w:uiPriority w:val="39"/>
    <w:pPr>
      <w:ind w:left="2940" w:leftChars="1400"/>
    </w:pPr>
    <w:rPr>
      <w:rFonts w:ascii="Calibri" w:hAnsi="Calibri"/>
      <w:szCs w:val="22"/>
    </w:rPr>
  </w:style>
  <w:style w:type="paragraph" w:styleId="26">
    <w:name w:val="Date"/>
    <w:basedOn w:val="1"/>
    <w:next w:val="1"/>
    <w:link w:val="71"/>
    <w:qFormat/>
    <w:uiPriority w:val="0"/>
    <w:pPr>
      <w:ind w:left="100" w:leftChars="2500"/>
    </w:pPr>
    <w:rPr>
      <w:rFonts w:ascii="宋体" w:hAnsi="Courier New"/>
      <w:kern w:val="0"/>
      <w:sz w:val="20"/>
      <w:szCs w:val="21"/>
    </w:rPr>
  </w:style>
  <w:style w:type="paragraph" w:styleId="27">
    <w:name w:val="Body Text Indent 2"/>
    <w:basedOn w:val="1"/>
    <w:link w:val="72"/>
    <w:qFormat/>
    <w:uiPriority w:val="0"/>
    <w:pPr>
      <w:ind w:firstLine="630"/>
    </w:pPr>
    <w:rPr>
      <w:kern w:val="0"/>
      <w:sz w:val="32"/>
      <w:szCs w:val="20"/>
    </w:rPr>
  </w:style>
  <w:style w:type="paragraph" w:styleId="28">
    <w:name w:val="endnote text"/>
    <w:basedOn w:val="1"/>
    <w:link w:val="73"/>
    <w:unhideWhenUsed/>
    <w:qFormat/>
    <w:uiPriority w:val="99"/>
    <w:pPr>
      <w:snapToGrid w:val="0"/>
      <w:jc w:val="left"/>
    </w:pPr>
  </w:style>
  <w:style w:type="paragraph" w:styleId="29">
    <w:name w:val="Balloon Text"/>
    <w:basedOn w:val="1"/>
    <w:link w:val="74"/>
    <w:semiHidden/>
    <w:qFormat/>
    <w:uiPriority w:val="0"/>
    <w:rPr>
      <w:kern w:val="0"/>
      <w:sz w:val="18"/>
      <w:szCs w:val="18"/>
    </w:rPr>
  </w:style>
  <w:style w:type="paragraph" w:styleId="30">
    <w:name w:val="footer"/>
    <w:basedOn w:val="1"/>
    <w:link w:val="75"/>
    <w:unhideWhenUsed/>
    <w:qFormat/>
    <w:uiPriority w:val="99"/>
    <w:pPr>
      <w:tabs>
        <w:tab w:val="center" w:pos="4153"/>
        <w:tab w:val="right" w:pos="8306"/>
      </w:tabs>
      <w:snapToGrid w:val="0"/>
      <w:jc w:val="left"/>
    </w:pPr>
    <w:rPr>
      <w:kern w:val="0"/>
      <w:sz w:val="18"/>
      <w:szCs w:val="18"/>
    </w:rPr>
  </w:style>
  <w:style w:type="paragraph" w:styleId="31">
    <w:name w:val="header"/>
    <w:basedOn w:val="1"/>
    <w:link w:val="76"/>
    <w:unhideWhenUsed/>
    <w:qFormat/>
    <w:uiPriority w:val="99"/>
    <w:pPr>
      <w:pBdr>
        <w:bottom w:val="single" w:color="auto" w:sz="6" w:space="1"/>
      </w:pBdr>
      <w:tabs>
        <w:tab w:val="center" w:pos="0"/>
        <w:tab w:val="left" w:pos="8306"/>
      </w:tabs>
      <w:snapToGrid w:val="0"/>
      <w:jc w:val="center"/>
    </w:pPr>
    <w:rPr>
      <w:sz w:val="18"/>
      <w:szCs w:val="18"/>
    </w:rPr>
  </w:style>
  <w:style w:type="paragraph" w:styleId="32">
    <w:name w:val="toc 1"/>
    <w:basedOn w:val="1"/>
    <w:next w:val="1"/>
    <w:qFormat/>
    <w:uiPriority w:val="39"/>
    <w:pPr>
      <w:tabs>
        <w:tab w:val="right" w:leader="dot" w:pos="8398"/>
      </w:tabs>
      <w:spacing w:before="120" w:after="120"/>
      <w:ind w:firstLine="240" w:firstLineChars="100"/>
      <w:jc w:val="left"/>
    </w:pPr>
    <w:rPr>
      <w:rFonts w:ascii="宋体" w:hAnsi="宋体"/>
      <w:b/>
      <w:bCs/>
      <w:caps/>
      <w:sz w:val="24"/>
      <w:lang w:val="en-US" w:eastAsia="zh-CN"/>
    </w:rPr>
  </w:style>
  <w:style w:type="paragraph" w:styleId="33">
    <w:name w:val="toc 4"/>
    <w:basedOn w:val="1"/>
    <w:next w:val="1"/>
    <w:unhideWhenUsed/>
    <w:qFormat/>
    <w:uiPriority w:val="39"/>
    <w:pPr>
      <w:ind w:left="1260" w:leftChars="600"/>
    </w:pPr>
    <w:rPr>
      <w:rFonts w:ascii="Calibri" w:hAnsi="Calibri"/>
      <w:szCs w:val="22"/>
    </w:rPr>
  </w:style>
  <w:style w:type="paragraph" w:styleId="34">
    <w:name w:val="List"/>
    <w:basedOn w:val="1"/>
    <w:qFormat/>
    <w:uiPriority w:val="0"/>
    <w:pPr>
      <w:ind w:left="200" w:hanging="200" w:hangingChars="200"/>
    </w:pPr>
    <w:rPr>
      <w:sz w:val="28"/>
    </w:rPr>
  </w:style>
  <w:style w:type="paragraph" w:styleId="35">
    <w:name w:val="footnote text"/>
    <w:basedOn w:val="1"/>
    <w:link w:val="77"/>
    <w:unhideWhenUsed/>
    <w:qFormat/>
    <w:uiPriority w:val="99"/>
    <w:pPr>
      <w:snapToGrid w:val="0"/>
      <w:jc w:val="left"/>
    </w:pPr>
    <w:rPr>
      <w:sz w:val="18"/>
      <w:szCs w:val="18"/>
    </w:rPr>
  </w:style>
  <w:style w:type="paragraph" w:styleId="36">
    <w:name w:val="toc 6"/>
    <w:basedOn w:val="1"/>
    <w:next w:val="1"/>
    <w:unhideWhenUsed/>
    <w:qFormat/>
    <w:uiPriority w:val="39"/>
    <w:pPr>
      <w:ind w:left="2100" w:leftChars="1000"/>
    </w:pPr>
    <w:rPr>
      <w:rFonts w:ascii="Calibri" w:hAnsi="Calibri"/>
      <w:szCs w:val="22"/>
    </w:rPr>
  </w:style>
  <w:style w:type="paragraph" w:styleId="37">
    <w:name w:val="Body Text Indent 3"/>
    <w:basedOn w:val="1"/>
    <w:link w:val="78"/>
    <w:qFormat/>
    <w:uiPriority w:val="0"/>
    <w:pPr>
      <w:spacing w:after="120"/>
      <w:ind w:left="420" w:leftChars="200"/>
    </w:pPr>
    <w:rPr>
      <w:kern w:val="0"/>
      <w:sz w:val="16"/>
      <w:szCs w:val="16"/>
    </w:rPr>
  </w:style>
  <w:style w:type="paragraph" w:styleId="38">
    <w:name w:val="toc 2"/>
    <w:basedOn w:val="1"/>
    <w:next w:val="1"/>
    <w:unhideWhenUsed/>
    <w:qFormat/>
    <w:uiPriority w:val="39"/>
    <w:pPr>
      <w:ind w:left="420" w:leftChars="200"/>
    </w:pPr>
  </w:style>
  <w:style w:type="paragraph" w:styleId="39">
    <w:name w:val="toc 9"/>
    <w:basedOn w:val="1"/>
    <w:next w:val="1"/>
    <w:unhideWhenUsed/>
    <w:qFormat/>
    <w:uiPriority w:val="39"/>
    <w:pPr>
      <w:ind w:left="3360" w:leftChars="1600"/>
    </w:pPr>
    <w:rPr>
      <w:rFonts w:ascii="Calibri" w:hAnsi="Calibri"/>
      <w:szCs w:val="22"/>
    </w:rPr>
  </w:style>
  <w:style w:type="paragraph" w:styleId="40">
    <w:name w:val="Body Text 2"/>
    <w:basedOn w:val="1"/>
    <w:link w:val="79"/>
    <w:qFormat/>
    <w:uiPriority w:val="0"/>
    <w:pPr>
      <w:spacing w:after="120" w:line="480" w:lineRule="auto"/>
    </w:pPr>
    <w:rPr>
      <w:kern w:val="0"/>
      <w:sz w:val="20"/>
    </w:rPr>
  </w:style>
  <w:style w:type="paragraph" w:styleId="41">
    <w:name w:val="Normal (Web)"/>
    <w:basedOn w:val="1"/>
    <w:qFormat/>
    <w:uiPriority w:val="99"/>
    <w:pPr>
      <w:widowControl/>
      <w:spacing w:before="100" w:beforeAutospacing="1" w:after="100" w:afterAutospacing="1"/>
      <w:jc w:val="left"/>
    </w:pPr>
    <w:rPr>
      <w:rFonts w:ascii="宋体" w:hAnsi="宋体"/>
      <w:kern w:val="0"/>
      <w:sz w:val="24"/>
    </w:rPr>
  </w:style>
  <w:style w:type="paragraph" w:styleId="42">
    <w:name w:val="index 1"/>
    <w:basedOn w:val="1"/>
    <w:next w:val="1"/>
    <w:semiHidden/>
    <w:qFormat/>
    <w:uiPriority w:val="0"/>
    <w:pPr>
      <w:spacing w:line="400" w:lineRule="exact"/>
      <w:ind w:firstLine="420" w:firstLineChars="200"/>
    </w:pPr>
    <w:rPr>
      <w:rFonts w:ascii="宋体" w:hAnsi="Courier New"/>
      <w:b/>
      <w:szCs w:val="20"/>
    </w:rPr>
  </w:style>
  <w:style w:type="paragraph" w:styleId="43">
    <w:name w:val="Title"/>
    <w:basedOn w:val="1"/>
    <w:next w:val="1"/>
    <w:link w:val="80"/>
    <w:qFormat/>
    <w:uiPriority w:val="10"/>
    <w:pPr>
      <w:spacing w:before="240" w:after="60"/>
      <w:jc w:val="center"/>
      <w:outlineLvl w:val="0"/>
    </w:pPr>
    <w:rPr>
      <w:rFonts w:ascii="Cambria" w:hAnsi="Cambria"/>
      <w:b/>
      <w:bCs/>
      <w:sz w:val="32"/>
      <w:szCs w:val="32"/>
    </w:rPr>
  </w:style>
  <w:style w:type="paragraph" w:styleId="44">
    <w:name w:val="annotation subject"/>
    <w:basedOn w:val="16"/>
    <w:next w:val="16"/>
    <w:link w:val="81"/>
    <w:unhideWhenUsed/>
    <w:qFormat/>
    <w:uiPriority w:val="99"/>
    <w:rPr>
      <w:b/>
      <w:bCs/>
    </w:rPr>
  </w:style>
  <w:style w:type="paragraph" w:styleId="45">
    <w:name w:val="Body Text First Indent"/>
    <w:basedOn w:val="18"/>
    <w:qFormat/>
    <w:uiPriority w:val="0"/>
    <w:pPr>
      <w:ind w:firstLine="420" w:firstLineChars="100"/>
    </w:pPr>
  </w:style>
  <w:style w:type="paragraph" w:styleId="46">
    <w:name w:val="Body Text First Indent 2"/>
    <w:basedOn w:val="19"/>
    <w:qFormat/>
    <w:uiPriority w:val="0"/>
    <w:pPr>
      <w:spacing w:after="120"/>
      <w:ind w:left="420" w:leftChars="200" w:firstLine="420" w:firstLineChars="200"/>
    </w:pPr>
    <w:rPr>
      <w:rFonts w:ascii="Times New Roman"/>
    </w:r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endnote reference"/>
    <w:unhideWhenUsed/>
    <w:qFormat/>
    <w:uiPriority w:val="99"/>
    <w:rPr>
      <w:vertAlign w:val="superscript"/>
    </w:rPr>
  </w:style>
  <w:style w:type="character" w:styleId="51">
    <w:name w:val="page number"/>
    <w:qFormat/>
    <w:uiPriority w:val="0"/>
  </w:style>
  <w:style w:type="character" w:styleId="52">
    <w:name w:val="FollowedHyperlink"/>
    <w:qFormat/>
    <w:uiPriority w:val="0"/>
    <w:rPr>
      <w:color w:val="000000"/>
      <w:u w:val="none"/>
    </w:rPr>
  </w:style>
  <w:style w:type="character" w:styleId="53">
    <w:name w:val="Hyperlink"/>
    <w:qFormat/>
    <w:uiPriority w:val="99"/>
    <w:rPr>
      <w:color w:val="000000"/>
      <w:u w:val="none"/>
    </w:rPr>
  </w:style>
  <w:style w:type="character" w:styleId="54">
    <w:name w:val="annotation reference"/>
    <w:unhideWhenUsed/>
    <w:qFormat/>
    <w:uiPriority w:val="0"/>
    <w:rPr>
      <w:sz w:val="21"/>
      <w:szCs w:val="21"/>
    </w:rPr>
  </w:style>
  <w:style w:type="character" w:styleId="55">
    <w:name w:val="footnote reference"/>
    <w:unhideWhenUsed/>
    <w:qFormat/>
    <w:uiPriority w:val="99"/>
    <w:rPr>
      <w:vertAlign w:val="superscript"/>
    </w:rPr>
  </w:style>
  <w:style w:type="paragraph" w:customStyle="1" w:styleId="56">
    <w:name w:val="表格文字"/>
    <w:basedOn w:val="1"/>
    <w:qFormat/>
    <w:uiPriority w:val="0"/>
    <w:pPr>
      <w:spacing w:before="25" w:after="25"/>
      <w:jc w:val="left"/>
    </w:pPr>
    <w:rPr>
      <w:bCs/>
      <w:spacing w:val="10"/>
      <w:kern w:val="0"/>
      <w:sz w:val="24"/>
    </w:rPr>
  </w:style>
  <w:style w:type="character" w:customStyle="1" w:styleId="57">
    <w:name w:val="标题 1 Char"/>
    <w:link w:val="2"/>
    <w:qFormat/>
    <w:uiPriority w:val="0"/>
    <w:rPr>
      <w:rFonts w:ascii="Times New Roman" w:hAnsi="Times New Roman" w:eastAsia="宋体" w:cs="Times New Roman"/>
      <w:b/>
      <w:bCs/>
      <w:kern w:val="44"/>
      <w:sz w:val="44"/>
      <w:szCs w:val="44"/>
    </w:rPr>
  </w:style>
  <w:style w:type="character" w:customStyle="1" w:styleId="58">
    <w:name w:val="标题 2 Char"/>
    <w:link w:val="3"/>
    <w:qFormat/>
    <w:uiPriority w:val="0"/>
    <w:rPr>
      <w:rFonts w:ascii="Arial" w:hAnsi="Arial" w:eastAsia="黑体" w:cs="Times New Roman"/>
      <w:b/>
      <w:bCs/>
      <w:sz w:val="32"/>
      <w:szCs w:val="32"/>
    </w:rPr>
  </w:style>
  <w:style w:type="character" w:customStyle="1" w:styleId="59">
    <w:name w:val="标题 3 Char"/>
    <w:link w:val="4"/>
    <w:qFormat/>
    <w:uiPriority w:val="0"/>
    <w:rPr>
      <w:rFonts w:ascii="Times New Roman" w:hAnsi="Times New Roman" w:eastAsia="宋体" w:cs="Times New Roman"/>
      <w:b/>
      <w:bCs/>
      <w:sz w:val="32"/>
      <w:szCs w:val="32"/>
    </w:rPr>
  </w:style>
  <w:style w:type="character" w:customStyle="1" w:styleId="60">
    <w:name w:val="标题 5 Char1"/>
    <w:link w:val="6"/>
    <w:qFormat/>
    <w:uiPriority w:val="0"/>
    <w:rPr>
      <w:b/>
      <w:kern w:val="2"/>
      <w:sz w:val="28"/>
      <w:szCs w:val="24"/>
    </w:rPr>
  </w:style>
  <w:style w:type="character" w:customStyle="1" w:styleId="61">
    <w:name w:val="标题 6 Char"/>
    <w:link w:val="8"/>
    <w:qFormat/>
    <w:uiPriority w:val="0"/>
    <w:rPr>
      <w:rFonts w:ascii="Arial" w:hAnsi="Arial" w:eastAsia="黑体"/>
      <w:b/>
      <w:kern w:val="2"/>
      <w:sz w:val="24"/>
      <w:szCs w:val="24"/>
    </w:rPr>
  </w:style>
  <w:style w:type="character" w:customStyle="1" w:styleId="62">
    <w:name w:val="标题 7 Char"/>
    <w:link w:val="9"/>
    <w:qFormat/>
    <w:uiPriority w:val="0"/>
    <w:rPr>
      <w:rFonts w:ascii="Times New Roman" w:hAnsi="Times New Roman"/>
      <w:b/>
      <w:kern w:val="2"/>
      <w:sz w:val="24"/>
      <w:szCs w:val="24"/>
    </w:rPr>
  </w:style>
  <w:style w:type="character" w:customStyle="1" w:styleId="63">
    <w:name w:val="标题 8 Char"/>
    <w:link w:val="10"/>
    <w:qFormat/>
    <w:uiPriority w:val="0"/>
    <w:rPr>
      <w:rFonts w:ascii="Arial" w:hAnsi="Arial" w:eastAsia="黑体"/>
      <w:kern w:val="2"/>
      <w:sz w:val="24"/>
      <w:szCs w:val="24"/>
    </w:rPr>
  </w:style>
  <w:style w:type="character" w:customStyle="1" w:styleId="64">
    <w:name w:val="标题 9 Char"/>
    <w:link w:val="11"/>
    <w:qFormat/>
    <w:uiPriority w:val="0"/>
    <w:rPr>
      <w:rFonts w:ascii="Arial" w:hAnsi="Arial" w:eastAsia="黑体"/>
      <w:kern w:val="2"/>
      <w:sz w:val="21"/>
      <w:szCs w:val="24"/>
    </w:rPr>
  </w:style>
  <w:style w:type="character" w:customStyle="1" w:styleId="65">
    <w:name w:val="文档结构图 Char"/>
    <w:link w:val="15"/>
    <w:qFormat/>
    <w:uiPriority w:val="0"/>
    <w:rPr>
      <w:rFonts w:hint="eastAsia" w:ascii="宋体" w:hAnsi="宋体" w:eastAsia="宋体" w:cs="宋体"/>
    </w:rPr>
  </w:style>
  <w:style w:type="character" w:customStyle="1" w:styleId="66">
    <w:name w:val="批注文字 Char2"/>
    <w:link w:val="16"/>
    <w:qFormat/>
    <w:uiPriority w:val="0"/>
    <w:rPr>
      <w:rFonts w:ascii="Times New Roman" w:hAnsi="Times New Roman"/>
      <w:kern w:val="2"/>
      <w:sz w:val="21"/>
      <w:szCs w:val="24"/>
    </w:rPr>
  </w:style>
  <w:style w:type="character" w:customStyle="1" w:styleId="67">
    <w:name w:val="正文文本 3 Char"/>
    <w:link w:val="17"/>
    <w:qFormat/>
    <w:uiPriority w:val="0"/>
    <w:rPr>
      <w:rFonts w:ascii="Times New Roman" w:hAnsi="Times New Roman" w:eastAsia="宋体" w:cs="Times New Roman"/>
      <w:b/>
      <w:bCs/>
      <w:sz w:val="24"/>
      <w:szCs w:val="24"/>
    </w:rPr>
  </w:style>
  <w:style w:type="character" w:customStyle="1" w:styleId="68">
    <w:name w:val="正文文本 Char"/>
    <w:link w:val="18"/>
    <w:qFormat/>
    <w:uiPriority w:val="99"/>
    <w:rPr>
      <w:rFonts w:ascii="Times New Roman" w:hAnsi="Times New Roman" w:eastAsia="宋体" w:cs="Times New Roman"/>
      <w:sz w:val="24"/>
      <w:szCs w:val="24"/>
    </w:rPr>
  </w:style>
  <w:style w:type="character" w:customStyle="1" w:styleId="69">
    <w:name w:val="正文文本缩进 Char"/>
    <w:link w:val="19"/>
    <w:qFormat/>
    <w:uiPriority w:val="0"/>
    <w:rPr>
      <w:rFonts w:ascii="仿宋_GB2312" w:hAnsi="Times New Roman" w:eastAsia="仿宋_GB2312" w:cs="Times New Roman"/>
      <w:sz w:val="32"/>
      <w:szCs w:val="20"/>
    </w:rPr>
  </w:style>
  <w:style w:type="character" w:customStyle="1" w:styleId="70">
    <w:name w:val="纯文本 Char1"/>
    <w:link w:val="24"/>
    <w:qFormat/>
    <w:uiPriority w:val="0"/>
    <w:rPr>
      <w:rFonts w:ascii="宋体" w:hAnsi="Courier New" w:eastAsia="宋体" w:cs="Courier New"/>
      <w:szCs w:val="21"/>
    </w:rPr>
  </w:style>
  <w:style w:type="character" w:customStyle="1" w:styleId="71">
    <w:name w:val="日期 Char"/>
    <w:link w:val="26"/>
    <w:qFormat/>
    <w:uiPriority w:val="0"/>
    <w:rPr>
      <w:rFonts w:ascii="宋体" w:hAnsi="Courier New" w:eastAsia="宋体" w:cs="Courier New"/>
      <w:szCs w:val="21"/>
    </w:rPr>
  </w:style>
  <w:style w:type="character" w:customStyle="1" w:styleId="72">
    <w:name w:val="正文文本缩进 2 Char"/>
    <w:link w:val="27"/>
    <w:qFormat/>
    <w:uiPriority w:val="0"/>
    <w:rPr>
      <w:rFonts w:ascii="Times New Roman" w:hAnsi="Times New Roman" w:eastAsia="宋体" w:cs="Times New Roman"/>
      <w:sz w:val="32"/>
      <w:szCs w:val="20"/>
    </w:rPr>
  </w:style>
  <w:style w:type="character" w:customStyle="1" w:styleId="73">
    <w:name w:val="尾注文本 Char"/>
    <w:link w:val="28"/>
    <w:semiHidden/>
    <w:qFormat/>
    <w:uiPriority w:val="99"/>
    <w:rPr>
      <w:rFonts w:ascii="Times New Roman" w:hAnsi="Times New Roman"/>
      <w:kern w:val="2"/>
      <w:sz w:val="21"/>
      <w:szCs w:val="24"/>
    </w:rPr>
  </w:style>
  <w:style w:type="character" w:customStyle="1" w:styleId="74">
    <w:name w:val="批注框文本 Char"/>
    <w:link w:val="29"/>
    <w:semiHidden/>
    <w:qFormat/>
    <w:uiPriority w:val="0"/>
    <w:rPr>
      <w:rFonts w:ascii="Times New Roman" w:hAnsi="Times New Roman" w:eastAsia="宋体" w:cs="Times New Roman"/>
      <w:sz w:val="18"/>
      <w:szCs w:val="18"/>
    </w:rPr>
  </w:style>
  <w:style w:type="character" w:customStyle="1" w:styleId="75">
    <w:name w:val="页脚 Char"/>
    <w:link w:val="30"/>
    <w:qFormat/>
    <w:uiPriority w:val="99"/>
    <w:rPr>
      <w:sz w:val="18"/>
      <w:szCs w:val="18"/>
    </w:rPr>
  </w:style>
  <w:style w:type="character" w:customStyle="1" w:styleId="76">
    <w:name w:val="页眉 Char"/>
    <w:link w:val="31"/>
    <w:qFormat/>
    <w:uiPriority w:val="99"/>
    <w:rPr>
      <w:rFonts w:ascii="Times New Roman" w:hAnsi="Times New Roman"/>
      <w:kern w:val="2"/>
      <w:sz w:val="18"/>
      <w:szCs w:val="18"/>
    </w:rPr>
  </w:style>
  <w:style w:type="character" w:customStyle="1" w:styleId="77">
    <w:name w:val="脚注文本 Char"/>
    <w:link w:val="35"/>
    <w:semiHidden/>
    <w:qFormat/>
    <w:uiPriority w:val="99"/>
    <w:rPr>
      <w:rFonts w:ascii="Times New Roman" w:hAnsi="Times New Roman"/>
      <w:kern w:val="2"/>
      <w:sz w:val="18"/>
      <w:szCs w:val="18"/>
    </w:rPr>
  </w:style>
  <w:style w:type="character" w:customStyle="1" w:styleId="78">
    <w:name w:val="正文文本缩进 3 Char"/>
    <w:link w:val="37"/>
    <w:qFormat/>
    <w:uiPriority w:val="0"/>
    <w:rPr>
      <w:rFonts w:ascii="Times New Roman" w:hAnsi="Times New Roman" w:eastAsia="宋体" w:cs="Times New Roman"/>
      <w:sz w:val="16"/>
      <w:szCs w:val="16"/>
    </w:rPr>
  </w:style>
  <w:style w:type="character" w:customStyle="1" w:styleId="79">
    <w:name w:val="正文文本 2 Char"/>
    <w:link w:val="40"/>
    <w:qFormat/>
    <w:uiPriority w:val="0"/>
    <w:rPr>
      <w:rFonts w:ascii="Times New Roman" w:hAnsi="Times New Roman" w:eastAsia="宋体" w:cs="Times New Roman"/>
      <w:szCs w:val="24"/>
    </w:rPr>
  </w:style>
  <w:style w:type="character" w:customStyle="1" w:styleId="80">
    <w:name w:val="标题 Char"/>
    <w:link w:val="43"/>
    <w:qFormat/>
    <w:uiPriority w:val="10"/>
    <w:rPr>
      <w:rFonts w:ascii="Cambria" w:hAnsi="Cambria" w:cs="Times New Roman"/>
      <w:b/>
      <w:bCs/>
      <w:kern w:val="2"/>
      <w:sz w:val="32"/>
      <w:szCs w:val="32"/>
    </w:rPr>
  </w:style>
  <w:style w:type="character" w:customStyle="1" w:styleId="81">
    <w:name w:val="批注主题 Char"/>
    <w:link w:val="44"/>
    <w:semiHidden/>
    <w:qFormat/>
    <w:uiPriority w:val="99"/>
    <w:rPr>
      <w:rFonts w:ascii="Times New Roman" w:hAnsi="Times New Roman"/>
      <w:b/>
      <w:bCs/>
      <w:kern w:val="2"/>
      <w:sz w:val="21"/>
      <w:szCs w:val="24"/>
    </w:rPr>
  </w:style>
  <w:style w:type="character" w:customStyle="1" w:styleId="82">
    <w:name w:val="批注文字 Char1"/>
    <w:qFormat/>
    <w:locked/>
    <w:uiPriority w:val="0"/>
    <w:rPr>
      <w:rFonts w:ascii="Times New Roman" w:hAnsi="Times New Roman"/>
      <w:kern w:val="2"/>
      <w:sz w:val="21"/>
      <w:szCs w:val="24"/>
    </w:rPr>
  </w:style>
  <w:style w:type="character" w:customStyle="1" w:styleId="83">
    <w:name w:val="case31"/>
    <w:qFormat/>
    <w:uiPriority w:val="0"/>
    <w:rPr>
      <w:rFonts w:hint="default"/>
      <w:sz w:val="21"/>
      <w:szCs w:val="21"/>
    </w:rPr>
  </w:style>
  <w:style w:type="character" w:customStyle="1" w:styleId="84">
    <w:name w:val="批注文字 Char"/>
    <w:qFormat/>
    <w:uiPriority w:val="0"/>
    <w:rPr>
      <w:rFonts w:ascii="Times New Roman" w:hAnsi="Times New Roman"/>
      <w:kern w:val="2"/>
      <w:sz w:val="21"/>
      <w:szCs w:val="24"/>
    </w:rPr>
  </w:style>
  <w:style w:type="character" w:customStyle="1" w:styleId="85">
    <w:name w:val="纯文本 Char"/>
    <w:qFormat/>
    <w:uiPriority w:val="0"/>
    <w:rPr>
      <w:rFonts w:ascii="宋体" w:hAnsi="Courier New" w:eastAsia="宋体"/>
      <w:kern w:val="2"/>
      <w:sz w:val="21"/>
      <w:lang w:val="en-US" w:eastAsia="zh-CN" w:bidi="ar-SA"/>
    </w:rPr>
  </w:style>
  <w:style w:type="character" w:customStyle="1" w:styleId="86">
    <w:name w:val="纯文本 字符1"/>
    <w:qFormat/>
    <w:uiPriority w:val="0"/>
    <w:rPr>
      <w:rFonts w:ascii="宋体" w:hAnsi="Courier New"/>
    </w:rPr>
  </w:style>
  <w:style w:type="character" w:customStyle="1" w:styleId="87">
    <w:name w:val="批注文字 字符1"/>
    <w:qFormat/>
    <w:uiPriority w:val="0"/>
    <w:rPr>
      <w:rFonts w:ascii="Times New Roman" w:hAnsi="Times New Roman"/>
      <w:kern w:val="2"/>
      <w:sz w:val="21"/>
      <w:szCs w:val="24"/>
    </w:rPr>
  </w:style>
  <w:style w:type="character" w:customStyle="1" w:styleId="88">
    <w:name w:val="正文文本 Char1"/>
    <w:semiHidden/>
    <w:qFormat/>
    <w:locked/>
    <w:uiPriority w:val="99"/>
    <w:rPr>
      <w:sz w:val="24"/>
      <w:szCs w:val="24"/>
    </w:rPr>
  </w:style>
  <w:style w:type="character" w:customStyle="1" w:styleId="89">
    <w:name w:val="apple-style-span"/>
    <w:qFormat/>
    <w:uiPriority w:val="0"/>
  </w:style>
  <w:style w:type="character" w:customStyle="1" w:styleId="90">
    <w:name w:val="textcontents"/>
    <w:qFormat/>
    <w:uiPriority w:val="0"/>
  </w:style>
  <w:style w:type="character" w:customStyle="1" w:styleId="91">
    <w:name w:val="普通文字 Char Char2"/>
    <w:qFormat/>
    <w:uiPriority w:val="0"/>
    <w:rPr>
      <w:rFonts w:ascii="宋体" w:hAnsi="Courier New" w:eastAsia="宋体"/>
      <w:kern w:val="2"/>
      <w:sz w:val="21"/>
      <w:lang w:val="en-US" w:eastAsia="zh-CN" w:bidi="ar-SA"/>
    </w:rPr>
  </w:style>
  <w:style w:type="character" w:customStyle="1" w:styleId="92">
    <w:name w:val="标题 5 Char"/>
    <w:qFormat/>
    <w:uiPriority w:val="9"/>
    <w:rPr>
      <w:b/>
      <w:kern w:val="2"/>
      <w:sz w:val="28"/>
      <w:szCs w:val="24"/>
    </w:rPr>
  </w:style>
  <w:style w:type="character" w:customStyle="1" w:styleId="93">
    <w:name w:val="批注文字 字符"/>
    <w:qFormat/>
    <w:uiPriority w:val="0"/>
    <w:rPr>
      <w:rFonts w:ascii="Times New Roman" w:hAnsi="Times New Roman"/>
      <w:kern w:val="2"/>
      <w:sz w:val="21"/>
      <w:szCs w:val="24"/>
    </w:rPr>
  </w:style>
  <w:style w:type="character" w:customStyle="1" w:styleId="94">
    <w:name w:val="标题 1 字符"/>
    <w:qFormat/>
    <w:uiPriority w:val="9"/>
    <w:rPr>
      <w:rFonts w:ascii="Times New Roman" w:hAnsi="Times New Roman" w:eastAsia="宋体" w:cs="Times New Roman"/>
      <w:b/>
      <w:bCs/>
      <w:kern w:val="44"/>
      <w:sz w:val="44"/>
      <w:szCs w:val="44"/>
    </w:rPr>
  </w:style>
  <w:style w:type="character" w:customStyle="1" w:styleId="95">
    <w:name w:val="纯文本 字符"/>
    <w:qFormat/>
    <w:uiPriority w:val="0"/>
    <w:rPr>
      <w:rFonts w:ascii="宋体" w:hAnsi="Courier New" w:eastAsia="宋体" w:cs="Courier New"/>
      <w:szCs w:val="21"/>
    </w:rPr>
  </w:style>
  <w:style w:type="character" w:customStyle="1" w:styleId="96">
    <w:name w:val="headline-content4"/>
    <w:qFormat/>
    <w:uiPriority w:val="0"/>
  </w:style>
  <w:style w:type="character" w:customStyle="1" w:styleId="97">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8">
    <w:name w:val="正文文本缩进 字符"/>
    <w:qFormat/>
    <w:uiPriority w:val="0"/>
    <w:rPr>
      <w:rFonts w:ascii="仿宋_GB2312" w:hAnsi="Times New Roman" w:eastAsia="仿宋_GB2312" w:cs="Times New Roman"/>
      <w:sz w:val="32"/>
      <w:szCs w:val="20"/>
    </w:rPr>
  </w:style>
  <w:style w:type="paragraph" w:customStyle="1" w:styleId="99">
    <w:name w:val="Char1"/>
    <w:basedOn w:val="1"/>
    <w:qFormat/>
    <w:uiPriority w:val="0"/>
    <w:rPr>
      <w:szCs w:val="21"/>
    </w:rPr>
  </w:style>
  <w:style w:type="paragraph" w:styleId="100">
    <w:name w:val="List Paragraph"/>
    <w:basedOn w:val="1"/>
    <w:qFormat/>
    <w:uiPriority w:val="34"/>
    <w:pPr>
      <w:ind w:firstLine="420" w:firstLineChars="200"/>
    </w:pPr>
  </w:style>
  <w:style w:type="paragraph" w:customStyle="1" w:styleId="101">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02">
    <w:name w:val="默认段落字体 Para Char Char Char Char Char Char Char Char Char1 Char Char Char Char"/>
    <w:basedOn w:val="1"/>
    <w:qFormat/>
    <w:uiPriority w:val="0"/>
    <w:rPr>
      <w:rFonts w:ascii="Tahoma" w:hAnsi="Tahoma"/>
      <w:sz w:val="24"/>
      <w:szCs w:val="20"/>
    </w:rPr>
  </w:style>
  <w:style w:type="paragraph" w:customStyle="1" w:styleId="103">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04">
    <w:name w:val="Plain Text"/>
    <w:basedOn w:val="1"/>
    <w:qFormat/>
    <w:uiPriority w:val="0"/>
    <w:rPr>
      <w:rFonts w:ascii="宋体" w:hAnsi="Courier New" w:cs="Century"/>
      <w:szCs w:val="21"/>
    </w:rPr>
  </w:style>
  <w:style w:type="paragraph" w:customStyle="1" w:styleId="105">
    <w:name w:val="Table Paragraph"/>
    <w:basedOn w:val="1"/>
    <w:qFormat/>
    <w:uiPriority w:val="1"/>
    <w:pPr>
      <w:jc w:val="left"/>
    </w:pPr>
    <w:rPr>
      <w:rFonts w:ascii="Calibri" w:hAnsi="Calibri"/>
      <w:kern w:val="0"/>
      <w:sz w:val="22"/>
      <w:szCs w:val="22"/>
      <w:lang w:eastAsia="en-US"/>
    </w:rPr>
  </w:style>
  <w:style w:type="paragraph" w:customStyle="1" w:styleId="10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07">
    <w:name w:val="表格"/>
    <w:basedOn w:val="1"/>
    <w:qFormat/>
    <w:uiPriority w:val="0"/>
    <w:pPr>
      <w:spacing w:line="400" w:lineRule="exact"/>
    </w:pPr>
    <w:rPr>
      <w:sz w:val="24"/>
    </w:rPr>
  </w:style>
  <w:style w:type="paragraph" w:customStyle="1" w:styleId="108">
    <w:name w:val="样式 首行缩进:  2 字符"/>
    <w:basedOn w:val="1"/>
    <w:qFormat/>
    <w:uiPriority w:val="0"/>
    <w:pPr>
      <w:spacing w:line="400" w:lineRule="exact"/>
      <w:ind w:firstLine="200" w:firstLineChars="200"/>
    </w:pPr>
    <w:rPr>
      <w:rFonts w:cs="宋体"/>
      <w:sz w:val="24"/>
    </w:rPr>
  </w:style>
  <w:style w:type="paragraph" w:customStyle="1" w:styleId="109">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0">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11">
    <w:name w:val="正文首行缩进两字符"/>
    <w:basedOn w:val="1"/>
    <w:qFormat/>
    <w:uiPriority w:val="0"/>
    <w:pPr>
      <w:spacing w:line="360" w:lineRule="auto"/>
      <w:ind w:firstLine="200" w:firstLineChars="200"/>
    </w:pPr>
  </w:style>
  <w:style w:type="paragraph" w:customStyle="1" w:styleId="112">
    <w:name w:val="正文段"/>
    <w:basedOn w:val="1"/>
    <w:qFormat/>
    <w:uiPriority w:val="0"/>
    <w:pPr>
      <w:widowControl/>
      <w:snapToGrid w:val="0"/>
      <w:spacing w:afterLines="50"/>
      <w:ind w:firstLine="200" w:firstLineChars="200"/>
    </w:pPr>
    <w:rPr>
      <w:kern w:val="0"/>
      <w:sz w:val="24"/>
      <w:szCs w:val="20"/>
    </w:rPr>
  </w:style>
  <w:style w:type="table" w:customStyle="1" w:styleId="113">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14">
    <w:name w:val="页脚 字符"/>
    <w:qFormat/>
    <w:uiPriority w:val="99"/>
  </w:style>
  <w:style w:type="character" w:customStyle="1" w:styleId="115">
    <w:name w:val="标题 1 Char1"/>
    <w:qFormat/>
    <w:uiPriority w:val="0"/>
    <w:rPr>
      <w:rFonts w:eastAsia="宋体"/>
      <w:b/>
      <w:bCs/>
      <w:kern w:val="44"/>
      <w:sz w:val="44"/>
      <w:szCs w:val="44"/>
      <w:lang w:val="en-US" w:eastAsia="zh-CN" w:bidi="ar-SA"/>
    </w:rPr>
  </w:style>
  <w:style w:type="character" w:customStyle="1" w:styleId="116">
    <w:name w:val="批注文字 字符2"/>
    <w:qFormat/>
    <w:uiPriority w:val="0"/>
    <w:rPr>
      <w:rFonts w:ascii="Times New Roman" w:hAnsi="Times New Roman"/>
      <w:kern w:val="2"/>
      <w:sz w:val="21"/>
      <w:szCs w:val="24"/>
    </w:rPr>
  </w:style>
  <w:style w:type="paragraph" w:customStyle="1" w:styleId="117">
    <w:name w:val="Title1"/>
    <w:basedOn w:val="1"/>
    <w:next w:val="1"/>
    <w:qFormat/>
    <w:uiPriority w:val="0"/>
    <w:pPr>
      <w:jc w:val="center"/>
      <w:outlineLvl w:val="0"/>
    </w:pPr>
    <w:rPr>
      <w:rFonts w:ascii="Calibri Light" w:hAnsi="Calibri Light" w:eastAsia="Arial Unicode MS"/>
      <w:b/>
    </w:rPr>
  </w:style>
  <w:style w:type="character" w:customStyle="1" w:styleId="118">
    <w:name w:val="font151"/>
    <w:basedOn w:val="49"/>
    <w:qFormat/>
    <w:uiPriority w:val="0"/>
    <w:rPr>
      <w:rFonts w:ascii="Wingdings 2" w:hAnsi="Wingdings 2" w:eastAsia="Wingdings 2" w:cs="Wingdings 2"/>
      <w:color w:val="000000"/>
      <w:sz w:val="20"/>
      <w:szCs w:val="20"/>
      <w:u w:val="none"/>
    </w:rPr>
  </w:style>
  <w:style w:type="character" w:customStyle="1" w:styleId="119">
    <w:name w:val="font21"/>
    <w:basedOn w:val="49"/>
    <w:qFormat/>
    <w:uiPriority w:val="0"/>
    <w:rPr>
      <w:rFonts w:hint="eastAsia" w:ascii="宋体" w:hAnsi="宋体" w:eastAsia="宋体" w:cs="宋体"/>
      <w:color w:val="000000"/>
      <w:sz w:val="20"/>
      <w:szCs w:val="20"/>
      <w:u w:val="none"/>
    </w:rPr>
  </w:style>
  <w:style w:type="character" w:customStyle="1" w:styleId="120">
    <w:name w:val="font161"/>
    <w:basedOn w:val="49"/>
    <w:qFormat/>
    <w:uiPriority w:val="0"/>
    <w:rPr>
      <w:rFonts w:hint="eastAsia" w:ascii="宋体" w:hAnsi="宋体" w:eastAsia="宋体" w:cs="宋体"/>
      <w:color w:val="000000"/>
      <w:sz w:val="20"/>
      <w:szCs w:val="20"/>
      <w:u w:val="none"/>
      <w:vertAlign w:val="superscript"/>
    </w:rPr>
  </w:style>
  <w:style w:type="paragraph" w:customStyle="1" w:styleId="121">
    <w:name w:val="Normal_0"/>
    <w:qFormat/>
    <w:uiPriority w:val="0"/>
    <w:rPr>
      <w:rFonts w:ascii="Times New Roman" w:hAnsi="Times New Roman" w:eastAsia="Times New Roman" w:cs="Times New Roman"/>
      <w:sz w:val="24"/>
      <w:szCs w:val="24"/>
      <w:lang w:val="en-US" w:eastAsia="zh-CN" w:bidi="ar-SA"/>
    </w:rPr>
  </w:style>
  <w:style w:type="character" w:customStyle="1" w:styleId="122">
    <w:name w:val="font31"/>
    <w:basedOn w:val="49"/>
    <w:qFormat/>
    <w:uiPriority w:val="0"/>
    <w:rPr>
      <w:rFonts w:ascii="宋体-简" w:hAnsi="宋体-简" w:eastAsia="宋体-简" w:cs="宋体-简"/>
      <w:color w:val="000000"/>
      <w:sz w:val="22"/>
      <w:szCs w:val="22"/>
      <w:u w:val="none"/>
    </w:rPr>
  </w:style>
  <w:style w:type="paragraph" w:customStyle="1" w:styleId="123">
    <w:name w:val="样式 首行缩进:  0.74 厘米"/>
    <w:basedOn w:val="1"/>
    <w:qFormat/>
    <w:uiPriority w:val="0"/>
    <w:pPr>
      <w:ind w:firstLine="420"/>
    </w:pPr>
    <w:rPr>
      <w:rFonts w:ascii="Arial" w:hAnsi="Arial" w:eastAsia="仿宋_GB2312" w:cs="Arial"/>
      <w:bCs/>
      <w:sz w:val="28"/>
      <w:szCs w:val="28"/>
    </w:rPr>
  </w:style>
  <w:style w:type="paragraph" w:customStyle="1" w:styleId="124">
    <w:name w:val="样式 正文缩进正文（首行缩进两字）首行缩进两字 + 首行缩进:  2 字符1"/>
    <w:basedOn w:val="7"/>
    <w:qFormat/>
    <w:uiPriority w:val="0"/>
    <w:pPr>
      <w:spacing w:beforeLines="50" w:afterLines="50" w:line="500" w:lineRule="exact"/>
      <w:ind w:firstLine="200"/>
    </w:pPr>
    <w:rPr>
      <w:sz w:val="28"/>
    </w:rPr>
  </w:style>
  <w:style w:type="paragraph" w:customStyle="1" w:styleId="125">
    <w:name w:val="Other|1"/>
    <w:basedOn w:val="1"/>
    <w:qFormat/>
    <w:uiPriority w:val="0"/>
    <w:pPr>
      <w:spacing w:line="480" w:lineRule="auto"/>
      <w:ind w:firstLine="400"/>
    </w:pPr>
    <w:rPr>
      <w:rFonts w:ascii="宋体" w:hAnsi="宋体" w:cs="宋体"/>
      <w:sz w:val="19"/>
      <w:szCs w:val="19"/>
      <w:lang w:val="zh-TW" w:eastAsia="zh-TW" w:bidi="zh-TW"/>
    </w:rPr>
  </w:style>
  <w:style w:type="paragraph" w:customStyle="1" w:styleId="126">
    <w:name w:val="Table caption|1"/>
    <w:basedOn w:val="1"/>
    <w:qFormat/>
    <w:uiPriority w:val="0"/>
    <w:rPr>
      <w:rFonts w:ascii="宋体" w:hAnsi="宋体" w:cs="宋体"/>
      <w:sz w:val="19"/>
      <w:szCs w:val="19"/>
      <w:lang w:val="zh-TW" w:eastAsia="zh-TW" w:bidi="zh-TW"/>
    </w:rPr>
  </w:style>
  <w:style w:type="paragraph" w:customStyle="1" w:styleId="127">
    <w:name w:val="p15"/>
    <w:basedOn w:val="1"/>
    <w:qFormat/>
    <w:uiPriority w:val="99"/>
    <w:pPr>
      <w:widowControl/>
    </w:pPr>
    <w:rPr>
      <w:rFonts w:ascii="宋体" w:hAnsi="宋体"/>
      <w:kern w:val="0"/>
      <w:szCs w:val="21"/>
    </w:rPr>
  </w:style>
  <w:style w:type="paragraph" w:customStyle="1" w:styleId="128">
    <w:name w:val="正文 首行缩进:  2 字符"/>
    <w:basedOn w:val="1"/>
    <w:qFormat/>
    <w:uiPriority w:val="99"/>
    <w:pPr>
      <w:ind w:firstLine="200" w:firstLineChars="200"/>
    </w:pPr>
    <w:rPr>
      <w:sz w:val="24"/>
    </w:rPr>
  </w:style>
  <w:style w:type="character" w:customStyle="1" w:styleId="129">
    <w:name w:val="font41"/>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141</Pages>
  <Words>2518</Words>
  <Characters>2989</Characters>
  <Lines>1022</Lines>
  <Paragraphs>287</Paragraphs>
  <TotalTime>1</TotalTime>
  <ScaleCrop>false</ScaleCrop>
  <LinksUpToDate>false</LinksUpToDate>
  <CharactersWithSpaces>3085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2025-06-23T17:20:00Z</dcterms:created>
  <dc:creator>广西国泰招标</dc:creator>
  <cp:lastModifiedBy>语燕</cp:lastModifiedBy>
  <cp:lastPrinted>2025-11-19T07:58:00Z</cp:lastPrinted>
  <dcterms:modified xsi:type="dcterms:W3CDTF">2025-11-28T01:59:36Z</dcterms:modified>
  <dc:title>公开招标采购文件范本</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F0B561507D5B45EFBB928024C4C2828F_13</vt:lpwstr>
  </property>
  <property fmtid="{D5CDD505-2E9C-101B-9397-08002B2CF9AE}" pid="4" name="KSOTemplateDocerSaveRecord">
    <vt:lpwstr>eyJoZGlkIjoiZTkwYzA0Y2Y2ODEwZDk1MWJlZDQzMjc0ZTZhYjU5YzUiLCJ1c2VySWQiOiIxMDUxNDczNDY3In0=</vt:lpwstr>
  </property>
</Properties>
</file>