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6E9E2">
      <w:pPr>
        <w:spacing w:before="303" w:line="219" w:lineRule="auto"/>
        <w:ind w:left="262"/>
      </w:pPr>
      <w:r>
        <w:rPr>
          <w:rFonts w:ascii="宋体" w:hAnsi="宋体" w:eastAsia="宋体" w:cs="宋体"/>
          <w:b/>
          <w:bCs/>
          <w:spacing w:val="-17"/>
          <w:sz w:val="53"/>
          <w:szCs w:val="53"/>
        </w:rPr>
        <w:t>罗城仫佬族自治县人民政府采购中心</w:t>
      </w:r>
    </w:p>
    <w:p w14:paraId="56BC7E4B">
      <w:pPr>
        <w:spacing w:line="60" w:lineRule="exact"/>
        <w:ind w:firstLine="15"/>
      </w:pPr>
      <w:r>
        <w:rPr>
          <w:position w:val="-1"/>
        </w:rPr>
        <w:drawing>
          <wp:inline distT="0" distB="0" distL="0" distR="0">
            <wp:extent cx="5701665" cy="38100"/>
            <wp:effectExtent l="0" t="0" r="13335"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5702263" cy="38203"/>
                    </a:xfrm>
                    <a:prstGeom prst="rect">
                      <a:avLst/>
                    </a:prstGeom>
                  </pic:spPr>
                </pic:pic>
              </a:graphicData>
            </a:graphic>
          </wp:inline>
        </w:drawing>
      </w:r>
    </w:p>
    <w:p w14:paraId="1DFE8E77">
      <w:pPr>
        <w:pStyle w:val="10"/>
        <w:spacing w:line="242" w:lineRule="auto"/>
      </w:pPr>
    </w:p>
    <w:p w14:paraId="73E6BC70">
      <w:pPr>
        <w:pStyle w:val="10"/>
        <w:spacing w:line="242" w:lineRule="auto"/>
      </w:pPr>
    </w:p>
    <w:p w14:paraId="6A2FCD7A">
      <w:pPr>
        <w:pStyle w:val="10"/>
        <w:spacing w:line="243" w:lineRule="auto"/>
      </w:pPr>
    </w:p>
    <w:p w14:paraId="21A73D30">
      <w:pPr>
        <w:spacing w:before="283" w:line="219" w:lineRule="auto"/>
        <w:ind w:left="1477"/>
        <w:outlineLvl w:val="0"/>
        <w:rPr>
          <w:rFonts w:ascii="宋体" w:hAnsi="宋体" w:eastAsia="宋体" w:cs="宋体"/>
          <w:sz w:val="87"/>
          <w:szCs w:val="87"/>
        </w:rPr>
      </w:pPr>
      <w:r>
        <w:rPr>
          <w:rFonts w:ascii="宋体" w:hAnsi="宋体" w:eastAsia="宋体" w:cs="宋体"/>
          <w:b/>
          <w:bCs/>
          <w:spacing w:val="-40"/>
          <w:sz w:val="87"/>
          <w:szCs w:val="87"/>
        </w:rPr>
        <w:t>竞争性谈判文件</w:t>
      </w:r>
    </w:p>
    <w:p w14:paraId="15690571">
      <w:pPr>
        <w:pStyle w:val="10"/>
        <w:spacing w:line="397" w:lineRule="auto"/>
      </w:pPr>
    </w:p>
    <w:p w14:paraId="2083525A">
      <w:pPr>
        <w:spacing w:before="104" w:line="220" w:lineRule="auto"/>
        <w:ind w:left="2990"/>
        <w:rPr>
          <w:rFonts w:ascii="宋体" w:hAnsi="宋体" w:eastAsia="宋体" w:cs="宋体"/>
          <w:sz w:val="32"/>
          <w:szCs w:val="32"/>
        </w:rPr>
      </w:pPr>
      <w:r>
        <w:rPr>
          <w:rFonts w:ascii="宋体" w:hAnsi="宋体" w:eastAsia="宋体" w:cs="宋体"/>
          <w:b/>
          <w:bCs/>
          <w:spacing w:val="1"/>
          <w:sz w:val="32"/>
          <w:szCs w:val="32"/>
        </w:rPr>
        <w:t>(全流程电子化评标)</w:t>
      </w:r>
    </w:p>
    <w:p w14:paraId="627A0760">
      <w:pPr>
        <w:pStyle w:val="10"/>
        <w:spacing w:line="275" w:lineRule="auto"/>
      </w:pPr>
    </w:p>
    <w:p w14:paraId="226F65C0">
      <w:pPr>
        <w:pStyle w:val="10"/>
        <w:spacing w:line="276" w:lineRule="auto"/>
      </w:pPr>
    </w:p>
    <w:p w14:paraId="28686932">
      <w:pPr>
        <w:spacing w:before="104" w:line="359" w:lineRule="auto"/>
        <w:ind w:left="8" w:right="440" w:hanging="9"/>
        <w:rPr>
          <w:rFonts w:ascii="宋体" w:hAnsi="宋体" w:eastAsia="宋体" w:cs="宋体"/>
          <w:sz w:val="32"/>
          <w:szCs w:val="32"/>
        </w:rPr>
      </w:pPr>
      <w:r>
        <w:rPr>
          <w:rFonts w:ascii="宋体" w:hAnsi="宋体" w:eastAsia="宋体" w:cs="宋体"/>
          <w:b/>
          <w:bCs/>
          <w:spacing w:val="3"/>
          <w:sz w:val="32"/>
          <w:szCs w:val="32"/>
        </w:rPr>
        <w:t>项目名称：罗城仫佬族自治县教育局2025年扩大学前教育资源</w:t>
      </w:r>
      <w:r>
        <w:rPr>
          <w:rFonts w:ascii="宋体" w:hAnsi="宋体" w:eastAsia="宋体" w:cs="宋体"/>
          <w:sz w:val="32"/>
          <w:szCs w:val="32"/>
        </w:rPr>
        <w:t xml:space="preserve"> </w:t>
      </w:r>
      <w:r>
        <w:rPr>
          <w:rFonts w:ascii="宋体" w:hAnsi="宋体" w:eastAsia="宋体" w:cs="宋体"/>
          <w:b/>
          <w:bCs/>
          <w:spacing w:val="-3"/>
          <w:sz w:val="32"/>
          <w:szCs w:val="32"/>
        </w:rPr>
        <w:t>奖补资金项目设施设备、玩教具采购项目</w:t>
      </w:r>
    </w:p>
    <w:p w14:paraId="1820AB97">
      <w:pPr>
        <w:pStyle w:val="10"/>
        <w:spacing w:line="292" w:lineRule="auto"/>
      </w:pPr>
    </w:p>
    <w:p w14:paraId="59013236">
      <w:pPr>
        <w:spacing w:before="105" w:line="219" w:lineRule="auto"/>
        <w:ind w:left="675"/>
        <w:rPr>
          <w:rFonts w:ascii="Times New Roman" w:hAnsi="Times New Roman" w:eastAsia="Times New Roman" w:cs="Times New Roman"/>
          <w:sz w:val="32"/>
          <w:szCs w:val="32"/>
        </w:rPr>
      </w:pPr>
      <w:r>
        <w:rPr>
          <w:rFonts w:ascii="宋体" w:hAnsi="宋体" w:eastAsia="宋体" w:cs="宋体"/>
          <w:spacing w:val="-8"/>
          <w:sz w:val="32"/>
          <w:szCs w:val="32"/>
        </w:rPr>
        <w:t>项目编号：</w:t>
      </w:r>
      <w:r>
        <w:rPr>
          <w:rFonts w:ascii="宋体" w:hAnsi="宋体" w:eastAsia="宋体" w:cs="宋体"/>
          <w:spacing w:val="-37"/>
          <w:sz w:val="32"/>
          <w:szCs w:val="32"/>
        </w:rPr>
        <w:t xml:space="preserve"> </w:t>
      </w:r>
      <w:r>
        <w:rPr>
          <w:rFonts w:ascii="Times New Roman" w:hAnsi="Times New Roman" w:eastAsia="Times New Roman" w:cs="Times New Roman"/>
          <w:spacing w:val="-8"/>
          <w:sz w:val="32"/>
          <w:szCs w:val="32"/>
        </w:rPr>
        <w:t>HCZC2025-J1-250048-LCML</w:t>
      </w:r>
    </w:p>
    <w:p w14:paraId="3B75100D">
      <w:pPr>
        <w:pStyle w:val="10"/>
        <w:spacing w:line="248" w:lineRule="auto"/>
      </w:pPr>
    </w:p>
    <w:p w14:paraId="34EF04BC">
      <w:pPr>
        <w:spacing w:line="60" w:lineRule="exact"/>
        <w:ind w:firstLine="285"/>
      </w:pPr>
      <w:r>
        <w:rPr>
          <w:position w:val="-1"/>
        </w:rPr>
        <w:drawing>
          <wp:inline distT="0" distB="0" distL="0" distR="0">
            <wp:extent cx="5701665" cy="37465"/>
            <wp:effectExtent l="0" t="0" r="13335"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5702263" cy="38093"/>
                    </a:xfrm>
                    <a:prstGeom prst="rect">
                      <a:avLst/>
                    </a:prstGeom>
                  </pic:spPr>
                </pic:pic>
              </a:graphicData>
            </a:graphic>
          </wp:inline>
        </w:drawing>
      </w:r>
    </w:p>
    <w:p w14:paraId="691C6528">
      <w:pPr>
        <w:pStyle w:val="10"/>
        <w:spacing w:line="316" w:lineRule="auto"/>
      </w:pPr>
    </w:p>
    <w:p w14:paraId="44B97714">
      <w:pPr>
        <w:spacing w:before="105" w:line="219" w:lineRule="auto"/>
        <w:ind w:left="860"/>
        <w:rPr>
          <w:rFonts w:ascii="宋体" w:hAnsi="宋体" w:eastAsia="宋体" w:cs="宋体"/>
          <w:b/>
          <w:bCs/>
          <w:spacing w:val="-3"/>
          <w:sz w:val="32"/>
          <w:szCs w:val="32"/>
        </w:rPr>
      </w:pPr>
      <w:r>
        <w:rPr>
          <w:rFonts w:ascii="宋体" w:hAnsi="宋体" w:eastAsia="宋体" w:cs="宋体"/>
          <w:b/>
          <w:bCs/>
          <w:spacing w:val="-3"/>
          <w:sz w:val="32"/>
          <w:szCs w:val="32"/>
        </w:rPr>
        <w:t>采购人：罗城仫佬族自治县教育局</w:t>
      </w:r>
    </w:p>
    <w:p w14:paraId="65485367">
      <w:pPr>
        <w:spacing w:before="105" w:line="219" w:lineRule="auto"/>
        <w:rPr>
          <w:rFonts w:ascii="宋体" w:hAnsi="宋体" w:eastAsia="宋体" w:cs="宋体"/>
          <w:b/>
          <w:bCs/>
          <w:spacing w:val="-3"/>
          <w:sz w:val="32"/>
          <w:szCs w:val="32"/>
        </w:rPr>
      </w:pPr>
      <w:r>
        <w:drawing>
          <wp:anchor distT="0" distB="0" distL="0" distR="0" simplePos="0" relativeHeight="251659264" behindDoc="0" locked="0" layoutInCell="1" allowOverlap="1">
            <wp:simplePos x="0" y="0"/>
            <wp:positionH relativeFrom="column">
              <wp:posOffset>2597150</wp:posOffset>
            </wp:positionH>
            <wp:positionV relativeFrom="paragraph">
              <wp:posOffset>29210</wp:posOffset>
            </wp:positionV>
            <wp:extent cx="1447800" cy="1460500"/>
            <wp:effectExtent l="0" t="0" r="0" b="635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447839" cy="1460510"/>
                    </a:xfrm>
                    <a:prstGeom prst="rect">
                      <a:avLst/>
                    </a:prstGeom>
                  </pic:spPr>
                </pic:pic>
              </a:graphicData>
            </a:graphic>
          </wp:anchor>
        </w:drawing>
      </w:r>
    </w:p>
    <w:p w14:paraId="47D28689">
      <w:pPr>
        <w:spacing w:before="104" w:line="219" w:lineRule="auto"/>
        <w:ind w:left="850"/>
      </w:pPr>
      <w:r>
        <w:rPr>
          <w:rFonts w:ascii="宋体" w:hAnsi="宋体" w:eastAsia="宋体" w:cs="宋体"/>
          <w:b/>
          <w:bCs/>
          <w:spacing w:val="-1"/>
          <w:sz w:val="32"/>
          <w:szCs w:val="32"/>
        </w:rPr>
        <w:t>采购代理机构：罗城仫佬族自治县人民政府</w:t>
      </w:r>
      <w:r>
        <w:rPr>
          <w:rFonts w:ascii="宋体" w:hAnsi="宋体" w:eastAsia="宋体" w:cs="宋体"/>
          <w:b/>
          <w:bCs/>
          <w:spacing w:val="-2"/>
          <w:sz w:val="32"/>
          <w:szCs w:val="32"/>
        </w:rPr>
        <w:t>采购中心</w:t>
      </w:r>
    </w:p>
    <w:p w14:paraId="759D5BEC">
      <w:pPr>
        <w:spacing w:before="105" w:line="219" w:lineRule="auto"/>
        <w:ind w:left="3780"/>
        <w:rPr>
          <w:rFonts w:ascii="宋体" w:hAnsi="宋体" w:eastAsia="宋体" w:cs="宋体"/>
          <w:sz w:val="32"/>
          <w:szCs w:val="32"/>
        </w:rPr>
      </w:pPr>
      <w:r>
        <w:rPr>
          <w:rFonts w:ascii="宋体" w:hAnsi="宋体" w:eastAsia="宋体" w:cs="宋体"/>
          <w:b/>
          <w:bCs/>
          <w:spacing w:val="31"/>
          <w:sz w:val="32"/>
          <w:szCs w:val="32"/>
        </w:rPr>
        <w:t>2025年7月</w:t>
      </w:r>
    </w:p>
    <w:p w14:paraId="47284B8D">
      <w:pPr>
        <w:pStyle w:val="24"/>
        <w:rPr>
          <w:rFonts w:hint="eastAsia" w:ascii="宋体" w:hAnsi="宋体"/>
          <w:b/>
          <w:sz w:val="44"/>
          <w:szCs w:val="44"/>
          <w:highlight w:val="none"/>
        </w:rPr>
      </w:pPr>
    </w:p>
    <w:p w14:paraId="672D1C4B">
      <w:pPr>
        <w:pStyle w:val="25"/>
        <w:ind w:left="0" w:leftChars="0" w:firstLine="0" w:firstLineChars="0"/>
        <w:rPr>
          <w:rFonts w:hint="eastAsia" w:ascii="宋体" w:hAnsi="宋体"/>
          <w:b/>
          <w:sz w:val="44"/>
          <w:szCs w:val="44"/>
          <w:highlight w:val="none"/>
        </w:rPr>
        <w:sectPr>
          <w:headerReference r:id="rId3" w:type="default"/>
          <w:footerReference r:id="rId5" w:type="default"/>
          <w:headerReference r:id="rId4" w:type="even"/>
          <w:footerReference r:id="rId6" w:type="even"/>
          <w:pgSz w:w="11906" w:h="16838"/>
          <w:pgMar w:top="1440" w:right="1440" w:bottom="1440" w:left="1587" w:header="851" w:footer="992" w:gutter="0"/>
          <w:pgNumType w:fmt="decimal" w:start="3"/>
          <w:cols w:space="720" w:num="1"/>
          <w:titlePg/>
          <w:docGrid w:type="lines" w:linePitch="312" w:charSpace="0"/>
        </w:sectPr>
      </w:pPr>
      <w:bookmarkStart w:id="83" w:name="_GoBack"/>
      <w:bookmarkEnd w:id="83"/>
    </w:p>
    <w:p w14:paraId="1C452D28">
      <w:pPr>
        <w:spacing w:line="360" w:lineRule="auto"/>
        <w:jc w:val="center"/>
        <w:rPr>
          <w:rFonts w:hint="eastAsia" w:ascii="宋体" w:hAnsi="宋体"/>
          <w:b/>
          <w:sz w:val="44"/>
          <w:szCs w:val="44"/>
          <w:highlight w:val="none"/>
        </w:rPr>
      </w:pPr>
      <w:r>
        <w:rPr>
          <w:rFonts w:hint="eastAsia" w:ascii="宋体" w:hAnsi="宋体"/>
          <w:b/>
          <w:sz w:val="44"/>
          <w:szCs w:val="44"/>
          <w:highlight w:val="none"/>
        </w:rPr>
        <w:t>目   录</w:t>
      </w:r>
    </w:p>
    <w:p w14:paraId="0C4AA7E1">
      <w:pPr>
        <w:spacing w:line="400" w:lineRule="exact"/>
        <w:jc w:val="center"/>
        <w:rPr>
          <w:rFonts w:hint="eastAsia" w:ascii="宋体" w:hAnsi="宋体"/>
          <w:b/>
          <w:sz w:val="44"/>
          <w:szCs w:val="44"/>
          <w:highlight w:val="none"/>
        </w:rPr>
      </w:pPr>
    </w:p>
    <w:p w14:paraId="7C2EDCAA">
      <w:pPr>
        <w:pStyle w:val="56"/>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TOC \o "1-1" \h \u </w:instrText>
      </w:r>
      <w:r>
        <w:rPr>
          <w:rFonts w:hint="eastAsia"/>
          <w:sz w:val="28"/>
          <w:szCs w:val="28"/>
          <w:highlight w:val="none"/>
        </w:rPr>
        <w:fldChar w:fldCharType="separate"/>
      </w:r>
      <w:r>
        <w:rPr>
          <w:rFonts w:hint="eastAsia"/>
          <w:sz w:val="28"/>
          <w:szCs w:val="28"/>
          <w:highlight w:val="none"/>
        </w:rPr>
        <w:fldChar w:fldCharType="begin"/>
      </w:r>
      <w:r>
        <w:rPr>
          <w:rFonts w:hint="eastAsia"/>
          <w:sz w:val="28"/>
          <w:szCs w:val="28"/>
          <w:highlight w:val="none"/>
        </w:rPr>
        <w:instrText xml:space="preserve"> HYPERLINK \l _Toc18241 </w:instrText>
      </w:r>
      <w:r>
        <w:rPr>
          <w:rFonts w:hint="eastAsia"/>
          <w:sz w:val="28"/>
          <w:szCs w:val="28"/>
          <w:highlight w:val="none"/>
        </w:rPr>
        <w:fldChar w:fldCharType="separate"/>
      </w:r>
      <w:r>
        <w:rPr>
          <w:rFonts w:hint="eastAsia"/>
          <w:sz w:val="28"/>
          <w:szCs w:val="28"/>
          <w:highlight w:val="none"/>
        </w:rPr>
        <w:t>第一章 竞争性谈判公告</w:t>
      </w:r>
      <w:r>
        <w:rPr>
          <w:sz w:val="28"/>
          <w:szCs w:val="28"/>
          <w:highlight w:val="none"/>
        </w:rPr>
        <w:tab/>
      </w:r>
      <w:r>
        <w:rPr>
          <w:rFonts w:hint="eastAsia"/>
          <w:sz w:val="28"/>
          <w:szCs w:val="28"/>
          <w:highlight w:val="none"/>
          <w:lang w:val="en-US" w:eastAsia="zh-CN"/>
        </w:rPr>
        <w:t>1</w:t>
      </w:r>
      <w:r>
        <w:rPr>
          <w:rFonts w:hint="eastAsia"/>
          <w:sz w:val="28"/>
          <w:szCs w:val="28"/>
          <w:highlight w:val="none"/>
        </w:rPr>
        <w:fldChar w:fldCharType="end"/>
      </w:r>
    </w:p>
    <w:p w14:paraId="70363631">
      <w:pPr>
        <w:pStyle w:val="56"/>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_Toc25640 </w:instrText>
      </w:r>
      <w:r>
        <w:rPr>
          <w:rFonts w:hint="eastAsia"/>
          <w:sz w:val="28"/>
          <w:szCs w:val="28"/>
          <w:highlight w:val="none"/>
        </w:rPr>
        <w:fldChar w:fldCharType="separate"/>
      </w:r>
      <w:r>
        <w:rPr>
          <w:rFonts w:hint="eastAsia"/>
          <w:sz w:val="28"/>
          <w:szCs w:val="28"/>
          <w:highlight w:val="none"/>
        </w:rPr>
        <w:t>第二章 供应商须知</w:t>
      </w:r>
      <w:r>
        <w:rPr>
          <w:sz w:val="28"/>
          <w:szCs w:val="28"/>
          <w:highlight w:val="none"/>
        </w:rPr>
        <w:tab/>
      </w:r>
      <w:r>
        <w:rPr>
          <w:rFonts w:hint="eastAsia"/>
          <w:sz w:val="28"/>
          <w:szCs w:val="28"/>
          <w:highlight w:val="none"/>
          <w:lang w:val="en-US" w:eastAsia="zh-CN"/>
        </w:rPr>
        <w:t>5</w:t>
      </w:r>
      <w:r>
        <w:rPr>
          <w:rFonts w:hint="eastAsia"/>
          <w:sz w:val="28"/>
          <w:szCs w:val="28"/>
          <w:highlight w:val="none"/>
        </w:rPr>
        <w:fldChar w:fldCharType="end"/>
      </w:r>
    </w:p>
    <w:p w14:paraId="5F223A03">
      <w:pPr>
        <w:pStyle w:val="56"/>
        <w:tabs>
          <w:tab w:val="right" w:leader="dot" w:pos="8879"/>
        </w:tabs>
        <w:rPr>
          <w:rFonts w:hint="eastAsia" w:eastAsia="宋体"/>
          <w:sz w:val="28"/>
          <w:szCs w:val="28"/>
          <w:highlight w:val="none"/>
          <w:lang w:eastAsia="zh-CN"/>
        </w:rPr>
      </w:pPr>
      <w:r>
        <w:rPr>
          <w:rFonts w:hint="eastAsia"/>
          <w:sz w:val="28"/>
          <w:szCs w:val="28"/>
          <w:highlight w:val="none"/>
        </w:rPr>
        <w:fldChar w:fldCharType="begin"/>
      </w:r>
      <w:r>
        <w:rPr>
          <w:rFonts w:hint="eastAsia"/>
          <w:sz w:val="28"/>
          <w:szCs w:val="28"/>
          <w:highlight w:val="none"/>
        </w:rPr>
        <w:instrText xml:space="preserve"> HYPERLINK \l _Toc15757 </w:instrText>
      </w:r>
      <w:r>
        <w:rPr>
          <w:rFonts w:hint="eastAsia"/>
          <w:sz w:val="28"/>
          <w:szCs w:val="28"/>
          <w:highlight w:val="none"/>
        </w:rPr>
        <w:fldChar w:fldCharType="separate"/>
      </w:r>
      <w:r>
        <w:rPr>
          <w:rFonts w:hint="eastAsia"/>
          <w:sz w:val="28"/>
          <w:szCs w:val="28"/>
          <w:highlight w:val="none"/>
        </w:rPr>
        <w:t>第三章 采购需求</w:t>
      </w:r>
      <w:r>
        <w:rPr>
          <w:sz w:val="28"/>
          <w:szCs w:val="28"/>
          <w:highlight w:val="none"/>
        </w:rPr>
        <w:tab/>
      </w:r>
      <w:r>
        <w:rPr>
          <w:rFonts w:hint="eastAsia"/>
          <w:sz w:val="28"/>
          <w:szCs w:val="28"/>
          <w:highlight w:val="none"/>
          <w:lang w:val="en-US" w:eastAsia="zh-CN"/>
        </w:rPr>
        <w:t>2</w:t>
      </w:r>
      <w:r>
        <w:rPr>
          <w:rFonts w:hint="eastAsia"/>
          <w:sz w:val="28"/>
          <w:szCs w:val="28"/>
          <w:highlight w:val="none"/>
        </w:rPr>
        <w:fldChar w:fldCharType="end"/>
      </w:r>
      <w:r>
        <w:rPr>
          <w:rFonts w:hint="eastAsia"/>
          <w:sz w:val="28"/>
          <w:szCs w:val="28"/>
          <w:highlight w:val="none"/>
          <w:lang w:val="en-US" w:eastAsia="zh-CN"/>
        </w:rPr>
        <w:t>3</w:t>
      </w:r>
    </w:p>
    <w:p w14:paraId="51C1024C">
      <w:pPr>
        <w:pStyle w:val="56"/>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_Toc10308 </w:instrText>
      </w:r>
      <w:r>
        <w:rPr>
          <w:rFonts w:hint="eastAsia"/>
          <w:sz w:val="28"/>
          <w:szCs w:val="28"/>
          <w:highlight w:val="none"/>
        </w:rPr>
        <w:fldChar w:fldCharType="separate"/>
      </w:r>
      <w:r>
        <w:rPr>
          <w:rFonts w:hint="eastAsia"/>
          <w:sz w:val="28"/>
          <w:szCs w:val="28"/>
          <w:highlight w:val="none"/>
        </w:rPr>
        <w:t>第四章  评审程序和评定成交的标准</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65</w:t>
      </w:r>
    </w:p>
    <w:p w14:paraId="26DE000F">
      <w:pPr>
        <w:pStyle w:val="56"/>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_Toc11735 </w:instrText>
      </w:r>
      <w:r>
        <w:rPr>
          <w:rFonts w:hint="eastAsia"/>
          <w:sz w:val="28"/>
          <w:szCs w:val="28"/>
          <w:highlight w:val="none"/>
        </w:rPr>
        <w:fldChar w:fldCharType="separate"/>
      </w:r>
      <w:r>
        <w:rPr>
          <w:rFonts w:hint="eastAsia"/>
          <w:sz w:val="28"/>
          <w:szCs w:val="28"/>
          <w:highlight w:val="none"/>
        </w:rPr>
        <w:t>第五章 响应文件格式</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70</w:t>
      </w:r>
    </w:p>
    <w:p w14:paraId="09A5F9B7">
      <w:pPr>
        <w:pStyle w:val="56"/>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_Toc8083 </w:instrText>
      </w:r>
      <w:r>
        <w:rPr>
          <w:rFonts w:hint="eastAsia"/>
          <w:sz w:val="28"/>
          <w:szCs w:val="28"/>
          <w:highlight w:val="none"/>
        </w:rPr>
        <w:fldChar w:fldCharType="separate"/>
      </w:r>
      <w:r>
        <w:rPr>
          <w:rFonts w:hint="eastAsia"/>
          <w:sz w:val="28"/>
          <w:szCs w:val="28"/>
          <w:highlight w:val="none"/>
        </w:rPr>
        <w:t>第六章 合同文本</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93</w:t>
      </w:r>
    </w:p>
    <w:p w14:paraId="204638DD">
      <w:pPr>
        <w:pStyle w:val="21"/>
        <w:rPr>
          <w:rFonts w:hint="eastAsia"/>
          <w:sz w:val="28"/>
          <w:szCs w:val="28"/>
          <w:highlight w:val="none"/>
        </w:rPr>
      </w:pPr>
      <w:r>
        <w:rPr>
          <w:rFonts w:hint="eastAsia"/>
          <w:sz w:val="28"/>
          <w:szCs w:val="28"/>
          <w:highlight w:val="none"/>
        </w:rPr>
        <w:fldChar w:fldCharType="end"/>
      </w:r>
    </w:p>
    <w:p w14:paraId="6A8E102B">
      <w:pPr>
        <w:spacing w:line="400" w:lineRule="exact"/>
        <w:jc w:val="left"/>
        <w:rPr>
          <w:rFonts w:hint="eastAsia" w:ascii="宋体" w:hAnsi="宋体"/>
          <w:b/>
          <w:sz w:val="32"/>
          <w:szCs w:val="32"/>
          <w:highlight w:val="none"/>
        </w:rPr>
      </w:pPr>
    </w:p>
    <w:p w14:paraId="34FFCF27">
      <w:pPr>
        <w:spacing w:line="400" w:lineRule="exact"/>
        <w:jc w:val="center"/>
        <w:rPr>
          <w:rFonts w:hint="eastAsia" w:ascii="宋体" w:hAnsi="宋体"/>
          <w:b/>
          <w:sz w:val="32"/>
          <w:szCs w:val="32"/>
          <w:highlight w:val="none"/>
        </w:rPr>
      </w:pPr>
    </w:p>
    <w:p w14:paraId="13F6A979">
      <w:pPr>
        <w:spacing w:line="400" w:lineRule="exact"/>
        <w:jc w:val="center"/>
        <w:rPr>
          <w:rFonts w:hint="eastAsia" w:ascii="宋体" w:hAnsi="宋体"/>
          <w:b/>
          <w:sz w:val="32"/>
          <w:szCs w:val="32"/>
          <w:highlight w:val="none"/>
        </w:rPr>
      </w:pPr>
    </w:p>
    <w:p w14:paraId="578999C8">
      <w:pPr>
        <w:spacing w:line="400" w:lineRule="exact"/>
        <w:jc w:val="center"/>
        <w:rPr>
          <w:rFonts w:hint="eastAsia" w:ascii="宋体" w:hAnsi="宋体"/>
          <w:b/>
          <w:sz w:val="32"/>
          <w:szCs w:val="32"/>
          <w:highlight w:val="none"/>
        </w:rPr>
      </w:pPr>
    </w:p>
    <w:p w14:paraId="74340903">
      <w:pPr>
        <w:spacing w:line="400" w:lineRule="exact"/>
        <w:jc w:val="center"/>
        <w:rPr>
          <w:rFonts w:hint="eastAsia" w:ascii="宋体" w:hAnsi="宋体"/>
          <w:b/>
          <w:sz w:val="32"/>
          <w:szCs w:val="32"/>
          <w:highlight w:val="none"/>
        </w:rPr>
      </w:pPr>
    </w:p>
    <w:p w14:paraId="7AC90165">
      <w:pPr>
        <w:spacing w:line="400" w:lineRule="exact"/>
        <w:rPr>
          <w:rFonts w:hint="eastAsia" w:ascii="宋体" w:hAnsi="宋体"/>
          <w:b/>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0E84ECCB">
      <w:pPr>
        <w:pStyle w:val="3"/>
        <w:jc w:val="center"/>
        <w:rPr>
          <w:rFonts w:ascii="宋体" w:hAnsi="宋体"/>
          <w:szCs w:val="21"/>
          <w:highlight w:val="none"/>
        </w:rPr>
      </w:pPr>
      <w:bookmarkStart w:id="0" w:name="_Toc35611510"/>
      <w:bookmarkStart w:id="1" w:name="_Toc18241"/>
      <w:r>
        <w:rPr>
          <w:rFonts w:hint="eastAsia"/>
          <w:highlight w:val="none"/>
        </w:rPr>
        <w:t>第一章 竞争性谈判公告</w:t>
      </w:r>
      <w:bookmarkEnd w:id="0"/>
      <w:bookmarkEnd w:id="1"/>
    </w:p>
    <w:p w14:paraId="44B6B0B1">
      <w:pPr>
        <w:pBdr>
          <w:top w:val="single" w:color="auto" w:sz="4" w:space="1"/>
          <w:left w:val="single" w:color="auto" w:sz="4" w:space="4"/>
          <w:bottom w:val="single" w:color="auto" w:sz="4" w:space="1"/>
          <w:right w:val="single" w:color="auto" w:sz="4" w:space="4"/>
        </w:pBdr>
        <w:spacing w:line="400" w:lineRule="exact"/>
        <w:rPr>
          <w:rFonts w:hint="eastAsia" w:ascii="宋体" w:hAnsi="宋体" w:eastAsia="宋体" w:cs="宋体"/>
          <w:szCs w:val="21"/>
          <w:highlight w:val="none"/>
        </w:rPr>
      </w:pPr>
      <w:bookmarkStart w:id="2" w:name="_Hlk37430271"/>
      <w:r>
        <w:rPr>
          <w:rFonts w:hint="eastAsia" w:ascii="宋体" w:hAnsi="宋体" w:eastAsia="宋体" w:cs="宋体"/>
          <w:szCs w:val="21"/>
          <w:highlight w:val="none"/>
        </w:rPr>
        <w:t>项目概况</w:t>
      </w:r>
    </w:p>
    <w:p w14:paraId="0D26DB7C">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bookmarkStart w:id="3" w:name="OLE_LINK6"/>
      <w:r>
        <w:rPr>
          <w:rFonts w:hint="eastAsia" w:ascii="宋体" w:hAnsi="宋体" w:eastAsia="宋体" w:cs="宋体"/>
          <w:b w:val="0"/>
          <w:bCs w:val="0"/>
          <w:sz w:val="21"/>
          <w:szCs w:val="21"/>
          <w:u w:val="single"/>
          <w:lang w:val="en-US" w:eastAsia="zh-CN"/>
        </w:rPr>
        <w:t>罗城仫佬族自治县教育局2025年扩大学前教育资源奖补资金项目设施设备、玩教具采购项目</w:t>
      </w:r>
      <w:bookmarkEnd w:id="3"/>
      <w:r>
        <w:rPr>
          <w:rFonts w:hint="eastAsia" w:ascii="宋体" w:hAnsi="宋体" w:eastAsia="宋体" w:cs="宋体"/>
          <w:highlight w:val="none"/>
        </w:rPr>
        <w:t>的潜在供应商应在</w:t>
      </w:r>
      <w:r>
        <w:rPr>
          <w:rFonts w:hint="eastAsia" w:ascii="宋体" w:hAnsi="宋体" w:eastAsia="宋体" w:cs="宋体"/>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"https://www.zcygov.cn）获取采购文件，并于2022年"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rPr>
        <w:t>https://www.gcy.zfcg.gxzf.gov.cn/</w:t>
      </w:r>
      <w:r>
        <w:rPr>
          <w:rStyle w:val="30"/>
          <w:rFonts w:hint="eastAsia" w:ascii="宋体" w:hAnsi="宋体" w:eastAsia="宋体" w:cs="宋体"/>
          <w:color w:val="auto"/>
          <w:szCs w:val="21"/>
          <w:highlight w:val="none"/>
          <w:u w:val="none"/>
        </w:rPr>
        <w:t>）获取</w:t>
      </w:r>
      <w:r>
        <w:rPr>
          <w:rStyle w:val="30"/>
          <w:rFonts w:hint="eastAsia" w:ascii="宋体" w:hAnsi="宋体" w:eastAsia="宋体" w:cs="宋体"/>
          <w:color w:val="auto"/>
          <w:szCs w:val="21"/>
          <w:highlight w:val="none"/>
          <w:u w:val="none"/>
          <w:lang w:val="en-US" w:eastAsia="zh-CN"/>
        </w:rPr>
        <w:t>采购</w:t>
      </w:r>
      <w:r>
        <w:rPr>
          <w:rStyle w:val="30"/>
          <w:rFonts w:hint="eastAsia" w:ascii="宋体" w:hAnsi="宋体" w:eastAsia="宋体" w:cs="宋体"/>
          <w:color w:val="auto"/>
          <w:szCs w:val="21"/>
          <w:highlight w:val="none"/>
          <w:u w:val="none"/>
        </w:rPr>
        <w:t>文件</w:t>
      </w:r>
      <w:r>
        <w:rPr>
          <w:rStyle w:val="30"/>
          <w:rFonts w:hint="eastAsia" w:ascii="宋体" w:hAnsi="宋体" w:eastAsia="宋体" w:cs="宋体"/>
          <w:color w:val="auto"/>
          <w:highlight w:val="none"/>
          <w:u w:val="none"/>
        </w:rPr>
        <w:t>，并于</w:t>
      </w:r>
      <w:r>
        <w:rPr>
          <w:rStyle w:val="30"/>
          <w:rFonts w:hint="eastAsia" w:ascii="宋体" w:hAnsi="宋体" w:eastAsia="宋体" w:cs="宋体"/>
          <w:color w:val="auto"/>
          <w:highlight w:val="none"/>
        </w:rPr>
        <w:t>202</w:t>
      </w:r>
      <w:r>
        <w:rPr>
          <w:rStyle w:val="30"/>
          <w:rFonts w:hint="eastAsia" w:ascii="宋体" w:hAnsi="宋体" w:eastAsia="宋体" w:cs="宋体"/>
          <w:color w:val="auto"/>
          <w:highlight w:val="none"/>
          <w:lang w:val="en-US" w:eastAsia="zh-CN"/>
        </w:rPr>
        <w:t>5</w:t>
      </w:r>
      <w:r>
        <w:rPr>
          <w:rStyle w:val="30"/>
          <w:rFonts w:hint="eastAsia" w:ascii="宋体" w:hAnsi="宋体" w:eastAsia="宋体" w:cs="宋体"/>
          <w:color w:val="auto"/>
          <w:highlight w:val="none"/>
        </w:rPr>
        <w:t>年</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lang w:val="en-US" w:eastAsia="zh-CN"/>
        </w:rPr>
        <w:t>08</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01</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0分</w:t>
      </w:r>
      <w:r>
        <w:rPr>
          <w:rFonts w:hint="eastAsia" w:ascii="宋体" w:hAnsi="宋体" w:eastAsia="宋体" w:cs="宋体"/>
          <w:color w:val="auto"/>
          <w:highlight w:val="none"/>
        </w:rPr>
        <w:t>（北京时间）前提交响应文件。</w:t>
      </w:r>
    </w:p>
    <w:p w14:paraId="0D5EBA5A">
      <w:pPr>
        <w:pStyle w:val="3"/>
        <w:spacing w:before="0" w:after="0" w:line="360" w:lineRule="auto"/>
        <w:ind w:firstLine="482" w:firstLineChars="200"/>
        <w:rPr>
          <w:rFonts w:hint="eastAsia" w:ascii="宋体" w:hAnsi="宋体" w:eastAsia="宋体" w:cs="宋体"/>
          <w:bCs w:val="0"/>
          <w:sz w:val="24"/>
          <w:szCs w:val="24"/>
          <w:highlight w:val="none"/>
        </w:rPr>
      </w:pPr>
      <w:bookmarkStart w:id="4" w:name="_Toc28359089"/>
      <w:bookmarkStart w:id="5" w:name="_Toc35393629"/>
      <w:bookmarkStart w:id="6" w:name="_Toc35393798"/>
      <w:bookmarkStart w:id="7" w:name="_Toc28359012"/>
      <w:r>
        <w:rPr>
          <w:rFonts w:hint="eastAsia" w:ascii="宋体" w:hAnsi="宋体" w:eastAsia="宋体" w:cs="宋体"/>
          <w:bCs w:val="0"/>
          <w:sz w:val="24"/>
          <w:szCs w:val="24"/>
          <w:highlight w:val="none"/>
        </w:rPr>
        <w:t>一、项目基本情况</w:t>
      </w:r>
      <w:bookmarkEnd w:id="4"/>
      <w:bookmarkEnd w:id="5"/>
      <w:bookmarkEnd w:id="6"/>
      <w:bookmarkEnd w:id="7"/>
    </w:p>
    <w:p w14:paraId="0B38BE92">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1.项目编号： HCZC2025-J1-25004</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-LCML</w:t>
      </w:r>
    </w:p>
    <w:p w14:paraId="2CEAEA47">
      <w:pPr>
        <w:spacing w:line="400" w:lineRule="exact"/>
        <w:ind w:firstLine="210" w:firstLineChars="100"/>
        <w:rPr>
          <w:rFonts w:hint="eastAsia" w:ascii="宋体" w:hAnsi="宋体" w:eastAsia="宋体" w:cs="宋体"/>
          <w:b w:val="0"/>
          <w:bCs w:val="0"/>
          <w:sz w:val="21"/>
          <w:szCs w:val="21"/>
          <w:u w:val="none"/>
          <w:lang w:val="en-US" w:eastAsia="zh-CN"/>
        </w:rPr>
      </w:pPr>
      <w:r>
        <w:rPr>
          <w:rFonts w:hint="eastAsia" w:ascii="宋体" w:hAnsi="宋体" w:eastAsia="宋体" w:cs="宋体"/>
          <w:szCs w:val="21"/>
          <w:highlight w:val="none"/>
        </w:rPr>
        <w:t>2.项目名称：</w:t>
      </w:r>
      <w:bookmarkStart w:id="8" w:name="OLE_LINK2"/>
      <w:r>
        <w:rPr>
          <w:rFonts w:hint="eastAsia" w:ascii="宋体" w:hAnsi="宋体" w:eastAsia="宋体" w:cs="宋体"/>
          <w:b w:val="0"/>
          <w:bCs w:val="0"/>
          <w:sz w:val="21"/>
          <w:szCs w:val="21"/>
          <w:u w:val="none"/>
          <w:lang w:val="en-US" w:eastAsia="zh-CN"/>
        </w:rPr>
        <w:t>罗城仫佬族自治县教育局2025年扩大学前教育资源奖补资金项目设施设备、玩教具采购项目</w:t>
      </w:r>
    </w:p>
    <w:bookmarkEnd w:id="8"/>
    <w:p w14:paraId="6313BC7F">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3.采购方式：竞争性谈判</w:t>
      </w:r>
    </w:p>
    <w:p w14:paraId="5BC797F4">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4.政府采购预算金额：</w:t>
      </w:r>
      <w:r>
        <w:rPr>
          <w:rFonts w:hint="eastAsia" w:ascii="宋体" w:hAnsi="宋体" w:eastAsia="宋体" w:cs="宋体"/>
          <w:szCs w:val="21"/>
          <w:highlight w:val="none"/>
          <w:lang w:val="en-US" w:eastAsia="zh-CN"/>
        </w:rPr>
        <w:t>229</w:t>
      </w:r>
      <w:r>
        <w:rPr>
          <w:rFonts w:hint="eastAsia" w:ascii="宋体" w:hAnsi="宋体" w:eastAsia="宋体" w:cs="宋体"/>
          <w:szCs w:val="21"/>
          <w:highlight w:val="none"/>
        </w:rPr>
        <w:t>万元</w:t>
      </w:r>
    </w:p>
    <w:p w14:paraId="75E4A8B0">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5.最高限价：</w:t>
      </w:r>
      <w:r>
        <w:rPr>
          <w:rFonts w:hint="eastAsia" w:ascii="宋体" w:hAnsi="宋体" w:eastAsia="宋体" w:cs="宋体"/>
          <w:szCs w:val="21"/>
          <w:highlight w:val="none"/>
          <w:lang w:val="en-US" w:eastAsia="zh-CN"/>
        </w:rPr>
        <w:t>229</w:t>
      </w:r>
      <w:r>
        <w:rPr>
          <w:rFonts w:hint="eastAsia" w:ascii="宋体" w:hAnsi="宋体" w:eastAsia="宋体" w:cs="宋体"/>
          <w:szCs w:val="21"/>
          <w:highlight w:val="none"/>
        </w:rPr>
        <w:t>万元</w:t>
      </w:r>
    </w:p>
    <w:p w14:paraId="2AD4E473">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6.采购需求：</w:t>
      </w:r>
    </w:p>
    <w:tbl>
      <w:tblPr>
        <w:tblStyle w:val="26"/>
        <w:tblW w:w="98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3165"/>
        <w:gridCol w:w="1308"/>
        <w:gridCol w:w="4681"/>
      </w:tblGrid>
      <w:tr w14:paraId="63EDF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006F87B">
            <w:pPr>
              <w:keepNext w:val="0"/>
              <w:keepLines w:val="0"/>
              <w:suppressLineNumbers w:val="0"/>
              <w:spacing w:before="0" w:beforeAutospacing="0" w:after="0" w:afterAutospacing="0" w:line="400" w:lineRule="exact"/>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3165" w:type="dxa"/>
            <w:tcBorders>
              <w:top w:val="single" w:color="auto" w:sz="4" w:space="0"/>
              <w:left w:val="single" w:color="auto" w:sz="4" w:space="0"/>
              <w:bottom w:val="single" w:color="auto" w:sz="4" w:space="0"/>
              <w:right w:val="single" w:color="auto" w:sz="4" w:space="0"/>
            </w:tcBorders>
            <w:noWrap w:val="0"/>
            <w:vAlign w:val="center"/>
          </w:tcPr>
          <w:p w14:paraId="515C141E">
            <w:pPr>
              <w:keepNext w:val="0"/>
              <w:keepLines w:val="0"/>
              <w:suppressLineNumbers w:val="0"/>
              <w:spacing w:before="0" w:beforeAutospacing="0" w:after="0" w:afterAutospacing="0" w:line="400" w:lineRule="exact"/>
              <w:ind w:left="0" w:right="0" w:firstLine="735" w:firstLineChars="350"/>
              <w:rPr>
                <w:rFonts w:hint="eastAsia" w:ascii="宋体" w:hAnsi="宋体" w:eastAsia="宋体" w:cs="宋体"/>
                <w:highlight w:val="none"/>
              </w:rPr>
            </w:pPr>
            <w:r>
              <w:rPr>
                <w:rFonts w:hint="eastAsia" w:ascii="宋体" w:hAnsi="宋体" w:eastAsia="宋体" w:cs="宋体"/>
                <w:highlight w:val="none"/>
              </w:rPr>
              <w:t>标的名称</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25E5D24">
            <w:pPr>
              <w:keepNext w:val="0"/>
              <w:keepLines w:val="0"/>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数量及单位</w:t>
            </w:r>
          </w:p>
        </w:tc>
        <w:tc>
          <w:tcPr>
            <w:tcW w:w="4681" w:type="dxa"/>
            <w:tcBorders>
              <w:top w:val="single" w:color="auto" w:sz="4" w:space="0"/>
              <w:left w:val="single" w:color="auto" w:sz="4" w:space="0"/>
              <w:bottom w:val="single" w:color="auto" w:sz="4" w:space="0"/>
              <w:right w:val="single" w:color="auto" w:sz="4" w:space="0"/>
            </w:tcBorders>
            <w:noWrap w:val="0"/>
            <w:vAlign w:val="center"/>
          </w:tcPr>
          <w:p w14:paraId="35E03B98">
            <w:pPr>
              <w:keepNext w:val="0"/>
              <w:keepLines w:val="0"/>
              <w:suppressLineNumbers w:val="0"/>
              <w:spacing w:before="0" w:beforeAutospacing="0" w:after="0" w:afterAutospacing="0" w:line="400" w:lineRule="exact"/>
              <w:ind w:left="0" w:right="0" w:firstLine="422" w:firstLineChars="201"/>
              <w:jc w:val="center"/>
              <w:rPr>
                <w:rFonts w:hint="eastAsia" w:ascii="宋体" w:hAnsi="宋体" w:eastAsia="宋体" w:cs="宋体"/>
                <w:highlight w:val="none"/>
              </w:rPr>
            </w:pPr>
            <w:r>
              <w:rPr>
                <w:rFonts w:hint="eastAsia" w:ascii="宋体" w:hAnsi="宋体" w:eastAsia="宋体" w:cs="宋体"/>
                <w:szCs w:val="21"/>
              </w:rPr>
              <w:t>简要技术需求或者服务要求</w:t>
            </w:r>
          </w:p>
        </w:tc>
      </w:tr>
      <w:tr w14:paraId="148FF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8D4090F">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highlight w:val="none"/>
              </w:rPr>
            </w:pPr>
            <w:r>
              <w:rPr>
                <w:rFonts w:hint="eastAsia" w:ascii="宋体" w:hAnsi="宋体" w:eastAsia="宋体" w:cs="宋体"/>
                <w:highlight w:val="none"/>
              </w:rPr>
              <w:t>1</w:t>
            </w:r>
          </w:p>
        </w:tc>
        <w:tc>
          <w:tcPr>
            <w:tcW w:w="3165" w:type="dxa"/>
            <w:tcBorders>
              <w:top w:val="single" w:color="auto" w:sz="4" w:space="0"/>
              <w:left w:val="single" w:color="auto" w:sz="4" w:space="0"/>
              <w:bottom w:val="single" w:color="auto" w:sz="4" w:space="0"/>
              <w:right w:val="single" w:color="auto" w:sz="4" w:space="0"/>
            </w:tcBorders>
            <w:noWrap w:val="0"/>
            <w:vAlign w:val="center"/>
          </w:tcPr>
          <w:p w14:paraId="33F07284">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szCs w:val="21"/>
                <w:highlight w:val="none"/>
              </w:rPr>
            </w:pPr>
            <w:r>
              <w:rPr>
                <w:rFonts w:hint="eastAsia" w:ascii="宋体" w:hAnsi="宋体" w:eastAsia="宋体" w:cs="宋体"/>
                <w:b w:val="0"/>
                <w:bCs w:val="0"/>
                <w:sz w:val="21"/>
                <w:szCs w:val="21"/>
                <w:u w:val="none"/>
                <w:lang w:val="en-US" w:eastAsia="zh-CN"/>
              </w:rPr>
              <w:t>罗城仫佬族自治县教育局2025年扩大学前教育资源奖补资金项目设施设备、玩教具采购项目</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987A99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1批</w:t>
            </w:r>
          </w:p>
        </w:tc>
        <w:tc>
          <w:tcPr>
            <w:tcW w:w="4681" w:type="dxa"/>
            <w:tcBorders>
              <w:top w:val="single" w:color="auto" w:sz="4" w:space="0"/>
              <w:left w:val="single" w:color="auto" w:sz="4" w:space="0"/>
              <w:bottom w:val="single" w:color="auto" w:sz="4" w:space="0"/>
              <w:right w:val="single" w:color="auto" w:sz="4" w:space="0"/>
            </w:tcBorders>
            <w:noWrap w:val="0"/>
            <w:vAlign w:val="center"/>
          </w:tcPr>
          <w:p w14:paraId="5C6A582D">
            <w:pPr>
              <w:keepNext w:val="0"/>
              <w:keepLines w:val="0"/>
              <w:suppressLineNumbers w:val="0"/>
              <w:spacing w:before="0" w:beforeAutospacing="0" w:after="0" w:afterAutospacing="0" w:line="400" w:lineRule="exact"/>
              <w:ind w:left="0" w:right="0" w:firstLine="420" w:firstLineChars="200"/>
              <w:jc w:val="center"/>
              <w:rPr>
                <w:rFonts w:hint="eastAsia" w:ascii="宋体" w:hAnsi="宋体" w:eastAsia="宋体" w:cs="宋体"/>
                <w:szCs w:val="21"/>
                <w:highlight w:val="none"/>
              </w:rPr>
            </w:pPr>
            <w:r>
              <w:rPr>
                <w:rFonts w:hint="eastAsia" w:ascii="宋体" w:hAnsi="宋体" w:eastAsia="宋体" w:cs="宋体"/>
                <w:color w:val="000000"/>
                <w:szCs w:val="21"/>
              </w:rPr>
              <w:t>详见招标文件第</w:t>
            </w:r>
            <w:r>
              <w:rPr>
                <w:rFonts w:hint="eastAsia" w:ascii="宋体" w:hAnsi="宋体" w:eastAsia="宋体" w:cs="宋体"/>
                <w:color w:val="000000"/>
                <w:szCs w:val="21"/>
                <w:lang w:val="en-US" w:eastAsia="zh-CN"/>
              </w:rPr>
              <w:t>三</w:t>
            </w:r>
            <w:r>
              <w:rPr>
                <w:rFonts w:hint="eastAsia" w:ascii="宋体" w:hAnsi="宋体" w:eastAsia="宋体" w:cs="宋体"/>
                <w:color w:val="000000"/>
                <w:szCs w:val="21"/>
              </w:rPr>
              <w:t>章采购需求</w:t>
            </w:r>
          </w:p>
        </w:tc>
      </w:tr>
    </w:tbl>
    <w:p w14:paraId="51D0424D">
      <w:pPr>
        <w:spacing w:line="360" w:lineRule="auto"/>
        <w:ind w:firstLine="420" w:firstLineChars="200"/>
        <w:rPr>
          <w:rFonts w:hint="eastAsia" w:ascii="宋体" w:hAnsi="宋体" w:eastAsia="宋体" w:cs="宋体"/>
          <w:szCs w:val="21"/>
        </w:rPr>
      </w:pPr>
      <w:bookmarkStart w:id="9" w:name="_Toc35393799"/>
      <w:bookmarkStart w:id="10" w:name="_Toc28359013"/>
      <w:bookmarkStart w:id="11" w:name="_Toc28359090"/>
      <w:bookmarkStart w:id="12" w:name="_Toc35393630"/>
      <w:r>
        <w:rPr>
          <w:rFonts w:hint="eastAsia" w:ascii="宋体" w:hAnsi="宋体" w:eastAsia="宋体" w:cs="宋体"/>
          <w:szCs w:val="21"/>
        </w:rPr>
        <w:t>7.交付使用期：</w:t>
      </w:r>
      <w:bookmarkStart w:id="13" w:name="OLE_LINK37"/>
      <w:r>
        <w:rPr>
          <w:rFonts w:hint="eastAsia" w:ascii="宋体" w:hAnsi="宋体" w:eastAsia="宋体" w:cs="宋体"/>
          <w:szCs w:val="21"/>
        </w:rPr>
        <w:t>自签订合同之日起</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u w:val="single"/>
          <w:lang w:val="en-US" w:eastAsia="zh-CN"/>
        </w:rPr>
        <w:t>30</w:t>
      </w:r>
      <w:r>
        <w:rPr>
          <w:rFonts w:hint="eastAsia" w:ascii="宋体" w:hAnsi="宋体" w:eastAsia="宋体" w:cs="宋体"/>
          <w:szCs w:val="21"/>
        </w:rPr>
        <w:t>日（日历天）内</w:t>
      </w:r>
      <w:bookmarkEnd w:id="13"/>
      <w:r>
        <w:rPr>
          <w:rFonts w:hint="eastAsia" w:ascii="宋体" w:hAnsi="宋体" w:eastAsia="宋体" w:cs="宋体"/>
          <w:szCs w:val="21"/>
        </w:rPr>
        <w:t>必须到货并全部安装调试合格完毕。</w:t>
      </w:r>
    </w:p>
    <w:p w14:paraId="239F58B0">
      <w:pPr>
        <w:spacing w:line="360" w:lineRule="auto"/>
        <w:ind w:firstLine="420" w:firstLineChars="200"/>
        <w:rPr>
          <w:rFonts w:ascii="宋体" w:hAnsi="宋体"/>
          <w:szCs w:val="21"/>
        </w:rPr>
      </w:pPr>
      <w:r>
        <w:rPr>
          <w:rFonts w:hint="eastAsia" w:ascii="宋体" w:hAnsi="宋体"/>
          <w:szCs w:val="21"/>
        </w:rPr>
        <w:t>8.本项目不接受联合体。</w:t>
      </w:r>
    </w:p>
    <w:p w14:paraId="6496AD99">
      <w:pPr>
        <w:pStyle w:val="3"/>
        <w:spacing w:before="0" w:after="0" w:line="360" w:lineRule="auto"/>
        <w:ind w:firstLine="482" w:firstLineChars="200"/>
        <w:rPr>
          <w:rFonts w:ascii="黑体" w:hAnsi="黑体" w:eastAsia="黑体" w:cs="宋体"/>
          <w:bCs w:val="0"/>
          <w:sz w:val="24"/>
          <w:szCs w:val="24"/>
          <w:highlight w:val="none"/>
        </w:rPr>
      </w:pPr>
      <w:r>
        <w:rPr>
          <w:rFonts w:hint="eastAsia" w:ascii="黑体" w:hAnsi="黑体" w:eastAsia="黑体" w:cs="宋体"/>
          <w:bCs w:val="0"/>
          <w:sz w:val="24"/>
          <w:szCs w:val="24"/>
          <w:highlight w:val="none"/>
        </w:rPr>
        <w:t>二、供应商的资格条件：</w:t>
      </w:r>
      <w:bookmarkEnd w:id="9"/>
      <w:bookmarkEnd w:id="10"/>
      <w:bookmarkEnd w:id="11"/>
      <w:bookmarkEnd w:id="12"/>
    </w:p>
    <w:p w14:paraId="4592171E">
      <w:pPr>
        <w:spacing w:line="400" w:lineRule="exact"/>
        <w:ind w:firstLine="420" w:firstLineChars="200"/>
        <w:rPr>
          <w:rFonts w:ascii="宋体" w:hAnsi="宋体"/>
          <w:szCs w:val="21"/>
          <w:highlight w:val="none"/>
        </w:rPr>
      </w:pPr>
      <w:bookmarkStart w:id="14" w:name="_Toc28359091"/>
      <w:bookmarkStart w:id="15" w:name="_Toc28359014"/>
      <w:r>
        <w:rPr>
          <w:rFonts w:hint="eastAsia" w:ascii="宋体" w:hAnsi="宋体"/>
          <w:szCs w:val="21"/>
          <w:highlight w:val="none"/>
        </w:rPr>
        <w:t>1.满足《中华人民共和国政府采购法》第二十二条规定；</w:t>
      </w:r>
    </w:p>
    <w:p w14:paraId="60C74AE0">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szCs w:val="21"/>
          <w:highlight w:val="none"/>
        </w:rPr>
        <w:t>落实政府采购政策需满足的资格要求：</w:t>
      </w:r>
      <w:r>
        <w:rPr>
          <w:rFonts w:hint="eastAsia" w:ascii="宋体" w:hAnsi="宋体"/>
          <w:b w:val="0"/>
          <w:bCs w:val="0"/>
          <w:color w:val="auto"/>
          <w:szCs w:val="21"/>
          <w:lang w:val="en-US" w:eastAsia="zh-CN"/>
        </w:rPr>
        <w:t>无</w:t>
      </w:r>
    </w:p>
    <w:p w14:paraId="2640E320">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.本项目的特定资格要求：</w:t>
      </w:r>
    </w:p>
    <w:p w14:paraId="098727FF">
      <w:pPr>
        <w:spacing w:line="400" w:lineRule="exact"/>
        <w:ind w:firstLine="420" w:firstLineChars="200"/>
        <w:rPr>
          <w:rFonts w:hint="eastAsia" w:ascii="宋体" w:hAnsi="宋体"/>
          <w:szCs w:val="21"/>
          <w:highlight w:val="none"/>
        </w:rPr>
      </w:pPr>
      <w:r>
        <w:rPr>
          <w:rFonts w:hint="eastAsia" w:ascii="宋体" w:hAnsi="宋体"/>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E1A493">
      <w:p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（2）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E531E46">
      <w:pPr>
        <w:spacing w:line="360" w:lineRule="auto"/>
        <w:ind w:firstLine="482" w:firstLineChars="200"/>
        <w:rPr>
          <w:rFonts w:hint="eastAsia" w:ascii="黑体" w:hAnsi="黑体" w:eastAsia="黑体" w:cs="宋体"/>
          <w:b/>
          <w:bCs/>
          <w:sz w:val="24"/>
          <w:highlight w:val="none"/>
        </w:rPr>
      </w:pPr>
      <w:bookmarkStart w:id="16" w:name="_Toc35393631"/>
      <w:bookmarkStart w:id="17" w:name="_Toc35393800"/>
      <w:r>
        <w:rPr>
          <w:rFonts w:hint="eastAsia" w:ascii="黑体" w:hAnsi="黑体" w:eastAsia="黑体" w:cs="宋体"/>
          <w:b/>
          <w:bCs/>
          <w:sz w:val="24"/>
          <w:highlight w:val="none"/>
        </w:rPr>
        <w:t>三、获取竞争性谈判文件</w:t>
      </w:r>
      <w:bookmarkEnd w:id="14"/>
      <w:bookmarkEnd w:id="15"/>
      <w:bookmarkEnd w:id="16"/>
      <w:bookmarkEnd w:id="17"/>
    </w:p>
    <w:p w14:paraId="6E5FF032">
      <w:pPr>
        <w:spacing w:line="360" w:lineRule="auto"/>
        <w:ind w:firstLine="540"/>
        <w:rPr>
          <w:rFonts w:hint="eastAsia"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color w:val="FF0000"/>
          <w:kern w:val="0"/>
          <w:szCs w:val="21"/>
          <w:highlight w:val="none"/>
          <w:u w:val="single"/>
        </w:rPr>
        <w:t xml:space="preserve"> </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08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01</w:t>
      </w:r>
      <w:r>
        <w:rPr>
          <w:rFonts w:hint="eastAsia" w:ascii="宋体" w:hAnsi="宋体" w:cs="宋体"/>
          <w:bCs/>
          <w:color w:val="auto"/>
          <w:kern w:val="0"/>
          <w:szCs w:val="21"/>
          <w:highlight w:val="none"/>
        </w:rPr>
        <w:t>日，</w:t>
      </w:r>
      <w:r>
        <w:rPr>
          <w:rFonts w:hint="eastAsia" w:ascii="宋体" w:hAnsi="宋体" w:cs="宋体"/>
          <w:bCs/>
          <w:kern w:val="0"/>
          <w:szCs w:val="21"/>
          <w:highlight w:val="none"/>
        </w:rPr>
        <w:t>每天上午 00：00 至 12：00，下午 12：00至 23：59（北京时间，法定节假日除外）。</w:t>
      </w:r>
    </w:p>
    <w:p w14:paraId="2CB918C6">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地点：全国公共资源交易平台（广西•河池）（http://ggzy.jgswj.gxzf.gov.cn/hcggzy/）及</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p>
    <w:p w14:paraId="7A8E5712">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）-进入“项目采购”应用，在获取采购文件菜单中选择项目，获取竞争性谈判文件。电子响应文件制作需要基于“</w:t>
      </w:r>
      <w:r>
        <w:rPr>
          <w:rFonts w:hint="eastAsia" w:ascii="宋体" w:hAnsi="宋体" w:cs="宋体"/>
          <w:szCs w:val="21"/>
          <w:highlight w:val="none"/>
        </w:rPr>
        <w:t>广西政府采购云</w:t>
      </w:r>
      <w:r>
        <w:rPr>
          <w:rFonts w:hint="eastAsia" w:ascii="宋体" w:hAnsi="宋体" w:cs="宋体"/>
          <w:bCs/>
          <w:kern w:val="0"/>
          <w:szCs w:val="21"/>
          <w:highlight w:val="none"/>
        </w:rPr>
        <w:t>”平台获取的谈判文件编制，通过其他方式获取谈判文件的，将有可能导致供应商无法在“</w:t>
      </w:r>
      <w:r>
        <w:rPr>
          <w:rFonts w:hint="eastAsia" w:ascii="宋体" w:hAnsi="宋体" w:cs="宋体"/>
          <w:szCs w:val="21"/>
          <w:highlight w:val="none"/>
        </w:rPr>
        <w:t>广西政府采购云</w:t>
      </w:r>
      <w:r>
        <w:rPr>
          <w:rFonts w:hint="eastAsia" w:ascii="宋体" w:hAnsi="宋体" w:cs="宋体"/>
          <w:bCs/>
          <w:kern w:val="0"/>
          <w:szCs w:val="21"/>
          <w:highlight w:val="none"/>
        </w:rPr>
        <w:t>”平台编制及上传响应文件。</w:t>
      </w:r>
    </w:p>
    <w:p w14:paraId="3233FD19">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售价：0元。</w:t>
      </w:r>
    </w:p>
    <w:p w14:paraId="3220FB3D">
      <w:pPr>
        <w:pStyle w:val="3"/>
        <w:spacing w:before="0" w:after="0" w:line="360" w:lineRule="auto"/>
        <w:ind w:firstLine="482" w:firstLineChars="200"/>
        <w:rPr>
          <w:rFonts w:ascii="黑体" w:hAnsi="黑体" w:eastAsia="黑体" w:cs="宋体"/>
          <w:bCs w:val="0"/>
          <w:sz w:val="24"/>
          <w:szCs w:val="24"/>
          <w:highlight w:val="none"/>
        </w:rPr>
      </w:pPr>
      <w:bookmarkStart w:id="18" w:name="_Toc28359015"/>
      <w:bookmarkStart w:id="19" w:name="_Toc28359092"/>
      <w:bookmarkStart w:id="20" w:name="_Toc35393801"/>
      <w:bookmarkStart w:id="21" w:name="_Toc35393632"/>
      <w:r>
        <w:rPr>
          <w:rFonts w:hint="eastAsia" w:ascii="黑体" w:hAnsi="黑体" w:eastAsia="黑体" w:cs="宋体"/>
          <w:bCs w:val="0"/>
          <w:sz w:val="24"/>
          <w:szCs w:val="24"/>
          <w:highlight w:val="none"/>
        </w:rPr>
        <w:t>四、响应文件提交</w:t>
      </w:r>
      <w:bookmarkEnd w:id="18"/>
      <w:bookmarkEnd w:id="19"/>
      <w:bookmarkEnd w:id="20"/>
      <w:bookmarkEnd w:id="21"/>
    </w:p>
    <w:p w14:paraId="4F10DE3E">
      <w:pPr>
        <w:spacing w:line="360" w:lineRule="auto"/>
        <w:ind w:firstLine="420" w:firstLineChars="200"/>
        <w:rPr>
          <w:rFonts w:hint="eastAsia" w:ascii="宋体" w:hAnsi="宋体" w:eastAsia="宋体"/>
          <w:bCs/>
          <w:szCs w:val="21"/>
          <w:highlight w:val="none"/>
          <w:lang w:eastAsia="zh-CN"/>
        </w:rPr>
      </w:pPr>
      <w:r>
        <w:rPr>
          <w:rFonts w:hint="eastAsia" w:ascii="宋体" w:hAnsi="宋体"/>
          <w:szCs w:val="21"/>
          <w:highlight w:val="none"/>
        </w:rPr>
        <w:t>首次响应文件提交截止时间</w:t>
      </w:r>
      <w:r>
        <w:rPr>
          <w:rFonts w:hint="eastAsia" w:ascii="宋体" w:hAnsi="宋体"/>
          <w:bCs/>
          <w:szCs w:val="21"/>
          <w:highlight w:val="none"/>
        </w:rPr>
        <w:t>（北京时间）</w:t>
      </w:r>
      <w:r>
        <w:rPr>
          <w:rFonts w:hint="eastAsia" w:ascii="宋体" w:hAnsi="宋体"/>
          <w:szCs w:val="21"/>
          <w:highlight w:val="none"/>
        </w:rPr>
        <w:t>：</w:t>
      </w: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14</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bCs/>
          <w:color w:val="auto"/>
          <w:szCs w:val="21"/>
          <w:highlight w:val="none"/>
        </w:rPr>
        <w:t>（</w:t>
      </w:r>
      <w:r>
        <w:rPr>
          <w:rFonts w:hint="eastAsia" w:ascii="宋体" w:hAnsi="宋体"/>
          <w:bCs/>
          <w:szCs w:val="21"/>
          <w:highlight w:val="none"/>
        </w:rPr>
        <w:t>北京时间）</w:t>
      </w:r>
      <w:r>
        <w:rPr>
          <w:rFonts w:hint="eastAsia" w:ascii="宋体" w:hAnsi="宋体"/>
          <w:bCs/>
          <w:szCs w:val="21"/>
          <w:highlight w:val="none"/>
          <w:lang w:eastAsia="zh-CN"/>
        </w:rPr>
        <w:t>。</w:t>
      </w:r>
    </w:p>
    <w:p w14:paraId="7CE8BC3D">
      <w:pPr>
        <w:spacing w:line="360" w:lineRule="auto"/>
        <w:ind w:firstLine="420" w:firstLineChars="200"/>
        <w:rPr>
          <w:rFonts w:hint="eastAsia" w:ascii="宋体" w:hAnsi="宋体" w:cs="宋体"/>
          <w:bCs/>
          <w:kern w:val="0"/>
          <w:szCs w:val="21"/>
          <w:highlight w:val="none"/>
        </w:rPr>
      </w:pPr>
      <w:r>
        <w:rPr>
          <w:rFonts w:hint="eastAsia" w:ascii="宋体" w:hAnsi="宋体"/>
          <w:szCs w:val="21"/>
          <w:highlight w:val="none"/>
        </w:rPr>
        <w:t>首次响应文件提交地点：</w:t>
      </w:r>
      <w:bookmarkStart w:id="22" w:name="_Toc35393802"/>
      <w:bookmarkStart w:id="23" w:name="_Toc28359093"/>
      <w:bookmarkStart w:id="24" w:name="_Toc28359016"/>
      <w:bookmarkStart w:id="25" w:name="_Toc35393633"/>
      <w:r>
        <w:rPr>
          <w:rFonts w:hint="eastAsia" w:ascii="宋体" w:hAnsi="宋体"/>
          <w:szCs w:val="21"/>
          <w:highlight w:val="none"/>
        </w:rPr>
        <w:t>“</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cs="宋体"/>
          <w:bCs/>
          <w:kern w:val="0"/>
          <w:szCs w:val="21"/>
          <w:highlight w:val="none"/>
        </w:rPr>
        <w:t>（</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szCs w:val="21"/>
          <w:highlight w:val="none"/>
        </w:rPr>
        <w:t>。</w:t>
      </w:r>
    </w:p>
    <w:p w14:paraId="64C39E55">
      <w:pPr>
        <w:pStyle w:val="3"/>
        <w:spacing w:before="0" w:after="0" w:line="360" w:lineRule="auto"/>
        <w:ind w:firstLine="482" w:firstLineChars="200"/>
        <w:rPr>
          <w:rFonts w:ascii="黑体" w:hAnsi="黑体" w:eastAsia="黑体" w:cs="宋体"/>
          <w:bCs w:val="0"/>
          <w:sz w:val="24"/>
          <w:szCs w:val="24"/>
          <w:highlight w:val="none"/>
        </w:rPr>
      </w:pPr>
      <w:r>
        <w:rPr>
          <w:rFonts w:hint="eastAsia" w:ascii="黑体" w:hAnsi="黑体" w:eastAsia="黑体" w:cs="宋体"/>
          <w:bCs w:val="0"/>
          <w:sz w:val="24"/>
          <w:szCs w:val="24"/>
          <w:highlight w:val="none"/>
        </w:rPr>
        <w:t>五、开启</w:t>
      </w:r>
      <w:bookmarkEnd w:id="22"/>
      <w:bookmarkEnd w:id="23"/>
      <w:bookmarkEnd w:id="24"/>
      <w:bookmarkEnd w:id="25"/>
    </w:p>
    <w:p w14:paraId="5E04B5D4">
      <w:pPr>
        <w:spacing w:line="360" w:lineRule="auto"/>
        <w:ind w:firstLine="420" w:firstLineChars="200"/>
        <w:rPr>
          <w:rFonts w:hint="eastAsia" w:ascii="宋体" w:hAnsi="宋体"/>
          <w:bCs/>
          <w:szCs w:val="21"/>
          <w:highlight w:val="none"/>
          <w:u w:val="single"/>
        </w:rPr>
      </w:pPr>
      <w:r>
        <w:rPr>
          <w:rFonts w:hint="eastAsia" w:ascii="宋体" w:hAnsi="宋体"/>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14</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szCs w:val="21"/>
          <w:highlight w:val="none"/>
          <w:u w:val="single"/>
        </w:rPr>
        <w:t>（北京时间）后</w:t>
      </w:r>
    </w:p>
    <w:p w14:paraId="648DA9AF">
      <w:pPr>
        <w:spacing w:line="360" w:lineRule="auto"/>
        <w:ind w:firstLine="420" w:firstLineChars="200"/>
        <w:rPr>
          <w:rFonts w:ascii="宋体" w:hAnsi="宋体"/>
          <w:bCs/>
          <w:szCs w:val="21"/>
          <w:highlight w:val="none"/>
          <w:u w:val="single"/>
        </w:rPr>
      </w:pPr>
      <w:r>
        <w:rPr>
          <w:rFonts w:hint="eastAsia" w:ascii="宋体" w:hAnsi="宋体"/>
          <w:szCs w:val="21"/>
          <w:highlight w:val="none"/>
        </w:rPr>
        <w:t>地点：</w:t>
      </w:r>
      <w:r>
        <w:rPr>
          <w:rFonts w:hint="eastAsia" w:ascii="宋体" w:hAnsi="宋体" w:cs="宋体"/>
          <w:szCs w:val="21"/>
          <w:highlight w:val="none"/>
        </w:rPr>
        <w:t>广西政府采购云</w:t>
      </w:r>
      <w:r>
        <w:rPr>
          <w:rFonts w:hint="eastAsia" w:ascii="宋体" w:hAnsi="宋体"/>
          <w:szCs w:val="21"/>
          <w:highlight w:val="none"/>
          <w:u w:val="single"/>
        </w:rPr>
        <w:t>（网址：</w:t>
      </w:r>
      <w:r>
        <w:rPr>
          <w:rFonts w:hint="eastAsia" w:ascii="宋体" w:hAnsi="宋体" w:cs="宋体"/>
          <w:color w:val="000000"/>
          <w:szCs w:val="21"/>
          <w:highlight w:val="none"/>
        </w:rPr>
        <w:t>https://www.gcy.zfcg.gxzf.gov.cn/</w:t>
      </w:r>
      <w:r>
        <w:rPr>
          <w:rFonts w:hint="eastAsia" w:ascii="宋体" w:hAnsi="宋体"/>
          <w:szCs w:val="21"/>
          <w:highlight w:val="none"/>
          <w:u w:val="single"/>
        </w:rPr>
        <w:t>）平台电子开标大厅开标。</w:t>
      </w:r>
    </w:p>
    <w:p w14:paraId="781E1F79">
      <w:pPr>
        <w:pStyle w:val="3"/>
        <w:spacing w:before="0" w:after="0" w:line="360" w:lineRule="auto"/>
        <w:ind w:firstLine="482" w:firstLineChars="200"/>
        <w:rPr>
          <w:rFonts w:ascii="黑体" w:hAnsi="黑体" w:eastAsia="黑体" w:cs="宋体"/>
          <w:bCs w:val="0"/>
          <w:sz w:val="24"/>
          <w:szCs w:val="24"/>
          <w:highlight w:val="none"/>
        </w:rPr>
      </w:pPr>
      <w:bookmarkStart w:id="26" w:name="_Toc35393803"/>
      <w:bookmarkStart w:id="27" w:name="_Toc28359017"/>
      <w:bookmarkStart w:id="28" w:name="_Toc28359094"/>
      <w:bookmarkStart w:id="29" w:name="_Toc35393634"/>
      <w:r>
        <w:rPr>
          <w:rFonts w:hint="eastAsia" w:ascii="黑体" w:hAnsi="黑体" w:eastAsia="黑体" w:cs="宋体"/>
          <w:bCs w:val="0"/>
          <w:sz w:val="24"/>
          <w:szCs w:val="24"/>
          <w:highlight w:val="none"/>
        </w:rPr>
        <w:t>六、公告期限</w:t>
      </w:r>
      <w:bookmarkEnd w:id="26"/>
      <w:bookmarkEnd w:id="27"/>
      <w:bookmarkEnd w:id="28"/>
      <w:bookmarkEnd w:id="29"/>
    </w:p>
    <w:p w14:paraId="1939377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5FDDE7F7">
      <w:pPr>
        <w:pStyle w:val="3"/>
        <w:spacing w:before="0" w:after="0" w:line="360" w:lineRule="auto"/>
        <w:ind w:firstLine="482" w:firstLineChars="200"/>
        <w:rPr>
          <w:rFonts w:ascii="黑体" w:hAnsi="黑体" w:eastAsia="黑体" w:cs="宋体"/>
          <w:bCs w:val="0"/>
          <w:sz w:val="24"/>
          <w:szCs w:val="24"/>
          <w:highlight w:val="none"/>
        </w:rPr>
      </w:pPr>
      <w:bookmarkStart w:id="30" w:name="_Toc35393635"/>
      <w:bookmarkStart w:id="31" w:name="_Toc35393804"/>
      <w:r>
        <w:rPr>
          <w:rFonts w:hint="eastAsia" w:ascii="黑体" w:hAnsi="黑体" w:eastAsia="黑体" w:cs="宋体"/>
          <w:bCs w:val="0"/>
          <w:sz w:val="24"/>
          <w:szCs w:val="24"/>
          <w:highlight w:val="none"/>
        </w:rPr>
        <w:t>七、其他补充事宜</w:t>
      </w:r>
      <w:bookmarkEnd w:id="30"/>
      <w:bookmarkEnd w:id="31"/>
    </w:p>
    <w:p w14:paraId="29CA4CA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竞标保证金：本项目不收取竞标保证金。</w:t>
      </w:r>
    </w:p>
    <w:p w14:paraId="0F4A0CA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2.采购意向公开链接：</w:t>
      </w:r>
    </w:p>
    <w:p w14:paraId="2324FAE4">
      <w:pPr>
        <w:ind w:firstLine="420" w:firstLineChars="200"/>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fldChar w:fldCharType="begin"/>
      </w:r>
      <w:r>
        <w:rPr>
          <w:rFonts w:hint="eastAsia" w:ascii="微软雅黑" w:hAnsi="微软雅黑" w:eastAsia="微软雅黑" w:cs="微软雅黑"/>
          <w:i w:val="0"/>
          <w:iCs w:val="0"/>
          <w:caps w:val="0"/>
          <w:color w:val="333333"/>
          <w:spacing w:val="0"/>
          <w:sz w:val="21"/>
          <w:szCs w:val="21"/>
          <w:shd w:val="clear" w:fill="FFFFFF"/>
          <w:lang w:val="en-US" w:eastAsia="zh-CN"/>
        </w:rPr>
        <w:instrText xml:space="preserve"> HYPERLINK "https://zfcg.gxzf.gov.cn/luban/detail?parentId=66601&amp;articleId=ann_KGkXbCnbw8Q51pofHyNTctD5ndTMr3NGt5TILBJnhQo=&amp;utm=web-micro-app-back-front.5310fb7e.cPlanInfo.3.ea8549e0476811f0a79b8fa9f7692db4" </w:instrText>
      </w:r>
      <w:r>
        <w:rPr>
          <w:rFonts w:hint="eastAsia" w:ascii="微软雅黑" w:hAnsi="微软雅黑" w:eastAsia="微软雅黑" w:cs="微软雅黑"/>
          <w:i w:val="0"/>
          <w:iCs w:val="0"/>
          <w:caps w:val="0"/>
          <w:color w:val="333333"/>
          <w:spacing w:val="0"/>
          <w:sz w:val="21"/>
          <w:szCs w:val="21"/>
          <w:shd w:val="clear" w:fill="FFFFFF"/>
          <w:lang w:val="en-US" w:eastAsia="zh-CN"/>
        </w:rPr>
        <w:fldChar w:fldCharType="separate"/>
      </w:r>
      <w:r>
        <w:rPr>
          <w:rStyle w:val="30"/>
          <w:rFonts w:hint="eastAsia" w:ascii="微软雅黑" w:hAnsi="微软雅黑" w:eastAsia="微软雅黑" w:cs="微软雅黑"/>
          <w:i w:val="0"/>
          <w:iCs w:val="0"/>
          <w:caps w:val="0"/>
          <w:color w:val="333333"/>
          <w:spacing w:val="0"/>
          <w:sz w:val="21"/>
          <w:szCs w:val="21"/>
          <w:shd w:val="clear" w:fill="FFFFFF"/>
          <w:lang w:val="en-US" w:eastAsia="zh-CN"/>
        </w:rPr>
        <w:t>https://zfcg.gxzf.gov.cn/luban/detail?parentId=66601&amp;articleId=ann_KGkXbCnbw8Q51pofHyNTctD5ndTMr3NGt5TILBJnhQo=&amp;utm=web-micro-app-back-front.5310fb7e.cPlanInfo.3.ea8549e0476811f0a79b8fa9f7692db4</w:t>
      </w:r>
      <w:r>
        <w:rPr>
          <w:rFonts w:hint="eastAsia" w:ascii="微软雅黑" w:hAnsi="微软雅黑" w:eastAsia="微软雅黑" w:cs="微软雅黑"/>
          <w:i w:val="0"/>
          <w:iCs w:val="0"/>
          <w:caps w:val="0"/>
          <w:color w:val="333333"/>
          <w:spacing w:val="0"/>
          <w:sz w:val="21"/>
          <w:szCs w:val="21"/>
          <w:shd w:val="clear" w:fill="FFFFFF"/>
          <w:lang w:val="en-US" w:eastAsia="zh-CN"/>
        </w:rPr>
        <w:fldChar w:fldCharType="end"/>
      </w:r>
    </w:p>
    <w:p w14:paraId="29B1D8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ascii="宋体" w:hAnsi="宋体" w:cs="宋体"/>
          <w:kern w:val="0"/>
          <w:szCs w:val="21"/>
          <w:highlight w:val="none"/>
        </w:rPr>
        <w:t>.</w:t>
      </w:r>
      <w:r>
        <w:rPr>
          <w:rFonts w:hint="eastAsia" w:ascii="宋体" w:hAnsi="宋体" w:cs="宋体"/>
          <w:kern w:val="0"/>
          <w:szCs w:val="21"/>
          <w:highlight w:val="none"/>
        </w:rPr>
        <w:t>网上查询地址</w:t>
      </w:r>
      <w:bookmarkEnd w:id="2"/>
    </w:p>
    <w:p w14:paraId="0356011D">
      <w:pPr>
        <w:spacing w:line="360" w:lineRule="auto"/>
        <w:ind w:firstLine="420" w:firstLineChars="200"/>
        <w:rPr>
          <w:rFonts w:hint="eastAsia" w:ascii="宋体" w:hAnsi="宋体" w:cs="宋体"/>
          <w:kern w:val="0"/>
          <w:szCs w:val="21"/>
          <w:highlight w:val="none"/>
        </w:rPr>
      </w:pPr>
      <w:r>
        <w:rPr>
          <w:rFonts w:hint="eastAsia" w:ascii="宋体" w:hAnsi="宋体" w:eastAsia="宋体" w:cs="宋体"/>
          <w:highlight w:val="none"/>
          <w:lang w:val="en-US" w:eastAsia="zh-CN"/>
        </w:rPr>
        <w:t>http://www.ccgp.gov.cn/中国政</w:t>
      </w:r>
      <w:r>
        <w:rPr>
          <w:rFonts w:hint="eastAsia"/>
          <w:highlight w:val="none"/>
          <w:lang w:val="en-US" w:eastAsia="zh-CN"/>
        </w:rPr>
        <w:t>府采购网、</w:t>
      </w:r>
      <w:r>
        <w:rPr>
          <w:rFonts w:hint="eastAsia" w:ascii="宋体" w:hAnsi="宋体" w:cs="宋体"/>
          <w:kern w:val="0"/>
          <w:szCs w:val="21"/>
          <w:highlight w:val="none"/>
        </w:rPr>
        <w:t>http://zfcg.gxzf.gov.cn（广西壮族自治区政府采购网）、http://ggzy.jgswj.gxzf.gov.cn/hcggzy [全国公共资源交易平台（广西•河池）]</w:t>
      </w:r>
    </w:p>
    <w:p w14:paraId="797A85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kern w:val="0"/>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cs="宋体"/>
          <w:kern w:val="0"/>
          <w:szCs w:val="21"/>
          <w:highlight w:val="none"/>
        </w:rPr>
        <w:t>本项目需要落实的政府采购政策</w:t>
      </w:r>
    </w:p>
    <w:p w14:paraId="5BE0A1DB">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633585B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0B68BE3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675E657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5D058D38">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A2F2644">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（6）政府采购扶持不发达地区和少数民族地区。</w:t>
      </w:r>
    </w:p>
    <w:p w14:paraId="1471BEF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bookmarkStart w:id="32" w:name="_Toc28359095"/>
      <w:bookmarkStart w:id="33" w:name="_Toc28359018"/>
      <w:bookmarkStart w:id="34" w:name="_Toc35393636"/>
      <w:bookmarkStart w:id="35" w:name="_Toc35393805"/>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在线竞标响应（电子竞标）说明：</w:t>
      </w:r>
    </w:p>
    <w:p w14:paraId="5E9F0A9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（1）本项目为全流程电子化采购项目，通过“</w:t>
      </w:r>
      <w:r>
        <w:rPr>
          <w:rFonts w:hint="eastAsia" w:ascii="宋体" w:hAnsi="宋体" w:cs="宋体"/>
          <w:szCs w:val="21"/>
          <w:highlight w:val="none"/>
        </w:rPr>
        <w:t>广西政府采购云</w:t>
      </w:r>
      <w:r>
        <w:rPr>
          <w:rFonts w:hint="eastAsia" w:ascii="宋体" w:hAnsi="宋体" w:cs="宋体"/>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kern w:val="0"/>
          <w:szCs w:val="21"/>
          <w:highlight w:val="none"/>
        </w:rPr>
        <w:t>）。</w:t>
      </w:r>
    </w:p>
    <w:p w14:paraId="30C108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kern w:val="0"/>
          <w:szCs w:val="21"/>
          <w:highlight w:val="none"/>
        </w:rPr>
      </w:pPr>
      <w:r>
        <w:rPr>
          <w:rFonts w:hint="eastAsia" w:ascii="宋体" w:hAnsi="宋体" w:cs="宋体"/>
          <w:kern w:val="0"/>
          <w:szCs w:val="21"/>
          <w:highlight w:val="none"/>
        </w:rPr>
        <w:t>实行在线电子竞标，供应商应先安装“</w:t>
      </w:r>
      <w:r>
        <w:rPr>
          <w:rFonts w:hint="eastAsia" w:ascii="宋体" w:hAnsi="宋体" w:cs="宋体"/>
          <w:szCs w:val="21"/>
          <w:highlight w:val="none"/>
        </w:rPr>
        <w:t>广西政府采购云</w:t>
      </w:r>
      <w:r>
        <w:rPr>
          <w:rFonts w:hint="eastAsia" w:ascii="宋体" w:hAnsi="宋体" w:cs="宋体"/>
          <w:kern w:val="0"/>
          <w:szCs w:val="21"/>
          <w:highlight w:val="none"/>
        </w:rPr>
        <w:t>电子交易客户端”（请自行前往“</w:t>
      </w:r>
      <w:r>
        <w:rPr>
          <w:rFonts w:hint="eastAsia" w:ascii="宋体" w:hAnsi="宋体" w:cs="宋体"/>
          <w:szCs w:val="21"/>
          <w:highlight w:val="none"/>
        </w:rPr>
        <w:t>广西政府采购云</w:t>
      </w:r>
      <w:r>
        <w:rPr>
          <w:rFonts w:hint="eastAsia" w:ascii="宋体" w:hAnsi="宋体" w:cs="宋体"/>
          <w:kern w:val="0"/>
          <w:szCs w:val="21"/>
          <w:highlight w:val="none"/>
        </w:rPr>
        <w:t>”平台进行下载），并按照本项目竞争性谈判文件和“</w:t>
      </w:r>
      <w:r>
        <w:rPr>
          <w:rFonts w:hint="eastAsia" w:ascii="宋体" w:hAnsi="宋体" w:cs="宋体"/>
          <w:szCs w:val="21"/>
          <w:highlight w:val="none"/>
        </w:rPr>
        <w:t>广西政府采购云</w:t>
      </w:r>
      <w:r>
        <w:rPr>
          <w:rFonts w:hint="eastAsia" w:ascii="宋体" w:hAnsi="宋体" w:cs="宋体"/>
          <w:kern w:val="0"/>
          <w:szCs w:val="21"/>
          <w:highlight w:val="none"/>
        </w:rPr>
        <w:t>”平台的要求编制、加密后在提交响应文件截止时间前通过网络上传至 “</w:t>
      </w:r>
      <w:r>
        <w:rPr>
          <w:rFonts w:hint="eastAsia" w:ascii="宋体" w:hAnsi="宋体" w:cs="宋体"/>
          <w:szCs w:val="21"/>
          <w:highlight w:val="none"/>
        </w:rPr>
        <w:t>广西政府采购云</w:t>
      </w:r>
      <w:r>
        <w:rPr>
          <w:rFonts w:hint="eastAsia" w:ascii="宋体" w:hAnsi="宋体" w:cs="宋体"/>
          <w:kern w:val="0"/>
          <w:szCs w:val="21"/>
          <w:highlight w:val="none"/>
        </w:rPr>
        <w:t>”平台（加密的电子响应文件是指后缀名为“jmbs”的文件），供应商在“</w:t>
      </w:r>
      <w:r>
        <w:rPr>
          <w:rFonts w:hint="eastAsia" w:ascii="宋体" w:hAnsi="宋体" w:cs="宋体"/>
          <w:szCs w:val="21"/>
          <w:highlight w:val="none"/>
        </w:rPr>
        <w:t>广西政府采购云</w:t>
      </w:r>
      <w:r>
        <w:rPr>
          <w:rFonts w:hint="eastAsia" w:ascii="宋体" w:hAnsi="宋体" w:cs="宋体"/>
          <w:kern w:val="0"/>
          <w:szCs w:val="21"/>
          <w:highlight w:val="none"/>
        </w:rPr>
        <w:t>”平台提交电子响应文件时，请填写参加远程采购活动经办人联系方式。供应商登录“</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”平台，依次进入“服务中心-项目采购-操作流程-电子招投标-政府采购项目电子交易管理操作指南-供应商”查看电子竞标具体操作流程。</w:t>
      </w:r>
    </w:p>
    <w:p w14:paraId="21A59198">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数字证书办理及响应文件的提交（供应商可登录“广西政府采购网”，依次进入“办事服务-下载专区”或者登陆“</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”平台，依次进入“服务中心-入驻与配置”中查看 CA 数字证书办理操作流程。如在操作过程中遇到问题或者需要技术支持，请致电</w:t>
      </w:r>
      <w:r>
        <w:rPr>
          <w:rFonts w:hint="eastAsia" w:ascii="宋体" w:hAnsi="宋体" w:cs="宋体"/>
          <w:szCs w:val="21"/>
          <w:highlight w:val="none"/>
        </w:rPr>
        <w:t>广西政府采购云</w:t>
      </w:r>
      <w:r>
        <w:rPr>
          <w:rFonts w:hint="eastAsia" w:ascii="宋体" w:hAnsi="宋体" w:cs="宋体"/>
          <w:kern w:val="0"/>
          <w:szCs w:val="21"/>
          <w:highlight w:val="none"/>
        </w:rPr>
        <w:t>客服热线：</w:t>
      </w:r>
      <w:r>
        <w:rPr>
          <w:rFonts w:hint="eastAsia" w:ascii="宋体" w:hAnsi="宋体" w:cs="宋体"/>
          <w:b/>
          <w:bCs/>
          <w:kern w:val="0"/>
          <w:szCs w:val="21"/>
          <w:highlight w:val="none"/>
          <w:lang w:val="en-US" w:eastAsia="zh-CN"/>
        </w:rPr>
        <w:t>95763</w:t>
      </w:r>
      <w:r>
        <w:rPr>
          <w:rFonts w:hint="eastAsia" w:ascii="宋体" w:hAnsi="宋体" w:cs="宋体"/>
          <w:b/>
          <w:bCs/>
          <w:kern w:val="0"/>
          <w:szCs w:val="21"/>
          <w:highlight w:val="none"/>
        </w:rPr>
        <w:t>。</w:t>
      </w:r>
    </w:p>
    <w:p w14:paraId="388A63A2">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（3）CA 证书在线解密：首次响应文件开启时，需携带制作响应文件时用来加密的有效数字证书（CA 认证）登录“</w:t>
      </w:r>
      <w:r>
        <w:rPr>
          <w:rFonts w:hint="eastAsia" w:ascii="宋体" w:hAnsi="宋体" w:cs="宋体"/>
          <w:szCs w:val="21"/>
          <w:highlight w:val="none"/>
        </w:rPr>
        <w:t>广西政府采购云</w:t>
      </w:r>
      <w:r>
        <w:rPr>
          <w:rFonts w:hint="eastAsia" w:ascii="宋体" w:hAnsi="宋体" w:cs="宋体"/>
          <w:kern w:val="0"/>
          <w:szCs w:val="21"/>
          <w:highlight w:val="none"/>
        </w:rPr>
        <w:t>”平台电子开标大厅现场按规定时间对加密的响应文件进行解密，否则后果自负。</w:t>
      </w:r>
    </w:p>
    <w:p w14:paraId="7DA21DF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注：1）为确保网上操作合法、有效和安全，请供应商确保在电子竞标过程中能够对相关数据电文进行加密和使用电子签章，妥善保管 CA 数字证书并使用有效的 CA 数字证书参与整个采购活动。</w:t>
      </w:r>
    </w:p>
    <w:p w14:paraId="2BD1CD4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highlight w:val="none"/>
        </w:rPr>
        <w:t>广西政府采购云</w:t>
      </w:r>
      <w:r>
        <w:rPr>
          <w:rFonts w:hint="eastAsia" w:ascii="宋体" w:hAnsi="宋体" w:cs="宋体"/>
          <w:kern w:val="0"/>
          <w:szCs w:val="21"/>
          <w:highlight w:val="none"/>
        </w:rPr>
        <w:t>”平台将予以拒收。</w:t>
      </w:r>
    </w:p>
    <w:p w14:paraId="10D3E3AD">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w:t>
      </w:r>
      <w:r>
        <w:rPr>
          <w:rFonts w:hint="eastAsia" w:ascii="宋体" w:hAnsi="宋体" w:cs="宋体"/>
          <w:szCs w:val="21"/>
          <w:highlight w:val="none"/>
        </w:rPr>
        <w:t>广西政府采购云</w:t>
      </w:r>
      <w:r>
        <w:rPr>
          <w:rFonts w:hint="eastAsia" w:ascii="宋体" w:hAnsi="宋体" w:cs="宋体"/>
          <w:kern w:val="0"/>
          <w:szCs w:val="21"/>
          <w:highlight w:val="none"/>
        </w:rPr>
        <w:t>”平台远程开标大厅参与本次谈判，否则后果自负。</w:t>
      </w:r>
    </w:p>
    <w:p w14:paraId="69AEDE1C">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等，后果由供应商自行承担。</w:t>
      </w:r>
    </w:p>
    <w:p w14:paraId="71BFE03B">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kern w:val="0"/>
          <w:szCs w:val="21"/>
          <w:highlight w:val="none"/>
        </w:rPr>
      </w:pPr>
      <w:r>
        <w:rPr>
          <w:rFonts w:hint="eastAsia" w:ascii="宋体" w:hAnsi="宋体" w:cs="宋体"/>
          <w:kern w:val="0"/>
          <w:szCs w:val="21"/>
          <w:highlight w:val="none"/>
        </w:rPr>
        <w:t>（6）如潜在投标人出现通过“</w:t>
      </w:r>
      <w:r>
        <w:rPr>
          <w:rFonts w:hint="eastAsia" w:ascii="宋体" w:hAnsi="宋体" w:cs="宋体"/>
          <w:szCs w:val="21"/>
          <w:highlight w:val="none"/>
        </w:rPr>
        <w:t>广西政府采购云</w:t>
      </w:r>
      <w:r>
        <w:rPr>
          <w:rFonts w:hint="eastAsia" w:ascii="宋体" w:hAnsi="宋体" w:cs="宋体"/>
          <w:kern w:val="0"/>
          <w:szCs w:val="21"/>
          <w:highlight w:val="none"/>
        </w:rPr>
        <w:t>”上传递交的“电子加密投标文件”无法按时解密或解密不成功的情况，请与项目归属监督部门备案后通过邮件或者其他方式提交电子备份文件，经项目归属监督部门备案后可电联代理机构：0778-8223188 进行电子备份文件上传。</w:t>
      </w:r>
    </w:p>
    <w:p w14:paraId="6C525070">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b/>
          <w:bCs/>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6</w:t>
      </w:r>
      <w:r>
        <w:rPr>
          <w:rFonts w:hint="eastAsia" w:ascii="宋体" w:hAnsi="宋体" w:cs="宋体"/>
          <w:kern w:val="0"/>
          <w:szCs w:val="21"/>
          <w:highlight w:val="none"/>
        </w:rPr>
        <w:t>.监督部门：</w:t>
      </w:r>
      <w:r>
        <w:rPr>
          <w:rFonts w:hint="eastAsia" w:ascii="宋体" w:hAnsi="宋体" w:cs="宋体"/>
          <w:szCs w:val="21"/>
          <w:highlight w:val="none"/>
          <w:shd w:val="clear" w:color="auto" w:fill="FFFFFF"/>
        </w:rPr>
        <w:t xml:space="preserve">罗城仫佬族自治县财政局政府采购监督管理股  </w:t>
      </w:r>
      <w:r>
        <w:rPr>
          <w:rFonts w:hint="eastAsia" w:ascii="宋体" w:hAnsi="宋体" w:cs="宋体"/>
          <w:kern w:val="0"/>
          <w:szCs w:val="21"/>
          <w:highlight w:val="none"/>
        </w:rPr>
        <w:t>   联系电话：</w:t>
      </w:r>
      <w:r>
        <w:rPr>
          <w:rFonts w:hint="eastAsia" w:ascii="宋体" w:hAnsi="宋体" w:cs="宋体"/>
          <w:szCs w:val="21"/>
          <w:highlight w:val="none"/>
          <w:shd w:val="clear" w:color="auto" w:fill="FFFFFF"/>
        </w:rPr>
        <w:t xml:space="preserve">0778-8221879 </w:t>
      </w:r>
    </w:p>
    <w:p w14:paraId="2D946BAF">
      <w:pPr>
        <w:spacing w:line="400" w:lineRule="exact"/>
        <w:rPr>
          <w:rFonts w:hint="eastAsia" w:ascii="宋体" w:hAnsi="宋体" w:cs="宋体"/>
          <w:b/>
          <w:bCs/>
          <w:kern w:val="0"/>
          <w:szCs w:val="21"/>
          <w:highlight w:val="none"/>
        </w:rPr>
      </w:pPr>
      <w:r>
        <w:rPr>
          <w:rFonts w:hint="eastAsia" w:ascii="宋体" w:hAnsi="宋体" w:cs="宋体"/>
          <w:b/>
          <w:bCs/>
          <w:kern w:val="0"/>
          <w:szCs w:val="21"/>
          <w:highlight w:val="none"/>
        </w:rPr>
        <w:t>八、凡对本次采购提出询问，请按以下方式联系。</w:t>
      </w:r>
      <w:bookmarkEnd w:id="32"/>
      <w:bookmarkEnd w:id="33"/>
      <w:bookmarkEnd w:id="34"/>
      <w:bookmarkEnd w:id="35"/>
    </w:p>
    <w:p w14:paraId="4B1C92A8">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1. 采购单位信息</w:t>
      </w:r>
    </w:p>
    <w:p w14:paraId="3422B35F">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    称：</w:t>
      </w:r>
      <w:r>
        <w:rPr>
          <w:rFonts w:hint="eastAsia" w:ascii="宋体" w:hAnsi="宋体" w:eastAsia="宋体" w:cs="宋体"/>
          <w:i w:val="0"/>
          <w:iCs w:val="0"/>
          <w:caps w:val="0"/>
          <w:color w:val="333333"/>
          <w:spacing w:val="0"/>
          <w:sz w:val="21"/>
          <w:szCs w:val="21"/>
          <w:highlight w:val="none"/>
          <w:u w:val="single"/>
          <w:shd w:val="clear" w:color="auto" w:fill="FFFFFF"/>
          <w:lang w:eastAsia="zh-CN"/>
        </w:rPr>
        <w:t>罗城仫佬族自治县教育局</w:t>
      </w:r>
    </w:p>
    <w:p w14:paraId="13BB667E">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地    址：</w:t>
      </w:r>
      <w:r>
        <w:rPr>
          <w:rFonts w:hint="eastAsia" w:ascii="宋体" w:hAnsi="宋体" w:cs="宋体"/>
          <w:kern w:val="0"/>
          <w:szCs w:val="21"/>
          <w:u w:val="single"/>
        </w:rPr>
        <w:t>罗城县东门镇解放路37号</w:t>
      </w:r>
    </w:p>
    <w:p w14:paraId="2ED4F38D">
      <w:pPr>
        <w:spacing w:line="400" w:lineRule="exact"/>
        <w:ind w:firstLine="315" w:firstLineChars="150"/>
        <w:rPr>
          <w:rFonts w:hint="default" w:ascii="宋体" w:hAnsi="宋体" w:cs="宋体" w:eastAsiaTheme="minorEastAsia"/>
          <w:color w:val="auto"/>
          <w:kern w:val="0"/>
          <w:szCs w:val="21"/>
          <w:highlight w:val="none"/>
          <w:u w:val="single"/>
          <w:lang w:val="en-US" w:eastAsia="zh-CN"/>
        </w:rPr>
      </w:pPr>
      <w:r>
        <w:rPr>
          <w:rFonts w:hint="eastAsia" w:ascii="宋体" w:hAnsi="宋体" w:cs="宋体"/>
          <w:color w:val="auto"/>
          <w:kern w:val="0"/>
          <w:szCs w:val="21"/>
          <w:highlight w:val="none"/>
        </w:rPr>
        <w:t>联系人</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吴熙</w:t>
      </w:r>
    </w:p>
    <w:p w14:paraId="724BB352">
      <w:pPr>
        <w:spacing w:line="400" w:lineRule="exact"/>
        <w:ind w:firstLine="315" w:firstLineChars="15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ascii="微软雅黑" w:hAnsi="微软雅黑" w:eastAsia="微软雅黑" w:cs="微软雅黑"/>
          <w:i w:val="0"/>
          <w:iCs w:val="0"/>
          <w:caps w:val="0"/>
          <w:color w:val="333333"/>
          <w:spacing w:val="0"/>
          <w:sz w:val="21"/>
          <w:szCs w:val="21"/>
          <w:u w:val="single"/>
          <w:shd w:val="clear" w:fill="FFFFFF"/>
        </w:rPr>
        <w:t>0778-8223900</w:t>
      </w:r>
      <w:r>
        <w:rPr>
          <w:rFonts w:hint="eastAsia" w:asciiTheme="minorEastAsia" w:hAnsiTheme="minorEastAsia" w:eastAsiaTheme="minorEastAsia" w:cstheme="minorEastAsia"/>
          <w:i w:val="0"/>
          <w:iCs w:val="0"/>
          <w:caps w:val="0"/>
          <w:color w:val="333333"/>
          <w:spacing w:val="0"/>
          <w:sz w:val="21"/>
          <w:szCs w:val="21"/>
          <w:u w:val="single"/>
          <w:shd w:val="clear" w:fill="FFFFFF"/>
          <w:lang w:val="en-US" w:eastAsia="zh-CN"/>
        </w:rPr>
        <w:t>；</w:t>
      </w:r>
      <w:r>
        <w:rPr>
          <w:rFonts w:ascii="微软雅黑" w:hAnsi="微软雅黑" w:eastAsia="微软雅黑" w:cs="微软雅黑"/>
          <w:i w:val="0"/>
          <w:iCs w:val="0"/>
          <w:caps w:val="0"/>
          <w:color w:val="333333"/>
          <w:spacing w:val="0"/>
          <w:sz w:val="21"/>
          <w:szCs w:val="21"/>
          <w:u w:val="single"/>
          <w:shd w:val="clear" w:fill="FFFFFF"/>
        </w:rPr>
        <w:t>19977809250</w:t>
      </w:r>
    </w:p>
    <w:p w14:paraId="2E045BC3">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2.采购代理机构信息</w:t>
      </w:r>
    </w:p>
    <w:p w14:paraId="7005BE87">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罗城仫佬族自治县人民政府采购中心 </w:t>
      </w:r>
    </w:p>
    <w:p w14:paraId="2FDFDFFF">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地址：</w:t>
      </w:r>
      <w:r>
        <w:rPr>
          <w:rFonts w:hint="eastAsia" w:ascii="宋体" w:hAnsi="宋体" w:cs="宋体"/>
          <w:kern w:val="0"/>
          <w:szCs w:val="21"/>
          <w:highlight w:val="none"/>
          <w:u w:val="single"/>
        </w:rPr>
        <w:t>罗城仫佬族自治县大数据发展局综合楼（仫佬家园大门东面200米）五楼</w:t>
      </w:r>
    </w:p>
    <w:p w14:paraId="0576DC62">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联系方式：</w:t>
      </w:r>
      <w:r>
        <w:rPr>
          <w:rFonts w:hint="eastAsia" w:ascii="宋体" w:hAnsi="宋体" w:cs="宋体"/>
          <w:kern w:val="0"/>
          <w:szCs w:val="21"/>
          <w:highlight w:val="none"/>
          <w:u w:val="single"/>
        </w:rPr>
        <w:t>0778-8223188</w:t>
      </w:r>
    </w:p>
    <w:p w14:paraId="2202BBC6">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3.项目联系方式</w:t>
      </w:r>
    </w:p>
    <w:p w14:paraId="79CB0782">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项目联系人：</w:t>
      </w:r>
      <w:r>
        <w:rPr>
          <w:rFonts w:hint="eastAsia" w:ascii="宋体" w:hAnsi="宋体" w:cs="宋体"/>
          <w:kern w:val="0"/>
          <w:szCs w:val="21"/>
          <w:highlight w:val="none"/>
          <w:u w:val="single"/>
        </w:rPr>
        <w:t xml:space="preserve">覃秀莲 </w:t>
      </w:r>
    </w:p>
    <w:p w14:paraId="00BCF749">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电话：</w:t>
      </w:r>
      <w:r>
        <w:rPr>
          <w:rFonts w:hint="eastAsia" w:ascii="宋体" w:hAnsi="宋体" w:cs="宋体"/>
          <w:kern w:val="0"/>
          <w:szCs w:val="21"/>
          <w:highlight w:val="none"/>
          <w:u w:val="single"/>
        </w:rPr>
        <w:t>0778-8223188</w:t>
      </w:r>
      <w:r>
        <w:rPr>
          <w:rFonts w:hint="eastAsia" w:ascii="宋体" w:hAnsi="宋体" w:cs="宋体"/>
          <w:kern w:val="0"/>
          <w:szCs w:val="21"/>
          <w:highlight w:val="none"/>
        </w:rPr>
        <w:t xml:space="preserve">           </w:t>
      </w:r>
    </w:p>
    <w:p w14:paraId="49776CDC">
      <w:pPr>
        <w:spacing w:line="400" w:lineRule="exact"/>
        <w:jc w:val="right"/>
        <w:rPr>
          <w:highlight w:val="none"/>
        </w:rPr>
      </w:pPr>
    </w:p>
    <w:p w14:paraId="0EEDAFE2">
      <w:pPr>
        <w:spacing w:line="400" w:lineRule="exact"/>
        <w:jc w:val="right"/>
        <w:rPr>
          <w:highlight w:val="none"/>
        </w:rPr>
      </w:pPr>
    </w:p>
    <w:p w14:paraId="1047257B">
      <w:pPr>
        <w:spacing w:line="400" w:lineRule="exact"/>
        <w:ind w:firstLine="315" w:firstLineChars="150"/>
        <w:jc w:val="right"/>
        <w:rPr>
          <w:rFonts w:hint="eastAsia" w:ascii="宋体" w:hAnsi="宋体" w:cs="宋体"/>
          <w:kern w:val="0"/>
          <w:szCs w:val="21"/>
          <w:highlight w:val="none"/>
          <w:u w:val="single"/>
        </w:rPr>
      </w:pPr>
    </w:p>
    <w:p w14:paraId="66686EC9">
      <w:pPr>
        <w:spacing w:line="400" w:lineRule="exact"/>
        <w:ind w:firstLine="315" w:firstLineChars="150"/>
        <w:jc w:val="center"/>
        <w:rPr>
          <w:rFonts w:hint="eastAsia" w:ascii="宋体" w:hAnsi="宋体" w:cs="宋体"/>
          <w:kern w:val="0"/>
          <w:szCs w:val="21"/>
          <w:highlight w:val="none"/>
        </w:rPr>
      </w:pPr>
      <w:r>
        <w:rPr>
          <w:rFonts w:hint="eastAsia" w:ascii="宋体" w:hAnsi="宋体" w:cs="宋体"/>
          <w:kern w:val="0"/>
          <w:szCs w:val="21"/>
          <w:highlight w:val="none"/>
        </w:rPr>
        <w:t xml:space="preserve">                                 罗城仫佬族自治县人民政府采购中心 </w:t>
      </w:r>
    </w:p>
    <w:p w14:paraId="261FD45C">
      <w:pPr>
        <w:spacing w:line="400" w:lineRule="exact"/>
        <w:ind w:firstLine="315" w:firstLineChars="150"/>
        <w:jc w:val="center"/>
        <w:rPr>
          <w:rFonts w:hint="eastAsia" w:ascii="宋体" w:hAnsi="宋体" w:cs="宋体"/>
          <w:color w:val="auto"/>
          <w:kern w:val="0"/>
          <w:szCs w:val="21"/>
          <w:highlight w:val="none"/>
        </w:rPr>
      </w:pPr>
      <w:r>
        <w:rPr>
          <w:rFonts w:hint="eastAsia" w:ascii="宋体" w:hAnsi="宋体" w:cs="宋体"/>
          <w:kern w:val="0"/>
          <w:szCs w:val="21"/>
          <w:highlight w:val="none"/>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none"/>
        </w:rPr>
        <w:t xml:space="preserve">  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28</w:t>
      </w:r>
      <w:r>
        <w:rPr>
          <w:rFonts w:hint="eastAsia" w:ascii="宋体" w:hAnsi="宋体" w:cs="宋体"/>
          <w:color w:val="auto"/>
          <w:kern w:val="0"/>
          <w:szCs w:val="21"/>
          <w:highlight w:val="none"/>
          <w:u w:val="none"/>
        </w:rPr>
        <w:t>日</w:t>
      </w:r>
    </w:p>
    <w:p w14:paraId="48E31FC4">
      <w:pPr>
        <w:spacing w:line="400" w:lineRule="exact"/>
        <w:ind w:firstLine="315" w:firstLineChars="150"/>
        <w:jc w:val="right"/>
        <w:rPr>
          <w:rFonts w:hint="eastAsia" w:ascii="宋体" w:hAnsi="宋体"/>
          <w:sz w:val="32"/>
          <w:szCs w:val="32"/>
          <w:highlight w:val="none"/>
        </w:rPr>
      </w:pPr>
      <w:r>
        <w:rPr>
          <w:rFonts w:hint="eastAsia" w:ascii="宋体" w:hAnsi="宋体" w:cs="宋体"/>
          <w:kern w:val="0"/>
          <w:szCs w:val="21"/>
          <w:highlight w:val="none"/>
          <w:u w:val="single"/>
        </w:rPr>
        <w:br w:type="page"/>
      </w:r>
    </w:p>
    <w:p w14:paraId="630BAD25">
      <w:pPr>
        <w:pStyle w:val="3"/>
        <w:jc w:val="center"/>
        <w:rPr>
          <w:rFonts w:hint="eastAsia"/>
          <w:highlight w:val="none"/>
        </w:rPr>
      </w:pPr>
      <w:bookmarkStart w:id="36" w:name="_Toc25640"/>
      <w:bookmarkStart w:id="37" w:name="_Toc35611511"/>
      <w:r>
        <w:rPr>
          <w:rFonts w:hint="eastAsia"/>
          <w:highlight w:val="none"/>
        </w:rPr>
        <w:t>第二章 供应商须知</w:t>
      </w:r>
      <w:bookmarkEnd w:id="36"/>
      <w:bookmarkEnd w:id="37"/>
    </w:p>
    <w:p w14:paraId="18BF0743">
      <w:pPr>
        <w:spacing w:line="400" w:lineRule="exact"/>
        <w:jc w:val="center"/>
        <w:rPr>
          <w:rFonts w:hint="eastAsia" w:ascii="宋体" w:hAnsi="宋体"/>
          <w:b/>
          <w:sz w:val="32"/>
          <w:szCs w:val="32"/>
          <w:highlight w:val="none"/>
        </w:rPr>
      </w:pPr>
      <w:r>
        <w:rPr>
          <w:rFonts w:hint="eastAsia" w:ascii="宋体" w:hAnsi="宋体"/>
          <w:b/>
          <w:sz w:val="32"/>
          <w:szCs w:val="32"/>
          <w:highlight w:val="none"/>
        </w:rPr>
        <w:t>供应商须知前附表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8724"/>
      </w:tblGrid>
      <w:tr w14:paraId="0494F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820" w:type="dxa"/>
            <w:noWrap w:val="0"/>
            <w:vAlign w:val="top"/>
          </w:tcPr>
          <w:p w14:paraId="6724BB44">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条款号</w:t>
            </w:r>
          </w:p>
        </w:tc>
        <w:tc>
          <w:tcPr>
            <w:tcW w:w="8724" w:type="dxa"/>
            <w:noWrap w:val="0"/>
            <w:vAlign w:val="top"/>
          </w:tcPr>
          <w:p w14:paraId="16FF17BE">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内    容</w:t>
            </w:r>
          </w:p>
        </w:tc>
      </w:tr>
      <w:tr w14:paraId="1972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49DCE711">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p>
        </w:tc>
        <w:tc>
          <w:tcPr>
            <w:tcW w:w="8724" w:type="dxa"/>
            <w:noWrap w:val="0"/>
            <w:vAlign w:val="center"/>
          </w:tcPr>
          <w:p w14:paraId="5BA2512D">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供应商的资格条件：详见竞争性谈判公告</w:t>
            </w:r>
          </w:p>
        </w:tc>
      </w:tr>
      <w:tr w14:paraId="0307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57D192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5.1</w:t>
            </w:r>
          </w:p>
        </w:tc>
        <w:tc>
          <w:tcPr>
            <w:tcW w:w="8724" w:type="dxa"/>
            <w:noWrap w:val="0"/>
            <w:vAlign w:val="center"/>
          </w:tcPr>
          <w:p w14:paraId="6FB937D3">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是否接受联合体竞标: 详见竞争性谈判公告</w:t>
            </w:r>
          </w:p>
        </w:tc>
      </w:tr>
      <w:tr w14:paraId="4281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0CA51F27">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w:t>
            </w:r>
            <w:r>
              <w:rPr>
                <w:rFonts w:hint="default" w:ascii="宋体" w:hAnsi="宋体" w:cs="宋体"/>
                <w:szCs w:val="21"/>
                <w:highlight w:val="none"/>
              </w:rPr>
              <w:t>.2</w:t>
            </w:r>
          </w:p>
        </w:tc>
        <w:tc>
          <w:tcPr>
            <w:tcW w:w="8724" w:type="dxa"/>
            <w:noWrap w:val="0"/>
            <w:vAlign w:val="center"/>
          </w:tcPr>
          <w:p w14:paraId="695BCB5E">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Times New Roman"/>
                <w:szCs w:val="21"/>
                <w:highlight w:val="none"/>
              </w:rPr>
              <w:t>如接受联合体竞标，联合体竞标要求如下：</w:t>
            </w:r>
            <w:r>
              <w:rPr>
                <w:rFonts w:hint="eastAsia" w:ascii="宋体" w:hAnsi="宋体" w:cs="Times New Roman"/>
                <w:szCs w:val="21"/>
                <w:highlight w:val="none"/>
                <w:u w:val="single"/>
              </w:rPr>
              <w:t xml:space="preserve">  无 </w:t>
            </w:r>
          </w:p>
        </w:tc>
      </w:tr>
      <w:tr w14:paraId="749C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985076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6.2</w:t>
            </w:r>
          </w:p>
        </w:tc>
        <w:tc>
          <w:tcPr>
            <w:tcW w:w="8724" w:type="dxa"/>
            <w:noWrap w:val="0"/>
            <w:vAlign w:val="center"/>
          </w:tcPr>
          <w:p w14:paraId="3A6D70F6">
            <w:pPr>
              <w:pStyle w:val="8"/>
              <w:keepNext w:val="0"/>
              <w:keepLines w:val="0"/>
              <w:suppressLineNumbers w:val="0"/>
              <w:spacing w:before="0" w:beforeAutospacing="0" w:after="0" w:afterAutospacing="0" w:line="360" w:lineRule="auto"/>
              <w:ind w:left="0" w:right="0"/>
              <w:rPr>
                <w:rFonts w:hint="eastAsia" w:ascii="Calibri" w:hAnsi="Calibri" w:cs="Times New Roman"/>
                <w:highlight w:val="none"/>
                <w:u w:val="single"/>
              </w:rPr>
            </w:pPr>
            <w:r>
              <w:rPr>
                <w:rFonts w:hint="eastAsia" w:ascii="Calibri" w:hAnsi="Calibri" w:cs="Times New Roman"/>
                <w:highlight w:val="none"/>
              </w:rPr>
              <w:t>☑不允许分包</w:t>
            </w:r>
          </w:p>
        </w:tc>
      </w:tr>
      <w:tr w14:paraId="4D0B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554A3BAE">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12.1</w:t>
            </w:r>
            <w:r>
              <w:rPr>
                <w:rFonts w:hint="default" w:ascii="宋体" w:hAnsi="宋体" w:cs="宋体"/>
                <w:szCs w:val="21"/>
                <w:highlight w:val="none"/>
              </w:rPr>
              <w:t>.1</w:t>
            </w:r>
          </w:p>
        </w:tc>
        <w:tc>
          <w:tcPr>
            <w:tcW w:w="8724" w:type="dxa"/>
            <w:noWrap w:val="0"/>
            <w:vAlign w:val="center"/>
          </w:tcPr>
          <w:p w14:paraId="72091C8C">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b/>
                <w:bCs/>
                <w:highlight w:val="none"/>
              </w:rPr>
              <w:t>资格证明文件</w:t>
            </w:r>
          </w:p>
          <w:p w14:paraId="7BA44EEF">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1. 供应商为法人或者其他组织的提供其营业执照等证明文件（如营业执照或者事业单位法人证书或者执业许可证等），供应商为自然人的提供其身份证复印件；（</w:t>
            </w:r>
            <w:r>
              <w:rPr>
                <w:rFonts w:hint="eastAsia" w:ascii="Calibri" w:hAnsi="Calibri" w:cs="Times New Roman"/>
                <w:b/>
                <w:bCs/>
                <w:highlight w:val="none"/>
              </w:rPr>
              <w:t>必须提供，否则响应文件按无效响应处理</w:t>
            </w:r>
            <w:r>
              <w:rPr>
                <w:rFonts w:hint="eastAsia" w:ascii="Calibri" w:hAnsi="Calibri" w:cs="Times New Roman"/>
                <w:highlight w:val="none"/>
              </w:rPr>
              <w:t>）</w:t>
            </w:r>
          </w:p>
          <w:p w14:paraId="343F9EBC">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2.供应商依法缴纳税收的相关材料（提供近半年连续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个月的依法缴纳税收的凭据复印件；</w:t>
            </w:r>
            <w:r>
              <w:rPr>
                <w:rFonts w:hint="eastAsia"/>
                <w:highlight w:val="none"/>
              </w:rPr>
              <w:t>依法免税的，必须提供相应文件证明其依法免税。</w:t>
            </w:r>
            <w:r>
              <w:rPr>
                <w:rFonts w:hint="eastAsia" w:ascii="宋体" w:hAnsi="宋体" w:cs="宋体"/>
                <w:szCs w:val="21"/>
                <w:highlight w:val="none"/>
              </w:rPr>
              <w:t>从取得营业执照时间起到首次响应文件提交截止时间为止不足要求月数的，只需提供从取得营业执照起的依法缴纳税收</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BF4D1A5">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default" w:ascii="Calibri" w:hAnsi="Calibri" w:cs="Times New Roman"/>
                <w:highlight w:val="none"/>
              </w:rPr>
              <w:t xml:space="preserve">3. </w:t>
            </w:r>
            <w:r>
              <w:rPr>
                <w:rFonts w:hint="eastAsia" w:ascii="宋体" w:hAnsi="宋体" w:cs="宋体"/>
                <w:szCs w:val="21"/>
                <w:highlight w:val="none"/>
              </w:rPr>
              <w:t>供应商依法缴纳社会保障资金的相关材料[提供近半年连续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个月的依法缴纳社会保障资金的缴费凭证（专用收据或者社会保险缴纳清单）复印件；</w:t>
            </w:r>
            <w:r>
              <w:rPr>
                <w:rFonts w:hint="eastAsia"/>
                <w:highlight w:val="none"/>
              </w:rPr>
              <w:t>依法不需要缴纳社会保障资金的，必须提供相应文件证明不需要缴纳社会保障资金。</w:t>
            </w:r>
            <w:r>
              <w:rPr>
                <w:rFonts w:hint="eastAsia" w:ascii="宋体" w:hAnsi="宋体" w:cs="宋体"/>
                <w:szCs w:val="21"/>
                <w:highlight w:val="none"/>
              </w:rPr>
              <w:t>从取得营业执照时间起到首次响应文件提交截止时间为止不足要求月数的只需提供从取得营业执照起的依法缴纳社会保障资金的</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99F99FD">
            <w:pPr>
              <w:keepNext w:val="0"/>
              <w:keepLines w:val="0"/>
              <w:suppressLineNumbers w:val="0"/>
              <w:tabs>
                <w:tab w:val="left" w:pos="7178"/>
              </w:tabs>
              <w:snapToGrid w:val="0"/>
              <w:spacing w:before="0" w:beforeAutospacing="0" w:after="0" w:afterAutospacing="0" w:line="360" w:lineRule="auto"/>
              <w:ind w:left="0" w:right="0"/>
              <w:jc w:val="left"/>
              <w:rPr>
                <w:rFonts w:hint="eastAsia" w:ascii="宋体" w:hAnsi="宋体" w:cs="宋体"/>
                <w:b/>
                <w:szCs w:val="21"/>
                <w:highlight w:val="none"/>
              </w:rPr>
            </w:pPr>
            <w:r>
              <w:rPr>
                <w:rFonts w:hint="eastAsia" w:ascii="宋体" w:hAnsi="宋体" w:cs="宋体"/>
                <w:szCs w:val="21"/>
                <w:highlight w:val="none"/>
              </w:rPr>
              <w:t>4.供应商财务状况报告[</w:t>
            </w:r>
            <w:r>
              <w:rPr>
                <w:rFonts w:hint="default" w:ascii="宋体" w:hAnsi="宋体" w:cs="宋体"/>
                <w:szCs w:val="21"/>
                <w:highlight w:val="none"/>
                <w:u w:val="single" w:color="000000"/>
              </w:rPr>
              <w:t>202</w:t>
            </w:r>
            <w:r>
              <w:rPr>
                <w:rFonts w:hint="eastAsia" w:ascii="宋体" w:hAnsi="宋体" w:cs="宋体"/>
                <w:szCs w:val="21"/>
                <w:highlight w:val="none"/>
                <w:u w:val="single" w:color="000000"/>
                <w:lang w:val="en-US" w:eastAsia="zh-CN"/>
              </w:rPr>
              <w:t>4</w:t>
            </w:r>
            <w:r>
              <w:rPr>
                <w:rFonts w:hint="default" w:ascii="宋体" w:hAnsi="宋体" w:cs="宋体"/>
                <w:szCs w:val="21"/>
                <w:highlight w:val="none"/>
              </w:rPr>
              <w:t>年财务状况报告复印件或者银行出具的资信证明或提供资产负债表、利润表、现金流量表、所有者权益变动表（如有）</w:t>
            </w:r>
            <w:r>
              <w:rPr>
                <w:rFonts w:hint="eastAsia" w:ascii="宋体" w:hAnsi="宋体" w:cs="宋体"/>
                <w:szCs w:val="21"/>
                <w:highlight w:val="none"/>
              </w:rPr>
              <w:t>；竞标人属于成立时间在规定年度之后的法人或其他组织，需提供成立之日起至竞标截止时间前的月报表或银行出具的资信证明；资信证明应在有效期内，未注明有效期的，银行出具时间至竞标截止时间不超过一年]；</w:t>
            </w:r>
            <w:r>
              <w:rPr>
                <w:rFonts w:hint="eastAsia" w:ascii="宋体" w:hAnsi="宋体" w:cs="宋体"/>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Cs/>
                <w:szCs w:val="21"/>
                <w:highlight w:val="none"/>
              </w:rPr>
              <w:t>）</w:t>
            </w:r>
          </w:p>
          <w:p w14:paraId="60F5FBD0">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5. 供应商直接控股、管理关系信息表（格式后附）；</w:t>
            </w:r>
            <w:r>
              <w:rPr>
                <w:rFonts w:hint="eastAsia" w:ascii="Calibri" w:hAnsi="Calibri" w:cs="Times New Roman"/>
                <w:b/>
                <w:bCs/>
                <w:highlight w:val="none"/>
              </w:rPr>
              <w:t>（必须提供，否则响应文件作无效处理）</w:t>
            </w:r>
          </w:p>
          <w:p w14:paraId="68952E0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6. 竞标声明（格式后附）；</w:t>
            </w:r>
            <w:r>
              <w:rPr>
                <w:rFonts w:hint="eastAsia" w:ascii="Calibri" w:hAnsi="Calibri" w:cs="Times New Roman"/>
                <w:b/>
                <w:bCs/>
                <w:highlight w:val="none"/>
              </w:rPr>
              <w:t>（必须提供，否则响应文件作无效处理）</w:t>
            </w:r>
          </w:p>
          <w:p w14:paraId="28F0D362">
            <w:pPr>
              <w:pStyle w:val="8"/>
              <w:keepNext w:val="0"/>
              <w:keepLines w:val="0"/>
              <w:suppressLineNumbers w:val="0"/>
              <w:spacing w:before="0" w:beforeAutospacing="0" w:after="0" w:afterAutospacing="0"/>
              <w:ind w:left="0" w:right="0"/>
              <w:rPr>
                <w:rFonts w:hint="eastAsia" w:eastAsia="宋体"/>
                <w:highlight w:val="none"/>
                <w:lang w:val="en-US" w:eastAsia="zh-CN"/>
              </w:rPr>
            </w:pPr>
            <w:r>
              <w:rPr>
                <w:rFonts w:hint="eastAsia" w:ascii="Calibri" w:hAnsi="Calibri" w:cs="Times New Roman"/>
                <w:highlight w:val="none"/>
                <w:lang w:val="en-US" w:eastAsia="zh-CN"/>
              </w:rPr>
              <w:t>7.</w:t>
            </w:r>
            <w:r>
              <w:rPr>
                <w:rFonts w:hint="eastAsia"/>
                <w:highlight w:val="none"/>
                <w:lang w:val="en-US" w:eastAsia="zh-CN"/>
              </w:rPr>
              <w:t>中小企业声明函（格式后附）；</w:t>
            </w:r>
            <w:r>
              <w:rPr>
                <w:rFonts w:hint="eastAsia"/>
                <w:b/>
                <w:bCs/>
                <w:highlight w:val="none"/>
                <w:lang w:val="en-US" w:eastAsia="zh-CN"/>
              </w:rPr>
              <w:t>（如有，请提供）</w:t>
            </w:r>
          </w:p>
          <w:p w14:paraId="0BAA642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lang w:val="en-US" w:eastAsia="zh-CN"/>
              </w:rPr>
              <w:t>8</w:t>
            </w:r>
            <w:r>
              <w:rPr>
                <w:rFonts w:hint="eastAsia" w:ascii="Calibri" w:hAnsi="Calibri" w:cs="Times New Roman"/>
                <w:highlight w:val="none"/>
              </w:rPr>
              <w:t>.除竞争性谈判文件规定必须提供以外，供应商认为需要提供的其他证明材料</w:t>
            </w:r>
            <w:r>
              <w:rPr>
                <w:rFonts w:hint="eastAsia" w:ascii="宋体" w:hAnsi="宋体" w:cs="宋体"/>
                <w:szCs w:val="21"/>
                <w:highlight w:val="none"/>
              </w:rPr>
              <w:t>（如有，请提供）</w:t>
            </w:r>
          </w:p>
          <w:p w14:paraId="777CFD67">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default" w:ascii="宋体" w:hAnsi="宋体" w:cs="宋体"/>
                <w:b/>
                <w:bCs/>
                <w:szCs w:val="21"/>
                <w:highlight w:val="none"/>
              </w:rPr>
              <w:t>▲特别说明</w:t>
            </w:r>
            <w:r>
              <w:rPr>
                <w:rFonts w:hint="eastAsia" w:ascii="宋体" w:hAnsi="宋体" w:cs="宋体"/>
                <w:b/>
                <w:bCs/>
                <w:szCs w:val="21"/>
                <w:highlight w:val="none"/>
              </w:rPr>
              <w:t>：</w:t>
            </w:r>
          </w:p>
          <w:p w14:paraId="72F11583">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（1）响应文件中所须加盖公章部分均采用 CA 签章。若竞争性谈判文件中有专门标注的某关联点，并要求供应商在电子竞标系统中作出响应的，如供应商未对关联点进行响应或者在响应文件其它内容进行描述，造成电子评审不能查询的责任由供应商自行承担。</w:t>
            </w:r>
          </w:p>
          <w:p w14:paraId="412C7689">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（2）竞争性谈判文件要求提供的的各种复印件，必须加盖供应商  CA 签章，否则其竞标无效。</w:t>
            </w:r>
          </w:p>
          <w:p w14:paraId="366F70B6">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（3）竞争性谈判文件标注“▲”或要求“必须提供”的证明等材料，供应商必须全部提供，缺一不可，否则竞标无效。</w:t>
            </w:r>
          </w:p>
          <w:p w14:paraId="6A5C9DC4">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（4）竞争性谈判文件要求法定代表人（负责人）或委托代理人签字的部分必须签字然后扫描或者拍照做成 pdf 格式上传，无签字的视为竞标无效。</w:t>
            </w:r>
          </w:p>
          <w:p w14:paraId="4F5B8134">
            <w:pPr>
              <w:pStyle w:val="34"/>
              <w:keepNext w:val="0"/>
              <w:keepLines w:val="0"/>
              <w:suppressLineNumbers w:val="0"/>
              <w:spacing w:beforeAutospacing="0" w:afterAutospacing="0"/>
              <w:ind w:left="0" w:right="0"/>
              <w:rPr>
                <w:rFonts w:hint="eastAsia" w:ascii="Calibri" w:hAnsi="Calibri" w:cs="Times New Roman"/>
                <w:highlight w:val="none"/>
              </w:rPr>
            </w:pPr>
            <w:r>
              <w:rPr>
                <w:rFonts w:hint="eastAsia" w:ascii="宋体" w:hAnsi="宋体" w:cs="宋体"/>
                <w:b w:val="0"/>
                <w:bCs w:val="0"/>
                <w:sz w:val="21"/>
                <w:szCs w:val="21"/>
                <w:highlight w:val="none"/>
              </w:rPr>
              <w:t>（5）本文件中描述供应商的“签字”是指供应商的法定代表人或被授权人亲自在文件规定签署处亲笔写上个人的名字的行为，私章、签字章、印鉴、影印等其它形式均不能代替亲笔签字。</w:t>
            </w:r>
          </w:p>
        </w:tc>
      </w:tr>
      <w:tr w14:paraId="67B1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32044976">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1.</w:t>
            </w:r>
            <w:r>
              <w:rPr>
                <w:rFonts w:hint="eastAsia" w:ascii="宋体" w:hAnsi="宋体" w:cs="宋体"/>
                <w:szCs w:val="21"/>
                <w:highlight w:val="none"/>
              </w:rPr>
              <w:t>2</w:t>
            </w:r>
          </w:p>
        </w:tc>
        <w:tc>
          <w:tcPr>
            <w:tcW w:w="8724" w:type="dxa"/>
            <w:noWrap w:val="0"/>
            <w:vAlign w:val="center"/>
          </w:tcPr>
          <w:p w14:paraId="3FDA4F93">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b/>
                <w:bCs/>
                <w:highlight w:val="none"/>
              </w:rPr>
              <w:t>报价商务技术文件</w:t>
            </w:r>
          </w:p>
          <w:p w14:paraId="6A91E688">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1.无串通竞标行为的承诺函（格式后附）；</w:t>
            </w:r>
            <w:r>
              <w:rPr>
                <w:rFonts w:hint="eastAsia" w:ascii="Calibri" w:hAnsi="Calibri" w:cs="Times New Roman"/>
                <w:b/>
                <w:bCs/>
                <w:highlight w:val="none"/>
              </w:rPr>
              <w:t>（必须提供，否则响应文件作无效处理）</w:t>
            </w:r>
          </w:p>
          <w:p w14:paraId="488A44FC">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2.竞标报价表（格式后附）；</w:t>
            </w:r>
            <w:r>
              <w:rPr>
                <w:rFonts w:hint="eastAsia" w:ascii="Calibri" w:hAnsi="Calibri" w:cs="Times New Roman"/>
                <w:b/>
                <w:bCs/>
                <w:highlight w:val="none"/>
              </w:rPr>
              <w:t>（必须提供，否则响应文件作无效处理）</w:t>
            </w:r>
          </w:p>
          <w:p w14:paraId="126E7294">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3.法定代表人身份证明书及法定代表人有效身份证正反面复印件（格式后附）；</w:t>
            </w:r>
            <w:r>
              <w:rPr>
                <w:rFonts w:hint="eastAsia" w:ascii="Calibri" w:hAnsi="Calibri" w:cs="Times New Roman"/>
                <w:b/>
                <w:bCs/>
                <w:highlight w:val="none"/>
              </w:rPr>
              <w:t>（必须提供，否则响应文件作无效处理）</w:t>
            </w:r>
          </w:p>
          <w:p w14:paraId="46C7E908">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highlight w:val="none"/>
              </w:rPr>
              <w:t>4.法定代表人授权委托书及委托代理人有效身份证正反面复印件（格式后附）；</w:t>
            </w:r>
            <w:r>
              <w:rPr>
                <w:rFonts w:hint="eastAsia" w:ascii="Calibri" w:hAnsi="Calibri" w:cs="Times New Roman"/>
                <w:b/>
                <w:bCs/>
                <w:highlight w:val="none"/>
              </w:rPr>
              <w:t>（委托时必须提供，否则响应文件作无效处理）</w:t>
            </w:r>
          </w:p>
          <w:p w14:paraId="78E9D069">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5.商务条款偏离表（格式后附）；</w:t>
            </w:r>
            <w:r>
              <w:rPr>
                <w:rFonts w:hint="eastAsia" w:ascii="Calibri" w:hAnsi="Calibri" w:cs="Times New Roman"/>
                <w:b/>
                <w:bCs/>
                <w:highlight w:val="none"/>
              </w:rPr>
              <w:t>（必须提供，否则响应文件作无效处理）</w:t>
            </w:r>
          </w:p>
          <w:p w14:paraId="2F3DB4AC">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highlight w:val="none"/>
              </w:rPr>
              <w:t>6.售后服务承诺</w:t>
            </w:r>
            <w:r>
              <w:rPr>
                <w:rFonts w:hint="eastAsia" w:ascii="宋体" w:hAnsi="宋体" w:eastAsia="宋体" w:cs="宋体"/>
                <w:b w:val="0"/>
                <w:bCs w:val="0"/>
                <w:color w:val="auto"/>
                <w:szCs w:val="21"/>
                <w:highlight w:val="none"/>
                <w:lang w:val="en-US" w:eastAsia="zh-CN"/>
              </w:rPr>
              <w:t>（由供应商根据本项目采购需求、特点及供应商自身的处理能力自行编写，承诺书内容至少应包括“采购需求”中的所有服务条款）</w:t>
            </w:r>
            <w:r>
              <w:rPr>
                <w:rFonts w:hint="eastAsia" w:ascii="Calibri" w:hAnsi="Calibri" w:cs="Times New Roman"/>
                <w:highlight w:val="none"/>
              </w:rPr>
              <w:t>；</w:t>
            </w:r>
            <w:r>
              <w:rPr>
                <w:rFonts w:hint="eastAsia" w:ascii="Calibri" w:hAnsi="Calibri" w:cs="Times New Roman"/>
                <w:b/>
                <w:bCs/>
                <w:highlight w:val="none"/>
              </w:rPr>
              <w:t>（必须提供，否则响应文件作无效处理）</w:t>
            </w:r>
          </w:p>
          <w:p w14:paraId="260918C4">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7.配置清单（均不含报价）（格式后附）；</w:t>
            </w:r>
            <w:r>
              <w:rPr>
                <w:rFonts w:hint="eastAsia" w:ascii="Calibri" w:hAnsi="Calibri" w:cs="Times New Roman"/>
                <w:b/>
                <w:bCs/>
                <w:highlight w:val="none"/>
              </w:rPr>
              <w:t>（必须提供，否则响应文件作无效处理）</w:t>
            </w:r>
          </w:p>
          <w:p w14:paraId="5ACD4B9E">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8.技术偏离表（格式后附）；</w:t>
            </w:r>
            <w:r>
              <w:rPr>
                <w:rFonts w:hint="eastAsia" w:ascii="Calibri" w:hAnsi="Calibri" w:cs="Times New Roman"/>
                <w:b/>
                <w:bCs/>
                <w:highlight w:val="none"/>
              </w:rPr>
              <w:t>（必须提供，否则响应文件作无效处理）</w:t>
            </w:r>
          </w:p>
          <w:p w14:paraId="769F64C6">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9.对应采购需求的技术需求、商务条款提供的其他文件资料</w:t>
            </w:r>
            <w:r>
              <w:rPr>
                <w:rFonts w:hint="eastAsia" w:ascii="宋体" w:hAnsi="宋体" w:eastAsia="宋体" w:cs="宋体"/>
                <w:b/>
                <w:bCs/>
                <w:color w:val="auto"/>
                <w:szCs w:val="21"/>
                <w:highlight w:val="none"/>
              </w:rPr>
              <w:t>（按其要求提供）</w:t>
            </w:r>
            <w:r>
              <w:rPr>
                <w:rFonts w:hint="eastAsia" w:ascii="Calibri" w:hAnsi="Calibri" w:cs="Times New Roman"/>
                <w:highlight w:val="none"/>
              </w:rPr>
              <w:t>；</w:t>
            </w:r>
          </w:p>
          <w:p w14:paraId="57C2CDAA">
            <w:pPr>
              <w:pStyle w:val="10"/>
              <w:keepNext w:val="0"/>
              <w:keepLines w:val="0"/>
              <w:suppressLineNumbers w:val="0"/>
              <w:spacing w:before="0" w:beforeAutospacing="0" w:afterAutospacing="0"/>
              <w:ind w:left="0" w:right="0"/>
              <w:rPr>
                <w:rFonts w:hint="eastAsia" w:ascii="宋体" w:hAnsi="宋体" w:eastAsia="宋体" w:cs="宋体"/>
                <w:b/>
                <w:bCs/>
                <w:color w:val="auto"/>
                <w:szCs w:val="21"/>
                <w:highlight w:val="none"/>
              </w:rPr>
            </w:pPr>
            <w:r>
              <w:rPr>
                <w:rFonts w:hint="eastAsia" w:ascii="Calibri" w:hAnsi="Calibri" w:cs="Times New Roman"/>
                <w:highlight w:val="none"/>
                <w:lang w:val="en-US" w:eastAsia="zh-CN"/>
              </w:rPr>
              <w:t>10.</w:t>
            </w:r>
            <w:r>
              <w:rPr>
                <w:rFonts w:hint="eastAsia" w:ascii="宋体" w:hAnsi="宋体" w:eastAsia="宋体" w:cs="宋体"/>
                <w:color w:val="auto"/>
                <w:szCs w:val="21"/>
                <w:highlight w:val="none"/>
              </w:rPr>
              <w:t>项目实施人员一览表</w:t>
            </w:r>
            <w:r>
              <w:rPr>
                <w:rFonts w:hint="eastAsia" w:ascii="宋体" w:hAnsi="宋体" w:eastAsia="宋体" w:cs="宋体"/>
                <w:b/>
                <w:color w:val="auto"/>
                <w:szCs w:val="21"/>
                <w:highlight w:val="none"/>
              </w:rPr>
              <w:t>（如有，请提供）</w:t>
            </w:r>
            <w:r>
              <w:rPr>
                <w:rFonts w:hint="eastAsia" w:ascii="宋体" w:hAnsi="宋体" w:eastAsia="宋体" w:cs="宋体"/>
                <w:b/>
                <w:bCs/>
                <w:color w:val="auto"/>
                <w:szCs w:val="21"/>
                <w:highlight w:val="none"/>
              </w:rPr>
              <w:t>；</w:t>
            </w:r>
          </w:p>
          <w:p w14:paraId="3072F91D">
            <w:pPr>
              <w:pStyle w:val="10"/>
              <w:keepNext w:val="0"/>
              <w:keepLines w:val="0"/>
              <w:suppressLineNumbers w:val="0"/>
              <w:spacing w:before="0" w:beforeAutospacing="0" w:afterAutospacing="0"/>
              <w:ind w:left="0" w:right="0"/>
              <w:rPr>
                <w:rFonts w:hint="eastAsia" w:ascii="宋体" w:hAnsi="宋体" w:eastAsia="宋体" w:cs="宋体"/>
                <w:bCs/>
                <w:color w:val="auto"/>
                <w:szCs w:val="21"/>
                <w:highlight w:val="none"/>
              </w:rPr>
            </w:pPr>
            <w:r>
              <w:rPr>
                <w:rFonts w:hint="eastAsia"/>
                <w:lang w:val="en-US" w:eastAsia="zh-CN"/>
              </w:rPr>
              <w:t>11.</w:t>
            </w:r>
            <w:r>
              <w:rPr>
                <w:rFonts w:hint="eastAsia" w:ascii="宋体" w:hAnsi="宋体" w:eastAsia="宋体" w:cs="宋体"/>
                <w:color w:val="auto"/>
                <w:szCs w:val="21"/>
                <w:highlight w:val="none"/>
              </w:rPr>
              <w:t>节能方面的证书</w:t>
            </w:r>
            <w:r>
              <w:rPr>
                <w:rFonts w:hint="eastAsia" w:ascii="宋体" w:hAnsi="宋体" w:eastAsia="宋体" w:cs="宋体"/>
                <w:color w:val="auto"/>
                <w:szCs w:val="21"/>
                <w:highlight w:val="none"/>
                <w:lang w:eastAsia="zh-CN"/>
              </w:rPr>
              <w:t>扫描件</w:t>
            </w:r>
            <w:r>
              <w:rPr>
                <w:rFonts w:hint="eastAsia" w:ascii="宋体" w:hAnsi="宋体" w:eastAsia="宋体" w:cs="宋体"/>
                <w:b/>
                <w:color w:val="auto"/>
                <w:szCs w:val="21"/>
                <w:highlight w:val="none"/>
              </w:rPr>
              <w:t>（如有，请提供）</w:t>
            </w:r>
            <w:r>
              <w:rPr>
                <w:rFonts w:hint="eastAsia" w:ascii="宋体" w:hAnsi="宋体" w:eastAsia="宋体" w:cs="宋体"/>
                <w:bCs/>
                <w:color w:val="auto"/>
                <w:szCs w:val="21"/>
                <w:highlight w:val="none"/>
              </w:rPr>
              <w:t>；</w:t>
            </w:r>
          </w:p>
          <w:p w14:paraId="022E52E3">
            <w:pPr>
              <w:keepNext w:val="0"/>
              <w:keepLines w:val="0"/>
              <w:pageBreakBefore w:val="0"/>
              <w:widowControl w:val="0"/>
              <w:numPr>
                <w:ilvl w:val="0"/>
                <w:numId w:val="0"/>
              </w:numPr>
              <w:suppressLineNumbers w:val="0"/>
              <w:tabs>
                <w:tab w:val="left" w:pos="130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12.</w:t>
            </w:r>
            <w:r>
              <w:rPr>
                <w:rFonts w:hint="eastAsia" w:ascii="宋体" w:hAnsi="宋体" w:eastAsia="宋体" w:cs="宋体"/>
                <w:color w:val="auto"/>
                <w:szCs w:val="21"/>
                <w:highlight w:val="none"/>
              </w:rPr>
              <w:t>环境标志方面的证书</w:t>
            </w:r>
            <w:r>
              <w:rPr>
                <w:rFonts w:hint="eastAsia" w:ascii="宋体" w:hAnsi="宋体" w:eastAsia="宋体" w:cs="宋体"/>
                <w:color w:val="auto"/>
                <w:szCs w:val="21"/>
                <w:highlight w:val="none"/>
                <w:lang w:eastAsia="zh-CN"/>
              </w:rPr>
              <w:t>扫描件</w:t>
            </w:r>
            <w:r>
              <w:rPr>
                <w:rFonts w:hint="eastAsia" w:ascii="宋体" w:hAnsi="宋体" w:eastAsia="宋体" w:cs="宋体"/>
                <w:b/>
                <w:color w:val="auto"/>
                <w:szCs w:val="21"/>
                <w:highlight w:val="none"/>
              </w:rPr>
              <w:t>（如有，请提供）</w:t>
            </w:r>
            <w:r>
              <w:rPr>
                <w:rFonts w:hint="eastAsia" w:ascii="宋体" w:hAnsi="宋体" w:eastAsia="宋体" w:cs="宋体"/>
                <w:bCs/>
                <w:color w:val="auto"/>
                <w:szCs w:val="21"/>
                <w:highlight w:val="none"/>
              </w:rPr>
              <w:t>；</w:t>
            </w:r>
          </w:p>
          <w:p w14:paraId="2A2D6586">
            <w:pPr>
              <w:keepNext w:val="0"/>
              <w:keepLines w:val="0"/>
              <w:pageBreakBefore w:val="0"/>
              <w:widowControl w:val="0"/>
              <w:numPr>
                <w:ilvl w:val="0"/>
                <w:numId w:val="0"/>
              </w:numPr>
              <w:suppressLineNumbers w:val="0"/>
              <w:tabs>
                <w:tab w:val="left" w:pos="1305"/>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供应商可结合本项目的评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办法视自身情况自行提交相关证明材料</w:t>
            </w:r>
            <w:bookmarkStart w:id="38" w:name="OLE_LINK35"/>
            <w:r>
              <w:rPr>
                <w:rFonts w:hint="eastAsia" w:ascii="宋体" w:hAnsi="宋体" w:eastAsia="宋体" w:cs="宋体"/>
                <w:b/>
                <w:color w:val="auto"/>
                <w:highlight w:val="none"/>
              </w:rPr>
              <w:t>（如有，请提供）</w:t>
            </w:r>
            <w:bookmarkEnd w:id="38"/>
            <w:r>
              <w:rPr>
                <w:rFonts w:hint="eastAsia" w:ascii="宋体" w:hAnsi="宋体" w:eastAsia="宋体" w:cs="宋体"/>
                <w:color w:val="auto"/>
                <w:szCs w:val="21"/>
                <w:highlight w:val="none"/>
              </w:rPr>
              <w:t>。</w:t>
            </w:r>
          </w:p>
          <w:p w14:paraId="4D41E074">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1</w:t>
            </w:r>
            <w:r>
              <w:rPr>
                <w:rFonts w:hint="eastAsia" w:ascii="Calibri" w:hAnsi="Calibri" w:cs="Times New Roman"/>
                <w:highlight w:val="none"/>
                <w:lang w:val="en-US" w:eastAsia="zh-CN"/>
              </w:rPr>
              <w:t>4</w:t>
            </w:r>
            <w:r>
              <w:rPr>
                <w:rFonts w:hint="eastAsia" w:ascii="Calibri" w:hAnsi="Calibri" w:cs="Times New Roman"/>
                <w:highlight w:val="none"/>
              </w:rPr>
              <w:t>.供应商认为需要提供的其他有关资料</w:t>
            </w:r>
            <w:r>
              <w:rPr>
                <w:rFonts w:hint="eastAsia" w:ascii="宋体" w:hAnsi="宋体" w:eastAsia="宋体" w:cs="宋体"/>
                <w:b/>
                <w:color w:val="auto"/>
                <w:highlight w:val="none"/>
              </w:rPr>
              <w:t>（如有，请提供）</w:t>
            </w:r>
          </w:p>
          <w:p w14:paraId="23F5C54B">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b/>
                <w:bCs/>
                <w:highlight w:val="none"/>
              </w:rPr>
              <w:t>注：</w:t>
            </w:r>
            <w:r>
              <w:rPr>
                <w:rFonts w:hint="eastAsia" w:ascii="Calibri" w:hAnsi="Calibri" w:cs="Times New Roman"/>
                <w:highlight w:val="none"/>
              </w:rPr>
              <w:t xml:space="preserve"> </w:t>
            </w:r>
          </w:p>
          <w:p w14:paraId="6DF3891F">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1.法定代表人授权委托书必须由法定代表人及委托代理人签字或者电子签名，并加盖供应商电子签章，否则响应文件作无效处理。</w:t>
            </w:r>
          </w:p>
          <w:p w14:paraId="46C41E3A">
            <w:pPr>
              <w:keepNext w:val="0"/>
              <w:keepLines w:val="0"/>
              <w:suppressLineNumbers w:val="0"/>
              <w:spacing w:before="0" w:beforeAutospacing="0" w:after="0" w:afterAutospacing="0" w:line="360" w:lineRule="auto"/>
              <w:ind w:left="0" w:right="0"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 以上标明“必须提供”材料复印件的，必须加盖供应商电子签章，否则响应文件作无效处理。</w:t>
            </w:r>
          </w:p>
          <w:p w14:paraId="7E98F9C3">
            <w:pPr>
              <w:pStyle w:val="34"/>
              <w:keepNext w:val="0"/>
              <w:keepLines w:val="0"/>
              <w:suppressLineNumbers w:val="0"/>
              <w:spacing w:beforeAutospacing="0" w:afterAutospacing="0"/>
              <w:ind w:left="0" w:right="0" w:firstLine="46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3.电子投标文件中所须加盖公章部分均采用 CA 签章。若竞争性谈判文件中有专门标注的某关联点，并要求供应商在电子投标系统中作出谈判响应的，如供应商未对关联 点进行响应或者在竞争性谈判文件其它内容进行描述，造成电子评审不能查询的责任由供应商自行承担。</w:t>
            </w:r>
          </w:p>
        </w:tc>
      </w:tr>
      <w:tr w14:paraId="722D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35E696D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2</w:t>
            </w:r>
          </w:p>
        </w:tc>
        <w:tc>
          <w:tcPr>
            <w:tcW w:w="8724" w:type="dxa"/>
            <w:noWrap w:val="0"/>
            <w:vAlign w:val="center"/>
          </w:tcPr>
          <w:p w14:paraId="623F5910">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响应文件格式”编写（第五章未附格式的，由供应商自行拟定），不可涂改并在规定位置加盖公章处加盖电子公章，否则响应文件按无效响应处理。</w:t>
            </w:r>
          </w:p>
          <w:p w14:paraId="5860BF96">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2.响应文件电子版密封方式：电子响应文件通过平台有效 CA 加密后在“采购云”平台投送。</w:t>
            </w:r>
          </w:p>
        </w:tc>
      </w:tr>
      <w:tr w14:paraId="3A5A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058F1CD">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15.2</w:t>
            </w:r>
          </w:p>
        </w:tc>
        <w:tc>
          <w:tcPr>
            <w:tcW w:w="8724" w:type="dxa"/>
            <w:noWrap w:val="0"/>
            <w:vAlign w:val="center"/>
          </w:tcPr>
          <w:p w14:paraId="6CD565A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竞标报价的价格构成为：竞标货物（包括备品备件、专用工具等）的价格（包括已在中国</w:t>
            </w:r>
            <w:r>
              <w:rPr>
                <w:rFonts w:hint="eastAsia"/>
                <w:highlight w:val="none"/>
              </w:rPr>
              <w:t>境内</w:t>
            </w:r>
            <w:r>
              <w:rPr>
                <w:rFonts w:hint="eastAsia" w:ascii="宋体" w:hAnsi="宋体" w:cs="宋体"/>
                <w:szCs w:val="21"/>
                <w:highlight w:val="none"/>
              </w:rPr>
              <w:t>的进口货物完税后的仓库交货价、展室交货价或者货架交货价），竞标货物运输（含保险）、安装、调试、检验、技术服务、培训和竞争性谈判文件要求提供的所有伴随服务、工程等费用和税费。</w:t>
            </w:r>
          </w:p>
        </w:tc>
      </w:tr>
      <w:tr w14:paraId="6D60B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444A6FD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16.</w:t>
            </w:r>
            <w:r>
              <w:rPr>
                <w:rFonts w:hint="default" w:ascii="宋体" w:hAnsi="宋体" w:cs="宋体"/>
                <w:szCs w:val="21"/>
                <w:highlight w:val="none"/>
              </w:rPr>
              <w:t>2</w:t>
            </w:r>
          </w:p>
        </w:tc>
        <w:tc>
          <w:tcPr>
            <w:tcW w:w="8724" w:type="dxa"/>
            <w:noWrap w:val="0"/>
            <w:vAlign w:val="center"/>
          </w:tcPr>
          <w:p w14:paraId="4B19DC80">
            <w:pPr>
              <w:pStyle w:val="7"/>
              <w:keepNext w:val="0"/>
              <w:keepLines w:val="0"/>
              <w:widowControl w:val="0"/>
              <w:suppressLineNumbers w:val="0"/>
              <w:tabs>
                <w:tab w:val="clear" w:pos="454"/>
              </w:tabs>
              <w:snapToGrid w:val="0"/>
              <w:spacing w:before="0" w:beforeAutospacing="0" w:afterLines="0" w:afterAutospacing="0" w:line="360" w:lineRule="auto"/>
              <w:ind w:left="283" w:right="0"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hint="default" w:ascii="宋体" w:hAnsi="宋体" w:cs="宋体"/>
                <w:color w:val="000000"/>
                <w:kern w:val="2"/>
                <w:sz w:val="21"/>
                <w:szCs w:val="21"/>
                <w:highlight w:val="none"/>
                <w:u w:val="single"/>
              </w:rPr>
              <w:t xml:space="preserve"> </w:t>
            </w:r>
            <w:r>
              <w:rPr>
                <w:rFonts w:hint="eastAsia" w:ascii="宋体" w:hAnsi="宋体" w:cs="宋体"/>
                <w:color w:val="000000"/>
                <w:kern w:val="2"/>
                <w:sz w:val="21"/>
                <w:szCs w:val="21"/>
                <w:highlight w:val="none"/>
                <w:u w:val="single"/>
                <w:lang w:val="en-US" w:eastAsia="zh-CN"/>
              </w:rPr>
              <w:t>60</w:t>
            </w:r>
            <w:r>
              <w:rPr>
                <w:rFonts w:hint="default" w:ascii="宋体" w:hAnsi="宋体" w:cs="宋体"/>
                <w:color w:val="000000"/>
                <w:kern w:val="2"/>
                <w:sz w:val="21"/>
                <w:szCs w:val="21"/>
                <w:highlight w:val="none"/>
                <w:u w:val="single"/>
              </w:rPr>
              <w:t xml:space="preserve"> </w:t>
            </w:r>
            <w:r>
              <w:rPr>
                <w:rFonts w:hint="eastAsia" w:ascii="宋体" w:hAnsi="宋体" w:cs="宋体"/>
                <w:kern w:val="2"/>
                <w:sz w:val="21"/>
                <w:szCs w:val="21"/>
                <w:highlight w:val="none"/>
              </w:rPr>
              <w:t>日。</w:t>
            </w:r>
          </w:p>
        </w:tc>
      </w:tr>
      <w:tr w14:paraId="4C6E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2631CCD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17.1</w:t>
            </w:r>
          </w:p>
        </w:tc>
        <w:tc>
          <w:tcPr>
            <w:tcW w:w="8724" w:type="dxa"/>
            <w:noWrap w:val="0"/>
            <w:vAlign w:val="center"/>
          </w:tcPr>
          <w:p w14:paraId="0F2CAAD9">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szCs w:val="21"/>
                <w:highlight w:val="none"/>
              </w:rPr>
            </w:pPr>
            <w:r>
              <w:rPr>
                <w:rFonts w:hint="eastAsia" w:ascii="宋体" w:hAnsi="宋体" w:cs="Times New Roman"/>
                <w:szCs w:val="21"/>
                <w:highlight w:val="none"/>
              </w:rPr>
              <w:t>☑本项目不收取竞标保证金。</w:t>
            </w:r>
          </w:p>
        </w:tc>
      </w:tr>
      <w:tr w14:paraId="465CD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55467F9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18.2</w:t>
            </w:r>
          </w:p>
        </w:tc>
        <w:tc>
          <w:tcPr>
            <w:tcW w:w="8724" w:type="dxa"/>
            <w:noWrap w:val="0"/>
            <w:vAlign w:val="center"/>
          </w:tcPr>
          <w:p w14:paraId="5423C48F">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b/>
                <w:bCs/>
                <w:highlight w:val="none"/>
              </w:rPr>
              <w:t>响应文件递交：</w:t>
            </w:r>
            <w:r>
              <w:rPr>
                <w:rFonts w:hint="eastAsia" w:ascii="Calibri" w:hAnsi="Calibri" w:cs="Times New Roman"/>
                <w:color w:val="auto"/>
                <w:highlight w:val="none"/>
              </w:rPr>
              <w:t>于202</w:t>
            </w:r>
            <w:r>
              <w:rPr>
                <w:rFonts w:hint="eastAsia" w:ascii="Calibri" w:hAnsi="Calibri" w:cs="Times New Roman"/>
                <w:color w:val="auto"/>
                <w:highlight w:val="none"/>
                <w:lang w:val="en-US" w:eastAsia="zh-CN"/>
              </w:rPr>
              <w:t>5</w:t>
            </w:r>
            <w:r>
              <w:rPr>
                <w:rFonts w:hint="eastAsia" w:ascii="Calibri" w:hAnsi="Calibri" w:cs="Times New Roman"/>
                <w:color w:val="auto"/>
                <w:highlight w:val="none"/>
              </w:rPr>
              <w:t>年</w:t>
            </w:r>
            <w:r>
              <w:rPr>
                <w:rFonts w:hint="eastAsia" w:ascii="Calibri" w:hAnsi="Calibri" w:cs="Times New Roman"/>
                <w:color w:val="auto"/>
                <w:highlight w:val="none"/>
                <w:u w:val="single"/>
                <w:lang w:val="en-US" w:eastAsia="zh-CN"/>
              </w:rPr>
              <w:t>08</w:t>
            </w:r>
            <w:r>
              <w:rPr>
                <w:rFonts w:hint="eastAsia" w:ascii="Calibri" w:hAnsi="Calibri" w:cs="Times New Roman"/>
                <w:color w:val="auto"/>
                <w:highlight w:val="none"/>
              </w:rPr>
              <w:t>月</w:t>
            </w:r>
            <w:r>
              <w:rPr>
                <w:rFonts w:hint="eastAsia" w:ascii="Calibri" w:hAnsi="Calibri" w:cs="Times New Roman"/>
                <w:color w:val="auto"/>
                <w:highlight w:val="none"/>
                <w:u w:val="single"/>
                <w:lang w:val="en-US" w:eastAsia="zh-CN"/>
              </w:rPr>
              <w:t>01</w:t>
            </w:r>
            <w:r>
              <w:rPr>
                <w:rFonts w:hint="eastAsia" w:ascii="Calibri" w:hAnsi="Calibri" w:cs="Times New Roman"/>
                <w:color w:val="auto"/>
                <w:highlight w:val="none"/>
              </w:rPr>
              <w:t>日</w:t>
            </w:r>
            <w:r>
              <w:rPr>
                <w:rFonts w:hint="eastAsia" w:ascii="Calibri" w:hAnsi="Calibri" w:cs="Times New Roman"/>
                <w:color w:val="auto"/>
                <w:highlight w:val="none"/>
                <w:u w:val="single"/>
                <w:lang w:val="en-US" w:eastAsia="zh-CN"/>
              </w:rPr>
              <w:t>14</w:t>
            </w:r>
            <w:r>
              <w:rPr>
                <w:rFonts w:hint="eastAsia" w:ascii="Calibri" w:hAnsi="Calibri" w:cs="Times New Roman"/>
                <w:color w:val="auto"/>
                <w:highlight w:val="none"/>
              </w:rPr>
              <w:t>时</w:t>
            </w:r>
            <w:r>
              <w:rPr>
                <w:rFonts w:hint="eastAsia" w:ascii="Calibri" w:hAnsi="Calibri" w:cs="Times New Roman"/>
                <w:color w:val="auto"/>
                <w:highlight w:val="none"/>
                <w:lang w:val="en-US" w:eastAsia="zh-CN"/>
              </w:rPr>
              <w:t>0</w:t>
            </w:r>
            <w:r>
              <w:rPr>
                <w:rFonts w:hint="eastAsia" w:ascii="Calibri" w:hAnsi="Calibri" w:cs="Times New Roman"/>
                <w:color w:val="auto"/>
                <w:highlight w:val="none"/>
              </w:rPr>
              <w:t>0分之</w:t>
            </w:r>
            <w:r>
              <w:rPr>
                <w:rFonts w:hint="eastAsia" w:ascii="Calibri" w:hAnsi="Calibri" w:cs="Times New Roman"/>
                <w:highlight w:val="none"/>
              </w:rPr>
              <w:t>前将电子谈判响应文件上传到</w:t>
            </w:r>
            <w:r>
              <w:rPr>
                <w:rFonts w:hint="eastAsia" w:ascii="宋体" w:hAnsi="宋体" w:cs="宋体"/>
                <w:szCs w:val="21"/>
                <w:highlight w:val="none"/>
              </w:rPr>
              <w:t>广西政府采购云</w:t>
            </w:r>
            <w:r>
              <w:rPr>
                <w:rFonts w:hint="eastAsia" w:ascii="Calibri" w:hAnsi="Calibri" w:cs="Times New Roman"/>
                <w:highlight w:val="none"/>
              </w:rPr>
              <w:t>平台。应按照本项目谈判文件和</w:t>
            </w:r>
            <w:r>
              <w:rPr>
                <w:rFonts w:hint="eastAsia" w:ascii="宋体" w:hAnsi="宋体" w:cs="宋体"/>
                <w:szCs w:val="21"/>
                <w:highlight w:val="none"/>
              </w:rPr>
              <w:t>广西政府采购云</w:t>
            </w:r>
            <w:r>
              <w:rPr>
                <w:rFonts w:hint="eastAsia" w:ascii="Calibri" w:hAnsi="Calibri" w:cs="Times New Roman"/>
                <w:highlight w:val="none"/>
              </w:rPr>
              <w:t>平台的要求编制、加密传输谈判响应文件。供应商在使用系统进行投标的过程中遇到涉及平台使用的任何问题，可致电</w:t>
            </w:r>
            <w:r>
              <w:rPr>
                <w:rFonts w:hint="eastAsia" w:ascii="宋体" w:hAnsi="宋体" w:cs="宋体"/>
                <w:szCs w:val="21"/>
                <w:highlight w:val="none"/>
              </w:rPr>
              <w:t>广西政府采购云</w:t>
            </w:r>
            <w:r>
              <w:rPr>
                <w:rFonts w:hint="eastAsia" w:ascii="Calibri" w:hAnsi="Calibri" w:cs="Times New Roman"/>
                <w:highlight w:val="none"/>
              </w:rPr>
              <w:t>平台技术支持热线咨询，联系方式：95763。</w:t>
            </w:r>
          </w:p>
        </w:tc>
      </w:tr>
      <w:tr w14:paraId="7654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48BEE3D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19</w:t>
            </w:r>
          </w:p>
        </w:tc>
        <w:tc>
          <w:tcPr>
            <w:tcW w:w="8724" w:type="dxa"/>
            <w:noWrap w:val="0"/>
            <w:vAlign w:val="center"/>
          </w:tcPr>
          <w:p w14:paraId="26B77178">
            <w:pPr>
              <w:keepNext w:val="0"/>
              <w:keepLines w:val="0"/>
              <w:suppressLineNumbers w:val="0"/>
              <w:spacing w:before="0" w:beforeAutospacing="0" w:after="0" w:afterAutospacing="0" w:line="360" w:lineRule="auto"/>
              <w:ind w:left="0" w:right="0"/>
              <w:rPr>
                <w:rFonts w:hint="eastAsia" w:ascii="Calibri" w:hAnsi="Calibri" w:cs="Times New Roman"/>
                <w:color w:val="auto"/>
                <w:highlight w:val="none"/>
              </w:rPr>
            </w:pPr>
            <w:r>
              <w:rPr>
                <w:rFonts w:hint="eastAsia" w:ascii="Calibri" w:hAnsi="Calibri" w:cs="Times New Roman"/>
                <w:color w:val="auto"/>
                <w:highlight w:val="none"/>
              </w:rPr>
              <w:t>本项目不接受电子备份响应文件。</w:t>
            </w:r>
          </w:p>
        </w:tc>
      </w:tr>
      <w:tr w14:paraId="4C16E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03D549A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20.1</w:t>
            </w:r>
          </w:p>
        </w:tc>
        <w:tc>
          <w:tcPr>
            <w:tcW w:w="8724" w:type="dxa"/>
            <w:noWrap w:val="0"/>
            <w:vAlign w:val="center"/>
          </w:tcPr>
          <w:p w14:paraId="071E11D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首次响应文件提交起止时间：详见竞争性谈判公告。</w:t>
            </w:r>
          </w:p>
          <w:p w14:paraId="2E35DE6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首次响应文件提交截止时间：详见竞争性谈判公告。</w:t>
            </w:r>
          </w:p>
          <w:p w14:paraId="5800C23A">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rPr>
            </w:pPr>
            <w:r>
              <w:rPr>
                <w:rFonts w:hint="eastAsia" w:ascii="宋体" w:hAnsi="宋体" w:cs="宋体"/>
                <w:szCs w:val="21"/>
                <w:highlight w:val="none"/>
              </w:rPr>
              <w:t>首次响应文件提交地点：</w:t>
            </w:r>
            <w:r>
              <w:rPr>
                <w:rFonts w:hint="eastAsia" w:ascii="宋体" w:hAnsi="宋体" w:cs="Times New Roman"/>
                <w:szCs w:val="21"/>
                <w:highlight w:val="none"/>
              </w:rPr>
              <w:t>本</w:t>
            </w:r>
            <w:r>
              <w:rPr>
                <w:rFonts w:hint="eastAsia" w:ascii="宋体" w:hAnsi="宋体" w:cs="宋体"/>
                <w:bCs/>
                <w:kern w:val="0"/>
                <w:szCs w:val="21"/>
                <w:highlight w:val="none"/>
              </w:rPr>
              <w:t>项目为全流程电子化项目，申请人需要提交电子响应文件，电子响应文件必须用数字证书 CA 锁加密后在响应文件提交截止时间前，通过网络上传至 “</w:t>
            </w:r>
            <w:r>
              <w:rPr>
                <w:rFonts w:hint="eastAsia" w:ascii="宋体" w:hAnsi="宋体" w:cs="宋体"/>
                <w:szCs w:val="21"/>
                <w:highlight w:val="none"/>
              </w:rPr>
              <w:t>广西政府采购云</w:t>
            </w:r>
            <w:r>
              <w:rPr>
                <w:rFonts w:hint="eastAsia" w:ascii="宋体" w:hAnsi="宋体" w:cs="宋体"/>
                <w:bCs/>
                <w:kern w:val="0"/>
                <w:szCs w:val="21"/>
                <w:highlight w:val="none"/>
              </w:rPr>
              <w:t>” 平台</w:t>
            </w:r>
            <w:r>
              <w:rPr>
                <w:rFonts w:hint="eastAsia" w:ascii="宋体" w:hAnsi="宋体" w:cs="宋体"/>
                <w:szCs w:val="21"/>
                <w:highlight w:val="none"/>
              </w:rPr>
              <w:t>。</w:t>
            </w:r>
          </w:p>
        </w:tc>
      </w:tr>
      <w:tr w14:paraId="28B48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137A8A8">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24.1</w:t>
            </w:r>
          </w:p>
        </w:tc>
        <w:tc>
          <w:tcPr>
            <w:tcW w:w="8724" w:type="dxa"/>
            <w:noWrap w:val="0"/>
            <w:vAlign w:val="center"/>
          </w:tcPr>
          <w:p w14:paraId="54877B1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Cs w:val="21"/>
                <w:highlight w:val="none"/>
                <w:u w:val="single"/>
                <w:lang w:eastAsia="zh-CN"/>
              </w:rPr>
            </w:pPr>
            <w:r>
              <w:rPr>
                <w:rFonts w:hint="eastAsia" w:ascii="宋体" w:hAnsi="宋体" w:cs="宋体"/>
                <w:szCs w:val="21"/>
                <w:highlight w:val="none"/>
              </w:rPr>
              <w:t>谈判小组的人数：</w:t>
            </w:r>
            <w:r>
              <w:rPr>
                <w:rFonts w:hint="eastAsia" w:ascii="宋体" w:hAnsi="宋体" w:cs="宋体"/>
                <w:szCs w:val="21"/>
                <w:highlight w:val="none"/>
                <w:u w:val="single"/>
              </w:rPr>
              <w:t>3</w:t>
            </w:r>
            <w:r>
              <w:rPr>
                <w:rFonts w:hint="eastAsia" w:ascii="宋体" w:hAnsi="宋体" w:cs="宋体"/>
                <w:szCs w:val="21"/>
                <w:highlight w:val="none"/>
              </w:rPr>
              <w:t>人</w:t>
            </w:r>
            <w:r>
              <w:rPr>
                <w:rFonts w:hint="eastAsia" w:ascii="宋体" w:hAnsi="宋体" w:cs="宋体"/>
                <w:szCs w:val="21"/>
                <w:highlight w:val="none"/>
                <w:lang w:eastAsia="zh-CN"/>
              </w:rPr>
              <w:t>，</w:t>
            </w:r>
            <w:r>
              <w:rPr>
                <w:rFonts w:hint="eastAsia" w:ascii="宋体" w:hAnsi="宋体"/>
                <w:color w:val="auto"/>
                <w:szCs w:val="21"/>
                <w:highlight w:val="none"/>
              </w:rPr>
              <w:t>其中采购人代表</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人</w:t>
            </w:r>
            <w:r>
              <w:rPr>
                <w:rFonts w:hint="eastAsia" w:ascii="宋体" w:hAnsi="宋体"/>
                <w:color w:val="auto"/>
                <w:szCs w:val="21"/>
                <w:highlight w:val="none"/>
                <w:lang w:eastAsia="zh-CN"/>
              </w:rPr>
              <w:t>。</w:t>
            </w:r>
          </w:p>
        </w:tc>
      </w:tr>
      <w:tr w14:paraId="4592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6B2C8EED">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highlight w:val="none"/>
              </w:rPr>
            </w:pPr>
            <w:r>
              <w:rPr>
                <w:rFonts w:hint="eastAsia" w:ascii="Calibri" w:hAnsi="Calibri" w:cs="Times New Roman"/>
                <w:highlight w:val="none"/>
              </w:rPr>
              <w:t>25</w:t>
            </w:r>
          </w:p>
        </w:tc>
        <w:tc>
          <w:tcPr>
            <w:tcW w:w="8724" w:type="dxa"/>
            <w:noWrap w:val="0"/>
            <w:vAlign w:val="center"/>
          </w:tcPr>
          <w:p w14:paraId="1406560B">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首次响应文件开启时间详见“竞争性谈判公告”</w:t>
            </w:r>
          </w:p>
          <w:p w14:paraId="55318CF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首次响应文件解密时间：30分钟。</w:t>
            </w:r>
          </w:p>
        </w:tc>
      </w:tr>
      <w:tr w14:paraId="3CCB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20" w:type="dxa"/>
            <w:vMerge w:val="restart"/>
            <w:noWrap w:val="0"/>
            <w:vAlign w:val="center"/>
          </w:tcPr>
          <w:p w14:paraId="3F731ED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default" w:ascii="宋体" w:hAnsi="宋体" w:cs="宋体"/>
                <w:color w:val="auto"/>
                <w:szCs w:val="21"/>
                <w:highlight w:val="none"/>
              </w:rPr>
              <w:t>26</w:t>
            </w:r>
          </w:p>
        </w:tc>
        <w:tc>
          <w:tcPr>
            <w:tcW w:w="8724" w:type="dxa"/>
            <w:noWrap w:val="0"/>
            <w:vAlign w:val="center"/>
          </w:tcPr>
          <w:p w14:paraId="5B972EB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63D2F35">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647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vMerge w:val="continue"/>
            <w:noWrap w:val="0"/>
            <w:vAlign w:val="center"/>
          </w:tcPr>
          <w:p w14:paraId="2E6AFEC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724" w:type="dxa"/>
            <w:noWrap w:val="0"/>
            <w:vAlign w:val="center"/>
          </w:tcPr>
          <w:p w14:paraId="6832094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谈判的顺序：</w:t>
            </w:r>
          </w:p>
          <w:p w14:paraId="37E8ACC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☑提交响应文件的先后顺序。通知谈判时，若某供应商不在通知现场时（该供应商排序到最后谈判），按照签到的顺序由其下一位供应商先参与谈判。 </w:t>
            </w:r>
          </w:p>
          <w:p w14:paraId="4742A9C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□随机排序。</w:t>
            </w:r>
          </w:p>
        </w:tc>
      </w:tr>
      <w:tr w14:paraId="6D2E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vMerge w:val="continue"/>
            <w:noWrap w:val="0"/>
            <w:vAlign w:val="center"/>
          </w:tcPr>
          <w:p w14:paraId="7B587BA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724" w:type="dxa"/>
            <w:noWrap w:val="0"/>
            <w:vAlign w:val="center"/>
          </w:tcPr>
          <w:p w14:paraId="7203AF3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14:paraId="2DFF9F0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依次按节能、环保产品累计金额高的优先、带“▲”的实质性要求正偏离项数多的优先、均无正偏离或者正偏离项数一致时负偏离项数少的优先、质量保证期长优先、交货期短优先、故障响应时间短优先的顺序排列。</w:t>
            </w:r>
          </w:p>
          <w:p w14:paraId="465A852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019C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67F6E8E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28.1</w:t>
            </w:r>
          </w:p>
        </w:tc>
        <w:tc>
          <w:tcPr>
            <w:tcW w:w="8724" w:type="dxa"/>
            <w:noWrap w:val="0"/>
            <w:vAlign w:val="center"/>
          </w:tcPr>
          <w:p w14:paraId="548D33CA">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Calibri" w:hAnsi="Calibri" w:cs="Times New Roman"/>
                <w:color w:val="000000"/>
                <w:highlight w:val="none"/>
              </w:rPr>
            </w:pPr>
            <w:r>
              <w:rPr>
                <w:rFonts w:hint="eastAsia" w:ascii="Calibri" w:hAnsi="Calibri" w:cs="Times New Roman"/>
                <w:highlight w:val="none"/>
              </w:rPr>
              <w:sym w:font="Wingdings 2" w:char="0052"/>
            </w:r>
            <w:r>
              <w:rPr>
                <w:rFonts w:hint="eastAsia" w:ascii="Calibri" w:hAnsi="Calibri" w:cs="Times New Roman"/>
                <w:highlight w:val="none"/>
              </w:rPr>
              <w:t>本项目不收取履约保证金。</w:t>
            </w:r>
          </w:p>
        </w:tc>
      </w:tr>
      <w:tr w14:paraId="4BB6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F14BA4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29</w:t>
            </w:r>
            <w:r>
              <w:rPr>
                <w:rFonts w:hint="eastAsia" w:ascii="宋体" w:hAnsi="宋体" w:cs="宋体"/>
                <w:szCs w:val="21"/>
                <w:highlight w:val="none"/>
              </w:rPr>
              <w:t>.1</w:t>
            </w:r>
          </w:p>
        </w:tc>
        <w:tc>
          <w:tcPr>
            <w:tcW w:w="8724" w:type="dxa"/>
            <w:noWrap w:val="0"/>
            <w:vAlign w:val="center"/>
          </w:tcPr>
          <w:p w14:paraId="6328CB27">
            <w:pPr>
              <w:keepNext w:val="0"/>
              <w:keepLines w:val="0"/>
              <w:suppressLineNumbers w:val="0"/>
              <w:snapToGrid w:val="0"/>
              <w:spacing w:before="0" w:beforeAutospacing="0" w:after="0" w:afterAutospacing="0" w:line="360" w:lineRule="auto"/>
              <w:ind w:left="0"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使用有效CA证书加盖单位电子公章。</w:t>
            </w:r>
          </w:p>
        </w:tc>
      </w:tr>
      <w:tr w14:paraId="429D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6CB4472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0</w:t>
            </w:r>
          </w:p>
        </w:tc>
        <w:tc>
          <w:tcPr>
            <w:tcW w:w="8724" w:type="dxa"/>
            <w:noWrap w:val="0"/>
            <w:vAlign w:val="center"/>
          </w:tcPr>
          <w:p w14:paraId="19B7C2E6">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政府采购合同公告。</w:t>
            </w:r>
          </w:p>
          <w:p w14:paraId="58722997">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528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65A9AF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1.2</w:t>
            </w:r>
          </w:p>
        </w:tc>
        <w:tc>
          <w:tcPr>
            <w:tcW w:w="8724" w:type="dxa"/>
            <w:noWrap w:val="0"/>
            <w:vAlign w:val="center"/>
          </w:tcPr>
          <w:p w14:paraId="45F5DB6F">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接收质疑函方式：以书面形式。</w:t>
            </w:r>
          </w:p>
          <w:p w14:paraId="611DB70D">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质疑联系部门及联系方式：</w:t>
            </w:r>
            <w:r>
              <w:rPr>
                <w:rFonts w:hint="eastAsia" w:hAnsi="宋体" w:cs="宋体"/>
                <w:kern w:val="2"/>
                <w:sz w:val="21"/>
                <w:highlight w:val="none"/>
                <w:u w:val="single"/>
              </w:rPr>
              <w:t>罗城仫佬族自治县人民政府采购中心</w:t>
            </w:r>
            <w:r>
              <w:rPr>
                <w:rFonts w:hint="eastAsia" w:hAnsi="宋体" w:cs="宋体"/>
                <w:kern w:val="2"/>
                <w:sz w:val="21"/>
                <w:highlight w:val="none"/>
              </w:rPr>
              <w:t>，联系电话：0778-8223188，通讯地址：罗城仫佬族自治县大数据发展局综合楼（仫佬家园大门东面200米）五楼</w:t>
            </w:r>
          </w:p>
          <w:p w14:paraId="6075BFE8">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sz w:val="21"/>
                <w:highlight w:val="none"/>
              </w:rPr>
              <w:t>业务时间：每天上午8时00分到12时00分，下午</w:t>
            </w:r>
            <w:r>
              <w:rPr>
                <w:rFonts w:hint="default" w:hAnsi="宋体" w:cs="宋体"/>
                <w:sz w:val="21"/>
                <w:highlight w:val="none"/>
              </w:rPr>
              <w:t>3</w:t>
            </w:r>
            <w:r>
              <w:rPr>
                <w:rFonts w:hint="eastAsia" w:hAnsi="宋体" w:cs="宋体"/>
                <w:sz w:val="21"/>
                <w:highlight w:val="none"/>
              </w:rPr>
              <w:t>时00分到</w:t>
            </w:r>
            <w:r>
              <w:rPr>
                <w:rFonts w:hint="default" w:hAnsi="宋体" w:cs="宋体"/>
                <w:sz w:val="21"/>
                <w:highlight w:val="none"/>
              </w:rPr>
              <w:t>6</w:t>
            </w:r>
            <w:r>
              <w:rPr>
                <w:rFonts w:hint="eastAsia" w:hAnsi="宋体" w:cs="宋体"/>
                <w:sz w:val="21"/>
                <w:highlight w:val="none"/>
              </w:rPr>
              <w:t>时 00分，双休日和法定节假日不办理业务。</w:t>
            </w:r>
          </w:p>
        </w:tc>
      </w:tr>
      <w:tr w14:paraId="46EA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26FA60C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2</w:t>
            </w:r>
            <w:r>
              <w:rPr>
                <w:rFonts w:hint="eastAsia" w:ascii="宋体" w:hAnsi="宋体" w:cs="宋体"/>
                <w:szCs w:val="21"/>
                <w:highlight w:val="none"/>
              </w:rPr>
              <w:t>.1</w:t>
            </w:r>
          </w:p>
        </w:tc>
        <w:tc>
          <w:tcPr>
            <w:tcW w:w="8724" w:type="dxa"/>
            <w:noWrap w:val="0"/>
            <w:vAlign w:val="center"/>
          </w:tcPr>
          <w:p w14:paraId="1151132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1.采购代理费支付方式：</w:t>
            </w:r>
          </w:p>
          <w:p w14:paraId="5DB7F614">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u w:val="single"/>
              </w:rPr>
            </w:pPr>
            <w:r>
              <w:rPr>
                <w:rFonts w:hint="eastAsia" w:hAnsi="宋体" w:cs="宋体"/>
                <w:sz w:val="21"/>
                <w:highlight w:val="none"/>
              </w:rPr>
              <w:t>罗城仫佬族自治县人民政府采购中心代理的所有政府采购项目均不收取代理服务费。</w:t>
            </w:r>
          </w:p>
        </w:tc>
      </w:tr>
      <w:tr w14:paraId="174E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036C96C6">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3.1</w:t>
            </w:r>
          </w:p>
        </w:tc>
        <w:tc>
          <w:tcPr>
            <w:tcW w:w="8724" w:type="dxa"/>
            <w:noWrap w:val="0"/>
            <w:vAlign w:val="center"/>
          </w:tcPr>
          <w:p w14:paraId="5D6786C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解释：</w:t>
            </w:r>
            <w:r>
              <w:rPr>
                <w:rFonts w:hint="default" w:hAnsi="宋体" w:cs="宋体"/>
                <w:sz w:val="21"/>
                <w:highlight w:val="none"/>
              </w:rPr>
              <w:t>构成本</w:t>
            </w:r>
            <w:r>
              <w:rPr>
                <w:rFonts w:hint="eastAsia" w:hAnsi="宋体" w:cs="宋体"/>
                <w:sz w:val="21"/>
                <w:highlight w:val="none"/>
              </w:rPr>
              <w:t>竞争性谈判</w:t>
            </w:r>
            <w:r>
              <w:rPr>
                <w:rFonts w:hint="default" w:hAnsi="宋体" w:cs="宋体"/>
                <w:sz w:val="21"/>
                <w:highlight w:val="none"/>
              </w:rPr>
              <w:t>文件的各个组成文件应互为解释，互为说明；除</w:t>
            </w:r>
            <w:r>
              <w:rPr>
                <w:rFonts w:hint="eastAsia" w:hAnsi="宋体" w:cs="宋体"/>
                <w:sz w:val="21"/>
                <w:highlight w:val="none"/>
              </w:rPr>
              <w:t>竞争性谈判</w:t>
            </w:r>
            <w:r>
              <w:rPr>
                <w:rFonts w:hint="default" w:hAnsi="宋体" w:cs="宋体"/>
                <w:sz w:val="21"/>
                <w:highlight w:val="none"/>
              </w:rPr>
              <w:t>文件中有特别规定外，仅适用于</w:t>
            </w:r>
            <w:r>
              <w:rPr>
                <w:rFonts w:hint="eastAsia" w:hAnsi="宋体" w:cs="宋体"/>
                <w:sz w:val="21"/>
                <w:highlight w:val="none"/>
              </w:rPr>
              <w:t>竞标</w:t>
            </w:r>
            <w:r>
              <w:rPr>
                <w:rFonts w:hint="default" w:hAnsi="宋体" w:cs="宋体"/>
                <w:sz w:val="21"/>
                <w:highlight w:val="none"/>
              </w:rPr>
              <w:t>阶段的规定，按</w:t>
            </w:r>
            <w:r>
              <w:rPr>
                <w:rFonts w:hint="eastAsia" w:hAnsi="宋体" w:cs="宋体"/>
                <w:sz w:val="21"/>
                <w:highlight w:val="none"/>
              </w:rPr>
              <w:t>更正公告（澄清公告）</w:t>
            </w:r>
            <w:r>
              <w:rPr>
                <w:rFonts w:hint="default" w:hAnsi="宋体" w:cs="宋体"/>
                <w:sz w:val="21"/>
                <w:highlight w:val="none"/>
              </w:rPr>
              <w:t>、</w:t>
            </w:r>
            <w:r>
              <w:rPr>
                <w:rFonts w:hint="eastAsia" w:hAnsi="宋体" w:cs="宋体"/>
                <w:sz w:val="21"/>
                <w:highlight w:val="none"/>
              </w:rPr>
              <w:t>竞争性谈判</w:t>
            </w:r>
            <w:r>
              <w:rPr>
                <w:rFonts w:hint="default" w:hAnsi="宋体" w:cs="宋体"/>
                <w:sz w:val="21"/>
                <w:highlight w:val="none"/>
              </w:rPr>
              <w:t>公告、</w:t>
            </w:r>
            <w:r>
              <w:rPr>
                <w:rFonts w:hint="eastAsia" w:hAnsi="宋体" w:cs="宋体"/>
                <w:sz w:val="21"/>
                <w:highlight w:val="none"/>
              </w:rPr>
              <w:t>供应商</w:t>
            </w:r>
            <w:r>
              <w:rPr>
                <w:rFonts w:hint="default" w:hAnsi="宋体" w:cs="宋体"/>
                <w:sz w:val="21"/>
                <w:highlight w:val="none"/>
              </w:rPr>
              <w:t>须知</w:t>
            </w:r>
            <w:r>
              <w:rPr>
                <w:rFonts w:hint="eastAsia" w:hAnsi="宋体" w:cs="宋体"/>
                <w:sz w:val="21"/>
                <w:highlight w:val="none"/>
              </w:rPr>
              <w:t>、采购需求</w:t>
            </w:r>
            <w:r>
              <w:rPr>
                <w:rFonts w:hint="default" w:hAnsi="宋体" w:cs="宋体"/>
                <w:sz w:val="21"/>
                <w:highlight w:val="none"/>
              </w:rPr>
              <w:t>、</w:t>
            </w:r>
            <w:r>
              <w:rPr>
                <w:rFonts w:hint="eastAsia" w:hAnsi="宋体" w:cs="宋体"/>
                <w:sz w:val="21"/>
                <w:highlight w:val="none"/>
              </w:rPr>
              <w:t>评审程序和评定成交的标准</w:t>
            </w:r>
            <w:r>
              <w:rPr>
                <w:rFonts w:hint="default" w:hAnsi="宋体" w:cs="宋体"/>
                <w:sz w:val="21"/>
                <w:highlight w:val="none"/>
              </w:rPr>
              <w:t>、</w:t>
            </w:r>
            <w:r>
              <w:rPr>
                <w:rFonts w:hint="eastAsia" w:hAnsi="宋体" w:cs="宋体"/>
                <w:sz w:val="21"/>
                <w:highlight w:val="none"/>
              </w:rPr>
              <w:t>响应</w:t>
            </w:r>
            <w:r>
              <w:rPr>
                <w:rFonts w:hint="default" w:hAnsi="宋体" w:cs="宋体"/>
                <w:sz w:val="21"/>
                <w:highlight w:val="none"/>
              </w:rPr>
              <w:t>文件格式</w:t>
            </w:r>
            <w:r>
              <w:rPr>
                <w:rFonts w:hint="eastAsia" w:hAnsi="宋体" w:cs="宋体"/>
                <w:sz w:val="21"/>
                <w:highlight w:val="none"/>
              </w:rPr>
              <w:t>、合同文本</w:t>
            </w:r>
            <w:r>
              <w:rPr>
                <w:rFonts w:hint="default" w:hAnsi="宋体" w:cs="宋体"/>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sz w:val="21"/>
                <w:highlight w:val="none"/>
              </w:rPr>
              <w:t>更正公告（澄清公告）</w:t>
            </w:r>
            <w:r>
              <w:rPr>
                <w:rFonts w:hint="default" w:hAnsi="宋体" w:cs="宋体"/>
                <w:sz w:val="21"/>
                <w:highlight w:val="none"/>
              </w:rPr>
              <w:t>与同步更新的</w:t>
            </w:r>
            <w:r>
              <w:rPr>
                <w:rFonts w:hint="eastAsia" w:hAnsi="宋体" w:cs="宋体"/>
                <w:sz w:val="21"/>
                <w:highlight w:val="none"/>
              </w:rPr>
              <w:t>竞争性谈判</w:t>
            </w:r>
            <w:r>
              <w:rPr>
                <w:rFonts w:hint="default" w:hAnsi="宋体" w:cs="宋体"/>
                <w:sz w:val="21"/>
                <w:highlight w:val="none"/>
              </w:rPr>
              <w:t>文件不一致时以</w:t>
            </w:r>
            <w:r>
              <w:rPr>
                <w:rFonts w:hint="eastAsia" w:hAnsi="宋体" w:cs="宋体"/>
                <w:sz w:val="21"/>
                <w:highlight w:val="none"/>
              </w:rPr>
              <w:t>更正公告（澄清公告）</w:t>
            </w:r>
            <w:r>
              <w:rPr>
                <w:rFonts w:hint="default" w:hAnsi="宋体" w:cs="宋体"/>
                <w:sz w:val="21"/>
                <w:highlight w:val="none"/>
              </w:rPr>
              <w:t>为准。按本款前述规定仍不能形成结论的，由</w:t>
            </w:r>
            <w:r>
              <w:rPr>
                <w:rFonts w:hint="eastAsia" w:hAnsi="宋体" w:cs="宋体"/>
                <w:sz w:val="21"/>
                <w:highlight w:val="none"/>
              </w:rPr>
              <w:t>采购</w:t>
            </w:r>
            <w:r>
              <w:rPr>
                <w:rFonts w:hint="default" w:hAnsi="宋体" w:cs="宋体"/>
                <w:sz w:val="21"/>
                <w:highlight w:val="none"/>
              </w:rPr>
              <w:t>人</w:t>
            </w:r>
            <w:r>
              <w:rPr>
                <w:rFonts w:hint="eastAsia" w:hAnsi="宋体" w:cs="宋体"/>
                <w:sz w:val="21"/>
                <w:highlight w:val="none"/>
              </w:rPr>
              <w:t>或者采购代理机构</w:t>
            </w:r>
            <w:r>
              <w:rPr>
                <w:rFonts w:hint="default" w:hAnsi="宋体" w:cs="宋体"/>
                <w:sz w:val="21"/>
                <w:highlight w:val="none"/>
              </w:rPr>
              <w:t>负责解释。</w:t>
            </w:r>
          </w:p>
        </w:tc>
      </w:tr>
      <w:tr w14:paraId="01E4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23E213E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3.2</w:t>
            </w:r>
          </w:p>
        </w:tc>
        <w:tc>
          <w:tcPr>
            <w:tcW w:w="8724" w:type="dxa"/>
            <w:noWrap w:val="0"/>
            <w:vAlign w:val="center"/>
          </w:tcPr>
          <w:p w14:paraId="68E3623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5E78221">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2.本谈判文件所称的“电子签章”、“电子签名”，是指经“广西政府采购云”平台认可的CA 认证的电子签名数据为表现形式的印章，可用于签署电子响应文件，电子印章与实物印章具有同等法律效力，不因其采用电子化表现形式而否定其法律效力。</w:t>
            </w:r>
          </w:p>
          <w:p w14:paraId="3A65A4F5">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 18 岁以上成年人（十六周岁以上的未成年人，以自己的劳动收入为主要生活来源的，视为完全民事行为能力人）。</w:t>
            </w:r>
          </w:p>
          <w:p w14:paraId="23ABF391">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2F1DDAB3">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5.本谈判文件所称的“以上”“以下”“以内”“届满”，包括本数；所称的“不满”</w:t>
            </w:r>
          </w:p>
          <w:p w14:paraId="5BCCA8C5">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“超过”“以外”，不包括本数。</w:t>
            </w:r>
          </w:p>
        </w:tc>
      </w:tr>
    </w:tbl>
    <w:p w14:paraId="3F125C09">
      <w:pPr>
        <w:spacing w:line="400" w:lineRule="exact"/>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14:paraId="1377EAA4">
      <w:pPr>
        <w:spacing w:line="400" w:lineRule="exact"/>
        <w:jc w:val="center"/>
        <w:rPr>
          <w:rFonts w:hint="eastAsia" w:ascii="宋体" w:hAnsi="宋体"/>
          <w:b/>
          <w:sz w:val="32"/>
          <w:szCs w:val="32"/>
          <w:highlight w:val="none"/>
        </w:rPr>
      </w:pPr>
    </w:p>
    <w:p w14:paraId="604AA610">
      <w:pPr>
        <w:spacing w:line="400" w:lineRule="exact"/>
        <w:jc w:val="center"/>
        <w:rPr>
          <w:rFonts w:hint="eastAsia" w:ascii="宋体" w:hAnsi="宋体"/>
          <w:b/>
          <w:sz w:val="32"/>
          <w:szCs w:val="32"/>
          <w:highlight w:val="none"/>
        </w:rPr>
      </w:pPr>
      <w:r>
        <w:rPr>
          <w:rFonts w:hint="eastAsia" w:ascii="宋体" w:hAnsi="宋体"/>
          <w:b/>
          <w:sz w:val="32"/>
          <w:szCs w:val="32"/>
          <w:highlight w:val="none"/>
        </w:rPr>
        <w:t>一、总则</w:t>
      </w:r>
    </w:p>
    <w:p w14:paraId="778CED9D">
      <w:pPr>
        <w:spacing w:line="400" w:lineRule="exact"/>
        <w:rPr>
          <w:rFonts w:hint="eastAsia" w:ascii="宋体" w:hAnsi="宋体"/>
          <w:szCs w:val="21"/>
          <w:highlight w:val="none"/>
        </w:rPr>
      </w:pPr>
    </w:p>
    <w:p w14:paraId="4412034D">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 适用范围</w:t>
      </w:r>
    </w:p>
    <w:p w14:paraId="1E43451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91F9BF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本竞争性谈判文件适用于本项目的所有采购程序和环节（法律、法规另有规定的，从其规定）。</w:t>
      </w:r>
    </w:p>
    <w:p w14:paraId="2BD3D03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 定义</w:t>
      </w:r>
    </w:p>
    <w:p w14:paraId="6455D5C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2.1“采购人”是指依法进行采购的国家机关、事业单位、团体组织。</w:t>
      </w:r>
    </w:p>
    <w:p w14:paraId="04E27160">
      <w:pPr>
        <w:spacing w:line="360" w:lineRule="auto"/>
        <w:ind w:firstLine="420" w:firstLineChars="200"/>
        <w:rPr>
          <w:rFonts w:hint="eastAsia" w:ascii="宋体" w:hAnsi="宋体"/>
          <w:b/>
          <w:szCs w:val="21"/>
          <w:highlight w:val="none"/>
        </w:rPr>
      </w:pPr>
      <w:r>
        <w:rPr>
          <w:rFonts w:hint="eastAsia" w:ascii="宋体" w:hAnsi="宋体" w:cs="宋体"/>
          <w:szCs w:val="21"/>
          <w:highlight w:val="none"/>
        </w:rPr>
        <w:t>2.2“采购代理机构”</w:t>
      </w:r>
      <w:r>
        <w:rPr>
          <w:rFonts w:hint="eastAsia" w:ascii="宋体" w:hAnsi="宋体"/>
          <w:b/>
          <w:szCs w:val="21"/>
          <w:highlight w:val="none"/>
        </w:rPr>
        <w:t>是指政府采购集中采购机构和集中采购机构以外的采购代理机构。</w:t>
      </w:r>
    </w:p>
    <w:p w14:paraId="46AB531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 或者自然人。</w:t>
      </w:r>
    </w:p>
    <w:p w14:paraId="5E490C6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2.4“货物”是指各种形态和种类的物品，包括原材料、燃料、设备、产品等。</w:t>
      </w:r>
    </w:p>
    <w:p w14:paraId="0BB6492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2.5“配套（售后）服务” 是指包含但不限于供应商须承担的备品备件、包装、运输、装卸、保险、货到就位以及安装、调试、培训、保修和其他类似的义务。</w:t>
      </w:r>
    </w:p>
    <w:p w14:paraId="02844A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14:paraId="6B5CE7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是指：供应商根据本文件要求，编制包含报价、技术和服务等所有内容的文件。</w:t>
      </w:r>
    </w:p>
    <w:p w14:paraId="563734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“实质性要求”是指采购需求中带“▲”的条款或者不能负偏离的条款或者已经指明不满足按响应文件作无效处理的条款。</w:t>
      </w:r>
    </w:p>
    <w:p w14:paraId="4FDF205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445FC2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2.10 “允许负偏离的条款”是指采购需求中的不属于“实质性要求”的条款。</w:t>
      </w:r>
    </w:p>
    <w:p w14:paraId="700C67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2.11响应文件对竞争性谈判文件中的实质性要求必须作出无偏离或者正偏离响应，实质性要求不允许负偏离。</w:t>
      </w:r>
    </w:p>
    <w:p w14:paraId="3AB0E7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2.12技术参数或者配置缺项漏项的，或者商务条款未承诺的视同为该项负偏离。</w:t>
      </w:r>
    </w:p>
    <w:p w14:paraId="2712AED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2.13“竞标”是指供应商获取竞争性谈判文件、提交响应文件并希望获得标的的行为。</w:t>
      </w:r>
    </w:p>
    <w:p w14:paraId="2686AE8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2.14“首次报价”是指供应商提交的首次响应文件中的竞标报价。</w:t>
      </w:r>
    </w:p>
    <w:p w14:paraId="04E8C1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2.15“评审价”是指供应商提交的最后报价并经修正和政策功能价格扣除后的价格。</w:t>
      </w:r>
    </w:p>
    <w:p w14:paraId="48020D3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 供应商的资格条件：详见“供应商须知前附表”。</w:t>
      </w:r>
    </w:p>
    <w:p w14:paraId="19B33E7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 竞标费用</w:t>
      </w:r>
    </w:p>
    <w:p w14:paraId="0643DC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14:paraId="6120707F">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5.联合体竞标</w:t>
      </w:r>
    </w:p>
    <w:p w14:paraId="5D774A7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14:paraId="7B9D02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cs="宋体"/>
          <w:szCs w:val="21"/>
          <w:highlight w:val="none"/>
          <w:lang w:val="en-US" w:eastAsia="zh-CN"/>
        </w:rPr>
        <w:t>如接受联合体竞标，</w:t>
      </w:r>
      <w:r>
        <w:rPr>
          <w:rFonts w:hint="eastAsia" w:ascii="宋体" w:hAnsi="宋体" w:cs="宋体"/>
          <w:szCs w:val="21"/>
          <w:highlight w:val="none"/>
        </w:rPr>
        <w:t>联合体竞标要求，详见“供应商须知前附表”。</w:t>
      </w:r>
    </w:p>
    <w:p w14:paraId="304F29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rPr>
        <w:t>根据《政府采购促进中小企业发展管理办法》（财库</w:t>
      </w:r>
      <w:r>
        <w:rPr>
          <w:rFonts w:hint="eastAsia" w:ascii="宋体" w:hAnsi="宋体"/>
          <w:bCs/>
          <w:color w:val="auto"/>
          <w:szCs w:val="21"/>
          <w:lang w:eastAsia="zh-CN"/>
        </w:rPr>
        <w:t>〔2020〕46号</w:t>
      </w:r>
      <w:r>
        <w:rPr>
          <w:rFonts w:hint="eastAsia" w:ascii="宋体" w:hAnsi="宋体"/>
          <w:bCs/>
          <w:color w:val="auto"/>
          <w:szCs w:val="21"/>
        </w:rPr>
        <w:t>）第九条及《广西壮族自治区财政厅关于进一步发挥政府采购政策功能促进企业发展的通知》（桂财采〔2022〕30号）、</w:t>
      </w:r>
      <w:r>
        <w:rPr>
          <w:rFonts w:hint="eastAsia"/>
          <w:color w:val="auto"/>
        </w:rPr>
        <w:t>《广西壮族自治区财政厅关于贯彻落实政府采购支持中小企业发展政策的通知》（桂财采〔2022〕31号）</w:t>
      </w:r>
      <w:r>
        <w:rPr>
          <w:rFonts w:hint="eastAsia" w:ascii="宋体" w:hAnsi="宋体"/>
          <w:bCs/>
          <w:color w:val="auto"/>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7CD872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 xml:space="preserve">6.转包与分包             </w:t>
      </w:r>
    </w:p>
    <w:p w14:paraId="478CE2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6.1本项目是否允许分包详见“供应商须知前附表”，本项目不允许违法分包。</w:t>
      </w:r>
    </w:p>
    <w:p w14:paraId="0D5746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w:t>
      </w:r>
      <w:r>
        <w:rPr>
          <w:rFonts w:hint="eastAsia" w:ascii="宋体" w:hAnsi="宋体"/>
          <w:bCs/>
          <w:color w:val="auto"/>
          <w:szCs w:val="21"/>
        </w:rPr>
        <w:t>根据《政府采购促进中小企业发展</w:t>
      </w:r>
      <w:r>
        <w:rPr>
          <w:rFonts w:hint="eastAsia"/>
          <w:color w:val="auto"/>
        </w:rPr>
        <w:t>管理</w:t>
      </w:r>
      <w:r>
        <w:rPr>
          <w:rFonts w:hint="eastAsia" w:ascii="宋体" w:hAnsi="宋体"/>
          <w:bCs/>
          <w:color w:val="auto"/>
          <w:szCs w:val="21"/>
        </w:rPr>
        <w:t>办法》（财库</w:t>
      </w:r>
      <w:r>
        <w:rPr>
          <w:rFonts w:hint="eastAsia" w:ascii="宋体" w:hAnsi="宋体"/>
          <w:bCs/>
          <w:color w:val="auto"/>
          <w:szCs w:val="21"/>
          <w:lang w:eastAsia="zh-CN"/>
        </w:rPr>
        <w:t>〔2020〕46号</w:t>
      </w:r>
      <w:r>
        <w:rPr>
          <w:rFonts w:hint="eastAsia" w:ascii="宋体" w:hAnsi="宋体"/>
          <w:bCs/>
          <w:color w:val="auto"/>
          <w:szCs w:val="21"/>
        </w:rPr>
        <w:t>）第九条及《广西壮族自治区财政厅关于进一步发挥政府采购政策功能促进企业发展的通知》（桂财采〔2022〕30号</w:t>
      </w:r>
      <w:r>
        <w:rPr>
          <w:rFonts w:hint="eastAsia" w:ascii="仿宋_GB2312" w:hAnsi="Calibri" w:eastAsia="仿宋_GB2312"/>
          <w:color w:val="auto"/>
          <w:sz w:val="24"/>
        </w:rPr>
        <w:t>）、</w:t>
      </w:r>
      <w:r>
        <w:rPr>
          <w:rFonts w:hint="eastAsia"/>
          <w:color w:val="auto"/>
        </w:rPr>
        <w:t>《广西壮族自治区财政厅关于贯彻落实政府采购支持中小企业发展政策的通知》（桂财采〔2022〕31号）</w:t>
      </w:r>
      <w:r>
        <w:rPr>
          <w:rFonts w:hint="eastAsia" w:ascii="宋体" w:hAnsi="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6960AF7">
      <w:pPr>
        <w:pStyle w:val="18"/>
        <w:rPr>
          <w:rFonts w:hint="eastAsia"/>
        </w:rPr>
      </w:pPr>
    </w:p>
    <w:p w14:paraId="3453EB1D">
      <w:pPr>
        <w:spacing w:line="360" w:lineRule="auto"/>
        <w:ind w:firstLine="482" w:firstLineChars="200"/>
        <w:rPr>
          <w:rFonts w:hint="eastAsia" w:ascii="黑体" w:hAnsi="黑体" w:eastAsia="黑体" w:cs="宋体"/>
          <w:b/>
          <w:bCs/>
          <w:sz w:val="24"/>
          <w:highlight w:val="none"/>
        </w:rPr>
      </w:pPr>
      <w:bookmarkStart w:id="39" w:name="_Toc254970673"/>
      <w:bookmarkStart w:id="40" w:name="_Toc254970532"/>
      <w:r>
        <w:rPr>
          <w:rFonts w:hint="eastAsia" w:ascii="黑体" w:hAnsi="黑体" w:eastAsia="黑体" w:cs="宋体"/>
          <w:b/>
          <w:bCs/>
          <w:sz w:val="24"/>
          <w:highlight w:val="none"/>
        </w:rPr>
        <w:t>7.特别说明</w:t>
      </w:r>
      <w:bookmarkEnd w:id="39"/>
      <w:bookmarkEnd w:id="40"/>
    </w:p>
    <w:p w14:paraId="25EA4ED5">
      <w:pPr>
        <w:spacing w:line="360" w:lineRule="auto"/>
        <w:ind w:firstLine="420" w:firstLineChars="200"/>
        <w:rPr>
          <w:rFonts w:hint="eastAsia" w:ascii="宋体" w:hAnsi="宋体" w:cs="宋体"/>
          <w:szCs w:val="21"/>
          <w:highlight w:val="none"/>
        </w:rPr>
      </w:pPr>
      <w:bookmarkStart w:id="41" w:name="_8.1提供相同品牌产品且通过资格审查、符合性审查的不同投标人参加同一合"/>
      <w:bookmarkEnd w:id="41"/>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"_8.1" </w:instrText>
      </w:r>
      <w:r>
        <w:rPr>
          <w:rFonts w:hint="eastAsia" w:ascii="宋体" w:hAnsi="宋体" w:cs="宋体"/>
          <w:szCs w:val="21"/>
          <w:highlight w:val="none"/>
        </w:rPr>
        <w:fldChar w:fldCharType="separate"/>
      </w:r>
      <w:r>
        <w:rPr>
          <w:rFonts w:hint="eastAsia" w:ascii="宋体" w:hAnsi="宋体" w:cs="宋体"/>
          <w:szCs w:val="21"/>
          <w:highlight w:val="none"/>
        </w:rPr>
        <w:t>7.1</w:t>
      </w:r>
      <w:r>
        <w:rPr>
          <w:rFonts w:hint="eastAsia" w:ascii="宋体" w:hAnsi="宋体" w:cs="宋体"/>
          <w:szCs w:val="21"/>
          <w:highlight w:val="none"/>
        </w:rPr>
        <w:fldChar w:fldCharType="end"/>
      </w:r>
      <w:r>
        <w:rPr>
          <w:rFonts w:hint="eastAsia" w:ascii="宋体" w:hAnsi="宋体" w:cs="宋体"/>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2E2ED53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非单一产品采购项目，多家供应商提供的核心产品品牌相同的，按前款规定处理。</w:t>
      </w:r>
    </w:p>
    <w:p w14:paraId="295205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w:t>
      </w:r>
      <w:r>
        <w:rPr>
          <w:rFonts w:hint="eastAsia" w:ascii="宋体" w:hAnsi="宋体"/>
          <w:szCs w:val="21"/>
          <w:highlight w:val="none"/>
        </w:rPr>
        <w:t xml:space="preserve">如果本竞争性谈判文件要求提供供应商或制造商的资格、信誉、荣誉、业绩与企业认证等材料的，资格、信誉、荣誉、业绩与企业认证等必须为供应商或者制造商所拥有或自身获得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p w14:paraId="0A2833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7.3供应商应仔细阅读竞争性谈判文件的所有内容，按照竞争性谈判文件的要求提交响应文件，并对所提供的全部资料的真实性承担法律责任。</w:t>
      </w:r>
    </w:p>
    <w:p w14:paraId="16CBA19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9AC6D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7.5在政府采购活动中，采购人员及相关人员与供应商有下列利害关系之一的，应当回避：</w:t>
      </w:r>
    </w:p>
    <w:p w14:paraId="61B8C35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（1）参加采购活动前3年内与供应商存在劳动关系；</w:t>
      </w:r>
    </w:p>
    <w:p w14:paraId="62F46E2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（2）参加采购活动前3年内担任供应商的董事、监事；</w:t>
      </w:r>
    </w:p>
    <w:p w14:paraId="5D7082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52E436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595EF8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686834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F09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w:t>
      </w:r>
      <w:r>
        <w:rPr>
          <w:rFonts w:hint="eastAsia" w:ascii="宋体" w:hAnsi="宋体" w:cs="宋体"/>
          <w:color w:val="auto"/>
          <w:szCs w:val="21"/>
        </w:rPr>
        <w:t>有下列情形之一的，响应文件将被视为无效：</w:t>
      </w:r>
    </w:p>
    <w:p w14:paraId="0598F834">
      <w:pPr>
        <w:spacing w:line="360" w:lineRule="auto"/>
        <w:ind w:firstLine="420" w:firstLineChars="200"/>
        <w:rPr>
          <w:rFonts w:hint="eastAsia" w:ascii="宋体" w:hAnsi="宋体" w:eastAsia="宋体" w:cs="宋体"/>
          <w:color w:val="auto"/>
          <w:szCs w:val="21"/>
          <w:highlight w:val="none"/>
          <w:lang w:eastAsia="zh-CN"/>
        </w:rPr>
      </w:pPr>
      <w:bookmarkStart w:id="42" w:name="OLE_LINK36"/>
      <w:r>
        <w:rPr>
          <w:rFonts w:hint="eastAsia" w:ascii="宋体" w:hAnsi="宋体" w:cs="宋体"/>
          <w:color w:val="auto"/>
          <w:szCs w:val="21"/>
          <w:highlight w:val="none"/>
        </w:rPr>
        <w:t>（1）不同供应商的响应文件由同一单位或者个人编制；</w:t>
      </w:r>
      <w:r>
        <w:rPr>
          <w:rFonts w:hint="eastAsia" w:ascii="宋体" w:hAnsi="宋体" w:cs="宋体"/>
          <w:color w:val="auto"/>
          <w:szCs w:val="21"/>
        </w:rPr>
        <w:t>或者不同供应商报名的IP地址一致的；或者编制响应文件硬件设备CPU编号、硬盘编号、网卡地址一致的情况。</w:t>
      </w:r>
      <w:r>
        <w:rPr>
          <w:rFonts w:hint="eastAsia" w:hAnsi="宋体"/>
          <w:b/>
          <w:color w:val="auto"/>
        </w:rPr>
        <w:t>（供应商IP地址、硬件设备</w:t>
      </w:r>
      <w:r>
        <w:rPr>
          <w:rFonts w:hAnsi="宋体"/>
          <w:b/>
          <w:color w:val="auto"/>
        </w:rPr>
        <w:t>CPU</w:t>
      </w:r>
      <w:r>
        <w:rPr>
          <w:rFonts w:hint="eastAsia" w:hAnsi="宋体"/>
          <w:b/>
          <w:color w:val="auto"/>
        </w:rPr>
        <w:t>编号、硬盘编号、网卡地址等数据相似异常以广西政府采购云平台解密文件后信息提示为准）</w:t>
      </w:r>
      <w:r>
        <w:rPr>
          <w:rFonts w:hint="eastAsia" w:hAnsi="宋体"/>
          <w:b/>
          <w:color w:val="auto"/>
          <w:lang w:eastAsia="zh-CN"/>
        </w:rPr>
        <w:t>。</w:t>
      </w:r>
    </w:p>
    <w:bookmarkEnd w:id="42"/>
    <w:p w14:paraId="4BA4EC2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（2）不同供应商委托同一单位或者个人办理竞标事宜；</w:t>
      </w:r>
    </w:p>
    <w:p w14:paraId="79FC713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A0F52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7368831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（5）不同供应商的响应文件相互混装；</w:t>
      </w:r>
    </w:p>
    <w:p w14:paraId="52C58A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（6）不同供应商的竞标保证金从同一单位或者个人账户转出。</w:t>
      </w:r>
    </w:p>
    <w:p w14:paraId="741180C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7.7供应商有下列情形之一的，属于恶意串通行为</w:t>
      </w:r>
      <w:bookmarkStart w:id="43" w:name="_Hlk54682620"/>
      <w:r>
        <w:rPr>
          <w:rFonts w:hint="eastAsia" w:ascii="宋体" w:hAnsi="宋体" w:cs="宋体"/>
          <w:szCs w:val="21"/>
          <w:highlight w:val="none"/>
        </w:rPr>
        <w:t>，将报同级监督管理部门</w:t>
      </w:r>
      <w:bookmarkEnd w:id="43"/>
      <w:r>
        <w:rPr>
          <w:rFonts w:hint="eastAsia" w:ascii="宋体" w:hAnsi="宋体" w:cs="宋体"/>
          <w:szCs w:val="21"/>
          <w:highlight w:val="none"/>
        </w:rPr>
        <w:t>：</w:t>
      </w:r>
    </w:p>
    <w:p w14:paraId="1FC032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229EA7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6AB62C7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6CEFAA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6B12C4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3D61DBB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31EAB7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01EBE9BA">
      <w:pPr>
        <w:spacing w:line="360" w:lineRule="auto"/>
        <w:ind w:left="1" w:firstLine="417" w:firstLineChars="199"/>
        <w:jc w:val="center"/>
        <w:rPr>
          <w:rFonts w:hint="eastAsia" w:ascii="宋体" w:hAnsi="宋体"/>
          <w:highlight w:val="none"/>
        </w:rPr>
      </w:pPr>
      <w:bookmarkStart w:id="44" w:name="_Toc254970534"/>
      <w:bookmarkStart w:id="45" w:name="_Toc254970675"/>
    </w:p>
    <w:p w14:paraId="4E741F67">
      <w:pPr>
        <w:spacing w:line="360" w:lineRule="auto"/>
        <w:jc w:val="center"/>
        <w:rPr>
          <w:rFonts w:hint="eastAsia" w:ascii="宋体" w:hAnsi="宋体"/>
          <w:szCs w:val="21"/>
          <w:highlight w:val="none"/>
        </w:rPr>
      </w:pPr>
      <w:r>
        <w:rPr>
          <w:rFonts w:hint="eastAsia" w:ascii="宋体" w:hAnsi="宋体"/>
          <w:b/>
          <w:sz w:val="32"/>
          <w:szCs w:val="32"/>
          <w:highlight w:val="none"/>
        </w:rPr>
        <w:t>二、竞争性谈判文件</w:t>
      </w:r>
      <w:bookmarkEnd w:id="44"/>
      <w:bookmarkEnd w:id="45"/>
    </w:p>
    <w:p w14:paraId="3D6B622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8.竞争性谈判文件的构成</w:t>
      </w:r>
    </w:p>
    <w:p w14:paraId="564FAA7F">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（1）竞争性谈判公告</w:t>
      </w:r>
    </w:p>
    <w:p w14:paraId="399ABF0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（2）供应商须知； </w:t>
      </w:r>
    </w:p>
    <w:p w14:paraId="053FACC5">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（3）采购需求；</w:t>
      </w:r>
    </w:p>
    <w:p w14:paraId="5E8807CB">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（4）响应文件格式</w:t>
      </w:r>
    </w:p>
    <w:p w14:paraId="38FB0650">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（5）合同文本；</w:t>
      </w:r>
    </w:p>
    <w:p w14:paraId="7CCB6E3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（6）评审程序和评定成交的标准；</w:t>
      </w:r>
    </w:p>
    <w:p w14:paraId="5DBBDC1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9.供应商的询问</w:t>
      </w:r>
    </w:p>
    <w:p w14:paraId="01E9139F">
      <w:pPr>
        <w:spacing w:line="360" w:lineRule="auto"/>
        <w:ind w:firstLine="420" w:firstLineChars="200"/>
        <w:rPr>
          <w:rFonts w:hint="eastAsia" w:ascii="宋体" w:hAnsi="宋体"/>
          <w:szCs w:val="21"/>
          <w:highlight w:val="none"/>
        </w:rPr>
      </w:pPr>
      <w:r>
        <w:rPr>
          <w:rFonts w:hint="eastAsia" w:ascii="宋体" w:hAnsi="宋体"/>
          <w:szCs w:val="21"/>
          <w:highlight w:val="none"/>
        </w:rPr>
        <w:t>供应商应认真阅读谈判文件的采购需求，如供应商对竞争性谈判文件有疑问的，如要求采购人作出澄清或者修改的，供应商尽可能在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14:paraId="7BD6927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10.竞争性谈判文件的澄清和修改</w:t>
      </w:r>
    </w:p>
    <w:p w14:paraId="7006B532">
      <w:pPr>
        <w:spacing w:line="360" w:lineRule="auto"/>
        <w:ind w:firstLine="420" w:firstLineChars="200"/>
        <w:rPr>
          <w:rFonts w:hint="eastAsia" w:ascii="宋体" w:hAnsi="宋体"/>
          <w:szCs w:val="21"/>
          <w:highlight w:val="none"/>
        </w:rPr>
      </w:pPr>
      <w:r>
        <w:rPr>
          <w:rFonts w:ascii="宋体" w:hAnsi="宋体"/>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w:t>
      </w:r>
      <w:r>
        <w:rPr>
          <w:rFonts w:hint="eastAsia" w:ascii="宋体" w:hAnsi="宋体"/>
          <w:szCs w:val="21"/>
          <w:highlight w:val="none"/>
        </w:rPr>
        <w:t>澄清或者更正公告在原公告发布媒体上发布，一经发布，视作已以书面形式通知所有获取竞争性谈判文件的潜在供应商，不再另行通知，所有潜在供应商应密切关注原竞争性谈判公告发布媒体，因未能及时获知，由此产生的后果均应自行承担。</w:t>
      </w:r>
      <w:r>
        <w:rPr>
          <w:rFonts w:ascii="宋体" w:hAnsi="宋体"/>
          <w:szCs w:val="21"/>
          <w:highlight w:val="none"/>
        </w:rPr>
        <w:t>不足3个工作日的，应当顺延提交首次响应文件截止之日。</w:t>
      </w:r>
    </w:p>
    <w:p w14:paraId="000FBF99">
      <w:pPr>
        <w:spacing w:line="360" w:lineRule="auto"/>
        <w:rPr>
          <w:rFonts w:hint="eastAsia" w:ascii="宋体" w:hAnsi="宋体"/>
          <w:szCs w:val="21"/>
          <w:highlight w:val="none"/>
        </w:rPr>
      </w:pPr>
    </w:p>
    <w:p w14:paraId="2F282B45">
      <w:pPr>
        <w:spacing w:line="360" w:lineRule="auto"/>
        <w:jc w:val="center"/>
        <w:rPr>
          <w:rFonts w:hint="eastAsia" w:ascii="宋体" w:hAnsi="宋体"/>
          <w:b/>
          <w:szCs w:val="21"/>
          <w:highlight w:val="none"/>
        </w:rPr>
      </w:pPr>
      <w:r>
        <w:rPr>
          <w:rFonts w:hint="eastAsia" w:ascii="宋体" w:hAnsi="宋体"/>
          <w:b/>
          <w:sz w:val="32"/>
          <w:szCs w:val="32"/>
          <w:highlight w:val="none"/>
        </w:rPr>
        <w:t>三、响应文件的编制</w:t>
      </w:r>
    </w:p>
    <w:p w14:paraId="23EA25D8">
      <w:pPr>
        <w:spacing w:line="360" w:lineRule="auto"/>
        <w:rPr>
          <w:rFonts w:hint="eastAsia" w:ascii="宋体" w:hAnsi="宋体"/>
          <w:szCs w:val="21"/>
          <w:highlight w:val="none"/>
        </w:rPr>
      </w:pPr>
    </w:p>
    <w:p w14:paraId="6A536D94">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11.响应文件的编制原则</w:t>
      </w:r>
    </w:p>
    <w:p w14:paraId="77E97B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供应商必须按照竞争性谈判文件的要求编制响应文件，并对其提交的响应文件的真实性、合法性承担法律责任。响应文件必须对竞争性谈判文件作出实质性响应。</w:t>
      </w:r>
    </w:p>
    <w:p w14:paraId="51AA18BF">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14:paraId="7C2C7F7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12.1本项目实行电子竞标，供应商应准备电子加密响应文件： 电子加密响应文件按广西政府采购云平台要求及本竞争性谈判文件要求制作、加密并递交。具体操作流程可参考《政府采购项目电子交易管理操作指南-供应商》，指南可在“广西政府采购云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cs="宋体"/>
          <w:szCs w:val="21"/>
          <w:highlight w:val="none"/>
        </w:rPr>
        <w:t>服务中心-帮助文档-最新指南”下载。 电子备份响应文件系上传广西政府采购云平台的响应文件电子版，按照本竞争性谈判文件要求制作。</w:t>
      </w:r>
    </w:p>
    <w:p w14:paraId="15D740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2响应文件由资格证明文件、报价商务技术文件两部分组成。</w:t>
      </w:r>
    </w:p>
    <w:p w14:paraId="2F08EFFC">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.1</w:t>
      </w:r>
      <w:r>
        <w:rPr>
          <w:rFonts w:hint="eastAsia" w:ascii="宋体" w:hAnsi="宋体" w:cs="宋体"/>
          <w:szCs w:val="21"/>
          <w:highlight w:val="none"/>
        </w:rPr>
        <w:t>资格证明文件：详见须知前附表</w:t>
      </w:r>
    </w:p>
    <w:p w14:paraId="18349BCD">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w:t>
      </w:r>
      <w:r>
        <w:rPr>
          <w:rFonts w:hint="eastAsia" w:ascii="宋体" w:hAnsi="宋体" w:cs="宋体"/>
          <w:szCs w:val="21"/>
          <w:highlight w:val="none"/>
        </w:rPr>
        <w:t>2报价商务技术文件：详见须知前附表</w:t>
      </w:r>
    </w:p>
    <w:p w14:paraId="5B0A6E26">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12.3响应文件电子版：详见须知前附表</w:t>
      </w:r>
    </w:p>
    <w:p w14:paraId="0B19E01B">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13.计量单位</w:t>
      </w:r>
    </w:p>
    <w:p w14:paraId="405BF0A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竞争性谈判文件已有明确规定的，使用竞争性谈判文件规定的计量单位；竞争性谈判文件没有规定的，应采用中华人民共和国法定计量单位，货币种类为人民币，否则视同未响应。</w:t>
      </w:r>
    </w:p>
    <w:p w14:paraId="6B81D32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14.竞标的风险</w:t>
      </w:r>
    </w:p>
    <w:p w14:paraId="4EE0F1F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供应商没有按照竞争性谈判文件要求提供全部资料，或者供应商没有对竞争性谈判文件在各方面作出实质性响应可能导致其响应文件作无效处理，是供应商应当考虑的风险。</w:t>
      </w:r>
    </w:p>
    <w:p w14:paraId="4B94144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15.竞标报价要求和构成</w:t>
      </w:r>
    </w:p>
    <w:p w14:paraId="29DDFED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15.1竞标报价应按竞争性谈判文件中“竞标报价表”格式填写。</w:t>
      </w:r>
    </w:p>
    <w:p w14:paraId="656E5124">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15.2竞标报价的价格构成见“供应商须知前附表”。</w:t>
      </w:r>
    </w:p>
    <w:p w14:paraId="590F25AC">
      <w:pPr>
        <w:spacing w:line="360" w:lineRule="auto"/>
        <w:ind w:left="426" w:leftChars="203"/>
        <w:rPr>
          <w:rFonts w:hint="eastAsia" w:ascii="宋体" w:hAnsi="宋体" w:cs="宋体"/>
          <w:szCs w:val="21"/>
          <w:highlight w:val="none"/>
        </w:rPr>
      </w:pPr>
      <w:r>
        <w:rPr>
          <w:rFonts w:hint="eastAsia" w:ascii="宋体" w:hAnsi="宋体" w:cs="宋体"/>
          <w:szCs w:val="21"/>
          <w:highlight w:val="none"/>
        </w:rPr>
        <w:t>15.3竞标报价要求</w:t>
      </w:r>
    </w:p>
    <w:p w14:paraId="76F8B203">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14:paraId="440CC00C">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0E9FF6D6">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14:paraId="02DF142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竞标报价（包含首次报价、最后报价）超过所竞标分标规定的采购预算金额或者最高限价的，其响应文件将作无效处理。</w:t>
      </w:r>
    </w:p>
    <w:p w14:paraId="22805B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r>
        <w:rPr>
          <w:rFonts w:hint="eastAsia" w:ascii="宋体" w:hAnsi="宋体" w:cs="宋体"/>
          <w:szCs w:val="21"/>
          <w:highlight w:val="none"/>
        </w:rPr>
        <w:t>竞标报价（包含首次报价、最后报价）超过分项采购预算金额或者最高限价的，其响应文件将作无效处理。</w:t>
      </w:r>
    </w:p>
    <w:p w14:paraId="4E463924">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16.竞标有效期</w:t>
      </w:r>
    </w:p>
    <w:p w14:paraId="648E06D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3EC71A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6F7A373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14:paraId="588A3952">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17.竞标保证金：无</w:t>
      </w:r>
    </w:p>
    <w:p w14:paraId="61C12E3B">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18. 响应文件编制的要求</w:t>
      </w:r>
    </w:p>
    <w:p w14:paraId="161BC41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供应商应先安装“广西政府采购云电子交易客户端”（请自行前往“广西政府采购云”平台进行下载），并按照本项目谈判文件规定的格式、顺序和“广西政府采购云”平台的要求编制并加密。响应文件内容不完整、编排混乱导致响应文件被误读、漏读或者查找不到相关内容的，由此引发的后果由供应商承担。</w:t>
      </w:r>
    </w:p>
    <w:p w14:paraId="245D17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0258F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 响应文件须由供应商在规定位置签字、盖章（具体以供应商须知前附表或响应文件格式规定为准），否则按无效响应处理。</w:t>
      </w:r>
    </w:p>
    <w:p w14:paraId="472E48B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687E9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B7DF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18.6电子响应文件中须加盖供应商公章部分均采用 CA 签章，并根据“政府采购项目电子交易管理操作指南-供应商” 及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14:paraId="5EDCFF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18.7 CA 签章上关于法人（负责人）或授权代表签字信息，供应商在响应文件中涉及到签字的位置线下【签好字然后扫描或者拍照做成 PDF 的格式】或【通过广西政府采购云电子交易客户端使用 CA 法人（负责人）或授权代表签章】亦可。响应文件中涉及到签字的位置未按要求签字的，提供的材料视为无效。</w:t>
      </w:r>
    </w:p>
    <w:p w14:paraId="459B7A28">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19.电子备份响应文件</w:t>
      </w:r>
    </w:p>
    <w:p w14:paraId="6A6E0AE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电子备份响应文件是指通过“广西政府采购云电子投标客户端”在线编制生成且后缀名为“bfbs”的文件，是否接受电子备份响应文件详见在“供应商须知前附表”。</w:t>
      </w:r>
    </w:p>
    <w:p w14:paraId="54BCF98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潜在投标人出现通过“广西政府采购云平台”上传递交的“电子加密投标文件”无法按时解密或解密不成功的情况，请与项目归属监督部门备案后通过邮件或者其他方式提交电子备份文件，经项目归属监督部门备案后可电联代理机构：0778-8223188进行电子备份文件上传。</w:t>
      </w:r>
    </w:p>
    <w:p w14:paraId="79901CC7">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20.响应文件的提交</w:t>
      </w:r>
    </w:p>
    <w:p w14:paraId="13A228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p>
    <w:p w14:paraId="1F410ED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20.2 未在规定时间内提交或者未按照谈判文件要求加密的电子响应文件，“广西政府采购云”平台将拒收。</w:t>
      </w:r>
    </w:p>
    <w:p w14:paraId="693E4FD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14:paraId="3B0112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 “电子投标文件制作与投送教程”）</w:t>
      </w:r>
    </w:p>
    <w:p w14:paraId="11B6F5F7">
      <w:pPr>
        <w:spacing w:line="360" w:lineRule="auto"/>
        <w:ind w:firstLine="420" w:firstLineChars="200"/>
        <w:rPr>
          <w:rFonts w:hint="eastAsia" w:ascii="宋体" w:hAnsi="宋体" w:cs="宋体"/>
          <w:szCs w:val="21"/>
          <w:highlight w:val="none"/>
        </w:rPr>
      </w:pPr>
      <w:r>
        <w:rPr>
          <w:rFonts w:hint="eastAsia"/>
          <w:highlight w:val="none"/>
        </w:rPr>
        <w:t xml:space="preserve">21.2 </w:t>
      </w:r>
      <w:r>
        <w:rPr>
          <w:rFonts w:hint="eastAsia" w:ascii="宋体" w:hAnsi="宋体" w:cs="宋体"/>
          <w:szCs w:val="21"/>
          <w:highlight w:val="none"/>
        </w:rPr>
        <w:t>在提交响应文件截止时间前，除供应商补充、修改或者撤回响应文件外，任何单位和个人不得解密或提取响应文件。</w:t>
      </w:r>
    </w:p>
    <w:p w14:paraId="7E50141A">
      <w:pPr>
        <w:pStyle w:val="34"/>
        <w:ind w:firstLine="422" w:firstLineChars="200"/>
        <w:rPr>
          <w:rFonts w:hint="eastAsia" w:ascii="宋体" w:hAnsi="宋体" w:cs="宋体"/>
          <w:b/>
          <w:spacing w:val="0"/>
          <w:kern w:val="2"/>
          <w:sz w:val="21"/>
          <w:szCs w:val="21"/>
          <w:highlight w:val="none"/>
        </w:rPr>
      </w:pPr>
      <w:r>
        <w:rPr>
          <w:rFonts w:hint="eastAsia" w:ascii="宋体" w:hAnsi="宋体" w:cs="宋体"/>
          <w:b/>
          <w:spacing w:val="0"/>
          <w:kern w:val="2"/>
          <w:sz w:val="21"/>
          <w:szCs w:val="21"/>
          <w:highlight w:val="none"/>
        </w:rPr>
        <w:t xml:space="preserve">22.响应文件的退回 </w:t>
      </w:r>
    </w:p>
    <w:p w14:paraId="524518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采购人和采购代理机构对已提交的响应文件概不退回。</w:t>
      </w:r>
    </w:p>
    <w:p w14:paraId="63E1C3CB">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23.截止时间后的撤回 </w:t>
      </w:r>
    </w:p>
    <w:p w14:paraId="35CE294C">
      <w:pPr>
        <w:spacing w:line="360" w:lineRule="auto"/>
        <w:ind w:firstLine="420" w:firstLineChars="200"/>
        <w:rPr>
          <w:rFonts w:hint="eastAsia" w:ascii="宋体" w:hAnsi="宋体"/>
          <w:b/>
          <w:sz w:val="32"/>
          <w:szCs w:val="32"/>
          <w:highlight w:val="none"/>
        </w:rPr>
      </w:pPr>
      <w:r>
        <w:rPr>
          <w:rFonts w:hint="eastAsia" w:ascii="宋体" w:hAnsi="宋体" w:cs="宋体"/>
          <w:szCs w:val="21"/>
          <w:highlight w:val="none"/>
        </w:rPr>
        <w:t xml:space="preserve">响应文件递交截止时间后递交的响应文件，电子交易平台将拒收。 </w:t>
      </w:r>
    </w:p>
    <w:p w14:paraId="5667E667">
      <w:pPr>
        <w:spacing w:line="360" w:lineRule="auto"/>
        <w:ind w:left="420" w:firstLine="420"/>
        <w:jc w:val="center"/>
        <w:rPr>
          <w:rFonts w:hint="eastAsia" w:ascii="宋体" w:hAnsi="宋体"/>
          <w:b/>
          <w:sz w:val="32"/>
          <w:szCs w:val="32"/>
          <w:highlight w:val="none"/>
        </w:rPr>
      </w:pPr>
      <w:r>
        <w:rPr>
          <w:rFonts w:hint="eastAsia" w:ascii="宋体" w:hAnsi="宋体"/>
          <w:b/>
          <w:sz w:val="32"/>
          <w:szCs w:val="32"/>
          <w:highlight w:val="none"/>
        </w:rPr>
        <w:t>四、评审及谈判</w:t>
      </w:r>
    </w:p>
    <w:p w14:paraId="4D0FA929">
      <w:pPr>
        <w:spacing w:line="360" w:lineRule="auto"/>
        <w:ind w:left="420" w:firstLine="420"/>
        <w:rPr>
          <w:rFonts w:hint="eastAsia" w:ascii="宋体" w:hAnsi="宋体"/>
          <w:szCs w:val="21"/>
          <w:highlight w:val="none"/>
        </w:rPr>
      </w:pPr>
    </w:p>
    <w:p w14:paraId="7094C50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24.谈判小组成立</w:t>
      </w:r>
    </w:p>
    <w:p w14:paraId="6F3FE0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4D791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D1AEB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24.3 采购代理机构应当基于“广西政府采购云”平台抽（选）取评审专家。</w:t>
      </w:r>
    </w:p>
    <w:p w14:paraId="2A1FE96D">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首次响应文件的开启和解密</w:t>
      </w:r>
    </w:p>
    <w:p w14:paraId="04F17D98">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采购代理机构将在“供应商须知前附表”规定的时间通过电子交易平台组织响应文件开启，供应商的法定代表人或其委托代理人须携带加密时所用的 CA 锁，按平台提示和谈判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ascii="宋体" w:hAnsi="宋体" w:cs="宋体"/>
          <w:b/>
          <w:bCs/>
          <w:szCs w:val="21"/>
          <w:highlight w:val="none"/>
        </w:rPr>
        <w:t>供应商未在规定的时间内解密响应文件或者解密失败的，供应商的响应文件作无效处理。</w:t>
      </w:r>
    </w:p>
    <w:p w14:paraId="02DD737F">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6. 评审程序和评定成交的标准</w:t>
      </w:r>
    </w:p>
    <w:p w14:paraId="56D7BC5C">
      <w:pPr>
        <w:spacing w:line="360" w:lineRule="auto"/>
        <w:ind w:firstLine="420" w:firstLineChars="200"/>
        <w:rPr>
          <w:rFonts w:hint="eastAsia" w:ascii="宋体" w:hAnsi="宋体" w:cs="宋体"/>
          <w:b/>
          <w:bCs/>
          <w:szCs w:val="21"/>
          <w:highlight w:val="none"/>
        </w:rPr>
      </w:pPr>
      <w:r>
        <w:rPr>
          <w:rFonts w:hint="eastAsia"/>
          <w:highlight w:val="none"/>
        </w:rPr>
        <w:t>26.1谈判小组按照“第四章  评审程序和评定成交的标准”规定的评审程序对响应文件进行评审，并按照评定成交的标准推荐成交候选供应商。评审价相同时，成交候选供应商推荐顺序见“供应商须知前附表”。</w:t>
      </w:r>
    </w:p>
    <w:p w14:paraId="0CF8E268">
      <w:pPr>
        <w:spacing w:line="360" w:lineRule="auto"/>
        <w:ind w:firstLine="420" w:firstLineChars="200"/>
        <w:rPr>
          <w:rFonts w:hint="eastAsia"/>
          <w:highlight w:val="none"/>
        </w:rPr>
      </w:pPr>
      <w:r>
        <w:rPr>
          <w:rFonts w:hint="eastAsia"/>
          <w:highlight w:val="none"/>
        </w:rPr>
        <w:t>26.2 商务/技术要求允许负偏离的条款数详见“供应商须知前附表”。</w:t>
      </w:r>
    </w:p>
    <w:p w14:paraId="1CE80336">
      <w:pPr>
        <w:spacing w:line="360" w:lineRule="auto"/>
        <w:ind w:firstLine="420" w:firstLineChars="200"/>
        <w:rPr>
          <w:rFonts w:hint="eastAsia"/>
          <w:highlight w:val="none"/>
        </w:rPr>
      </w:pPr>
      <w:r>
        <w:rPr>
          <w:rFonts w:hint="eastAsia"/>
          <w:highlight w:val="none"/>
        </w:rPr>
        <w:t>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A1259A0">
      <w:pPr>
        <w:spacing w:line="360" w:lineRule="auto"/>
        <w:ind w:firstLine="420" w:firstLineChars="200"/>
        <w:rPr>
          <w:rFonts w:hint="eastAsia"/>
          <w:highlight w:val="none"/>
        </w:rPr>
      </w:pPr>
      <w:r>
        <w:rPr>
          <w:rFonts w:hint="eastAsia"/>
          <w:highlight w:val="none"/>
        </w:rPr>
        <w:t>26.4 电子交易活动的中止。采购过程中出现以下情形，导致电子交易平台无法正常运行，或者无法保证电子交易的公平、公正和安全时，采购机构可中止电子交易活动：</w:t>
      </w:r>
    </w:p>
    <w:p w14:paraId="5B0C9F76">
      <w:pPr>
        <w:spacing w:line="360" w:lineRule="auto"/>
        <w:ind w:firstLine="420" w:firstLineChars="200"/>
        <w:rPr>
          <w:rFonts w:hint="eastAsia"/>
          <w:highlight w:val="none"/>
        </w:rPr>
      </w:pPr>
      <w:r>
        <w:rPr>
          <w:rFonts w:hint="eastAsia"/>
          <w:highlight w:val="none"/>
        </w:rPr>
        <w:t>（1）电子交易平台发生故障而无法登录访问的；</w:t>
      </w:r>
    </w:p>
    <w:p w14:paraId="3ECA2E85">
      <w:pPr>
        <w:spacing w:line="360" w:lineRule="auto"/>
        <w:ind w:firstLine="420" w:firstLineChars="200"/>
        <w:rPr>
          <w:rFonts w:hint="eastAsia"/>
          <w:highlight w:val="none"/>
        </w:rPr>
      </w:pPr>
      <w:r>
        <w:rPr>
          <w:rFonts w:hint="eastAsia"/>
          <w:highlight w:val="none"/>
        </w:rPr>
        <w:t>（2）电子交易平台应用或数据库出现错误，不能进行正常操作的；</w:t>
      </w:r>
    </w:p>
    <w:p w14:paraId="6EAD2AB7">
      <w:pPr>
        <w:spacing w:line="360" w:lineRule="auto"/>
        <w:ind w:firstLine="420" w:firstLineChars="200"/>
        <w:rPr>
          <w:rFonts w:hint="eastAsia"/>
          <w:highlight w:val="none"/>
        </w:rPr>
      </w:pPr>
      <w:r>
        <w:rPr>
          <w:rFonts w:hint="eastAsia"/>
          <w:highlight w:val="none"/>
        </w:rPr>
        <w:t>（3）电子交易平台发现严重安全漏洞，有潜在泄密危险的；</w:t>
      </w:r>
    </w:p>
    <w:p w14:paraId="4247C1EA">
      <w:pPr>
        <w:spacing w:line="360" w:lineRule="auto"/>
        <w:ind w:firstLine="420" w:firstLineChars="200"/>
        <w:rPr>
          <w:rFonts w:hint="eastAsia"/>
          <w:highlight w:val="none"/>
        </w:rPr>
      </w:pPr>
      <w:r>
        <w:rPr>
          <w:rFonts w:hint="eastAsia"/>
          <w:highlight w:val="none"/>
        </w:rPr>
        <w:t>（4）病毒发作导致不能进行正常操作的；</w:t>
      </w:r>
    </w:p>
    <w:p w14:paraId="090DE776">
      <w:pPr>
        <w:spacing w:line="360" w:lineRule="auto"/>
        <w:ind w:firstLine="420" w:firstLineChars="200"/>
        <w:rPr>
          <w:rFonts w:hint="eastAsia"/>
          <w:highlight w:val="none"/>
        </w:rPr>
      </w:pPr>
      <w:r>
        <w:rPr>
          <w:rFonts w:hint="eastAsia"/>
          <w:highlight w:val="none"/>
        </w:rPr>
        <w:t>（5）其他无法保证电子交易的公平、公正和安全的情况。</w:t>
      </w:r>
    </w:p>
    <w:p w14:paraId="521EA908">
      <w:pPr>
        <w:spacing w:line="360" w:lineRule="auto"/>
        <w:ind w:firstLine="420" w:firstLineChars="200"/>
        <w:rPr>
          <w:rFonts w:hint="eastAsia"/>
          <w:highlight w:val="none"/>
        </w:rPr>
      </w:pPr>
      <w:r>
        <w:rPr>
          <w:rFonts w:hint="eastAsia"/>
          <w:highlight w:val="none"/>
        </w:rPr>
        <w:t>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E7D8963">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7.确定成交供应商及结果公告</w:t>
      </w:r>
    </w:p>
    <w:p w14:paraId="05C53C16">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7.1</w:t>
      </w:r>
      <w:r>
        <w:rPr>
          <w:rFonts w:hint="eastAsia" w:ascii="宋体" w:hAnsi="宋体" w:cs="宋体"/>
          <w:kern w:val="0"/>
          <w:szCs w:val="21"/>
          <w:highlight w:val="none"/>
        </w:rPr>
        <w:t xml:space="preserve"> 采购</w:t>
      </w:r>
      <w:r>
        <w:rPr>
          <w:rFonts w:hint="eastAsia" w:ascii="宋体" w:hAnsi="宋体" w:cs="宋体"/>
          <w:szCs w:val="21"/>
          <w:highlight w:val="none"/>
        </w:rPr>
        <w:t>代理</w:t>
      </w:r>
      <w:r>
        <w:rPr>
          <w:rFonts w:hint="eastAsia" w:ascii="宋体" w:hAnsi="宋体" w:cs="宋体"/>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F2E4340">
      <w:pPr>
        <w:pStyle w:val="8"/>
        <w:spacing w:line="360" w:lineRule="auto"/>
        <w:ind w:firstLine="420" w:firstLineChars="200"/>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highlight w:val="none"/>
        </w:rPr>
        <w:t>成交供应商享受《政府采购促进中小企业发展管理办法》（财库〔2020〕46号）规定的中小企业扶持政策的，采购人、采购代理机构应当随成交结果公开成交供应商的《中小企业声明函》。</w:t>
      </w:r>
    </w:p>
    <w:p w14:paraId="4123B90B">
      <w:pPr>
        <w:pStyle w:val="8"/>
        <w:spacing w:line="360" w:lineRule="auto"/>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7</w:t>
      </w:r>
      <w:r>
        <w:rPr>
          <w:rFonts w:ascii="宋体" w:hAnsi="宋体"/>
          <w:bCs/>
          <w:szCs w:val="21"/>
          <w:highlight w:val="none"/>
        </w:rPr>
        <w:t>.3</w:t>
      </w:r>
      <w:r>
        <w:rPr>
          <w:rFonts w:hint="eastAsia" w:ascii="宋体" w:hAnsi="宋体" w:cs="宋体"/>
          <w:highlight w:val="none"/>
        </w:rPr>
        <w:t>除</w:t>
      </w:r>
      <w:r>
        <w:rPr>
          <w:rFonts w:hint="eastAsia" w:ascii="宋体" w:hAnsi="宋体" w:cs="宋体"/>
          <w:szCs w:val="21"/>
          <w:highlight w:val="none"/>
        </w:rPr>
        <w:t>“第四章 评审程序和评定成交的标准”第</w:t>
      </w:r>
      <w:r>
        <w:rPr>
          <w:rFonts w:ascii="宋体" w:hAnsi="宋体" w:cs="宋体"/>
          <w:szCs w:val="21"/>
          <w:highlight w:val="none"/>
        </w:rPr>
        <w:t>3</w:t>
      </w:r>
      <w:r>
        <w:rPr>
          <w:rFonts w:hint="eastAsia" w:ascii="宋体" w:hAnsi="宋体" w:cs="宋体"/>
          <w:szCs w:val="21"/>
          <w:highlight w:val="none"/>
        </w:rPr>
        <w:t>.6条规定的情形外</w:t>
      </w:r>
      <w:r>
        <w:rPr>
          <w:rFonts w:hint="eastAsia" w:ascii="宋体" w:hAnsi="宋体" w:cs="宋体"/>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6AB6BB06">
      <w:pPr>
        <w:pStyle w:val="8"/>
        <w:spacing w:line="360" w:lineRule="auto"/>
        <w:ind w:firstLine="420" w:firstLineChars="200"/>
        <w:rPr>
          <w:rFonts w:hint="eastAsia" w:ascii="宋体" w:hAnsi="宋体"/>
          <w:bCs/>
          <w:szCs w:val="21"/>
          <w:highlight w:val="none"/>
        </w:rPr>
      </w:pPr>
      <w:r>
        <w:rPr>
          <w:rFonts w:hint="eastAsia" w:ascii="宋体" w:hAnsi="宋体"/>
          <w:bCs/>
          <w:szCs w:val="21"/>
          <w:highlight w:val="none"/>
        </w:rPr>
        <w:t>27</w:t>
      </w:r>
      <w:r>
        <w:rPr>
          <w:rFonts w:ascii="宋体" w:hAnsi="宋体"/>
          <w:bCs/>
          <w:szCs w:val="21"/>
          <w:highlight w:val="none"/>
        </w:rPr>
        <w:t>.4</w:t>
      </w:r>
      <w:r>
        <w:rPr>
          <w:rFonts w:hint="eastAsia" w:ascii="宋体" w:hAnsi="宋体"/>
          <w:bCs/>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2EA365C">
      <w:pPr>
        <w:spacing w:line="360" w:lineRule="auto"/>
        <w:ind w:firstLine="482" w:firstLineChars="200"/>
        <w:rPr>
          <w:rFonts w:hint="eastAsia" w:ascii="黑体" w:hAnsi="黑体" w:eastAsia="黑体" w:cs="宋体"/>
          <w:b/>
          <w:bCs/>
          <w:color w:val="auto"/>
          <w:sz w:val="24"/>
          <w:highlight w:val="none"/>
          <w:lang w:eastAsia="zh-CN"/>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8.履约保证金</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lang w:val="en-US" w:eastAsia="zh-CN"/>
        </w:rPr>
        <w:t>无</w:t>
      </w:r>
      <w:r>
        <w:rPr>
          <w:rFonts w:hint="eastAsia" w:ascii="黑体" w:hAnsi="黑体" w:eastAsia="黑体" w:cs="宋体"/>
          <w:b/>
          <w:bCs/>
          <w:color w:val="auto"/>
          <w:sz w:val="24"/>
          <w:highlight w:val="none"/>
          <w:lang w:eastAsia="zh-CN"/>
        </w:rPr>
        <w:t>）</w:t>
      </w:r>
    </w:p>
    <w:p w14:paraId="1F94735D">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9.签订合同</w:t>
      </w:r>
    </w:p>
    <w:p w14:paraId="5D83A0E7">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线下签订纸质合同：供应商领取成交通知书后，按“供应商须知前附表”规定向采购人出示相关证明材料，经采购人核验合格后方可签订合同。</w:t>
      </w:r>
    </w:p>
    <w:p w14:paraId="12F7604D">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9.2 签订合同时间：按成交通知书的规定与采购人签订政府采购合同。</w:t>
      </w:r>
    </w:p>
    <w:p w14:paraId="6883D025">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如采购人无正当理由拒签合同的，给成交供应商造成损失的，成交供应商可追究采购人承担相应的法律责任。</w:t>
      </w:r>
    </w:p>
    <w:p w14:paraId="18ADE477">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F7F4F7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29.5 采购人或成交供应商不得单方面向合同另一方提出任何谈判文件没有约定的条件或不合理的要求，作为签订合同的条件；也不得协商另行订立背离谈判文件和合同实质性内容的协议。</w:t>
      </w:r>
    </w:p>
    <w:p w14:paraId="2347379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29.6 如签订合同并生效后，供应商无故拒绝或延期，除按照合同条款处理外，将承担相应的法律责任。</w:t>
      </w:r>
    </w:p>
    <w:p w14:paraId="68C811D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29.7 政府采购合同履行中，采购人需追加与合同标的相同的货物、工程或者服务的，在不改变合同其他条款的前提下，可以与供应商协商签订补充合同，但所有补充合同的采购金额不得超过原合同采购金额的 10%。</w:t>
      </w:r>
    </w:p>
    <w:p w14:paraId="6A0BE2B4">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30.政府采购合同公告</w:t>
      </w:r>
    </w:p>
    <w:p w14:paraId="30BDECB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C09980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31. 询问、质疑和投诉</w:t>
      </w:r>
    </w:p>
    <w:p w14:paraId="1F172263">
      <w:pPr>
        <w:spacing w:line="360" w:lineRule="auto"/>
        <w:ind w:firstLine="420" w:firstLineChars="200"/>
        <w:rPr>
          <w:rFonts w:hint="eastAsia"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04E3D805">
      <w:pPr>
        <w:spacing w:line="360" w:lineRule="auto"/>
        <w:ind w:firstLine="420" w:firstLineChars="200"/>
        <w:rPr>
          <w:rFonts w:hint="eastAsia" w:ascii="宋体" w:hAnsi="宋体" w:cs="宋体"/>
          <w:highlight w:val="none"/>
        </w:rPr>
      </w:pPr>
      <w:r>
        <w:rPr>
          <w:rFonts w:hint="eastAsia" w:ascii="宋体" w:hAnsi="宋体" w:cs="宋体"/>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highlight w:val="none"/>
          <w:shd w:val="clear" w:color="auto" w:fill="FFFFFF"/>
        </w:rPr>
        <w:t>接收质疑函的方式、联系部门、联系电话和通讯地址等信息</w:t>
      </w:r>
      <w:r>
        <w:rPr>
          <w:rFonts w:hint="eastAsia" w:ascii="Arial" w:hAnsi="Arial" w:cs="Arial"/>
          <w:highlight w:val="none"/>
          <w:shd w:val="clear" w:color="auto" w:fill="FFFFFF"/>
        </w:rPr>
        <w:t>详见本须知前附表</w:t>
      </w:r>
      <w:r>
        <w:rPr>
          <w:rFonts w:hint="eastAsia" w:ascii="宋体" w:hAnsi="宋体" w:cs="宋体"/>
          <w:highlight w:val="none"/>
        </w:rPr>
        <w:t>。具体质疑起算时间如下：</w:t>
      </w:r>
    </w:p>
    <w:p w14:paraId="4011F67B">
      <w:pPr>
        <w:spacing w:line="360" w:lineRule="auto"/>
        <w:ind w:firstLine="420" w:firstLineChars="200"/>
        <w:rPr>
          <w:rFonts w:hint="eastAsia" w:ascii="宋体" w:hAnsi="宋体" w:cs="宋体"/>
          <w:highlight w:val="none"/>
        </w:rPr>
      </w:pPr>
      <w:r>
        <w:rPr>
          <w:rFonts w:hint="eastAsia" w:ascii="宋体" w:hAnsi="宋体" w:cs="宋体"/>
          <w:highlight w:val="none"/>
        </w:rPr>
        <w:t>（1）对可以质疑的谈判文件提出质疑的，为获取谈判文件之日；</w:t>
      </w:r>
    </w:p>
    <w:p w14:paraId="1A3B9B07">
      <w:pPr>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14:paraId="59A99988">
      <w:pPr>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14:paraId="7885B52D">
      <w:pPr>
        <w:spacing w:line="360" w:lineRule="auto"/>
        <w:ind w:firstLine="420" w:firstLineChars="200"/>
        <w:rPr>
          <w:rFonts w:hint="eastAsia"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D2E91F4">
      <w:pPr>
        <w:spacing w:line="360" w:lineRule="auto"/>
        <w:ind w:firstLine="420" w:firstLineChars="200"/>
        <w:rPr>
          <w:rFonts w:hint="eastAsia" w:ascii="宋体" w:hAnsi="宋体" w:cs="宋体"/>
          <w:highlight w:val="none"/>
        </w:rPr>
      </w:pPr>
      <w:r>
        <w:rPr>
          <w:rFonts w:hint="eastAsia" w:ascii="宋体" w:hAnsi="宋体" w:cs="宋体"/>
          <w:highlight w:val="none"/>
        </w:rPr>
        <w:t>31.4供应商提出质疑应当提交质疑函和必要的证明材料，针对同一采购程序环节的质疑必须在法定质疑期内一次性提出。质疑函应当包括下列内容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14:paraId="145D3699">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14:paraId="14C961E9">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14:paraId="5789A6DB">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14:paraId="5803D39B">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14:paraId="21682437">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14:paraId="5CD2D67D">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14:paraId="0F136120">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46CBBD80">
      <w:pPr>
        <w:spacing w:line="360" w:lineRule="auto"/>
        <w:ind w:firstLine="420" w:firstLineChars="200"/>
        <w:rPr>
          <w:rFonts w:hint="eastAsia" w:ascii="宋体" w:hAnsi="宋体" w:cs="宋体"/>
          <w:highlight w:val="none"/>
        </w:rPr>
      </w:pPr>
      <w:r>
        <w:rPr>
          <w:rFonts w:hint="eastAsia" w:ascii="宋体" w:hAnsi="宋体" w:cs="宋体"/>
          <w:highlight w:val="none"/>
        </w:rPr>
        <w:t>31</w:t>
      </w:r>
      <w:r>
        <w:rPr>
          <w:rFonts w:ascii="宋体" w:hAnsi="宋体" w:cs="宋体"/>
          <w:highlight w:val="none"/>
        </w:rPr>
        <w:t>.5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14:paraId="5517873F">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593BC5F6">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475D4DB5">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C9D11C8">
      <w:pPr>
        <w:spacing w:line="360" w:lineRule="auto"/>
        <w:ind w:firstLine="420" w:firstLineChars="200"/>
        <w:rPr>
          <w:rFonts w:ascii="宋体" w:hAnsi="宋体" w:cs="宋体"/>
          <w:b/>
          <w:bCs/>
          <w:szCs w:val="21"/>
          <w:highlight w:val="none"/>
        </w:rPr>
      </w:pPr>
      <w:r>
        <w:rPr>
          <w:rFonts w:hint="eastAsia" w:ascii="宋体" w:hAnsi="宋体" w:cs="宋体"/>
          <w:highlight w:val="none"/>
        </w:rPr>
        <w:t>31.</w:t>
      </w:r>
      <w:r>
        <w:rPr>
          <w:rFonts w:ascii="宋体" w:hAnsi="宋体" w:cs="宋体"/>
          <w:highlight w:val="none"/>
        </w:rPr>
        <w:t>6</w:t>
      </w:r>
      <w:r>
        <w:rPr>
          <w:rFonts w:hint="eastAsia" w:ascii="宋体" w:hAnsi="宋体" w:cs="宋体"/>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3515E8">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32</w:t>
      </w:r>
      <w:r>
        <w:rPr>
          <w:rFonts w:ascii="黑体" w:hAnsi="黑体" w:eastAsia="黑体" w:cs="宋体"/>
          <w:b/>
          <w:bCs/>
          <w:sz w:val="24"/>
          <w:highlight w:val="none"/>
        </w:rPr>
        <w:t>.</w:t>
      </w:r>
      <w:r>
        <w:rPr>
          <w:rFonts w:hint="eastAsia" w:ascii="黑体" w:hAnsi="黑体" w:eastAsia="黑体" w:cs="宋体"/>
          <w:b/>
          <w:bCs/>
          <w:sz w:val="24"/>
          <w:highlight w:val="none"/>
        </w:rPr>
        <w:t>其他内容</w:t>
      </w:r>
    </w:p>
    <w:p w14:paraId="4D7BB3AF">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w:t>
      </w:r>
      <w:r>
        <w:rPr>
          <w:rFonts w:hint="eastAsia" w:hAnsi="宋体" w:cs="宋体"/>
          <w:sz w:val="21"/>
          <w:highlight w:val="none"/>
        </w:rPr>
        <w:t>罗城仫佬族自治县人民政府采购中心代理的所有政府采购项目均不收取代理服务费。</w:t>
      </w:r>
    </w:p>
    <w:p w14:paraId="33049173">
      <w:pPr>
        <w:spacing w:line="360" w:lineRule="auto"/>
        <w:ind w:firstLine="482" w:firstLineChars="200"/>
        <w:contextualSpacing/>
        <w:rPr>
          <w:rFonts w:ascii="黑体" w:hAnsi="黑体" w:eastAsia="黑体" w:cs="宋体"/>
          <w:b/>
          <w:bCs/>
          <w:sz w:val="24"/>
          <w:highlight w:val="none"/>
        </w:rPr>
      </w:pPr>
      <w:r>
        <w:rPr>
          <w:rFonts w:hint="eastAsia" w:ascii="黑体" w:hAnsi="黑体" w:eastAsia="黑体" w:cs="宋体"/>
          <w:b/>
          <w:bCs/>
          <w:sz w:val="24"/>
          <w:highlight w:val="none"/>
        </w:rPr>
        <w:t>33</w:t>
      </w:r>
      <w:r>
        <w:rPr>
          <w:rFonts w:ascii="黑体" w:hAnsi="黑体" w:eastAsia="黑体" w:cs="宋体"/>
          <w:b/>
          <w:bCs/>
          <w:sz w:val="24"/>
          <w:highlight w:val="none"/>
        </w:rPr>
        <w:t>. 需要补充的其他内容</w:t>
      </w:r>
    </w:p>
    <w:p w14:paraId="13DA0A82">
      <w:pPr>
        <w:pStyle w:val="14"/>
        <w:spacing w:line="360" w:lineRule="auto"/>
        <w:ind w:firstLine="420" w:firstLineChars="200"/>
        <w:contextualSpacing/>
        <w:rPr>
          <w:rFonts w:hAnsi="宋体"/>
          <w:sz w:val="21"/>
          <w:highlight w:val="none"/>
        </w:rPr>
      </w:pPr>
      <w:r>
        <w:rPr>
          <w:rFonts w:hAnsi="宋体"/>
          <w:sz w:val="21"/>
          <w:highlight w:val="none"/>
        </w:rPr>
        <w:t>3</w:t>
      </w:r>
      <w:r>
        <w:rPr>
          <w:rFonts w:hint="eastAsia" w:hAnsi="宋体"/>
          <w:sz w:val="21"/>
          <w:highlight w:val="none"/>
        </w:rPr>
        <w:t>3</w:t>
      </w:r>
      <w:r>
        <w:rPr>
          <w:rFonts w:hAnsi="宋体"/>
          <w:sz w:val="21"/>
          <w:highlight w:val="none"/>
        </w:rPr>
        <w:t>.1</w:t>
      </w:r>
      <w:r>
        <w:rPr>
          <w:rFonts w:hint="eastAsia" w:hAnsi="宋体" w:cs="宋体"/>
          <w:sz w:val="21"/>
          <w:highlight w:val="none"/>
        </w:rPr>
        <w:t>本竞争性谈判文件解释规则详见</w:t>
      </w:r>
      <w:r>
        <w:rPr>
          <w:rFonts w:hint="eastAsia" w:hAnsi="宋体"/>
          <w:sz w:val="21"/>
          <w:highlight w:val="none"/>
        </w:rPr>
        <w:t>“供应商须知前附表”。</w:t>
      </w:r>
    </w:p>
    <w:p w14:paraId="60F0391C">
      <w:pPr>
        <w:spacing w:line="360" w:lineRule="auto"/>
        <w:ind w:firstLine="420" w:firstLineChars="200"/>
        <w:contextualSpacing/>
        <w:rPr>
          <w:rFonts w:hAnsi="宋体"/>
          <w:highlight w:val="none"/>
        </w:rPr>
      </w:pPr>
      <w:r>
        <w:rPr>
          <w:rFonts w:ascii="宋体" w:hAnsi="宋体" w:cs="宋体"/>
          <w:kern w:val="0"/>
          <w:szCs w:val="21"/>
          <w:highlight w:val="none"/>
        </w:rPr>
        <w:t>3</w:t>
      </w:r>
      <w:r>
        <w:rPr>
          <w:rFonts w:hint="eastAsia" w:ascii="宋体" w:hAnsi="宋体" w:cs="宋体"/>
          <w:kern w:val="0"/>
          <w:szCs w:val="21"/>
          <w:highlight w:val="none"/>
        </w:rPr>
        <w:t>3</w:t>
      </w:r>
      <w:r>
        <w:rPr>
          <w:rFonts w:ascii="宋体" w:hAnsi="宋体" w:cs="宋体"/>
          <w:kern w:val="0"/>
          <w:szCs w:val="21"/>
          <w:highlight w:val="none"/>
        </w:rPr>
        <w:t>.2</w:t>
      </w:r>
      <w:r>
        <w:rPr>
          <w:rFonts w:hint="eastAsia" w:ascii="宋体" w:hAnsi="宋体" w:cs="宋体"/>
          <w:kern w:val="0"/>
          <w:szCs w:val="21"/>
          <w:highlight w:val="none"/>
        </w:rPr>
        <w:t xml:space="preserve"> 其他事</w:t>
      </w:r>
      <w:r>
        <w:rPr>
          <w:rFonts w:hint="eastAsia" w:hAnsi="宋体"/>
          <w:highlight w:val="none"/>
        </w:rPr>
        <w:t>项详见“供应商须知前附表”。</w:t>
      </w:r>
    </w:p>
    <w:p w14:paraId="142413A5">
      <w:pPr>
        <w:pStyle w:val="14"/>
        <w:spacing w:line="360" w:lineRule="auto"/>
        <w:ind w:firstLine="400" w:firstLineChars="200"/>
        <w:contextualSpacing/>
        <w:rPr>
          <w:rFonts w:hint="eastAsia" w:hAnsi="宋体"/>
          <w:sz w:val="21"/>
          <w:highlight w:val="none"/>
        </w:rPr>
      </w:pPr>
      <w:r>
        <w:rPr>
          <w:rFonts w:hint="eastAsia" w:hAnsi="宋体"/>
          <w:highlight w:val="none"/>
        </w:rPr>
        <w:t>33</w:t>
      </w:r>
      <w:r>
        <w:rPr>
          <w:rFonts w:hAnsi="宋体"/>
          <w:highlight w:val="none"/>
        </w:rPr>
        <w:t>.3</w:t>
      </w:r>
      <w:bookmarkStart w:id="46" w:name="_Hlk65857140"/>
      <w:r>
        <w:rPr>
          <w:rFonts w:hint="eastAsia" w:hAnsi="宋体"/>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0920F2A">
      <w:pPr>
        <w:pStyle w:val="14"/>
        <w:spacing w:line="360" w:lineRule="auto"/>
        <w:ind w:firstLine="420" w:firstLineChars="200"/>
        <w:contextualSpacing/>
        <w:rPr>
          <w:rFonts w:hint="eastAsia" w:hAnsi="宋体"/>
          <w:sz w:val="21"/>
          <w:highlight w:val="none"/>
        </w:rPr>
      </w:pPr>
      <w:r>
        <w:rPr>
          <w:rFonts w:hint="eastAsia" w:hAnsi="宋体"/>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A3D24CE">
      <w:pPr>
        <w:spacing w:line="360" w:lineRule="auto"/>
        <w:ind w:firstLine="420" w:firstLineChars="200"/>
        <w:contextualSpacing/>
        <w:rPr>
          <w:rFonts w:hint="eastAsia"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bookmarkEnd w:id="46"/>
    </w:p>
    <w:p w14:paraId="4C9C9082">
      <w:pPr>
        <w:pStyle w:val="8"/>
        <w:spacing w:line="420" w:lineRule="exact"/>
        <w:rPr>
          <w:rFonts w:hint="eastAsia" w:ascii="宋体" w:hAnsi="宋体" w:eastAsia="宋体" w:cs="宋体"/>
          <w:sz w:val="30"/>
          <w:szCs w:val="30"/>
        </w:rPr>
      </w:pPr>
    </w:p>
    <w:p w14:paraId="08CC30BE">
      <w:pPr>
        <w:pStyle w:val="8"/>
        <w:spacing w:line="420" w:lineRule="exact"/>
        <w:rPr>
          <w:rFonts w:hint="eastAsia" w:ascii="宋体" w:hAnsi="宋体" w:eastAsia="宋体" w:cs="宋体"/>
          <w:sz w:val="30"/>
          <w:szCs w:val="30"/>
        </w:rPr>
      </w:pPr>
    </w:p>
    <w:p w14:paraId="61EF625A">
      <w:pPr>
        <w:pStyle w:val="8"/>
        <w:spacing w:line="420" w:lineRule="exact"/>
        <w:rPr>
          <w:rFonts w:hint="eastAsia" w:ascii="宋体" w:hAnsi="宋体" w:eastAsia="宋体" w:cs="宋体"/>
          <w:sz w:val="30"/>
          <w:szCs w:val="30"/>
        </w:rPr>
      </w:pPr>
    </w:p>
    <w:p w14:paraId="3DB747CC">
      <w:pPr>
        <w:pStyle w:val="8"/>
        <w:spacing w:line="420" w:lineRule="exact"/>
        <w:rPr>
          <w:rFonts w:hint="eastAsia" w:ascii="宋体" w:hAnsi="宋体" w:eastAsia="宋体" w:cs="宋体"/>
          <w:sz w:val="30"/>
          <w:szCs w:val="30"/>
        </w:rPr>
      </w:pPr>
    </w:p>
    <w:p w14:paraId="646B3F07">
      <w:pPr>
        <w:pStyle w:val="14"/>
        <w:snapToGrid w:val="0"/>
        <w:spacing w:line="360" w:lineRule="auto"/>
        <w:rPr>
          <w:rFonts w:hint="eastAsia" w:hAnsi="宋体"/>
          <w:highlight w:val="none"/>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r>
        <w:rPr>
          <w:rFonts w:hint="eastAsia" w:ascii="黑体" w:hAnsi="黑体" w:eastAsia="黑体" w:cs="黑体"/>
          <w:bCs/>
          <w:sz w:val="32"/>
          <w:szCs w:val="32"/>
          <w:highlight w:val="none"/>
        </w:rPr>
        <w:t>：</w:t>
      </w:r>
    </w:p>
    <w:p w14:paraId="25F68BF9">
      <w:pPr>
        <w:widowControl/>
        <w:shd w:val="clear" w:color="auto" w:fill="FFFFFF"/>
        <w:spacing w:line="480" w:lineRule="atLeast"/>
        <w:jc w:val="center"/>
        <w:rPr>
          <w:rFonts w:hint="eastAsia" w:ascii="仿宋" w:hAnsi="仿宋" w:eastAsia="仿宋" w:cs="宋体"/>
          <w:kern w:val="0"/>
          <w:sz w:val="32"/>
          <w:szCs w:val="32"/>
        </w:rPr>
      </w:pPr>
      <w:r>
        <w:rPr>
          <w:rFonts w:hint="eastAsia" w:ascii="宋体" w:hAnsi="宋体" w:cs="宋体"/>
          <w:b/>
          <w:bCs/>
          <w:kern w:val="0"/>
          <w:sz w:val="32"/>
          <w:szCs w:val="32"/>
        </w:rPr>
        <w:t>广西壮族自治区政府采购项目合同验收书（格式）</w:t>
      </w:r>
    </w:p>
    <w:p w14:paraId="53FB4E3C">
      <w:pPr>
        <w:widowControl/>
        <w:shd w:val="clear" w:color="auto" w:fill="FFFFFF"/>
        <w:spacing w:line="480" w:lineRule="atLeast"/>
        <w:jc w:val="center"/>
        <w:rPr>
          <w:rFonts w:hint="eastAsia" w:ascii="仿宋" w:hAnsi="仿宋" w:eastAsia="仿宋" w:cs="宋体"/>
          <w:kern w:val="0"/>
          <w:sz w:val="32"/>
          <w:szCs w:val="32"/>
        </w:rPr>
      </w:pPr>
    </w:p>
    <w:p w14:paraId="327D9B38">
      <w:pPr>
        <w:widowControl/>
        <w:shd w:val="clear" w:color="auto" w:fill="FFFFFF"/>
        <w:snapToGrid w:val="0"/>
        <w:spacing w:line="320" w:lineRule="atLeast"/>
        <w:ind w:firstLine="480"/>
        <w:jc w:val="left"/>
        <w:rPr>
          <w:rFonts w:hint="eastAsia"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22AE4D6">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2F5C1FB1">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rPr>
            </w:pPr>
            <w:r>
              <w:rPr>
                <w:rFonts w:hint="default"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4734579A">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rPr>
            </w:pPr>
            <w:r>
              <w:rPr>
                <w:rFonts w:hint="default" w:ascii="Verdana" w:hAnsi="Verdana" w:cs="宋体"/>
                <w:kern w:val="0"/>
                <w:szCs w:val="21"/>
              </w:rPr>
              <w:t>□自行验收 □委托验收</w:t>
            </w:r>
          </w:p>
        </w:tc>
      </w:tr>
      <w:tr w14:paraId="18AC3DD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037D18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7298D8AF">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0AEC1EA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AAB545F">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rPr>
            </w:pPr>
            <w:r>
              <w:rPr>
                <w:rFonts w:hint="default" w:ascii="Verdana" w:hAnsi="Verdana" w:cs="宋体"/>
                <w:kern w:val="0"/>
                <w:szCs w:val="21"/>
              </w:rPr>
              <w:t>数量</w:t>
            </w:r>
          </w:p>
        </w:tc>
        <w:tc>
          <w:tcPr>
            <w:tcW w:w="1428" w:type="dxa"/>
            <w:tcBorders>
              <w:top w:val="nil"/>
              <w:left w:val="nil"/>
              <w:bottom w:val="single" w:color="auto" w:sz="8" w:space="0"/>
              <w:right w:val="single" w:color="auto" w:sz="8" w:space="0"/>
            </w:tcBorders>
            <w:noWrap w:val="0"/>
            <w:vAlign w:val="center"/>
          </w:tcPr>
          <w:p w14:paraId="3E317216">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金额</w:t>
            </w:r>
          </w:p>
        </w:tc>
      </w:tr>
      <w:tr w14:paraId="71A3E55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27E68F5">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2C7BC67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54C8D76C">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24C32EE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03DF2664">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444158B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908C7E2">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11B1BF3F">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3636AAF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3B0106C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037AC8E8">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5110BB2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569554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276AACE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680F8A76">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597A415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37CE9B2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572EE66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7FD57ADD">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rPr>
            </w:pPr>
            <w:r>
              <w:rPr>
                <w:rFonts w:hint="default" w:ascii="Verdana" w:hAnsi="Verdana" w:cs="宋体"/>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6E643C31">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23313773">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1C17E46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BC2781A">
            <w:pPr>
              <w:keepNext w:val="0"/>
              <w:keepLines w:val="0"/>
              <w:widowControl/>
              <w:suppressLineNumbers w:val="0"/>
              <w:snapToGrid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 xml:space="preserve">合计大写金额： </w:t>
            </w:r>
            <w:r>
              <w:rPr>
                <w:rFonts w:hint="eastAsia" w:ascii="Verdana" w:hAnsi="Verdana" w:cs="宋体"/>
                <w:kern w:val="0"/>
                <w:szCs w:val="21"/>
              </w:rPr>
              <w:t xml:space="preserve"> </w:t>
            </w:r>
            <w:r>
              <w:rPr>
                <w:rFonts w:hint="default" w:ascii="Verdana" w:hAnsi="Verdana" w:cs="宋体"/>
                <w:kern w:val="0"/>
                <w:szCs w:val="21"/>
              </w:rPr>
              <w:t xml:space="preserve">仟 </w:t>
            </w:r>
            <w:r>
              <w:rPr>
                <w:rFonts w:hint="eastAsia" w:ascii="Verdana" w:hAnsi="Verdana" w:cs="宋体"/>
                <w:kern w:val="0"/>
                <w:szCs w:val="21"/>
              </w:rPr>
              <w:t xml:space="preserve"> </w:t>
            </w:r>
            <w:r>
              <w:rPr>
                <w:rFonts w:hint="default" w:ascii="Verdana" w:hAnsi="Verdana" w:cs="宋体"/>
                <w:kern w:val="0"/>
                <w:szCs w:val="21"/>
              </w:rPr>
              <w:t xml:space="preserve">佰 </w:t>
            </w:r>
            <w:r>
              <w:rPr>
                <w:rFonts w:hint="eastAsia" w:ascii="Verdana" w:hAnsi="Verdana" w:cs="宋体"/>
                <w:kern w:val="0"/>
                <w:szCs w:val="21"/>
              </w:rPr>
              <w:t xml:space="preserve"> </w:t>
            </w:r>
            <w:r>
              <w:rPr>
                <w:rFonts w:hint="default" w:ascii="Verdana" w:hAnsi="Verdana" w:cs="宋体"/>
                <w:kern w:val="0"/>
                <w:szCs w:val="21"/>
              </w:rPr>
              <w:t xml:space="preserve">拾 </w:t>
            </w:r>
            <w:r>
              <w:rPr>
                <w:rFonts w:hint="eastAsia" w:ascii="Verdana" w:hAnsi="Verdana" w:cs="宋体"/>
                <w:kern w:val="0"/>
                <w:szCs w:val="21"/>
              </w:rPr>
              <w:t xml:space="preserve"> </w:t>
            </w:r>
            <w:r>
              <w:rPr>
                <w:rFonts w:hint="default" w:ascii="Verdana" w:hAnsi="Verdana" w:cs="宋体"/>
                <w:kern w:val="0"/>
                <w:szCs w:val="21"/>
              </w:rPr>
              <w:t xml:space="preserve">万 </w:t>
            </w:r>
            <w:r>
              <w:rPr>
                <w:rFonts w:hint="eastAsia" w:ascii="Verdana" w:hAnsi="Verdana" w:cs="宋体"/>
                <w:kern w:val="0"/>
                <w:szCs w:val="21"/>
              </w:rPr>
              <w:t xml:space="preserve"> </w:t>
            </w:r>
            <w:r>
              <w:rPr>
                <w:rFonts w:hint="default" w:ascii="Verdana" w:hAnsi="Verdana" w:cs="宋体"/>
                <w:kern w:val="0"/>
                <w:szCs w:val="21"/>
              </w:rPr>
              <w:t xml:space="preserve">仟 </w:t>
            </w:r>
            <w:r>
              <w:rPr>
                <w:rFonts w:hint="eastAsia" w:ascii="Verdana" w:hAnsi="Verdana" w:cs="宋体"/>
                <w:kern w:val="0"/>
                <w:szCs w:val="21"/>
              </w:rPr>
              <w:t xml:space="preserve"> </w:t>
            </w:r>
            <w:r>
              <w:rPr>
                <w:rFonts w:hint="default" w:ascii="Verdana" w:hAnsi="Verdana" w:cs="宋体"/>
                <w:kern w:val="0"/>
                <w:szCs w:val="21"/>
              </w:rPr>
              <w:t xml:space="preserve">佰 </w:t>
            </w:r>
            <w:r>
              <w:rPr>
                <w:rFonts w:hint="eastAsia" w:ascii="Verdana" w:hAnsi="Verdana" w:cs="宋体"/>
                <w:kern w:val="0"/>
                <w:szCs w:val="21"/>
              </w:rPr>
              <w:t xml:space="preserve"> </w:t>
            </w:r>
            <w:r>
              <w:rPr>
                <w:rFonts w:hint="default" w:ascii="Verdana" w:hAnsi="Verdana" w:cs="宋体"/>
                <w:kern w:val="0"/>
                <w:szCs w:val="21"/>
              </w:rPr>
              <w:t xml:space="preserve">拾 </w:t>
            </w:r>
            <w:r>
              <w:rPr>
                <w:rFonts w:hint="eastAsia" w:ascii="Verdana" w:hAnsi="Verdana" w:cs="宋体"/>
                <w:kern w:val="0"/>
                <w:szCs w:val="21"/>
              </w:rPr>
              <w:t xml:space="preserve"> </w:t>
            </w:r>
            <w:r>
              <w:rPr>
                <w:rFonts w:hint="default" w:ascii="Verdana" w:hAnsi="Verdana" w:cs="宋体"/>
                <w:kern w:val="0"/>
                <w:szCs w:val="21"/>
              </w:rPr>
              <w:t>元</w:t>
            </w:r>
          </w:p>
        </w:tc>
      </w:tr>
      <w:tr w14:paraId="501B869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AA1B70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72EE86EE">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282" w:type="dxa"/>
            <w:gridSpan w:val="3"/>
            <w:tcBorders>
              <w:top w:val="nil"/>
              <w:left w:val="nil"/>
              <w:bottom w:val="single" w:color="auto" w:sz="8" w:space="0"/>
              <w:right w:val="single" w:color="auto" w:sz="8" w:space="0"/>
            </w:tcBorders>
            <w:noWrap w:val="0"/>
            <w:vAlign w:val="center"/>
          </w:tcPr>
          <w:p w14:paraId="36CD89D7">
            <w:pPr>
              <w:keepNext w:val="0"/>
              <w:keepLines w:val="0"/>
              <w:widowControl/>
              <w:suppressLineNumbers w:val="0"/>
              <w:snapToGrid w:val="0"/>
              <w:spacing w:before="100" w:beforeAutospacing="1" w:after="100" w:afterAutospacing="1" w:line="320" w:lineRule="atLeast"/>
              <w:ind w:left="0" w:right="0" w:firstLine="46"/>
              <w:jc w:val="center"/>
              <w:rPr>
                <w:rFonts w:hint="default" w:ascii="Verdana" w:hAnsi="Verdana" w:cs="宋体"/>
                <w:kern w:val="0"/>
                <w:szCs w:val="21"/>
              </w:rPr>
            </w:pPr>
            <w:r>
              <w:rPr>
                <w:rFonts w:hint="default"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08800B3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30F1A65A">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F093EE4">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21" w:type="dxa"/>
            <w:gridSpan w:val="2"/>
            <w:tcBorders>
              <w:top w:val="nil"/>
              <w:left w:val="nil"/>
              <w:bottom w:val="single" w:color="auto" w:sz="8" w:space="0"/>
              <w:right w:val="single" w:color="auto" w:sz="8" w:space="0"/>
            </w:tcBorders>
            <w:noWrap w:val="0"/>
            <w:vAlign w:val="center"/>
          </w:tcPr>
          <w:p w14:paraId="1CB9C10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282" w:type="dxa"/>
            <w:gridSpan w:val="3"/>
            <w:tcBorders>
              <w:top w:val="nil"/>
              <w:left w:val="nil"/>
              <w:bottom w:val="single" w:color="auto" w:sz="8" w:space="0"/>
              <w:right w:val="single" w:color="auto" w:sz="8" w:space="0"/>
            </w:tcBorders>
            <w:noWrap w:val="0"/>
            <w:vAlign w:val="center"/>
          </w:tcPr>
          <w:p w14:paraId="1DD49437">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113" w:type="dxa"/>
            <w:gridSpan w:val="2"/>
            <w:tcBorders>
              <w:top w:val="nil"/>
              <w:left w:val="nil"/>
              <w:bottom w:val="single" w:color="auto" w:sz="8" w:space="0"/>
              <w:right w:val="single" w:color="auto" w:sz="8" w:space="0"/>
            </w:tcBorders>
            <w:noWrap w:val="0"/>
            <w:vAlign w:val="center"/>
          </w:tcPr>
          <w:p w14:paraId="59C0720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6A2D9C0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163F4E">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736E0E">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1EDE5B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5CC2AF">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41BFF6B3">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验收结论性意见：</w:t>
            </w:r>
          </w:p>
        </w:tc>
      </w:tr>
      <w:tr w14:paraId="1C408E4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569545F7">
            <w:pPr>
              <w:keepNext w:val="0"/>
              <w:keepLines w:val="0"/>
              <w:widowControl/>
              <w:suppressLineNumbers w:val="0"/>
              <w:spacing w:before="0" w:beforeAutospacing="0" w:after="0" w:afterAutospacing="0"/>
              <w:ind w:left="0" w:right="0"/>
              <w:jc w:val="left"/>
              <w:rPr>
                <w:rFonts w:hint="default" w:ascii="Verdana" w:hAnsi="Verdana" w:cs="宋体"/>
                <w:kern w:val="0"/>
                <w:szCs w:val="21"/>
              </w:rPr>
            </w:pPr>
          </w:p>
        </w:tc>
        <w:tc>
          <w:tcPr>
            <w:tcW w:w="6816" w:type="dxa"/>
            <w:gridSpan w:val="7"/>
            <w:tcBorders>
              <w:top w:val="nil"/>
              <w:left w:val="nil"/>
              <w:bottom w:val="single" w:color="auto" w:sz="8" w:space="0"/>
              <w:right w:val="single" w:color="auto" w:sz="8" w:space="0"/>
            </w:tcBorders>
            <w:noWrap w:val="0"/>
            <w:vAlign w:val="center"/>
          </w:tcPr>
          <w:p w14:paraId="1308F69E">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有异议的意见和说明理由：</w:t>
            </w:r>
          </w:p>
          <w:p w14:paraId="79794D64">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签字：</w:t>
            </w:r>
          </w:p>
        </w:tc>
      </w:tr>
      <w:tr w14:paraId="503B7AF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C0529E">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验收小组成员签字：</w:t>
            </w:r>
          </w:p>
        </w:tc>
      </w:tr>
      <w:tr w14:paraId="7383412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4ED042">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监督人员或者其他相关人员签字：</w:t>
            </w:r>
          </w:p>
          <w:p w14:paraId="4681BD2B">
            <w:pPr>
              <w:keepNext w:val="0"/>
              <w:keepLines w:val="0"/>
              <w:widowControl/>
              <w:suppressLineNumbers w:val="0"/>
              <w:spacing w:before="100" w:beforeAutospacing="1" w:after="100" w:afterAutospacing="1" w:line="320" w:lineRule="atLeast"/>
              <w:ind w:left="0" w:right="0" w:firstLine="74"/>
              <w:jc w:val="left"/>
              <w:rPr>
                <w:rFonts w:hint="default" w:ascii="Verdana" w:hAnsi="Verdana" w:cs="宋体"/>
                <w:kern w:val="0"/>
                <w:szCs w:val="21"/>
              </w:rPr>
            </w:pPr>
            <w:r>
              <w:rPr>
                <w:rFonts w:hint="default" w:ascii="Verdana" w:hAnsi="Verdana" w:cs="宋体"/>
                <w:kern w:val="0"/>
                <w:szCs w:val="21"/>
              </w:rPr>
              <w:t>或者受邀机构的意见（盖章）：</w:t>
            </w:r>
          </w:p>
        </w:tc>
      </w:tr>
      <w:tr w14:paraId="5DD1AB7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70F84541">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成交供应商负责人签字或者盖章：</w:t>
            </w:r>
          </w:p>
          <w:p w14:paraId="34787979">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p>
          <w:p w14:paraId="128FD551">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联系电话：</w:t>
            </w:r>
            <w:r>
              <w:rPr>
                <w:rFonts w:hint="eastAsia" w:ascii="Verdana" w:hAnsi="Verdana" w:cs="宋体"/>
                <w:kern w:val="0"/>
                <w:szCs w:val="21"/>
              </w:rPr>
              <w:t xml:space="preserve">               </w:t>
            </w:r>
            <w:r>
              <w:rPr>
                <w:rFonts w:hint="default" w:ascii="Verdana" w:hAnsi="Verdana" w:cs="宋体"/>
                <w:kern w:val="0"/>
                <w:szCs w:val="21"/>
              </w:rPr>
              <w:t xml:space="preserve"> 年</w:t>
            </w:r>
            <w:r>
              <w:rPr>
                <w:rFonts w:hint="eastAsia" w:ascii="Verdana" w:hAnsi="Verdana" w:cs="宋体"/>
                <w:kern w:val="0"/>
                <w:szCs w:val="21"/>
              </w:rPr>
              <w:t xml:space="preserve"> </w:t>
            </w:r>
            <w:r>
              <w:rPr>
                <w:rFonts w:hint="default" w:ascii="Verdana" w:hAnsi="Verdana" w:cs="宋体"/>
                <w:kern w:val="0"/>
                <w:szCs w:val="21"/>
              </w:rPr>
              <w:t xml:space="preserve"> 月 </w:t>
            </w:r>
            <w:r>
              <w:rPr>
                <w:rFonts w:hint="eastAsia" w:ascii="Verdana" w:hAnsi="Verdana" w:cs="宋体"/>
                <w:kern w:val="0"/>
                <w:szCs w:val="21"/>
              </w:rPr>
              <w:t xml:space="preserve"> </w:t>
            </w:r>
            <w:r>
              <w:rPr>
                <w:rFonts w:hint="default" w:ascii="Verdana" w:hAnsi="Verdana" w:cs="宋体"/>
                <w:kern w:val="0"/>
                <w:szCs w:val="21"/>
              </w:rPr>
              <w:t>日</w:t>
            </w:r>
          </w:p>
        </w:tc>
        <w:tc>
          <w:tcPr>
            <w:tcW w:w="4293" w:type="dxa"/>
            <w:gridSpan w:val="4"/>
            <w:tcBorders>
              <w:top w:val="nil"/>
              <w:left w:val="nil"/>
              <w:bottom w:val="single" w:color="auto" w:sz="8" w:space="0"/>
              <w:right w:val="single" w:color="auto" w:sz="8" w:space="0"/>
            </w:tcBorders>
            <w:noWrap w:val="0"/>
            <w:vAlign w:val="center"/>
          </w:tcPr>
          <w:p w14:paraId="75166945">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采购人或者受托机构的意见（盖章）：</w:t>
            </w:r>
          </w:p>
          <w:p w14:paraId="3949E384">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p>
          <w:p w14:paraId="0B1B0E1C">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联系电话：</w:t>
            </w:r>
            <w:r>
              <w:rPr>
                <w:rFonts w:hint="eastAsia" w:ascii="Verdana" w:hAnsi="Verdana" w:cs="宋体"/>
                <w:kern w:val="0"/>
                <w:szCs w:val="21"/>
              </w:rPr>
              <w:t xml:space="preserve">                  </w:t>
            </w:r>
            <w:r>
              <w:rPr>
                <w:rFonts w:hint="default" w:ascii="Verdana" w:hAnsi="Verdana" w:cs="宋体"/>
                <w:kern w:val="0"/>
                <w:szCs w:val="21"/>
              </w:rPr>
              <w:t>年</w:t>
            </w:r>
            <w:r>
              <w:rPr>
                <w:rFonts w:hint="eastAsia" w:ascii="Verdana" w:hAnsi="Verdana" w:cs="宋体"/>
                <w:kern w:val="0"/>
                <w:szCs w:val="21"/>
              </w:rPr>
              <w:t xml:space="preserve"> </w:t>
            </w:r>
            <w:r>
              <w:rPr>
                <w:rFonts w:hint="default" w:ascii="Verdana" w:hAnsi="Verdana" w:cs="宋体"/>
                <w:kern w:val="0"/>
                <w:szCs w:val="21"/>
              </w:rPr>
              <w:t xml:space="preserve"> 月</w:t>
            </w:r>
            <w:r>
              <w:rPr>
                <w:rFonts w:hint="eastAsia" w:ascii="Verdana" w:hAnsi="Verdana" w:cs="宋体"/>
                <w:kern w:val="0"/>
                <w:szCs w:val="21"/>
              </w:rPr>
              <w:t xml:space="preserve"> </w:t>
            </w:r>
            <w:r>
              <w:rPr>
                <w:rFonts w:hint="default" w:ascii="Verdana" w:hAnsi="Verdana" w:cs="宋体"/>
                <w:kern w:val="0"/>
                <w:szCs w:val="21"/>
              </w:rPr>
              <w:t xml:space="preserve"> 日</w:t>
            </w:r>
          </w:p>
        </w:tc>
      </w:tr>
    </w:tbl>
    <w:p w14:paraId="10A28206">
      <w:pPr>
        <w:pStyle w:val="34"/>
        <w:rPr>
          <w:rFonts w:hint="eastAsia" w:ascii="宋体" w:hAnsi="宋体" w:cs="宋体"/>
          <w:b/>
          <w:bCs/>
          <w:kern w:val="0"/>
          <w:sz w:val="32"/>
          <w:szCs w:val="32"/>
        </w:rPr>
      </w:pPr>
      <w:r>
        <w:rPr>
          <w:rFonts w:hAnsi="宋体"/>
        </w:rPr>
        <w:br w:type="page"/>
      </w:r>
    </w:p>
    <w:p w14:paraId="7DE60AFE">
      <w:pPr>
        <w:pStyle w:val="3"/>
        <w:numPr>
          <w:ilvl w:val="0"/>
          <w:numId w:val="1"/>
        </w:numPr>
        <w:jc w:val="center"/>
        <w:rPr>
          <w:rFonts w:hint="eastAsia"/>
        </w:rPr>
      </w:pPr>
      <w:bookmarkStart w:id="47" w:name="_Toc35611512"/>
      <w:bookmarkStart w:id="48" w:name="_Toc15757"/>
      <w:r>
        <w:rPr>
          <w:rFonts w:hint="eastAsia"/>
        </w:rPr>
        <w:t>采购需求</w:t>
      </w:r>
      <w:bookmarkEnd w:id="47"/>
      <w:bookmarkEnd w:id="48"/>
    </w:p>
    <w:p w14:paraId="3B56ADA1">
      <w:pPr>
        <w:spacing w:line="440" w:lineRule="exact"/>
        <w:jc w:val="center"/>
        <w:rPr>
          <w:rFonts w:hint="eastAsia" w:ascii="宋体" w:hAnsi="宋体"/>
          <w:b/>
          <w:sz w:val="32"/>
          <w:szCs w:val="32"/>
        </w:rPr>
      </w:pPr>
      <w:r>
        <w:rPr>
          <w:rFonts w:hint="eastAsia" w:ascii="宋体" w:hAnsi="宋体"/>
          <w:b/>
          <w:sz w:val="32"/>
          <w:szCs w:val="32"/>
        </w:rPr>
        <w:t>采购项目技术规格、参数及要求</w:t>
      </w:r>
    </w:p>
    <w:p w14:paraId="6860E10B">
      <w:pPr>
        <w:spacing w:line="440" w:lineRule="exact"/>
        <w:jc w:val="left"/>
        <w:rPr>
          <w:rFonts w:hint="eastAsia" w:ascii="宋体" w:hAnsi="宋体" w:cs="宋体"/>
          <w:szCs w:val="21"/>
        </w:rPr>
      </w:pPr>
    </w:p>
    <w:p w14:paraId="49E2D7BB">
      <w:pPr>
        <w:spacing w:line="360" w:lineRule="auto"/>
        <w:jc w:val="left"/>
        <w:rPr>
          <w:color w:val="auto"/>
        </w:rPr>
      </w:pPr>
      <w:r>
        <w:rPr>
          <w:rFonts w:hint="eastAsia" w:ascii="宋体" w:hAnsi="宋体" w:cs="宋体"/>
          <w:color w:val="auto"/>
          <w:szCs w:val="21"/>
        </w:rPr>
        <w:t>说明：</w:t>
      </w:r>
    </w:p>
    <w:p w14:paraId="651CCBA0">
      <w:pPr>
        <w:spacing w:line="360" w:lineRule="auto"/>
        <w:ind w:firstLine="420" w:firstLineChars="200"/>
        <w:jc w:val="left"/>
        <w:rPr>
          <w:rFonts w:hint="eastAsia" w:ascii="宋体" w:hAnsi="宋体" w:cs="宋体"/>
          <w:color w:val="auto"/>
          <w:szCs w:val="21"/>
        </w:rPr>
      </w:pPr>
      <w:r>
        <w:rPr>
          <w:rFonts w:hint="eastAsia"/>
          <w:color w:val="auto"/>
        </w:rPr>
        <w:t>1. 为落实政府采购政策需满足的要求。</w:t>
      </w:r>
    </w:p>
    <w:p w14:paraId="7095E9E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476C84C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cs="宋体"/>
          <w:color w:val="auto"/>
          <w:szCs w:val="21"/>
          <w:highlight w:val="none"/>
        </w:rPr>
        <w:t>★</w:t>
      </w:r>
      <w:r>
        <w:rPr>
          <w:rFonts w:hint="eastAsia" w:ascii="宋体" w:hAnsi="宋体" w:cs="宋体"/>
          <w:color w:val="auto"/>
          <w:szCs w:val="21"/>
        </w:rPr>
        <w:t>”的，供应商必须在响应文件中提供所竞标产品的节能产品认证证书复印件（加盖供应商公章），否则响应文件作无效处理。如本项目包含的配套货物属于品目清单内非标注“</w:t>
      </w:r>
      <w:r>
        <w:rPr>
          <w:rFonts w:hint="eastAsia" w:ascii="宋体" w:hAnsi="宋体" w:cs="宋体"/>
          <w:color w:val="auto"/>
          <w:szCs w:val="21"/>
          <w:highlight w:val="none"/>
        </w:rPr>
        <w:t>★</w:t>
      </w:r>
      <w:r>
        <w:rPr>
          <w:rFonts w:hint="eastAsia" w:ascii="宋体" w:hAnsi="宋体" w:cs="宋体"/>
          <w:color w:val="auto"/>
          <w:szCs w:val="21"/>
        </w:rPr>
        <w:t>”的产品时，应优先采购，具体详见“第四章 评审程序和评定成交的标准”。</w:t>
      </w:r>
    </w:p>
    <w:p w14:paraId="4B6B7EE7">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2A4265">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 xml:space="preserve">2. </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4F977156">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76EEA47B">
      <w:pPr>
        <w:spacing w:line="360" w:lineRule="auto"/>
        <w:ind w:firstLine="424" w:firstLineChars="202"/>
        <w:jc w:val="left"/>
        <w:rPr>
          <w:rFonts w:hint="eastAsia"/>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43578844">
      <w:pPr>
        <w:pStyle w:val="34"/>
        <w:rPr>
          <w:rFonts w:hint="eastAsia"/>
          <w:color w:val="FF0000"/>
        </w:rPr>
      </w:pPr>
    </w:p>
    <w:p w14:paraId="1C03CFA3">
      <w:pPr>
        <w:pStyle w:val="34"/>
        <w:rPr>
          <w:rFonts w:hint="eastAsia"/>
          <w:color w:val="auto"/>
        </w:rPr>
      </w:pPr>
    </w:p>
    <w:p w14:paraId="09934D1D">
      <w:pPr>
        <w:pStyle w:val="34"/>
        <w:rPr>
          <w:rFonts w:hint="eastAsia"/>
        </w:rPr>
      </w:pPr>
    </w:p>
    <w:p w14:paraId="79A95F47">
      <w:pPr>
        <w:pStyle w:val="34"/>
        <w:rPr>
          <w:rFonts w:hint="eastAsia"/>
        </w:rPr>
      </w:pPr>
    </w:p>
    <w:p w14:paraId="6995708E">
      <w:pPr>
        <w:pStyle w:val="34"/>
        <w:rPr>
          <w:rFonts w:hint="eastAsia"/>
        </w:rPr>
      </w:pPr>
    </w:p>
    <w:p w14:paraId="49687B6A">
      <w:pPr>
        <w:pStyle w:val="34"/>
        <w:rPr>
          <w:rFonts w:hint="eastAsia"/>
        </w:rPr>
      </w:pPr>
    </w:p>
    <w:p w14:paraId="3EBCFE81">
      <w:pPr>
        <w:numPr>
          <w:ilvl w:val="0"/>
          <w:numId w:val="2"/>
        </w:numPr>
        <w:adjustRightInd w:val="0"/>
        <w:spacing w:line="240" w:lineRule="auto"/>
        <w:ind w:firstLine="431"/>
        <w:rPr>
          <w:rFonts w:hint="eastAsia" w:ascii="宋体" w:hAnsi="宋体" w:cs="宋体"/>
          <w:b/>
          <w:bCs/>
          <w:color w:val="auto"/>
          <w:szCs w:val="21"/>
          <w:highlight w:val="none"/>
        </w:rPr>
      </w:pPr>
      <w:r>
        <w:rPr>
          <w:rFonts w:hint="eastAsia" w:ascii="宋体" w:hAnsi="宋体" w:cs="宋体"/>
          <w:b/>
          <w:bCs/>
          <w:color w:val="auto"/>
          <w:szCs w:val="21"/>
          <w:highlight w:val="none"/>
        </w:rPr>
        <w:t>采购项目需求一览表</w:t>
      </w:r>
    </w:p>
    <w:p w14:paraId="2DC4E390">
      <w:pPr>
        <w:tabs>
          <w:tab w:val="left" w:pos="180"/>
          <w:tab w:val="left" w:pos="1620"/>
        </w:tabs>
        <w:spacing w:line="360" w:lineRule="auto"/>
        <w:ind w:firstLine="422" w:firstLineChars="200"/>
        <w:rPr>
          <w:rFonts w:hint="eastAsia"/>
        </w:rPr>
      </w:pPr>
      <w:r>
        <w:rPr>
          <w:rFonts w:hint="eastAsia" w:ascii="宋体" w:hAnsi="宋体" w:cs="宋体"/>
          <w:b/>
          <w:bCs/>
          <w:color w:val="auto"/>
          <w:szCs w:val="21"/>
          <w:highlight w:val="none"/>
        </w:rPr>
        <w:t>采购预算</w:t>
      </w:r>
      <w:r>
        <w:rPr>
          <w:rFonts w:hint="eastAsia" w:ascii="宋体" w:hAnsi="宋体" w:cs="宋体"/>
          <w:b/>
          <w:bCs/>
          <w:color w:val="auto"/>
          <w:szCs w:val="21"/>
          <w:highlight w:val="none"/>
          <w:lang w:val="en-US" w:eastAsia="zh-CN"/>
        </w:rPr>
        <w:t>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229万元</w:t>
      </w:r>
    </w:p>
    <w:tbl>
      <w:tblPr>
        <w:tblStyle w:val="27"/>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15"/>
        <w:gridCol w:w="6075"/>
        <w:gridCol w:w="780"/>
        <w:gridCol w:w="615"/>
        <w:gridCol w:w="585"/>
        <w:gridCol w:w="885"/>
      </w:tblGrid>
      <w:tr w14:paraId="46BA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6F2C10F">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序号</w:t>
            </w:r>
          </w:p>
        </w:tc>
        <w:tc>
          <w:tcPr>
            <w:tcW w:w="915" w:type="dxa"/>
            <w:vAlign w:val="center"/>
          </w:tcPr>
          <w:p w14:paraId="6910AF7A">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名称</w:t>
            </w:r>
          </w:p>
        </w:tc>
        <w:tc>
          <w:tcPr>
            <w:tcW w:w="6075" w:type="dxa"/>
            <w:vAlign w:val="center"/>
          </w:tcPr>
          <w:p w14:paraId="3BEB5CAA">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b/>
                <w:bCs/>
                <w:color w:val="auto"/>
                <w:sz w:val="21"/>
                <w:szCs w:val="21"/>
                <w:highlight w:val="none"/>
              </w:rPr>
              <w:t>技术参数</w:t>
            </w:r>
          </w:p>
        </w:tc>
        <w:tc>
          <w:tcPr>
            <w:tcW w:w="780" w:type="dxa"/>
            <w:vAlign w:val="center"/>
          </w:tcPr>
          <w:p w14:paraId="6210F389">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参考</w:t>
            </w:r>
            <w:r>
              <w:rPr>
                <w:rFonts w:hint="eastAsia" w:ascii="宋体" w:hAnsi="宋体" w:eastAsia="宋体" w:cs="宋体"/>
                <w:color w:val="auto"/>
                <w:sz w:val="21"/>
                <w:szCs w:val="21"/>
                <w:highlight w:val="none"/>
                <w:vertAlign w:val="baseline"/>
                <w:lang w:val="en-US" w:eastAsia="zh-CN"/>
              </w:rPr>
              <w:t>单价</w:t>
            </w:r>
            <w:r>
              <w:rPr>
                <w:rFonts w:hint="eastAsia" w:ascii="宋体" w:hAnsi="宋体" w:cs="宋体"/>
                <w:color w:val="auto"/>
                <w:sz w:val="21"/>
                <w:szCs w:val="21"/>
                <w:highlight w:val="none"/>
                <w:vertAlign w:val="baseline"/>
                <w:lang w:val="en-US" w:eastAsia="zh-CN"/>
              </w:rPr>
              <w:t>（元）</w:t>
            </w:r>
          </w:p>
        </w:tc>
        <w:tc>
          <w:tcPr>
            <w:tcW w:w="615" w:type="dxa"/>
            <w:vAlign w:val="center"/>
          </w:tcPr>
          <w:p w14:paraId="5CCB2D4B">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数量</w:t>
            </w:r>
          </w:p>
        </w:tc>
        <w:tc>
          <w:tcPr>
            <w:tcW w:w="585" w:type="dxa"/>
            <w:vAlign w:val="center"/>
          </w:tcPr>
          <w:p w14:paraId="7B93CD14">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单位</w:t>
            </w:r>
          </w:p>
        </w:tc>
        <w:tc>
          <w:tcPr>
            <w:tcW w:w="885" w:type="dxa"/>
            <w:vAlign w:val="center"/>
          </w:tcPr>
          <w:p w14:paraId="21D00013">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参考总价（元）</w:t>
            </w:r>
          </w:p>
        </w:tc>
      </w:tr>
      <w:tr w14:paraId="087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7462A10">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
                <w:bCs w:val="0"/>
                <w:color w:val="auto"/>
                <w:sz w:val="21"/>
                <w:szCs w:val="21"/>
                <w:highlight w:val="none"/>
                <w:vertAlign w:val="baseline"/>
                <w:lang w:val="en-US" w:eastAsia="zh-CN"/>
              </w:rPr>
            </w:pPr>
            <w:r>
              <w:rPr>
                <w:rFonts w:hint="eastAsia" w:ascii="宋体" w:hAnsi="宋体" w:cs="Times New Roman"/>
                <w:b/>
                <w:bCs w:val="0"/>
                <w:color w:val="auto"/>
                <w:sz w:val="21"/>
                <w:szCs w:val="21"/>
                <w:highlight w:val="none"/>
                <w:vertAlign w:val="baseline"/>
                <w:lang w:val="en-US" w:eastAsia="zh-CN"/>
              </w:rPr>
              <w:t>1</w:t>
            </w:r>
          </w:p>
        </w:tc>
        <w:tc>
          <w:tcPr>
            <w:tcW w:w="915" w:type="dxa"/>
            <w:vAlign w:val="center"/>
          </w:tcPr>
          <w:p w14:paraId="5AF1918A">
            <w:pPr>
              <w:pStyle w:val="33"/>
              <w:keepNext w:val="0"/>
              <w:keepLines w:val="0"/>
              <w:suppressLineNumbers w:val="0"/>
              <w:spacing w:before="0" w:beforeAutospacing="0" w:afterAutospacing="0"/>
              <w:ind w:left="0" w:leftChars="0" w:right="0" w:firstLine="0" w:firstLineChars="0"/>
              <w:jc w:val="center"/>
              <w:rPr>
                <w:rFonts w:hint="eastAsia" w:ascii="宋体" w:hAnsi="宋体" w:cs="宋体"/>
                <w:b/>
                <w:bCs w:val="0"/>
                <w:i w:val="0"/>
                <w:iCs w:val="0"/>
                <w:color w:val="auto"/>
                <w:kern w:val="0"/>
                <w:sz w:val="22"/>
                <w:szCs w:val="22"/>
                <w:u w:val="none"/>
                <w:lang w:val="en-US" w:eastAsia="zh-CN" w:bidi="ar"/>
              </w:rPr>
            </w:pPr>
            <w:r>
              <w:rPr>
                <w:rFonts w:hint="eastAsia" w:ascii="宋体" w:hAnsi="宋体" w:cs="宋体"/>
                <w:b/>
                <w:bCs w:val="0"/>
                <w:i w:val="0"/>
                <w:iCs w:val="0"/>
                <w:color w:val="auto"/>
                <w:kern w:val="0"/>
                <w:sz w:val="22"/>
                <w:szCs w:val="22"/>
                <w:u w:val="none"/>
                <w:lang w:val="en-US" w:eastAsia="zh-CN" w:bidi="ar"/>
              </w:rPr>
              <w:t>计</w:t>
            </w:r>
          </w:p>
          <w:p w14:paraId="627855EC">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宋体"/>
                <w:b/>
                <w:bCs w:val="0"/>
                <w:i w:val="0"/>
                <w:iCs w:val="0"/>
                <w:color w:val="auto"/>
                <w:kern w:val="0"/>
                <w:sz w:val="22"/>
                <w:szCs w:val="22"/>
                <w:u w:val="none"/>
                <w:lang w:val="en-US" w:eastAsia="zh-CN" w:bidi="ar"/>
              </w:rPr>
            </w:pPr>
            <w:r>
              <w:rPr>
                <w:rFonts w:hint="eastAsia" w:ascii="宋体" w:hAnsi="宋体" w:eastAsia="宋体" w:cs="宋体"/>
                <w:b/>
                <w:bCs w:val="0"/>
                <w:i w:val="0"/>
                <w:iCs w:val="0"/>
                <w:color w:val="auto"/>
                <w:kern w:val="0"/>
                <w:sz w:val="22"/>
                <w:szCs w:val="22"/>
                <w:u w:val="none"/>
                <w:lang w:val="en-US" w:eastAsia="zh-CN" w:bidi="ar"/>
              </w:rPr>
              <w:t>算</w:t>
            </w:r>
          </w:p>
          <w:p w14:paraId="6A5FEE74">
            <w:pPr>
              <w:pStyle w:val="33"/>
              <w:keepNext w:val="0"/>
              <w:keepLines w:val="0"/>
              <w:suppressLineNumbers w:val="0"/>
              <w:spacing w:before="0" w:beforeAutospacing="0" w:afterAutospacing="0"/>
              <w:ind w:left="0" w:leftChars="0" w:right="0" w:firstLine="0" w:firstLineChars="0"/>
              <w:jc w:val="center"/>
              <w:rPr>
                <w:rFonts w:hint="default" w:ascii="宋体" w:hAnsi="宋体" w:eastAsia="宋体" w:cs="Times New Roman"/>
                <w:b/>
                <w:bCs w:val="0"/>
                <w:color w:val="auto"/>
                <w:sz w:val="21"/>
                <w:szCs w:val="21"/>
                <w:highlight w:val="none"/>
                <w:vertAlign w:val="baseline"/>
                <w:lang w:val="en-US" w:eastAsia="zh-CN"/>
              </w:rPr>
            </w:pPr>
            <w:r>
              <w:rPr>
                <w:rFonts w:hint="eastAsia" w:ascii="宋体" w:hAnsi="宋体" w:eastAsia="宋体" w:cs="宋体"/>
                <w:b/>
                <w:bCs w:val="0"/>
                <w:i w:val="0"/>
                <w:iCs w:val="0"/>
                <w:color w:val="auto"/>
                <w:kern w:val="0"/>
                <w:sz w:val="22"/>
                <w:szCs w:val="22"/>
                <w:u w:val="none"/>
                <w:lang w:val="en-US" w:eastAsia="zh-CN" w:bidi="ar"/>
              </w:rPr>
              <w:t>机</w:t>
            </w:r>
          </w:p>
        </w:tc>
        <w:tc>
          <w:tcPr>
            <w:tcW w:w="6075" w:type="dxa"/>
          </w:tcPr>
          <w:p w14:paraId="279245F9">
            <w:pPr>
              <w:pStyle w:val="33"/>
              <w:keepNext w:val="0"/>
              <w:keepLines w:val="0"/>
              <w:numPr>
                <w:ilvl w:val="0"/>
                <w:numId w:val="3"/>
              </w:numPr>
              <w:suppressLineNumbers w:val="0"/>
              <w:spacing w:before="0" w:beforeAutospacing="0" w:afterAutospacing="0"/>
              <w:ind w:left="0" w:leftChars="0" w:right="0" w:firstLine="0" w:firstLineChars="0"/>
              <w:rPr>
                <w:rFonts w:hint="eastAsia"/>
                <w:color w:val="auto"/>
                <w:lang w:val="en-US" w:eastAsia="zh-CN"/>
              </w:rPr>
            </w:pPr>
            <w:r>
              <w:rPr>
                <w:rFonts w:hint="eastAsia"/>
                <w:b/>
                <w:bCs/>
                <w:color w:val="auto"/>
                <w:lang w:val="en-US" w:eastAsia="zh-CN"/>
              </w:rPr>
              <w:t>硬件性能</w:t>
            </w:r>
            <w:r>
              <w:rPr>
                <w:rFonts w:hint="eastAsia"/>
                <w:color w:val="auto"/>
                <w:lang w:val="en-US" w:eastAsia="zh-CN"/>
              </w:rPr>
              <w:br w:type="textWrapping"/>
            </w:r>
            <w:r>
              <w:rPr>
                <w:rFonts w:hint="eastAsia"/>
                <w:color w:val="auto"/>
                <w:lang w:val="en-US" w:eastAsia="zh-CN"/>
              </w:rPr>
              <w:t>▲1.CPU：采用国产兆芯KX-U6780A处理器或同等配置，主频≥2.7GHz 、≥8核处理器8线程，二级缓存≥8MB。</w:t>
            </w:r>
            <w:r>
              <w:rPr>
                <w:rFonts w:hint="eastAsia"/>
                <w:color w:val="auto"/>
                <w:lang w:val="en-US" w:eastAsia="zh-CN"/>
              </w:rPr>
              <w:br w:type="textWrapping"/>
            </w:r>
            <w:r>
              <w:rPr>
                <w:rFonts w:hint="eastAsia"/>
                <w:color w:val="auto"/>
                <w:lang w:val="en-US" w:eastAsia="zh-CN"/>
              </w:rPr>
              <w:t>2. 主板：ZX200芯片组或以上。</w:t>
            </w:r>
            <w:r>
              <w:rPr>
                <w:rFonts w:hint="eastAsia"/>
                <w:color w:val="auto"/>
                <w:lang w:val="en-US" w:eastAsia="zh-CN"/>
              </w:rPr>
              <w:br w:type="textWrapping"/>
            </w:r>
            <w:r>
              <w:rPr>
                <w:rFonts w:hint="eastAsia"/>
                <w:color w:val="auto"/>
                <w:lang w:val="en-US" w:eastAsia="zh-CN"/>
              </w:rPr>
              <w:t>3. 内存：16GB DDR4 2666MT/s 内存或以上，最大支持32GB。</w:t>
            </w:r>
            <w:r>
              <w:rPr>
                <w:rFonts w:hint="eastAsia"/>
                <w:color w:val="auto"/>
                <w:lang w:val="en-US" w:eastAsia="zh-CN"/>
              </w:rPr>
              <w:br w:type="textWrapping"/>
            </w:r>
            <w:r>
              <w:rPr>
                <w:rFonts w:hint="eastAsia"/>
                <w:color w:val="auto"/>
                <w:lang w:val="en-US" w:eastAsia="zh-CN"/>
              </w:rPr>
              <w:t>4. 硬盘：≥512GB M.2 NVMe SSD硬盘，支持机械硬盘拓展。</w:t>
            </w:r>
            <w:r>
              <w:rPr>
                <w:rFonts w:hint="eastAsia"/>
                <w:color w:val="auto"/>
                <w:lang w:val="en-US" w:eastAsia="zh-CN"/>
              </w:rPr>
              <w:br w:type="textWrapping"/>
            </w:r>
            <w:r>
              <w:rPr>
                <w:rFonts w:hint="eastAsia"/>
                <w:color w:val="auto"/>
                <w:lang w:val="en-US" w:eastAsia="zh-CN"/>
              </w:rPr>
              <w:t>5. 支持拓展9.5mm标准光驱。</w:t>
            </w:r>
            <w:r>
              <w:rPr>
                <w:rFonts w:hint="eastAsia"/>
                <w:color w:val="auto"/>
                <w:lang w:val="en-US" w:eastAsia="zh-CN"/>
              </w:rPr>
              <w:br w:type="textWrapping"/>
            </w:r>
            <w:r>
              <w:rPr>
                <w:rFonts w:hint="eastAsia"/>
                <w:color w:val="auto"/>
                <w:lang w:val="en-US" w:eastAsia="zh-CN"/>
              </w:rPr>
              <w:t>6. 支持1000Mbps。网口支持wake on LAN。</w:t>
            </w:r>
            <w:r>
              <w:rPr>
                <w:rFonts w:hint="eastAsia"/>
                <w:color w:val="auto"/>
                <w:lang w:val="en-US" w:eastAsia="zh-CN"/>
              </w:rPr>
              <w:br w:type="textWrapping"/>
            </w:r>
            <w:r>
              <w:rPr>
                <w:rFonts w:hint="eastAsia"/>
                <w:color w:val="auto"/>
                <w:lang w:val="en-US" w:eastAsia="zh-CN"/>
              </w:rPr>
              <w:t>7. 集成标准声卡。</w:t>
            </w:r>
            <w:r>
              <w:rPr>
                <w:rFonts w:hint="eastAsia"/>
                <w:color w:val="auto"/>
                <w:lang w:val="en-US" w:eastAsia="zh-CN"/>
              </w:rPr>
              <w:br w:type="textWrapping"/>
            </w:r>
            <w:r>
              <w:rPr>
                <w:rFonts w:hint="eastAsia"/>
                <w:color w:val="auto"/>
                <w:lang w:val="en-US" w:eastAsia="zh-CN"/>
              </w:rPr>
              <w:t>8. USB有线键盘、鼠标。</w:t>
            </w:r>
            <w:r>
              <w:rPr>
                <w:rFonts w:hint="eastAsia"/>
                <w:color w:val="auto"/>
                <w:lang w:val="en-US" w:eastAsia="zh-CN"/>
              </w:rPr>
              <w:br w:type="textWrapping"/>
            </w:r>
            <w:r>
              <w:rPr>
                <w:rFonts w:hint="eastAsia"/>
                <w:color w:val="auto"/>
                <w:lang w:val="en-US" w:eastAsia="zh-CN"/>
              </w:rPr>
              <w:t>9.前置面板：USB3.0≥3个；TypeC≥1个；音频接口≥1个（支持耳机麦克风二合一）</w:t>
            </w:r>
            <w:r>
              <w:rPr>
                <w:rFonts w:hint="eastAsia"/>
                <w:color w:val="auto"/>
                <w:lang w:val="en-US" w:eastAsia="zh-CN"/>
              </w:rPr>
              <w:br w:type="textWrapping"/>
            </w:r>
            <w:r>
              <w:rPr>
                <w:rFonts w:hint="eastAsia"/>
                <w:color w:val="auto"/>
                <w:lang w:val="en-US" w:eastAsia="zh-CN"/>
              </w:rPr>
              <w:t>▲10.支持物理网络开关按键。</w:t>
            </w:r>
            <w:r>
              <w:rPr>
                <w:rFonts w:hint="eastAsia"/>
                <w:color w:val="auto"/>
                <w:lang w:val="en-US" w:eastAsia="zh-CN"/>
              </w:rPr>
              <w:br w:type="textWrapping"/>
            </w:r>
            <w:r>
              <w:rPr>
                <w:rFonts w:hint="eastAsia"/>
                <w:color w:val="auto"/>
                <w:lang w:val="en-US" w:eastAsia="zh-CN"/>
              </w:rPr>
              <w:t>▲11.关机状态下，支持≥3前置USB端口对外供电。</w:t>
            </w:r>
            <w:r>
              <w:rPr>
                <w:rFonts w:hint="eastAsia"/>
                <w:color w:val="auto"/>
                <w:lang w:val="en-US" w:eastAsia="zh-CN"/>
              </w:rPr>
              <w:br w:type="textWrapping"/>
            </w:r>
            <w:r>
              <w:rPr>
                <w:rFonts w:hint="eastAsia"/>
                <w:color w:val="auto"/>
                <w:lang w:val="en-US" w:eastAsia="zh-CN"/>
              </w:rPr>
              <w:t>12.后置面板：USB3.0≥4个；HDMI输出≥1个；VGA输出≥1个；音频输入≥2个；音频输出≥1个；RJ45≥1个；PS/2≥2个；串口≥1个。</w:t>
            </w:r>
            <w:r>
              <w:rPr>
                <w:rFonts w:hint="eastAsia"/>
                <w:color w:val="auto"/>
                <w:lang w:val="en-US" w:eastAsia="zh-CN"/>
              </w:rPr>
              <w:br w:type="textWrapping"/>
            </w:r>
            <w:r>
              <w:rPr>
                <w:rFonts w:hint="eastAsia"/>
                <w:color w:val="auto"/>
                <w:highlight w:val="none"/>
                <w:lang w:val="en-US" w:eastAsia="zh-CN"/>
              </w:rPr>
              <w:t>13.预装正版国产麒麟操作系统。</w:t>
            </w:r>
            <w:r>
              <w:rPr>
                <w:rFonts w:hint="eastAsia"/>
                <w:color w:val="auto"/>
                <w:lang w:val="en-US" w:eastAsia="zh-CN"/>
              </w:rPr>
              <w:br w:type="textWrapping"/>
            </w:r>
            <w:r>
              <w:rPr>
                <w:rFonts w:hint="eastAsia"/>
                <w:color w:val="auto"/>
                <w:lang w:val="en-US" w:eastAsia="zh-CN"/>
              </w:rPr>
              <w:t>14.内部插槽：PCIEX16≥1个（支持拓展独立显卡）；PCIEX8≥2个；M.2≥2个；SATA≥4个。</w:t>
            </w:r>
            <w:r>
              <w:rPr>
                <w:rFonts w:hint="eastAsia"/>
                <w:color w:val="auto"/>
                <w:lang w:val="en-US" w:eastAsia="zh-CN"/>
              </w:rPr>
              <w:br w:type="textWrapping"/>
            </w:r>
            <w:r>
              <w:rPr>
                <w:rFonts w:hint="eastAsia"/>
                <w:color w:val="auto"/>
                <w:lang w:val="en-US" w:eastAsia="zh-CN"/>
              </w:rPr>
              <w:t>15.机箱体积：≤8L。</w:t>
            </w:r>
            <w:r>
              <w:rPr>
                <w:rFonts w:hint="eastAsia"/>
                <w:color w:val="auto"/>
                <w:lang w:val="en-US" w:eastAsia="zh-CN"/>
              </w:rPr>
              <w:br w:type="textWrapping"/>
            </w:r>
            <w:r>
              <w:rPr>
                <w:rFonts w:hint="eastAsia"/>
                <w:color w:val="auto"/>
                <w:lang w:val="en-US" w:eastAsia="zh-CN"/>
              </w:rPr>
              <w:t>16.电源功率：≤200W。</w:t>
            </w:r>
          </w:p>
          <w:p w14:paraId="0F19E653">
            <w:pPr>
              <w:keepNext w:val="0"/>
              <w:keepLines w:val="0"/>
              <w:numPr>
                <w:ilvl w:val="0"/>
                <w:numId w:val="3"/>
              </w:numPr>
              <w:suppressLineNumbers w:val="0"/>
              <w:spacing w:before="0" w:beforeAutospacing="0" w:after="0" w:afterAutospacing="0"/>
              <w:ind w:left="0" w:leftChars="0" w:right="0" w:firstLine="0" w:firstLineChars="0"/>
              <w:rPr>
                <w:rFonts w:hint="eastAsia"/>
                <w:color w:val="auto"/>
                <w:lang w:val="en-US" w:eastAsia="zh-CN"/>
              </w:rPr>
            </w:pPr>
            <w:r>
              <w:rPr>
                <w:rFonts w:hint="eastAsia"/>
                <w:b/>
                <w:bCs/>
                <w:color w:val="auto"/>
                <w:lang w:val="en-US" w:eastAsia="zh-CN"/>
              </w:rPr>
              <w:t>显示器要求</w:t>
            </w:r>
            <w:r>
              <w:rPr>
                <w:rFonts w:hint="eastAsia"/>
                <w:color w:val="auto"/>
                <w:lang w:val="en-US" w:eastAsia="zh-CN"/>
              </w:rPr>
              <w:br w:type="textWrapping"/>
            </w:r>
            <w:r>
              <w:rPr>
                <w:rFonts w:hint="eastAsia"/>
                <w:color w:val="auto"/>
                <w:lang w:val="en-US" w:eastAsia="zh-CN"/>
              </w:rPr>
              <w:t>1.显示屏≥23.8英寸显示屏幕，分辨率≥1920*1080，屏幕亮度≥250nit，IPS屏；支持VGA≥1，HDMI≥1；</w:t>
            </w:r>
            <w:r>
              <w:rPr>
                <w:rFonts w:hint="eastAsia"/>
                <w:color w:val="auto"/>
                <w:lang w:val="en-US" w:eastAsia="zh-CN"/>
              </w:rPr>
              <w:br w:type="textWrapping"/>
            </w:r>
            <w:r>
              <w:rPr>
                <w:rFonts w:hint="eastAsia"/>
                <w:color w:val="auto"/>
                <w:lang w:val="en-US" w:eastAsia="zh-CN"/>
              </w:rPr>
              <w:t>▲2.显示屏幕DCI-P3色域覆盖率≥ 99%；</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3.对比度达到1000:1，屏幕刷新率达到75Hz，响应时间≤7ms，可视角度178°/178°；</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4.电源能效转换效率≥86%；显示屏分别提供标准模式和炫彩模式选项；</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▲5.显示屏幕提供护眼模式，护眼模式下，蓝光比例≤20%；显示器提供阅读模式，上左右边框≤3.6mm，下边框≤16.5mm，屏占比≥92%；</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p>
          <w:p w14:paraId="4A4007A7">
            <w:pPr>
              <w:pStyle w:val="10"/>
              <w:keepNext w:val="0"/>
              <w:keepLines w:val="0"/>
              <w:numPr>
                <w:ilvl w:val="0"/>
                <w:numId w:val="3"/>
              </w:numPr>
              <w:suppressLineNumbers w:val="0"/>
              <w:spacing w:before="0" w:beforeAutospacing="0" w:afterAutospacing="0"/>
              <w:ind w:left="0" w:leftChars="0" w:right="0" w:firstLine="0" w:firstLineChars="0"/>
              <w:rPr>
                <w:rFonts w:hint="eastAsia"/>
                <w:color w:val="auto"/>
                <w:lang w:val="en-US" w:eastAsia="zh-CN"/>
              </w:rPr>
            </w:pPr>
            <w:r>
              <w:rPr>
                <w:rFonts w:hint="eastAsia"/>
                <w:b/>
                <w:bCs/>
                <w:color w:val="auto"/>
                <w:lang w:val="en-US" w:eastAsia="zh-CN"/>
              </w:rPr>
              <w:t>教师备授课办公软件</w:t>
            </w:r>
            <w:r>
              <w:rPr>
                <w:rFonts w:hint="eastAsia"/>
                <w:color w:val="auto"/>
                <w:lang w:val="en-US" w:eastAsia="zh-CN"/>
              </w:rPr>
              <w:br w:type="textWrapping"/>
            </w:r>
            <w:r>
              <w:rPr>
                <w:rFonts w:hint="eastAsia"/>
                <w:color w:val="auto"/>
                <w:lang w:val="en-US" w:eastAsia="zh-CN"/>
              </w:rPr>
              <w:t>1.登录方式多样性：支持帐号和手机微信扫码两种登录方式。使用新账号登录时绑定微信ID与帐号的对应关系，绑定后可通过微信扫码登录。</w:t>
            </w:r>
            <w:r>
              <w:rPr>
                <w:rFonts w:hint="eastAsia"/>
                <w:color w:val="auto"/>
                <w:lang w:val="en-US" w:eastAsia="zh-CN"/>
              </w:rPr>
              <w:br w:type="textWrapping"/>
            </w:r>
            <w:r>
              <w:rPr>
                <w:rFonts w:hint="eastAsia"/>
                <w:color w:val="auto"/>
                <w:lang w:val="en-US" w:eastAsia="zh-CN"/>
              </w:rPr>
              <w:t>2.终端关联设备：设备支持通过微信扫码绑定学校的设备管理系统，支持设置当前设备使用属性与设备归属用户。</w:t>
            </w:r>
            <w:r>
              <w:rPr>
                <w:rFonts w:hint="eastAsia"/>
                <w:color w:val="auto"/>
                <w:lang w:val="en-US" w:eastAsia="zh-CN"/>
              </w:rPr>
              <w:br w:type="textWrapping"/>
            </w:r>
            <w:r>
              <w:rPr>
                <w:rFonts w:hint="eastAsia"/>
                <w:color w:val="auto"/>
                <w:lang w:val="en-US" w:eastAsia="zh-CN"/>
              </w:rPr>
              <w:t>3.适配系统：支持在统信系统与麒麟系统使用。</w:t>
            </w:r>
            <w:r>
              <w:rPr>
                <w:rFonts w:hint="eastAsia"/>
                <w:color w:val="auto"/>
                <w:lang w:val="en-US" w:eastAsia="zh-CN"/>
              </w:rPr>
              <w:br w:type="textWrapping"/>
            </w:r>
            <w:r>
              <w:rPr>
                <w:rFonts w:hint="eastAsia"/>
                <w:color w:val="auto"/>
                <w:lang w:val="en-US" w:eastAsia="zh-CN"/>
              </w:rPr>
              <w:t>4.设备详情：支持设备功能，支持展示当前设备的硬件信息和系统信息。支持查看硬件信息包括：CPU、主板、显卡、硬盘、显示器、网卡、声卡。支持查看系统信息，包括：操作系统、系统激活状态、连接ID、SN号、MAC地址、内外网IP。</w:t>
            </w:r>
            <w:r>
              <w:rPr>
                <w:rFonts w:hint="eastAsia"/>
                <w:color w:val="auto"/>
                <w:lang w:val="en-US" w:eastAsia="zh-CN"/>
              </w:rPr>
              <w:br w:type="textWrapping"/>
            </w:r>
            <w:r>
              <w:rPr>
                <w:rFonts w:hint="eastAsia"/>
                <w:color w:val="auto"/>
                <w:lang w:val="en-US" w:eastAsia="zh-CN"/>
              </w:rPr>
              <w:t>5.设备运行状态：支持查看设备运行状态，包含当前设备内存、CPU使用率、硬盘、系统盘和网速信息。</w:t>
            </w:r>
            <w:r>
              <w:rPr>
                <w:rFonts w:hint="eastAsia"/>
                <w:color w:val="auto"/>
                <w:lang w:val="en-US" w:eastAsia="zh-CN"/>
              </w:rPr>
              <w:br w:type="textWrapping"/>
            </w:r>
            <w:r>
              <w:rPr>
                <w:rFonts w:hint="eastAsia"/>
                <w:color w:val="auto"/>
                <w:lang w:val="en-US" w:eastAsia="zh-CN"/>
              </w:rPr>
              <w:t>▲6.整体描述：支持使用文件快传功能，从发送端传送文件至接收端。</w:t>
            </w:r>
            <w:r>
              <w:rPr>
                <w:rFonts w:hint="eastAsia"/>
                <w:color w:val="auto"/>
                <w:lang w:val="en-US" w:eastAsia="zh-CN"/>
              </w:rPr>
              <w:br w:type="textWrapping"/>
            </w:r>
            <w:r>
              <w:rPr>
                <w:rFonts w:hint="eastAsia"/>
                <w:color w:val="auto"/>
                <w:lang w:val="en-US" w:eastAsia="zh-CN"/>
              </w:rPr>
              <w:t>7.文件条件：支持一次发送20个文件；支持发送图片、视频、文档类型的文件。</w:t>
            </w:r>
            <w:r>
              <w:rPr>
                <w:rFonts w:hint="eastAsia"/>
                <w:color w:val="auto"/>
                <w:lang w:val="en-US" w:eastAsia="zh-CN"/>
              </w:rPr>
              <w:br w:type="textWrapping"/>
            </w:r>
            <w:r>
              <w:rPr>
                <w:rFonts w:hint="eastAsia"/>
                <w:color w:val="auto"/>
                <w:lang w:val="en-US" w:eastAsia="zh-CN"/>
              </w:rPr>
              <w:t>8.文件发送：支持从文件夹或选择文件拖动至文件传输发送区域；支持查看待发送的文件列表；支持在待发送列表中删除文件。</w:t>
            </w:r>
            <w:r>
              <w:rPr>
                <w:rFonts w:hint="eastAsia"/>
                <w:color w:val="auto"/>
                <w:lang w:val="en-US" w:eastAsia="zh-CN"/>
              </w:rPr>
              <w:br w:type="textWrapping"/>
            </w:r>
            <w:r>
              <w:rPr>
                <w:rFonts w:hint="eastAsia"/>
                <w:color w:val="auto"/>
                <w:lang w:val="en-US" w:eastAsia="zh-CN"/>
              </w:rPr>
              <w:t>▲9.快捷发送：支持拖动文件至发送区进行文件发送。</w:t>
            </w:r>
            <w:r>
              <w:rPr>
                <w:rFonts w:hint="eastAsia"/>
                <w:color w:val="auto"/>
                <w:lang w:val="en-US" w:eastAsia="zh-CN"/>
              </w:rPr>
              <w:br w:type="textWrapping"/>
            </w:r>
            <w:r>
              <w:rPr>
                <w:rFonts w:hint="eastAsia"/>
                <w:color w:val="auto"/>
                <w:lang w:val="en-US" w:eastAsia="zh-CN"/>
              </w:rPr>
              <w:t>▲10.离线暂存：支持一次发送文件给不同的接收端设备。接收端离线时文件能够暂存在云端，接收端设备在线后支持进行自动下载。</w:t>
            </w:r>
            <w:r>
              <w:rPr>
                <w:rFonts w:hint="eastAsia"/>
                <w:color w:val="auto"/>
                <w:lang w:val="en-US" w:eastAsia="zh-CN"/>
              </w:rPr>
              <w:br w:type="textWrapping"/>
            </w:r>
            <w:r>
              <w:rPr>
                <w:rFonts w:hint="eastAsia"/>
                <w:color w:val="auto"/>
                <w:lang w:val="en-US" w:eastAsia="zh-CN"/>
              </w:rPr>
              <w:t>11.其他：支持查看传输文件的发送进度，进度包含上传中和下发文件中。</w:t>
            </w:r>
            <w:r>
              <w:rPr>
                <w:rFonts w:hint="eastAsia"/>
                <w:color w:val="auto"/>
                <w:lang w:val="en-US" w:eastAsia="zh-CN"/>
              </w:rPr>
              <w:br w:type="textWrapping"/>
            </w:r>
            <w:r>
              <w:rPr>
                <w:rFonts w:hint="eastAsia"/>
                <w:color w:val="auto"/>
                <w:highlight w:val="none"/>
                <w:lang w:val="en-US" w:eastAsia="zh-CN"/>
              </w:rPr>
              <w:t>▲12.多系统接收：支持发送端发的文件在统信系统、麒麟系统的接收端接收文件。</w:t>
            </w:r>
            <w:r>
              <w:rPr>
                <w:rFonts w:hint="eastAsia"/>
                <w:color w:val="auto"/>
                <w:highlight w:val="yellow"/>
                <w:lang w:val="en-US" w:eastAsia="zh-CN"/>
              </w:rPr>
              <w:br w:type="textWrapping"/>
            </w:r>
            <w:r>
              <w:rPr>
                <w:rFonts w:hint="eastAsia"/>
                <w:color w:val="auto"/>
                <w:lang w:val="en-US" w:eastAsia="zh-CN"/>
              </w:rPr>
              <w:t>▲13.个性接收夹：支持在接收端创建接收夹；支持设置文件夹名称和图标颜色；接收文件时接收夹支持新文件提醒。</w:t>
            </w:r>
            <w:r>
              <w:rPr>
                <w:rFonts w:hint="eastAsia"/>
                <w:color w:val="auto"/>
                <w:lang w:val="en-US" w:eastAsia="zh-CN"/>
              </w:rPr>
              <w:br w:type="textWrapping"/>
            </w:r>
            <w:r>
              <w:rPr>
                <w:rFonts w:hint="eastAsia"/>
                <w:color w:val="auto"/>
                <w:lang w:val="en-US" w:eastAsia="zh-CN"/>
              </w:rPr>
              <w:t>▲14.文件列表：支持查看接收端接收夹的文件列表，文件列表包含文件名称、接收时间、接收状态信息；支持打开已下载的文件，支持手动下载未下载和下载失败的文件；支持查看单个文件下载进度与总进度。</w:t>
            </w:r>
            <w:r>
              <w:rPr>
                <w:rFonts w:hint="eastAsia"/>
                <w:color w:val="auto"/>
                <w:lang w:val="en-US" w:eastAsia="zh-CN"/>
              </w:rPr>
              <w:br w:type="textWrapping"/>
            </w:r>
            <w:r>
              <w:rPr>
                <w:rFonts w:hint="eastAsia"/>
                <w:color w:val="auto"/>
                <w:lang w:val="en-US" w:eastAsia="zh-CN"/>
              </w:rPr>
              <w:t>▲15.自动下载：支持接收端设备在线状态下自动接收发送端设备发送的文件。</w:t>
            </w:r>
            <w:r>
              <w:rPr>
                <w:rFonts w:hint="eastAsia"/>
                <w:color w:val="auto"/>
                <w:lang w:val="en-US" w:eastAsia="zh-CN"/>
              </w:rPr>
              <w:br w:type="textWrapping"/>
            </w:r>
            <w:r>
              <w:rPr>
                <w:rFonts w:hint="eastAsia"/>
                <w:color w:val="auto"/>
                <w:lang w:val="en-US" w:eastAsia="zh-CN"/>
              </w:rPr>
              <w:t>▲16.自动清理：支持自动清理超过14天的文件。</w:t>
            </w:r>
            <w:r>
              <w:rPr>
                <w:rFonts w:hint="eastAsia"/>
                <w:color w:val="auto"/>
                <w:lang w:val="en-US" w:eastAsia="zh-CN"/>
              </w:rPr>
              <w:br w:type="textWrapping"/>
            </w:r>
            <w:r>
              <w:rPr>
                <w:rFonts w:hint="eastAsia"/>
                <w:color w:val="auto"/>
                <w:lang w:val="en-US" w:eastAsia="zh-CN"/>
              </w:rPr>
              <w:t>17.查看：采用云端存储的方式，用户可在发送端软件查看上传的文件；列表展示方式包含列表视图和栅格视图；列表视图中，支持展示文件更新时间和大小。支持在栅格视图中展示小预览图，支持在列表视图中展示文件格式预览图；支持对资料夹文件进行排序，支持按照文件名称、更新时间和大小排序；支持对资料夹文件进行筛选，支持图片、音视频和文档筛选；上传的文件支持用户在手机的移动软件中查看；支持查看当前文件夹的路径，支持点击文件路径跳转至目标文件夹；文件支持根据窗口的显示大小会进行适配，一行显示不同的数量；</w:t>
            </w:r>
            <w:r>
              <w:rPr>
                <w:rFonts w:hint="eastAsia"/>
                <w:color w:val="auto"/>
                <w:lang w:val="en-US" w:eastAsia="zh-CN"/>
              </w:rPr>
              <w:br w:type="textWrapping"/>
            </w:r>
            <w:r>
              <w:rPr>
                <w:rFonts w:hint="eastAsia"/>
                <w:color w:val="auto"/>
                <w:lang w:val="en-US" w:eastAsia="zh-CN"/>
              </w:rPr>
              <w:t>18.编辑：支持在资料夹创建文件夹，支持对文件夹重命名；支持对上传的文件和文件夹进行重命名；支持对文件和文件夹进行移动和批量移动；支持删除文件和文件夹。</w:t>
            </w:r>
            <w:r>
              <w:rPr>
                <w:rFonts w:hint="eastAsia"/>
                <w:color w:val="auto"/>
                <w:lang w:val="en-US" w:eastAsia="zh-CN"/>
              </w:rPr>
              <w:br w:type="textWrapping"/>
            </w:r>
            <w:r>
              <w:rPr>
                <w:rFonts w:hint="eastAsia"/>
                <w:color w:val="auto"/>
                <w:lang w:val="en-US" w:eastAsia="zh-CN"/>
              </w:rPr>
              <w:t>19.上传下载：支持上传文件至资料夹中，上传过程中支持查看上传进度和取消上传文件；支持对资料夹文件进行下载，支持设置下载地址，下载过程中按照队列依次下载；支持在下载过程中查看下载进度与完成情况；支持取消正在下载的文件；</w:t>
            </w:r>
            <w:r>
              <w:rPr>
                <w:rFonts w:hint="eastAsia"/>
                <w:color w:val="auto"/>
                <w:lang w:val="en-US" w:eastAsia="zh-CN"/>
              </w:rPr>
              <w:br w:type="textWrapping"/>
            </w:r>
            <w:r>
              <w:rPr>
                <w:rFonts w:hint="eastAsia"/>
                <w:color w:val="auto"/>
                <w:lang w:val="en-US" w:eastAsia="zh-CN"/>
              </w:rPr>
              <w:t>▲20.预览：支持资料夹中在线预览图片、音视频、文档；支持预览的图片格式有：BMP、GIF、JPE、JPEG、JPG、PNG。支持预览的音频格式有：WAV、MP3、OGG。支持预览的视频格式有：3GP、F4V、M4V、MKV、MP4、OGV、MOV。支持预览的视频格式有：3GP、F4V、M4V、MKV、MP4、OGV、MOV。支持预览的文档格式有：DOC、DOCX、PDF、PPTX、PPT、XLS、XLSX。</w:t>
            </w:r>
            <w:r>
              <w:rPr>
                <w:rFonts w:hint="eastAsia"/>
                <w:color w:val="auto"/>
                <w:lang w:val="en-US" w:eastAsia="zh-CN"/>
              </w:rPr>
              <w:br w:type="textWrapping"/>
            </w:r>
            <w:r>
              <w:rPr>
                <w:rFonts w:hint="eastAsia"/>
                <w:color w:val="auto"/>
                <w:lang w:val="en-US" w:eastAsia="zh-CN"/>
              </w:rPr>
              <w:t>▲21.发送到班级：支持在资料夹中把多个文件发送至接收端软件中，接收端软件自动下载该文件。</w:t>
            </w:r>
            <w:r>
              <w:rPr>
                <w:rFonts w:hint="eastAsia"/>
                <w:color w:val="auto"/>
                <w:lang w:val="en-US" w:eastAsia="zh-CN"/>
              </w:rPr>
              <w:br w:type="textWrapping"/>
            </w:r>
            <w:r>
              <w:rPr>
                <w:rFonts w:hint="eastAsia"/>
                <w:color w:val="auto"/>
                <w:lang w:val="en-US" w:eastAsia="zh-CN"/>
              </w:rPr>
              <w:t>▲22.快捷打开：支持助手栏添加并展示应用、网站和组件，可通过助手栏打开软件。支持在发送端软件内打开备课、课件库、校本资源、集体备课、作业本、快传、设备；助手栏打开多个软件时支持在窗口内部切换、关闭标签；支持对窗口进行最小化、最大化、关闭操作。</w:t>
            </w:r>
            <w:r>
              <w:rPr>
                <w:rFonts w:hint="eastAsia"/>
                <w:color w:val="auto"/>
                <w:lang w:val="en-US" w:eastAsia="zh-CN"/>
              </w:rPr>
              <w:br w:type="textWrapping"/>
            </w:r>
            <w:r>
              <w:rPr>
                <w:rFonts w:hint="eastAsia"/>
                <w:color w:val="auto"/>
                <w:lang w:val="en-US" w:eastAsia="zh-CN"/>
              </w:rPr>
              <w:t>▲23.最近使用课件：助手栏支持展示最近使用的前3条课件，点击课件支持在发送端软件内打开和编辑。</w:t>
            </w:r>
            <w:r>
              <w:rPr>
                <w:rFonts w:hint="eastAsia"/>
                <w:color w:val="auto"/>
                <w:lang w:val="en-US" w:eastAsia="zh-CN"/>
              </w:rPr>
              <w:br w:type="textWrapping"/>
            </w:r>
            <w:r>
              <w:rPr>
                <w:rFonts w:hint="eastAsia"/>
                <w:color w:val="auto"/>
                <w:lang w:val="en-US" w:eastAsia="zh-CN"/>
              </w:rPr>
              <w:t>24.编辑：支持自定义助手栏内容，支持对内容进行移除、添加、移动位置，变更后数据会跟随当前登陆的账号，登录另一台电脑时会同步当前编辑的结果。</w:t>
            </w:r>
            <w:r>
              <w:rPr>
                <w:rFonts w:hint="eastAsia"/>
                <w:color w:val="auto"/>
                <w:lang w:val="en-US" w:eastAsia="zh-CN"/>
              </w:rPr>
              <w:br w:type="textWrapping"/>
            </w:r>
            <w:r>
              <w:rPr>
                <w:rFonts w:hint="eastAsia"/>
                <w:color w:val="auto"/>
                <w:lang w:val="en-US" w:eastAsia="zh-CN"/>
              </w:rPr>
              <w:t>25.网站：支持添加网址，添加的网站会呈现在助手栏中，点击即可在发送端软件打开。</w:t>
            </w:r>
            <w:r>
              <w:rPr>
                <w:rFonts w:hint="eastAsia"/>
                <w:color w:val="auto"/>
                <w:lang w:val="en-US" w:eastAsia="zh-CN"/>
              </w:rPr>
              <w:br w:type="textWrapping"/>
            </w:r>
            <w:r>
              <w:rPr>
                <w:rFonts w:hint="eastAsia"/>
                <w:color w:val="auto"/>
                <w:lang w:val="en-US" w:eastAsia="zh-CN"/>
              </w:rPr>
              <w:t>▲26.移动：支持拖动助手栏到屏幕的任意位置，拖动助手栏至屏幕右侧边缘时会自动收到侧边。；支持鼠标移动至侧标栏区域时调起助手栏，拖动助手栏至其他区域会取消侧边栏收起。</w:t>
            </w:r>
            <w:r>
              <w:rPr>
                <w:rFonts w:hint="eastAsia"/>
                <w:color w:val="auto"/>
                <w:lang w:val="en-US" w:eastAsia="zh-CN"/>
              </w:rPr>
              <w:br w:type="textWrapping"/>
            </w:r>
            <w:r>
              <w:rPr>
                <w:rFonts w:hint="eastAsia"/>
                <w:color w:val="auto"/>
                <w:lang w:val="en-US" w:eastAsia="zh-CN"/>
              </w:rPr>
              <w:t>27.对话式生成：根据输入的文字生成文本，并通过对话的形式表达，支持根据上下文进行连续对话。</w:t>
            </w:r>
            <w:r>
              <w:rPr>
                <w:rFonts w:hint="eastAsia"/>
                <w:color w:val="auto"/>
                <w:lang w:val="en-US" w:eastAsia="zh-CN"/>
              </w:rPr>
              <w:br w:type="textWrapping"/>
            </w:r>
            <w:r>
              <w:rPr>
                <w:rFonts w:hint="eastAsia"/>
                <w:color w:val="auto"/>
                <w:lang w:val="en-US" w:eastAsia="zh-CN"/>
              </w:rPr>
              <w:t>▲28.写作：支持输入主题一键生成活动感想、发言稿、活动策划；支持选择生成的文字数量。</w:t>
            </w:r>
            <w:r>
              <w:rPr>
                <w:rFonts w:hint="eastAsia"/>
                <w:color w:val="auto"/>
                <w:lang w:val="en-US" w:eastAsia="zh-CN"/>
              </w:rPr>
              <w:br w:type="textWrapping"/>
            </w:r>
            <w:r>
              <w:rPr>
                <w:rFonts w:hint="eastAsia"/>
                <w:color w:val="auto"/>
                <w:lang w:val="en-US" w:eastAsia="zh-CN"/>
              </w:rPr>
              <w:t>▲29.评价：支持生成评语，支持根据输入的学生姓名与评价维度生成评语。</w:t>
            </w:r>
            <w:r>
              <w:rPr>
                <w:rFonts w:hint="eastAsia"/>
                <w:color w:val="auto"/>
                <w:lang w:val="en-US" w:eastAsia="zh-CN"/>
              </w:rPr>
              <w:br w:type="textWrapping"/>
            </w:r>
            <w:r>
              <w:rPr>
                <w:rFonts w:hint="eastAsia"/>
                <w:color w:val="auto"/>
                <w:lang w:val="en-US" w:eastAsia="zh-CN"/>
              </w:rPr>
              <w:t>▲30.提示词：进入百宝箱后支持展示3条提示词，支持试一试选项一键问询问题。</w:t>
            </w:r>
            <w:r>
              <w:rPr>
                <w:rFonts w:hint="eastAsia"/>
                <w:color w:val="auto"/>
                <w:lang w:val="en-US" w:eastAsia="zh-CN"/>
              </w:rPr>
              <w:br w:type="textWrapping"/>
            </w:r>
            <w:r>
              <w:rPr>
                <w:rFonts w:hint="eastAsia"/>
                <w:color w:val="auto"/>
                <w:lang w:val="en-US" w:eastAsia="zh-CN"/>
              </w:rPr>
              <w:t>31.生成编辑：支持对生成的内容复制或重新生成。</w:t>
            </w:r>
            <w:r>
              <w:rPr>
                <w:rFonts w:hint="eastAsia"/>
                <w:color w:val="auto"/>
                <w:lang w:val="en-US" w:eastAsia="zh-CN"/>
              </w:rPr>
              <w:br w:type="textWrapping"/>
            </w:r>
            <w:r>
              <w:rPr>
                <w:rFonts w:hint="eastAsia"/>
                <w:color w:val="auto"/>
                <w:lang w:val="en-US" w:eastAsia="zh-CN"/>
              </w:rPr>
              <w:t>32.批量生成：支持批量生成学生的奖状，最多支持批量生成5张；可对奖状内容、奖励称号、颁奖人/单位、颁发日期、印章内容进行编辑。支持选择生成的奖状模板。</w:t>
            </w:r>
            <w:r>
              <w:rPr>
                <w:rFonts w:hint="eastAsia"/>
                <w:color w:val="auto"/>
                <w:lang w:val="en-US" w:eastAsia="zh-CN"/>
              </w:rPr>
              <w:br w:type="textWrapping"/>
            </w:r>
            <w:r>
              <w:rPr>
                <w:rFonts w:hint="eastAsia"/>
                <w:color w:val="auto"/>
                <w:lang w:val="en-US" w:eastAsia="zh-CN"/>
              </w:rPr>
              <w:t>33.下载：支持将生成的奖状一键下载到本地。</w:t>
            </w:r>
            <w:r>
              <w:rPr>
                <w:rFonts w:hint="eastAsia"/>
                <w:color w:val="auto"/>
                <w:lang w:val="en-US" w:eastAsia="zh-CN"/>
              </w:rPr>
              <w:br w:type="textWrapping"/>
            </w:r>
            <w:r>
              <w:rPr>
                <w:rFonts w:hint="eastAsia"/>
                <w:color w:val="auto"/>
                <w:lang w:val="en-US" w:eastAsia="zh-CN"/>
              </w:rPr>
              <w:t>34.截屏：支持自定义框选截屏区域；截取的内容支持使用画笔标注，支持选择画笔粗细和画笔颜色；支持提取文字功能，支持对识别截图截取文字内容，支持对识别的文字进行复制；支持保存截图到电脑本地；支持保存截图到剪切板，并能粘贴到目标位置；支持快捷键唤起截图功能。</w:t>
            </w:r>
            <w:r>
              <w:rPr>
                <w:rFonts w:hint="eastAsia"/>
                <w:color w:val="auto"/>
                <w:lang w:val="en-US" w:eastAsia="zh-CN"/>
              </w:rPr>
              <w:br w:type="textWrapping"/>
            </w:r>
            <w:r>
              <w:rPr>
                <w:rFonts w:hint="eastAsia"/>
                <w:color w:val="auto"/>
                <w:lang w:val="en-US" w:eastAsia="zh-CN"/>
              </w:rPr>
              <w:t>35.录屏：支持录屏功能，支持对录制区域（全屏录制/区域录制）、音频设备、摄像头设备进行录制；支持切换录制的分辨率。</w:t>
            </w:r>
            <w:r>
              <w:rPr>
                <w:rFonts w:hint="eastAsia"/>
                <w:color w:val="auto"/>
                <w:lang w:val="en-US" w:eastAsia="zh-CN"/>
              </w:rPr>
              <w:br w:type="textWrapping"/>
            </w:r>
            <w:r>
              <w:rPr>
                <w:rFonts w:hint="eastAsia"/>
                <w:color w:val="auto"/>
                <w:lang w:val="en-US" w:eastAsia="zh-CN"/>
              </w:rPr>
              <w:t>36.录制中：支持在录制过程中使用画笔和擦除工具；</w:t>
            </w:r>
            <w:r>
              <w:rPr>
                <w:rFonts w:hint="eastAsia"/>
                <w:color w:val="auto"/>
                <w:lang w:val="en-US" w:eastAsia="zh-CN"/>
              </w:rPr>
              <w:br w:type="textWrapping"/>
            </w:r>
            <w:r>
              <w:rPr>
                <w:rFonts w:hint="eastAsia"/>
                <w:color w:val="auto"/>
                <w:lang w:val="en-US" w:eastAsia="zh-CN"/>
              </w:rPr>
              <w:t>37.录制结束：录制结束后支持对录屏视频进行文字快剪、视频编辑。</w:t>
            </w:r>
            <w:r>
              <w:rPr>
                <w:rFonts w:hint="eastAsia"/>
                <w:color w:val="auto"/>
                <w:lang w:val="en-US" w:eastAsia="zh-CN"/>
              </w:rPr>
              <w:br w:type="textWrapping"/>
            </w:r>
            <w:r>
              <w:rPr>
                <w:rFonts w:hint="eastAsia"/>
                <w:color w:val="auto"/>
                <w:lang w:val="en-US" w:eastAsia="zh-CN"/>
              </w:rPr>
              <w:t>▲38.传屏：支持传屏功能，将发送端设备的屏幕同步到交互智能平板；传屏成功后支持设备反向触控发送端设备。</w:t>
            </w:r>
            <w:r>
              <w:rPr>
                <w:rFonts w:hint="eastAsia"/>
                <w:color w:val="auto"/>
                <w:lang w:val="en-US" w:eastAsia="zh-CN"/>
              </w:rPr>
              <w:br w:type="textWrapping"/>
            </w:r>
            <w:r>
              <w:rPr>
                <w:rFonts w:hint="eastAsia"/>
                <w:color w:val="auto"/>
                <w:lang w:val="en-US" w:eastAsia="zh-CN"/>
              </w:rPr>
              <w:t>▲39.设备连接：支持通过连接码的方式与交互智能平板建立传屏关系；</w:t>
            </w:r>
            <w:r>
              <w:rPr>
                <w:rFonts w:hint="eastAsia"/>
                <w:color w:val="auto"/>
                <w:lang w:val="en-US" w:eastAsia="zh-CN"/>
              </w:rPr>
              <w:br w:type="textWrapping"/>
            </w:r>
            <w:r>
              <w:rPr>
                <w:rFonts w:hint="eastAsia"/>
                <w:color w:val="auto"/>
                <w:lang w:val="en-US" w:eastAsia="zh-CN"/>
              </w:rPr>
              <w:t>▲40.勿扰模式：支持勿扰模式，该模式下其他设备无法传屏至交互智能平板设备。</w:t>
            </w:r>
            <w:r>
              <w:rPr>
                <w:rFonts w:hint="eastAsia"/>
                <w:color w:val="auto"/>
                <w:lang w:val="en-US" w:eastAsia="zh-CN"/>
              </w:rPr>
              <w:br w:type="textWrapping"/>
            </w:r>
            <w:r>
              <w:rPr>
                <w:rFonts w:hint="eastAsia"/>
                <w:color w:val="auto"/>
                <w:lang w:val="en-US" w:eastAsia="zh-CN"/>
              </w:rPr>
              <w:t>▲41.文件预判：拖动文件时，支持根据文件判定并展示需要的功能项，文件拖入功能项后打开对应的功能；功能包括PDF转格式、图片转格式、文字快剪、提取文字、发送到大屏、发送到班级；右键点击文件时，支持根据文件判定并展示需要的功能项，选择后打开对应的功能；功能包括PDF转格式、图片转格式、文字快剪、提取文字、发送到大屏、发送到资料夹。</w:t>
            </w:r>
            <w:r>
              <w:rPr>
                <w:rFonts w:hint="eastAsia"/>
                <w:color w:val="auto"/>
                <w:lang w:val="en-US" w:eastAsia="zh-CN"/>
              </w:rPr>
              <w:br w:type="textWrapping"/>
            </w:r>
            <w:r>
              <w:rPr>
                <w:rFonts w:hint="eastAsia"/>
                <w:color w:val="auto"/>
                <w:lang w:val="en-US" w:eastAsia="zh-CN"/>
              </w:rPr>
              <w:t>42.PDF格式转化：支持在线对PDF的文件进行转换格式，支持转换格式为XLSX、DOCX、PPT；转换后文件内容的排布与源PDF保持一致；PDF文件转换后支持下载文件至电脑本地，支持对转换后的文件进行编辑，包括编辑文本、编辑表格、编辑图片。</w:t>
            </w:r>
            <w:r>
              <w:rPr>
                <w:rFonts w:hint="eastAsia"/>
                <w:color w:val="auto"/>
                <w:lang w:val="en-US" w:eastAsia="zh-CN"/>
              </w:rPr>
              <w:br w:type="textWrapping"/>
            </w:r>
            <w:r>
              <w:rPr>
                <w:rFonts w:hint="eastAsia"/>
                <w:color w:val="auto"/>
                <w:lang w:val="en-US" w:eastAsia="zh-CN"/>
              </w:rPr>
              <w:t>▲43.图片转格式：支持对图片进行在线转换格式；支持转换格式的图片原始格式包括：bmp、jpg、jpeg、png、tiff、webp、heic；支持转换为jpg、png；图片转换格式后支持下载图片到电脑本地。</w:t>
            </w:r>
            <w:r>
              <w:rPr>
                <w:rFonts w:hint="eastAsia"/>
                <w:color w:val="auto"/>
                <w:lang w:val="en-US" w:eastAsia="zh-CN"/>
              </w:rPr>
              <w:br w:type="textWrapping"/>
            </w:r>
            <w:r>
              <w:rPr>
                <w:rFonts w:hint="eastAsia"/>
                <w:color w:val="auto"/>
                <w:lang w:val="en-US" w:eastAsia="zh-CN"/>
              </w:rPr>
              <w:t>44.提取文字：支持对图片进行在线文字识别；识别后支持对文字进行复制。</w:t>
            </w:r>
            <w:r>
              <w:rPr>
                <w:rFonts w:hint="eastAsia"/>
                <w:color w:val="auto"/>
                <w:lang w:val="en-US" w:eastAsia="zh-CN"/>
              </w:rPr>
              <w:br w:type="textWrapping"/>
            </w:r>
            <w:r>
              <w:rPr>
                <w:rFonts w:hint="eastAsia"/>
                <w:color w:val="auto"/>
                <w:lang w:val="en-US" w:eastAsia="zh-CN"/>
              </w:rPr>
              <w:t>▲45.文字快剪：支持提取视频的声音并转换成文字，自动识别出语气词，支持手动选择文字并删除。</w:t>
            </w:r>
            <w:r>
              <w:rPr>
                <w:rFonts w:hint="eastAsia"/>
                <w:color w:val="auto"/>
                <w:lang w:val="en-US" w:eastAsia="zh-CN"/>
              </w:rPr>
              <w:br w:type="textWrapping"/>
            </w:r>
            <w:r>
              <w:rPr>
                <w:rFonts w:hint="eastAsia"/>
                <w:color w:val="auto"/>
                <w:lang w:val="en-US" w:eastAsia="zh-CN"/>
              </w:rPr>
              <w:t>46.远程关联：学校管理员支持通过手机微信扫描接收端软件的二维码登录，支持选择学校并输入设备名称，接收端软件即可完成关联学校；支持学校管理员修改已关联的设备名称。普通老师加入该学校后可在发送端软件中看到该设备并可远程创建接收夹。</w:t>
            </w:r>
            <w:r>
              <w:rPr>
                <w:rFonts w:hint="eastAsia"/>
                <w:color w:val="auto"/>
                <w:lang w:val="en-US" w:eastAsia="zh-CN"/>
              </w:rPr>
              <w:br w:type="textWrapping"/>
            </w:r>
            <w:r>
              <w:rPr>
                <w:rFonts w:hint="eastAsia"/>
                <w:color w:val="auto"/>
                <w:lang w:val="en-US" w:eastAsia="zh-CN"/>
              </w:rPr>
              <w:t>47.退出关联：支持学校管理员可通过手机微信扫描接收端软件的二维码退出学校，退出后普通老师无法在该学校对该设备远程创建接收夹。</w:t>
            </w:r>
            <w:r>
              <w:rPr>
                <w:rFonts w:hint="eastAsia"/>
                <w:color w:val="auto"/>
                <w:lang w:val="en-US" w:eastAsia="zh-CN"/>
              </w:rPr>
              <w:br w:type="textWrapping"/>
            </w:r>
            <w:r>
              <w:rPr>
                <w:rFonts w:hint="eastAsia"/>
                <w:color w:val="auto"/>
                <w:lang w:val="en-US" w:eastAsia="zh-CN"/>
              </w:rPr>
              <w:t>48.设备管理：支持查看当前学校的电脑列表，包括电脑设备状态、归属用户、操作系统、IP地址、上线时间与最后在线时；支持对设备进行分组管理；支持通过设备名称与归属用户进行搜索。</w:t>
            </w:r>
            <w:r>
              <w:rPr>
                <w:rFonts w:hint="eastAsia"/>
                <w:color w:val="auto"/>
                <w:lang w:val="en-US" w:eastAsia="zh-CN"/>
              </w:rPr>
              <w:br w:type="textWrapping"/>
            </w:r>
            <w:r>
              <w:rPr>
                <w:rFonts w:hint="eastAsia"/>
                <w:color w:val="auto"/>
                <w:lang w:val="en-US" w:eastAsia="zh-CN"/>
              </w:rPr>
              <w:t>49.设备信息：支持查看单个电脑的硬件信息与系统信息。</w:t>
            </w:r>
            <w:r>
              <w:rPr>
                <w:rFonts w:hint="eastAsia"/>
                <w:color w:val="auto"/>
                <w:lang w:val="en-US" w:eastAsia="zh-CN"/>
              </w:rPr>
              <w:br w:type="textWrapping"/>
            </w:r>
            <w:r>
              <w:rPr>
                <w:rFonts w:hint="eastAsia"/>
                <w:color w:val="auto"/>
                <w:lang w:val="en-US" w:eastAsia="zh-CN"/>
              </w:rPr>
              <w:t>50.指令下发：支持对单个电脑或批量设备下发关机与重启指令、移动分组、移除设备。</w:t>
            </w:r>
            <w:r>
              <w:rPr>
                <w:rFonts w:hint="eastAsia"/>
                <w:color w:val="auto"/>
                <w:lang w:val="en-US" w:eastAsia="zh-CN"/>
              </w:rPr>
              <w:br w:type="textWrapping"/>
            </w:r>
            <w:r>
              <w:rPr>
                <w:rFonts w:hint="eastAsia"/>
                <w:color w:val="auto"/>
                <w:lang w:val="en-US" w:eastAsia="zh-CN"/>
              </w:rPr>
              <w:t>51.状态查看：支持展示电脑实时的数据信息，包括CPU、内存、系统盘、总存储、实时网速数据信息，离线的设备展示最后的数据信息。</w:t>
            </w:r>
          </w:p>
          <w:p w14:paraId="1FB330E4">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四、教研备课管理平台和互动教学要求：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w:t>
            </w:r>
            <w:r>
              <w:rPr>
                <w:rFonts w:hint="eastAsia"/>
                <w:color w:val="auto"/>
                <w:lang w:val="en-US" w:eastAsia="zh-CN"/>
              </w:rPr>
              <w:t>（响应文件中须提供具有CMA或CNAS认证标识的国家认可的检测机构出具的检测报告复印件）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Pr>
                <w:rFonts w:hint="eastAsia"/>
                <w:color w:val="auto"/>
                <w:lang w:val="en-US" w:eastAsia="zh-CN"/>
              </w:rPr>
              <w:t>（响应文件中须提供具有CMA或CNAS认证标识的国家认可的检测机构出具的检测报告复印件）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w:t>
            </w:r>
            <w:r>
              <w:rPr>
                <w:rFonts w:hint="eastAsia"/>
                <w:color w:val="auto"/>
                <w:lang w:val="en-US" w:eastAsia="zh-CN"/>
              </w:rPr>
              <w:t>（响应文件中须提供具有CMA或CNAS认证标识的国家认可的检测机构出具的检测报告复印件）</w:t>
            </w:r>
          </w:p>
          <w:p w14:paraId="2B9DC54B">
            <w:pPr>
              <w:pStyle w:val="10"/>
              <w:keepNext w:val="0"/>
              <w:keepLines w:val="0"/>
              <w:numPr>
                <w:ilvl w:val="0"/>
                <w:numId w:val="0"/>
              </w:numPr>
              <w:suppressLineNumbers w:val="0"/>
              <w:spacing w:before="0" w:beforeAutospacing="0" w:afterAutospacing="0"/>
              <w:ind w:left="0" w:leftChars="0" w:right="0"/>
              <w:rPr>
                <w:rFonts w:hint="eastAsia"/>
                <w:color w:val="auto"/>
                <w:lang w:val="en-US" w:eastAsia="zh-CN"/>
              </w:rPr>
            </w:pP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w:t>
            </w:r>
            <w:r>
              <w:rPr>
                <w:rFonts w:hint="eastAsia"/>
                <w:color w:val="auto"/>
                <w:lang w:val="en-US" w:eastAsia="zh-CN"/>
              </w:rPr>
              <w:t>（响应文件中须提供具有CMA或CNAS认证标识的国家认可的检测机构出具的检测报告复印件）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一键开课：教师可一键开课生成课程海报；学生扫描课程海报微信二维码即可加入直播课堂，无需额外安装APP；</w:t>
            </w:r>
            <w:r>
              <w:rPr>
                <w:rFonts w:hint="eastAsia"/>
                <w:color w:val="auto"/>
                <w:lang w:val="en-US" w:eastAsia="zh-CN"/>
              </w:rPr>
              <w:t>（响应文件中须提供具有CMA或CNAS认证标识的国家认可的检测机构出具的检测报告复印件）</w:t>
            </w:r>
          </w:p>
          <w:p w14:paraId="3D401D22">
            <w:pPr>
              <w:pStyle w:val="10"/>
              <w:keepNext w:val="0"/>
              <w:keepLines w:val="0"/>
              <w:numPr>
                <w:ilvl w:val="0"/>
                <w:numId w:val="0"/>
              </w:numPr>
              <w:suppressLineNumbers w:val="0"/>
              <w:spacing w:before="0" w:beforeAutospacing="0" w:afterAutospacing="0"/>
              <w:ind w:left="0" w:leftChars="0" w:right="0"/>
              <w:rPr>
                <w:rFonts w:hint="eastAsia"/>
                <w:color w:val="auto"/>
                <w:lang w:val="en-US" w:eastAsia="zh-CN"/>
              </w:rPr>
            </w:pPr>
            <w:r>
              <w:rPr>
                <w:rFonts w:hint="eastAsia" w:ascii="宋体" w:hAnsi="宋体" w:eastAsia="宋体" w:cs="宋体"/>
                <w:i w:val="0"/>
                <w:iCs w:val="0"/>
                <w:color w:val="auto"/>
                <w:kern w:val="0"/>
                <w:sz w:val="22"/>
                <w:szCs w:val="22"/>
                <w:u w:val="none"/>
                <w:lang w:val="en-US" w:eastAsia="zh-CN" w:bidi="ar"/>
              </w:rPr>
              <w:t>▲9</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课程回放：课程结束后自动生成直播回放，报名课程的学生可反复学习；回放课程自动保存在云端，支持人工删除；</w:t>
            </w:r>
            <w:r>
              <w:rPr>
                <w:rFonts w:hint="eastAsia"/>
                <w:color w:val="auto"/>
                <w:lang w:val="en-US" w:eastAsia="zh-CN"/>
              </w:rPr>
              <w:t>（响应文件中须提供具有CMA或CNAS认证标识的国家认可的检测机构出具的检测报告复印件）</w:t>
            </w:r>
          </w:p>
          <w:p w14:paraId="1768A12A">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个人账号：为使用方全体教师配备个人账号，形成体的信息化教学账号体系；根据教师账号信息将教师云空间匹配至对应学校、学科校本资源库。支持通过数字账号、微信二维码、硬件密钥方式登录教师个人账号；</w:t>
            </w:r>
            <w:r>
              <w:rPr>
                <w:rFonts w:hint="eastAsia"/>
                <w:color w:val="auto"/>
                <w:lang w:val="en-US" w:eastAsia="zh-CN"/>
              </w:rPr>
              <w:t>（响应文件中须提供具有CMA或CNAS认证标识的国家认可的检测机构出具的检测报告复印件）</w:t>
            </w:r>
          </w:p>
          <w:p w14:paraId="582452CD">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课堂活动：具备课堂活动智能填写功能，支持选词填空、判断对错和趣味选择三大课堂活动。支持输入文本后一键解析，自动将文本内容结构化填充至题干和正确选项，完成课堂活动的制作。</w:t>
            </w:r>
            <w:r>
              <w:rPr>
                <w:rFonts w:hint="eastAsia"/>
                <w:color w:val="auto"/>
                <w:lang w:val="en-US" w:eastAsia="zh-CN"/>
              </w:rPr>
              <w:t>（响应文件中须提供具有CMA或CNAS认证标识的国家认可的检测机构出具的检测报告复印件）</w:t>
            </w:r>
          </w:p>
          <w:p w14:paraId="51B01B71">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五、教学课程资源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提供互动式教学课件资源，包含学科教育各学段各地区教材版本不少于88个。包含学科教育各学段教材版本全部教学章节、专题教育多个主题教育、特殊教育三大分类不少于16000份的互动课件。按照下载量、课件质量、相关性会每天动态更新课件列表，提供按章节、主题筛选和关键词搜索，支持模糊搜索，具有默认排序、最多获取和最新上架三种排序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课件支持直接预览并下载。预览课件时可以拖动课堂活动、形状、几何、文本元素。下载时课件可同步至教师个人云空间。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课件支持教师在线评分。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在备课场景中支持搜索课件库课件资源，具有不少于15万份课件资源，支持整份课件或按照课件页插入课件中。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支持按照教学环节筛选对应课件页一键插入课件中，可导入新课、作者简介。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支持按照元素类型思维导图、课堂活动选取需要的部分补充课件缺失的部分。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支持在查看部分课件的同时查看对应整份课件，了解作者整体教学思路。</w:t>
            </w:r>
          </w:p>
          <w:p w14:paraId="29934F38">
            <w:pPr>
              <w:pStyle w:val="10"/>
              <w:keepNext w:val="0"/>
              <w:keepLines w:val="0"/>
              <w:numPr>
                <w:ilvl w:val="0"/>
                <w:numId w:val="0"/>
              </w:numPr>
              <w:suppressLineNumbers w:val="0"/>
              <w:spacing w:before="0" w:beforeAutospacing="0" w:afterAutospacing="0"/>
              <w:ind w:left="0" w:leftChars="0" w:right="0"/>
              <w:rPr>
                <w:rFonts w:hint="eastAsia"/>
                <w:color w:val="auto"/>
              </w:rPr>
            </w:pPr>
            <w:r>
              <w:rPr>
                <w:rFonts w:hint="eastAsia" w:ascii="宋体" w:hAnsi="宋体" w:eastAsia="宋体" w:cs="宋体"/>
                <w:b/>
                <w:bCs/>
                <w:i w:val="0"/>
                <w:iCs w:val="0"/>
                <w:color w:val="auto"/>
                <w:kern w:val="0"/>
                <w:sz w:val="22"/>
                <w:szCs w:val="22"/>
                <w:u w:val="none"/>
                <w:lang w:val="en-US" w:eastAsia="zh-CN" w:bidi="ar"/>
              </w:rPr>
              <w:t>六、其他要求：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为确保货物质量及原厂品质，中标供应商在正式供货时必须提供生产厂家针对此项目的售后服务保证原件、供货证明和技术参数确认函原件，否则采购方将不予验收通过。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标记“▲”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780" w:type="dxa"/>
            <w:vAlign w:val="center"/>
          </w:tcPr>
          <w:p w14:paraId="6758D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2BC37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20</w:t>
            </w:r>
          </w:p>
        </w:tc>
        <w:tc>
          <w:tcPr>
            <w:tcW w:w="585" w:type="dxa"/>
            <w:vAlign w:val="center"/>
          </w:tcPr>
          <w:p w14:paraId="12BC5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47EE6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49" w:name="OLE_LINK3"/>
            <w:r>
              <w:rPr>
                <w:rFonts w:hint="eastAsia" w:ascii="宋体" w:hAnsi="宋体" w:eastAsia="宋体" w:cs="宋体"/>
                <w:i w:val="0"/>
                <w:iCs w:val="0"/>
                <w:color w:val="auto"/>
                <w:kern w:val="0"/>
                <w:sz w:val="22"/>
                <w:szCs w:val="22"/>
                <w:u w:val="none"/>
                <w:lang w:val="en-US" w:eastAsia="zh-CN" w:bidi="ar"/>
              </w:rPr>
              <w:t>96000</w:t>
            </w:r>
            <w:bookmarkEnd w:id="49"/>
          </w:p>
        </w:tc>
      </w:tr>
      <w:tr w14:paraId="4CCC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92E18A5">
            <w:pPr>
              <w:pStyle w:val="33"/>
              <w:keepNext w:val="0"/>
              <w:keepLines w:val="0"/>
              <w:suppressLineNumbers w:val="0"/>
              <w:spacing w:before="0" w:beforeAutospacing="0" w:afterAutospacing="0"/>
              <w:ind w:right="0"/>
              <w:jc w:val="center"/>
              <w:rPr>
                <w:rFonts w:hint="eastAsia"/>
                <w:b/>
                <w:bCs/>
                <w:color w:val="auto"/>
                <w:lang w:val="en-US" w:eastAsia="zh-CN"/>
              </w:rPr>
            </w:pPr>
            <w:r>
              <w:rPr>
                <w:rFonts w:hint="eastAsia"/>
                <w:b/>
                <w:bCs/>
                <w:color w:val="auto"/>
                <w:lang w:val="en-US" w:eastAsia="zh-CN"/>
              </w:rPr>
              <w:t>2</w:t>
            </w:r>
          </w:p>
          <w:p w14:paraId="6C5C8954">
            <w:pPr>
              <w:keepNext w:val="0"/>
              <w:keepLines w:val="0"/>
              <w:suppressLineNumbers w:val="0"/>
              <w:bidi w:val="0"/>
              <w:spacing w:before="0" w:beforeAutospacing="0" w:after="0" w:afterAutospacing="0"/>
              <w:ind w:left="0" w:right="0"/>
              <w:jc w:val="center"/>
              <w:rPr>
                <w:rFonts w:hint="eastAsia"/>
                <w:b/>
                <w:bCs/>
                <w:color w:val="auto"/>
                <w:lang w:val="en-US" w:eastAsia="zh-CN"/>
              </w:rPr>
            </w:pPr>
          </w:p>
          <w:p w14:paraId="388FEE35">
            <w:pPr>
              <w:keepNext w:val="0"/>
              <w:keepLines w:val="0"/>
              <w:suppressLineNumbers w:val="0"/>
              <w:bidi w:val="0"/>
              <w:spacing w:before="0" w:beforeAutospacing="0" w:after="0" w:afterAutospacing="0"/>
              <w:ind w:left="0" w:right="0"/>
              <w:jc w:val="center"/>
              <w:rPr>
                <w:rFonts w:hint="default"/>
                <w:b/>
                <w:bCs/>
                <w:color w:val="auto"/>
                <w:lang w:val="en-US" w:eastAsia="zh-CN"/>
              </w:rPr>
            </w:pPr>
            <w:r>
              <w:rPr>
                <w:rFonts w:hint="eastAsia"/>
                <w:b/>
                <w:bCs/>
                <w:color w:val="auto"/>
                <w:lang w:val="en-US" w:eastAsia="zh-CN"/>
              </w:rPr>
              <w:t>2</w:t>
            </w:r>
          </w:p>
        </w:tc>
        <w:tc>
          <w:tcPr>
            <w:tcW w:w="915" w:type="dxa"/>
            <w:vAlign w:val="center"/>
          </w:tcPr>
          <w:p w14:paraId="0C64083A">
            <w:pPr>
              <w:pStyle w:val="33"/>
              <w:keepNext w:val="0"/>
              <w:keepLines w:val="0"/>
              <w:suppressLineNumbers w:val="0"/>
              <w:spacing w:before="0" w:beforeAutospacing="0" w:afterAutospacing="0"/>
              <w:ind w:right="0"/>
              <w:jc w:val="center"/>
              <w:rPr>
                <w:rFonts w:hint="eastAsia"/>
                <w:b/>
                <w:bCs/>
                <w:color w:val="auto"/>
              </w:rPr>
            </w:pPr>
          </w:p>
          <w:p w14:paraId="11FE9E53">
            <w:pPr>
              <w:keepNext w:val="0"/>
              <w:keepLines w:val="0"/>
              <w:suppressLineNumbers w:val="0"/>
              <w:bidi w:val="0"/>
              <w:spacing w:before="0" w:beforeAutospacing="0" w:after="0" w:afterAutospacing="0"/>
              <w:ind w:left="0" w:right="0"/>
              <w:jc w:val="center"/>
              <w:rPr>
                <w:rFonts w:hint="eastAsia"/>
                <w:b/>
                <w:bCs/>
                <w:color w:val="auto"/>
              </w:rPr>
            </w:pPr>
          </w:p>
          <w:p w14:paraId="30D77BDC">
            <w:pPr>
              <w:keepNext w:val="0"/>
              <w:keepLines w:val="0"/>
              <w:suppressLineNumbers w:val="0"/>
              <w:bidi w:val="0"/>
              <w:spacing w:before="0" w:beforeAutospacing="0" w:after="0" w:afterAutospacing="0"/>
              <w:ind w:left="0" w:right="0"/>
              <w:jc w:val="center"/>
              <w:rPr>
                <w:rFonts w:hint="eastAsia"/>
                <w:b/>
                <w:bCs/>
                <w:color w:val="auto"/>
              </w:rPr>
            </w:pPr>
          </w:p>
          <w:p w14:paraId="0CD6D263">
            <w:pPr>
              <w:keepNext w:val="0"/>
              <w:keepLines w:val="0"/>
              <w:suppressLineNumbers w:val="0"/>
              <w:bidi w:val="0"/>
              <w:spacing w:before="0" w:beforeAutospacing="0" w:after="0" w:afterAutospacing="0"/>
              <w:ind w:left="0" w:right="0"/>
              <w:jc w:val="center"/>
              <w:rPr>
                <w:rFonts w:hint="eastAsia"/>
                <w:b/>
                <w:bCs/>
                <w:color w:val="auto"/>
              </w:rPr>
            </w:pPr>
            <w:r>
              <w:rPr>
                <w:rFonts w:hint="eastAsia" w:ascii="宋体" w:hAnsi="宋体" w:eastAsia="宋体" w:cs="宋体"/>
                <w:b/>
                <w:bCs/>
                <w:i w:val="0"/>
                <w:iCs w:val="0"/>
                <w:color w:val="auto"/>
                <w:kern w:val="0"/>
                <w:sz w:val="22"/>
                <w:szCs w:val="22"/>
                <w:u w:val="none"/>
                <w:lang w:val="en-US" w:eastAsia="zh-CN" w:bidi="ar"/>
              </w:rPr>
              <w:t>教学一体机</w:t>
            </w:r>
          </w:p>
        </w:tc>
        <w:tc>
          <w:tcPr>
            <w:tcW w:w="6075" w:type="dxa"/>
          </w:tcPr>
          <w:p w14:paraId="5E2E411B">
            <w:pPr>
              <w:pStyle w:val="33"/>
              <w:keepNext w:val="0"/>
              <w:keepLines w:val="0"/>
              <w:numPr>
                <w:ilvl w:val="0"/>
                <w:numId w:val="0"/>
              </w:numPr>
              <w:suppressLineNumbers w:val="0"/>
              <w:spacing w:before="0" w:beforeAutospacing="0" w:afterAutospacing="0"/>
              <w:ind w:right="0"/>
              <w:jc w:val="both"/>
              <w:rPr>
                <w:rFonts w:hint="eastAsia" w:ascii="宋体" w:hAnsi="宋体" w:eastAsia="宋体" w:cs="宋体"/>
                <w:sz w:val="21"/>
                <w:szCs w:val="21"/>
                <w:highlight w:val="yellow"/>
                <w:lang w:val="en-US" w:eastAsia="zh-CN"/>
              </w:rPr>
            </w:pPr>
            <w:r>
              <w:rPr>
                <w:rFonts w:hint="eastAsia"/>
                <w:b/>
                <w:bCs/>
                <w:color w:val="auto"/>
                <w:lang w:val="en-US" w:eastAsia="zh-CN"/>
              </w:rPr>
              <w:t>一、内置OPS系统要求</w:t>
            </w:r>
            <w:r>
              <w:rPr>
                <w:rFonts w:hint="eastAsia"/>
                <w:color w:val="auto"/>
                <w:lang w:val="en-US" w:eastAsia="zh-CN"/>
              </w:rPr>
              <w:br w:type="textWrapping"/>
            </w:r>
            <w:r>
              <w:rPr>
                <w:rFonts w:hint="eastAsia" w:ascii="宋体" w:hAnsi="宋体" w:eastAsia="宋体" w:cs="宋体"/>
                <w:color w:val="auto"/>
                <w:sz w:val="21"/>
                <w:szCs w:val="21"/>
                <w:highlight w:val="none"/>
                <w:lang w:val="en-US" w:eastAsia="zh-CN"/>
              </w:rPr>
              <w:t>1.处理器：CPU 采用国产兆芯KX-U6780A处理器（或同等配置</w:t>
            </w:r>
            <w:r>
              <w:rPr>
                <w:rFonts w:hint="eastAsia" w:ascii="宋体" w:hAnsi="宋体" w:cs="宋体"/>
                <w:color w:val="auto"/>
                <w:sz w:val="21"/>
                <w:szCs w:val="21"/>
                <w:highlight w:val="none"/>
                <w:lang w:val="en-US" w:eastAsia="zh-CN"/>
              </w:rPr>
              <w:t>国产CPU</w:t>
            </w:r>
            <w:r>
              <w:rPr>
                <w:rFonts w:hint="eastAsia" w:ascii="宋体" w:hAnsi="宋体" w:eastAsia="宋体" w:cs="宋体"/>
                <w:color w:val="auto"/>
                <w:sz w:val="21"/>
                <w:szCs w:val="21"/>
                <w:highlight w:val="none"/>
                <w:lang w:val="en-US" w:eastAsia="zh-CN"/>
              </w:rPr>
              <w:t>），处理器核数≥8核，主频≥2.7GHz。；内存：8G 笔记本内存或以上配置；硬盘：256G或以上SSD固态硬盘。</w:t>
            </w:r>
          </w:p>
          <w:p w14:paraId="70628C93">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2.采用抽拉内置式模块化电脑，抽拉内置式，PC模块可插入整机，可实现无单独接线的插拔。</w:t>
            </w:r>
            <w:r>
              <w:rPr>
                <w:rFonts w:hint="eastAsia"/>
                <w:color w:val="auto"/>
                <w:lang w:val="en-US" w:eastAsia="zh-CN"/>
              </w:rPr>
              <w:br w:type="textWrapping"/>
            </w:r>
            <w:r>
              <w:rPr>
                <w:rFonts w:hint="eastAsia"/>
                <w:color w:val="auto"/>
                <w:lang w:val="en-US" w:eastAsia="zh-CN"/>
              </w:rPr>
              <w:t>3.具有硬件自检功能，可联动自身部件级硬件埋点自检且通过接口传递一体机自检数据</w:t>
            </w:r>
            <w:r>
              <w:rPr>
                <w:rFonts w:hint="eastAsia"/>
                <w:color w:val="auto"/>
                <w:lang w:val="en-US" w:eastAsia="zh-CN"/>
              </w:rPr>
              <w:br w:type="textWrapping"/>
            </w:r>
            <w:r>
              <w:rPr>
                <w:rFonts w:hint="eastAsia"/>
                <w:color w:val="auto"/>
                <w:lang w:val="en-US" w:eastAsia="zh-CN"/>
              </w:rPr>
              <w:t>4.采用按压式卡扣，确保PC模块安装固定到位，同时无需工具就可快速拆卸电脑模块。</w:t>
            </w:r>
            <w:r>
              <w:rPr>
                <w:rFonts w:hint="eastAsia"/>
                <w:color w:val="auto"/>
                <w:lang w:val="en-US" w:eastAsia="zh-CN"/>
              </w:rPr>
              <w:br w:type="textWrapping"/>
            </w:r>
            <w:r>
              <w:rPr>
                <w:rFonts w:hint="eastAsia"/>
                <w:color w:val="auto"/>
                <w:lang w:val="en-US" w:eastAsia="zh-CN"/>
              </w:rPr>
              <w:t>5.PC模块支持不断电情况下热插拔，以便快速维护或替换模块 6.PC模块的USB接口须为冗余备份接口，在正常使用整机的内置摄像头、内置麦克风功能时，USB接口不被占用，确保教师有足够的接口外接存储设备及显示设备</w:t>
            </w:r>
            <w:r>
              <w:rPr>
                <w:rFonts w:hint="eastAsia"/>
                <w:color w:val="auto"/>
                <w:lang w:val="en-US" w:eastAsia="zh-CN"/>
              </w:rPr>
              <w:br w:type="textWrapping"/>
            </w:r>
            <w:r>
              <w:rPr>
                <w:rFonts w:hint="eastAsia"/>
                <w:color w:val="auto"/>
                <w:lang w:val="en-US" w:eastAsia="zh-CN"/>
              </w:rPr>
              <w:t>7.具有独立非外扩展的视频输出接口：≥1路HDMI 。</w:t>
            </w:r>
            <w:r>
              <w:rPr>
                <w:rFonts w:hint="eastAsia"/>
                <w:color w:val="auto"/>
                <w:lang w:val="en-US" w:eastAsia="zh-CN"/>
              </w:rPr>
              <w:br w:type="textWrapping"/>
            </w:r>
            <w:r>
              <w:rPr>
                <w:rFonts w:hint="eastAsia"/>
                <w:color w:val="auto"/>
                <w:lang w:val="en-US" w:eastAsia="zh-CN"/>
              </w:rPr>
              <w:t>8.具有独立非外扩展的电脑USB接口：电脑上至少具备3个USB3.0 TypeA接口。</w:t>
            </w:r>
            <w:r>
              <w:rPr>
                <w:rFonts w:hint="eastAsia"/>
                <w:color w:val="auto"/>
                <w:lang w:val="en-US" w:eastAsia="zh-CN"/>
              </w:rPr>
              <w:br w:type="textWrapping"/>
            </w:r>
            <w:r>
              <w:rPr>
                <w:rFonts w:hint="eastAsia"/>
                <w:color w:val="auto"/>
                <w:lang w:val="en-US" w:eastAsia="zh-CN"/>
              </w:rPr>
              <w:t>9.具有标准PC防盗锁孔，确保电脑模块安全防盗。</w:t>
            </w:r>
            <w:r>
              <w:rPr>
                <w:rFonts w:hint="eastAsia"/>
                <w:color w:val="auto"/>
                <w:lang w:val="en-US" w:eastAsia="zh-CN"/>
              </w:rPr>
              <w:br w:type="textWrapping"/>
            </w:r>
            <w:r>
              <w:rPr>
                <w:rFonts w:hint="eastAsia"/>
                <w:b/>
                <w:bCs/>
                <w:color w:val="auto"/>
                <w:lang w:val="en-US" w:eastAsia="zh-CN"/>
              </w:rPr>
              <w:t>二、整机显示要求</w:t>
            </w:r>
            <w:r>
              <w:rPr>
                <w:rFonts w:hint="eastAsia"/>
                <w:color w:val="auto"/>
                <w:lang w:val="en-US" w:eastAsia="zh-CN"/>
              </w:rPr>
              <w:br w:type="textWrapping"/>
            </w:r>
            <w:r>
              <w:rPr>
                <w:rFonts w:hint="eastAsia"/>
                <w:color w:val="auto"/>
                <w:lang w:val="en-US" w:eastAsia="zh-CN"/>
              </w:rPr>
              <w:t>▲1.整机屏幕采用≥65英寸超高清LED 液晶显示屏，屏幕支持3840*2160分辨率，支持4K@60Hz显示。</w:t>
            </w:r>
            <w:r>
              <w:rPr>
                <w:rFonts w:hint="eastAsia"/>
                <w:color w:val="auto"/>
                <w:lang w:val="en-US" w:eastAsia="zh-CN"/>
              </w:rPr>
              <w:br w:type="textWrapping"/>
            </w:r>
            <w:r>
              <w:rPr>
                <w:rFonts w:hint="eastAsia"/>
                <w:color w:val="auto"/>
                <w:lang w:val="en-US" w:eastAsia="zh-CN"/>
              </w:rPr>
              <w:t>▲2.显示比例16:9，屏幕显示灰度分辨等级达到256灰阶及以上。（响应文件中须提供具有CMA或CNAS认证标识的国家认可的检测机构出具的检测报告复印件）</w:t>
            </w:r>
          </w:p>
          <w:p w14:paraId="4FFCD1EE">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3.支持护眼模式，可开启/关闭护眼模式。</w:t>
            </w:r>
            <w:r>
              <w:rPr>
                <w:rFonts w:hint="eastAsia"/>
                <w:color w:val="auto"/>
                <w:lang w:val="en-US" w:eastAsia="zh-CN"/>
              </w:rPr>
              <w:br w:type="textWrapping"/>
            </w:r>
            <w:r>
              <w:rPr>
                <w:rFonts w:hint="eastAsia"/>
                <w:color w:val="auto"/>
                <w:lang w:val="en-US" w:eastAsia="zh-CN"/>
              </w:rPr>
              <w:t>4.为了呵护儿童用眼健康及保证画面显示效果，整机需要支持光学护眼技术，通过降低LED液晶屏有害蓝光产生量进而达到光学护眼的目的，同时不改变画面显示效果，并通过莱茵认证。</w:t>
            </w:r>
            <w:r>
              <w:rPr>
                <w:rFonts w:hint="eastAsia"/>
                <w:color w:val="auto"/>
                <w:lang w:val="en-US" w:eastAsia="zh-CN"/>
              </w:rPr>
              <w:br w:type="textWrapping"/>
            </w:r>
            <w:r>
              <w:rPr>
                <w:rFonts w:hint="eastAsia"/>
                <w:color w:val="auto"/>
                <w:lang w:val="en-US" w:eastAsia="zh-CN"/>
              </w:rPr>
              <w:t>5.整机视网膜蓝光危害（蓝光加权辐射亮度LB）满足IEC TR 62778:2014蓝光危害RG0级别。</w:t>
            </w:r>
            <w:r>
              <w:rPr>
                <w:rFonts w:hint="eastAsia"/>
                <w:color w:val="auto"/>
                <w:lang w:val="en-US" w:eastAsia="zh-CN"/>
              </w:rPr>
              <w:br w:type="textWrapping"/>
            </w:r>
            <w:r>
              <w:rPr>
                <w:rFonts w:hint="eastAsia"/>
                <w:color w:val="auto"/>
                <w:lang w:val="en-US" w:eastAsia="zh-CN"/>
              </w:rPr>
              <w:t>▲6.整机支持纸质护眼模式，可在PC通道任意画面任意软件所有显示内容下实现画面纹理的调整；支持纸质纹理：牛皮纸、素描纸、宣纸、水彩纸、水纹纸；支持透明度调节。（响应文件中须提供具有CMA或CNAS认证标识的国家认可的检测机构出具的检测报告复印件）</w:t>
            </w:r>
          </w:p>
          <w:p w14:paraId="5F1EE3FE">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7.支持护眼模式，可开启/关闭护眼模式。</w:t>
            </w:r>
            <w:r>
              <w:rPr>
                <w:rFonts w:hint="eastAsia"/>
                <w:color w:val="auto"/>
                <w:lang w:val="en-US" w:eastAsia="zh-CN"/>
              </w:rPr>
              <w:br w:type="textWrapping"/>
            </w:r>
            <w:r>
              <w:rPr>
                <w:rFonts w:hint="eastAsia"/>
                <w:color w:val="auto"/>
                <w:lang w:val="en-US" w:eastAsia="zh-CN"/>
              </w:rPr>
              <w:t>8.具备标准、节能、多媒体、智能模式；在智能模式下，整机可以根据显示内容自动调节，此模式可以进行开关。</w:t>
            </w:r>
            <w:r>
              <w:rPr>
                <w:rFonts w:hint="eastAsia"/>
                <w:color w:val="auto"/>
                <w:lang w:val="en-US" w:eastAsia="zh-CN"/>
              </w:rPr>
              <w:br w:type="textWrapping"/>
            </w:r>
            <w:r>
              <w:rPr>
                <w:rFonts w:hint="eastAsia"/>
                <w:color w:val="auto"/>
                <w:lang w:val="en-US" w:eastAsia="zh-CN"/>
              </w:rPr>
              <w:t>▲9.整机支持画屏模式，可开启/关闭画屏模式。（响应文件中须提供具有CMA或CNAS认证标识的国家认可的检测机构出具的检测报告复印件）</w:t>
            </w:r>
          </w:p>
          <w:p w14:paraId="22BFB213">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10.具备手动选择标准，冷色、暖色的色温模式。</w:t>
            </w:r>
            <w:r>
              <w:rPr>
                <w:rFonts w:hint="eastAsia"/>
                <w:color w:val="auto"/>
                <w:lang w:val="en-US" w:eastAsia="zh-CN"/>
              </w:rPr>
              <w:br w:type="textWrapping"/>
            </w:r>
            <w:r>
              <w:rPr>
                <w:rFonts w:hint="eastAsia"/>
                <w:b/>
                <w:bCs/>
                <w:color w:val="auto"/>
                <w:lang w:val="en-US" w:eastAsia="zh-CN"/>
              </w:rPr>
              <w:t>三、整体设计</w:t>
            </w:r>
            <w:r>
              <w:rPr>
                <w:rFonts w:hint="eastAsia"/>
                <w:color w:val="auto"/>
                <w:lang w:val="en-US" w:eastAsia="zh-CN"/>
              </w:rPr>
              <w:br w:type="textWrapping"/>
            </w:r>
            <w:r>
              <w:rPr>
                <w:rFonts w:hint="eastAsia"/>
                <w:color w:val="auto"/>
                <w:lang w:val="en-US" w:eastAsia="zh-CN"/>
              </w:rPr>
              <w:t>1.整机外观无危险锐利边缘及危险锐利尖端，转角及边框部位都经倒圆或者倒角处理，且倒圆半径不小于10mm 或者倒圆弧长不小于 15mm。</w:t>
            </w:r>
            <w:r>
              <w:rPr>
                <w:rFonts w:hint="eastAsia"/>
                <w:color w:val="auto"/>
                <w:lang w:val="en-US" w:eastAsia="zh-CN"/>
              </w:rPr>
              <w:br w:type="textWrapping"/>
            </w:r>
            <w:r>
              <w:rPr>
                <w:rFonts w:hint="eastAsia"/>
                <w:color w:val="auto"/>
                <w:lang w:val="en-US" w:eastAsia="zh-CN"/>
              </w:rPr>
              <w:t>2.为防止儿童磕碰受伤，整机转角处采用内置硅胶防撞条设计，保护儿童安全。</w:t>
            </w:r>
            <w:r>
              <w:rPr>
                <w:rFonts w:hint="eastAsia"/>
                <w:color w:val="auto"/>
                <w:lang w:val="en-US" w:eastAsia="zh-CN"/>
              </w:rPr>
              <w:br w:type="textWrapping"/>
            </w:r>
            <w:r>
              <w:rPr>
                <w:rFonts w:hint="eastAsia"/>
                <w:color w:val="auto"/>
                <w:lang w:val="en-US" w:eastAsia="zh-CN"/>
              </w:rPr>
              <w:t>3.整机玻璃厚度不超过4mm，表面书写硬度≥9H，具备防眩光效果。</w:t>
            </w:r>
            <w:r>
              <w:rPr>
                <w:rFonts w:hint="eastAsia"/>
                <w:color w:val="auto"/>
                <w:lang w:val="en-US" w:eastAsia="zh-CN"/>
              </w:rPr>
              <w:br w:type="textWrapping"/>
            </w:r>
            <w:r>
              <w:rPr>
                <w:rFonts w:hint="eastAsia"/>
                <w:color w:val="auto"/>
                <w:lang w:val="en-US" w:eastAsia="zh-CN"/>
              </w:rPr>
              <w:t>4.整机具备抗振动、防跌落特性，保证整机运输或使用过程中不易受损。</w:t>
            </w:r>
            <w:r>
              <w:rPr>
                <w:rFonts w:hint="eastAsia"/>
                <w:color w:val="auto"/>
                <w:lang w:val="en-US" w:eastAsia="zh-CN"/>
              </w:rPr>
              <w:br w:type="textWrapping"/>
            </w:r>
            <w:r>
              <w:rPr>
                <w:rFonts w:hint="eastAsia"/>
                <w:color w:val="auto"/>
                <w:lang w:val="en-US" w:eastAsia="zh-CN"/>
              </w:rPr>
              <w:t>5.整机在0℃—40℃环境下可正常工作，在-20℃—60℃的环境下可正常贮存且贮存后功能无损。</w:t>
            </w:r>
            <w:r>
              <w:rPr>
                <w:rFonts w:hint="eastAsia"/>
                <w:color w:val="auto"/>
                <w:lang w:val="en-US" w:eastAsia="zh-CN"/>
              </w:rPr>
              <w:br w:type="textWrapping"/>
            </w:r>
            <w:r>
              <w:rPr>
                <w:rFonts w:hint="eastAsia"/>
                <w:color w:val="auto"/>
                <w:lang w:val="en-US" w:eastAsia="zh-CN"/>
              </w:rPr>
              <w:t>6.整机玻璃厚度不超过4mm，表面书写硬度≥9H，具备防眩光效果。</w:t>
            </w:r>
            <w:r>
              <w:rPr>
                <w:rFonts w:hint="eastAsia"/>
                <w:color w:val="auto"/>
                <w:lang w:val="en-US" w:eastAsia="zh-CN"/>
              </w:rPr>
              <w:br w:type="textWrapping"/>
            </w:r>
            <w:r>
              <w:rPr>
                <w:rFonts w:hint="eastAsia"/>
                <w:color w:val="auto"/>
                <w:lang w:val="en-US" w:eastAsia="zh-CN"/>
              </w:rPr>
              <w:t>7.整机接口设计：</w:t>
            </w:r>
            <w:r>
              <w:rPr>
                <w:rFonts w:hint="eastAsia"/>
                <w:color w:val="auto"/>
                <w:lang w:val="en-US" w:eastAsia="zh-CN"/>
              </w:rPr>
              <w:br w:type="textWrapping"/>
            </w:r>
            <w:r>
              <w:rPr>
                <w:rFonts w:hint="eastAsia"/>
                <w:color w:val="auto"/>
                <w:lang w:val="en-US" w:eastAsia="zh-CN"/>
              </w:rPr>
              <w:t>（1）前置接口≥USB*2。</w:t>
            </w:r>
            <w:r>
              <w:rPr>
                <w:rFonts w:hint="eastAsia"/>
                <w:color w:val="auto"/>
                <w:lang w:val="en-US" w:eastAsia="zh-CN"/>
              </w:rPr>
              <w:br w:type="textWrapping"/>
            </w:r>
            <w:r>
              <w:rPr>
                <w:rFonts w:hint="eastAsia"/>
                <w:color w:val="auto"/>
                <w:lang w:val="en-US" w:eastAsia="zh-CN"/>
              </w:rPr>
              <w:t>（2）侧置接口：≥1路HDMI In ；≥1路PC Audio IN；；≥1路Audio out；≥1路touch USB。</w:t>
            </w:r>
            <w:r>
              <w:rPr>
                <w:rFonts w:hint="eastAsia"/>
                <w:color w:val="auto"/>
                <w:lang w:val="en-US" w:eastAsia="zh-CN"/>
              </w:rPr>
              <w:br w:type="textWrapping"/>
            </w:r>
            <w:r>
              <w:rPr>
                <w:rFonts w:hint="eastAsia"/>
                <w:color w:val="auto"/>
                <w:lang w:val="en-US" w:eastAsia="zh-CN"/>
              </w:rPr>
              <w:t>8.整机的内置扬声器采用覆盖式透声布，防止异物进入扬声器。</w:t>
            </w:r>
            <w:r>
              <w:rPr>
                <w:rFonts w:hint="eastAsia"/>
                <w:color w:val="auto"/>
                <w:lang w:val="en-US" w:eastAsia="zh-CN"/>
              </w:rPr>
              <w:br w:type="textWrapping"/>
            </w:r>
            <w:r>
              <w:rPr>
                <w:rFonts w:hint="eastAsia"/>
                <w:color w:val="auto"/>
                <w:lang w:val="en-US" w:eastAsia="zh-CN"/>
              </w:rPr>
              <w:t>▲9.整机内置 2.1 声道扬声器，前朝向中高音≥2*10W，背朝向低音≥20W，额定总功率≥40W。</w:t>
            </w:r>
            <w:r>
              <w:rPr>
                <w:rFonts w:hint="eastAsia"/>
                <w:color w:val="auto"/>
                <w:lang w:val="en-US" w:eastAsia="zh-CN"/>
              </w:rPr>
              <w:br w:type="textWrapping"/>
            </w:r>
            <w:r>
              <w:rPr>
                <w:rFonts w:hint="eastAsia"/>
                <w:b/>
                <w:bCs/>
                <w:color w:val="auto"/>
                <w:lang w:val="en-US" w:eastAsia="zh-CN"/>
              </w:rPr>
              <w:t>四、内置系统设计</w:t>
            </w:r>
            <w:r>
              <w:rPr>
                <w:rFonts w:hint="eastAsia"/>
                <w:color w:val="auto"/>
                <w:lang w:val="en-US" w:eastAsia="zh-CN"/>
              </w:rPr>
              <w:br w:type="textWrapping"/>
            </w:r>
            <w:r>
              <w:rPr>
                <w:rFonts w:hint="eastAsia"/>
                <w:color w:val="auto"/>
                <w:lang w:val="en-US" w:eastAsia="zh-CN"/>
              </w:rPr>
              <w:t>▲1.整机采用红外触控技术，支持≥40点触控，支持多人同时操作书写。（响应文件中须提供具有CMA或CNAS认证标识的国家认可的检测机构出具的检测报告复印件）</w:t>
            </w:r>
          </w:p>
          <w:p w14:paraId="16864DDD">
            <w:pPr>
              <w:pStyle w:val="33"/>
              <w:keepNext w:val="0"/>
              <w:keepLines w:val="0"/>
              <w:numPr>
                <w:ilvl w:val="0"/>
                <w:numId w:val="0"/>
              </w:numPr>
              <w:suppressLineNumbers w:val="0"/>
              <w:spacing w:before="0" w:beforeAutospacing="0" w:afterAutospacing="0"/>
              <w:ind w:right="0"/>
              <w:jc w:val="both"/>
              <w:rPr>
                <w:rFonts w:hint="eastAsia" w:asciiTheme="minorEastAsia" w:hAnsiTheme="minorEastAsia" w:eastAsiaTheme="minorEastAsia" w:cstheme="minorEastAsia"/>
                <w:color w:val="auto"/>
                <w:lang w:val="en-US" w:eastAsia="zh-CN"/>
              </w:rPr>
            </w:pPr>
            <w:r>
              <w:rPr>
                <w:rFonts w:hint="eastAsia"/>
                <w:color w:val="auto"/>
                <w:lang w:val="en-US" w:eastAsia="zh-CN"/>
              </w:rPr>
              <w:t>2.最低书写高度≤3mm，书写延时低于100ms。触摸响应时间≤10ms，支持手指和笔触摸书写。</w:t>
            </w:r>
            <w:r>
              <w:rPr>
                <w:rFonts w:hint="eastAsia"/>
                <w:color w:val="auto"/>
                <w:lang w:val="en-US" w:eastAsia="zh-CN"/>
              </w:rPr>
              <w:br w:type="textWrapping"/>
            </w:r>
            <w:r>
              <w:rPr>
                <w:rFonts w:hint="eastAsia"/>
                <w:color w:val="auto"/>
                <w:lang w:val="en-US" w:eastAsia="zh-CN"/>
              </w:rPr>
              <w:t>3.触摸屏具有防遮挡功能，触摸接收器在单点或多点遮挡后仍能正常书写，老师可进行课堂操作。</w:t>
            </w:r>
            <w:r>
              <w:rPr>
                <w:rFonts w:hint="eastAsia"/>
                <w:color w:val="auto"/>
                <w:lang w:val="en-US" w:eastAsia="zh-CN"/>
              </w:rPr>
              <w:br w:type="textWrapping"/>
            </w:r>
            <w:r>
              <w:rPr>
                <w:rFonts w:hint="eastAsia"/>
                <w:color w:val="auto"/>
                <w:lang w:val="en-US" w:eastAsia="zh-CN"/>
              </w:rPr>
              <w:t>▲4.触摸屏具有防光干扰功能，能在照度100K LUX（勒克司）</w:t>
            </w:r>
            <w:r>
              <w:rPr>
                <w:rFonts w:hint="eastAsia"/>
                <w:color w:val="auto"/>
                <w:highlight w:val="none"/>
                <w:lang w:val="en-US" w:eastAsia="zh-CN"/>
              </w:rPr>
              <w:t>环境下仍能正常工作。</w:t>
            </w:r>
            <w:r>
              <w:rPr>
                <w:rFonts w:hint="eastAsia"/>
                <w:color w:val="auto"/>
                <w:highlight w:val="none"/>
                <w:lang w:val="en-US" w:eastAsia="zh-CN"/>
              </w:rPr>
              <w:br w:type="textWrapping"/>
            </w:r>
            <w:r>
              <w:rPr>
                <w:rFonts w:hint="eastAsia" w:asciiTheme="minorEastAsia" w:hAnsiTheme="minorEastAsia" w:eastAsiaTheme="minorEastAsia" w:cstheme="minorEastAsia"/>
                <w:color w:val="auto"/>
                <w:highlight w:val="none"/>
                <w:lang w:val="en-US" w:eastAsia="zh-CN"/>
              </w:rPr>
              <w:t>▲5.支持国产操作系统的电脑接入时，无需安装触摸框驱动。</w:t>
            </w:r>
          </w:p>
          <w:p w14:paraId="1ADFA66B">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b/>
                <w:bCs/>
                <w:color w:val="auto"/>
                <w:lang w:val="en-US" w:eastAsia="zh-CN"/>
              </w:rPr>
              <w:t>五、整机功能设计</w:t>
            </w:r>
            <w:r>
              <w:rPr>
                <w:rFonts w:hint="eastAsia"/>
                <w:color w:val="auto"/>
                <w:lang w:val="en-US" w:eastAsia="zh-CN"/>
              </w:rPr>
              <w:br w:type="textWrapping"/>
            </w:r>
            <w:r>
              <w:rPr>
                <w:rFonts w:hint="eastAsia"/>
                <w:b/>
                <w:bCs/>
                <w:color w:val="auto"/>
                <w:lang w:val="en-US" w:eastAsia="zh-CN"/>
              </w:rPr>
              <w:t>（一）网络与NFC模块功能</w:t>
            </w:r>
            <w:r>
              <w:rPr>
                <w:rFonts w:hint="eastAsia"/>
                <w:color w:val="auto"/>
                <w:lang w:val="en-US" w:eastAsia="zh-CN"/>
              </w:rPr>
              <w:br w:type="textWrapping"/>
            </w:r>
            <w:r>
              <w:rPr>
                <w:rFonts w:hint="eastAsia"/>
                <w:color w:val="auto"/>
                <w:lang w:val="en-US" w:eastAsia="zh-CN"/>
              </w:rPr>
              <w:t>▲1.整机支持版本Wi-Fi6，满足IEEE 802.11 a/b/g/n/ac/ax标准。</w:t>
            </w:r>
            <w:r>
              <w:rPr>
                <w:rFonts w:hint="eastAsia"/>
                <w:color w:val="auto"/>
                <w:lang w:val="en-US" w:eastAsia="zh-CN"/>
              </w:rPr>
              <w:br w:type="textWrapping"/>
            </w:r>
            <w:r>
              <w:rPr>
                <w:rFonts w:hint="eastAsia"/>
                <w:color w:val="auto"/>
                <w:lang w:val="en-US" w:eastAsia="zh-CN"/>
              </w:rPr>
              <w:t>2.整机内置无线传输模块，无任何外接或转接天线,网卡，即可实现Wi-Fi无线上网连.接，AP无线热点发射，WIFI支持2.4G/5G频段。</w:t>
            </w:r>
          </w:p>
          <w:p w14:paraId="7D97BE1F">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3.整机支持蓝牙 Bluetooth5.2标准。</w:t>
            </w:r>
            <w:r>
              <w:rPr>
                <w:rFonts w:hint="eastAsia"/>
                <w:color w:val="auto"/>
                <w:lang w:val="en-US" w:eastAsia="zh-CN"/>
              </w:rPr>
              <w:br w:type="textWrapping"/>
            </w:r>
            <w:r>
              <w:rPr>
                <w:rFonts w:hint="eastAsia"/>
                <w:color w:val="auto"/>
                <w:lang w:val="en-US" w:eastAsia="zh-CN"/>
              </w:rPr>
              <w:t>4.整机天线采用隐藏式方式，无外露天线。</w:t>
            </w:r>
            <w:r>
              <w:rPr>
                <w:rFonts w:hint="eastAsia"/>
                <w:color w:val="auto"/>
                <w:lang w:val="en-US" w:eastAsia="zh-CN"/>
              </w:rPr>
              <w:br w:type="textWrapping"/>
            </w:r>
            <w:r>
              <w:rPr>
                <w:rFonts w:hint="eastAsia"/>
                <w:color w:val="auto"/>
                <w:lang w:val="en-US" w:eastAsia="zh-CN"/>
              </w:rPr>
              <w:t>5.整机内置NFC读卡模块。</w:t>
            </w:r>
            <w:r>
              <w:rPr>
                <w:rFonts w:hint="eastAsia"/>
                <w:color w:val="auto"/>
                <w:lang w:val="en-US" w:eastAsia="zh-CN"/>
              </w:rPr>
              <w:br w:type="textWrapping"/>
            </w:r>
            <w:r>
              <w:rPr>
                <w:rFonts w:hint="eastAsia"/>
                <w:color w:val="auto"/>
                <w:lang w:val="en-US" w:eastAsia="zh-CN"/>
              </w:rPr>
              <w:t>6.整机支持识别带NFC芯片的资源卡片，当资源卡片贴合整机NFC读卡区域，可以实现与整机内置资源进行交互。</w:t>
            </w:r>
            <w:r>
              <w:rPr>
                <w:rFonts w:hint="eastAsia"/>
                <w:color w:val="auto"/>
                <w:lang w:val="en-US" w:eastAsia="zh-CN"/>
              </w:rPr>
              <w:br w:type="textWrapping"/>
            </w:r>
            <w:r>
              <w:rPr>
                <w:rFonts w:hint="eastAsia"/>
                <w:b/>
                <w:bCs/>
                <w:color w:val="auto"/>
                <w:lang w:val="en-US" w:eastAsia="zh-CN"/>
              </w:rPr>
              <w:t>（二）摄像头与幼教功能</w:t>
            </w:r>
            <w:r>
              <w:rPr>
                <w:rFonts w:hint="eastAsia"/>
                <w:color w:val="auto"/>
                <w:lang w:val="en-US" w:eastAsia="zh-CN"/>
              </w:rPr>
              <w:br w:type="textWrapping"/>
            </w:r>
            <w:r>
              <w:rPr>
                <w:rFonts w:hint="eastAsia"/>
                <w:color w:val="auto"/>
                <w:lang w:val="en-US" w:eastAsia="zh-CN"/>
              </w:rPr>
              <w:t>▲1.整机支持独立摄像头设计，摄像机拍摄的像素≥1300万像素数，摄像机拍摄视频的分辨率为4K，视场角≥120°。</w:t>
            </w:r>
            <w:r>
              <w:rPr>
                <w:rFonts w:hint="eastAsia"/>
                <w:color w:val="auto"/>
                <w:lang w:val="en-US" w:eastAsia="zh-CN"/>
              </w:rPr>
              <w:br w:type="textWrapping"/>
            </w:r>
            <w:r>
              <w:rPr>
                <w:rFonts w:hint="eastAsia"/>
                <w:color w:val="auto"/>
                <w:lang w:val="en-US" w:eastAsia="zh-CN"/>
              </w:rPr>
              <w:t>2.整机摄像头采用卡通设计，外观颜色与整机颜色保持一致。</w:t>
            </w:r>
            <w:r>
              <w:rPr>
                <w:rFonts w:hint="eastAsia"/>
                <w:color w:val="auto"/>
                <w:lang w:val="en-US" w:eastAsia="zh-CN"/>
              </w:rPr>
              <w:br w:type="textWrapping"/>
            </w:r>
            <w:r>
              <w:rPr>
                <w:rFonts w:hint="eastAsia"/>
                <w:color w:val="auto"/>
                <w:lang w:val="en-US" w:eastAsia="zh-CN"/>
              </w:rPr>
              <w:t>3.摄像头底座预留孔位，可直接手拧，确保后装方便及设备稳定摄录。</w:t>
            </w:r>
            <w:r>
              <w:rPr>
                <w:rFonts w:hint="eastAsia"/>
                <w:color w:val="auto"/>
                <w:lang w:val="en-US" w:eastAsia="zh-CN"/>
              </w:rPr>
              <w:br w:type="textWrapping"/>
            </w:r>
            <w:r>
              <w:rPr>
                <w:rFonts w:hint="eastAsia"/>
                <w:color w:val="auto"/>
                <w:lang w:val="en-US" w:eastAsia="zh-CN"/>
              </w:rPr>
              <w:t>▲4.摄像头内置双阵列麦克风，拾音距离≥12m。</w:t>
            </w:r>
            <w:r>
              <w:rPr>
                <w:rFonts w:hint="eastAsia"/>
                <w:color w:val="auto"/>
                <w:lang w:val="en-US" w:eastAsia="zh-CN"/>
              </w:rPr>
              <w:br w:type="textWrapping"/>
            </w:r>
            <w:r>
              <w:rPr>
                <w:rFonts w:hint="eastAsia"/>
                <w:color w:val="auto"/>
                <w:lang w:val="en-US" w:eastAsia="zh-CN"/>
              </w:rPr>
              <w:t>▲5.整机内置AI语音操控模块，唤醒词激活后可通过语音控制整机开关白板软件、幼儿相机、幼教 软件、屏幕亮度、关机、待机及待机唤醒。语义词库支持离线使用，在无网络环境下依然可进行语音交互。</w:t>
            </w:r>
            <w:r>
              <w:rPr>
                <w:rFonts w:hint="eastAsia"/>
                <w:color w:val="auto"/>
                <w:lang w:val="en-US" w:eastAsia="zh-CN"/>
              </w:rPr>
              <w:br w:type="textWrapping"/>
            </w:r>
            <w:r>
              <w:rPr>
                <w:rFonts w:hint="eastAsia"/>
                <w:color w:val="auto"/>
                <w:lang w:val="en-US" w:eastAsia="zh-CN"/>
              </w:rPr>
              <w:t>6.整机配套相机软件，可以实现拍照和录像功能。拍照支持延时拍摄，可设置3s、5s延时期限。幼教相机拍照及录像的开始、保存、重拍、取消操作均支持语音操控。</w:t>
            </w:r>
            <w:r>
              <w:rPr>
                <w:rFonts w:hint="eastAsia"/>
                <w:color w:val="auto"/>
                <w:lang w:val="en-US" w:eastAsia="zh-CN"/>
              </w:rPr>
              <w:br w:type="textWrapping"/>
            </w:r>
            <w:r>
              <w:rPr>
                <w:rFonts w:hint="eastAsia"/>
                <w:color w:val="auto"/>
                <w:lang w:val="en-US" w:eastAsia="zh-CN"/>
              </w:rPr>
              <w:t>7.支持外接信号输入时自动唤醒功能，整机处于关机上电情况下，外部接入HDMI信号自动唤醒整 机并开机，无需人为操作。断开外接信号源整机自动跳转到原有信号源通道。</w:t>
            </w:r>
            <w:r>
              <w:rPr>
                <w:rFonts w:hint="eastAsia"/>
                <w:color w:val="auto"/>
                <w:lang w:val="en-US" w:eastAsia="zh-CN"/>
              </w:rPr>
              <w:br w:type="textWrapping"/>
            </w:r>
            <w:r>
              <w:rPr>
                <w:rFonts w:hint="eastAsia"/>
                <w:color w:val="auto"/>
                <w:lang w:val="en-US" w:eastAsia="zh-CN"/>
              </w:rPr>
              <w:t>▲8.前置物理按键，具备智能电子产品一键式自主融合（响应文件中须提供具有CMA或CNAS认证标识的国家认可的检测机构出具的检测报告复印件）</w:t>
            </w:r>
          </w:p>
          <w:p w14:paraId="37EC3F2C">
            <w:pPr>
              <w:pStyle w:val="33"/>
              <w:keepNext w:val="0"/>
              <w:keepLines w:val="0"/>
              <w:numPr>
                <w:ilvl w:val="0"/>
                <w:numId w:val="0"/>
              </w:numPr>
              <w:suppressLineNumbers w:val="0"/>
              <w:spacing w:before="0" w:beforeAutospacing="0" w:afterAutospacing="0"/>
              <w:ind w:right="0"/>
              <w:jc w:val="both"/>
              <w:rPr>
                <w:rFonts w:hint="eastAsia"/>
                <w:color w:val="auto"/>
                <w:highlight w:val="none"/>
                <w:lang w:val="en-US" w:eastAsia="zh-CN"/>
              </w:rPr>
            </w:pPr>
            <w:r>
              <w:rPr>
                <w:rFonts w:hint="eastAsia"/>
                <w:color w:val="auto"/>
                <w:lang w:val="en-US" w:eastAsia="zh-CN"/>
              </w:rPr>
              <w:t>1）长按该按键可同时开启/关闭整机系统和内置电脑；</w:t>
            </w:r>
            <w:r>
              <w:rPr>
                <w:rFonts w:hint="eastAsia"/>
                <w:color w:val="auto"/>
                <w:lang w:val="en-US" w:eastAsia="zh-CN"/>
              </w:rPr>
              <w:br w:type="textWrapping"/>
            </w:r>
            <w:r>
              <w:rPr>
                <w:rFonts w:hint="eastAsia"/>
                <w:color w:val="auto"/>
                <w:lang w:val="en-US" w:eastAsia="zh-CN"/>
              </w:rPr>
              <w:t>2）短按该按键，可以实现节能熄屏/唤醒屏幕；</w:t>
            </w:r>
            <w:r>
              <w:rPr>
                <w:rFonts w:hint="eastAsia"/>
                <w:color w:val="auto"/>
                <w:lang w:val="en-US" w:eastAsia="zh-CN"/>
              </w:rPr>
              <w:br w:type="textWrapping"/>
            </w:r>
            <w:r>
              <w:rPr>
                <w:rFonts w:hint="eastAsia"/>
                <w:color w:val="auto"/>
                <w:lang w:val="en-US" w:eastAsia="zh-CN"/>
              </w:rPr>
              <w:t>3）整机开机过程中，长按按键10s，可以进入BIOS还原模式，实现一键还原功能。</w:t>
            </w:r>
            <w:r>
              <w:rPr>
                <w:rFonts w:hint="eastAsia"/>
                <w:color w:val="auto"/>
                <w:lang w:val="en-US" w:eastAsia="zh-CN"/>
              </w:rPr>
              <w:br w:type="textWrapping"/>
            </w:r>
            <w:r>
              <w:rPr>
                <w:rFonts w:hint="eastAsia"/>
                <w:color w:val="auto"/>
                <w:highlight w:val="none"/>
                <w:lang w:val="en-US" w:eastAsia="zh-CN"/>
              </w:rPr>
              <w:t>▲9.整机具备多功能按键</w:t>
            </w:r>
          </w:p>
          <w:p w14:paraId="4433AF6A">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ascii="宋体" w:hAnsi="宋体" w:eastAsia="宋体" w:cs="宋体"/>
                <w:sz w:val="21"/>
                <w:szCs w:val="21"/>
                <w:highlight w:val="none"/>
                <w:lang w:val="en-US" w:eastAsia="zh-CN"/>
              </w:rPr>
              <w:t>1）通过该按键，默认情况下用户可以一键打开相机，相机录像过程中，点击相机按键，可以结束并保存录像；</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2）通过长按该按键，用户可以将国产操作系统中已安装的应用定义为快捷按键，再次点击按键，可退出快捷按键关联的软件；</w:t>
            </w:r>
            <w:r>
              <w:rPr>
                <w:rFonts w:hint="eastAsia"/>
                <w:color w:val="auto"/>
                <w:highlight w:val="yellow"/>
                <w:lang w:val="en-US" w:eastAsia="zh-CN"/>
              </w:rPr>
              <w:br w:type="textWrapping"/>
            </w:r>
            <w:r>
              <w:rPr>
                <w:rFonts w:hint="eastAsia"/>
                <w:color w:val="auto"/>
                <w:lang w:val="en-US" w:eastAsia="zh-CN"/>
              </w:rPr>
              <w:t>10.当打开自动节能模式后，在设备处于有信号状态下，遮住光感一分钟后自动息屏；在设备处于无信号状态下，一分钟息屏，再过两分钟关机。节能模式未开启后，当设备在五分钟内处于无信号 接收状态且无人操作时，设备自动关机。</w:t>
            </w:r>
            <w:r>
              <w:rPr>
                <w:rFonts w:hint="eastAsia"/>
                <w:color w:val="auto"/>
                <w:lang w:val="en-US" w:eastAsia="zh-CN"/>
              </w:rPr>
              <w:br w:type="textWrapping"/>
            </w:r>
            <w:r>
              <w:rPr>
                <w:rFonts w:hint="eastAsia"/>
                <w:color w:val="auto"/>
                <w:lang w:val="en-US" w:eastAsia="zh-CN"/>
              </w:rPr>
              <w:t>11.整机在任意信号源通道均可调出全通道触摸中控设置菜单，中控菜单具备声音、图像、设置、缩放 以及亮度设置模块，其中支持开启/关闭自动节能 和护眼模式。</w:t>
            </w:r>
            <w:r>
              <w:rPr>
                <w:rFonts w:hint="eastAsia"/>
                <w:color w:val="auto"/>
                <w:lang w:val="en-US" w:eastAsia="zh-CN"/>
              </w:rPr>
              <w:br w:type="textWrapping"/>
            </w:r>
            <w:r>
              <w:rPr>
                <w:rFonts w:hint="eastAsia"/>
                <w:color w:val="auto"/>
                <w:lang w:val="en-US" w:eastAsia="zh-CN"/>
              </w:rPr>
              <w:t>12.支持无线智能遥控，具备电视遥控功能和电脑键盘 常用的 Fl—F12 功能键及 Alt+F4、Alt+Tab、Space、 Enter、Win快捷按键，可一键锁定/解锁触摸及整机实体按键。</w:t>
            </w:r>
            <w:r>
              <w:rPr>
                <w:rFonts w:hint="eastAsia"/>
                <w:color w:val="auto"/>
                <w:lang w:val="en-US" w:eastAsia="zh-CN"/>
              </w:rPr>
              <w:br w:type="textWrapping"/>
            </w:r>
            <w:r>
              <w:rPr>
                <w:rFonts w:hint="eastAsia"/>
                <w:b/>
                <w:bCs/>
                <w:color w:val="auto"/>
                <w:lang w:val="en-US" w:eastAsia="zh-CN"/>
              </w:rPr>
              <w:t>六、幼教备授课软件设计</w:t>
            </w:r>
            <w:r>
              <w:rPr>
                <w:rFonts w:hint="eastAsia"/>
                <w:color w:val="auto"/>
                <w:lang w:val="en-US" w:eastAsia="zh-CN"/>
              </w:rPr>
              <w:br w:type="textWrapping"/>
            </w:r>
            <w:r>
              <w:rPr>
                <w:rFonts w:hint="eastAsia"/>
                <w:color w:val="auto"/>
                <w:lang w:val="en-US" w:eastAsia="zh-CN"/>
              </w:rPr>
              <w:t>1.备授课一体化，具有备课模式及授课模式， 且操作界面根据备课和授课使用场景不同而区别设计，符合用户使用需求。</w:t>
            </w:r>
            <w:r>
              <w:rPr>
                <w:rFonts w:hint="eastAsia"/>
                <w:color w:val="auto"/>
                <w:lang w:val="en-US" w:eastAsia="zh-CN"/>
              </w:rPr>
              <w:br w:type="textWrapping"/>
            </w:r>
            <w:r>
              <w:rPr>
                <w:rFonts w:hint="eastAsia"/>
                <w:color w:val="auto"/>
                <w:lang w:val="en-US" w:eastAsia="zh-CN"/>
              </w:rPr>
              <w:t>2.备课模式工具栏会自动根据老师账号中关联的学科不同而提供相对应的教学工具， 例如语文学科会出现田字格工具， 数学学科则出现几何工具，无需老师自行选择。</w:t>
            </w:r>
            <w:r>
              <w:rPr>
                <w:rFonts w:hint="eastAsia"/>
                <w:color w:val="auto"/>
                <w:lang w:val="en-US" w:eastAsia="zh-CN"/>
              </w:rPr>
              <w:br w:type="textWrapping"/>
            </w:r>
            <w:r>
              <w:rPr>
                <w:rFonts w:hint="eastAsia"/>
                <w:color w:val="auto"/>
                <w:lang w:val="en-US" w:eastAsia="zh-CN"/>
              </w:rPr>
              <w:t>3.支持课件云存储，无需使用 U 盘等存储设备，老师只需联网登录即可获取云课件， 并支持课件云分享，可将课件直接分享给其他用户，只需输入其他用户移动终端号即可。</w:t>
            </w:r>
            <w:r>
              <w:rPr>
                <w:rFonts w:hint="eastAsia"/>
                <w:color w:val="auto"/>
                <w:lang w:val="en-US" w:eastAsia="zh-CN"/>
              </w:rPr>
              <w:br w:type="textWrapping"/>
            </w:r>
            <w:r>
              <w:rPr>
                <w:rFonts w:hint="eastAsia"/>
                <w:color w:val="auto"/>
                <w:lang w:val="en-US" w:eastAsia="zh-CN"/>
              </w:rPr>
              <w:t>4.支持用户一键云同步所有已在软件中打开编辑的课件，无需逐一保存，节省备课时间。同时对于未同步成功的课件，软件将进行提示，保障所有课件都为最新修改内容。</w:t>
            </w:r>
            <w:r>
              <w:rPr>
                <w:rFonts w:hint="eastAsia"/>
                <w:color w:val="auto"/>
                <w:lang w:val="en-US" w:eastAsia="zh-CN"/>
              </w:rPr>
              <w:br w:type="textWrapping"/>
            </w:r>
            <w:r>
              <w:rPr>
                <w:rFonts w:hint="eastAsia"/>
                <w:color w:val="auto"/>
                <w:lang w:val="en-US" w:eastAsia="zh-CN"/>
              </w:rPr>
              <w:t>▲5.互动分类式游戏：支持创建互动分类游戏，可自定义不同类别及相对应的对象， 实现将不同对象拖拽到对应的类别容器中可自动辨识分类， 分类正确或错误均有相应提示。 类别和对象的样式、 数量均可以自定义设置。 系统需提供不少于 9种游戏模板，直接选择并输入相应内容即可轻松生成互动分类游戏，提升课堂趣味性。</w:t>
            </w:r>
            <w:r>
              <w:rPr>
                <w:rFonts w:hint="eastAsia"/>
                <w:color w:val="auto"/>
                <w:lang w:val="en-US" w:eastAsia="zh-CN"/>
              </w:rPr>
              <w:br w:type="textWrapping"/>
            </w:r>
            <w:r>
              <w:rPr>
                <w:rFonts w:hint="eastAsia"/>
                <w:color w:val="auto"/>
                <w:lang w:val="en-US" w:eastAsia="zh-CN"/>
              </w:rPr>
              <w:t>6.课件背景：提供不少于9 种背景模板供老师选择，持自定义背景。</w:t>
            </w:r>
            <w:r>
              <w:rPr>
                <w:rFonts w:hint="eastAsia"/>
                <w:color w:val="auto"/>
                <w:lang w:val="en-US" w:eastAsia="zh-CN"/>
              </w:rPr>
              <w:br w:type="textWrapping"/>
            </w:r>
            <w:r>
              <w:rPr>
                <w:rFonts w:hint="eastAsia"/>
                <w:color w:val="auto"/>
                <w:lang w:val="en-US" w:eastAsia="zh-CN"/>
              </w:rPr>
              <w:t>7.美术画板：支持美术画板工具，提供铅笔、毛笔、油画笔，可实现模拟调色盘功能，老师可自由选择不同颜色进行混合调色，搭配出任意色彩。</w:t>
            </w:r>
            <w:r>
              <w:rPr>
                <w:rFonts w:hint="eastAsia"/>
                <w:color w:val="auto"/>
                <w:lang w:val="en-US" w:eastAsia="zh-CN"/>
              </w:rPr>
              <w:br w:type="textWrapping"/>
            </w:r>
            <w:r>
              <w:rPr>
                <w:rFonts w:hint="eastAsia"/>
                <w:color w:val="auto"/>
                <w:lang w:val="en-US" w:eastAsia="zh-CN"/>
              </w:rPr>
              <w:t>8.快捷抠图：无需借助专业图片处理软件，即可在白板软件中对导入的图片进行快捷抠图、去背景，处理后的图片主体边缘没有明显毛边，可导出保存成 PNG 格式。</w:t>
            </w:r>
            <w:r>
              <w:rPr>
                <w:rFonts w:hint="eastAsia"/>
                <w:color w:val="auto"/>
                <w:lang w:val="en-US" w:eastAsia="zh-CN"/>
              </w:rPr>
              <w:br w:type="textWrapping"/>
            </w:r>
            <w:r>
              <w:rPr>
                <w:rFonts w:hint="eastAsia"/>
                <w:color w:val="auto"/>
                <w:lang w:val="en-US" w:eastAsia="zh-CN"/>
              </w:rPr>
              <w:t>▲9.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color w:val="auto"/>
                <w:lang w:val="en-US" w:eastAsia="zh-CN"/>
              </w:rPr>
              <w:br w:type="textWrapping"/>
            </w:r>
            <w:r>
              <w:rPr>
                <w:rFonts w:hint="eastAsia"/>
                <w:color w:val="auto"/>
                <w:lang w:val="en-US" w:eastAsia="zh-CN"/>
              </w:rPr>
              <w:t>▲10.古诗词资源：</w:t>
            </w:r>
            <w:r>
              <w:rPr>
                <w:rFonts w:hint="eastAsia"/>
                <w:color w:val="auto"/>
                <w:lang w:val="en-US" w:eastAsia="zh-CN"/>
              </w:rPr>
              <w:br w:type="textWrapping"/>
            </w:r>
            <w:r>
              <w:rPr>
                <w:rFonts w:hint="eastAsia"/>
                <w:color w:val="auto"/>
                <w:lang w:val="en-US" w:eastAsia="zh-CN"/>
              </w:rPr>
              <w:t>（1）提供覆盖古文资源，包含原文、翻译、背景介绍、作者介绍、朗诵音频等。</w:t>
            </w:r>
            <w:r>
              <w:rPr>
                <w:rFonts w:hint="eastAsia"/>
                <w:color w:val="auto"/>
                <w:lang w:val="en-US" w:eastAsia="zh-CN"/>
              </w:rPr>
              <w:br w:type="textWrapping"/>
            </w:r>
            <w:r>
              <w:rPr>
                <w:rFonts w:hint="eastAsia"/>
                <w:color w:val="auto"/>
                <w:lang w:val="en-US" w:eastAsia="zh-CN"/>
              </w:rPr>
              <w:t>（2）支持用户根据年级、朝代、诗人等进行分类查找，也可直接搜索诗词、古文名称或作者名查找。</w:t>
            </w:r>
            <w:r>
              <w:rPr>
                <w:rFonts w:hint="eastAsia"/>
                <w:color w:val="auto"/>
                <w:lang w:val="en-US" w:eastAsia="zh-CN"/>
              </w:rPr>
              <w:br w:type="textWrapping"/>
            </w:r>
            <w:r>
              <w:rPr>
                <w:rFonts w:hint="eastAsia"/>
                <w:color w:val="auto"/>
                <w:lang w:val="en-US" w:eastAsia="zh-CN"/>
              </w:rPr>
              <w:t>（3）提供不少于9种古诗词专用背景模板，老师可贴合古诗词意境选择合适背景进行教学。</w:t>
            </w:r>
            <w:r>
              <w:rPr>
                <w:rFonts w:hint="eastAsia"/>
                <w:color w:val="auto"/>
                <w:lang w:val="en-US" w:eastAsia="zh-CN"/>
              </w:rPr>
              <w:br w:type="textWrapping"/>
            </w:r>
            <w:r>
              <w:rPr>
                <w:rFonts w:hint="eastAsia"/>
                <w:color w:val="auto"/>
                <w:lang w:val="en-US" w:eastAsia="zh-CN"/>
              </w:rPr>
              <w:t>（4）每篇古诗词、古文均提供原文及翻译、背景介绍、作者介绍等，同时支持一键跳转打开网页，展示对应的背景或作者介绍。</w:t>
            </w:r>
            <w:r>
              <w:rPr>
                <w:rFonts w:hint="eastAsia"/>
                <w:color w:val="auto"/>
                <w:lang w:val="en-US" w:eastAsia="zh-CN"/>
              </w:rPr>
              <w:br w:type="textWrapping"/>
            </w:r>
            <w:r>
              <w:rPr>
                <w:rFonts w:hint="eastAsia"/>
                <w:color w:val="auto"/>
                <w:lang w:val="en-US" w:eastAsia="zh-CN"/>
              </w:rPr>
              <w:t>（5）支持老师备课时对原文进行注释、标重点等操作，方便老师讲解重点字词。</w:t>
            </w:r>
            <w:r>
              <w:rPr>
                <w:rFonts w:hint="eastAsia"/>
                <w:color w:val="auto"/>
                <w:lang w:val="en-US" w:eastAsia="zh-CN"/>
              </w:rPr>
              <w:br w:type="textWrapping"/>
            </w:r>
            <w:r>
              <w:rPr>
                <w:rFonts w:hint="eastAsia"/>
                <w:color w:val="auto"/>
                <w:lang w:val="en-US" w:eastAsia="zh-CN"/>
              </w:rPr>
              <w:t>（6）提供原文朗读功能，全部诗词、古文均配备专业朗读配音，且支持老师在备课时对朗读音频进行打点操作，上课时可播放提前选择好的片段。</w:t>
            </w:r>
            <w:r>
              <w:rPr>
                <w:rFonts w:hint="eastAsia"/>
                <w:color w:val="auto"/>
                <w:lang w:val="en-US" w:eastAsia="zh-CN"/>
              </w:rPr>
              <w:br w:type="textWrapping"/>
            </w:r>
            <w:r>
              <w:rPr>
                <w:rFonts w:hint="eastAsia"/>
                <w:color w:val="auto"/>
                <w:lang w:val="en-US" w:eastAsia="zh-CN"/>
              </w:rPr>
              <w:t>▲11.3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color w:val="auto"/>
                <w:lang w:val="en-US" w:eastAsia="zh-CN"/>
              </w:rPr>
              <w:br w:type="textWrapping"/>
            </w:r>
            <w:r>
              <w:rPr>
                <w:rFonts w:hint="eastAsia"/>
                <w:color w:val="auto"/>
                <w:lang w:val="en-US" w:eastAsia="zh-CN"/>
              </w:rPr>
              <w:t>▲12.一键开课：教师可一键开课生成课程海报；学生扫描课程海报微信二维码即可加入直播课堂，无需额外安装APP；（响应文件中须提供具有CMA或CNAS认证标识的国家认可的检测机构出具的检测报告复印件）</w:t>
            </w:r>
          </w:p>
          <w:p w14:paraId="0CBC4895">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▲13.课程回放：课程结束后自动生成直播回放，报名课程的学生可反复学习；回放课程自动保存在云端，支持人工删除；（响应文件中须提供具有CMA或CNAS认证标识的国家认可的检测机构出具的检测报告复印件）</w:t>
            </w:r>
          </w:p>
          <w:p w14:paraId="64DB7839">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14.个人账号：为使用方全体教师配备个人账号，形成体的信息化教学账号体系;根据教师账号信息将教师云空间匹配至对应学校、学科校本资源库。支持通过数字账号、微信二维码、硬件密钥方式登录教师个人账号；（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15.课堂活动：具备课堂活动智能填写功能，支持选词填空、判断对错和趣味选择三大课堂活动。支持输入文本后一键解析，自动将文本内容结构化填充至题干和正确选项，完成课堂活动的制作。（响应文件中须提供具有CMA或CNAS认证标识的国家认可的检测机构出具的检测报告复印件）</w:t>
            </w:r>
          </w:p>
          <w:p w14:paraId="75A38D1A">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b/>
                <w:bCs/>
                <w:color w:val="auto"/>
                <w:lang w:val="en-US" w:eastAsia="zh-CN"/>
              </w:rPr>
              <w:t>七、家校互通共建教学系统</w:t>
            </w:r>
            <w:r>
              <w:rPr>
                <w:rFonts w:hint="eastAsia"/>
                <w:color w:val="auto"/>
                <w:lang w:val="en-US" w:eastAsia="zh-CN"/>
              </w:rPr>
              <w:br w:type="textWrapping"/>
            </w:r>
            <w:r>
              <w:rPr>
                <w:rFonts w:hint="eastAsia"/>
                <w:color w:val="auto"/>
                <w:lang w:val="en-US" w:eastAsia="zh-CN"/>
              </w:rPr>
              <w:t>1.支持教师向其他教师或家长发送通知，支持设置定时发送时间，通知支持超过200字的文本、图片、语音、视频和外部网页链接等形式。教师可设置家长阅读后提供电子回执，可自动分区查看已读未读，并针对性提醒。内置30+模板资源。</w:t>
            </w:r>
            <w:r>
              <w:rPr>
                <w:rFonts w:hint="eastAsia"/>
                <w:color w:val="auto"/>
                <w:lang w:val="en-US" w:eastAsia="zh-CN"/>
              </w:rPr>
              <w:br w:type="textWrapping"/>
            </w:r>
            <w:r>
              <w:rPr>
                <w:rFonts w:hint="eastAsia"/>
                <w:color w:val="auto"/>
                <w:lang w:val="en-US" w:eastAsia="zh-CN"/>
              </w:rPr>
              <w:t>2.支持教师发送作业给其他教师或家长，支持设置定时发送时间，作业支持超过200字的文本、图片、视频、语音、文件、外部网页链接等形式。支持插入题库练习题、希沃白板课件。支持家长在线提交作业，作业支持超过200字的文本、图片、视频、语音、外部网页链接等形式。</w:t>
            </w:r>
          </w:p>
          <w:p w14:paraId="282070A4">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3.教师可设置提交作业截止时间，并能在线批改学生作业，支持评语、语音及量化点评，教师筛选出的优秀作业可展示给班内所有家长。作业支持订正和修改。</w:t>
            </w:r>
            <w:r>
              <w:rPr>
                <w:rFonts w:hint="eastAsia"/>
                <w:color w:val="auto"/>
                <w:lang w:val="en-US" w:eastAsia="zh-CN"/>
              </w:rPr>
              <w:br w:type="textWrapping"/>
            </w:r>
            <w:r>
              <w:rPr>
                <w:rFonts w:hint="eastAsia"/>
                <w:color w:val="auto"/>
                <w:lang w:val="en-US" w:eastAsia="zh-CN"/>
              </w:rPr>
              <w:t>4.支持教师发送打卡给其他教师或家长，内置30+模板，支持超过200字的文本、图片、视频、语音、外部网页链接、文件等形式。支持设置打卡时间、定时发送时间，支持给打卡学生自动评价。支持家长在线提交打卡和补交打卡，打卡支持超过200字的文本、图片、视频、语音。</w:t>
            </w:r>
          </w:p>
          <w:p w14:paraId="56739E15">
            <w:pPr>
              <w:pStyle w:val="33"/>
              <w:keepNext w:val="0"/>
              <w:keepLines w:val="0"/>
              <w:numPr>
                <w:ilvl w:val="0"/>
                <w:numId w:val="0"/>
              </w:numPr>
              <w:suppressLineNumbers w:val="0"/>
              <w:spacing w:before="0" w:beforeAutospacing="0" w:afterAutospacing="0"/>
              <w:ind w:right="0"/>
              <w:jc w:val="both"/>
              <w:rPr>
                <w:rFonts w:hint="eastAsia"/>
                <w:color w:val="auto"/>
              </w:rPr>
            </w:pPr>
            <w:r>
              <w:rPr>
                <w:rFonts w:hint="eastAsia"/>
                <w:color w:val="auto"/>
                <w:lang w:val="en-US" w:eastAsia="zh-CN"/>
              </w:rPr>
              <w:t>5.文件外部网页链接等形式。打卡支持教师在线点评，可生成打卡榜单，显示全班学生打卡情况。</w:t>
            </w:r>
            <w:r>
              <w:rPr>
                <w:rFonts w:hint="eastAsia"/>
                <w:color w:val="auto"/>
                <w:lang w:val="en-US" w:eastAsia="zh-CN"/>
              </w:rPr>
              <w:br w:type="textWrapping"/>
            </w:r>
            <w:r>
              <w:rPr>
                <w:rFonts w:hint="eastAsia"/>
                <w:color w:val="auto"/>
                <w:lang w:val="en-US" w:eastAsia="zh-CN"/>
              </w:rPr>
              <w:t>6.支持教师发送奖状给其他教师或家长，内置10+模板，教师填写学生姓名和奖状内容即可生成并以通知的形式发送。</w:t>
            </w:r>
            <w:r>
              <w:rPr>
                <w:rFonts w:hint="eastAsia"/>
                <w:color w:val="auto"/>
                <w:lang w:val="en-US" w:eastAsia="zh-CN"/>
              </w:rPr>
              <w:br w:type="textWrapping"/>
            </w:r>
            <w:r>
              <w:rPr>
                <w:rFonts w:hint="eastAsia"/>
                <w:color w:val="auto"/>
                <w:lang w:val="en-US" w:eastAsia="zh-CN"/>
              </w:rPr>
              <w:t>7.支持教师发送调查给其他教师或家长，内置8模板，支持教师开展选择题类型的调查活动。可设置结束时间，支持匿名调查。</w:t>
            </w:r>
            <w:r>
              <w:rPr>
                <w:rFonts w:hint="eastAsia"/>
                <w:color w:val="auto"/>
                <w:lang w:val="en-US" w:eastAsia="zh-CN"/>
              </w:rPr>
              <w:br w:type="textWrapping"/>
            </w:r>
            <w:r>
              <w:rPr>
                <w:rFonts w:hint="eastAsia"/>
                <w:color w:val="auto"/>
                <w:lang w:val="en-US" w:eastAsia="zh-CN"/>
              </w:rPr>
              <w:t>8.支持教师以文本、图片形式点评学生在校表现，相关情况及时通报家长。</w:t>
            </w:r>
            <w:r>
              <w:rPr>
                <w:rFonts w:hint="eastAsia"/>
                <w:color w:val="auto"/>
                <w:lang w:val="en-US" w:eastAsia="zh-CN"/>
              </w:rPr>
              <w:br w:type="textWrapping"/>
            </w:r>
            <w:r>
              <w:rPr>
                <w:rFonts w:hint="eastAsia"/>
                <w:color w:val="auto"/>
                <w:lang w:val="en-US" w:eastAsia="zh-CN"/>
              </w:rPr>
              <w:t>9.支持教师将通知、作业、成绩、打卡、调查、奖状和学生表现分享至微信，便于展示及交流使用。</w:t>
            </w:r>
            <w:r>
              <w:rPr>
                <w:rFonts w:hint="eastAsia"/>
                <w:color w:val="auto"/>
                <w:lang w:val="en-US" w:eastAsia="zh-CN"/>
              </w:rPr>
              <w:br w:type="textWrapping"/>
            </w:r>
            <w:r>
              <w:rPr>
                <w:rFonts w:hint="eastAsia"/>
                <w:color w:val="auto"/>
                <w:lang w:val="en-US" w:eastAsia="zh-CN"/>
              </w:rPr>
              <w:br w:type="textWrapping"/>
            </w:r>
            <w:r>
              <w:rPr>
                <w:rFonts w:hint="eastAsia"/>
                <w:b/>
                <w:bCs/>
                <w:color w:val="auto"/>
                <w:lang w:val="en-US" w:eastAsia="zh-CN"/>
              </w:rPr>
              <w:t>八、教学学情分析系统</w:t>
            </w:r>
            <w:r>
              <w:rPr>
                <w:rFonts w:hint="eastAsia"/>
                <w:color w:val="auto"/>
                <w:lang w:val="en-US" w:eastAsia="zh-CN"/>
              </w:rPr>
              <w:br w:type="textWrapping"/>
            </w:r>
            <w:r>
              <w:rPr>
                <w:rFonts w:hint="eastAsia"/>
                <w:color w:val="auto"/>
                <w:lang w:val="en-US" w:eastAsia="zh-CN"/>
              </w:rPr>
              <w:t>1.统计考勤：互动反馈系统支持无感考勤功能，学生连接成功后名字可显示在签到列表上，签到列表实时统计已签到人数，并查看未到的人员。</w:t>
            </w:r>
            <w:r>
              <w:rPr>
                <w:rFonts w:hint="eastAsia"/>
                <w:color w:val="auto"/>
                <w:lang w:val="en-US" w:eastAsia="zh-CN"/>
              </w:rPr>
              <w:br w:type="textWrapping"/>
            </w:r>
            <w:r>
              <w:rPr>
                <w:rFonts w:hint="eastAsia"/>
                <w:color w:val="auto"/>
                <w:lang w:val="en-US" w:eastAsia="zh-CN"/>
              </w:rPr>
              <w:t>2.班级创建：支持老师主动创建班级，创建成功后，每次登录教师端即可直接进入班级列表，选择班级进入课堂。</w:t>
            </w:r>
            <w:r>
              <w:rPr>
                <w:rFonts w:hint="eastAsia"/>
                <w:color w:val="auto"/>
                <w:lang w:val="en-US" w:eastAsia="zh-CN"/>
              </w:rPr>
              <w:br w:type="textWrapping"/>
            </w:r>
            <w:r>
              <w:rPr>
                <w:rFonts w:hint="eastAsia"/>
                <w:color w:val="auto"/>
                <w:lang w:val="en-US" w:eastAsia="zh-CN"/>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color w:val="auto"/>
                <w:lang w:val="en-US" w:eastAsia="zh-CN"/>
              </w:rPr>
              <w:br w:type="textWrapping"/>
            </w:r>
            <w:r>
              <w:rPr>
                <w:rFonts w:hint="eastAsia"/>
                <w:color w:val="auto"/>
                <w:lang w:val="en-US" w:eastAsia="zh-CN"/>
              </w:rPr>
              <w:t>4.抢答抽选：互动反馈系统支持抢答、抽选功能，活跃课堂氛围。</w:t>
            </w:r>
            <w:r>
              <w:rPr>
                <w:rFonts w:hint="eastAsia"/>
                <w:color w:val="auto"/>
                <w:lang w:val="en-US" w:eastAsia="zh-CN"/>
              </w:rPr>
              <w:br w:type="textWrapping"/>
            </w:r>
            <w:r>
              <w:rPr>
                <w:rFonts w:hint="eastAsia"/>
                <w:color w:val="auto"/>
                <w:lang w:val="en-US" w:eastAsia="zh-CN"/>
              </w:rPr>
              <w:t>5.观点云词：互动反馈系统支持主观观点收集功能，支持学生们自主提交不多于200字的观点评论，并自动生成班级关键词云，点击关键词可查看对应学生名单和具体评论信息。</w:t>
            </w:r>
            <w:r>
              <w:rPr>
                <w:rFonts w:hint="eastAsia"/>
                <w:color w:val="auto"/>
                <w:lang w:val="en-US" w:eastAsia="zh-CN"/>
              </w:rPr>
              <w:br w:type="textWrapping"/>
            </w:r>
            <w:r>
              <w:rPr>
                <w:rFonts w:hint="eastAsia"/>
                <w:color w:val="auto"/>
                <w:lang w:val="en-US" w:eastAsia="zh-CN"/>
              </w:rPr>
              <w:t>6.学情报告；互动反馈系统在上课结束后支持实时生成课程报告，课堂报告支持查看签到人数，课堂互动总数，平均参与度，提问个数，支持查看考勤详情，互动详情和提问详情。</w:t>
            </w:r>
          </w:p>
          <w:p w14:paraId="5011B586">
            <w:pPr>
              <w:pStyle w:val="33"/>
              <w:keepNext w:val="0"/>
              <w:keepLines w:val="0"/>
              <w:numPr>
                <w:ilvl w:val="0"/>
                <w:numId w:val="0"/>
              </w:numPr>
              <w:suppressLineNumbers w:val="0"/>
              <w:spacing w:before="0" w:beforeAutospacing="0" w:afterAutospacing="0"/>
              <w:ind w:leftChars="0" w:right="0"/>
              <w:jc w:val="both"/>
              <w:rPr>
                <w:rFonts w:hint="eastAsia"/>
                <w:color w:val="auto"/>
              </w:rPr>
            </w:pPr>
            <w:r>
              <w:rPr>
                <w:rFonts w:hint="eastAsia"/>
                <w:b/>
                <w:bCs/>
                <w:color w:val="auto"/>
                <w:lang w:val="en-US" w:eastAsia="zh-CN"/>
              </w:rPr>
              <w:t>九、1）校本资源库：支持电脑端/手机端实现校本资源共建共享。</w:t>
            </w:r>
            <w:r>
              <w:rPr>
                <w:rFonts w:hint="eastAsia"/>
                <w:color w:val="auto"/>
                <w:lang w:val="en-US" w:eastAsia="zh-CN"/>
              </w:rPr>
              <w:br w:type="textWrapping"/>
            </w:r>
            <w:r>
              <w:rPr>
                <w:rFonts w:hint="eastAsia"/>
                <w:color w:val="auto"/>
                <w:lang w:val="en-US" w:eastAsia="zh-CN"/>
              </w:rPr>
              <w:t>1.资源上传：支持课件、教案、胶囊及多媒体文件的上传。</w:t>
            </w:r>
            <w:r>
              <w:rPr>
                <w:rFonts w:hint="eastAsia"/>
                <w:color w:val="auto"/>
                <w:lang w:val="en-US" w:eastAsia="zh-CN"/>
              </w:rPr>
              <w:br w:type="textWrapping"/>
            </w:r>
            <w:r>
              <w:rPr>
                <w:rFonts w:hint="eastAsia"/>
                <w:color w:val="auto"/>
                <w:lang w:val="en-US" w:eastAsia="zh-CN"/>
              </w:rPr>
              <w:t>其中多媒体资源类型与格式包括：</w:t>
            </w:r>
            <w:r>
              <w:rPr>
                <w:rFonts w:hint="eastAsia"/>
                <w:color w:val="auto"/>
                <w:lang w:val="en-US" w:eastAsia="zh-CN"/>
              </w:rPr>
              <w:br w:type="textWrapping"/>
            </w:r>
            <w:r>
              <w:rPr>
                <w:rFonts w:hint="eastAsia"/>
                <w:color w:val="auto"/>
                <w:lang w:val="en-US" w:eastAsia="zh-CN"/>
              </w:rPr>
              <w:t>文档：doc, docx, pdf, ppt, pptx, xlsx, xls</w:t>
            </w:r>
            <w:r>
              <w:rPr>
                <w:rFonts w:hint="eastAsia"/>
                <w:color w:val="auto"/>
                <w:lang w:val="en-US" w:eastAsia="zh-CN"/>
              </w:rPr>
              <w:br w:type="textWrapping"/>
            </w:r>
            <w:r>
              <w:rPr>
                <w:rFonts w:hint="eastAsia"/>
                <w:color w:val="auto"/>
                <w:lang w:val="en-US" w:eastAsia="zh-CN"/>
              </w:rPr>
              <w:t>图片：bmp, jpg, png, jpeg, gif</w:t>
            </w:r>
            <w:r>
              <w:rPr>
                <w:rFonts w:hint="eastAsia"/>
                <w:color w:val="auto"/>
                <w:lang w:val="en-US" w:eastAsia="zh-CN"/>
              </w:rPr>
              <w:br w:type="textWrapping"/>
            </w:r>
            <w:r>
              <w:rPr>
                <w:rFonts w:hint="eastAsia"/>
                <w:color w:val="auto"/>
                <w:lang w:val="en-US" w:eastAsia="zh-CN"/>
              </w:rPr>
              <w:t>视频：mp4，webm</w:t>
            </w:r>
            <w:r>
              <w:rPr>
                <w:rFonts w:hint="eastAsia"/>
                <w:color w:val="auto"/>
                <w:lang w:val="en-US" w:eastAsia="zh-CN"/>
              </w:rPr>
              <w:br w:type="textWrapping"/>
            </w:r>
            <w:r>
              <w:rPr>
                <w:rFonts w:hint="eastAsia"/>
                <w:color w:val="auto"/>
                <w:lang w:val="en-US" w:eastAsia="zh-CN"/>
              </w:rPr>
              <w:t>音频：wav, mp3, ogg</w:t>
            </w:r>
            <w:r>
              <w:rPr>
                <w:rFonts w:hint="eastAsia"/>
                <w:color w:val="auto"/>
                <w:lang w:val="en-US" w:eastAsia="zh-CN"/>
              </w:rPr>
              <w:br w:type="textWrapping"/>
            </w:r>
            <w:r>
              <w:rPr>
                <w:rFonts w:hint="eastAsia"/>
                <w:color w:val="auto"/>
                <w:lang w:val="en-US" w:eastAsia="zh-CN"/>
              </w:rPr>
              <w:t>2.批量上传：支持课件、教案、胶囊以文件夹的形式批量上传。</w:t>
            </w:r>
            <w:r>
              <w:rPr>
                <w:rFonts w:hint="eastAsia"/>
                <w:color w:val="auto"/>
                <w:lang w:val="en-US" w:eastAsia="zh-CN"/>
              </w:rPr>
              <w:br w:type="textWrapping"/>
            </w:r>
            <w:r>
              <w:rPr>
                <w:rFonts w:hint="eastAsia"/>
                <w:color w:val="auto"/>
                <w:lang w:val="en-US" w:eastAsia="zh-CN"/>
              </w:rPr>
              <w:t>3.资源搜索：支持树形结构目录，便于资源分类及快速查找，支持全局资源搜索，按年级、学科筛选资源，支持查找资源后快速定位到当前资源文件夹。</w:t>
            </w:r>
            <w:r>
              <w:rPr>
                <w:rFonts w:hint="eastAsia"/>
                <w:color w:val="auto"/>
                <w:lang w:val="en-US" w:eastAsia="zh-CN"/>
              </w:rPr>
              <w:br w:type="textWrapping"/>
            </w:r>
            <w:r>
              <w:rPr>
                <w:rFonts w:hint="eastAsia"/>
                <w:color w:val="auto"/>
                <w:lang w:val="en-US" w:eastAsia="zh-CN"/>
              </w:rPr>
              <w:t>4.资源查看及预览：支持查看资源文件夹的创建者，资源的上传作者，更新时间数据。校本资源支持在线预览。支持切换列表模式/宫格模式查看资源。</w:t>
            </w:r>
            <w:r>
              <w:rPr>
                <w:rFonts w:hint="eastAsia"/>
                <w:color w:val="auto"/>
                <w:lang w:val="en-US" w:eastAsia="zh-CN"/>
              </w:rPr>
              <w:br w:type="textWrapping"/>
            </w:r>
            <w:r>
              <w:rPr>
                <w:rFonts w:hint="eastAsia"/>
                <w:color w:val="auto"/>
                <w:lang w:val="en-US" w:eastAsia="zh-CN"/>
              </w:rPr>
              <w:t>5.资源管理：教师可对本人上传的校本资源进行分类移动，删除或重命名。</w:t>
            </w:r>
            <w:r>
              <w:rPr>
                <w:rFonts w:hint="eastAsia"/>
                <w:color w:val="auto"/>
                <w:lang w:val="en-US" w:eastAsia="zh-CN"/>
              </w:rPr>
              <w:br w:type="textWrapping"/>
            </w:r>
            <w:r>
              <w:rPr>
                <w:rFonts w:hint="eastAsia"/>
                <w:color w:val="auto"/>
                <w:lang w:val="en-US" w:eastAsia="zh-CN"/>
              </w:rPr>
              <w:t>6.备课应用：在交互式备授课软件中，支持获取校本多媒体资源到本地查看，也可选择插入校本资源库中的多媒体资源，实现校内资源的共建共享。</w:t>
            </w:r>
            <w:r>
              <w:rPr>
                <w:rFonts w:hint="eastAsia"/>
                <w:color w:val="auto"/>
                <w:lang w:val="en-US" w:eastAsia="zh-CN"/>
              </w:rPr>
              <w:br w:type="textWrapping"/>
            </w:r>
            <w:r>
              <w:rPr>
                <w:rFonts w:hint="eastAsia"/>
                <w:color w:val="auto"/>
                <w:lang w:val="en-US" w:eastAsia="zh-CN"/>
              </w:rPr>
              <w:t>7.资源下载：支持校本资源获取/下载到本地，通过下载记录可查看历史下载列表，并支持设置下载路径。</w:t>
            </w:r>
            <w:r>
              <w:rPr>
                <w:rFonts w:hint="eastAsia"/>
                <w:color w:val="auto"/>
                <w:lang w:val="en-US" w:eastAsia="zh-CN"/>
              </w:rPr>
              <w:br w:type="textWrapping"/>
            </w:r>
            <w:r>
              <w:rPr>
                <w:rFonts w:hint="eastAsia"/>
                <w:color w:val="auto"/>
                <w:lang w:val="en-US" w:eastAsia="zh-CN"/>
              </w:rPr>
              <w:t>2）校本题库</w:t>
            </w:r>
            <w:r>
              <w:rPr>
                <w:rFonts w:hint="eastAsia"/>
                <w:color w:val="auto"/>
                <w:lang w:val="en-US" w:eastAsia="zh-CN"/>
              </w:rPr>
              <w:br w:type="textWrapping"/>
            </w:r>
            <w:r>
              <w:rPr>
                <w:rFonts w:hint="eastAsia"/>
                <w:color w:val="auto"/>
                <w:lang w:val="en-US" w:eastAsia="zh-CN"/>
              </w:rPr>
              <w:t>1.上传习题：支持上传个人作业题库中的习题到校本题库，与校内老师合作共建。</w:t>
            </w:r>
            <w:r>
              <w:rPr>
                <w:rFonts w:hint="eastAsia"/>
                <w:color w:val="auto"/>
                <w:lang w:val="en-US" w:eastAsia="zh-CN"/>
              </w:rPr>
              <w:br w:type="textWrapping"/>
            </w:r>
            <w:r>
              <w:rPr>
                <w:rFonts w:hint="eastAsia"/>
                <w:color w:val="auto"/>
                <w:lang w:val="en-US" w:eastAsia="zh-CN"/>
              </w:rPr>
              <w:t>2.获取习题：支持老师在校本题库获取习题到个人题库。</w:t>
            </w:r>
            <w:r>
              <w:rPr>
                <w:rFonts w:hint="eastAsia"/>
                <w:color w:val="auto"/>
                <w:lang w:val="en-US" w:eastAsia="zh-CN"/>
              </w:rPr>
              <w:br w:type="textWrapping"/>
            </w:r>
            <w:r>
              <w:rPr>
                <w:rFonts w:hint="eastAsia"/>
                <w:color w:val="auto"/>
                <w:lang w:val="en-US" w:eastAsia="zh-CN"/>
              </w:rPr>
              <w:t>3.习题查看：支持以教材章节目录的形式查看校本题库，通过习题题型和难度筛选习题，对于本人上传的题目可进行管理删除。</w:t>
            </w:r>
            <w:r>
              <w:rPr>
                <w:rFonts w:hint="eastAsia"/>
                <w:color w:val="auto"/>
                <w:lang w:val="en-US" w:eastAsia="zh-CN"/>
              </w:rPr>
              <w:br w:type="textWrapping"/>
            </w:r>
            <w:r>
              <w:rPr>
                <w:rFonts w:hint="eastAsia"/>
                <w:color w:val="auto"/>
                <w:lang w:val="en-US" w:eastAsia="zh-CN"/>
              </w:rPr>
              <w:t>3）集体备课：支持实现信息化集体备课。</w:t>
            </w:r>
            <w:r>
              <w:rPr>
                <w:rFonts w:hint="eastAsia"/>
                <w:color w:val="auto"/>
                <w:lang w:val="en-US" w:eastAsia="zh-CN"/>
              </w:rPr>
              <w:br w:type="textWrapping"/>
            </w:r>
            <w:r>
              <w:rPr>
                <w:rFonts w:hint="eastAsia"/>
                <w:color w:val="auto"/>
                <w:lang w:val="en-US" w:eastAsia="zh-CN"/>
              </w:rPr>
              <w:t>1.发起集备：支持选择教案、课件、胶囊资源上传发起集备研讨，支持设置多重访问权限，通过手机号搜索即可邀请外校老师，可用于跨校教研场景。</w:t>
            </w:r>
            <w:r>
              <w:rPr>
                <w:rFonts w:hint="eastAsia"/>
                <w:color w:val="auto"/>
                <w:lang w:val="en-US" w:eastAsia="zh-CN"/>
              </w:rPr>
              <w:br w:type="textWrapping"/>
            </w:r>
            <w:r>
              <w:rPr>
                <w:rFonts w:hint="eastAsia"/>
                <w:color w:val="auto"/>
                <w:lang w:val="en-US" w:eastAsia="zh-CN"/>
              </w:rPr>
              <w:t>2.进入集备：支持搜索集备名称/老师昵称、或按照学科/学段/年级/教材章节、我参与的/我发起的几个维度进行筛选查看，支持电脑端进入集备页面。</w:t>
            </w:r>
            <w:r>
              <w:rPr>
                <w:rFonts w:hint="eastAsia"/>
                <w:color w:val="auto"/>
                <w:lang w:val="en-US" w:eastAsia="zh-CN"/>
              </w:rPr>
              <w:br w:type="textWrapping"/>
            </w:r>
            <w:r>
              <w:rPr>
                <w:rFonts w:hint="eastAsia"/>
                <w:color w:val="auto"/>
                <w:lang w:val="en-US" w:eastAsia="zh-CN"/>
              </w:rPr>
              <w:t>3.集备研讨：参备人可通过评论区发表观点，可对他人评论的观点进行点赞，评论消息支持实时提醒，支持图片的上传。</w:t>
            </w:r>
            <w:r>
              <w:rPr>
                <w:rFonts w:hint="eastAsia"/>
                <w:color w:val="auto"/>
                <w:lang w:val="en-US" w:eastAsia="zh-CN"/>
              </w:rPr>
              <w:br w:type="textWrapping"/>
            </w:r>
            <w:r>
              <w:rPr>
                <w:rFonts w:hint="eastAsia"/>
                <w:color w:val="auto"/>
                <w:lang w:val="en-US" w:eastAsia="zh-CN"/>
              </w:rPr>
              <w:t>4.在线批注：参备人在可在线对教案进行随文式批注，追加批注，回复以及查看实时批注消息。支持对课件进行打点式批注，可通过批注定位研讨内容，完成协同备课。</w:t>
            </w:r>
            <w:r>
              <w:rPr>
                <w:rFonts w:hint="eastAsia"/>
                <w:color w:val="auto"/>
                <w:lang w:val="en-US" w:eastAsia="zh-CN"/>
              </w:rPr>
              <w:br w:type="textWrapping"/>
            </w:r>
            <w:r>
              <w:rPr>
                <w:rFonts w:hint="eastAsia"/>
                <w:color w:val="auto"/>
                <w:lang w:val="en-US" w:eastAsia="zh-CN"/>
              </w:rPr>
              <w:t>5.稿件编辑：完成本次研讨后，主备人可直接进入编辑页面编辑课件/教案，发布新稿件后，备课组进入下一轮研讨，更新稿件后会给参备老师同步教研动态。</w:t>
            </w:r>
            <w:r>
              <w:rPr>
                <w:rFonts w:hint="eastAsia"/>
                <w:color w:val="auto"/>
                <w:lang w:val="en-US" w:eastAsia="zh-CN"/>
              </w:rPr>
              <w:br w:type="textWrapping"/>
            </w:r>
            <w:r>
              <w:rPr>
                <w:rFonts w:hint="eastAsia"/>
                <w:color w:val="auto"/>
                <w:lang w:val="en-US" w:eastAsia="zh-CN"/>
              </w:rPr>
              <w:t>6.智能稿件对比：支持筛选不同版本的稿件进行智能比对，对修改的内容进行高亮显示。</w:t>
            </w:r>
            <w:r>
              <w:rPr>
                <w:rFonts w:hint="eastAsia"/>
                <w:color w:val="auto"/>
                <w:lang w:val="en-US" w:eastAsia="zh-CN"/>
              </w:rPr>
              <w:br w:type="textWrapping"/>
            </w:r>
            <w:r>
              <w:rPr>
                <w:rFonts w:hint="eastAsia"/>
                <w:color w:val="auto"/>
                <w:lang w:val="en-US" w:eastAsia="zh-CN"/>
              </w:rPr>
              <w:t>7.获取稿件：参备成员可以随时获取和下载每一稿中的集备稿件到云课件，进行编辑或引用。</w:t>
            </w:r>
            <w:r>
              <w:rPr>
                <w:rFonts w:hint="eastAsia"/>
                <w:color w:val="auto"/>
                <w:lang w:val="en-US" w:eastAsia="zh-CN"/>
              </w:rPr>
              <w:br w:type="textWrapping"/>
            </w:r>
            <w:r>
              <w:rPr>
                <w:rFonts w:hint="eastAsia"/>
                <w:color w:val="auto"/>
                <w:lang w:val="en-US" w:eastAsia="zh-CN"/>
              </w:rPr>
              <w:t>8.完成集备：完成研讨后，可生成集体备课报告。集备终稿会自动上传到校本资源库，主备人可自定义上传目录，参备人可前往校本资源库获取集备终稿。</w:t>
            </w:r>
            <w:r>
              <w:rPr>
                <w:rFonts w:hint="eastAsia"/>
                <w:color w:val="auto"/>
                <w:lang w:val="en-US" w:eastAsia="zh-CN"/>
              </w:rPr>
              <w:br w:type="textWrapping"/>
            </w:r>
            <w:r>
              <w:rPr>
                <w:rFonts w:hint="eastAsia"/>
                <w:color w:val="auto"/>
                <w:lang w:val="en-US" w:eastAsia="zh-CN"/>
              </w:rPr>
              <w:t>9.生成集备报告：支持生成集备报告，报告生成后，参备人可查看具体报告内容和下载集备报告。报告内包含集备信息、数据统计、研讨记录的具体内容。</w:t>
            </w:r>
            <w:r>
              <w:rPr>
                <w:rFonts w:hint="eastAsia"/>
                <w:color w:val="auto"/>
                <w:lang w:val="en-US" w:eastAsia="zh-CN"/>
              </w:rPr>
              <w:br w:type="textWrapping"/>
            </w:r>
            <w:r>
              <w:rPr>
                <w:rFonts w:hint="eastAsia"/>
                <w:color w:val="auto"/>
                <w:lang w:val="en-US" w:eastAsia="zh-CN"/>
              </w:rPr>
              <w:t>10.数据统计：支持查看研讨过程全数据，包括教师的访问记录，集备浏览次数，评论次数/字数，批注次数/字数，以及被点赞数等，智能生成研讨词语，统计评论中出现频率高的关键词，确定研讨方向。</w:t>
            </w:r>
            <w:r>
              <w:rPr>
                <w:rFonts w:hint="eastAsia"/>
                <w:color w:val="auto"/>
                <w:lang w:val="en-US" w:eastAsia="zh-CN"/>
              </w:rPr>
              <w:br w:type="textWrapping"/>
            </w:r>
            <w:r>
              <w:rPr>
                <w:rFonts w:hint="eastAsia"/>
                <w:color w:val="auto"/>
                <w:lang w:val="en-US" w:eastAsia="zh-CN"/>
              </w:rPr>
              <w:t>4）集体备课音视频研讨：研讨发起人在研讨过程中支持在线发起多人音视频在线研讨，构建线上多现场同步研讨，针对性的解决问题，研讨内容自动形成视频记录，将视频与集体备课、主题研讨常规教研活动进行融合。</w:t>
            </w:r>
            <w:r>
              <w:rPr>
                <w:rFonts w:hint="eastAsia"/>
                <w:color w:val="auto"/>
                <w:lang w:val="en-US" w:eastAsia="zh-CN"/>
              </w:rPr>
              <w:br w:type="textWrapping"/>
            </w:r>
            <w:r>
              <w:rPr>
                <w:rFonts w:hint="eastAsia"/>
                <w:color w:val="auto"/>
                <w:lang w:val="en-US" w:eastAsia="zh-CN"/>
              </w:rPr>
              <w:t>1.语音研讨：主备人可发起远程语音集备，进入语音研讨页面并共享稿件内容。</w:t>
            </w:r>
            <w:r>
              <w:rPr>
                <w:rFonts w:hint="eastAsia"/>
                <w:color w:val="auto"/>
                <w:lang w:val="en-US" w:eastAsia="zh-CN"/>
              </w:rPr>
              <w:br w:type="textWrapping"/>
            </w:r>
            <w:r>
              <w:rPr>
                <w:rFonts w:hint="eastAsia"/>
                <w:color w:val="auto"/>
                <w:lang w:val="en-US" w:eastAsia="zh-CN"/>
              </w:rPr>
              <w:t>2.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color w:val="auto"/>
                <w:lang w:val="en-US" w:eastAsia="zh-CN"/>
              </w:rPr>
              <w:br w:type="textWrapping"/>
            </w:r>
            <w:r>
              <w:rPr>
                <w:rFonts w:hint="eastAsia"/>
                <w:color w:val="auto"/>
                <w:lang w:val="en-US" w:eastAsia="zh-CN"/>
              </w:rPr>
              <w:t>3.集备状态：支持查看集备研讨中/未研讨中的状态，支持查看参备人的在线状态，参备人可以参与语音集备，了解集备进度。</w:t>
            </w:r>
            <w:r>
              <w:rPr>
                <w:rFonts w:hint="eastAsia"/>
                <w:color w:val="auto"/>
                <w:lang w:val="en-US" w:eastAsia="zh-CN"/>
              </w:rPr>
              <w:br w:type="textWrapping"/>
            </w:r>
            <w:r>
              <w:rPr>
                <w:rFonts w:hint="eastAsia"/>
                <w:color w:val="auto"/>
                <w:lang w:val="en-US" w:eastAsia="zh-CN"/>
              </w:rPr>
              <w:t>4.录制语音：支持主备人录制集备研讨语音和重命名录制好的讨论记录，支持参备人收听录音回放，追溯集备内容。</w:t>
            </w:r>
            <w:r>
              <w:rPr>
                <w:rFonts w:hint="eastAsia"/>
                <w:color w:val="auto"/>
                <w:lang w:val="en-US" w:eastAsia="zh-CN"/>
              </w:rPr>
              <w:br w:type="textWrapping"/>
            </w:r>
            <w:r>
              <w:rPr>
                <w:rFonts w:hint="eastAsia"/>
                <w:color w:val="auto"/>
                <w:lang w:val="en-US" w:eastAsia="zh-CN"/>
              </w:rPr>
              <w:t>5.集备管理：支持主备人管理添加/删除参备人员和控制个人和全员语音，支持邀请参备人开麦加入研讨。支持参备人控制个人语音。</w:t>
            </w:r>
            <w:r>
              <w:rPr>
                <w:rFonts w:hint="eastAsia"/>
                <w:color w:val="auto"/>
                <w:lang w:val="en-US" w:eastAsia="zh-CN"/>
              </w:rPr>
              <w:br w:type="textWrapping"/>
            </w:r>
            <w:r>
              <w:rPr>
                <w:rFonts w:hint="eastAsia"/>
                <w:color w:val="auto"/>
                <w:lang w:val="en-US" w:eastAsia="zh-CN"/>
              </w:rPr>
              <w:t>6.稿件跟随：支持参备人稿件跟随主备人，同步查看稿件内容，实现集备投入和同步。</w:t>
            </w:r>
            <w:r>
              <w:rPr>
                <w:rFonts w:hint="eastAsia"/>
                <w:color w:val="auto"/>
                <w:lang w:val="en-US" w:eastAsia="zh-CN"/>
              </w:rPr>
              <w:br w:type="textWrapping"/>
            </w:r>
            <w:r>
              <w:rPr>
                <w:rFonts w:hint="eastAsia"/>
                <w:color w:val="auto"/>
                <w:lang w:val="en-US" w:eastAsia="zh-CN"/>
              </w:rPr>
              <w:t>7.会议记录：支持主备人查看和编辑会议记录，支持参备人查看会议记录，老师在集备后可回顾研讨过程。</w:t>
            </w:r>
            <w:r>
              <w:rPr>
                <w:rFonts w:hint="eastAsia"/>
                <w:color w:val="auto"/>
                <w:lang w:val="en-US" w:eastAsia="zh-CN"/>
              </w:rPr>
              <w:br w:type="textWrapping"/>
            </w:r>
            <w:r>
              <w:rPr>
                <w:rFonts w:hint="eastAsia"/>
                <w:color w:val="auto"/>
                <w:lang w:val="en-US" w:eastAsia="zh-CN"/>
              </w:rPr>
              <w:t>8.集备妙记：支持查看语音及视频会议记录，为音视频回放自动生成字幕，对音视频研讨过程中的关键词和对话进行智能提炼，支持倍速播放，回溯研讨内容。</w:t>
            </w:r>
            <w:r>
              <w:rPr>
                <w:rFonts w:hint="eastAsia"/>
                <w:color w:val="auto"/>
                <w:lang w:val="en-US" w:eastAsia="zh-CN"/>
              </w:rPr>
              <w:br w:type="textWrapping"/>
            </w:r>
            <w:r>
              <w:rPr>
                <w:rFonts w:hint="eastAsia"/>
                <w:color w:val="auto"/>
                <w:lang w:val="en-US" w:eastAsia="zh-CN"/>
              </w:rPr>
              <w:t>5）听评课：支持电子化听评课。</w:t>
            </w:r>
            <w:r>
              <w:rPr>
                <w:rFonts w:hint="eastAsia"/>
                <w:color w:val="auto"/>
                <w:lang w:val="en-US" w:eastAsia="zh-CN"/>
              </w:rPr>
              <w:br w:type="textWrapping"/>
            </w:r>
            <w:r>
              <w:rPr>
                <w:rFonts w:hint="eastAsia"/>
                <w:color w:val="auto"/>
                <w:lang w:val="en-US" w:eastAsia="zh-CN"/>
              </w:rPr>
              <w:t>1.邀请评课：支持在授课模式中发起授课评价，根据课程和评课表生成二维码，可选择是否分享课件，若选择分享课件，评课人通过扫码即可参与评课并获取课件。</w:t>
            </w:r>
            <w:r>
              <w:rPr>
                <w:rFonts w:hint="eastAsia"/>
                <w:color w:val="auto"/>
                <w:lang w:val="en-US" w:eastAsia="zh-CN"/>
              </w:rPr>
              <w:br w:type="textWrapping"/>
            </w:r>
            <w:r>
              <w:rPr>
                <w:rFonts w:hint="eastAsia"/>
                <w:color w:val="auto"/>
                <w:lang w:val="en-US" w:eastAsia="zh-CN"/>
              </w:rPr>
              <w:t>2.查看评课记录：支持在我的学校中查看我评的课、我讲的课的历史评价记录。</w:t>
            </w:r>
            <w:r>
              <w:rPr>
                <w:rFonts w:hint="eastAsia"/>
                <w:color w:val="auto"/>
                <w:lang w:val="en-US" w:eastAsia="zh-CN"/>
              </w:rPr>
              <w:br w:type="textWrapping"/>
            </w:r>
            <w:r>
              <w:rPr>
                <w:rFonts w:hint="eastAsia"/>
                <w:color w:val="auto"/>
                <w:lang w:val="en-US" w:eastAsia="zh-CN"/>
              </w:rPr>
              <w:t>3.导出评课报告和听课记录：支持导出我讲的课的评课报告为 PDF文档，支持导出我评的课的评课表为WORD 文档。</w:t>
            </w:r>
            <w:r>
              <w:rPr>
                <w:rFonts w:hint="eastAsia"/>
                <w:color w:val="auto"/>
                <w:lang w:val="en-US" w:eastAsia="zh-CN"/>
              </w:rPr>
              <w:br w:type="textWrapping"/>
            </w:r>
            <w:r>
              <w:rPr>
                <w:rFonts w:hint="eastAsia"/>
                <w:color w:val="auto"/>
                <w:lang w:val="en-US" w:eastAsia="zh-CN"/>
              </w:rPr>
              <w:t>6）听评课-教师评课授课记录</w:t>
            </w:r>
            <w:r>
              <w:rPr>
                <w:rFonts w:hint="eastAsia"/>
                <w:color w:val="auto"/>
                <w:lang w:val="en-US" w:eastAsia="zh-CN"/>
              </w:rPr>
              <w:br w:type="textWrapping"/>
            </w:r>
            <w:r>
              <w:rPr>
                <w:rFonts w:hint="eastAsia"/>
                <w:color w:val="auto"/>
                <w:lang w:val="en-US" w:eastAsia="zh-CN"/>
              </w:rPr>
              <w:t>1.评课列表：在评课列表中可查看[我评的课]的所有记录，评课记录云端存储，不怕丢失。</w:t>
            </w:r>
            <w:r>
              <w:rPr>
                <w:rFonts w:hint="eastAsia"/>
                <w:color w:val="auto"/>
                <w:lang w:val="en-US" w:eastAsia="zh-CN"/>
              </w:rPr>
              <w:br w:type="textWrapping"/>
            </w:r>
            <w:r>
              <w:rPr>
                <w:rFonts w:hint="eastAsia"/>
                <w:color w:val="auto"/>
                <w:lang w:val="en-US" w:eastAsia="zh-CN"/>
              </w:rPr>
              <w:t>2.评课表导出：支持评课表导出，便于存档和检查。</w:t>
            </w:r>
            <w:r>
              <w:rPr>
                <w:rFonts w:hint="eastAsia"/>
                <w:color w:val="auto"/>
                <w:lang w:val="en-US" w:eastAsia="zh-CN"/>
              </w:rPr>
              <w:br w:type="textWrapping"/>
            </w:r>
            <w:r>
              <w:rPr>
                <w:rFonts w:hint="eastAsia"/>
                <w:color w:val="auto"/>
                <w:lang w:val="en-US" w:eastAsia="zh-CN"/>
              </w:rPr>
              <w:t>3.授课列表：在授课列表中可查看[我讲的课]的所有记录，讲课记录云端存储，方便查阅，</w:t>
            </w:r>
            <w:r>
              <w:rPr>
                <w:rFonts w:hint="eastAsia"/>
                <w:color w:val="auto"/>
                <w:lang w:val="en-US" w:eastAsia="zh-CN"/>
              </w:rPr>
              <w:br w:type="textWrapping"/>
            </w:r>
            <w:r>
              <w:rPr>
                <w:rFonts w:hint="eastAsia"/>
                <w:color w:val="auto"/>
                <w:lang w:val="en-US" w:eastAsia="zh-CN"/>
              </w:rPr>
              <w:t>4.导出评课报告：系统自动生成评课报告，并支持一键导出PDF。</w:t>
            </w:r>
            <w:r>
              <w:rPr>
                <w:rFonts w:hint="eastAsia"/>
                <w:color w:val="auto"/>
                <w:lang w:val="en-US" w:eastAsia="zh-CN"/>
              </w:rPr>
              <w:br w:type="textWrapping"/>
            </w:r>
            <w:r>
              <w:rPr>
                <w:rFonts w:hint="eastAsia"/>
                <w:color w:val="auto"/>
                <w:lang w:val="en-US" w:eastAsia="zh-CN"/>
              </w:rPr>
              <w:t>7）听评课-直播听评课</w:t>
            </w:r>
            <w:r>
              <w:rPr>
                <w:rFonts w:hint="eastAsia"/>
                <w:color w:val="auto"/>
                <w:lang w:val="en-US" w:eastAsia="zh-CN"/>
              </w:rPr>
              <w:br w:type="textWrapping"/>
            </w:r>
            <w:r>
              <w:rPr>
                <w:rFonts w:hint="eastAsia"/>
                <w:color w:val="auto"/>
                <w:lang w:val="en-US" w:eastAsia="zh-CN"/>
              </w:rPr>
              <w:t>支持通过实时音视频将课堂教学现场进行实况直播，实现异地听课、评课，直播听评课结束后生成直播回放，使课堂教学研究与课堂教学同步进行，参与听课、评课教师。</w:t>
            </w:r>
            <w:r>
              <w:rPr>
                <w:rFonts w:hint="eastAsia"/>
                <w:color w:val="auto"/>
                <w:lang w:val="en-US" w:eastAsia="zh-CN"/>
              </w:rPr>
              <w:br w:type="textWrapping"/>
            </w:r>
            <w:r>
              <w:rPr>
                <w:rFonts w:hint="eastAsia"/>
                <w:color w:val="auto"/>
                <w:lang w:val="en-US" w:eastAsia="zh-CN"/>
              </w:rPr>
              <w:t>1.直播听评课：支持授课老师发起直播听评课，使用手机进行录影，听课老师可查看课堂直播。</w:t>
            </w:r>
            <w:r>
              <w:rPr>
                <w:rFonts w:hint="eastAsia"/>
                <w:color w:val="auto"/>
                <w:lang w:val="en-US" w:eastAsia="zh-CN"/>
              </w:rPr>
              <w:br w:type="textWrapping"/>
            </w:r>
            <w:r>
              <w:rPr>
                <w:rFonts w:hint="eastAsia"/>
                <w:color w:val="auto"/>
                <w:lang w:val="en-US" w:eastAsia="zh-CN"/>
              </w:rPr>
              <w:t>2.听课提醒：支持查看评课邀请信息和直播开启预告，及时进入直播课堂，进行听课评价。</w:t>
            </w:r>
            <w:r>
              <w:rPr>
                <w:rFonts w:hint="eastAsia"/>
                <w:color w:val="auto"/>
                <w:lang w:val="en-US" w:eastAsia="zh-CN"/>
              </w:rPr>
              <w:br w:type="textWrapping"/>
            </w:r>
            <w:r>
              <w:rPr>
                <w:rFonts w:hint="eastAsia"/>
                <w:color w:val="auto"/>
                <w:lang w:val="en-US" w:eastAsia="zh-CN"/>
              </w:rPr>
              <w:t>3.听课交流：支持主动发布“开启了直播”、“关闭直播”课堂状态，及时同步课堂进度。支持远程观看课堂直播时同步在听课交流区发表文字、快捷表情和照片内容，记录与分享听课想法。</w:t>
            </w:r>
            <w:r>
              <w:rPr>
                <w:rFonts w:hint="eastAsia"/>
                <w:color w:val="auto"/>
                <w:lang w:val="en-US" w:eastAsia="zh-CN"/>
              </w:rPr>
              <w:br w:type="textWrapping"/>
            </w:r>
            <w:r>
              <w:rPr>
                <w:rFonts w:hint="eastAsia"/>
                <w:color w:val="auto"/>
                <w:lang w:val="en-US" w:eastAsia="zh-CN"/>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r>
              <w:rPr>
                <w:rFonts w:hint="eastAsia"/>
                <w:color w:val="auto"/>
                <w:lang w:val="en-US" w:eastAsia="zh-CN"/>
              </w:rPr>
              <w:br w:type="textWrapping"/>
            </w:r>
            <w:r>
              <w:rPr>
                <w:rFonts w:hint="eastAsia"/>
                <w:color w:val="auto"/>
                <w:lang w:val="en-US" w:eastAsia="zh-CN"/>
              </w:rPr>
              <w:t>5.AI课堂数据分析：一览课堂重要数据，智能分析授课内容生成高频词云，提炼师生互动生成课堂问答，老师可掌握课堂的重点与方向。</w:t>
            </w:r>
            <w:r>
              <w:rPr>
                <w:rFonts w:hint="eastAsia"/>
                <w:color w:val="auto"/>
                <w:lang w:val="en-US" w:eastAsia="zh-CN"/>
              </w:rPr>
              <w:br w:type="textWrapping"/>
            </w:r>
            <w:r>
              <w:rPr>
                <w:rFonts w:hint="eastAsia"/>
                <w:color w:val="auto"/>
                <w:lang w:val="en-US" w:eastAsia="zh-CN"/>
              </w:rPr>
              <w:t>8）教研组-备课组：支持创建教研组，在电脑端进入备课组空间实现组内备课资源共享，集体备课共研。</w:t>
            </w:r>
            <w:r>
              <w:rPr>
                <w:rFonts w:hint="eastAsia"/>
                <w:color w:val="auto"/>
                <w:lang w:val="en-US" w:eastAsia="zh-CN"/>
              </w:rPr>
              <w:br w:type="textWrapping"/>
            </w:r>
            <w:r>
              <w:rPr>
                <w:rFonts w:hint="eastAsia"/>
                <w:color w:val="auto"/>
                <w:lang w:val="en-US" w:eastAsia="zh-CN"/>
              </w:rPr>
              <w:t>1.快速添加成员：支持筛选学科或者搜索老师名称快速添加备课组成员进入备课组。</w:t>
            </w:r>
            <w:r>
              <w:rPr>
                <w:rFonts w:hint="eastAsia"/>
                <w:color w:val="auto"/>
                <w:lang w:val="en-US" w:eastAsia="zh-CN"/>
              </w:rPr>
              <w:br w:type="textWrapping"/>
            </w:r>
            <w:r>
              <w:rPr>
                <w:rFonts w:hint="eastAsia"/>
                <w:color w:val="auto"/>
                <w:lang w:val="en-US" w:eastAsia="zh-CN"/>
              </w:rPr>
              <w:t>2.共享备课资源：支持选择教材和对应的章节目录，添加课件/教案/胶囊/多媒体文件/集体备课项目到组内一起研讨打磨，支持同步到校本资源库共同沉淀优质课程资源。</w:t>
            </w:r>
            <w:r>
              <w:rPr>
                <w:rFonts w:hint="eastAsia"/>
                <w:color w:val="auto"/>
                <w:lang w:val="en-US" w:eastAsia="zh-CN"/>
              </w:rPr>
              <w:br w:type="textWrapping"/>
            </w:r>
            <w:r>
              <w:rPr>
                <w:rFonts w:hint="eastAsia"/>
                <w:color w:val="auto"/>
                <w:lang w:val="en-US" w:eastAsia="zh-CN"/>
              </w:rPr>
              <w:t>3.搜索备课资源：支持通过选择教材及教材章节目录找到对应的课程教学资料和集备项目，支持筛选老师查看其添加的备课资源。</w:t>
            </w:r>
            <w:r>
              <w:rPr>
                <w:rFonts w:hint="eastAsia"/>
                <w:color w:val="auto"/>
                <w:lang w:val="en-US" w:eastAsia="zh-CN"/>
              </w:rPr>
              <w:br w:type="textWrapping"/>
            </w:r>
            <w:r>
              <w:rPr>
                <w:rFonts w:hint="eastAsia"/>
                <w:color w:val="auto"/>
                <w:lang w:val="en-US" w:eastAsia="zh-CN"/>
              </w:rPr>
              <w:t>4.获取备课资源：点击可以预览资源内容，并获取到云课件中应用。</w:t>
            </w:r>
            <w:r>
              <w:rPr>
                <w:rFonts w:hint="eastAsia"/>
                <w:color w:val="auto"/>
                <w:lang w:val="en-US" w:eastAsia="zh-CN"/>
              </w:rPr>
              <w:br w:type="textWrapping"/>
            </w:r>
            <w:r>
              <w:rPr>
                <w:rFonts w:hint="eastAsia"/>
                <w:color w:val="auto"/>
                <w:lang w:val="en-US" w:eastAsia="zh-CN"/>
              </w:rPr>
              <w:t>5.进入集备项目：点击章节下的集体备课项目可以快速进入集体备课页面，快速参与研讨或回顾研讨内容。</w:t>
            </w:r>
            <w:r>
              <w:rPr>
                <w:rFonts w:hint="eastAsia"/>
                <w:color w:val="auto"/>
                <w:lang w:val="en-US" w:eastAsia="zh-CN"/>
              </w:rPr>
              <w:br w:type="textWrapping"/>
            </w:r>
            <w:r>
              <w:rPr>
                <w:rFonts w:hint="eastAsia"/>
                <w:color w:val="auto"/>
                <w:lang w:val="en-US" w:eastAsia="zh-CN"/>
              </w:rPr>
              <w:t>6.查看数据统计：支持查看不同时间/教材下的小组成员的备课资源和集备数据，支持对数据进行排序查看。</w:t>
            </w:r>
            <w:r>
              <w:rPr>
                <w:rFonts w:hint="eastAsia"/>
                <w:color w:val="auto"/>
                <w:lang w:val="en-US" w:eastAsia="zh-CN"/>
              </w:rPr>
              <w:br w:type="textWrapping"/>
            </w:r>
            <w:r>
              <w:rPr>
                <w:rFonts w:hint="eastAsia"/>
                <w:color w:val="auto"/>
                <w:lang w:val="en-US" w:eastAsia="zh-CN"/>
              </w:rPr>
              <w:t>7.一键开课：教师可在教室一体机一键开课，开课将进入屏幕共享推流模式。</w:t>
            </w:r>
            <w:r>
              <w:rPr>
                <w:rFonts w:hint="eastAsia"/>
                <w:color w:val="auto"/>
                <w:lang w:val="en-US" w:eastAsia="zh-CN"/>
              </w:rPr>
              <w:br w:type="textWrapping"/>
            </w:r>
            <w:r>
              <w:rPr>
                <w:rFonts w:hint="eastAsia"/>
                <w:color w:val="auto"/>
                <w:lang w:val="en-US" w:eastAsia="zh-CN"/>
              </w:rPr>
              <w:t>8.课程分发：支持生成课程海报，学生扫描课程海报微信二维码即可加入直播课堂。支持通过行政班级学生名单</w:t>
            </w:r>
            <w:r>
              <w:rPr>
                <w:rFonts w:hint="eastAsia"/>
                <w:color w:val="auto"/>
                <w:lang w:val="en-US" w:eastAsia="zh-CN"/>
              </w:rPr>
              <w:br w:type="textWrapping"/>
            </w:r>
            <w:r>
              <w:rPr>
                <w:rFonts w:hint="eastAsia"/>
                <w:color w:val="auto"/>
                <w:lang w:val="en-US" w:eastAsia="zh-CN"/>
              </w:rPr>
              <w:t>9.提前预约：在个人电脑提前选择好行政班的学生，到教室后开始直播学生可在手机端远程听课</w:t>
            </w:r>
            <w:r>
              <w:rPr>
                <w:rFonts w:hint="eastAsia"/>
                <w:color w:val="auto"/>
                <w:lang w:val="en-US" w:eastAsia="zh-CN"/>
              </w:rPr>
              <w:br w:type="textWrapping"/>
            </w:r>
            <w:r>
              <w:rPr>
                <w:rFonts w:hint="eastAsia"/>
                <w:color w:val="auto"/>
                <w:lang w:val="en-US" w:eastAsia="zh-CN"/>
              </w:rPr>
              <w:t>10.连麦互动：在直播课堂中，教师可指定授权学生远程连麦互动，学生视频连麦过程实时同步至班级其他学生，可支持不少于5位学生同时参与远程互动；支持学生端发起举手，教师端在同意后可自动进入连麦互动。</w:t>
            </w:r>
            <w:r>
              <w:rPr>
                <w:rFonts w:hint="eastAsia"/>
                <w:color w:val="auto"/>
                <w:lang w:val="en-US" w:eastAsia="zh-CN"/>
              </w:rPr>
              <w:br w:type="textWrapping"/>
            </w:r>
            <w:r>
              <w:rPr>
                <w:rFonts w:hint="eastAsia"/>
                <w:b/>
                <w:bCs/>
                <w:color w:val="auto"/>
                <w:lang w:val="en-US" w:eastAsia="zh-CN"/>
              </w:rPr>
              <w:t>十、学生课堂表现评价系统</w:t>
            </w:r>
            <w:r>
              <w:rPr>
                <w:rFonts w:hint="eastAsia"/>
                <w:color w:val="auto"/>
                <w:lang w:val="en-US" w:eastAsia="zh-CN"/>
              </w:rPr>
              <w:br w:type="textWrapping"/>
            </w:r>
            <w:r>
              <w:rPr>
                <w:rFonts w:hint="eastAsia"/>
                <w:color w:val="auto"/>
                <w:lang w:val="en-US" w:eastAsia="zh-CN"/>
              </w:rPr>
              <w:t>1.系统支持教师为学生头像增添挂件，可标识班干部、值日生、课代表等树立班级榜样。</w:t>
            </w:r>
            <w:r>
              <w:rPr>
                <w:rFonts w:hint="eastAsia"/>
                <w:color w:val="auto"/>
                <w:lang w:val="en-US" w:eastAsia="zh-CN"/>
              </w:rPr>
              <w:br w:type="textWrapping"/>
            </w:r>
            <w:r>
              <w:rPr>
                <w:rFonts w:hint="eastAsia"/>
                <w:color w:val="auto"/>
                <w:lang w:val="en-US" w:eastAsia="zh-CN"/>
              </w:rPr>
              <w:t>2.AI助教功能，通过AI分析学生和班级评价情况，为老师智能提示班级管理决策信息，为学生智能分析成长建议。</w:t>
            </w:r>
            <w:r>
              <w:rPr>
                <w:rFonts w:hint="eastAsia"/>
                <w:color w:val="auto"/>
                <w:lang w:val="en-US" w:eastAsia="zh-CN"/>
              </w:rPr>
              <w:br w:type="textWrapping"/>
            </w:r>
            <w:r>
              <w:rPr>
                <w:rFonts w:hint="eastAsia"/>
                <w:color w:val="auto"/>
                <w:lang w:val="en-US" w:eastAsia="zh-CN"/>
              </w:rPr>
              <w:t>3.系统自带积分和积分兑换功能，除自动根据学生日常行为评价为生成积分外，教师可通过积分兑换功能，自定义设置兑换内容、分值、图标，并对学生的积分进行兑换和扣除。兑换扣除不影响评价记录，仅影响积分。</w:t>
            </w:r>
            <w:r>
              <w:rPr>
                <w:rFonts w:hint="eastAsia"/>
                <w:color w:val="auto"/>
                <w:lang w:val="en-US" w:eastAsia="zh-CN"/>
              </w:rPr>
              <w:br w:type="textWrapping"/>
            </w:r>
            <w:r>
              <w:rPr>
                <w:rFonts w:hint="eastAsia"/>
                <w:color w:val="auto"/>
                <w:lang w:val="en-US" w:eastAsia="zh-CN"/>
              </w:rPr>
              <w:t>4.支持丰富的课堂互动组件，噪音器功能：开启设备麦克风，可识别教室音量，并以可视化的方式呈现，提醒学生课前保持安静。</w:t>
            </w:r>
            <w:r>
              <w:rPr>
                <w:rFonts w:hint="eastAsia"/>
                <w:color w:val="auto"/>
                <w:lang w:val="en-US" w:eastAsia="zh-CN"/>
              </w:rPr>
              <w:br w:type="textWrapping"/>
            </w:r>
            <w:r>
              <w:rPr>
                <w:rFonts w:hint="eastAsia"/>
                <w:color w:val="auto"/>
                <w:lang w:val="en-US" w:eastAsia="zh-CN"/>
              </w:rPr>
              <w:t>5.支持丰富的课堂互动组件，接龙抽选功能：系统支持快速对全班学生进行连续性的抽选。</w:t>
            </w:r>
            <w:r>
              <w:rPr>
                <w:rFonts w:hint="eastAsia"/>
                <w:color w:val="auto"/>
                <w:lang w:val="en-US" w:eastAsia="zh-CN"/>
              </w:rPr>
              <w:br w:type="textWrapping"/>
            </w:r>
            <w:r>
              <w:rPr>
                <w:rFonts w:hint="eastAsia"/>
                <w:color w:val="auto"/>
                <w:lang w:val="en-US" w:eastAsia="zh-CN"/>
              </w:rPr>
              <w:t>6.支持丰富的课堂互动组件，分组抽选功能：系统支持一次操作从不同分组中抽选单个或多个学生。</w:t>
            </w:r>
            <w:r>
              <w:rPr>
                <w:rFonts w:hint="eastAsia"/>
                <w:color w:val="auto"/>
                <w:lang w:val="en-US" w:eastAsia="zh-CN"/>
              </w:rPr>
              <w:br w:type="textWrapping"/>
            </w:r>
            <w:r>
              <w:rPr>
                <w:rFonts w:hint="eastAsia"/>
                <w:b/>
                <w:bCs/>
                <w:color w:val="auto"/>
                <w:lang w:val="en-US" w:eastAsia="zh-CN"/>
              </w:rPr>
              <w:t>十一、售后服务保障</w:t>
            </w:r>
            <w:r>
              <w:rPr>
                <w:rFonts w:hint="eastAsia"/>
                <w:color w:val="auto"/>
                <w:lang w:val="en-US" w:eastAsia="zh-CN"/>
              </w:rPr>
              <w:br w:type="textWrapping"/>
            </w:r>
            <w:r>
              <w:rPr>
                <w:rFonts w:hint="eastAsia"/>
                <w:color w:val="auto"/>
                <w:lang w:val="en-US" w:eastAsia="zh-CN"/>
              </w:rPr>
              <w:t>1.全国24小时免费400电话保修、二维码扫描保修、区域化驻地技术工程师专线保修。</w:t>
            </w:r>
            <w:r>
              <w:rPr>
                <w:rFonts w:hint="eastAsia"/>
                <w:color w:val="auto"/>
                <w:lang w:val="en-US" w:eastAsia="zh-CN"/>
              </w:rPr>
              <w:br w:type="textWrapping"/>
            </w:r>
            <w:r>
              <w:rPr>
                <w:rFonts w:hint="eastAsia"/>
                <w:color w:val="auto"/>
                <w:lang w:val="en-US" w:eastAsia="zh-CN"/>
              </w:rPr>
              <w:t>2.微信售后报修服务：快速输入相关问题及所在区域进行在线保修，贴心服务人员实时在线提供客服专线报修，更好更快的解决售后故障问题带来的使用不便。</w:t>
            </w:r>
            <w:r>
              <w:rPr>
                <w:rFonts w:hint="eastAsia"/>
                <w:color w:val="auto"/>
                <w:lang w:val="en-US" w:eastAsia="zh-CN"/>
              </w:rPr>
              <w:br w:type="textWrapping"/>
            </w:r>
            <w:r>
              <w:rPr>
                <w:rFonts w:hint="eastAsia"/>
                <w:b/>
                <w:bCs/>
                <w:color w:val="auto"/>
                <w:lang w:val="en-US" w:eastAsia="zh-CN"/>
              </w:rPr>
              <w:t>十二、其他要求</w:t>
            </w:r>
            <w:r>
              <w:rPr>
                <w:rFonts w:hint="eastAsia"/>
                <w:color w:val="auto"/>
                <w:lang w:val="en-US" w:eastAsia="zh-CN"/>
              </w:rPr>
              <w:br w:type="textWrapping"/>
            </w:r>
            <w:r>
              <w:rPr>
                <w:rFonts w:hint="eastAsia"/>
                <w:color w:val="auto"/>
                <w:lang w:val="en-US" w:eastAsia="zh-CN"/>
              </w:rPr>
              <w:t>1.打“▲”号条款为重要技术参数，投标人必须满足否则投标无效。中标公示期内若有其他投标人质疑，中标单位必须提供与投标文件技术要求及功能符合的全部样品一套至用户处进行整体性能与投标文件核对作为项目合同签订的标准依据，如出现所提供样品不符招标要求或无法提供所有样品，均视为虚假应标处理并根据招标法及标书要求追究法律责任。</w:t>
            </w:r>
            <w:r>
              <w:rPr>
                <w:rFonts w:hint="eastAsia"/>
                <w:color w:val="auto"/>
                <w:lang w:val="en-US" w:eastAsia="zh-CN"/>
              </w:rPr>
              <w:br w:type="textWrapping"/>
            </w:r>
            <w:r>
              <w:rPr>
                <w:rFonts w:hint="eastAsia"/>
                <w:color w:val="auto"/>
                <w:lang w:val="en-US" w:eastAsia="zh-CN"/>
              </w:rPr>
              <w:t>2.为确保货物质量及原厂品质，中标供应商在正式供货时必须提供生产厂家针对此项目的售后服务保证原件、供货证明原件，否则采购方将不予验收通过。</w:t>
            </w:r>
          </w:p>
        </w:tc>
        <w:tc>
          <w:tcPr>
            <w:tcW w:w="780" w:type="dxa"/>
            <w:vAlign w:val="center"/>
          </w:tcPr>
          <w:p w14:paraId="6C558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12000</w:t>
            </w:r>
          </w:p>
        </w:tc>
        <w:tc>
          <w:tcPr>
            <w:tcW w:w="615" w:type="dxa"/>
            <w:vAlign w:val="center"/>
          </w:tcPr>
          <w:p w14:paraId="158FD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22</w:t>
            </w:r>
          </w:p>
        </w:tc>
        <w:tc>
          <w:tcPr>
            <w:tcW w:w="585" w:type="dxa"/>
            <w:vAlign w:val="center"/>
          </w:tcPr>
          <w:p w14:paraId="47D3A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27EB1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0" w:name="OLE_LINK9"/>
            <w:r>
              <w:rPr>
                <w:rFonts w:hint="eastAsia" w:ascii="宋体" w:hAnsi="宋体" w:eastAsia="宋体" w:cs="宋体"/>
                <w:i w:val="0"/>
                <w:iCs w:val="0"/>
                <w:color w:val="auto"/>
                <w:kern w:val="0"/>
                <w:sz w:val="22"/>
                <w:szCs w:val="22"/>
                <w:u w:val="none"/>
                <w:lang w:val="en-US" w:eastAsia="zh-CN" w:bidi="ar"/>
              </w:rPr>
              <w:t>264000</w:t>
            </w:r>
            <w:bookmarkEnd w:id="50"/>
          </w:p>
        </w:tc>
      </w:tr>
      <w:tr w14:paraId="005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48AC96FC">
            <w:pPr>
              <w:pStyle w:val="33"/>
              <w:keepNext w:val="0"/>
              <w:keepLines w:val="0"/>
              <w:suppressLineNumbers w:val="0"/>
              <w:spacing w:before="0" w:beforeAutospacing="0" w:afterAutospacing="0"/>
              <w:ind w:right="0"/>
              <w:rPr>
                <w:rFonts w:hint="eastAsia"/>
                <w:color w:val="auto"/>
              </w:rPr>
            </w:pPr>
          </w:p>
          <w:p w14:paraId="703C8DD5">
            <w:pPr>
              <w:keepNext w:val="0"/>
              <w:keepLines w:val="0"/>
              <w:suppressLineNumbers w:val="0"/>
              <w:bidi w:val="0"/>
              <w:spacing w:before="0" w:beforeAutospacing="0" w:after="0" w:afterAutospacing="0"/>
              <w:ind w:left="0" w:right="0"/>
              <w:rPr>
                <w:rFonts w:hint="eastAsia"/>
                <w:color w:val="auto"/>
              </w:rPr>
            </w:pPr>
          </w:p>
          <w:p w14:paraId="49CAE2B1">
            <w:pPr>
              <w:keepNext w:val="0"/>
              <w:keepLines w:val="0"/>
              <w:suppressLineNumbers w:val="0"/>
              <w:bidi w:val="0"/>
              <w:spacing w:before="0" w:beforeAutospacing="0" w:after="0" w:afterAutospacing="0"/>
              <w:ind w:left="0" w:right="0" w:firstLine="253" w:firstLineChars="0"/>
              <w:jc w:val="left"/>
              <w:rPr>
                <w:rFonts w:hint="eastAsia" w:eastAsia="宋体"/>
                <w:color w:val="auto"/>
                <w:lang w:val="en-US" w:eastAsia="zh-CN"/>
              </w:rPr>
            </w:pPr>
            <w:r>
              <w:rPr>
                <w:rFonts w:hint="eastAsia"/>
                <w:color w:val="auto"/>
                <w:lang w:val="en-US" w:eastAsia="zh-CN"/>
              </w:rPr>
              <w:t>3</w:t>
            </w:r>
          </w:p>
        </w:tc>
        <w:tc>
          <w:tcPr>
            <w:tcW w:w="915" w:type="dxa"/>
            <w:vAlign w:val="top"/>
          </w:tcPr>
          <w:p w14:paraId="6DBB5047">
            <w:pPr>
              <w:pStyle w:val="33"/>
              <w:keepNext w:val="0"/>
              <w:keepLines w:val="0"/>
              <w:suppressLineNumbers w:val="0"/>
              <w:spacing w:before="0" w:beforeAutospacing="0" w:afterAutospacing="0"/>
              <w:ind w:right="0"/>
              <w:jc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打</w:t>
            </w:r>
            <w:r>
              <w:rPr>
                <w:rFonts w:hint="eastAsia" w:ascii="宋体" w:hAnsi="宋体" w:cs="宋体"/>
                <w:b/>
                <w:bCs/>
                <w:i w:val="0"/>
                <w:iCs w:val="0"/>
                <w:color w:val="auto"/>
                <w:kern w:val="0"/>
                <w:sz w:val="22"/>
                <w:szCs w:val="22"/>
                <w:u w:val="none"/>
                <w:lang w:val="en-US" w:eastAsia="zh-CN" w:bidi="ar"/>
              </w:rPr>
              <w:t>打</w:t>
            </w:r>
            <w:r>
              <w:rPr>
                <w:rFonts w:hint="eastAsia" w:ascii="宋体" w:hAnsi="宋体" w:eastAsia="宋体" w:cs="宋体"/>
                <w:b/>
                <w:bCs/>
                <w:i w:val="0"/>
                <w:iCs w:val="0"/>
                <w:color w:val="auto"/>
                <w:kern w:val="0"/>
                <w:sz w:val="22"/>
                <w:szCs w:val="22"/>
                <w:u w:val="none"/>
                <w:lang w:val="en-US" w:eastAsia="zh-CN" w:bidi="ar"/>
              </w:rPr>
              <w:t>印机</w:t>
            </w:r>
          </w:p>
        </w:tc>
        <w:tc>
          <w:tcPr>
            <w:tcW w:w="6075" w:type="dxa"/>
          </w:tcPr>
          <w:p w14:paraId="5FFC8B19">
            <w:pPr>
              <w:pStyle w:val="33"/>
              <w:keepNext w:val="0"/>
              <w:keepLines w:val="0"/>
              <w:suppressLineNumbers w:val="0"/>
              <w:spacing w:before="0" w:beforeAutospacing="0" w:afterAutospacing="0"/>
              <w:ind w:left="0" w:leftChars="0" w:right="0" w:firstLine="0" w:firstLineChars="0"/>
              <w:rPr>
                <w:rFonts w:hint="eastAsia" w:ascii="宋体" w:hAnsi="宋体" w:eastAsia="宋体" w:cs="Times New Roman"/>
                <w:bCs/>
                <w:color w:val="auto"/>
                <w:sz w:val="21"/>
                <w:szCs w:val="21"/>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打印功能：自动双面；类型：彩色打印；速度：0-24页/分纸张；输入容量：250-499页；扫描功能：平板式基础功能：复印，扫描；打印输稿器：不支持输稿器连接方式：Wi-Fi，USB；最大支持幅面：A4。</w:t>
            </w:r>
          </w:p>
        </w:tc>
        <w:tc>
          <w:tcPr>
            <w:tcW w:w="780" w:type="dxa"/>
            <w:vAlign w:val="center"/>
          </w:tcPr>
          <w:p w14:paraId="0D6484D4">
            <w:pPr>
              <w:keepNext w:val="0"/>
              <w:keepLines w:val="0"/>
              <w:widowControl/>
              <w:suppressLineNumbers w:val="0"/>
              <w:spacing w:before="0" w:beforeAutospacing="0" w:after="0" w:afterAutospacing="0"/>
              <w:ind w:left="0" w:right="0"/>
              <w:jc w:val="center"/>
              <w:textAlignment w:val="center"/>
              <w:rPr>
                <w:rFonts w:hint="default" w:eastAsia="宋体"/>
                <w:color w:val="auto"/>
                <w:lang w:val="en-US" w:eastAsia="zh-CN"/>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2A6F9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w:t>
            </w:r>
          </w:p>
        </w:tc>
        <w:tc>
          <w:tcPr>
            <w:tcW w:w="585" w:type="dxa"/>
            <w:vAlign w:val="center"/>
          </w:tcPr>
          <w:p w14:paraId="10EBC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16F63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1" w:name="OLE_LINK10"/>
            <w:r>
              <w:rPr>
                <w:rFonts w:hint="eastAsia" w:ascii="宋体" w:hAnsi="宋体" w:eastAsia="宋体" w:cs="宋体"/>
                <w:i w:val="0"/>
                <w:iCs w:val="0"/>
                <w:color w:val="auto"/>
                <w:kern w:val="0"/>
                <w:sz w:val="22"/>
                <w:szCs w:val="22"/>
                <w:u w:val="none"/>
                <w:lang w:val="en-US" w:eastAsia="zh-CN" w:bidi="ar"/>
              </w:rPr>
              <w:t>9600</w:t>
            </w:r>
            <w:bookmarkEnd w:id="51"/>
          </w:p>
        </w:tc>
      </w:tr>
      <w:tr w14:paraId="594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2C18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w:t>
            </w:r>
          </w:p>
        </w:tc>
        <w:tc>
          <w:tcPr>
            <w:tcW w:w="915" w:type="dxa"/>
            <w:vAlign w:val="center"/>
          </w:tcPr>
          <w:p w14:paraId="43E0E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音响</w:t>
            </w:r>
          </w:p>
        </w:tc>
        <w:tc>
          <w:tcPr>
            <w:tcW w:w="6075" w:type="dxa"/>
          </w:tcPr>
          <w:p w14:paraId="7CAADFC0">
            <w:pPr>
              <w:pStyle w:val="33"/>
              <w:keepNext w:val="0"/>
              <w:keepLines w:val="0"/>
              <w:suppressLineNumbers w:val="0"/>
              <w:spacing w:before="0" w:beforeAutospacing="0" w:afterAutospacing="0"/>
              <w:ind w:left="0" w:leftChars="0" w:right="0" w:firstLine="0" w:firstLineChars="0"/>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1.配置：壁挂音响音箱28个.户外音柱6个.智能广播主机1台.前置放大器1台.纯后级定压功放2台.柜机1台.无线话筒2套，安装辅材1批；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2.壁挂音响音箱：电压：0/100，功率：10W，材质：ABS，喇叭单元：5寸+高音，尺寸：27*18.3*8.5cm；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3.户外音柱：实际功率：100W ，峰值功率：120W，输入电压：110V，灵敏度：91dB，响应频率：100~15kHz，尺寸大小：23*12.5*115cm，材质：铝合金，喇叭单元：6.5寸*5单元；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智能广播主机：在没有电脑的情况下，可单独手动使用，内置全套校园广播歌曲，音乐铃声，USB接口.话筒.下载.录音方便快捷，停电程序自动保护，内置监听扬声器，智能分区广播.消防紧急广播.背景音乐播放，广泛应用：学习.企事业单位.可实现无人值守.定时定点.定节目编程播放.系统定时开启.关闭，自动运行所编程序，自动播放广播内容※技术参数：信噪比：&gt;90dB，谐波失真：&lt;0.1%，频响范围：20Hz-18K，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5.前置放大器：6路话筒输入，4路音频输入，1路紧急广播输入，4路音频信号输出，消防紧急强切功能，电源电压：AC220±10，5Hz，输入特性：话筒输入：不平衡输入：输入阻抗1KΩ 输入电平-52dB，线路输入：不平衡输入：输入阻抗20KΩ 输入电平-20dB，输出特性：节目输出 不平衡输出：额定输出20KΩ 最大输出 ±12dB，通道频率均衡特性：高音：10KHz 低音：100Hz，通道增益： 话筒输入-节目输出 56dB±1dB ，线路输入-节目输出 24dB±1dB，谐波失真：20dB-20KHz ≤0.5%，频率特性：≤±1.5dB，噪声电平：这和到输入端≤-118dB，过滤能力：≥35dB；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纯后级定压功放：采用先进高效功率放大电路，强劲的功率输出，超强负责能力，设有1音频输入，音量可独立调节，电压输出为70V/100V，定阻输出为4-16Ω，输出功率为1000W，额定功率1000W，输出频响范围为100~16KHz，设备设有异常工作保护警告功能，当输入信号过大.负载过重.温度过高.线路电路时，对应的指示灯提示，有极高的可靠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7.柜机：25mm厚高密度防震棉,前后盖子贴波浪棉，内箱高质量喷漆 ，标准带方型孔或攻牙柱子双柱，匹配装机螺丝，双包铝材，凹凸铝型材，内外箱子及盖子用9mm高质量防火板，重型工业蝴蝶锁，抽手，圆包角，角码，喷漆轮板，喷漆4x4"轮子，对角刹车；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8.无线话筒两套：系统主要功能特点：采用自研发独有高灵敏真分集选讯电路，每支话筒的信号都有双重电路接收. 能有效降低使用范围内断频现象的发生,提升了使用距离；大功率的发射器设计.在功耗与连续使用时间上达到最优比例；系统工作频率范围经过对比优化,采用了左右通道不同频率的窄带宽设计，有效减少了非工作段外的杂讯干忧；专为学校操场/大中型体育馆/等需要远距离讲话而设计.系统单机版在最优使用环境下可以达到 1000 米的有效使用距离.无需安装任何放大器；最多同时允许叠加 2 套系统同时使用；发射器规格：管身材质：全锌合金管体,表面电镀黑镍加硬处理；振荡模式：PLL 相位锁定频率合成；工作频段: 640-673MHZ；频率调整：红外调频/手动调节射频功率：约40mW；拾音头：动圈式；使用电池：5号电池两只；接收机规格：振荡模式：PLL  相位锁定频率合成射频稳定度：±0.005%（-10~50℃）；工作频段: 左边 CHA: 640-648MHZ 右边 CHB: 665-673MHZ；通道间隔: 250KHz；灵敏度：在偏移度等于 25KHz。输入–95dBm 时，S/N＞80Db 最大偏移度：±48KHz；综合 S/N 比：＞102Db；综合 T.H.D：＜0.5%@1KHz；频率响应：60Hz~15KHz；最大输出电压：0dbV@45KHz；输出插座：XLR 平衡式及 6.3 不平衡式音量输出调整：电位器式；静音控制模式：音码及杂讯双重静音控制电源供应：DC12~15V/1000mA；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安装辅材：根据实地规格定制。</w:t>
            </w:r>
          </w:p>
        </w:tc>
        <w:tc>
          <w:tcPr>
            <w:tcW w:w="780" w:type="dxa"/>
            <w:vAlign w:val="center"/>
          </w:tcPr>
          <w:p w14:paraId="2744C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30000</w:t>
            </w:r>
          </w:p>
        </w:tc>
        <w:tc>
          <w:tcPr>
            <w:tcW w:w="615" w:type="dxa"/>
            <w:vAlign w:val="center"/>
          </w:tcPr>
          <w:p w14:paraId="6A119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44B8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2D901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2" w:name="OLE_LINK11"/>
            <w:r>
              <w:rPr>
                <w:rFonts w:hint="eastAsia" w:ascii="宋体" w:hAnsi="宋体" w:eastAsia="宋体" w:cs="宋体"/>
                <w:i w:val="0"/>
                <w:iCs w:val="0"/>
                <w:color w:val="auto"/>
                <w:kern w:val="0"/>
                <w:sz w:val="22"/>
                <w:szCs w:val="22"/>
                <w:u w:val="none"/>
                <w:lang w:val="en-US" w:eastAsia="zh-CN" w:bidi="ar"/>
              </w:rPr>
              <w:t>30000</w:t>
            </w:r>
            <w:bookmarkEnd w:id="52"/>
          </w:p>
        </w:tc>
      </w:tr>
      <w:tr w14:paraId="415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1CE2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w:t>
            </w:r>
          </w:p>
        </w:tc>
        <w:tc>
          <w:tcPr>
            <w:tcW w:w="915" w:type="dxa"/>
            <w:vAlign w:val="center"/>
          </w:tcPr>
          <w:p w14:paraId="75113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广播设备</w:t>
            </w:r>
          </w:p>
        </w:tc>
        <w:tc>
          <w:tcPr>
            <w:tcW w:w="6075" w:type="dxa"/>
          </w:tcPr>
          <w:p w14:paraId="6F3186B3">
            <w:pPr>
              <w:pStyle w:val="33"/>
              <w:keepNext w:val="0"/>
              <w:keepLines w:val="0"/>
              <w:suppressLineNumbers w:val="0"/>
              <w:spacing w:before="0" w:beforeAutospacing="0" w:afterAutospacing="0"/>
              <w:ind w:left="0" w:leftChars="0" w:right="0" w:firstLine="0" w:firstLineChars="0"/>
              <w:rPr>
                <w:rFonts w:hint="eastAsia" w:ascii="宋体" w:hAnsi="宋体" w:eastAsia="宋体" w:cs="Times New Roman"/>
                <w:bCs/>
                <w:color w:val="auto"/>
                <w:sz w:val="21"/>
                <w:szCs w:val="21"/>
                <w:highlight w:val="none"/>
                <w:vertAlign w:val="baseline"/>
                <w:lang w:val="en-US" w:eastAsia="zh-CN"/>
              </w:rPr>
            </w:pPr>
            <w:r>
              <w:rPr>
                <w:rFonts w:hint="eastAsia" w:ascii="宋体" w:hAnsi="宋体" w:eastAsia="宋体" w:cs="宋体"/>
                <w:b/>
                <w:bCs/>
                <w:i w:val="0"/>
                <w:iCs w:val="0"/>
                <w:color w:val="FF0000"/>
                <w:kern w:val="0"/>
                <w:sz w:val="22"/>
                <w:szCs w:val="22"/>
                <w:u w:val="none"/>
                <w:lang w:val="en-US" w:eastAsia="zh-CN" w:bidi="ar"/>
              </w:rPr>
              <w:t>1.配置：</w:t>
            </w:r>
            <w:r>
              <w:rPr>
                <w:rFonts w:hint="eastAsia" w:ascii="宋体" w:hAnsi="宋体" w:cs="宋体"/>
                <w:b/>
                <w:bCs/>
                <w:i w:val="0"/>
                <w:iCs w:val="0"/>
                <w:color w:val="FF0000"/>
                <w:kern w:val="0"/>
                <w:sz w:val="22"/>
                <w:szCs w:val="22"/>
                <w:u w:val="none"/>
                <w:lang w:val="en-US" w:eastAsia="zh-CN" w:bidi="ar"/>
              </w:rPr>
              <w:t>60W防水音柱4台.15W壁挂音箱20台.纯后级功放1台.编程控制主机1台.1拖2无线手持话筒1台.电源时序器1台.音响现场1批</w:t>
            </w:r>
            <w:r>
              <w:rPr>
                <w:rFonts w:hint="eastAsia" w:ascii="宋体" w:hAnsi="宋体" w:eastAsia="宋体" w:cs="宋体"/>
                <w:b/>
                <w:bCs/>
                <w:i w:val="0"/>
                <w:iCs w:val="0"/>
                <w:color w:val="FF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.户外防水音柱额定功率：60W、喇叭单元：4寸×4+1.5寸高音、灵敏度（1m/1W)：89dB、尺寸（H×W×D）mm：855*150*103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.教室音箱：内额定功率：15W-25W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输入电压：100V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灵敏度：88dB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频率响应：70-20KHz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喇叭单元：6寸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产品规格：255*177*91mm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定压功放机：两路话筒输入，两路线路输入，一路线路输出，其中一路话筒有默认优先功能，有高低音调节功能，5分区独立音量调控输出，本产品带有USB接口和收音功能，支持蓝牙，支持MP3格式，自带LCD液晶屏，便于紧急广播，功率输出短路保护警告、自带提示音报警。  额定功率：1500W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机器尺寸（长宽高）484*420*88(mm)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.智能定时播放器：6分区、存储方式 内置8G内存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支持音频格式 MP3  wma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收音方式 FM  88mhz--108mhz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录音输入幅度 MIC 5mV LINE 500mV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 出 LINE 500mV Unbalanced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整机音噪比 ≥80dB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整机失真度 &lt;0.1%(1KHz)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.一拖二户外无线话筒、接收距离100-150M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.电源时序器：空载功耗：5W，正常工作电压：~220V-240V(总线输入最大安全电流20A，每路最大承受电流：16A，输入与输出电源：AC输入电压=AC输出电压，辅助输出电源：DC+5V，每路动作延时时间：1.2秒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.信号传输线，户外2.5M²音频传输线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.机柜：1.6m*600*600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.辅助材料：16线管、线扣、胶布、线订、直通、绝缘胶布、防水箱、插排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.安装调试费用：5天3人15工*300</w:t>
            </w:r>
          </w:p>
        </w:tc>
        <w:tc>
          <w:tcPr>
            <w:tcW w:w="780" w:type="dxa"/>
            <w:vAlign w:val="center"/>
          </w:tcPr>
          <w:p w14:paraId="15755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54000</w:t>
            </w:r>
          </w:p>
        </w:tc>
        <w:tc>
          <w:tcPr>
            <w:tcW w:w="615" w:type="dxa"/>
            <w:vAlign w:val="center"/>
          </w:tcPr>
          <w:p w14:paraId="249AB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A6C2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6B3D6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3" w:name="OLE_LINK12"/>
            <w:r>
              <w:rPr>
                <w:rFonts w:hint="eastAsia" w:ascii="宋体" w:hAnsi="宋体" w:eastAsia="宋体" w:cs="宋体"/>
                <w:i w:val="0"/>
                <w:iCs w:val="0"/>
                <w:color w:val="auto"/>
                <w:kern w:val="0"/>
                <w:sz w:val="22"/>
                <w:szCs w:val="22"/>
                <w:u w:val="none"/>
                <w:lang w:val="en-US" w:eastAsia="zh-CN" w:bidi="ar"/>
              </w:rPr>
              <w:t>54000</w:t>
            </w:r>
            <w:bookmarkEnd w:id="53"/>
          </w:p>
        </w:tc>
      </w:tr>
      <w:tr w14:paraId="6D1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dxa"/>
            <w:vAlign w:val="center"/>
          </w:tcPr>
          <w:p w14:paraId="18550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6</w:t>
            </w:r>
          </w:p>
        </w:tc>
        <w:tc>
          <w:tcPr>
            <w:tcW w:w="915" w:type="dxa"/>
            <w:vAlign w:val="center"/>
          </w:tcPr>
          <w:p w14:paraId="45A89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广播系统（一）</w:t>
            </w:r>
          </w:p>
        </w:tc>
        <w:tc>
          <w:tcPr>
            <w:tcW w:w="6075" w:type="dxa"/>
            <w:vAlign w:val="center"/>
          </w:tcPr>
          <w:p w14:paraId="0C8DBAE0">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8壁挂音响、8只智能控制终端、主机一台、功放机两台（内、外）柜机一台、远距离无线话筒一套、室外音柱8只</w:t>
            </w:r>
          </w:p>
        </w:tc>
        <w:tc>
          <w:tcPr>
            <w:tcW w:w="780" w:type="dxa"/>
            <w:vAlign w:val="center"/>
          </w:tcPr>
          <w:p w14:paraId="7B651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37000</w:t>
            </w:r>
          </w:p>
        </w:tc>
        <w:tc>
          <w:tcPr>
            <w:tcW w:w="615" w:type="dxa"/>
            <w:vAlign w:val="center"/>
          </w:tcPr>
          <w:p w14:paraId="6B89E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7FF9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714AD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4" w:name="OLE_LINK13"/>
            <w:r>
              <w:rPr>
                <w:rFonts w:hint="eastAsia" w:ascii="宋体" w:hAnsi="宋体" w:eastAsia="宋体" w:cs="宋体"/>
                <w:i w:val="0"/>
                <w:iCs w:val="0"/>
                <w:color w:val="auto"/>
                <w:kern w:val="0"/>
                <w:sz w:val="22"/>
                <w:szCs w:val="22"/>
                <w:u w:val="none"/>
                <w:lang w:val="en-US" w:eastAsia="zh-CN" w:bidi="ar"/>
              </w:rPr>
              <w:t>37000</w:t>
            </w:r>
            <w:bookmarkEnd w:id="54"/>
          </w:p>
        </w:tc>
      </w:tr>
      <w:tr w14:paraId="03E7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568F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7</w:t>
            </w:r>
          </w:p>
        </w:tc>
        <w:tc>
          <w:tcPr>
            <w:tcW w:w="915" w:type="dxa"/>
            <w:vAlign w:val="center"/>
          </w:tcPr>
          <w:p w14:paraId="162BF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广播系统（二）</w:t>
            </w:r>
          </w:p>
        </w:tc>
        <w:tc>
          <w:tcPr>
            <w:tcW w:w="6075" w:type="dxa"/>
            <w:vAlign w:val="top"/>
          </w:tcPr>
          <w:p w14:paraId="429E789C">
            <w:pPr>
              <w:keepNext w:val="0"/>
              <w:keepLines w:val="0"/>
              <w:widowControl/>
              <w:suppressLineNumbers w:val="0"/>
              <w:spacing w:before="0" w:beforeAutospacing="0" w:after="0" w:afterAutospacing="0"/>
              <w:ind w:left="0" w:right="0"/>
              <w:jc w:val="left"/>
              <w:textAlignment w:val="top"/>
              <w:rPr>
                <w:rFonts w:hint="default"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IP网络广播服务器</w:t>
            </w:r>
            <w:r>
              <w:rPr>
                <w:rFonts w:hint="eastAsia" w:ascii="宋体" w:hAnsi="宋体" w:cs="宋体"/>
                <w:b/>
                <w:bCs/>
                <w:i w:val="0"/>
                <w:iCs w:val="0"/>
                <w:color w:val="FF0000"/>
                <w:kern w:val="0"/>
                <w:sz w:val="22"/>
                <w:szCs w:val="22"/>
                <w:u w:val="none"/>
                <w:lang w:val="en-US" w:eastAsia="zh-CN" w:bidi="ar"/>
              </w:rPr>
              <w:t>1台.7寸网络话筒1台. 智能网络音箱6台. 智能副音箱6台. 40W网络音柱5台. 60W网络音柱5台.90W网络音柱5台.</w:t>
            </w:r>
          </w:p>
          <w:p w14:paraId="145BB1B2">
            <w:pPr>
              <w:keepNext w:val="0"/>
              <w:keepLines w:val="0"/>
              <w:widowControl/>
              <w:suppressLineNumbers w:val="0"/>
              <w:spacing w:before="0" w:beforeAutospacing="0" w:after="0" w:afterAutospacing="0"/>
              <w:ind w:left="0" w:right="0"/>
              <w:jc w:val="left"/>
              <w:textAlignment w:val="top"/>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 15/17寸触摸屏；抽拉键盘、鼠标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4G内存；128G固态硬盘，可以扩容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标配工业主板；Intel G1840 2.8GHz四核处理器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高配工业主板；Intel I3四代 3.4GHz四核处理器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7U机身 482.6x310.3x295mm（宽x高x深）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网络广播软件载体；IP网络广播系统指挥中心 IP网络寻呼话筒 ： ※ 7寸触摸屏，10个呼叫快捷键.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一路音频输出，可接有源音箱.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一路音频输入，可播放外部音源.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USB接口，可分区对终端播放音乐.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一键报警、一键寻呼、一键对讲.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可设置9+3个快捷按键.                                                                                                                                                   无线话筒室外 ： 真分集 1500米                                                                                                                                                    教师麦克风  ：无线教学话筒，适配教室 教学音响 IP网络音箱  ：※ 内置 2×30W 网络功放，可带定阻副音箱.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专业分频设计，5寸低音单元，3寸纸盆高音.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内置2.4G蓝牙无线教学话筒.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电源：15V/3A；加分离器可以POE供电.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尺寸：295 x 195x 160mm（高×宽×厚）.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可以和任意网络设备同步播放，实现监听.                                                                                                                   IP网络防水音柱60W：※ 30W：150 x 105x 350mm（宽×厚×高）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45W：150 x 105x 460mm（宽×厚×高）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60W：150 x 105x 580mm（宽×厚×高）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75W：150 x 105x 650mm（宽×厚×高）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挂壁式安装，适用于公园、景区、小区…场所. 安装配件</w:t>
            </w:r>
          </w:p>
        </w:tc>
        <w:tc>
          <w:tcPr>
            <w:tcW w:w="780" w:type="dxa"/>
            <w:vAlign w:val="center"/>
          </w:tcPr>
          <w:p w14:paraId="05D8A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21000</w:t>
            </w:r>
          </w:p>
        </w:tc>
        <w:tc>
          <w:tcPr>
            <w:tcW w:w="615" w:type="dxa"/>
            <w:vAlign w:val="center"/>
          </w:tcPr>
          <w:p w14:paraId="4F38E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6149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1B6DA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5" w:name="OLE_LINK14"/>
            <w:r>
              <w:rPr>
                <w:rFonts w:hint="eastAsia" w:ascii="宋体" w:hAnsi="宋体" w:eastAsia="宋体" w:cs="宋体"/>
                <w:i w:val="0"/>
                <w:iCs w:val="0"/>
                <w:color w:val="auto"/>
                <w:kern w:val="0"/>
                <w:sz w:val="22"/>
                <w:szCs w:val="22"/>
                <w:u w:val="none"/>
                <w:lang w:val="en-US" w:eastAsia="zh-CN" w:bidi="ar"/>
              </w:rPr>
              <w:t>21000</w:t>
            </w:r>
            <w:bookmarkEnd w:id="55"/>
          </w:p>
        </w:tc>
      </w:tr>
      <w:tr w14:paraId="0388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C742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8</w:t>
            </w:r>
          </w:p>
        </w:tc>
        <w:tc>
          <w:tcPr>
            <w:tcW w:w="915" w:type="dxa"/>
            <w:vAlign w:val="center"/>
          </w:tcPr>
          <w:p w14:paraId="3E12A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电子监控（一）</w:t>
            </w:r>
          </w:p>
        </w:tc>
        <w:tc>
          <w:tcPr>
            <w:tcW w:w="6075" w:type="dxa"/>
            <w:vAlign w:val="center"/>
          </w:tcPr>
          <w:p w14:paraId="0468E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1.网络摄像头30个：网络广角400万像素摄像头H.265，带音频、内置麦克风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2.网络摄像头30个：网络枪式400万像素摄像头H.265，带音频、内置麦克风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3.网络录像机2台：64路网络录像机4盘位 HDMI接口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4.显示器2台：27寸显示屏HDMI接口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5.16口交换机2台：监控专用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6.8口交换机5台：监控专用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7.5口交换机5台：监控专用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8.存储硬盘9个：存储容量：≥8TB，硬盘缓存≥256MB，硬盘转速不小于5640转/分钟，硬盘外部传输速率不小于6GB/s，应属于监控级硬盘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9.电源线4500米：0.5M²无氧铜一体线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10.网络线4500米：0.5M²无氧铜一体线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11.摄像头支架60个：摄像头户外支架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12.摄像头电源60个：户外防水电源12V2.5A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13.辅助材料：水晶接头、波纹管、胶布、线订、线管、线扣、VGA线、防水箱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14.机柜：1.0m*600*600</w:t>
            </w:r>
          </w:p>
        </w:tc>
        <w:tc>
          <w:tcPr>
            <w:tcW w:w="780" w:type="dxa"/>
            <w:vAlign w:val="center"/>
          </w:tcPr>
          <w:p w14:paraId="27C0D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107000</w:t>
            </w:r>
          </w:p>
        </w:tc>
        <w:tc>
          <w:tcPr>
            <w:tcW w:w="615" w:type="dxa"/>
            <w:vAlign w:val="center"/>
          </w:tcPr>
          <w:p w14:paraId="5F9B4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061FC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85" w:type="dxa"/>
            <w:vAlign w:val="center"/>
          </w:tcPr>
          <w:p w14:paraId="75BEE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bookmarkStart w:id="56" w:name="OLE_LINK15"/>
            <w:r>
              <w:rPr>
                <w:rFonts w:hint="eastAsia" w:ascii="宋体" w:hAnsi="宋体" w:eastAsia="宋体" w:cs="宋体"/>
                <w:i w:val="0"/>
                <w:iCs w:val="0"/>
                <w:color w:val="auto"/>
                <w:kern w:val="0"/>
                <w:sz w:val="22"/>
                <w:szCs w:val="22"/>
                <w:u w:val="none"/>
                <w:lang w:val="en-US" w:eastAsia="zh-CN" w:bidi="ar"/>
              </w:rPr>
              <w:t>107000</w:t>
            </w:r>
            <w:bookmarkEnd w:id="56"/>
          </w:p>
        </w:tc>
      </w:tr>
      <w:tr w14:paraId="1E2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5259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9</w:t>
            </w:r>
          </w:p>
        </w:tc>
        <w:tc>
          <w:tcPr>
            <w:tcW w:w="915" w:type="dxa"/>
            <w:vAlign w:val="center"/>
          </w:tcPr>
          <w:p w14:paraId="73EF8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电子监控（二）</w:t>
            </w:r>
          </w:p>
        </w:tc>
        <w:tc>
          <w:tcPr>
            <w:tcW w:w="6075" w:type="dxa"/>
            <w:shd w:val="clear" w:color="auto" w:fill="auto"/>
            <w:vAlign w:val="top"/>
          </w:tcPr>
          <w:p w14:paraId="4038611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一、网络摄像头 129 台：成像器件应≥1/3 inch，支持逐行扫描，支持≥400万像素CMOS图像传感器，支持红外补光，暖光补光，智能双光三种模式</w:t>
            </w:r>
          </w:p>
          <w:p w14:paraId="64EC894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二、POE 交换机 23 台：8 个百兆 PoE 口+2 个千兆上联网口</w:t>
            </w:r>
          </w:p>
          <w:p w14:paraId="680E54C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三、POE 光端机 1 台：整机 PoE 输出功率 57W，单端口最大输出可达 30W，支持智能功率管理和端口优先级机制；</w:t>
            </w:r>
          </w:p>
          <w:p w14:paraId="20FF382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四、光端机 5 台：配套使用；</w:t>
            </w:r>
          </w:p>
          <w:p w14:paraId="5FB0D98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单纤单模光模块 6 支： 采用可热插拔的SFP 封装；全双工光收发一体模块；符合 SFP MSA、IEEE 802.3z标准；速率高达 1.25Gbps；单模光纤传输，最远可达 2KM；单纤 LC 光口，工作波长 1550nm/1310nm；内置数字诊断功能；壳体工作温度 0℃ ~ 70℃</w:t>
            </w:r>
          </w:p>
          <w:p w14:paraId="65254DE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五、光模块交换机 1 台：4 个千兆网口+10 个千兆SFP 口</w:t>
            </w:r>
          </w:p>
          <w:p w14:paraId="08E3E5B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六、核心交换机 1 台： 交换容量 48Gbps，包转发率 35.71Mpps，机架式，静音款，16K MAC</w:t>
            </w:r>
          </w:p>
          <w:p w14:paraId="4FBB9E0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七、128 路网络硬盘录像机 1 台：盘位≥16盘位，≥128路接入能力</w:t>
            </w:r>
          </w:p>
          <w:p w14:paraId="1E10580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05371C1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存储接口：16 个 SATA 接口，支持硬盘热插拔，可满配 16TB硬盘</w:t>
            </w:r>
          </w:p>
          <w:p w14:paraId="450E879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视频接口：不少于2个HDMI接口、2个VGA接口。至少具有1个音频输入，2个输出接口，</w:t>
            </w:r>
          </w:p>
          <w:p w14:paraId="20301F4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报警接口：至少支持16 路报警输入，10 路报警输出</w:t>
            </w:r>
          </w:p>
          <w:p w14:paraId="2BB4B21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串行接口：至少具备1 路 RS-232 接口，1 路 RS-485 接口</w:t>
            </w:r>
          </w:p>
          <w:p w14:paraId="2F8EFF3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接口：至少具备2×USB 2.0，2×USB 3.0</w:t>
            </w:r>
          </w:p>
          <w:p w14:paraId="1E06BBD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716FDF0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支持接入带宽≥640Mbps，转发带宽≥6640Mbps</w:t>
            </w:r>
          </w:p>
          <w:p w14:paraId="79D8F03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接入能力：128 路 H.264、 H.265、格式高清码流接入</w:t>
            </w:r>
          </w:p>
          <w:p w14:paraId="6C54DF5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RAID 模式：RAID0、RAID1、RAID5、RAID6、RAID10</w:t>
            </w:r>
          </w:p>
          <w:p w14:paraId="34FEBD9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八、64 路网络硬盘录像机 1 台：</w:t>
            </w:r>
          </w:p>
          <w:p w14:paraId="33B655A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支持不少于8盘位，支持64路接入能力</w:t>
            </w:r>
          </w:p>
          <w:p w14:paraId="012FEAA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5E47635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存储接口：8 个 SATA 接口，可满配 16TB 硬盘</w:t>
            </w:r>
          </w:p>
          <w:p w14:paraId="583EC6A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视频接口：2×HDMI，2×VGA</w:t>
            </w:r>
          </w:p>
          <w:p w14:paraId="605465E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网络接口：2×RJ45 10/100/1000Mbps 自适应以太网口</w:t>
            </w:r>
          </w:p>
          <w:p w14:paraId="7FCE116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报警接口：16 路报警输入，10 路报警输出</w:t>
            </w:r>
          </w:p>
          <w:p w14:paraId="228FAA3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接口：2×USB 2.0，2×USB 3.0</w:t>
            </w:r>
          </w:p>
          <w:p w14:paraId="1788A52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177EC55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接入带宽：384Mbps，转发带宽：384Mbps</w:t>
            </w:r>
          </w:p>
          <w:p w14:paraId="16C805F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接入能力：16 路 H.264、H.265 格式高清码流接入</w:t>
            </w:r>
          </w:p>
          <w:p w14:paraId="3ABDF66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九、监控盘 16TB</w:t>
            </w:r>
            <w:r>
              <w:rPr>
                <w:rFonts w:hint="eastAsia"/>
                <w:color w:val="auto"/>
                <w:vertAlign w:val="baseline"/>
                <w:lang w:eastAsia="zh-CN"/>
              </w:rPr>
              <w:t>，</w:t>
            </w:r>
            <w:r>
              <w:rPr>
                <w:rFonts w:hint="eastAsia"/>
                <w:color w:val="auto"/>
                <w:vertAlign w:val="baseline"/>
                <w:lang w:val="en-US" w:eastAsia="zh-CN"/>
              </w:rPr>
              <w:t xml:space="preserve"> </w:t>
            </w:r>
            <w:r>
              <w:rPr>
                <w:rFonts w:hint="eastAsia"/>
                <w:color w:val="FF0000"/>
                <w:vertAlign w:val="baseline"/>
                <w:lang w:val="en-US" w:eastAsia="zh-CN"/>
              </w:rPr>
              <w:t>6块</w:t>
            </w:r>
            <w:r>
              <w:rPr>
                <w:rFonts w:hint="eastAsia"/>
                <w:color w:val="auto"/>
                <w:vertAlign w:val="baseline"/>
              </w:rPr>
              <w:t>，3.5 英寸</w:t>
            </w:r>
          </w:p>
          <w:p w14:paraId="48B4149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转速：5400RPM 缓存：256MB 24×7 全天候高效稳定运行 支</w:t>
            </w:r>
          </w:p>
          <w:p w14:paraId="4D5D2EB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持 3 年有限质保服务</w:t>
            </w:r>
          </w:p>
          <w:p w14:paraId="2313396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十、55 寸 LED 拼接屏 1 台：</w:t>
            </w:r>
          </w:p>
          <w:p w14:paraId="75677A1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直下式 LED 背光源，亮度均匀，无边界暗影现象;物理分辨率</w:t>
            </w:r>
          </w:p>
          <w:p w14:paraId="34BD170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高达 1920 × 1080。;</w:t>
            </w:r>
          </w:p>
          <w:p w14:paraId="7637DBF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全高清显示，画面细腻，色彩丰富;高清晰度、高亮度、高色</w:t>
            </w:r>
          </w:p>
          <w:p w14:paraId="04A2367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域;视角可达 178°，趋近于水平;</w:t>
            </w:r>
          </w:p>
          <w:p w14:paraId="47CC16C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显示面积大、体积小、重量轻;超窄边设计;</w:t>
            </w:r>
          </w:p>
          <w:p w14:paraId="3EC0D7A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运行稳定，可 24 小时持续工作;支持壁挂、落地、吊装等多种</w:t>
            </w:r>
          </w:p>
          <w:p w14:paraId="635CFBD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安装方式;</w:t>
            </w:r>
          </w:p>
          <w:p w14:paraId="198236C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多种拼接方式，能适应各种使用场所;采用金属外壳，防辐射、</w:t>
            </w:r>
          </w:p>
          <w:p w14:paraId="6292E6F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防磁场、防强电场干扰;</w:t>
            </w:r>
          </w:p>
          <w:p w14:paraId="2989319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实时检测设备温度，过温自保护，防止面板灼烧;</w:t>
            </w:r>
          </w:p>
          <w:p w14:paraId="137FDB0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显示尺寸：55 inch</w:t>
            </w:r>
          </w:p>
          <w:p w14:paraId="3C23825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背光源类型：D-LED 物理拼缝：3.5 mm 物理拼缝公差：±0.8</w:t>
            </w:r>
          </w:p>
          <w:p w14:paraId="6718458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mm 物理分辨率：1920 x 1080@60Hz（向下兼容）</w:t>
            </w:r>
          </w:p>
          <w:p w14:paraId="65929AD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亮度：500 cd/m² 可视角：178°(水平) / 178°(垂直) 对</w:t>
            </w:r>
          </w:p>
          <w:p w14:paraId="04284FE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比度：1200 :1 音视频输入接口：HDMI × 1, DVI × 1, VGA</w:t>
            </w:r>
          </w:p>
          <w:p w14:paraId="32BA8BA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1, USB × 1</w:t>
            </w:r>
          </w:p>
          <w:p w14:paraId="3D7C5FF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音视频输出接口：无 控制接口：RS-232 IN × 1, RS-232 OUT</w:t>
            </w:r>
          </w:p>
          <w:p w14:paraId="3B47166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1</w:t>
            </w:r>
          </w:p>
          <w:p w14:paraId="32F2181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电源：100～240 VAC，50/60 Hz 功耗：≤ 190 W 待机功耗：</w:t>
            </w:r>
          </w:p>
          <w:p w14:paraId="0703BF1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0.5 W 安装孔距：600 (H) mm × 400 (V) mm 产品尺寸：</w:t>
            </w:r>
          </w:p>
          <w:p w14:paraId="65F2C78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1213.50 (W) mm × 684.30 (H) mm × 71.19 (D) mm</w:t>
            </w:r>
          </w:p>
          <w:p w14:paraId="23076A3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十一、56 寸 LED 拼接屏支架 1 套：</w:t>
            </w:r>
          </w:p>
          <w:p w14:paraId="7C25BFF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55英寸-壁挂支架适用场合 后墙可承重，墙面平整;性价比高;</w:t>
            </w:r>
          </w:p>
          <w:p w14:paraId="717AC84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快速安装;生产周期短;支持现场扩容;</w:t>
            </w:r>
          </w:p>
          <w:p w14:paraId="29B9FBB0">
            <w:pPr>
              <w:keepNext w:val="0"/>
              <w:keepLines w:val="0"/>
              <w:suppressLineNumbers w:val="0"/>
              <w:spacing w:before="0" w:beforeAutospacing="0" w:after="0" w:afterAutospacing="0"/>
              <w:ind w:left="0" w:right="0"/>
              <w:rPr>
                <w:rFonts w:hint="eastAsia" w:eastAsia="宋体"/>
                <w:color w:val="auto"/>
                <w:vertAlign w:val="baseline"/>
                <w:lang w:eastAsia="zh-CN"/>
              </w:rPr>
            </w:pPr>
            <w:r>
              <w:rPr>
                <w:rFonts w:hint="eastAsia"/>
                <w:color w:val="auto"/>
                <w:vertAlign w:val="baseline"/>
              </w:rPr>
              <w:t>产品型号：55 英寸-壁挂支架 产品配置：仅壁挂支架</w:t>
            </w:r>
            <w:r>
              <w:rPr>
                <w:rFonts w:hint="eastAsia"/>
                <w:color w:val="auto"/>
                <w:vertAlign w:val="baseline"/>
                <w:lang w:eastAsia="zh-CN"/>
              </w:rPr>
              <w:t>。</w:t>
            </w:r>
          </w:p>
          <w:p w14:paraId="6913793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xml:space="preserve"> 材质：优质冷轧钢板(SPCC)，材料厚度从 T1.0-T5 不</w:t>
            </w:r>
          </w:p>
          <w:p w14:paraId="307A5F7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等 备注说明：需要承重墙 颜色：黑色 净重：16kg/个 厚度：</w:t>
            </w:r>
          </w:p>
          <w:p w14:paraId="116B3EC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155mm+屏厚 表面处理：静电喷塑，涂层厚度&gt;60 微米 LOGO：</w:t>
            </w:r>
          </w:p>
          <w:p w14:paraId="4437B7D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支架主体中性；弧度：0° 适用</w:t>
            </w:r>
          </w:p>
          <w:p w14:paraId="4177C8E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规模：不超过 5 行 可定制范围：厚度，颜色，四周封板</w:t>
            </w:r>
          </w:p>
          <w:p w14:paraId="6926186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十二、24 寸显示器 1 台</w:t>
            </w:r>
          </w:p>
          <w:p w14:paraId="7A2E7BF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支持 1920 × 1080 高清显示；• 178°/178°广视角；</w:t>
            </w:r>
          </w:p>
          <w:p w14:paraId="62D78B7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HDMI+VGA 双接口，丰富连接性和兼容性；采用 3D 降噪技</w:t>
            </w:r>
          </w:p>
          <w:p w14:paraId="635435E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术，图像鲜艳明亮，呈现真实细节；支持软件展频技术可降</w:t>
            </w:r>
          </w:p>
          <w:p w14:paraId="3BC2611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低 EMI 辐射； 支持 VESA 壁挂。</w:t>
            </w:r>
          </w:p>
          <w:p w14:paraId="4172D74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自带底座</w:t>
            </w:r>
          </w:p>
          <w:p w14:paraId="35A5D4C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VGA*1+HDMI*1</w:t>
            </w:r>
          </w:p>
          <w:p w14:paraId="28BC0A2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十三、24 寸壁挂支架 1 套</w:t>
            </w:r>
          </w:p>
          <w:p w14:paraId="3FB1381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十四、落地机柜 1 台 37U 1.8m*600*600</w:t>
            </w:r>
          </w:p>
          <w:p w14:paraId="6BCDECB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十五、壁装机柜 1 台 6U 550*400*300</w:t>
            </w:r>
          </w:p>
          <w:p w14:paraId="728E7A2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十六、弱电盒 17 个</w:t>
            </w:r>
          </w:p>
          <w:p w14:paraId="531197B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十七、光纤终端盒 1 个 SC-LC 12 口满配 SC 出口</w:t>
            </w:r>
          </w:p>
          <w:p w14:paraId="5E1B198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十八、尾纤直出盒 6 个： SC 8 口直出盒</w:t>
            </w:r>
          </w:p>
          <w:p w14:paraId="2A750B3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十九、光纤跳线 6 条： SC-LC 跳线</w:t>
            </w:r>
          </w:p>
          <w:p w14:paraId="609B020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二十、尾纤 6 条 SC</w:t>
            </w:r>
          </w:p>
          <w:p w14:paraId="70EA476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二十一、PDU 158 支： 158 8 位 40 孔</w:t>
            </w:r>
          </w:p>
          <w:p w14:paraId="7D063C6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二十二、插板 6 个 4 位 10 孔</w:t>
            </w:r>
          </w:p>
          <w:p w14:paraId="2452891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二十三、防雷设备 7 套 朗涌防雷</w:t>
            </w:r>
          </w:p>
          <w:p w14:paraId="7A5673D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二十四、4 对双绞线 3900 米 450A 无氧铜</w:t>
            </w:r>
          </w:p>
          <w:p w14:paraId="28F2816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二十五、电源线 600 米 RCC2.5*W</w:t>
            </w:r>
          </w:p>
          <w:p w14:paraId="2A5C5E7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二十六、光纤 800 米 单模单线 单模单纤</w:t>
            </w:r>
          </w:p>
          <w:p w14:paraId="73397EE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二十七、水晶头 129 个 超五类</w:t>
            </w:r>
          </w:p>
          <w:p w14:paraId="4292568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二十八、点对点对线</w:t>
            </w:r>
          </w:p>
          <w:p w14:paraId="4C54395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二十九、光纤熔接</w:t>
            </w:r>
          </w:p>
          <w:p w14:paraId="557514C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三十、桥架 10*5</w:t>
            </w:r>
          </w:p>
          <w:p w14:paraId="66E576D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三十一、线槽线管</w:t>
            </w:r>
          </w:p>
          <w:p w14:paraId="4AA71849">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color w:val="auto"/>
                <w:vertAlign w:val="baseline"/>
              </w:rPr>
              <w:t>三十二 辅助材料</w:t>
            </w:r>
          </w:p>
        </w:tc>
        <w:tc>
          <w:tcPr>
            <w:tcW w:w="780" w:type="dxa"/>
            <w:vAlign w:val="center"/>
          </w:tcPr>
          <w:p w14:paraId="3D680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250000</w:t>
            </w:r>
          </w:p>
        </w:tc>
        <w:tc>
          <w:tcPr>
            <w:tcW w:w="615" w:type="dxa"/>
            <w:vAlign w:val="center"/>
          </w:tcPr>
          <w:p w14:paraId="7B0DE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F679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2F34B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7" w:name="OLE_LINK16"/>
            <w:r>
              <w:rPr>
                <w:rFonts w:hint="eastAsia" w:ascii="宋体" w:hAnsi="宋体" w:eastAsia="宋体" w:cs="宋体"/>
                <w:i w:val="0"/>
                <w:iCs w:val="0"/>
                <w:color w:val="auto"/>
                <w:kern w:val="0"/>
                <w:sz w:val="22"/>
                <w:szCs w:val="22"/>
                <w:u w:val="none"/>
                <w:lang w:val="en-US" w:eastAsia="zh-CN" w:bidi="ar"/>
              </w:rPr>
              <w:t>250000</w:t>
            </w:r>
            <w:bookmarkEnd w:id="57"/>
          </w:p>
        </w:tc>
      </w:tr>
      <w:tr w14:paraId="216C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2F97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10</w:t>
            </w:r>
          </w:p>
        </w:tc>
        <w:tc>
          <w:tcPr>
            <w:tcW w:w="915" w:type="dxa"/>
            <w:vAlign w:val="center"/>
          </w:tcPr>
          <w:p w14:paraId="3D364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电子监控（三）</w:t>
            </w:r>
          </w:p>
        </w:tc>
        <w:tc>
          <w:tcPr>
            <w:tcW w:w="6075" w:type="dxa"/>
            <w:shd w:val="clear" w:color="auto" w:fill="auto"/>
            <w:vAlign w:val="center"/>
          </w:tcPr>
          <w:p w14:paraId="4754A8A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1.网络摄像头 15 台：成像器件应≥1/3 inch，支持逐行扫描，支持≥400万像素CMOS图像传感器，支持红外补光，暖光补光，智能双光；补光距离：红外补光距离≥50m，暖光补光距离≥30m，至少内置1个MIC用于拾音，支持周界布防，包括越界检测、区域入侵；设备防护等级：IP67；</w:t>
            </w:r>
          </w:p>
          <w:p w14:paraId="1B3ED87A">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2.交换机 160x23</w:t>
            </w:r>
            <w:r>
              <w:rPr>
                <w:rFonts w:hint="eastAsia"/>
                <w:color w:val="auto"/>
                <w:vertAlign w:val="baseline"/>
                <w:lang w:eastAsia="zh-CN"/>
              </w:rPr>
              <w:t>，</w:t>
            </w:r>
            <w:r>
              <w:rPr>
                <w:rFonts w:hint="eastAsia"/>
                <w:color w:val="FF0000"/>
                <w:vertAlign w:val="baseline"/>
                <w:lang w:val="en-US" w:eastAsia="zh-CN"/>
              </w:rPr>
              <w:t>23台</w:t>
            </w:r>
          </w:p>
          <w:p w14:paraId="73AC4706">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3.光模块 160x23</w:t>
            </w:r>
            <w:r>
              <w:rPr>
                <w:rFonts w:hint="eastAsia"/>
                <w:color w:val="auto"/>
                <w:vertAlign w:val="baseline"/>
                <w:lang w:eastAsia="zh-CN"/>
              </w:rPr>
              <w:t>，</w:t>
            </w:r>
            <w:r>
              <w:rPr>
                <w:rFonts w:hint="eastAsia"/>
                <w:color w:val="FF0000"/>
                <w:vertAlign w:val="baseline"/>
                <w:lang w:val="en-US" w:eastAsia="zh-CN"/>
              </w:rPr>
              <w:t>6台</w:t>
            </w:r>
          </w:p>
          <w:p w14:paraId="51351320">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4.光模块交换机 345X1</w:t>
            </w:r>
            <w:r>
              <w:rPr>
                <w:rFonts w:hint="eastAsia"/>
                <w:color w:val="auto"/>
                <w:vertAlign w:val="baseline"/>
                <w:lang w:eastAsia="zh-CN"/>
              </w:rPr>
              <w:t>，</w:t>
            </w:r>
            <w:r>
              <w:rPr>
                <w:rFonts w:hint="eastAsia"/>
                <w:color w:val="FF0000"/>
                <w:vertAlign w:val="baseline"/>
                <w:lang w:val="en-US" w:eastAsia="zh-CN"/>
              </w:rPr>
              <w:t>1台</w:t>
            </w:r>
          </w:p>
          <w:p w14:paraId="25CCCEE9">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5.核心交换机 X1</w:t>
            </w:r>
            <w:r>
              <w:rPr>
                <w:rFonts w:hint="eastAsia"/>
                <w:color w:val="auto"/>
                <w:vertAlign w:val="baseline"/>
                <w:lang w:eastAsia="zh-CN"/>
              </w:rPr>
              <w:t>，</w:t>
            </w:r>
            <w:r>
              <w:rPr>
                <w:rFonts w:hint="eastAsia"/>
                <w:color w:val="FF0000"/>
                <w:vertAlign w:val="baseline"/>
                <w:lang w:val="en-US" w:eastAsia="zh-CN"/>
              </w:rPr>
              <w:t>1台</w:t>
            </w:r>
          </w:p>
          <w:p w14:paraId="2C443A1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6.录像机1：128 路网络硬盘录像机 1 台：盘位≥16盘位，≥128路接入能力</w:t>
            </w:r>
          </w:p>
          <w:p w14:paraId="6B04E83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4088458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存储接口：16 个 SATA 接口，支持硬盘热插拔，可满配 16TB硬盘</w:t>
            </w:r>
          </w:p>
          <w:p w14:paraId="6D66960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视频接口：不少于2个HDMI接口、2个VGA接口。至少具有1个音频输入，2个输出接口，</w:t>
            </w:r>
          </w:p>
          <w:p w14:paraId="61F99B7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报警接口：至少支持16 路报警输入，10 路报警输出</w:t>
            </w:r>
          </w:p>
          <w:p w14:paraId="718BCA4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串行接口：至少具备1 路 RS-232 接口，1 路 RS-485 接口</w:t>
            </w:r>
          </w:p>
          <w:p w14:paraId="4976933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接口：至少具备2×USB 2.0，2×USB 3.0</w:t>
            </w:r>
          </w:p>
          <w:p w14:paraId="334740C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17D5071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支持接入带宽≥640Mbps，转发带宽≥6640Mbps</w:t>
            </w:r>
          </w:p>
          <w:p w14:paraId="35B0FB9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接入能力：128 路 H.264、 H.265、格式高清码流接入</w:t>
            </w:r>
          </w:p>
          <w:p w14:paraId="1229468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RAID 模式：RAID0、RAID1、RAID5、RAID6、RAID10</w:t>
            </w:r>
          </w:p>
          <w:p w14:paraId="0BB893B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8.64 路网络硬盘录像机 1 台：</w:t>
            </w:r>
          </w:p>
          <w:p w14:paraId="097348D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支持不少于8盘位，支持64路接入能力</w:t>
            </w:r>
          </w:p>
          <w:p w14:paraId="4CEA359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4B61766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存储接口：8 个 SATA 接口，可满配 16TB 硬盘</w:t>
            </w:r>
          </w:p>
          <w:p w14:paraId="12CA63C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视频接口：2×HDMI，2×VGA</w:t>
            </w:r>
          </w:p>
          <w:p w14:paraId="357DFBE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网络接口：2×RJ45 10/100/1000Mbps 自适应以太网口</w:t>
            </w:r>
          </w:p>
          <w:p w14:paraId="79C15D5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报警接口：16 路报警输入，10 路报警输出</w:t>
            </w:r>
          </w:p>
          <w:p w14:paraId="78E3B34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接口：2×USB 2.0，2×USB 3.0</w:t>
            </w:r>
          </w:p>
          <w:p w14:paraId="4FADC9D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44207BD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接入带宽：384Mbps，转发带宽：384Mbps</w:t>
            </w:r>
          </w:p>
          <w:p w14:paraId="7615376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接入能力：16 路 H.264、H.265 格式高清码流接入</w:t>
            </w:r>
          </w:p>
          <w:p w14:paraId="33B78030">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9.硬盘：监控盘 16TB，3.5 英寸</w:t>
            </w:r>
            <w:r>
              <w:rPr>
                <w:rFonts w:hint="eastAsia"/>
                <w:color w:val="auto"/>
                <w:vertAlign w:val="baseline"/>
                <w:lang w:eastAsia="zh-CN"/>
              </w:rPr>
              <w:t>，</w:t>
            </w:r>
            <w:r>
              <w:rPr>
                <w:rFonts w:hint="eastAsia"/>
                <w:color w:val="FF0000"/>
                <w:vertAlign w:val="baseline"/>
                <w:lang w:val="en-US" w:eastAsia="zh-CN"/>
              </w:rPr>
              <w:t>6台</w:t>
            </w:r>
          </w:p>
          <w:p w14:paraId="26B4750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转速：5400RPM 缓存：256MB 24×7 全天候高效稳定运行 支</w:t>
            </w:r>
          </w:p>
          <w:p w14:paraId="487FF53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持 3 年有限质保服务</w:t>
            </w:r>
          </w:p>
          <w:p w14:paraId="0C16C26E">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9.55 寸  面板尺寸：≥55" 拼缝：≤3.5mm 视角：</w:t>
            </w:r>
            <w:r>
              <w:rPr>
                <w:rFonts w:hint="eastAsia"/>
                <w:color w:val="FF0000"/>
                <w:vertAlign w:val="baseline"/>
                <w:lang w:val="en-US" w:eastAsia="zh-CN"/>
              </w:rPr>
              <w:t>1台</w:t>
            </w:r>
          </w:p>
          <w:p w14:paraId="1F1D589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≥178°/178° 液晶拼接显示单元电源可环通连接，可减少接</w:t>
            </w:r>
          </w:p>
          <w:p w14:paraId="5655B32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线复杂性，提高系统运行稳定性。为有效提升画面过渡均匀、</w:t>
            </w:r>
          </w:p>
          <w:p w14:paraId="3FD8DBE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更加平滑，液晶拼接显示单元支持单独分段调整图像参数（亮</w:t>
            </w:r>
          </w:p>
          <w:p w14:paraId="7C6D676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度、背光、对比度、色度、清晰度等）。液晶拼接显示单元亮</w:t>
            </w:r>
          </w:p>
          <w:p w14:paraId="06A96C3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度一致性≥99%，色彩均匀性≥99% ，色温一致性≥97%，整屏</w:t>
            </w:r>
          </w:p>
          <w:p w14:paraId="794717D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画面显示稳定无闪烁。液晶拼接显示单元具备四级色温模式自</w:t>
            </w:r>
          </w:p>
          <w:p w14:paraId="31A6500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动调整功能，同时支持色温无级调节，可在 2000K 至 12000K</w:t>
            </w:r>
          </w:p>
          <w:p w14:paraId="0EE6748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之间调节。支持自定义设置亮度模式，可以根据使用需要选择不同的亮度运行。液晶拼接显示单元具备 5 级数字降噪功能</w:t>
            </w:r>
          </w:p>
          <w:p w14:paraId="0754CD4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10.56 寸 LED 拼接屏支架 1 套 250X1</w:t>
            </w:r>
          </w:p>
          <w:p w14:paraId="3A463EA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11.24 寸 标配 700X1</w:t>
            </w:r>
            <w:r>
              <w:rPr>
                <w:rFonts w:hint="eastAsia"/>
                <w:color w:val="auto"/>
                <w:vertAlign w:val="baseline"/>
                <w:lang w:eastAsia="zh-CN"/>
              </w:rPr>
              <w:t>，</w:t>
            </w:r>
            <w:r>
              <w:rPr>
                <w:rFonts w:hint="eastAsia"/>
                <w:color w:val="FF0000"/>
                <w:vertAlign w:val="baseline"/>
                <w:lang w:val="en-US" w:eastAsia="zh-CN"/>
              </w:rPr>
              <w:t>1台</w:t>
            </w:r>
          </w:p>
          <w:p w14:paraId="2A3CA273">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rPr>
              <w:t>12.24 寸壁挂支架 1 套</w:t>
            </w:r>
            <w:r>
              <w:rPr>
                <w:rFonts w:hint="eastAsia"/>
                <w:color w:val="auto"/>
                <w:vertAlign w:val="baseline"/>
                <w:lang w:eastAsia="zh-CN"/>
              </w:rPr>
              <w:t>，</w:t>
            </w:r>
            <w:r>
              <w:rPr>
                <w:rFonts w:hint="eastAsia"/>
                <w:color w:val="auto"/>
                <w:vertAlign w:val="baseline"/>
              </w:rPr>
              <w:t>35x1</w:t>
            </w:r>
          </w:p>
          <w:p w14:paraId="326DC22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13.落地机柜 1 台 37U 1.8m*600*600 590x1</w:t>
            </w:r>
          </w:p>
          <w:p w14:paraId="635B9DB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14.壁装机柜 1 台 6U 550*400*300 105x1</w:t>
            </w:r>
          </w:p>
          <w:p w14:paraId="78CF68E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15.光纤终端盒 1 个 SC-LC 12 口满配 SC 出口</w:t>
            </w:r>
          </w:p>
          <w:p w14:paraId="58DE0FC1">
            <w:pPr>
              <w:keepNext w:val="0"/>
              <w:keepLines w:val="0"/>
              <w:suppressLineNumbers w:val="0"/>
              <w:spacing w:before="0" w:beforeAutospacing="0" w:after="0" w:afterAutospacing="0"/>
              <w:ind w:left="0" w:right="0"/>
              <w:rPr>
                <w:rFonts w:hint="default"/>
                <w:color w:val="auto"/>
                <w:vertAlign w:val="baseline"/>
                <w:lang w:val="en-US"/>
              </w:rPr>
            </w:pPr>
            <w:r>
              <w:rPr>
                <w:rFonts w:hint="eastAsia"/>
                <w:color w:val="auto"/>
                <w:vertAlign w:val="baseline"/>
              </w:rPr>
              <w:t>16.12 口终端盒（含：尾纤+耦合器）SC</w:t>
            </w:r>
            <w:r>
              <w:rPr>
                <w:rFonts w:hint="eastAsia"/>
                <w:color w:val="auto"/>
                <w:vertAlign w:val="baseline"/>
                <w:lang w:eastAsia="zh-CN"/>
              </w:rPr>
              <w:t>，</w:t>
            </w:r>
            <w:r>
              <w:rPr>
                <w:rFonts w:hint="eastAsia"/>
                <w:color w:val="auto"/>
                <w:vertAlign w:val="baseline"/>
              </w:rPr>
              <w:t>55X1</w:t>
            </w:r>
            <w:r>
              <w:rPr>
                <w:rFonts w:hint="eastAsia"/>
                <w:color w:val="auto"/>
                <w:vertAlign w:val="baseline"/>
                <w:lang w:eastAsia="zh-CN"/>
              </w:rPr>
              <w:t>，</w:t>
            </w:r>
            <w:r>
              <w:rPr>
                <w:rFonts w:hint="eastAsia"/>
                <w:color w:val="FF0000"/>
                <w:vertAlign w:val="baseline"/>
                <w:lang w:val="en-US" w:eastAsia="zh-CN"/>
              </w:rPr>
              <w:t>1个</w:t>
            </w:r>
          </w:p>
          <w:p w14:paraId="6C75AC8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17.光纤跳线 LC-SC 电信级 3 米 单模双芯 11 元/对</w:t>
            </w:r>
          </w:p>
          <w:p w14:paraId="6DCD7E25">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18X6</w:t>
            </w:r>
            <w:r>
              <w:rPr>
                <w:rFonts w:hint="eastAsia"/>
                <w:color w:val="auto"/>
                <w:vertAlign w:val="baseline"/>
                <w:lang w:eastAsia="zh-CN"/>
              </w:rPr>
              <w:t>，</w:t>
            </w:r>
            <w:r>
              <w:rPr>
                <w:rFonts w:hint="eastAsia"/>
                <w:color w:val="FF0000"/>
                <w:vertAlign w:val="baseline"/>
                <w:lang w:val="en-US" w:eastAsia="zh-CN"/>
              </w:rPr>
              <w:t>6对</w:t>
            </w:r>
          </w:p>
          <w:p w14:paraId="5614241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18.尾纤 6 条 SC （束状尾纤 12 条/束 SC 接口）16 元 25x6</w:t>
            </w:r>
          </w:p>
          <w:p w14:paraId="6B5EB0D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19.PDU 158 支： 178 8 位 40 孔</w:t>
            </w:r>
          </w:p>
          <w:p w14:paraId="018E7B80">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 xml:space="preserve">20.8 位 10A 防雷 PDU 铝合金外壳 </w:t>
            </w:r>
            <w:r>
              <w:rPr>
                <w:rFonts w:hint="eastAsia"/>
                <w:color w:val="auto"/>
                <w:vertAlign w:val="baseline"/>
                <w:lang w:eastAsia="zh-CN"/>
              </w:rPr>
              <w:t>，</w:t>
            </w:r>
            <w:r>
              <w:rPr>
                <w:rFonts w:hint="eastAsia"/>
                <w:color w:val="FF0000"/>
                <w:vertAlign w:val="baseline"/>
                <w:lang w:val="en-US" w:eastAsia="zh-CN"/>
              </w:rPr>
              <w:t>85套</w:t>
            </w:r>
          </w:p>
          <w:p w14:paraId="1F31A511">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 xml:space="preserve">21.4 位 10 孔插座 </w:t>
            </w:r>
            <w:r>
              <w:rPr>
                <w:rFonts w:hint="eastAsia"/>
                <w:color w:val="auto"/>
                <w:vertAlign w:val="baseline"/>
                <w:lang w:eastAsia="zh-CN"/>
              </w:rPr>
              <w:t>，</w:t>
            </w:r>
            <w:r>
              <w:rPr>
                <w:rFonts w:hint="eastAsia"/>
                <w:color w:val="FF0000"/>
                <w:vertAlign w:val="baseline"/>
                <w:lang w:val="en-US" w:eastAsia="zh-CN"/>
              </w:rPr>
              <w:t>6套</w:t>
            </w:r>
          </w:p>
          <w:p w14:paraId="266DAD6F">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22.480 无氧铜 0.42 芯 300 米/箱 1.3x 3900</w:t>
            </w:r>
            <w:r>
              <w:rPr>
                <w:rFonts w:hint="eastAsia"/>
                <w:color w:val="auto"/>
                <w:vertAlign w:val="baseline"/>
                <w:lang w:eastAsia="zh-CN"/>
              </w:rPr>
              <w:t>，</w:t>
            </w:r>
            <w:r>
              <w:rPr>
                <w:rFonts w:hint="eastAsia"/>
                <w:color w:val="FF0000"/>
                <w:vertAlign w:val="baseline"/>
                <w:lang w:val="en-US" w:eastAsia="zh-CN"/>
              </w:rPr>
              <w:t>4箱</w:t>
            </w:r>
          </w:p>
          <w:p w14:paraId="3591308D">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rPr>
              <w:t>23.室外皮纤 2 芯 3 钢丝 500 米/轴 150X1</w:t>
            </w:r>
            <w:r>
              <w:rPr>
                <w:rFonts w:hint="eastAsia"/>
                <w:color w:val="auto"/>
                <w:vertAlign w:val="baseline"/>
                <w:lang w:eastAsia="zh-CN"/>
              </w:rPr>
              <w:t>，</w:t>
            </w:r>
            <w:r>
              <w:rPr>
                <w:rFonts w:hint="eastAsia"/>
                <w:color w:val="FF0000"/>
                <w:vertAlign w:val="baseline"/>
                <w:lang w:val="en-US" w:eastAsia="zh-CN"/>
              </w:rPr>
              <w:t>1箱</w:t>
            </w:r>
          </w:p>
          <w:p w14:paraId="28065A9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21"/>
                <w:szCs w:val="21"/>
                <w:lang w:val="en-US" w:eastAsia="zh-CN" w:bidi="ar-SA"/>
              </w:rPr>
            </w:pPr>
            <w:r>
              <w:rPr>
                <w:rFonts w:hint="eastAsia"/>
                <w:color w:val="auto"/>
                <w:vertAlign w:val="baseline"/>
              </w:rPr>
              <w:t>23.五类水晶头/A 类 45X2</w:t>
            </w:r>
            <w:r>
              <w:rPr>
                <w:rFonts w:hint="eastAsia"/>
                <w:color w:val="auto"/>
                <w:vertAlign w:val="baseline"/>
                <w:lang w:eastAsia="zh-CN"/>
              </w:rPr>
              <w:t>，</w:t>
            </w:r>
            <w:r>
              <w:rPr>
                <w:rFonts w:hint="eastAsia"/>
                <w:color w:val="FF0000"/>
                <w:vertAlign w:val="baseline"/>
                <w:lang w:val="en-US" w:eastAsia="zh-CN"/>
              </w:rPr>
              <w:t>2套</w:t>
            </w:r>
          </w:p>
        </w:tc>
        <w:tc>
          <w:tcPr>
            <w:tcW w:w="780" w:type="dxa"/>
            <w:vAlign w:val="center"/>
          </w:tcPr>
          <w:p w14:paraId="4C8A1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40000</w:t>
            </w:r>
          </w:p>
        </w:tc>
        <w:tc>
          <w:tcPr>
            <w:tcW w:w="615" w:type="dxa"/>
            <w:vAlign w:val="center"/>
          </w:tcPr>
          <w:p w14:paraId="39C2C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B968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4EC78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8" w:name="OLE_LINK17"/>
            <w:r>
              <w:rPr>
                <w:rFonts w:hint="eastAsia" w:ascii="宋体" w:hAnsi="宋体" w:eastAsia="宋体" w:cs="宋体"/>
                <w:i w:val="0"/>
                <w:iCs w:val="0"/>
                <w:color w:val="auto"/>
                <w:kern w:val="0"/>
                <w:sz w:val="22"/>
                <w:szCs w:val="22"/>
                <w:u w:val="none"/>
                <w:lang w:val="en-US" w:eastAsia="zh-CN" w:bidi="ar"/>
              </w:rPr>
              <w:t>40000</w:t>
            </w:r>
            <w:bookmarkEnd w:id="58"/>
          </w:p>
        </w:tc>
      </w:tr>
      <w:tr w14:paraId="0EB7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5D7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59" w:name="OLE_LINK18" w:colFirst="5" w:colLast="6"/>
            <w:r>
              <w:rPr>
                <w:rFonts w:hint="eastAsia" w:ascii="宋体" w:hAnsi="宋体" w:eastAsia="宋体" w:cs="宋体"/>
                <w:b/>
                <w:bCs/>
                <w:i w:val="0"/>
                <w:iCs w:val="0"/>
                <w:color w:val="auto"/>
                <w:kern w:val="0"/>
                <w:sz w:val="22"/>
                <w:szCs w:val="22"/>
                <w:u w:val="none"/>
                <w:lang w:val="en-US" w:eastAsia="zh-CN" w:bidi="ar"/>
              </w:rPr>
              <w:t>11</w:t>
            </w:r>
          </w:p>
        </w:tc>
        <w:tc>
          <w:tcPr>
            <w:tcW w:w="915" w:type="dxa"/>
            <w:vAlign w:val="center"/>
          </w:tcPr>
          <w:p w14:paraId="7D4FE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教学钢琴</w:t>
            </w:r>
          </w:p>
        </w:tc>
        <w:tc>
          <w:tcPr>
            <w:tcW w:w="6075" w:type="dxa"/>
            <w:vAlign w:val="center"/>
          </w:tcPr>
          <w:p w14:paraId="57C3099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尺寸：1505*590*1180MM  颜色：黑色 踏板：精钢五金  音板：云衫音板、琴键：仿乌木黑键</w:t>
            </w:r>
          </w:p>
        </w:tc>
        <w:tc>
          <w:tcPr>
            <w:tcW w:w="780" w:type="dxa"/>
            <w:vAlign w:val="center"/>
          </w:tcPr>
          <w:p w14:paraId="20959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30000</w:t>
            </w:r>
          </w:p>
        </w:tc>
        <w:tc>
          <w:tcPr>
            <w:tcW w:w="615" w:type="dxa"/>
            <w:vAlign w:val="center"/>
          </w:tcPr>
          <w:p w14:paraId="45C2D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46FC6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1785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60" w:name="OLE_LINK19"/>
            <w:r>
              <w:rPr>
                <w:rFonts w:hint="eastAsia" w:ascii="宋体" w:hAnsi="宋体" w:eastAsia="宋体" w:cs="宋体"/>
                <w:i w:val="0"/>
                <w:iCs w:val="0"/>
                <w:color w:val="auto"/>
                <w:kern w:val="0"/>
                <w:sz w:val="22"/>
                <w:szCs w:val="22"/>
                <w:u w:val="none"/>
                <w:lang w:val="en-US" w:eastAsia="zh-CN" w:bidi="ar"/>
              </w:rPr>
              <w:t>30000</w:t>
            </w:r>
            <w:bookmarkEnd w:id="60"/>
          </w:p>
        </w:tc>
      </w:tr>
      <w:bookmarkEnd w:id="59"/>
      <w:tr w14:paraId="7709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7402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12</w:t>
            </w:r>
          </w:p>
        </w:tc>
        <w:tc>
          <w:tcPr>
            <w:tcW w:w="915" w:type="dxa"/>
            <w:vAlign w:val="center"/>
          </w:tcPr>
          <w:p w14:paraId="6EB41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电子琴</w:t>
            </w:r>
          </w:p>
        </w:tc>
        <w:tc>
          <w:tcPr>
            <w:tcW w:w="6075" w:type="dxa"/>
            <w:vAlign w:val="center"/>
          </w:tcPr>
          <w:p w14:paraId="6F1E74C5">
            <w:pPr>
              <w:keepNext w:val="0"/>
              <w:keepLines w:val="0"/>
              <w:widowControl/>
              <w:numPr>
                <w:ilvl w:val="0"/>
                <w:numId w:val="4"/>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外观：立式.推拉盖板.三踏板；2.键盘：88键配重钢琴力度键盘；3.力度：6级（5级+OFF）；4.显示：多功能LCD液晶显示；5.复音数：128；6.音色：478 种旋律音色（包含81 种中国民族音色）+12 组键盘打击乐（包含316 种打击乐音色）；7.叠加/分割：键分离.双音色；8.节奏：205种预置节奏(包含40种中国民族节奏)+5种用户节奏；9.节奏控制：启动/停止.同步启动.前奏/尾奏.主奏A/插入A.主奏B/插入B.和弦模式.单触键设置.伴奏音量；10.速度：30-280；11.内置乐曲：90首；12.演奏增强：力度响应.延音.双钢琴.古典音律.自动伴奏；13.音高调节：移调.音调；14.音效：混响.合唱.和声.调音台；15.录音：3轨录音(2旋律轨＋1伴奏轨)+16轨MIDI通道录音.5首用户歌曲；16.注册记忆：32个注册记忆(8记忆库 x 4 存储)；17.智能学习系统：歌曲旋律关闭模式.古典音律.节拍器；18.智能APP学习：通过USB接口与苹果设备连接；19.电源供电：12V   2000mA；20.节能设置:自动关机.定时关机设置；</w:t>
            </w:r>
            <w:r>
              <w:rPr>
                <w:rFonts w:hint="eastAsia"/>
                <w:color w:val="auto"/>
                <w:lang w:val="en-US" w:eastAsia="zh-CN"/>
              </w:rPr>
              <w:br w:type="textWrapping"/>
            </w:r>
            <w:r>
              <w:rPr>
                <w:rFonts w:hint="eastAsia"/>
                <w:color w:val="auto"/>
                <w:lang w:val="en-US" w:eastAsia="zh-CN"/>
              </w:rPr>
              <w:t>21.接口:电源接口.2个立体声耳机接口.USB/MIDI接口；22.扬声器:25Wx2；23.尺寸:1357x453x906（mm）；24.重量:41.5KG；25.附件:用户说明书.售后保修证书.钢琴汇使用说明。</w:t>
            </w:r>
          </w:p>
        </w:tc>
        <w:tc>
          <w:tcPr>
            <w:tcW w:w="780" w:type="dxa"/>
            <w:vAlign w:val="center"/>
          </w:tcPr>
          <w:p w14:paraId="29B9B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3300</w:t>
            </w:r>
          </w:p>
        </w:tc>
        <w:tc>
          <w:tcPr>
            <w:tcW w:w="615" w:type="dxa"/>
            <w:vAlign w:val="center"/>
          </w:tcPr>
          <w:p w14:paraId="457FD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w:t>
            </w:r>
          </w:p>
        </w:tc>
        <w:tc>
          <w:tcPr>
            <w:tcW w:w="585" w:type="dxa"/>
            <w:vAlign w:val="center"/>
          </w:tcPr>
          <w:p w14:paraId="47E1E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A01B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13200</w:t>
            </w:r>
          </w:p>
        </w:tc>
      </w:tr>
      <w:tr w14:paraId="5BF3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5DEF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1" w:name="OLE_LINK20" w:colFirst="6" w:colLast="6"/>
            <w:r>
              <w:rPr>
                <w:rFonts w:hint="eastAsia" w:ascii="宋体" w:hAnsi="宋体" w:eastAsia="宋体" w:cs="宋体"/>
                <w:b/>
                <w:bCs/>
                <w:i w:val="0"/>
                <w:iCs w:val="0"/>
                <w:color w:val="auto"/>
                <w:kern w:val="0"/>
                <w:sz w:val="22"/>
                <w:szCs w:val="22"/>
                <w:u w:val="none"/>
                <w:lang w:val="en-US" w:eastAsia="zh-CN" w:bidi="ar"/>
              </w:rPr>
              <w:t>13</w:t>
            </w:r>
          </w:p>
        </w:tc>
        <w:tc>
          <w:tcPr>
            <w:tcW w:w="915" w:type="dxa"/>
            <w:vAlign w:val="center"/>
          </w:tcPr>
          <w:p w14:paraId="1FCE5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消毒柜（一）</w:t>
            </w:r>
          </w:p>
        </w:tc>
        <w:tc>
          <w:tcPr>
            <w:tcW w:w="6075" w:type="dxa"/>
            <w:vAlign w:val="center"/>
          </w:tcPr>
          <w:p w14:paraId="2B32429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立式消毒柜家用 二星消毒碗柜 红外线中温烘干94L大容量双层XC66 家电</w:t>
            </w:r>
          </w:p>
        </w:tc>
        <w:tc>
          <w:tcPr>
            <w:tcW w:w="780" w:type="dxa"/>
            <w:vAlign w:val="center"/>
          </w:tcPr>
          <w:p w14:paraId="3B520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600</w:t>
            </w:r>
          </w:p>
        </w:tc>
        <w:tc>
          <w:tcPr>
            <w:tcW w:w="615" w:type="dxa"/>
            <w:vAlign w:val="center"/>
          </w:tcPr>
          <w:p w14:paraId="2230E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022C4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FC70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1800</w:t>
            </w:r>
          </w:p>
        </w:tc>
      </w:tr>
      <w:tr w14:paraId="69D7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334C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14</w:t>
            </w:r>
          </w:p>
        </w:tc>
        <w:tc>
          <w:tcPr>
            <w:tcW w:w="915" w:type="dxa"/>
            <w:vAlign w:val="center"/>
          </w:tcPr>
          <w:p w14:paraId="5BD6D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消毒柜（二）</w:t>
            </w:r>
          </w:p>
        </w:tc>
        <w:tc>
          <w:tcPr>
            <w:tcW w:w="6075" w:type="dxa"/>
            <w:vAlign w:val="center"/>
          </w:tcPr>
          <w:p w14:paraId="2A92F27D">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1.规格：1140*495*1862㎜双门；2.功率：2420W；3.电压：220V 4.消毒温度：120℃</w:t>
            </w:r>
          </w:p>
        </w:tc>
        <w:tc>
          <w:tcPr>
            <w:tcW w:w="780" w:type="dxa"/>
            <w:vAlign w:val="center"/>
          </w:tcPr>
          <w:p w14:paraId="435E0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4400</w:t>
            </w:r>
          </w:p>
        </w:tc>
        <w:tc>
          <w:tcPr>
            <w:tcW w:w="615" w:type="dxa"/>
            <w:vAlign w:val="center"/>
          </w:tcPr>
          <w:p w14:paraId="0940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5AE8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1B88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4400</w:t>
            </w:r>
          </w:p>
        </w:tc>
      </w:tr>
      <w:tr w14:paraId="1530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F57E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15</w:t>
            </w:r>
          </w:p>
        </w:tc>
        <w:tc>
          <w:tcPr>
            <w:tcW w:w="915" w:type="dxa"/>
            <w:vAlign w:val="center"/>
          </w:tcPr>
          <w:p w14:paraId="44DEB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热水设备</w:t>
            </w:r>
          </w:p>
        </w:tc>
        <w:tc>
          <w:tcPr>
            <w:tcW w:w="6075" w:type="dxa"/>
            <w:vAlign w:val="center"/>
          </w:tcPr>
          <w:p w14:paraId="76415883">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500升开水器+底座，产水量500L/H,出水口5个，外形尺寸1600*700（含接水台）*1250MM</w:t>
            </w:r>
          </w:p>
        </w:tc>
        <w:tc>
          <w:tcPr>
            <w:tcW w:w="780" w:type="dxa"/>
            <w:vAlign w:val="center"/>
          </w:tcPr>
          <w:p w14:paraId="1C690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w:t>
            </w:r>
          </w:p>
        </w:tc>
        <w:tc>
          <w:tcPr>
            <w:tcW w:w="615" w:type="dxa"/>
            <w:vAlign w:val="center"/>
          </w:tcPr>
          <w:p w14:paraId="1ABC1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6C1D1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5F8A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w:t>
            </w:r>
          </w:p>
        </w:tc>
      </w:tr>
      <w:tr w14:paraId="7DFD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8249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16</w:t>
            </w:r>
          </w:p>
        </w:tc>
        <w:tc>
          <w:tcPr>
            <w:tcW w:w="915" w:type="dxa"/>
            <w:vAlign w:val="center"/>
          </w:tcPr>
          <w:p w14:paraId="427F0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绞肉机</w:t>
            </w:r>
          </w:p>
        </w:tc>
        <w:tc>
          <w:tcPr>
            <w:tcW w:w="6075" w:type="dxa"/>
            <w:vAlign w:val="center"/>
          </w:tcPr>
          <w:p w14:paraId="2C18C9D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1.规格：560*410*840mm；2.加厚型铜芯线；3.功率：220V/2.2KW；4.绞肉能力：200-300kg/h；5.切片厚度：3.5mm。</w:t>
            </w:r>
          </w:p>
        </w:tc>
        <w:tc>
          <w:tcPr>
            <w:tcW w:w="780" w:type="dxa"/>
            <w:vAlign w:val="center"/>
          </w:tcPr>
          <w:p w14:paraId="59AF8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3850</w:t>
            </w:r>
          </w:p>
        </w:tc>
        <w:tc>
          <w:tcPr>
            <w:tcW w:w="615" w:type="dxa"/>
            <w:vAlign w:val="center"/>
          </w:tcPr>
          <w:p w14:paraId="48F9B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E3BD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79E40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3850</w:t>
            </w:r>
          </w:p>
        </w:tc>
      </w:tr>
      <w:bookmarkEnd w:id="61"/>
      <w:tr w14:paraId="23E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C281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17</w:t>
            </w:r>
          </w:p>
        </w:tc>
        <w:tc>
          <w:tcPr>
            <w:tcW w:w="915" w:type="dxa"/>
            <w:vAlign w:val="center"/>
          </w:tcPr>
          <w:p w14:paraId="2CE45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幼儿园恒温直饮水机</w:t>
            </w:r>
          </w:p>
        </w:tc>
        <w:tc>
          <w:tcPr>
            <w:tcW w:w="6075" w:type="dxa"/>
            <w:vAlign w:val="center"/>
          </w:tcPr>
          <w:p w14:paraId="5A7B92B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出水方式：温开水。2.加热方式：热能交换加热。3.内胆容量：18升。4.功率/电压：2000w/220V。5.产品尺寸：555*385*725（mm)不含龙头。6.适用人数：30—50人左右。7.供水量：市政自来水/0.05-0.6MPA水压。8.取水方式:旋钮出水。9.接线接水：自备漏保开关/进水口/排水口。10.过滤系统：三级过滤。11.不过滤水垢水碱，不改变TDS值适合水质较好地区。</w:t>
            </w:r>
          </w:p>
        </w:tc>
        <w:tc>
          <w:tcPr>
            <w:tcW w:w="780" w:type="dxa"/>
            <w:vAlign w:val="center"/>
          </w:tcPr>
          <w:p w14:paraId="2DD21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1700</w:t>
            </w:r>
          </w:p>
        </w:tc>
        <w:tc>
          <w:tcPr>
            <w:tcW w:w="615" w:type="dxa"/>
            <w:vAlign w:val="center"/>
          </w:tcPr>
          <w:p w14:paraId="18B25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4A07C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08B22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5100</w:t>
            </w:r>
          </w:p>
        </w:tc>
      </w:tr>
      <w:tr w14:paraId="5B5C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4D08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18</w:t>
            </w:r>
          </w:p>
        </w:tc>
        <w:tc>
          <w:tcPr>
            <w:tcW w:w="915" w:type="dxa"/>
            <w:vAlign w:val="center"/>
          </w:tcPr>
          <w:p w14:paraId="26384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食堂蒸饭柜</w:t>
            </w:r>
          </w:p>
        </w:tc>
        <w:tc>
          <w:tcPr>
            <w:tcW w:w="6075" w:type="dxa"/>
            <w:vAlign w:val="center"/>
          </w:tcPr>
          <w:p w14:paraId="1AC0FFD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675*525*1280mm </w:t>
            </w:r>
          </w:p>
        </w:tc>
        <w:tc>
          <w:tcPr>
            <w:tcW w:w="780" w:type="dxa"/>
            <w:vAlign w:val="center"/>
          </w:tcPr>
          <w:p w14:paraId="2C6AC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2200</w:t>
            </w:r>
          </w:p>
        </w:tc>
        <w:tc>
          <w:tcPr>
            <w:tcW w:w="615" w:type="dxa"/>
            <w:vAlign w:val="center"/>
          </w:tcPr>
          <w:p w14:paraId="697C7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1A8B2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0B0B9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2200</w:t>
            </w:r>
          </w:p>
        </w:tc>
      </w:tr>
      <w:tr w14:paraId="67D6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9CF4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19</w:t>
            </w:r>
          </w:p>
        </w:tc>
        <w:tc>
          <w:tcPr>
            <w:tcW w:w="915" w:type="dxa"/>
            <w:vAlign w:val="center"/>
          </w:tcPr>
          <w:p w14:paraId="06B42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食堂烧水器</w:t>
            </w:r>
          </w:p>
        </w:tc>
        <w:tc>
          <w:tcPr>
            <w:tcW w:w="6075" w:type="dxa"/>
            <w:vAlign w:val="center"/>
          </w:tcPr>
          <w:p w14:paraId="5A7BA4F3">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50*80cm</w:t>
            </w:r>
          </w:p>
        </w:tc>
        <w:tc>
          <w:tcPr>
            <w:tcW w:w="780" w:type="dxa"/>
            <w:vAlign w:val="center"/>
          </w:tcPr>
          <w:p w14:paraId="3DB91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980</w:t>
            </w:r>
          </w:p>
        </w:tc>
        <w:tc>
          <w:tcPr>
            <w:tcW w:w="615" w:type="dxa"/>
            <w:vAlign w:val="center"/>
          </w:tcPr>
          <w:p w14:paraId="0F0EF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1EDB0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57C35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980</w:t>
            </w:r>
          </w:p>
        </w:tc>
      </w:tr>
      <w:tr w14:paraId="405E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4C0B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20</w:t>
            </w:r>
          </w:p>
        </w:tc>
        <w:tc>
          <w:tcPr>
            <w:tcW w:w="915" w:type="dxa"/>
            <w:vAlign w:val="center"/>
          </w:tcPr>
          <w:p w14:paraId="58096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冰箱</w:t>
            </w:r>
          </w:p>
        </w:tc>
        <w:tc>
          <w:tcPr>
            <w:tcW w:w="6075" w:type="dxa"/>
            <w:vAlign w:val="center"/>
          </w:tcPr>
          <w:p w14:paraId="533A1B7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1.规格：1200*700*1960mm；2.特性：直冷；3.功率/电压：350W/220V；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4.容积：660L；5.温度：冷冻-15℃/冷藏±10℃。</w:t>
            </w:r>
          </w:p>
        </w:tc>
        <w:tc>
          <w:tcPr>
            <w:tcW w:w="780" w:type="dxa"/>
            <w:vAlign w:val="center"/>
          </w:tcPr>
          <w:p w14:paraId="21056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w:t>
            </w:r>
          </w:p>
        </w:tc>
        <w:tc>
          <w:tcPr>
            <w:tcW w:w="615" w:type="dxa"/>
            <w:vAlign w:val="center"/>
          </w:tcPr>
          <w:p w14:paraId="67BA4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1BA3D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2942A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w:t>
            </w:r>
          </w:p>
        </w:tc>
      </w:tr>
      <w:tr w14:paraId="1CB9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98E9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21</w:t>
            </w:r>
          </w:p>
        </w:tc>
        <w:tc>
          <w:tcPr>
            <w:tcW w:w="915" w:type="dxa"/>
            <w:vAlign w:val="center"/>
          </w:tcPr>
          <w:p w14:paraId="7D2FE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移动消毒车</w:t>
            </w:r>
          </w:p>
        </w:tc>
        <w:tc>
          <w:tcPr>
            <w:tcW w:w="6075" w:type="dxa"/>
            <w:vAlign w:val="center"/>
          </w:tcPr>
          <w:p w14:paraId="3BEB16B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1.辐射照度：107uw/cm²；2.灯臂长度：960mm士3；3.折合后离地面高度：1080mm士5；4.灯臂可调节角度：0-180°；5.灯管：30Wx2支；6.紫外线波长：253.7nm；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7.熔断器：F2AL250V；8.功能：杀菌.除螨.消毒。</w:t>
            </w:r>
          </w:p>
        </w:tc>
        <w:tc>
          <w:tcPr>
            <w:tcW w:w="780" w:type="dxa"/>
            <w:vAlign w:val="center"/>
          </w:tcPr>
          <w:p w14:paraId="77A06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600</w:t>
            </w:r>
          </w:p>
        </w:tc>
        <w:tc>
          <w:tcPr>
            <w:tcW w:w="615" w:type="dxa"/>
            <w:vAlign w:val="center"/>
          </w:tcPr>
          <w:p w14:paraId="64186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w:t>
            </w:r>
          </w:p>
        </w:tc>
        <w:tc>
          <w:tcPr>
            <w:tcW w:w="585" w:type="dxa"/>
            <w:vAlign w:val="center"/>
          </w:tcPr>
          <w:p w14:paraId="041F4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19631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7200</w:t>
            </w:r>
          </w:p>
        </w:tc>
      </w:tr>
      <w:tr w14:paraId="64A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9FA4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22</w:t>
            </w:r>
          </w:p>
        </w:tc>
        <w:tc>
          <w:tcPr>
            <w:tcW w:w="915" w:type="dxa"/>
            <w:vAlign w:val="center"/>
          </w:tcPr>
          <w:p w14:paraId="0982D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定制幼儿大型攀爬组合</w:t>
            </w:r>
          </w:p>
        </w:tc>
        <w:tc>
          <w:tcPr>
            <w:tcW w:w="6075" w:type="dxa"/>
            <w:vAlign w:val="center"/>
          </w:tcPr>
          <w:p w14:paraId="1E2977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现场沙池上方定制2层钢木结合，长10米，宽10米，合计100平米，一层留空高2.5，二层2米。</w:t>
            </w:r>
          </w:p>
          <w:p w14:paraId="0FA7555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一、整体规格：1000*1000*450cm；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二、产品功能：具有钻、攀、爬、滑、荡、平协调等功能；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三、材质要求：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1.立柱：采用中114mm、壁厚2.0mm镀锌管(符合GB/T700-1988要求)；悍接采用氟弧焊及CO2气体保护焊(符合GB/T8810-1995要求)整体加工成型后经喷砂处理，表面喷涂户外环保聚醋喷沫涂料，抗紫外线，色泽艳丽，不易脱落；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2.平台：采用110mm*1100mm规格、厚度20mm冲孔成型冷轧板(符合GB/T 700-1988要求)；焊接采用氲弧焊及CO2气体保护焊(符合GB/T8810-1995要求)。整体加工成型后经除油、碳化、抛光处理，表面喷涂户外环保聚醋黑色喷末涂料，防滑、抗紫外线、色泽亮丽、不易老化、防滑安全性能高；螺丝采用不锈钢304#材质(符合GB/T1221-1992精度标准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3.钢管附件：镀锌钢管外径48壁厚≥2.0mm、32壁厚≥2.0mm、60壁厚≥2.0mm；表面处理：喷砂后全部采用保护悍，机械抛光，室外聚醋系喷塑，高温加热后，手感柔软，不褪色，色彩鲜艳；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4.安全连接扣件：采用铝合金制作，外表圆形，造型美观，安全牢固，不生绣，经久耐用；表面处理:机械抛光，室外聚醋系喷塑，高温加热后，手感柔软，不褪色，色彩鲜艳；所有钢管构建均应满足国家标准；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5.立柱脚盘：直接固定在立柱底部，外表圆形，造型美观，安全牢固，经久耐用；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6.五金螺丝：不锈钢204材质T型平头螺丝，无棱角，轻巧美观；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7.塑料件：采用低密度聚烯树脂(LLDPE)，无毒无味，高级料粉，大型焉反转流水线滚塑机一次性成型；韧性好，高强度，造型美观，抗老化，抗静电，表面光滑，不褪色，经久耐用；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8.网通配件：海缆绳直径14MM，配ABS工程塑料圆形扣，内六角不生绣钢螺丝；接触面之材料及结合角铁均经导圆角处理，五金零件为圆处理，具防任意调整功能，以维护使用都及设施结构。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整体配置：114立柱34根，圆形树围平台2个，方形平台6个，树叶装饰6个，网笼6个，网笼爬梯1组，塑料旋转桶1套，攀爬梯1组，爬网1组，梅花桩1组，独木桥1组，绳梯2条，软绳3条，上下绳2条，塑料挡板10块，走廊1组。</w:t>
            </w:r>
          </w:p>
        </w:tc>
        <w:tc>
          <w:tcPr>
            <w:tcW w:w="780" w:type="dxa"/>
            <w:vAlign w:val="center"/>
          </w:tcPr>
          <w:p w14:paraId="39982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150000</w:t>
            </w:r>
          </w:p>
        </w:tc>
        <w:tc>
          <w:tcPr>
            <w:tcW w:w="615" w:type="dxa"/>
            <w:vAlign w:val="center"/>
          </w:tcPr>
          <w:p w14:paraId="6F70A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5D4E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177E8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150000</w:t>
            </w:r>
          </w:p>
        </w:tc>
      </w:tr>
      <w:tr w14:paraId="5913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0662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2" w:name="OLE_LINK21" w:colFirst="6" w:colLast="6"/>
            <w:r>
              <w:rPr>
                <w:rFonts w:hint="eastAsia" w:ascii="宋体" w:hAnsi="宋体" w:eastAsia="宋体" w:cs="宋体"/>
                <w:b/>
                <w:bCs/>
                <w:i w:val="0"/>
                <w:iCs w:val="0"/>
                <w:color w:val="auto"/>
                <w:kern w:val="0"/>
                <w:sz w:val="22"/>
                <w:szCs w:val="22"/>
                <w:u w:val="none"/>
                <w:lang w:val="en-US" w:eastAsia="zh-CN" w:bidi="ar"/>
              </w:rPr>
              <w:t>23</w:t>
            </w:r>
          </w:p>
        </w:tc>
        <w:tc>
          <w:tcPr>
            <w:tcW w:w="915" w:type="dxa"/>
            <w:vAlign w:val="center"/>
          </w:tcPr>
          <w:p w14:paraId="348A0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悬浮地板</w:t>
            </w:r>
          </w:p>
        </w:tc>
        <w:tc>
          <w:tcPr>
            <w:tcW w:w="6075" w:type="dxa"/>
            <w:vAlign w:val="center"/>
          </w:tcPr>
          <w:p w14:paraId="2E1FF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拼色设计（主色灰色，配色黄、橙、咖啡色)高强度改性PP原生料悬浮扣板</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质保5年</w:t>
            </w:r>
            <w:r>
              <w:rPr>
                <w:rFonts w:hint="eastAsia" w:ascii="宋体" w:hAnsi="宋体" w:cs="宋体"/>
                <w:i w:val="0"/>
                <w:iCs w:val="0"/>
                <w:color w:val="auto"/>
                <w:kern w:val="0"/>
                <w:sz w:val="22"/>
                <w:szCs w:val="22"/>
                <w:u w:val="none"/>
                <w:lang w:val="en-US" w:eastAsia="zh-CN" w:bidi="ar"/>
              </w:rPr>
              <w:t>。</w:t>
            </w:r>
          </w:p>
          <w:p w14:paraId="70589311">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平面尺寸：300*300*15cm（±0.2cm）；</w:t>
            </w:r>
          </w:p>
          <w:p w14:paraId="26A2F517">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重量：单块产品重量190g/片（±5g）；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3.篮球的反弹率：球类反弹值≥95%；</w:t>
            </w:r>
          </w:p>
          <w:p w14:paraId="5F77E9A4">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4.冲击吸收：≥29%；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5.滚动负荷：施加荷载1500N时，地板不应有裂纹.断裂.劈裂等损坏；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6.高温测试（70°C，72h）：无融化，无龟裂，无明显色差；低温测试（-50°C，72h）：无融化，无龟裂，无明显色差；7.垂直变形：≤1.6mm；</w:t>
            </w:r>
          </w:p>
          <w:p w14:paraId="7DDBFBE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8.阻燃：Ι级；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9.撕裂强度：平行于流动方向≤33.1KN/m，垂直于流动方向≤27.5KN/m；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10.平均线性膨胀系数：≤106x10-6K-1；11.冲击强度：悬臂梁缺口冲击强度≥52KJ/㎡  P（部分破坏）；12.表面电阻率：≤1.1×1013 Ω/sq；13.抗菌率：金黄色葡萄球菌，大肠杆菌抗菌率＞99%；14.弹性垫相对体积磨耗量：≤232.3mm³；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15.拉伸强度：≥26.9MPa；16.地板密度：≤0.968g/cm³；17.弹性垫材料压缩永久变形：30℃.24h，压缩永久变形≤25%，60℃.24h，压缩永久变形≤19%；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18.运动地板外观: 适合于运动，具备运动地板特性，表面25个大米字格，有效沥水.排灰，大表面积可有效预防幼儿摔伤时的擦伤；19.磨砂纹理：不反光.不刺眼，色泽柔和；20.圆角防护： 360°无棱角设计，有效防止幼儿跌倒擦伤，软性结构设计，保证幼儿正常运动的同时，有效的防止运动带来的意外伤害；21.产品底部弹性垫设计，单块不低于32颗缓冲垫+安装孔构成，均匀分解表面压力，有效的释放表面冲击力，更好的保护幼儿；22.弹性垫材料为TPE, 是不同于聚丙烯材料的一种热塑性弹性体,全球公认最好的弹性体材料，其具有强老化性能之外还具备有超强的弹性回复力以及低永久压缩变形。其中的原材料均是进口原材料，超强弹性，刚劲有力，弹而不软，永不变形；23.防热胀冷缩性：由不少于4组缓冲垫+锁扣母扣构成，增强拼装定位，防止因温度上升引起的起拱；由不少于8组弹片+横向柱构成，防止因温度下降引起的拉裂；24.材料为环保高强度改性聚丙烯，100%原生料，食品级材料，无毒无味，绿色.安全，环保。</w:t>
            </w:r>
          </w:p>
        </w:tc>
        <w:tc>
          <w:tcPr>
            <w:tcW w:w="780" w:type="dxa"/>
            <w:vAlign w:val="center"/>
          </w:tcPr>
          <w:p w14:paraId="39375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145</w:t>
            </w:r>
          </w:p>
        </w:tc>
        <w:tc>
          <w:tcPr>
            <w:tcW w:w="615" w:type="dxa"/>
            <w:vAlign w:val="center"/>
          </w:tcPr>
          <w:p w14:paraId="113D7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1090</w:t>
            </w:r>
          </w:p>
        </w:tc>
        <w:tc>
          <w:tcPr>
            <w:tcW w:w="585" w:type="dxa"/>
            <w:vAlign w:val="center"/>
          </w:tcPr>
          <w:p w14:paraId="22799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平方米</w:t>
            </w:r>
          </w:p>
        </w:tc>
        <w:tc>
          <w:tcPr>
            <w:tcW w:w="885" w:type="dxa"/>
            <w:vAlign w:val="center"/>
          </w:tcPr>
          <w:p w14:paraId="0C132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158050</w:t>
            </w:r>
          </w:p>
        </w:tc>
      </w:tr>
      <w:bookmarkEnd w:id="62"/>
      <w:tr w14:paraId="13D9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D1F5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3" w:name="OLE_LINK22" w:colFirst="6" w:colLast="6"/>
            <w:r>
              <w:rPr>
                <w:rFonts w:hint="eastAsia" w:ascii="宋体" w:hAnsi="宋体" w:eastAsia="宋体" w:cs="宋体"/>
                <w:b/>
                <w:bCs/>
                <w:i w:val="0"/>
                <w:iCs w:val="0"/>
                <w:color w:val="auto"/>
                <w:kern w:val="0"/>
                <w:sz w:val="22"/>
                <w:szCs w:val="22"/>
                <w:u w:val="none"/>
                <w:lang w:val="en-US" w:eastAsia="zh-CN" w:bidi="ar"/>
              </w:rPr>
              <w:t>24</w:t>
            </w:r>
          </w:p>
        </w:tc>
        <w:tc>
          <w:tcPr>
            <w:tcW w:w="915" w:type="dxa"/>
            <w:vAlign w:val="center"/>
          </w:tcPr>
          <w:p w14:paraId="0B073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幼儿厕所挡板</w:t>
            </w:r>
          </w:p>
        </w:tc>
        <w:tc>
          <w:tcPr>
            <w:tcW w:w="6075" w:type="dxa"/>
            <w:vAlign w:val="center"/>
          </w:tcPr>
          <w:p w14:paraId="6441D80F">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1.规格：宽80cm*长60cm  2.卫生间挡板，抗倍板材，环保免漆、防水防潮 3.有面隔板   </w:t>
            </w:r>
          </w:p>
        </w:tc>
        <w:tc>
          <w:tcPr>
            <w:tcW w:w="780" w:type="dxa"/>
            <w:vAlign w:val="center"/>
          </w:tcPr>
          <w:p w14:paraId="450D7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200</w:t>
            </w:r>
          </w:p>
        </w:tc>
        <w:tc>
          <w:tcPr>
            <w:tcW w:w="615" w:type="dxa"/>
            <w:vAlign w:val="center"/>
          </w:tcPr>
          <w:p w14:paraId="74705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80</w:t>
            </w:r>
          </w:p>
        </w:tc>
        <w:tc>
          <w:tcPr>
            <w:tcW w:w="585" w:type="dxa"/>
            <w:vAlign w:val="center"/>
          </w:tcPr>
          <w:p w14:paraId="7EE8E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34FA4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16000</w:t>
            </w:r>
          </w:p>
        </w:tc>
      </w:tr>
      <w:tr w14:paraId="3F25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A368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25</w:t>
            </w:r>
          </w:p>
        </w:tc>
        <w:tc>
          <w:tcPr>
            <w:tcW w:w="915" w:type="dxa"/>
            <w:vAlign w:val="center"/>
          </w:tcPr>
          <w:p w14:paraId="19937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防滑地垫</w:t>
            </w:r>
          </w:p>
        </w:tc>
        <w:tc>
          <w:tcPr>
            <w:tcW w:w="6075" w:type="dxa"/>
            <w:vAlign w:val="center"/>
          </w:tcPr>
          <w:p w14:paraId="68232B7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1.规格：100*100*2cm；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2.材质：PU、高密度海绵。</w:t>
            </w:r>
          </w:p>
        </w:tc>
        <w:tc>
          <w:tcPr>
            <w:tcW w:w="780" w:type="dxa"/>
            <w:vAlign w:val="center"/>
          </w:tcPr>
          <w:p w14:paraId="5DD46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120</w:t>
            </w:r>
          </w:p>
        </w:tc>
        <w:tc>
          <w:tcPr>
            <w:tcW w:w="615" w:type="dxa"/>
            <w:vAlign w:val="center"/>
          </w:tcPr>
          <w:p w14:paraId="78FBE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150</w:t>
            </w:r>
          </w:p>
        </w:tc>
        <w:tc>
          <w:tcPr>
            <w:tcW w:w="585" w:type="dxa"/>
            <w:vAlign w:val="center"/>
          </w:tcPr>
          <w:p w14:paraId="13C5F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平方米</w:t>
            </w:r>
          </w:p>
        </w:tc>
        <w:tc>
          <w:tcPr>
            <w:tcW w:w="885" w:type="dxa"/>
            <w:vAlign w:val="center"/>
          </w:tcPr>
          <w:p w14:paraId="7483B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18000</w:t>
            </w:r>
          </w:p>
        </w:tc>
      </w:tr>
      <w:tr w14:paraId="3A26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0064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26</w:t>
            </w:r>
          </w:p>
        </w:tc>
        <w:tc>
          <w:tcPr>
            <w:tcW w:w="915" w:type="dxa"/>
            <w:vAlign w:val="center"/>
          </w:tcPr>
          <w:p w14:paraId="2DA12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触觉类材料</w:t>
            </w:r>
          </w:p>
        </w:tc>
        <w:tc>
          <w:tcPr>
            <w:tcW w:w="6075" w:type="dxa"/>
            <w:vAlign w:val="center"/>
          </w:tcPr>
          <w:p w14:paraId="3891924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小班：1.规格（大外箱尺寸）：长1150mm*宽395mm*高505mm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料数量：15组活动材料，分别是我的身体、听觉大发现、触觉大探究、视觉大考验、动物在哪里、食物变便便、花儿分分类、叶子大不同、从镜子看世界、声音从哪儿来、小车快跑、磁铁吸吸乐、小球向前冲、影子话剧、比比谁更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中班：1.规格（大外箱尺寸）：长1150mm*宽395mm*高505mm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主要参数：15盒材料，分别是动物大集合、动物分分类、叶子翻翻乐、我的骨骼、液体会变色、啄木鸟捉虫、多彩的影子、有趣的静电、玩水真有趣、沉浮大探究、小小演奏家、奇妙的混合物、陀螺秘密多、百变的镜子、力的小工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大班：1.规格（大外箱尺寸）：长1150mm*宽395mm*高505mm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主要参数：15盒材料，分别是动物拼一拼、我的器官、蚂蚁迷宫、我是小园丁、魔幻的镜子、我是小电工、磁力小车、月相的秘密、气象观察员、造纸小工匠、动画放映师、净水小能手、潜望镜小玩家、转吧！水轮车、齿轮家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p>
        </w:tc>
        <w:tc>
          <w:tcPr>
            <w:tcW w:w="780" w:type="dxa"/>
            <w:vAlign w:val="center"/>
          </w:tcPr>
          <w:p w14:paraId="5814C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7209A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w:t>
            </w:r>
          </w:p>
        </w:tc>
        <w:tc>
          <w:tcPr>
            <w:tcW w:w="585" w:type="dxa"/>
            <w:vAlign w:val="center"/>
          </w:tcPr>
          <w:p w14:paraId="40AB0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610B0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43200</w:t>
            </w:r>
          </w:p>
        </w:tc>
      </w:tr>
      <w:bookmarkEnd w:id="63"/>
      <w:tr w14:paraId="413E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16D6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4" w:name="OLE_LINK23" w:colFirst="6" w:colLast="6"/>
            <w:r>
              <w:rPr>
                <w:rFonts w:hint="eastAsia" w:ascii="宋体" w:hAnsi="宋体" w:eastAsia="宋体" w:cs="宋体"/>
                <w:b/>
                <w:bCs/>
                <w:i w:val="0"/>
                <w:iCs w:val="0"/>
                <w:color w:val="auto"/>
                <w:kern w:val="0"/>
                <w:sz w:val="22"/>
                <w:szCs w:val="22"/>
                <w:u w:val="none"/>
                <w:lang w:val="en-US" w:eastAsia="zh-CN" w:bidi="ar"/>
              </w:rPr>
              <w:t>27</w:t>
            </w:r>
          </w:p>
        </w:tc>
        <w:tc>
          <w:tcPr>
            <w:tcW w:w="915" w:type="dxa"/>
            <w:vAlign w:val="center"/>
          </w:tcPr>
          <w:p w14:paraId="037FE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平衡类材料</w:t>
            </w:r>
          </w:p>
        </w:tc>
        <w:tc>
          <w:tcPr>
            <w:tcW w:w="6075" w:type="dxa"/>
            <w:vAlign w:val="center"/>
          </w:tcPr>
          <w:p w14:paraId="370F9EA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甩脚球： 材质：熟胶塑料 尺寸：总长度62cm 球直径：9cm 套圈直径：16cm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三角锥材质：PP材质  尺寸：高38cm，方底加厚款（30个）桶杆材质：pp材质   尺寸：长1米（10根）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羊角球： 羊角球材质：是加厚防爆的pvc材质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尺寸：球直径45cm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跷跷板：1.材质：产品为工程塑料模具整体成型，结实耐用，动物造型，色彩鲜艳；2.特点：带把手，结实牢固，卡通造型；3.规格：110*45*47cm。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坦克爬行圈：1.尺寸：420*50*5cm；2.产品材质：环保面料+珍珠棉；3.特点：全身心投入，提高专注力，在游戏中提高自信。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跳跳球： 1.材质:PVC；2.规格：29*37.5*30cm;3.颜色：各种颜色；4.特点：防滑踏板、精致耐磨球体、珍珠棉扶手。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软体马鞍三档马鞍：1.材质:APS；2.特点：结实耐用，跳跃能力锻炼。臂力锻炼。体能锻炼色彩鲜艳。3.规格：50CM*40CM*75CM</w:t>
            </w:r>
          </w:p>
        </w:tc>
        <w:tc>
          <w:tcPr>
            <w:tcW w:w="780" w:type="dxa"/>
            <w:vAlign w:val="center"/>
          </w:tcPr>
          <w:p w14:paraId="00816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6900</w:t>
            </w:r>
          </w:p>
        </w:tc>
        <w:tc>
          <w:tcPr>
            <w:tcW w:w="615" w:type="dxa"/>
            <w:vAlign w:val="center"/>
          </w:tcPr>
          <w:p w14:paraId="483B5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03D42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5AE2D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6900</w:t>
            </w:r>
          </w:p>
        </w:tc>
      </w:tr>
      <w:tr w14:paraId="580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189E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28</w:t>
            </w:r>
          </w:p>
        </w:tc>
        <w:tc>
          <w:tcPr>
            <w:tcW w:w="915" w:type="dxa"/>
            <w:vAlign w:val="center"/>
          </w:tcPr>
          <w:p w14:paraId="1A263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听觉类材料</w:t>
            </w:r>
          </w:p>
        </w:tc>
        <w:tc>
          <w:tcPr>
            <w:tcW w:w="6075" w:type="dxa"/>
            <w:vAlign w:val="center"/>
          </w:tcPr>
          <w:p w14:paraId="2E9DDDA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幼小衔接系列：1.规格（大外箱尺寸）：长930mm*宽390mm*高620mm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料数量：16套活动材料，分别为百宝箱、积木搭搭乐、推积木、文具商店、数学游戏大闯关、幼小大不同、小小管理员、整理我能行、时间游戏棋、表达小能手、穿越火线、摇摆迷宫、姓氏点点名、趣味百家姓、综合训练、点读笔套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p>
        </w:tc>
        <w:tc>
          <w:tcPr>
            <w:tcW w:w="780" w:type="dxa"/>
            <w:vAlign w:val="center"/>
          </w:tcPr>
          <w:p w14:paraId="62EED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3D58C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6256E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684E8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r>
      <w:tr w14:paraId="0503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84F7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29</w:t>
            </w:r>
          </w:p>
        </w:tc>
        <w:tc>
          <w:tcPr>
            <w:tcW w:w="915" w:type="dxa"/>
            <w:vAlign w:val="center"/>
          </w:tcPr>
          <w:p w14:paraId="6195B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体能类材料</w:t>
            </w:r>
          </w:p>
        </w:tc>
        <w:tc>
          <w:tcPr>
            <w:tcW w:w="6075" w:type="dxa"/>
            <w:vAlign w:val="center"/>
          </w:tcPr>
          <w:p w14:paraId="714E333C">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产品主要参数：主材：16种，辅材：8种，材料共计98件。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二、明细：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（一）1.</w:t>
            </w:r>
            <w:r>
              <w:rPr>
                <w:rFonts w:hint="eastAsia" w:ascii="宋体" w:hAnsi="宋体" w:eastAsia="宋体" w:cs="宋体"/>
                <w:i w:val="0"/>
                <w:iCs w:val="0"/>
                <w:color w:val="auto"/>
                <w:kern w:val="0"/>
                <w:sz w:val="22"/>
                <w:szCs w:val="22"/>
                <w:u w:val="none"/>
                <w:lang w:val="en-US" w:eastAsia="zh-CN" w:bidi="ar"/>
              </w:rPr>
              <w:t>产品明细：栏架5个，敏捷梯2个，单元筒6个，伸缩杆4个，软梯1个，大盘爬绳1个，吊环1个，吊环登山扣套装4套，投投乐1个，钻钻洞1个，分组背心10套，粘粘包10个，标记贴纸2套，活动实施方案小中大班各1本，装箱明细表1张，合格证1张；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产品材质：塑料、木质、布质；3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外箱尺寸：长1200mm*宽500mm*高340mm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（二）1.</w:t>
            </w:r>
            <w:r>
              <w:rPr>
                <w:rFonts w:hint="eastAsia" w:ascii="宋体" w:hAnsi="宋体" w:eastAsia="宋体" w:cs="宋体"/>
                <w:i w:val="0"/>
                <w:iCs w:val="0"/>
                <w:color w:val="auto"/>
                <w:kern w:val="0"/>
                <w:sz w:val="22"/>
                <w:szCs w:val="22"/>
                <w:u w:val="none"/>
                <w:lang w:val="en-US" w:eastAsia="zh-CN" w:bidi="ar"/>
              </w:rPr>
              <w:t>产品明细：A字板1个，2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产品材质：金属、木质，3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产品规格：长95cm，高95cm，厚8cm。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（三）1.</w:t>
            </w:r>
            <w:r>
              <w:rPr>
                <w:rFonts w:hint="eastAsia" w:ascii="宋体" w:hAnsi="宋体" w:eastAsia="宋体" w:cs="宋体"/>
                <w:i w:val="0"/>
                <w:iCs w:val="0"/>
                <w:color w:val="auto"/>
                <w:kern w:val="0"/>
                <w:sz w:val="22"/>
                <w:szCs w:val="22"/>
                <w:u w:val="none"/>
                <w:lang w:val="en-US" w:eastAsia="zh-CN" w:bidi="ar"/>
              </w:rPr>
              <w:t>产品明细：跳马1套，2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产品规格：上长60cm，上宽20cm，总高58cm，下长80cm，下宽50cm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（四）1.</w:t>
            </w:r>
            <w:r>
              <w:rPr>
                <w:rFonts w:hint="eastAsia" w:ascii="宋体" w:hAnsi="宋体" w:eastAsia="宋体" w:cs="宋体"/>
                <w:i w:val="0"/>
                <w:iCs w:val="0"/>
                <w:color w:val="auto"/>
                <w:kern w:val="0"/>
                <w:sz w:val="22"/>
                <w:szCs w:val="22"/>
                <w:u w:val="none"/>
                <w:lang w:val="en-US" w:eastAsia="zh-CN" w:bidi="ar"/>
              </w:rPr>
              <w:t>产品明细：梯形箱小、中、大、特大各1个；2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产品规格：小号：长100cm，下宽43cm，高40cm，上宽15cm；中号：长100cm，下宽50cm，高55cm，上宽15cm；大号：长100cm，下宽64cm，高70cm，上宽15cm；特大号：长100cm，下宽74cm，高85cm，上宽15cm。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（五）1.</w:t>
            </w:r>
            <w:r>
              <w:rPr>
                <w:rFonts w:hint="eastAsia" w:ascii="宋体" w:hAnsi="宋体" w:eastAsia="宋体" w:cs="宋体"/>
                <w:i w:val="0"/>
                <w:iCs w:val="0"/>
                <w:color w:val="auto"/>
                <w:kern w:val="0"/>
                <w:sz w:val="22"/>
                <w:szCs w:val="22"/>
                <w:u w:val="none"/>
                <w:lang w:val="en-US" w:eastAsia="zh-CN" w:bidi="ar"/>
              </w:rPr>
              <w:t>产品明细：平衡木2个；2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产品规格：长200cm，上宽20cm，下宽30cm，高30cm。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（六）1.</w:t>
            </w:r>
            <w:r>
              <w:rPr>
                <w:rFonts w:hint="eastAsia" w:ascii="宋体" w:hAnsi="宋体" w:eastAsia="宋体" w:cs="宋体"/>
                <w:i w:val="0"/>
                <w:iCs w:val="0"/>
                <w:color w:val="auto"/>
                <w:kern w:val="0"/>
                <w:sz w:val="22"/>
                <w:szCs w:val="22"/>
                <w:u w:val="none"/>
                <w:lang w:val="en-US" w:eastAsia="zh-CN" w:bidi="ar"/>
              </w:rPr>
              <w:t>产品明细：立体方垫2个；2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产品规格：展开长245cm，宽60cm，厚度5.5cm。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（七）1.</w:t>
            </w:r>
            <w:r>
              <w:rPr>
                <w:rFonts w:hint="eastAsia" w:ascii="宋体" w:hAnsi="宋体" w:eastAsia="宋体" w:cs="宋体"/>
                <w:i w:val="0"/>
                <w:iCs w:val="0"/>
                <w:color w:val="auto"/>
                <w:kern w:val="0"/>
                <w:sz w:val="22"/>
                <w:szCs w:val="22"/>
                <w:u w:val="none"/>
                <w:lang w:val="en-US" w:eastAsia="zh-CN" w:bidi="ar"/>
              </w:rPr>
              <w:t>产品明细：斜坡垫2个；2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产品规格：长174cm，宽80cm，一端高35cm，一端高5cm。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（八）1.</w:t>
            </w:r>
            <w:r>
              <w:rPr>
                <w:rFonts w:hint="eastAsia" w:ascii="宋体" w:hAnsi="宋体" w:eastAsia="宋体" w:cs="宋体"/>
                <w:i w:val="0"/>
                <w:iCs w:val="0"/>
                <w:color w:val="auto"/>
                <w:kern w:val="0"/>
                <w:sz w:val="22"/>
                <w:szCs w:val="22"/>
                <w:u w:val="none"/>
                <w:lang w:val="en-US" w:eastAsia="zh-CN" w:bidi="ar"/>
              </w:rPr>
              <w:t>产品明细：跳跳台3个；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产品材质：棉质、PVC夹网布；</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产品规格：长150cm*宽70cm*高75cm，单层高25cm。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（九）1.</w:t>
            </w:r>
            <w:r>
              <w:rPr>
                <w:rFonts w:hint="eastAsia" w:ascii="宋体" w:hAnsi="宋体" w:eastAsia="宋体" w:cs="宋体"/>
                <w:i w:val="0"/>
                <w:iCs w:val="0"/>
                <w:color w:val="auto"/>
                <w:kern w:val="0"/>
                <w:sz w:val="22"/>
                <w:szCs w:val="22"/>
                <w:u w:val="none"/>
                <w:lang w:val="en-US" w:eastAsia="zh-CN" w:bidi="ar"/>
              </w:rPr>
              <w:t>产品明细：踏板套装2套，每套含1个踏板、4个托板；</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产品材质：塑料；3、产品规格：踏板长108cm*宽41cm*高10cm。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（十）1.</w:t>
            </w:r>
            <w:r>
              <w:rPr>
                <w:rFonts w:hint="eastAsia" w:ascii="宋体" w:hAnsi="宋体" w:eastAsia="宋体" w:cs="宋体"/>
                <w:i w:val="0"/>
                <w:iCs w:val="0"/>
                <w:color w:val="auto"/>
                <w:kern w:val="0"/>
                <w:sz w:val="22"/>
                <w:szCs w:val="22"/>
                <w:u w:val="none"/>
                <w:lang w:val="en-US" w:eastAsia="zh-CN" w:bidi="ar"/>
              </w:rPr>
              <w:t>产品明细：波速球套装1套，每套含4个波速球、1个打气筒；</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产品材质：塑料；</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产品规格：直径46cm，高20cm。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（十一）1.</w:t>
            </w:r>
            <w:r>
              <w:rPr>
                <w:rFonts w:hint="eastAsia" w:ascii="宋体" w:hAnsi="宋体" w:eastAsia="宋体" w:cs="宋体"/>
                <w:i w:val="0"/>
                <w:iCs w:val="0"/>
                <w:color w:val="auto"/>
                <w:kern w:val="0"/>
                <w:sz w:val="22"/>
                <w:szCs w:val="22"/>
                <w:u w:val="none"/>
                <w:lang w:val="en-US" w:eastAsia="zh-CN" w:bidi="ar"/>
              </w:rPr>
              <w:t>产品明细：魔术岛1个；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产品规格：长305cm*宽50cm*高54cm。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（十二）1.</w:t>
            </w:r>
            <w:r>
              <w:rPr>
                <w:rFonts w:hint="eastAsia" w:ascii="宋体" w:hAnsi="宋体" w:eastAsia="宋体" w:cs="宋体"/>
                <w:i w:val="0"/>
                <w:iCs w:val="0"/>
                <w:color w:val="auto"/>
                <w:kern w:val="0"/>
                <w:sz w:val="22"/>
                <w:szCs w:val="22"/>
                <w:u w:val="none"/>
                <w:lang w:val="en-US" w:eastAsia="zh-CN" w:bidi="ar"/>
              </w:rPr>
              <w:t>产品明细：单杠1套；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产品材质：金属；</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产品规格：单杠长177cm，宽170cm，可调节高度137cm-197cm；杠面直径3.6cm；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（十三）1.</w:t>
            </w:r>
            <w:r>
              <w:rPr>
                <w:rFonts w:hint="eastAsia" w:ascii="宋体" w:hAnsi="宋体" w:eastAsia="宋体" w:cs="宋体"/>
                <w:i w:val="0"/>
                <w:iCs w:val="0"/>
                <w:color w:val="auto"/>
                <w:kern w:val="0"/>
                <w:sz w:val="22"/>
                <w:szCs w:val="22"/>
                <w:u w:val="none"/>
                <w:lang w:val="en-US" w:eastAsia="zh-CN" w:bidi="ar"/>
              </w:rPr>
              <w:t>产品明细：安全垫1个；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产品材质：单杠杠面包木页，镀铬；</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产品规格：长200cm*宽150cm*高15cm。</w:t>
            </w:r>
          </w:p>
        </w:tc>
        <w:tc>
          <w:tcPr>
            <w:tcW w:w="780" w:type="dxa"/>
            <w:vAlign w:val="center"/>
          </w:tcPr>
          <w:p w14:paraId="44A61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49000</w:t>
            </w:r>
          </w:p>
        </w:tc>
        <w:tc>
          <w:tcPr>
            <w:tcW w:w="615" w:type="dxa"/>
            <w:vAlign w:val="center"/>
          </w:tcPr>
          <w:p w14:paraId="6DBBA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71484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34F5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49000</w:t>
            </w:r>
          </w:p>
        </w:tc>
      </w:tr>
      <w:bookmarkEnd w:id="64"/>
      <w:tr w14:paraId="744E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D768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30</w:t>
            </w:r>
          </w:p>
        </w:tc>
        <w:tc>
          <w:tcPr>
            <w:tcW w:w="915" w:type="dxa"/>
            <w:vAlign w:val="center"/>
          </w:tcPr>
          <w:p w14:paraId="243BD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托幼室材料</w:t>
            </w:r>
          </w:p>
        </w:tc>
        <w:tc>
          <w:tcPr>
            <w:tcW w:w="6075" w:type="dxa"/>
            <w:vAlign w:val="center"/>
          </w:tcPr>
          <w:p w14:paraId="681D8C6C">
            <w:pPr>
              <w:keepNext w:val="0"/>
              <w:keepLines w:val="0"/>
              <w:widowControl/>
              <w:numPr>
                <w:ilvl w:val="0"/>
                <w:numId w:val="7"/>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容：主题游戏包：幼儿用书、游戏本、亲子互动手册、教师用书、教学大书、学具；探索游戏区：艺术感知区、益智探索区、生活体验区、阅读养成区；感统游戏组：触觉类器材、听觉类器材、本体觉类器材、前庭觉器材、综合觉类器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二、明细</w:t>
            </w:r>
          </w:p>
          <w:p w14:paraId="1CAD922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（一）1.</w:t>
            </w:r>
            <w:r>
              <w:rPr>
                <w:rFonts w:hint="eastAsia" w:ascii="宋体" w:hAnsi="宋体" w:eastAsia="宋体" w:cs="宋体"/>
                <w:i w:val="0"/>
                <w:iCs w:val="0"/>
                <w:color w:val="auto"/>
                <w:kern w:val="0"/>
                <w:sz w:val="22"/>
                <w:szCs w:val="22"/>
                <w:u w:val="none"/>
                <w:lang w:val="en-US" w:eastAsia="zh-CN" w:bidi="ar"/>
              </w:rPr>
              <w:t>产品明细：游戏材料包8盒；</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外箱尺寸：64.5cm*47.5cm*30.5cm。</w:t>
            </w:r>
          </w:p>
          <w:p w14:paraId="21D03848">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（二）1.</w:t>
            </w:r>
            <w:r>
              <w:rPr>
                <w:rFonts w:hint="eastAsia" w:ascii="宋体" w:hAnsi="宋体" w:eastAsia="宋体" w:cs="宋体"/>
                <w:i w:val="0"/>
                <w:iCs w:val="0"/>
                <w:color w:val="auto"/>
                <w:kern w:val="0"/>
                <w:sz w:val="22"/>
                <w:szCs w:val="22"/>
                <w:u w:val="none"/>
                <w:lang w:val="en-US" w:eastAsia="zh-CN" w:bidi="ar"/>
              </w:rPr>
              <w:t>产品明细：全开纸20张，风筝20个；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外箱尺寸：14cm*14cm*80cm。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（三）1.</w:t>
            </w:r>
            <w:r>
              <w:rPr>
                <w:rFonts w:hint="eastAsia" w:ascii="宋体" w:hAnsi="宋体" w:eastAsia="宋体" w:cs="宋体"/>
                <w:i w:val="0"/>
                <w:iCs w:val="0"/>
                <w:color w:val="auto"/>
                <w:kern w:val="0"/>
                <w:sz w:val="22"/>
                <w:szCs w:val="22"/>
                <w:u w:val="none"/>
                <w:lang w:val="en-US" w:eastAsia="zh-CN" w:bidi="ar"/>
              </w:rPr>
              <w:t>产品明细：娃娃床套组1套，娃娃2个，厨灶具1套，手推车1套，说明书1本；2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产品材质：布制、木质；3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外箱尺寸：66cm*40.5cm*55cm。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（四）1.</w:t>
            </w:r>
            <w:r>
              <w:rPr>
                <w:rFonts w:hint="eastAsia" w:ascii="宋体" w:hAnsi="宋体" w:eastAsia="宋体" w:cs="宋体"/>
                <w:i w:val="0"/>
                <w:iCs w:val="0"/>
                <w:color w:val="auto"/>
                <w:kern w:val="0"/>
                <w:sz w:val="22"/>
                <w:szCs w:val="22"/>
                <w:u w:val="none"/>
                <w:lang w:val="en-US" w:eastAsia="zh-CN" w:bidi="ar"/>
              </w:rPr>
              <w:t>产品明细：手机1套，仿真果蔬1套，碗筷套组1套，奶瓶2个，厨灶具1套；2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产品材质：木质，塑料；</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外箱尺寸：106cm*19cm*38cm。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（五）1.</w:t>
            </w:r>
            <w:r>
              <w:rPr>
                <w:rFonts w:hint="eastAsia" w:ascii="宋体" w:hAnsi="宋体" w:eastAsia="宋体" w:cs="宋体"/>
                <w:i w:val="0"/>
                <w:iCs w:val="0"/>
                <w:color w:val="auto"/>
                <w:kern w:val="0"/>
                <w:sz w:val="22"/>
                <w:szCs w:val="22"/>
                <w:u w:val="none"/>
                <w:lang w:val="en-US" w:eastAsia="zh-CN" w:bidi="ar"/>
              </w:rPr>
              <w:t>产品明细：磁力片2套，磁力毛毛虫2套，彩虹鱼抓抓乐1套，五官摆一摆1套，趣味拼图1套，喂熊宝宝1套，收纳盒4个；2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产品材质：木质、塑料等；3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外箱尺寸：61cm*41cm*58cm。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（六）1.</w:t>
            </w:r>
            <w:r>
              <w:rPr>
                <w:rFonts w:hint="eastAsia" w:ascii="宋体" w:hAnsi="宋体" w:eastAsia="宋体" w:cs="宋体"/>
                <w:i w:val="0"/>
                <w:iCs w:val="0"/>
                <w:color w:val="auto"/>
                <w:kern w:val="0"/>
                <w:sz w:val="22"/>
                <w:szCs w:val="22"/>
                <w:u w:val="none"/>
                <w:lang w:val="en-US" w:eastAsia="zh-CN" w:bidi="ar"/>
              </w:rPr>
              <w:t>产品明细：主题绘本3套，儿童坐垫2个；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产品材质：纸质、布制；</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外箱尺寸：51cm*33cm*17cm。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（七）1.</w:t>
            </w:r>
            <w:r>
              <w:rPr>
                <w:rFonts w:hint="eastAsia" w:ascii="宋体" w:hAnsi="宋体" w:eastAsia="宋体" w:cs="宋体"/>
                <w:i w:val="0"/>
                <w:iCs w:val="0"/>
                <w:color w:val="auto"/>
                <w:kern w:val="0"/>
                <w:sz w:val="22"/>
                <w:szCs w:val="22"/>
                <w:u w:val="none"/>
                <w:lang w:val="en-US" w:eastAsia="zh-CN" w:bidi="ar"/>
              </w:rPr>
              <w:t>产品明细：主题绘本3套，儿童靠枕2个，阅读存折20本，儿童代书板6个；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产品材质：纸质、布制；</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外箱尺寸：46.5cm*31.5cm*160cm。</w:t>
            </w:r>
          </w:p>
          <w:p w14:paraId="4811E6F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cs="宋体"/>
                <w:i w:val="0"/>
                <w:iCs w:val="0"/>
                <w:color w:val="auto"/>
                <w:kern w:val="0"/>
                <w:sz w:val="22"/>
                <w:szCs w:val="22"/>
                <w:u w:val="none"/>
                <w:lang w:val="en-US" w:eastAsia="zh-CN" w:bidi="ar"/>
              </w:rPr>
              <w:t>（八）1.</w:t>
            </w:r>
            <w:r>
              <w:rPr>
                <w:rFonts w:hint="eastAsia" w:ascii="宋体" w:hAnsi="宋体" w:eastAsia="宋体" w:cs="宋体"/>
                <w:i w:val="0"/>
                <w:iCs w:val="0"/>
                <w:color w:val="auto"/>
                <w:kern w:val="0"/>
                <w:sz w:val="22"/>
                <w:szCs w:val="22"/>
                <w:u w:val="none"/>
                <w:lang w:val="en-US" w:eastAsia="zh-CN" w:bidi="ar"/>
              </w:rPr>
              <w:t>产品明细：粘粘球套装2套，按摩球2个，花生球2个，触觉垫5个，沙锤20个，视觉追踪盘套装3套；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产品材质：PVC、布制、木质；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外箱尺寸：54cm*44cm*27cm。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（九）1.</w:t>
            </w:r>
            <w:r>
              <w:rPr>
                <w:rFonts w:hint="eastAsia" w:ascii="宋体" w:hAnsi="宋体" w:eastAsia="宋体" w:cs="宋体"/>
                <w:i w:val="0"/>
                <w:iCs w:val="0"/>
                <w:color w:val="auto"/>
                <w:kern w:val="0"/>
                <w:sz w:val="22"/>
                <w:szCs w:val="22"/>
                <w:u w:val="none"/>
                <w:lang w:val="en-US" w:eastAsia="zh-CN" w:bidi="ar"/>
              </w:rPr>
              <w:t>产品明细：地鼓3套，视觉转转棋3套，听觉积木套装3套，平衡蛋6个，打气筒1个，收纳盒5个；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产品材质：PVC、塑料、木质；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外箱尺寸：57.5cm*53.5cm*26.5cm。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（十）1.</w:t>
            </w:r>
            <w:r>
              <w:rPr>
                <w:rFonts w:hint="eastAsia" w:ascii="宋体" w:hAnsi="宋体" w:eastAsia="宋体" w:cs="宋体"/>
                <w:i w:val="0"/>
                <w:iCs w:val="0"/>
                <w:color w:val="auto"/>
                <w:kern w:val="0"/>
                <w:sz w:val="22"/>
                <w:szCs w:val="22"/>
                <w:u w:val="none"/>
                <w:lang w:val="en-US" w:eastAsia="zh-CN" w:bidi="ar"/>
              </w:rPr>
              <w:t>产品明细：青蛙蹦床1套；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产品材质：优质钢管、布质；3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外箱尺寸：74.5cm*37.5cm*23.5cm。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（十一）1.</w:t>
            </w:r>
            <w:r>
              <w:rPr>
                <w:rFonts w:hint="eastAsia" w:ascii="宋体" w:hAnsi="宋体" w:eastAsia="宋体" w:cs="宋体"/>
                <w:i w:val="0"/>
                <w:iCs w:val="0"/>
                <w:color w:val="auto"/>
                <w:kern w:val="0"/>
                <w:sz w:val="22"/>
                <w:szCs w:val="22"/>
                <w:u w:val="none"/>
                <w:lang w:val="en-US" w:eastAsia="zh-CN" w:bidi="ar"/>
              </w:rPr>
              <w:t>产品明细：平衡步道1套；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产品材质：塑料；</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外箱尺寸：51cm*36.5cm*46cm。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（十二）1.</w:t>
            </w:r>
            <w:r>
              <w:rPr>
                <w:rFonts w:hint="eastAsia" w:ascii="宋体" w:hAnsi="宋体" w:eastAsia="宋体" w:cs="宋体"/>
                <w:i w:val="0"/>
                <w:iCs w:val="0"/>
                <w:color w:val="auto"/>
                <w:kern w:val="0"/>
                <w:sz w:val="22"/>
                <w:szCs w:val="22"/>
                <w:u w:val="none"/>
                <w:lang w:val="en-US" w:eastAsia="zh-CN" w:bidi="ar"/>
              </w:rPr>
              <w:t>产品明细：百变旋转龟背10个；2、产品材质：塑料；3、外箱尺寸：41cm*40cm*36.5cm。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（十三）1.</w:t>
            </w:r>
            <w:r>
              <w:rPr>
                <w:rFonts w:hint="eastAsia" w:ascii="宋体" w:hAnsi="宋体" w:eastAsia="宋体" w:cs="宋体"/>
                <w:i w:val="0"/>
                <w:iCs w:val="0"/>
                <w:color w:val="auto"/>
                <w:kern w:val="0"/>
                <w:sz w:val="22"/>
                <w:szCs w:val="22"/>
                <w:u w:val="none"/>
                <w:lang w:val="en-US" w:eastAsia="zh-CN" w:bidi="ar"/>
              </w:rPr>
              <w:t>产品明细：坡度软体包2个；2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外箱尺寸：57cm*52cm*37cm。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（十四）1.</w:t>
            </w:r>
            <w:r>
              <w:rPr>
                <w:rFonts w:hint="eastAsia" w:ascii="宋体" w:hAnsi="宋体" w:eastAsia="宋体" w:cs="宋体"/>
                <w:i w:val="0"/>
                <w:iCs w:val="0"/>
                <w:color w:val="auto"/>
                <w:kern w:val="0"/>
                <w:sz w:val="22"/>
                <w:szCs w:val="22"/>
                <w:u w:val="none"/>
                <w:lang w:val="en-US" w:eastAsia="zh-CN" w:bidi="ar"/>
              </w:rPr>
              <w:t>产品明细：长方体软体包1个，圆柱体软体包1个，地垫型软体包2个；2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外箱尺寸：100.5cm*50.5cm*29cm。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（十五）1.</w:t>
            </w:r>
            <w:r>
              <w:rPr>
                <w:rFonts w:hint="eastAsia" w:ascii="宋体" w:hAnsi="宋体" w:eastAsia="宋体" w:cs="宋体"/>
                <w:i w:val="0"/>
                <w:iCs w:val="0"/>
                <w:color w:val="auto"/>
                <w:kern w:val="0"/>
                <w:sz w:val="22"/>
                <w:szCs w:val="22"/>
                <w:u w:val="none"/>
                <w:lang w:val="en-US" w:eastAsia="zh-CN" w:bidi="ar"/>
              </w:rPr>
              <w:t>产品明细：凹形软体包2个，H型软体包1个；2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外箱尺寸：51.5cm*51cm*63cm。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（十六）1.</w:t>
            </w:r>
            <w:r>
              <w:rPr>
                <w:rFonts w:hint="eastAsia" w:ascii="宋体" w:hAnsi="宋体" w:eastAsia="宋体" w:cs="宋体"/>
                <w:i w:val="0"/>
                <w:iCs w:val="0"/>
                <w:color w:val="auto"/>
                <w:kern w:val="0"/>
                <w:sz w:val="22"/>
                <w:szCs w:val="22"/>
                <w:u w:val="none"/>
                <w:lang w:val="en-US" w:eastAsia="zh-CN" w:bidi="ar"/>
              </w:rPr>
              <w:t>产品明细：拱门型软体包2个，H型软体包1个；2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外箱尺寸：85cm*73cm*52cm。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（十七）1.</w:t>
            </w:r>
            <w:r>
              <w:rPr>
                <w:rFonts w:hint="eastAsia" w:ascii="宋体" w:hAnsi="宋体" w:eastAsia="宋体" w:cs="宋体"/>
                <w:i w:val="0"/>
                <w:iCs w:val="0"/>
                <w:color w:val="auto"/>
                <w:kern w:val="0"/>
                <w:sz w:val="22"/>
                <w:szCs w:val="22"/>
                <w:u w:val="none"/>
                <w:lang w:val="en-US" w:eastAsia="zh-CN" w:bidi="ar"/>
              </w:rPr>
              <w:t>产品明细：主题游戏包1幼儿用书20盒；</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外箱尺寸：36.5cm*28.5cm*11.3cm。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（十八）1.</w:t>
            </w:r>
            <w:r>
              <w:rPr>
                <w:rFonts w:hint="eastAsia" w:ascii="宋体" w:hAnsi="宋体" w:eastAsia="宋体" w:cs="宋体"/>
                <w:i w:val="0"/>
                <w:iCs w:val="0"/>
                <w:color w:val="auto"/>
                <w:kern w:val="0"/>
                <w:sz w:val="22"/>
                <w:szCs w:val="22"/>
                <w:u w:val="none"/>
                <w:lang w:val="en-US" w:eastAsia="zh-CN" w:bidi="ar"/>
              </w:rPr>
              <w:t>产品明细：主题游戏包2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幼儿用书20盒；2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产品材质：纸质；3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外箱尺寸：60cm*57cm*20cm。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（十九）1.</w:t>
            </w:r>
            <w:r>
              <w:rPr>
                <w:rFonts w:hint="eastAsia" w:ascii="宋体" w:hAnsi="宋体" w:eastAsia="宋体" w:cs="宋体"/>
                <w:i w:val="0"/>
                <w:iCs w:val="0"/>
                <w:color w:val="auto"/>
                <w:kern w:val="0"/>
                <w:sz w:val="22"/>
                <w:szCs w:val="22"/>
                <w:u w:val="none"/>
                <w:lang w:val="en-US" w:eastAsia="zh-CN" w:bidi="ar"/>
              </w:rPr>
              <w:t>产品明细：主题游戏包教学大书8本，探索游戏区实施方案1本，感统游戏组实施方案1本，主题游戏包1实施方案1本，主题游戏包2实施方案1本；</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外箱尺寸：43.5cm*40cm*65cm。</w:t>
            </w:r>
          </w:p>
        </w:tc>
        <w:tc>
          <w:tcPr>
            <w:tcW w:w="780" w:type="dxa"/>
            <w:vAlign w:val="center"/>
          </w:tcPr>
          <w:p w14:paraId="610C2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59000</w:t>
            </w:r>
          </w:p>
        </w:tc>
        <w:tc>
          <w:tcPr>
            <w:tcW w:w="615" w:type="dxa"/>
            <w:vAlign w:val="center"/>
          </w:tcPr>
          <w:p w14:paraId="52609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AC1C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480FA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65" w:name="OLE_LINK24"/>
            <w:r>
              <w:rPr>
                <w:rFonts w:hint="eastAsia" w:ascii="宋体" w:hAnsi="宋体" w:eastAsia="宋体" w:cs="宋体"/>
                <w:i w:val="0"/>
                <w:iCs w:val="0"/>
                <w:color w:val="auto"/>
                <w:kern w:val="0"/>
                <w:sz w:val="22"/>
                <w:szCs w:val="22"/>
                <w:u w:val="none"/>
                <w:lang w:val="en-US" w:eastAsia="zh-CN" w:bidi="ar"/>
              </w:rPr>
              <w:t>59000</w:t>
            </w:r>
            <w:bookmarkEnd w:id="65"/>
          </w:p>
        </w:tc>
      </w:tr>
      <w:tr w14:paraId="6335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4E60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6" w:name="OLE_LINK25" w:colFirst="6" w:colLast="6"/>
            <w:r>
              <w:rPr>
                <w:rFonts w:hint="eastAsia" w:ascii="宋体" w:hAnsi="宋体" w:eastAsia="宋体" w:cs="宋体"/>
                <w:b/>
                <w:bCs/>
                <w:i w:val="0"/>
                <w:iCs w:val="0"/>
                <w:color w:val="auto"/>
                <w:kern w:val="0"/>
                <w:sz w:val="22"/>
                <w:szCs w:val="22"/>
                <w:u w:val="none"/>
                <w:lang w:val="en-US" w:eastAsia="zh-CN" w:bidi="ar"/>
              </w:rPr>
              <w:t>31</w:t>
            </w:r>
          </w:p>
        </w:tc>
        <w:tc>
          <w:tcPr>
            <w:tcW w:w="915" w:type="dxa"/>
            <w:vAlign w:val="center"/>
          </w:tcPr>
          <w:p w14:paraId="25445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定制大型建构玩具</w:t>
            </w:r>
          </w:p>
        </w:tc>
        <w:tc>
          <w:tcPr>
            <w:tcW w:w="6075" w:type="dxa"/>
            <w:vAlign w:val="center"/>
          </w:tcPr>
          <w:p w14:paraId="65DC34C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1.规格：480*150*200cm；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2.材质：采用黄花梨材料制作，油漆采用环保聚酯漆，经二底三面喷漆，颜色为清漆本色；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3.组成：轮胎架.攀岩.爬网.梯子等部件组成</w:t>
            </w:r>
          </w:p>
        </w:tc>
        <w:tc>
          <w:tcPr>
            <w:tcW w:w="780" w:type="dxa"/>
            <w:vAlign w:val="center"/>
          </w:tcPr>
          <w:p w14:paraId="67D74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w:t>
            </w:r>
          </w:p>
        </w:tc>
        <w:tc>
          <w:tcPr>
            <w:tcW w:w="615" w:type="dxa"/>
            <w:vAlign w:val="center"/>
          </w:tcPr>
          <w:p w14:paraId="474B1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77FBB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02972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w:t>
            </w:r>
          </w:p>
        </w:tc>
      </w:tr>
      <w:tr w14:paraId="528A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80E9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32</w:t>
            </w:r>
          </w:p>
        </w:tc>
        <w:tc>
          <w:tcPr>
            <w:tcW w:w="915" w:type="dxa"/>
            <w:vAlign w:val="center"/>
          </w:tcPr>
          <w:p w14:paraId="19937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户外大型玩具柜</w:t>
            </w:r>
          </w:p>
        </w:tc>
        <w:tc>
          <w:tcPr>
            <w:tcW w:w="6075" w:type="dxa"/>
            <w:vAlign w:val="center"/>
          </w:tcPr>
          <w:p w14:paraId="072B1D8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三角顶/圆顶折叠门铝合金柜子参数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组合柜规格≥124*67.2*135（CM）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材质工艺：室内外柜为架构结构，所有框架均采用高级铝合金管，经过阳极氧化处理，永不褪色。通过（6.8*2.1*1.2cm）锁头，连接0.8cm深的铝合金凹槽。门边立柱规格为10*4cm，方柱规格为4*4cm，无棱角；推拉门上下料规格为10*4.5cm，前后横料规格为5.4*1.6cm，边料规格4*1.5cm，材料无棱角；上下中内板为0.6cm厚铝塑板，后边板为0.3cm厚铝塑板，推拉门采用pvc折叠门，叶片规格为宽12cm*厚12mm。三角顶/圆顶采用镀锌钢，外用自粘型沥青瓦片，防水隔热。使用铝合金管可以根据室内外场地需要，灵活调节上下距离，增加柜子使用率。室内外柜拆装方便，牢固可靠，大方美观。</w:t>
            </w:r>
          </w:p>
        </w:tc>
        <w:tc>
          <w:tcPr>
            <w:tcW w:w="780" w:type="dxa"/>
            <w:vAlign w:val="center"/>
          </w:tcPr>
          <w:p w14:paraId="7AF5C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w:t>
            </w:r>
          </w:p>
        </w:tc>
        <w:tc>
          <w:tcPr>
            <w:tcW w:w="615" w:type="dxa"/>
            <w:vAlign w:val="center"/>
          </w:tcPr>
          <w:p w14:paraId="11E87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w:t>
            </w:r>
          </w:p>
        </w:tc>
        <w:tc>
          <w:tcPr>
            <w:tcW w:w="585" w:type="dxa"/>
            <w:vAlign w:val="center"/>
          </w:tcPr>
          <w:p w14:paraId="606FD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08EC0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24000</w:t>
            </w:r>
          </w:p>
        </w:tc>
      </w:tr>
      <w:bookmarkEnd w:id="66"/>
      <w:tr w14:paraId="17F6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9247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7" w:name="OLE_LINK26" w:colFirst="6" w:colLast="6"/>
            <w:r>
              <w:rPr>
                <w:rFonts w:hint="eastAsia" w:ascii="宋体" w:hAnsi="宋体" w:eastAsia="宋体" w:cs="宋体"/>
                <w:b/>
                <w:bCs/>
                <w:i w:val="0"/>
                <w:iCs w:val="0"/>
                <w:color w:val="auto"/>
                <w:kern w:val="0"/>
                <w:sz w:val="22"/>
                <w:szCs w:val="22"/>
                <w:u w:val="none"/>
                <w:lang w:val="en-US" w:eastAsia="zh-CN" w:bidi="ar"/>
              </w:rPr>
              <w:t>33</w:t>
            </w:r>
          </w:p>
        </w:tc>
        <w:tc>
          <w:tcPr>
            <w:tcW w:w="915" w:type="dxa"/>
            <w:vAlign w:val="center"/>
          </w:tcPr>
          <w:p w14:paraId="6331A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玩水、玩沙玩具</w:t>
            </w:r>
          </w:p>
        </w:tc>
        <w:tc>
          <w:tcPr>
            <w:tcW w:w="6075" w:type="dxa"/>
            <w:vAlign w:val="center"/>
          </w:tcPr>
          <w:p w14:paraId="43AEEBC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1.材质:APS；2.特点：结实耐用，各种造型，色彩鲜艳。</w:t>
            </w:r>
          </w:p>
        </w:tc>
        <w:tc>
          <w:tcPr>
            <w:tcW w:w="780" w:type="dxa"/>
            <w:vAlign w:val="center"/>
          </w:tcPr>
          <w:p w14:paraId="64B7D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w:t>
            </w:r>
          </w:p>
        </w:tc>
        <w:tc>
          <w:tcPr>
            <w:tcW w:w="615" w:type="dxa"/>
            <w:vAlign w:val="center"/>
          </w:tcPr>
          <w:p w14:paraId="36809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60</w:t>
            </w:r>
          </w:p>
        </w:tc>
        <w:tc>
          <w:tcPr>
            <w:tcW w:w="585" w:type="dxa"/>
            <w:vAlign w:val="center"/>
          </w:tcPr>
          <w:p w14:paraId="68FC8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289A3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2400</w:t>
            </w:r>
          </w:p>
        </w:tc>
      </w:tr>
      <w:tr w14:paraId="5AD0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F1E6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34</w:t>
            </w:r>
          </w:p>
        </w:tc>
        <w:tc>
          <w:tcPr>
            <w:tcW w:w="915" w:type="dxa"/>
            <w:vAlign w:val="center"/>
          </w:tcPr>
          <w:p w14:paraId="53DF4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定制幼儿大型攀爬组合</w:t>
            </w:r>
          </w:p>
        </w:tc>
        <w:tc>
          <w:tcPr>
            <w:tcW w:w="6075" w:type="dxa"/>
            <w:vAlign w:val="center"/>
          </w:tcPr>
          <w:p w14:paraId="4D73AAB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组合一：1.单格规格：105*55*55cm（20/套），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2.材质：主架采用优质PVC，ABS塑料接口，PP材质面板。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组合二：主要材料：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黄花梨木:木料：经过切，刨，铣，钻，磨等多种工艺制作；油漆：打磨两次，环保油漆两底两面；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铁件：采用Ø60mm.Ø48mm.Ø38mm.Ø32mm.Ø28mm，壁厚≥2.0mm镀锌管，焊接采用氩弧焊及CO2气体保护焊，整体加工成型后经专业技术人员进行抛砂处理，表面再喷涂中国立邦户外环保聚酯珠光粉末，高温固化，表面光滑，抗紫外光能力强，色彩鲜艳，不易脱落，耐腐蚀；喷涂设备采用静电粉末喷涂装置，粉末回收采用小旋风和进口滤心，高效率，无污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塑胶件：专用模具经滚塑成形，采用滚塑专用料，经滚塑成形，塑料壁厚6mm以上，色彩艳丽，抗静电能力强，安全环保，耐候性好，强度高；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网通配件:材质:采用进口海缆绳直径≥14MM，配ABS工程塑料圆形扣，内六角不生绣钢螺丝，接触面之材料及结合角铁均经导圆角处理，五金零件为圆处理，具防任意调整功能，以维护使用都及设施结构；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螺丝配件：所有螺丝均为不锈钢材质；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观设计：外观独特，针对儿童喜欢荡.爬等特点而设计，是一面新型.综合性很强的墙面玩具；能够锻炼全身肌肉，发展孩子的运动能力；色彩鲜艳吸引儿童玩耍，给孩子们塑造了欢乐的气氛，带来了无穷的快乐。</w:t>
            </w:r>
          </w:p>
        </w:tc>
        <w:tc>
          <w:tcPr>
            <w:tcW w:w="780" w:type="dxa"/>
            <w:vAlign w:val="center"/>
          </w:tcPr>
          <w:p w14:paraId="0DD28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90000</w:t>
            </w:r>
          </w:p>
        </w:tc>
        <w:tc>
          <w:tcPr>
            <w:tcW w:w="615" w:type="dxa"/>
            <w:vAlign w:val="center"/>
          </w:tcPr>
          <w:p w14:paraId="19B15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6D11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58187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90000</w:t>
            </w:r>
          </w:p>
        </w:tc>
      </w:tr>
      <w:tr w14:paraId="2FA3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AF25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35</w:t>
            </w:r>
          </w:p>
        </w:tc>
        <w:tc>
          <w:tcPr>
            <w:tcW w:w="915" w:type="dxa"/>
            <w:vAlign w:val="center"/>
          </w:tcPr>
          <w:p w14:paraId="286A3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 xml:space="preserve"> 橡木桌子</w:t>
            </w:r>
          </w:p>
        </w:tc>
        <w:tc>
          <w:tcPr>
            <w:tcW w:w="6075" w:type="dxa"/>
            <w:vAlign w:val="center"/>
          </w:tcPr>
          <w:p w14:paraId="7EF41E93">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1.规格：120*60*55cm；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2.桌面：采用厚度≥18mm的优质橡胶木指接板，厚1.8cm背面四角支撑加固；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3.桌架优质橡胶木实心桌脚，规格≥50*50mm；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4.桌边挡板：规格≥16*70mm的橡胶木；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5.生产工艺：边缘抛圆处理，外表面和内表面以及儿童手指可触及的隐蔽处，均不得有锐利的棱角.毛刺以及小五金部件露出的锐利尖锐。</w:t>
            </w:r>
          </w:p>
        </w:tc>
        <w:tc>
          <w:tcPr>
            <w:tcW w:w="780" w:type="dxa"/>
            <w:vAlign w:val="center"/>
          </w:tcPr>
          <w:p w14:paraId="3FF33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450</w:t>
            </w:r>
          </w:p>
        </w:tc>
        <w:tc>
          <w:tcPr>
            <w:tcW w:w="615" w:type="dxa"/>
            <w:vAlign w:val="center"/>
          </w:tcPr>
          <w:p w14:paraId="0198B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81</w:t>
            </w:r>
          </w:p>
        </w:tc>
        <w:tc>
          <w:tcPr>
            <w:tcW w:w="585" w:type="dxa"/>
            <w:vAlign w:val="center"/>
          </w:tcPr>
          <w:p w14:paraId="284A6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5A531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36450</w:t>
            </w:r>
          </w:p>
        </w:tc>
      </w:tr>
      <w:bookmarkEnd w:id="67"/>
      <w:tr w14:paraId="55F0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7048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8" w:name="OLE_LINK27" w:colFirst="6" w:colLast="6"/>
            <w:r>
              <w:rPr>
                <w:rFonts w:hint="eastAsia" w:ascii="宋体" w:hAnsi="宋体" w:eastAsia="宋体" w:cs="宋体"/>
                <w:b/>
                <w:bCs/>
                <w:i w:val="0"/>
                <w:iCs w:val="0"/>
                <w:color w:val="auto"/>
                <w:kern w:val="0"/>
                <w:sz w:val="22"/>
                <w:szCs w:val="22"/>
                <w:u w:val="none"/>
                <w:lang w:val="en-US" w:eastAsia="zh-CN" w:bidi="ar"/>
              </w:rPr>
              <w:t>36</w:t>
            </w:r>
          </w:p>
        </w:tc>
        <w:tc>
          <w:tcPr>
            <w:tcW w:w="915" w:type="dxa"/>
            <w:vAlign w:val="center"/>
          </w:tcPr>
          <w:p w14:paraId="66645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托班橡木桌子</w:t>
            </w:r>
          </w:p>
        </w:tc>
        <w:tc>
          <w:tcPr>
            <w:tcW w:w="6075" w:type="dxa"/>
            <w:vAlign w:val="center"/>
          </w:tcPr>
          <w:p w14:paraId="1C360AB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 1.规格：60*60*50cm；</w:t>
            </w:r>
          </w:p>
        </w:tc>
        <w:tc>
          <w:tcPr>
            <w:tcW w:w="780" w:type="dxa"/>
            <w:vAlign w:val="center"/>
          </w:tcPr>
          <w:p w14:paraId="1BC51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w:t>
            </w:r>
          </w:p>
        </w:tc>
        <w:tc>
          <w:tcPr>
            <w:tcW w:w="615" w:type="dxa"/>
            <w:vAlign w:val="center"/>
          </w:tcPr>
          <w:p w14:paraId="1A928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w:t>
            </w:r>
          </w:p>
        </w:tc>
        <w:tc>
          <w:tcPr>
            <w:tcW w:w="585" w:type="dxa"/>
            <w:vAlign w:val="center"/>
          </w:tcPr>
          <w:p w14:paraId="35C4C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32248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3600</w:t>
            </w:r>
          </w:p>
        </w:tc>
      </w:tr>
      <w:tr w14:paraId="05A3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3C0A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37</w:t>
            </w:r>
          </w:p>
        </w:tc>
        <w:tc>
          <w:tcPr>
            <w:tcW w:w="915" w:type="dxa"/>
            <w:vAlign w:val="center"/>
          </w:tcPr>
          <w:p w14:paraId="6319A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橡木椅子</w:t>
            </w:r>
          </w:p>
        </w:tc>
        <w:tc>
          <w:tcPr>
            <w:tcW w:w="6075" w:type="dxa"/>
            <w:vAlign w:val="center"/>
          </w:tcPr>
          <w:p w14:paraId="4B6DC50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1.规格：坐高29cm；2.椅面：采用厚度1.6cm橡胶木指接板；3.坐背板：采用厚度≥16mm的优质橡胶木指接板；4.椅架采用优质橡胶木，实心椅脚，规格≥25*50mm；5.脚档: 四横档加固，采用规格≥40*18 mm的优质橡胶木；6.生产工艺：表面光洁，无裂缝，无毛刺，无锐边，连接牢固.安全，边缘抛圆处理，外表面和内表面以及儿童手指可触及的隐蔽处，均不得有锐利的棱角.毛刺以及小五金部件露出的锐利尖锐。</w:t>
            </w:r>
          </w:p>
        </w:tc>
        <w:tc>
          <w:tcPr>
            <w:tcW w:w="780" w:type="dxa"/>
            <w:vAlign w:val="center"/>
          </w:tcPr>
          <w:p w14:paraId="1868C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w:t>
            </w:r>
          </w:p>
        </w:tc>
        <w:tc>
          <w:tcPr>
            <w:tcW w:w="615" w:type="dxa"/>
            <w:vAlign w:val="center"/>
          </w:tcPr>
          <w:p w14:paraId="0584D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296</w:t>
            </w:r>
          </w:p>
        </w:tc>
        <w:tc>
          <w:tcPr>
            <w:tcW w:w="585" w:type="dxa"/>
            <w:vAlign w:val="center"/>
          </w:tcPr>
          <w:p w14:paraId="7407F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2E6CB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26640</w:t>
            </w:r>
          </w:p>
        </w:tc>
      </w:tr>
      <w:tr w14:paraId="1FE8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4E66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38</w:t>
            </w:r>
          </w:p>
        </w:tc>
        <w:tc>
          <w:tcPr>
            <w:tcW w:w="915" w:type="dxa"/>
            <w:vAlign w:val="center"/>
          </w:tcPr>
          <w:p w14:paraId="27752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椅子（托班）</w:t>
            </w:r>
          </w:p>
        </w:tc>
        <w:tc>
          <w:tcPr>
            <w:tcW w:w="6075" w:type="dxa"/>
            <w:vAlign w:val="center"/>
          </w:tcPr>
          <w:p w14:paraId="0FFB086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1.规格：坐高25cm；2.椅面：采用厚度1.6cm橡胶木指接板；3.坐背板：采用厚度≥16mm的优质橡胶木指接板；4.椅架采用优质橡胶木，实心椅脚，规格≥25*50mm；5.脚档: 四横档加固，采用规格≥40*18 mm的优质橡胶木；6.生产工艺：表面光洁，无裂缝，无毛刺，无锐边，连接牢固.安全，边缘抛圆处理，外表面和内表面以及儿童手指可触及的隐蔽处，均不得有锐利的棱角.毛刺以及小五金部件露出的锐利尖锐。（托班）</w:t>
            </w:r>
          </w:p>
        </w:tc>
        <w:tc>
          <w:tcPr>
            <w:tcW w:w="780" w:type="dxa"/>
            <w:vAlign w:val="center"/>
          </w:tcPr>
          <w:p w14:paraId="79FBA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w:t>
            </w:r>
          </w:p>
        </w:tc>
        <w:tc>
          <w:tcPr>
            <w:tcW w:w="615" w:type="dxa"/>
            <w:vAlign w:val="center"/>
          </w:tcPr>
          <w:p w14:paraId="4BEAD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w:t>
            </w:r>
          </w:p>
        </w:tc>
        <w:tc>
          <w:tcPr>
            <w:tcW w:w="585" w:type="dxa"/>
            <w:vAlign w:val="center"/>
          </w:tcPr>
          <w:p w14:paraId="0210F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13836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w:t>
            </w:r>
          </w:p>
        </w:tc>
      </w:tr>
      <w:bookmarkEnd w:id="68"/>
      <w:tr w14:paraId="2A2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2F05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9" w:name="OLE_LINK28" w:colFirst="6" w:colLast="6"/>
            <w:r>
              <w:rPr>
                <w:rFonts w:hint="eastAsia" w:ascii="宋体" w:hAnsi="宋体" w:eastAsia="宋体" w:cs="宋体"/>
                <w:b/>
                <w:bCs/>
                <w:i w:val="0"/>
                <w:iCs w:val="0"/>
                <w:color w:val="auto"/>
                <w:kern w:val="0"/>
                <w:sz w:val="22"/>
                <w:szCs w:val="22"/>
                <w:u w:val="none"/>
                <w:lang w:val="en-US" w:eastAsia="zh-CN" w:bidi="ar"/>
              </w:rPr>
              <w:t>39</w:t>
            </w:r>
          </w:p>
        </w:tc>
        <w:tc>
          <w:tcPr>
            <w:tcW w:w="915" w:type="dxa"/>
            <w:vAlign w:val="center"/>
          </w:tcPr>
          <w:p w14:paraId="21DAC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橡木图书柜</w:t>
            </w:r>
          </w:p>
        </w:tc>
        <w:tc>
          <w:tcPr>
            <w:tcW w:w="6075" w:type="dxa"/>
            <w:vAlign w:val="center"/>
          </w:tcPr>
          <w:p w14:paraId="61EA0F6E">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1.规格：120*30*90cm；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1.6cm厚的优质橡胶木指接板。木纹清晰打磨光滑.无异味；外表面和内表面以及儿童手指可触及的隐蔽处，均不得有锐利的棱角.毛刺以及小五金部件露出的锐利尖锐，所有接触人体的边棱均应倒圆角；应无褪色掉色现象；不应有皱皮.发粘现象。</w:t>
            </w:r>
          </w:p>
        </w:tc>
        <w:tc>
          <w:tcPr>
            <w:tcW w:w="780" w:type="dxa"/>
            <w:vAlign w:val="center"/>
          </w:tcPr>
          <w:p w14:paraId="625D2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720</w:t>
            </w:r>
          </w:p>
        </w:tc>
        <w:tc>
          <w:tcPr>
            <w:tcW w:w="615" w:type="dxa"/>
            <w:vAlign w:val="center"/>
          </w:tcPr>
          <w:p w14:paraId="58D3B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w:t>
            </w:r>
          </w:p>
        </w:tc>
        <w:tc>
          <w:tcPr>
            <w:tcW w:w="585" w:type="dxa"/>
            <w:vAlign w:val="center"/>
          </w:tcPr>
          <w:p w14:paraId="633EC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4EB4F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3600</w:t>
            </w:r>
          </w:p>
        </w:tc>
      </w:tr>
      <w:tr w14:paraId="5EAA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A286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40</w:t>
            </w:r>
          </w:p>
        </w:tc>
        <w:tc>
          <w:tcPr>
            <w:tcW w:w="915" w:type="dxa"/>
            <w:vAlign w:val="center"/>
          </w:tcPr>
          <w:p w14:paraId="41A04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橡木教具柜</w:t>
            </w:r>
          </w:p>
        </w:tc>
        <w:tc>
          <w:tcPr>
            <w:tcW w:w="6075" w:type="dxa"/>
            <w:vAlign w:val="center"/>
          </w:tcPr>
          <w:p w14:paraId="1D5F541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橡木：长120*宽30*高80</w:t>
            </w:r>
          </w:p>
        </w:tc>
        <w:tc>
          <w:tcPr>
            <w:tcW w:w="780" w:type="dxa"/>
            <w:vAlign w:val="center"/>
          </w:tcPr>
          <w:p w14:paraId="28FB5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650</w:t>
            </w:r>
          </w:p>
        </w:tc>
        <w:tc>
          <w:tcPr>
            <w:tcW w:w="615" w:type="dxa"/>
            <w:vAlign w:val="center"/>
          </w:tcPr>
          <w:p w14:paraId="6E10D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w:t>
            </w:r>
          </w:p>
        </w:tc>
        <w:tc>
          <w:tcPr>
            <w:tcW w:w="585" w:type="dxa"/>
            <w:vAlign w:val="center"/>
          </w:tcPr>
          <w:p w14:paraId="3B5A7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21684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19500</w:t>
            </w:r>
          </w:p>
        </w:tc>
      </w:tr>
      <w:tr w14:paraId="22A4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E314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41</w:t>
            </w:r>
          </w:p>
        </w:tc>
        <w:tc>
          <w:tcPr>
            <w:tcW w:w="915" w:type="dxa"/>
            <w:vAlign w:val="center"/>
          </w:tcPr>
          <w:p w14:paraId="0FF1C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美工工作台</w:t>
            </w:r>
          </w:p>
        </w:tc>
        <w:tc>
          <w:tcPr>
            <w:tcW w:w="6075" w:type="dxa"/>
            <w:vAlign w:val="center"/>
          </w:tcPr>
          <w:p w14:paraId="5048810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1.尺寸：240*120*52cm；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2.主体材料：橡胶木。</w:t>
            </w:r>
          </w:p>
        </w:tc>
        <w:tc>
          <w:tcPr>
            <w:tcW w:w="780" w:type="dxa"/>
            <w:vAlign w:val="center"/>
          </w:tcPr>
          <w:p w14:paraId="3EEFE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6500</w:t>
            </w:r>
          </w:p>
        </w:tc>
        <w:tc>
          <w:tcPr>
            <w:tcW w:w="615" w:type="dxa"/>
            <w:vAlign w:val="center"/>
          </w:tcPr>
          <w:p w14:paraId="391DC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w:t>
            </w:r>
          </w:p>
        </w:tc>
        <w:tc>
          <w:tcPr>
            <w:tcW w:w="585" w:type="dxa"/>
            <w:vAlign w:val="center"/>
          </w:tcPr>
          <w:p w14:paraId="7A080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4FC92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45500</w:t>
            </w:r>
          </w:p>
        </w:tc>
      </w:tr>
      <w:tr w14:paraId="0D7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F94C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42</w:t>
            </w:r>
          </w:p>
        </w:tc>
        <w:tc>
          <w:tcPr>
            <w:tcW w:w="915" w:type="dxa"/>
            <w:vAlign w:val="center"/>
          </w:tcPr>
          <w:p w14:paraId="1DBEF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碳化攀爬架</w:t>
            </w:r>
          </w:p>
        </w:tc>
        <w:tc>
          <w:tcPr>
            <w:tcW w:w="6075" w:type="dxa"/>
            <w:vAlign w:val="center"/>
          </w:tcPr>
          <w:p w14:paraId="1C8BAC3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1.材质：采用樟子松经碳化制作，油漆采用环保油漆型聚脂漆，正面涂层平整光滑，光泽柔和，亚光工艺；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2.产品的外表面和内表面以及儿童手指可触及的隐蔽处，均无锐利的棱角.毛刺以及小五金部件露出的锐利尖锐, 所有接触人体的边棱均倒圆角；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3.规格：16件/套，大架子120x75x50cm（2个），中架子100x75x50cm（2个），小架子80x75x50cm（2个），梯180x35cm（6条），桥板180x17cm（4条）。</w:t>
            </w:r>
          </w:p>
        </w:tc>
        <w:tc>
          <w:tcPr>
            <w:tcW w:w="780" w:type="dxa"/>
            <w:vAlign w:val="center"/>
          </w:tcPr>
          <w:p w14:paraId="2D8A8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13500</w:t>
            </w:r>
          </w:p>
        </w:tc>
        <w:tc>
          <w:tcPr>
            <w:tcW w:w="615" w:type="dxa"/>
            <w:vAlign w:val="center"/>
          </w:tcPr>
          <w:p w14:paraId="233CC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w:t>
            </w:r>
          </w:p>
        </w:tc>
        <w:tc>
          <w:tcPr>
            <w:tcW w:w="585" w:type="dxa"/>
            <w:vAlign w:val="center"/>
          </w:tcPr>
          <w:p w14:paraId="46FCF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466CE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27000</w:t>
            </w:r>
          </w:p>
        </w:tc>
      </w:tr>
      <w:tr w14:paraId="7343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6D38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43</w:t>
            </w:r>
          </w:p>
        </w:tc>
        <w:tc>
          <w:tcPr>
            <w:tcW w:w="915" w:type="dxa"/>
            <w:vAlign w:val="center"/>
          </w:tcPr>
          <w:p w14:paraId="2F2A2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透明画板</w:t>
            </w:r>
          </w:p>
        </w:tc>
        <w:tc>
          <w:tcPr>
            <w:tcW w:w="6075" w:type="dxa"/>
            <w:vAlign w:val="center"/>
          </w:tcPr>
          <w:p w14:paraId="3317254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1.尺寸：166.2*68*133.5cm；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2.产品材质：俄罗斯夹板，枫木纹板；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3.其他：可移动。</w:t>
            </w:r>
          </w:p>
        </w:tc>
        <w:tc>
          <w:tcPr>
            <w:tcW w:w="780" w:type="dxa"/>
            <w:vAlign w:val="center"/>
          </w:tcPr>
          <w:p w14:paraId="79862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5700</w:t>
            </w:r>
          </w:p>
        </w:tc>
        <w:tc>
          <w:tcPr>
            <w:tcW w:w="615" w:type="dxa"/>
            <w:vAlign w:val="center"/>
          </w:tcPr>
          <w:p w14:paraId="6FD46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w:t>
            </w:r>
          </w:p>
        </w:tc>
        <w:tc>
          <w:tcPr>
            <w:tcW w:w="585" w:type="dxa"/>
            <w:vAlign w:val="center"/>
          </w:tcPr>
          <w:p w14:paraId="2A57C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921F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28500</w:t>
            </w:r>
          </w:p>
        </w:tc>
      </w:tr>
      <w:tr w14:paraId="6D84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B61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44</w:t>
            </w:r>
          </w:p>
        </w:tc>
        <w:tc>
          <w:tcPr>
            <w:tcW w:w="915" w:type="dxa"/>
            <w:vAlign w:val="center"/>
          </w:tcPr>
          <w:p w14:paraId="4B8F7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 xml:space="preserve">幼儿园户外打孔碳化拼插积木大型 </w:t>
            </w:r>
          </w:p>
        </w:tc>
        <w:tc>
          <w:tcPr>
            <w:tcW w:w="6075" w:type="dxa"/>
            <w:vAlign w:val="center"/>
          </w:tcPr>
          <w:p w14:paraId="352DF70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幼儿园万能的工匠益智玩具套装户外攀爬架大型积木组合万能工匠90件</w:t>
            </w:r>
          </w:p>
        </w:tc>
        <w:tc>
          <w:tcPr>
            <w:tcW w:w="780" w:type="dxa"/>
            <w:vAlign w:val="center"/>
          </w:tcPr>
          <w:p w14:paraId="1A640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w:t>
            </w:r>
          </w:p>
        </w:tc>
        <w:tc>
          <w:tcPr>
            <w:tcW w:w="615" w:type="dxa"/>
            <w:vAlign w:val="center"/>
          </w:tcPr>
          <w:p w14:paraId="05874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w:t>
            </w:r>
          </w:p>
        </w:tc>
        <w:tc>
          <w:tcPr>
            <w:tcW w:w="585" w:type="dxa"/>
            <w:vAlign w:val="center"/>
          </w:tcPr>
          <w:p w14:paraId="6E935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07B8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5000</w:t>
            </w:r>
          </w:p>
        </w:tc>
      </w:tr>
      <w:tr w14:paraId="2226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424D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45</w:t>
            </w:r>
          </w:p>
        </w:tc>
        <w:tc>
          <w:tcPr>
            <w:tcW w:w="915" w:type="dxa"/>
            <w:vAlign w:val="center"/>
          </w:tcPr>
          <w:p w14:paraId="09AE1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碳化积木</w:t>
            </w:r>
          </w:p>
        </w:tc>
        <w:tc>
          <w:tcPr>
            <w:tcW w:w="6075" w:type="dxa"/>
            <w:vAlign w:val="center"/>
          </w:tcPr>
          <w:p w14:paraId="61E2A57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材质：新西兰松木碳化清漆，防腐防虫处理，木油浸泡，表面UV封固，聚丙烯航空绳。产品本身经机械、人工精心打磨抛光，无结疤无飞边毛刺，凸显木材纹理，手感光滑细腻。产品特点：设计科学，趣味性强。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规格：573件/套。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木片1：10*10*2.5cm（20件）；2.木片2：20*10*2.5cm（20件）；3.木片3：40*10*2.5cm（20件）；4.木片4：60*10*2.5cm（10件）；5.木片5：80*10*2.5cm（10件）；6.木片6：100*10*2.5cm（10件）；7.木片7：120*10*2.5cm（10件）；8.木砖1：10*10*5cm（20件）；9.木砖2：20*10*5cm（20件）；10.木砖3：40*10*5cm（20件）；11.正方体：40*10*10cm（20件）；12.长方体1：20*10*10cm（20件）；13.长方体2：30*10*10cm（20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长方体3：40*10*10cm（20件）；15.三角形1：10*10*10cm（切成三角形）（20件）；16.三角形2：20*20*10cm（切成三角形）（20件）；17.圆柱形1：直径10cm，高10cm（20件）；18.圆柱形2：直径10cm，高20cm（20件）；19.圆柱形3：直径10cm，高30cm（10件）；20.圆柱形4：直径10cm，高40cm（10件）；21.圆锥：直径10cm，高20cm（10件）；22.圆形1：直径20cm，厚度2.5cm（10件）；23.圆形2：直径20cm，厚度5cm（10件）；24.半圆形1：半径10cm，厚度2.5cm（10件）；25.半圆形2：半径10cm，厚度5cm（10件）；26.连接杆1：6cm（60件）27.连接杆2：11cm（30件）28.连接杆3:16cm（30件）29.连接杆4:21cm（20件）30.连接杆5:26cm（20件）31.连接杆6:31cm（20件）32.手推车：60*40*10cm，扶手高度：60cm（1件）；33.箱式拉车：50*35*15cm（进口新西兰松）（1件）；34.平板拉车：65*45*10cm（进口新西兰松）（1件）。</w:t>
            </w:r>
          </w:p>
        </w:tc>
        <w:tc>
          <w:tcPr>
            <w:tcW w:w="780" w:type="dxa"/>
            <w:vAlign w:val="center"/>
          </w:tcPr>
          <w:p w14:paraId="2667D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12200</w:t>
            </w:r>
          </w:p>
        </w:tc>
        <w:tc>
          <w:tcPr>
            <w:tcW w:w="615" w:type="dxa"/>
            <w:vAlign w:val="center"/>
          </w:tcPr>
          <w:p w14:paraId="4A152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w:t>
            </w:r>
          </w:p>
        </w:tc>
        <w:tc>
          <w:tcPr>
            <w:tcW w:w="585" w:type="dxa"/>
            <w:vAlign w:val="center"/>
          </w:tcPr>
          <w:p w14:paraId="1E258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5D268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85400</w:t>
            </w:r>
          </w:p>
        </w:tc>
      </w:tr>
      <w:bookmarkEnd w:id="69"/>
      <w:tr w14:paraId="7DB1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6A64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70" w:name="OLE_LINK29" w:colFirst="6" w:colLast="6"/>
            <w:r>
              <w:rPr>
                <w:rFonts w:hint="eastAsia" w:ascii="宋体" w:hAnsi="宋体" w:eastAsia="宋体" w:cs="宋体"/>
                <w:b/>
                <w:bCs/>
                <w:i w:val="0"/>
                <w:iCs w:val="0"/>
                <w:color w:val="auto"/>
                <w:kern w:val="0"/>
                <w:sz w:val="22"/>
                <w:szCs w:val="22"/>
                <w:u w:val="none"/>
                <w:lang w:val="en-US" w:eastAsia="zh-CN" w:bidi="ar"/>
              </w:rPr>
              <w:t>46</w:t>
            </w:r>
          </w:p>
        </w:tc>
        <w:tc>
          <w:tcPr>
            <w:tcW w:w="915" w:type="dxa"/>
            <w:vAlign w:val="center"/>
          </w:tcPr>
          <w:p w14:paraId="49596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益智游戏区教玩具（小班、中班、大班</w:t>
            </w:r>
            <w:r>
              <w:rPr>
                <w:rFonts w:hint="eastAsia" w:ascii="宋体" w:hAnsi="宋体" w:eastAsia="宋体" w:cs="宋体"/>
                <w:i w:val="0"/>
                <w:iCs w:val="0"/>
                <w:color w:val="auto"/>
                <w:kern w:val="0"/>
                <w:sz w:val="22"/>
                <w:szCs w:val="22"/>
                <w:u w:val="none"/>
                <w:lang w:val="en-US" w:eastAsia="zh-CN" w:bidi="ar"/>
              </w:rPr>
              <w:t>）</w:t>
            </w:r>
          </w:p>
        </w:tc>
        <w:tc>
          <w:tcPr>
            <w:tcW w:w="6075" w:type="dxa"/>
            <w:vAlign w:val="center"/>
          </w:tcPr>
          <w:p w14:paraId="6F8F630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小班：包含：1.积木宝宝排排队.2.生日聚会.3.动物擂台赛.4.找朋友.5.对对碰游戏.6.数字找家.7.拼图数一数.8.彩色气球.9.请你来分类.10.创意拼图.11.骨牌接龙.12.数果果.13.长尾巴火车.14.数棒比一比.15.礼物一样多.16.衣服排一排，共16个种类的活动器材，总件数714件；中班：包含：1.找找在哪里.2.形状大比拼.3.积木小城.4.点数乐园.5.动物金字塔.6.彩色圆柱.7.形状棋.8.认识时间.9.找位置.10.串珠数数.11.花朵变变变.12.数蘑菇.13.找宝宝.14.蛇形棋.15.点数多米诺.16.几何拼图，共16个种类的活动器材，总件数926件；大班：包含1.饼干排序.2.羊羊保卫战.3.绕桩游戏.4.算珠乐.5.寻宝记.6.虾兵蟹将.7.捕鱼大赛.8.加减板.9.彩立方.10.士兵突围.11.时间找朋友.12.宝贝购.13.数字板.14.帽子棋.15.分分乐.16.自然测量，共16个种类的活动器材。</w:t>
            </w:r>
          </w:p>
        </w:tc>
        <w:tc>
          <w:tcPr>
            <w:tcW w:w="780" w:type="dxa"/>
            <w:vAlign w:val="center"/>
          </w:tcPr>
          <w:p w14:paraId="23563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4200</w:t>
            </w:r>
          </w:p>
        </w:tc>
        <w:tc>
          <w:tcPr>
            <w:tcW w:w="615" w:type="dxa"/>
            <w:vAlign w:val="center"/>
          </w:tcPr>
          <w:p w14:paraId="4D292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26</w:t>
            </w:r>
          </w:p>
        </w:tc>
        <w:tc>
          <w:tcPr>
            <w:tcW w:w="585" w:type="dxa"/>
            <w:vAlign w:val="center"/>
          </w:tcPr>
          <w:p w14:paraId="78294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1C16D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109200</w:t>
            </w:r>
          </w:p>
        </w:tc>
      </w:tr>
      <w:tr w14:paraId="17CE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7B1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47</w:t>
            </w:r>
          </w:p>
        </w:tc>
        <w:tc>
          <w:tcPr>
            <w:tcW w:w="915" w:type="dxa"/>
            <w:vAlign w:val="center"/>
          </w:tcPr>
          <w:p w14:paraId="1E545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书包柜</w:t>
            </w:r>
          </w:p>
        </w:tc>
        <w:tc>
          <w:tcPr>
            <w:tcW w:w="6075" w:type="dxa"/>
            <w:vAlign w:val="center"/>
          </w:tcPr>
          <w:p w14:paraId="5ACA084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1.规格：120*30*90cm；（一个柜子可放12个书包）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1.6cm厚的优质橡胶木指接板。木纹清晰打磨光滑.无异味；外表面和内表面以及儿童手指可触及的隐蔽处，均不得有锐利的棱角.毛刺以及小五金部件露出的锐利尖锐，所有接触人体的边棱均应倒圆角；应无褪色掉色现象；不应有皱皮.发粘现象。</w:t>
            </w:r>
          </w:p>
        </w:tc>
        <w:tc>
          <w:tcPr>
            <w:tcW w:w="780" w:type="dxa"/>
            <w:vAlign w:val="center"/>
          </w:tcPr>
          <w:p w14:paraId="11009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w:t>
            </w:r>
          </w:p>
        </w:tc>
        <w:tc>
          <w:tcPr>
            <w:tcW w:w="615" w:type="dxa"/>
            <w:vAlign w:val="center"/>
          </w:tcPr>
          <w:p w14:paraId="624AD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27</w:t>
            </w:r>
          </w:p>
        </w:tc>
        <w:tc>
          <w:tcPr>
            <w:tcW w:w="585" w:type="dxa"/>
            <w:vAlign w:val="center"/>
          </w:tcPr>
          <w:p w14:paraId="3F447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7CD10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24300</w:t>
            </w:r>
          </w:p>
        </w:tc>
      </w:tr>
      <w:tr w14:paraId="1448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90AB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48</w:t>
            </w:r>
          </w:p>
        </w:tc>
        <w:tc>
          <w:tcPr>
            <w:tcW w:w="915" w:type="dxa"/>
            <w:vAlign w:val="center"/>
          </w:tcPr>
          <w:p w14:paraId="604EC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平衡三轮车</w:t>
            </w:r>
          </w:p>
        </w:tc>
        <w:tc>
          <w:tcPr>
            <w:tcW w:w="6075" w:type="dxa"/>
            <w:vAlign w:val="center"/>
          </w:tcPr>
          <w:p w14:paraId="5285F95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1.材质：金属烤漆车架，实心橡胶轮胎；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2.规格：87*55*70cm；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3.功能：有效培养孩子的平衡协调能力。</w:t>
            </w:r>
          </w:p>
        </w:tc>
        <w:tc>
          <w:tcPr>
            <w:tcW w:w="780" w:type="dxa"/>
            <w:vAlign w:val="center"/>
          </w:tcPr>
          <w:p w14:paraId="0C893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w:t>
            </w:r>
          </w:p>
        </w:tc>
        <w:tc>
          <w:tcPr>
            <w:tcW w:w="615" w:type="dxa"/>
            <w:vAlign w:val="center"/>
          </w:tcPr>
          <w:p w14:paraId="40B80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w:t>
            </w:r>
          </w:p>
        </w:tc>
        <w:tc>
          <w:tcPr>
            <w:tcW w:w="585" w:type="dxa"/>
            <w:vAlign w:val="center"/>
          </w:tcPr>
          <w:p w14:paraId="6E16D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辆</w:t>
            </w:r>
          </w:p>
        </w:tc>
        <w:tc>
          <w:tcPr>
            <w:tcW w:w="885" w:type="dxa"/>
            <w:vAlign w:val="center"/>
          </w:tcPr>
          <w:p w14:paraId="43B0E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w:t>
            </w:r>
          </w:p>
        </w:tc>
      </w:tr>
      <w:bookmarkEnd w:id="70"/>
      <w:tr w14:paraId="5B66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1684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71" w:name="OLE_LINK30" w:colFirst="6" w:colLast="6"/>
            <w:r>
              <w:rPr>
                <w:rFonts w:hint="eastAsia" w:ascii="宋体" w:hAnsi="宋体" w:eastAsia="宋体" w:cs="宋体"/>
                <w:b/>
                <w:bCs/>
                <w:i w:val="0"/>
                <w:iCs w:val="0"/>
                <w:color w:val="auto"/>
                <w:kern w:val="0"/>
                <w:sz w:val="22"/>
                <w:szCs w:val="22"/>
                <w:u w:val="none"/>
                <w:lang w:val="en-US" w:eastAsia="zh-CN" w:bidi="ar"/>
              </w:rPr>
              <w:t>49</w:t>
            </w:r>
          </w:p>
        </w:tc>
        <w:tc>
          <w:tcPr>
            <w:tcW w:w="915" w:type="dxa"/>
            <w:vAlign w:val="center"/>
          </w:tcPr>
          <w:p w14:paraId="0DC1C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定制滑滑梯攀爬组合</w:t>
            </w:r>
          </w:p>
        </w:tc>
        <w:tc>
          <w:tcPr>
            <w:tcW w:w="6075" w:type="dxa"/>
            <w:vAlign w:val="center"/>
          </w:tcPr>
          <w:p w14:paraId="27921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户外大型儿童滑梯爬网组合游乐设备公园健身器攀爬玩具设施型号产品型号CL188-2</w:t>
            </w:r>
          </w:p>
        </w:tc>
        <w:tc>
          <w:tcPr>
            <w:tcW w:w="780" w:type="dxa"/>
            <w:vAlign w:val="center"/>
          </w:tcPr>
          <w:p w14:paraId="6914A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28000</w:t>
            </w:r>
          </w:p>
        </w:tc>
        <w:tc>
          <w:tcPr>
            <w:tcW w:w="615" w:type="dxa"/>
            <w:vAlign w:val="center"/>
          </w:tcPr>
          <w:p w14:paraId="4A749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BA36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17E6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28000</w:t>
            </w:r>
          </w:p>
        </w:tc>
      </w:tr>
      <w:tr w14:paraId="731B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ADB5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50</w:t>
            </w:r>
          </w:p>
        </w:tc>
        <w:tc>
          <w:tcPr>
            <w:tcW w:w="915" w:type="dxa"/>
            <w:vAlign w:val="center"/>
          </w:tcPr>
          <w:p w14:paraId="1233B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组合滑梯（1）</w:t>
            </w:r>
          </w:p>
        </w:tc>
        <w:tc>
          <w:tcPr>
            <w:tcW w:w="6075" w:type="dxa"/>
            <w:vAlign w:val="center"/>
          </w:tcPr>
          <w:p w14:paraId="3826304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一、整体规格：800*650*420cm；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二、产品功能：具有钻、攀、爬、滑、荡、平协调等功能；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三、材质要求：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1.立柱：采用中114mm、壁厚2.0mm镀锌管(符合GB/T700-1988要求)；悍接采用氟弧焊及CO2气体保护焊(符合GB/T8810-1995要求)整体加工成型后经喷砂处理，表面喷涂户外环保聚醋喷沫涂料，抗紫外线，色泽艳丽，不易脱落；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2.平台：采用110mm*1100mm规格、厚度20mm冲孔成型冷轧板(符合GB/T 700-1988要求)；焊接采用氲弧焊及CO2气体保护焊(符合GB/T8810-1995要求)。整体加工成型后经除油、碳化、抛光处理，表面喷涂户外环保聚醋黑色喷末涂料，防滑、抗紫外线、色泽亮丽、不易老化、防滑安全性能高；螺丝采用不锈钢304#材质(符合GB/T1221-1992精度标准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3.钢管附件：镀锌钢管外径48壁厚≥2.0mm、32壁厚≥2.0mm、60壁厚≥2.0mm；表面处理：喷砂后全部采用保护悍，机械抛光，室外聚醋系喷塑，高温加热后，手感柔软，不褪色，色彩鲜艳；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4.安全连接扣件：采用铝合金制作，外表圆形，造型美观，安全牢固，不生绣，经久耐用；表面处理:机械抛光，室外聚醋系喷塑，高温加热后，手感柔软，不褪色，色彩鲜艳；所有钢管构建均应满足国家标准；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5.立柱脚盘：直接固定在立柱底部，外表圆形，造型美观，安全牢固，经久耐用；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6.五金螺丝：不锈钢204材质T型平头螺丝，无棱角，轻巧美观；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7.塑料件：采用低密度聚烯树脂(LLDPE)，无毒无味，高级料粉，大型焉反转流水线滚塑机一次性成型；韧性好，高强度，造型美观，抗老化，抗静电，表面光滑，不褪色，经久耐用；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8.网通配件：海缆绳直径14MM，配ABS工程塑料圆形扣，内六角不生绣钢螺丝；接触面之材料及结合角铁均经导圆角处理，五金零件为圆处理，具防任意调整功能，以维护使用都及设施结构。                                                               </w:t>
            </w:r>
          </w:p>
        </w:tc>
        <w:tc>
          <w:tcPr>
            <w:tcW w:w="780" w:type="dxa"/>
            <w:vAlign w:val="center"/>
          </w:tcPr>
          <w:p w14:paraId="4580D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66500</w:t>
            </w:r>
          </w:p>
        </w:tc>
        <w:tc>
          <w:tcPr>
            <w:tcW w:w="615" w:type="dxa"/>
            <w:vAlign w:val="center"/>
          </w:tcPr>
          <w:p w14:paraId="2348F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A2E3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3368E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66500</w:t>
            </w:r>
          </w:p>
        </w:tc>
      </w:tr>
      <w:bookmarkEnd w:id="71"/>
      <w:tr w14:paraId="7A9C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EEFD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72" w:name="OLE_LINK31" w:colFirst="6" w:colLast="6"/>
            <w:r>
              <w:rPr>
                <w:rFonts w:hint="eastAsia" w:ascii="宋体" w:hAnsi="宋体" w:eastAsia="宋体" w:cs="宋体"/>
                <w:b/>
                <w:bCs/>
                <w:i w:val="0"/>
                <w:iCs w:val="0"/>
                <w:color w:val="auto"/>
                <w:kern w:val="0"/>
                <w:sz w:val="22"/>
                <w:szCs w:val="22"/>
                <w:u w:val="none"/>
                <w:lang w:val="en-US" w:eastAsia="zh-CN" w:bidi="ar"/>
              </w:rPr>
              <w:t>51</w:t>
            </w:r>
          </w:p>
        </w:tc>
        <w:tc>
          <w:tcPr>
            <w:tcW w:w="915" w:type="dxa"/>
            <w:vAlign w:val="center"/>
          </w:tcPr>
          <w:p w14:paraId="559BF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组合滑梯（2）</w:t>
            </w:r>
          </w:p>
        </w:tc>
        <w:tc>
          <w:tcPr>
            <w:tcW w:w="6075" w:type="dxa"/>
            <w:vAlign w:val="center"/>
          </w:tcPr>
          <w:p w14:paraId="350D424E">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户外大型加厚塑料组合滑梯 幼儿园室外小博士组合滑滑梯游乐设备 091 长600*宽460*高360</w:t>
            </w:r>
          </w:p>
        </w:tc>
        <w:tc>
          <w:tcPr>
            <w:tcW w:w="780" w:type="dxa"/>
            <w:vAlign w:val="center"/>
          </w:tcPr>
          <w:p w14:paraId="6C75B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19000</w:t>
            </w:r>
          </w:p>
        </w:tc>
        <w:tc>
          <w:tcPr>
            <w:tcW w:w="615" w:type="dxa"/>
            <w:vAlign w:val="center"/>
          </w:tcPr>
          <w:p w14:paraId="293C0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48DC6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6D6F8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19000</w:t>
            </w:r>
          </w:p>
        </w:tc>
      </w:tr>
      <w:tr w14:paraId="002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5851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52</w:t>
            </w:r>
          </w:p>
        </w:tc>
        <w:tc>
          <w:tcPr>
            <w:tcW w:w="915" w:type="dxa"/>
            <w:vAlign w:val="center"/>
          </w:tcPr>
          <w:p w14:paraId="5E2B0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玩具柜</w:t>
            </w:r>
          </w:p>
        </w:tc>
        <w:tc>
          <w:tcPr>
            <w:tcW w:w="6075" w:type="dxa"/>
            <w:vAlign w:val="center"/>
          </w:tcPr>
          <w:p w14:paraId="1581808F">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1.规格：120*30*80cm，共8格（带背板）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1.6cm厚的橡胶木指接板。木纹清晰打磨光滑.无异味；外表面和内表面以及儿童手指可触及的隐蔽处，均不得有锐利的棱角.毛刺以及小五金部件露出的锐利尖锐，所有接触人体的边棱均应倒圆角；应无褪色掉色现象；不应有皱皮.发粘现象。</w:t>
            </w:r>
          </w:p>
        </w:tc>
        <w:tc>
          <w:tcPr>
            <w:tcW w:w="780" w:type="dxa"/>
            <w:vAlign w:val="center"/>
          </w:tcPr>
          <w:p w14:paraId="4E15F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850</w:t>
            </w:r>
          </w:p>
        </w:tc>
        <w:tc>
          <w:tcPr>
            <w:tcW w:w="615" w:type="dxa"/>
            <w:vAlign w:val="center"/>
          </w:tcPr>
          <w:p w14:paraId="00A15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17</w:t>
            </w:r>
          </w:p>
        </w:tc>
        <w:tc>
          <w:tcPr>
            <w:tcW w:w="585" w:type="dxa"/>
            <w:vAlign w:val="center"/>
          </w:tcPr>
          <w:p w14:paraId="2DFF1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24336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14450</w:t>
            </w:r>
          </w:p>
        </w:tc>
      </w:tr>
      <w:bookmarkEnd w:id="72"/>
      <w:tr w14:paraId="42E0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9048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53</w:t>
            </w:r>
          </w:p>
        </w:tc>
        <w:tc>
          <w:tcPr>
            <w:tcW w:w="915" w:type="dxa"/>
            <w:vAlign w:val="center"/>
          </w:tcPr>
          <w:p w14:paraId="2D4F8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军体能训练组合</w:t>
            </w:r>
          </w:p>
        </w:tc>
        <w:tc>
          <w:tcPr>
            <w:tcW w:w="6075" w:type="dxa"/>
            <w:vAlign w:val="center"/>
          </w:tcPr>
          <w:p w14:paraId="0B25CFFF">
            <w:pPr>
              <w:keepNext w:val="0"/>
              <w:keepLines w:val="0"/>
              <w:widowControl/>
              <w:suppressLineNumbers w:val="0"/>
              <w:spacing w:before="0" w:beforeAutospacing="0" w:after="22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五折垫1个：300*120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多功能堆叠垫6块：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底层120*60*20cm一块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中间层60*60*20cm二块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顶层40*60*20cm三块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梯形软包木箱1个：木质框架＋软包 参数：120*80/30*80cm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小号山羊1个：山羊头长40CM宽20CM高20CM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四级彩色跳箱：整体长60高60上款25下宽50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跑酷架：150*80*90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四合一跳箱：:130*75*65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骑马柱：120*30*30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八角跳箱：70*50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三步梯：60*60*60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跳马三档：75*40*20*50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徐坡：150*75*40（可折叠）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S平衡木：240*30*30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平衡木：200*30*20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三角蹬2个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彩虹款匍匐前进2个：210*108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爬行架：180*50*50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蹦床：高22cm,总直径100cm，弹跳直径72cm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单杠+保护垫：单杠180*160；高度130—170；保护垫：200*250*20  </w:t>
            </w:r>
            <w:r>
              <w:rPr>
                <w:rFonts w:hint="eastAsia" w:ascii="宋体" w:hAnsi="宋体" w:eastAsia="宋体" w:cs="宋体"/>
                <w:i w:val="0"/>
                <w:iCs w:val="0"/>
                <w:color w:val="auto"/>
                <w:kern w:val="0"/>
                <w:sz w:val="22"/>
                <w:szCs w:val="22"/>
                <w:u w:val="none"/>
                <w:lang w:val="en-US" w:eastAsia="zh-CN" w:bidi="ar"/>
              </w:rPr>
              <w:br w:type="textWrapping"/>
            </w:r>
          </w:p>
        </w:tc>
        <w:tc>
          <w:tcPr>
            <w:tcW w:w="780" w:type="dxa"/>
            <w:vAlign w:val="center"/>
          </w:tcPr>
          <w:p w14:paraId="61D10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8000</w:t>
            </w:r>
          </w:p>
        </w:tc>
        <w:tc>
          <w:tcPr>
            <w:tcW w:w="615" w:type="dxa"/>
            <w:vAlign w:val="center"/>
          </w:tcPr>
          <w:p w14:paraId="0B2B8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44A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6F816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73" w:name="OLE_LINK32"/>
            <w:r>
              <w:rPr>
                <w:rFonts w:hint="eastAsia" w:ascii="宋体" w:hAnsi="宋体" w:eastAsia="宋体" w:cs="宋体"/>
                <w:i w:val="0"/>
                <w:iCs w:val="0"/>
                <w:color w:val="auto"/>
                <w:kern w:val="0"/>
                <w:sz w:val="22"/>
                <w:szCs w:val="22"/>
                <w:u w:val="none"/>
                <w:lang w:val="en-US" w:eastAsia="zh-CN" w:bidi="ar"/>
              </w:rPr>
              <w:t>8000</w:t>
            </w:r>
            <w:bookmarkEnd w:id="73"/>
          </w:p>
        </w:tc>
      </w:tr>
      <w:tr w14:paraId="0CCA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7CAE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74" w:name="OLE_LINK33" w:colFirst="6" w:colLast="6"/>
            <w:r>
              <w:rPr>
                <w:rFonts w:hint="eastAsia" w:ascii="宋体" w:hAnsi="宋体" w:eastAsia="宋体" w:cs="宋体"/>
                <w:b/>
                <w:bCs/>
                <w:i w:val="0"/>
                <w:iCs w:val="0"/>
                <w:color w:val="auto"/>
                <w:kern w:val="0"/>
                <w:sz w:val="22"/>
                <w:szCs w:val="22"/>
                <w:u w:val="none"/>
                <w:lang w:val="en-US" w:eastAsia="zh-CN" w:bidi="ar"/>
              </w:rPr>
              <w:t>54</w:t>
            </w:r>
          </w:p>
        </w:tc>
        <w:tc>
          <w:tcPr>
            <w:tcW w:w="915" w:type="dxa"/>
            <w:vAlign w:val="center"/>
          </w:tcPr>
          <w:p w14:paraId="44E9B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滚筒玩具</w:t>
            </w:r>
          </w:p>
        </w:tc>
        <w:tc>
          <w:tcPr>
            <w:tcW w:w="6075" w:type="dxa"/>
            <w:vAlign w:val="center"/>
          </w:tcPr>
          <w:p w14:paraId="544BB35D">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1.规格：63*90cm；56*75cm:50*75cm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2.材质：环保PVC，表面光滑，边缘经抛光处理，不会导致塑料硬化割到手的问题；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3.培养孩子做事的专注力。</w:t>
            </w:r>
          </w:p>
        </w:tc>
        <w:tc>
          <w:tcPr>
            <w:tcW w:w="780" w:type="dxa"/>
            <w:vAlign w:val="center"/>
          </w:tcPr>
          <w:p w14:paraId="13197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1100</w:t>
            </w:r>
          </w:p>
        </w:tc>
        <w:tc>
          <w:tcPr>
            <w:tcW w:w="615" w:type="dxa"/>
            <w:vAlign w:val="center"/>
          </w:tcPr>
          <w:p w14:paraId="78BE6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10</w:t>
            </w:r>
          </w:p>
        </w:tc>
        <w:tc>
          <w:tcPr>
            <w:tcW w:w="585" w:type="dxa"/>
            <w:vAlign w:val="center"/>
          </w:tcPr>
          <w:p w14:paraId="1CF8F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0CF45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11000</w:t>
            </w:r>
          </w:p>
        </w:tc>
      </w:tr>
      <w:tr w14:paraId="6C06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79CA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55</w:t>
            </w:r>
          </w:p>
        </w:tc>
        <w:tc>
          <w:tcPr>
            <w:tcW w:w="915" w:type="dxa"/>
            <w:vAlign w:val="center"/>
          </w:tcPr>
          <w:p w14:paraId="272AC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雨棚</w:t>
            </w:r>
          </w:p>
        </w:tc>
        <w:tc>
          <w:tcPr>
            <w:tcW w:w="6075" w:type="dxa"/>
            <w:vAlign w:val="center"/>
          </w:tcPr>
          <w:p w14:paraId="6FE3D1F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1.规格：6m*3m*2.5m；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2.材质：支架采用高强度镀锌钢管，雨篷布采用PVC防水布。</w:t>
            </w:r>
          </w:p>
        </w:tc>
        <w:tc>
          <w:tcPr>
            <w:tcW w:w="780" w:type="dxa"/>
            <w:vAlign w:val="center"/>
          </w:tcPr>
          <w:p w14:paraId="75A21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3600</w:t>
            </w:r>
          </w:p>
        </w:tc>
        <w:tc>
          <w:tcPr>
            <w:tcW w:w="615" w:type="dxa"/>
            <w:vAlign w:val="center"/>
          </w:tcPr>
          <w:p w14:paraId="1406C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w:t>
            </w:r>
          </w:p>
        </w:tc>
        <w:tc>
          <w:tcPr>
            <w:tcW w:w="585" w:type="dxa"/>
            <w:vAlign w:val="center"/>
          </w:tcPr>
          <w:p w14:paraId="323CD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4D8CC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14400</w:t>
            </w:r>
          </w:p>
        </w:tc>
      </w:tr>
      <w:tr w14:paraId="236F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9628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56</w:t>
            </w:r>
          </w:p>
        </w:tc>
        <w:tc>
          <w:tcPr>
            <w:tcW w:w="915" w:type="dxa"/>
            <w:vAlign w:val="center"/>
          </w:tcPr>
          <w:p w14:paraId="17F6E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感统平衡木</w:t>
            </w:r>
          </w:p>
        </w:tc>
        <w:tc>
          <w:tcPr>
            <w:tcW w:w="6075" w:type="dxa"/>
            <w:vAlign w:val="center"/>
          </w:tcPr>
          <w:p w14:paraId="4EA9790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平衡木半月圆 感统训练器材感统训练玩具幼儿园体育用品 一套半月圆8个</w:t>
            </w:r>
          </w:p>
        </w:tc>
        <w:tc>
          <w:tcPr>
            <w:tcW w:w="780" w:type="dxa"/>
            <w:vAlign w:val="center"/>
          </w:tcPr>
          <w:p w14:paraId="061E4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1280</w:t>
            </w:r>
          </w:p>
        </w:tc>
        <w:tc>
          <w:tcPr>
            <w:tcW w:w="615" w:type="dxa"/>
            <w:vAlign w:val="center"/>
          </w:tcPr>
          <w:p w14:paraId="1D931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5269A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415B2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3840</w:t>
            </w:r>
          </w:p>
        </w:tc>
      </w:tr>
      <w:tr w14:paraId="572A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A670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57</w:t>
            </w:r>
          </w:p>
        </w:tc>
        <w:tc>
          <w:tcPr>
            <w:tcW w:w="915" w:type="dxa"/>
            <w:vAlign w:val="center"/>
          </w:tcPr>
          <w:p w14:paraId="42F29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滚筒车</w:t>
            </w:r>
          </w:p>
        </w:tc>
        <w:tc>
          <w:tcPr>
            <w:tcW w:w="6075" w:type="dxa"/>
            <w:vAlign w:val="center"/>
          </w:tcPr>
          <w:p w14:paraId="0CF36FF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1.材质：采用工程塑料制作，颜色鲜艳，安全环保，经久耐用；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2.规格：五人组合，200*75*65cm。</w:t>
            </w:r>
          </w:p>
        </w:tc>
        <w:tc>
          <w:tcPr>
            <w:tcW w:w="780" w:type="dxa"/>
            <w:vAlign w:val="center"/>
          </w:tcPr>
          <w:p w14:paraId="7BD02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1250</w:t>
            </w:r>
          </w:p>
        </w:tc>
        <w:tc>
          <w:tcPr>
            <w:tcW w:w="615" w:type="dxa"/>
            <w:vAlign w:val="center"/>
          </w:tcPr>
          <w:p w14:paraId="47D82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w:t>
            </w:r>
          </w:p>
        </w:tc>
        <w:tc>
          <w:tcPr>
            <w:tcW w:w="585" w:type="dxa"/>
            <w:vAlign w:val="center"/>
          </w:tcPr>
          <w:p w14:paraId="60753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辆</w:t>
            </w:r>
          </w:p>
        </w:tc>
        <w:tc>
          <w:tcPr>
            <w:tcW w:w="885" w:type="dxa"/>
            <w:vAlign w:val="center"/>
          </w:tcPr>
          <w:p w14:paraId="439D0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5000</w:t>
            </w:r>
          </w:p>
        </w:tc>
      </w:tr>
      <w:tr w14:paraId="50D4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E72C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58</w:t>
            </w:r>
          </w:p>
        </w:tc>
        <w:tc>
          <w:tcPr>
            <w:tcW w:w="915" w:type="dxa"/>
            <w:vAlign w:val="center"/>
          </w:tcPr>
          <w:p w14:paraId="30C27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移动美劳车</w:t>
            </w:r>
          </w:p>
        </w:tc>
        <w:tc>
          <w:tcPr>
            <w:tcW w:w="6075" w:type="dxa"/>
            <w:vAlign w:val="center"/>
          </w:tcPr>
          <w:p w14:paraId="62C22D6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1.尺寸：95*35*120cm；2.产品材质：松木；3.其他：带轮可移动。</w:t>
            </w:r>
          </w:p>
        </w:tc>
        <w:tc>
          <w:tcPr>
            <w:tcW w:w="780" w:type="dxa"/>
            <w:vAlign w:val="center"/>
          </w:tcPr>
          <w:p w14:paraId="1CDEA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1400</w:t>
            </w:r>
          </w:p>
        </w:tc>
        <w:tc>
          <w:tcPr>
            <w:tcW w:w="615" w:type="dxa"/>
            <w:vAlign w:val="center"/>
          </w:tcPr>
          <w:p w14:paraId="678C3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396E4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辆</w:t>
            </w:r>
          </w:p>
        </w:tc>
        <w:tc>
          <w:tcPr>
            <w:tcW w:w="885" w:type="dxa"/>
            <w:vAlign w:val="center"/>
          </w:tcPr>
          <w:p w14:paraId="52F65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4200</w:t>
            </w:r>
          </w:p>
        </w:tc>
      </w:tr>
      <w:tr w14:paraId="7839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0795381">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b/>
                <w:bCs/>
                <w:color w:val="auto"/>
                <w:sz w:val="21"/>
                <w:szCs w:val="21"/>
                <w:highlight w:val="none"/>
                <w:vertAlign w:val="baseline"/>
                <w:lang w:val="en-US" w:eastAsia="zh-CN"/>
              </w:rPr>
            </w:pPr>
            <w:r>
              <w:rPr>
                <w:rFonts w:hint="eastAsia" w:ascii="宋体" w:hAnsi="宋体" w:cs="Times New Roman"/>
                <w:b/>
                <w:bCs/>
                <w:color w:val="auto"/>
                <w:sz w:val="21"/>
                <w:szCs w:val="21"/>
                <w:highlight w:val="none"/>
                <w:vertAlign w:val="baseline"/>
                <w:lang w:val="en-US" w:eastAsia="zh-CN"/>
              </w:rPr>
              <w:t>59</w:t>
            </w:r>
          </w:p>
        </w:tc>
        <w:tc>
          <w:tcPr>
            <w:tcW w:w="915" w:type="dxa"/>
            <w:vAlign w:val="center"/>
          </w:tcPr>
          <w:p w14:paraId="7120E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桌面玩具</w:t>
            </w:r>
          </w:p>
        </w:tc>
        <w:tc>
          <w:tcPr>
            <w:tcW w:w="6075" w:type="dxa"/>
            <w:vAlign w:val="center"/>
          </w:tcPr>
          <w:p w14:paraId="2A4DB1EF">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（塑料积木类）1.盒装中号雪花片2箱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2.梅花积木780粒1箱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3.水管道积木300件套2箱（收纳箱+图纸）。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4.聪明棒积木1箱。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5.火箭子弹2箱。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数字插块2箱。</w:t>
            </w:r>
          </w:p>
        </w:tc>
        <w:tc>
          <w:tcPr>
            <w:tcW w:w="780" w:type="dxa"/>
            <w:vAlign w:val="center"/>
          </w:tcPr>
          <w:p w14:paraId="0CCC0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w:t>
            </w:r>
          </w:p>
        </w:tc>
        <w:tc>
          <w:tcPr>
            <w:tcW w:w="615" w:type="dxa"/>
            <w:vAlign w:val="center"/>
          </w:tcPr>
          <w:p w14:paraId="62123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F0A7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28943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w:t>
            </w:r>
          </w:p>
        </w:tc>
      </w:tr>
      <w:bookmarkEnd w:id="74"/>
      <w:tr w14:paraId="2D5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6903C43">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b/>
                <w:bCs/>
                <w:color w:val="auto"/>
                <w:sz w:val="21"/>
                <w:szCs w:val="21"/>
                <w:highlight w:val="none"/>
                <w:vertAlign w:val="baseline"/>
                <w:lang w:val="en-US" w:eastAsia="zh-CN"/>
              </w:rPr>
            </w:pPr>
            <w:bookmarkStart w:id="75" w:name="OLE_LINK34" w:colFirst="6" w:colLast="6"/>
            <w:r>
              <w:rPr>
                <w:rFonts w:hint="eastAsia" w:ascii="宋体" w:hAnsi="宋体" w:cs="Times New Roman"/>
                <w:b/>
                <w:bCs/>
                <w:color w:val="auto"/>
                <w:sz w:val="21"/>
                <w:szCs w:val="21"/>
                <w:highlight w:val="none"/>
                <w:vertAlign w:val="baseline"/>
                <w:lang w:val="en-US" w:eastAsia="zh-CN"/>
              </w:rPr>
              <w:t>60</w:t>
            </w:r>
          </w:p>
        </w:tc>
        <w:tc>
          <w:tcPr>
            <w:tcW w:w="915" w:type="dxa"/>
            <w:vAlign w:val="center"/>
          </w:tcPr>
          <w:p w14:paraId="0AB2B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桌面玩具</w:t>
            </w:r>
          </w:p>
        </w:tc>
        <w:tc>
          <w:tcPr>
            <w:tcW w:w="6075" w:type="dxa"/>
            <w:vAlign w:val="center"/>
          </w:tcPr>
          <w:p w14:paraId="22D7888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（思维游戏 小中大班）14个操作盒+10盒操作学具+1盒区域游戏材料+14本游戏册+1本活动实施方案+1套绘本； （多元探索区域活动 幼小衔接区）15盒游戏+1包点读材料+1本活动实施方案、（多元探索区域活动 语言区小中大班）15盒游戏+1本活动实施方案+1包点读材料+绘本套装1袋+1本融合教育方案</w:t>
            </w:r>
          </w:p>
        </w:tc>
        <w:tc>
          <w:tcPr>
            <w:tcW w:w="780" w:type="dxa"/>
            <w:vAlign w:val="center"/>
          </w:tcPr>
          <w:p w14:paraId="2D002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5900</w:t>
            </w:r>
          </w:p>
        </w:tc>
        <w:tc>
          <w:tcPr>
            <w:tcW w:w="615" w:type="dxa"/>
            <w:vAlign w:val="center"/>
          </w:tcPr>
          <w:p w14:paraId="337E1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13</w:t>
            </w:r>
          </w:p>
        </w:tc>
        <w:tc>
          <w:tcPr>
            <w:tcW w:w="585" w:type="dxa"/>
            <w:vAlign w:val="center"/>
          </w:tcPr>
          <w:p w14:paraId="3BAA4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31FE1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76700</w:t>
            </w:r>
          </w:p>
        </w:tc>
      </w:tr>
      <w:tr w14:paraId="4BD2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2056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61</w:t>
            </w:r>
          </w:p>
        </w:tc>
        <w:tc>
          <w:tcPr>
            <w:tcW w:w="915" w:type="dxa"/>
            <w:vAlign w:val="center"/>
          </w:tcPr>
          <w:p w14:paraId="565A5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折叠展示架</w:t>
            </w:r>
          </w:p>
        </w:tc>
        <w:tc>
          <w:tcPr>
            <w:tcW w:w="6075" w:type="dxa"/>
            <w:vAlign w:val="center"/>
          </w:tcPr>
          <w:p w14:paraId="308E304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1.尺寸：150*60*200cm；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2.产品材质：实木；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3.其他：可移动，可折叠.红白折叠。</w:t>
            </w:r>
          </w:p>
        </w:tc>
        <w:tc>
          <w:tcPr>
            <w:tcW w:w="780" w:type="dxa"/>
            <w:vAlign w:val="center"/>
          </w:tcPr>
          <w:p w14:paraId="6B0D6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520</w:t>
            </w:r>
          </w:p>
        </w:tc>
        <w:tc>
          <w:tcPr>
            <w:tcW w:w="615" w:type="dxa"/>
            <w:vAlign w:val="center"/>
          </w:tcPr>
          <w:p w14:paraId="24067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w:t>
            </w:r>
          </w:p>
        </w:tc>
        <w:tc>
          <w:tcPr>
            <w:tcW w:w="585" w:type="dxa"/>
            <w:vAlign w:val="center"/>
          </w:tcPr>
          <w:p w14:paraId="53BB2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2B0A3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2600</w:t>
            </w:r>
          </w:p>
        </w:tc>
      </w:tr>
      <w:tr w14:paraId="177F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613D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62</w:t>
            </w:r>
          </w:p>
        </w:tc>
        <w:tc>
          <w:tcPr>
            <w:tcW w:w="915" w:type="dxa"/>
            <w:vAlign w:val="center"/>
          </w:tcPr>
          <w:p w14:paraId="5065F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药品柜</w:t>
            </w:r>
          </w:p>
        </w:tc>
        <w:tc>
          <w:tcPr>
            <w:tcW w:w="6075" w:type="dxa"/>
            <w:vAlign w:val="center"/>
          </w:tcPr>
          <w:p w14:paraId="43B5015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1.规格：1850*900*280/500mm；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2.柜体.隔板采用优质冷轧钢板制作；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3.金属件严格经过酸洗.磷化.喷涂工艺；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4.产品均采用优质冷轧板,耐压,强度大,抗冲击不易变形；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5.焊接部分采用高标准熔接焊,表面平整光滑。</w:t>
            </w:r>
          </w:p>
        </w:tc>
        <w:tc>
          <w:tcPr>
            <w:tcW w:w="780" w:type="dxa"/>
            <w:vAlign w:val="center"/>
          </w:tcPr>
          <w:p w14:paraId="7C496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960</w:t>
            </w:r>
          </w:p>
        </w:tc>
        <w:tc>
          <w:tcPr>
            <w:tcW w:w="615" w:type="dxa"/>
            <w:vAlign w:val="center"/>
          </w:tcPr>
          <w:p w14:paraId="12C78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662C4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5C160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960</w:t>
            </w:r>
          </w:p>
        </w:tc>
      </w:tr>
      <w:tr w14:paraId="6F4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1" w:type="dxa"/>
            <w:gridSpan w:val="7"/>
          </w:tcPr>
          <w:p w14:paraId="1F997A4F">
            <w:pPr>
              <w:pStyle w:val="33"/>
              <w:keepNext w:val="0"/>
              <w:keepLines w:val="0"/>
              <w:suppressLineNumbers w:val="0"/>
              <w:spacing w:before="0" w:beforeAutospacing="0" w:afterAutospacing="0"/>
              <w:ind w:right="0"/>
              <w:jc w:val="center"/>
              <w:rPr>
                <w:rFonts w:hint="eastAsia"/>
                <w:color w:val="auto"/>
              </w:rPr>
            </w:pPr>
            <w:r>
              <w:rPr>
                <w:rFonts w:hint="eastAsia"/>
                <w:b/>
                <w:bCs/>
                <w:color w:val="auto"/>
                <w:lang w:val="en-US" w:eastAsia="zh-CN"/>
              </w:rPr>
              <w:t>最高限价合计（元）：¥ 2290000.00</w:t>
            </w:r>
          </w:p>
        </w:tc>
      </w:tr>
      <w:tr w14:paraId="6E58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dxa"/>
          </w:tcPr>
          <w:p w14:paraId="55230C4D">
            <w:pPr>
              <w:pStyle w:val="33"/>
              <w:keepNext w:val="0"/>
              <w:keepLines w:val="0"/>
              <w:suppressLineNumbers w:val="0"/>
              <w:spacing w:before="0" w:beforeAutospacing="0" w:afterAutospacing="0"/>
              <w:ind w:right="0"/>
              <w:rPr>
                <w:rFonts w:hint="eastAsia"/>
                <w:color w:val="auto"/>
              </w:rPr>
            </w:pPr>
          </w:p>
          <w:p w14:paraId="28AC2AE7">
            <w:pPr>
              <w:keepNext w:val="0"/>
              <w:keepLines w:val="0"/>
              <w:suppressLineNumbers w:val="0"/>
              <w:bidi w:val="0"/>
              <w:spacing w:before="0" w:beforeAutospacing="0" w:after="0" w:afterAutospacing="0"/>
              <w:ind w:left="0" w:right="0"/>
              <w:jc w:val="left"/>
              <w:rPr>
                <w:rFonts w:hint="eastAsia"/>
                <w:color w:val="auto"/>
                <w:lang w:val="en-US" w:eastAsia="zh-CN"/>
              </w:rPr>
            </w:pPr>
          </w:p>
          <w:p w14:paraId="5DBA9B9A">
            <w:pPr>
              <w:keepNext w:val="0"/>
              <w:keepLines w:val="0"/>
              <w:suppressLineNumbers w:val="0"/>
              <w:bidi w:val="0"/>
              <w:spacing w:before="0" w:beforeAutospacing="0" w:after="0" w:afterAutospacing="0"/>
              <w:ind w:left="0" w:right="0"/>
              <w:jc w:val="left"/>
              <w:rPr>
                <w:rFonts w:hint="eastAsia"/>
                <w:color w:val="auto"/>
                <w:lang w:val="en-US" w:eastAsia="zh-CN"/>
              </w:rPr>
            </w:pPr>
          </w:p>
          <w:p w14:paraId="3EFB16DE">
            <w:pPr>
              <w:keepNext w:val="0"/>
              <w:keepLines w:val="0"/>
              <w:suppressLineNumbers w:val="0"/>
              <w:bidi w:val="0"/>
              <w:spacing w:before="0" w:beforeAutospacing="0" w:after="0" w:afterAutospacing="0"/>
              <w:ind w:left="0" w:right="0"/>
              <w:jc w:val="left"/>
              <w:rPr>
                <w:rFonts w:hint="eastAsia"/>
                <w:color w:val="auto"/>
                <w:lang w:val="en-US" w:eastAsia="zh-CN"/>
              </w:rPr>
            </w:pPr>
          </w:p>
          <w:p w14:paraId="43CE1FD0">
            <w:pPr>
              <w:keepNext w:val="0"/>
              <w:keepLines w:val="0"/>
              <w:suppressLineNumbers w:val="0"/>
              <w:bidi w:val="0"/>
              <w:spacing w:before="0" w:beforeAutospacing="0" w:after="0" w:afterAutospacing="0"/>
              <w:ind w:left="0" w:right="0"/>
              <w:jc w:val="left"/>
              <w:rPr>
                <w:rFonts w:hint="eastAsia"/>
                <w:color w:val="auto"/>
                <w:lang w:val="en-US" w:eastAsia="zh-CN"/>
              </w:rPr>
            </w:pPr>
          </w:p>
          <w:p w14:paraId="264B3058">
            <w:pPr>
              <w:keepNext w:val="0"/>
              <w:keepLines w:val="0"/>
              <w:suppressLineNumbers w:val="0"/>
              <w:bidi w:val="0"/>
              <w:spacing w:before="0" w:beforeAutospacing="0" w:after="0" w:afterAutospacing="0"/>
              <w:ind w:left="0" w:right="0"/>
              <w:jc w:val="left"/>
              <w:rPr>
                <w:rFonts w:hint="eastAsia"/>
                <w:color w:val="auto"/>
                <w:lang w:val="en-US" w:eastAsia="zh-CN"/>
              </w:rPr>
            </w:pPr>
          </w:p>
          <w:p w14:paraId="031DC372">
            <w:pPr>
              <w:keepNext w:val="0"/>
              <w:keepLines w:val="0"/>
              <w:suppressLineNumbers w:val="0"/>
              <w:bidi w:val="0"/>
              <w:spacing w:before="0" w:beforeAutospacing="0" w:after="0" w:afterAutospacing="0"/>
              <w:ind w:left="0" w:right="0"/>
              <w:jc w:val="left"/>
              <w:rPr>
                <w:rFonts w:hint="eastAsia"/>
                <w:color w:val="auto"/>
                <w:lang w:val="en-US" w:eastAsia="zh-CN"/>
              </w:rPr>
            </w:pPr>
          </w:p>
          <w:p w14:paraId="43284F35">
            <w:pPr>
              <w:keepNext w:val="0"/>
              <w:keepLines w:val="0"/>
              <w:suppressLineNumbers w:val="0"/>
              <w:bidi w:val="0"/>
              <w:spacing w:before="0" w:beforeAutospacing="0" w:after="0" w:afterAutospacing="0"/>
              <w:ind w:left="0" w:right="0"/>
              <w:jc w:val="left"/>
              <w:rPr>
                <w:rFonts w:hint="eastAsia"/>
                <w:color w:val="auto"/>
                <w:lang w:val="en-US" w:eastAsia="zh-CN"/>
              </w:rPr>
            </w:pPr>
          </w:p>
          <w:p w14:paraId="0007F70D">
            <w:pPr>
              <w:keepNext w:val="0"/>
              <w:keepLines w:val="0"/>
              <w:suppressLineNumbers w:val="0"/>
              <w:bidi w:val="0"/>
              <w:spacing w:before="0" w:beforeAutospacing="0" w:after="0" w:afterAutospacing="0"/>
              <w:ind w:left="0" w:right="0"/>
              <w:jc w:val="left"/>
              <w:rPr>
                <w:rFonts w:hint="eastAsia"/>
                <w:color w:val="auto"/>
                <w:lang w:val="en-US" w:eastAsia="zh-CN"/>
              </w:rPr>
            </w:pPr>
          </w:p>
          <w:p w14:paraId="2687D8DE">
            <w:pPr>
              <w:keepNext w:val="0"/>
              <w:keepLines w:val="0"/>
              <w:suppressLineNumbers w:val="0"/>
              <w:bidi w:val="0"/>
              <w:spacing w:before="0" w:beforeAutospacing="0" w:after="0" w:afterAutospacing="0"/>
              <w:ind w:left="0" w:right="0"/>
              <w:jc w:val="left"/>
              <w:rPr>
                <w:rFonts w:hint="eastAsia"/>
                <w:color w:val="auto"/>
                <w:lang w:val="en-US" w:eastAsia="zh-CN"/>
              </w:rPr>
            </w:pPr>
          </w:p>
          <w:p w14:paraId="61EC79AB">
            <w:pPr>
              <w:keepNext w:val="0"/>
              <w:keepLines w:val="0"/>
              <w:suppressLineNumbers w:val="0"/>
              <w:bidi w:val="0"/>
              <w:spacing w:before="0" w:beforeAutospacing="0" w:after="0" w:afterAutospacing="0"/>
              <w:ind w:left="0" w:right="0"/>
              <w:jc w:val="left"/>
              <w:rPr>
                <w:rFonts w:hint="eastAsia"/>
                <w:color w:val="auto"/>
                <w:lang w:val="en-US" w:eastAsia="zh-CN"/>
              </w:rPr>
            </w:pPr>
          </w:p>
          <w:p w14:paraId="37EAE88C">
            <w:pPr>
              <w:keepNext w:val="0"/>
              <w:keepLines w:val="0"/>
              <w:suppressLineNumbers w:val="0"/>
              <w:bidi w:val="0"/>
              <w:spacing w:before="0" w:beforeAutospacing="0" w:after="0" w:afterAutospacing="0"/>
              <w:ind w:left="0" w:right="0"/>
              <w:jc w:val="left"/>
              <w:rPr>
                <w:rFonts w:hint="eastAsia"/>
                <w:color w:val="auto"/>
                <w:lang w:val="en-US" w:eastAsia="zh-CN"/>
              </w:rPr>
            </w:pPr>
          </w:p>
          <w:p w14:paraId="74C8BE48">
            <w:pPr>
              <w:keepNext w:val="0"/>
              <w:keepLines w:val="0"/>
              <w:suppressLineNumbers w:val="0"/>
              <w:bidi w:val="0"/>
              <w:spacing w:before="0" w:beforeAutospacing="0" w:after="0" w:afterAutospacing="0"/>
              <w:ind w:left="0" w:right="0"/>
              <w:jc w:val="left"/>
              <w:rPr>
                <w:rFonts w:hint="eastAsia"/>
                <w:color w:val="auto"/>
                <w:lang w:val="en-US" w:eastAsia="zh-CN"/>
              </w:rPr>
            </w:pPr>
          </w:p>
          <w:p w14:paraId="4699C562">
            <w:pPr>
              <w:keepNext w:val="0"/>
              <w:keepLines w:val="0"/>
              <w:suppressLineNumbers w:val="0"/>
              <w:bidi w:val="0"/>
              <w:spacing w:before="0" w:beforeAutospacing="0" w:after="0" w:afterAutospacing="0"/>
              <w:ind w:left="0" w:right="0"/>
              <w:jc w:val="left"/>
              <w:rPr>
                <w:rFonts w:hint="default" w:eastAsia="宋体"/>
                <w:color w:val="auto"/>
                <w:lang w:val="en-US" w:eastAsia="zh-CN"/>
              </w:rPr>
            </w:pPr>
            <w:r>
              <w:rPr>
                <w:rFonts w:hint="eastAsia"/>
                <w:b/>
                <w:bCs/>
                <w:color w:val="auto"/>
                <w:lang w:val="en-US" w:eastAsia="zh-CN"/>
              </w:rPr>
              <w:t>商务条款</w:t>
            </w:r>
          </w:p>
        </w:tc>
        <w:tc>
          <w:tcPr>
            <w:tcW w:w="9855" w:type="dxa"/>
            <w:gridSpan w:val="6"/>
          </w:tcPr>
          <w:p w14:paraId="6BFBA586">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本采购需求表</w:t>
            </w:r>
            <w:r>
              <w:rPr>
                <w:rFonts w:hint="eastAsia" w:ascii="宋体" w:hAnsi="宋体" w:cs="宋体"/>
                <w:b/>
                <w:bCs w:val="0"/>
                <w:color w:val="auto"/>
                <w:sz w:val="21"/>
                <w:szCs w:val="21"/>
                <w:highlight w:val="none"/>
                <w:lang w:val="en-US" w:eastAsia="zh-CN"/>
              </w:rPr>
              <w:t>序</w:t>
            </w:r>
            <w:r>
              <w:rPr>
                <w:rFonts w:hint="eastAsia" w:ascii="宋体" w:hAnsi="宋体" w:eastAsia="宋体" w:cs="宋体"/>
                <w:b/>
                <w:bCs w:val="0"/>
                <w:color w:val="auto"/>
                <w:sz w:val="21"/>
                <w:szCs w:val="21"/>
                <w:highlight w:val="none"/>
                <w:lang w:val="en-US" w:eastAsia="zh-CN"/>
              </w:rPr>
              <w:t>号</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u w:val="single"/>
                <w:lang w:val="en-US" w:eastAsia="zh-CN"/>
              </w:rPr>
              <w:t>计算机、教学一体机</w:t>
            </w:r>
            <w:r>
              <w:rPr>
                <w:rFonts w:hint="eastAsia" w:ascii="宋体" w:hAnsi="宋体" w:eastAsia="宋体" w:cs="宋体"/>
                <w:b/>
                <w:bCs w:val="0"/>
                <w:color w:val="auto"/>
                <w:sz w:val="21"/>
                <w:szCs w:val="21"/>
                <w:highlight w:val="none"/>
              </w:rPr>
              <w:t>”为核心产品。</w:t>
            </w:r>
          </w:p>
          <w:p w14:paraId="6A052D84">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一、合同签订期：</w:t>
            </w:r>
            <w:r>
              <w:rPr>
                <w:rFonts w:hint="eastAsia" w:ascii="宋体" w:hAnsi="宋体" w:eastAsia="宋体" w:cs="宋体"/>
                <w:color w:val="auto"/>
                <w:sz w:val="21"/>
                <w:szCs w:val="21"/>
              </w:rPr>
              <w:t>自中标通知书发出之日起</w:t>
            </w:r>
            <w:r>
              <w:rPr>
                <w:rFonts w:hint="eastAsia" w:ascii="宋体" w:hAnsi="宋体" w:cs="宋体"/>
                <w:color w:val="auto"/>
                <w:sz w:val="21"/>
                <w:szCs w:val="21"/>
                <w:u w:val="single"/>
                <w:lang w:val="en-US" w:eastAsia="zh-CN"/>
              </w:rPr>
              <w:t>15</w:t>
            </w:r>
            <w:r>
              <w:rPr>
                <w:rFonts w:hint="eastAsia" w:ascii="宋体" w:hAnsi="宋体" w:cs="宋体"/>
                <w:color w:val="auto"/>
                <w:sz w:val="21"/>
                <w:szCs w:val="21"/>
                <w:lang w:val="en-US" w:eastAsia="zh-CN"/>
              </w:rPr>
              <w:t>个工作日</w:t>
            </w:r>
            <w:r>
              <w:rPr>
                <w:rFonts w:hint="eastAsia" w:ascii="宋体" w:hAnsi="宋体" w:eastAsia="宋体" w:cs="宋体"/>
                <w:color w:val="auto"/>
                <w:sz w:val="21"/>
                <w:szCs w:val="21"/>
              </w:rPr>
              <w:t>内</w:t>
            </w:r>
            <w:r>
              <w:rPr>
                <w:rFonts w:hint="eastAsia" w:ascii="宋体" w:hAnsi="宋体" w:eastAsia="宋体" w:cs="宋体"/>
                <w:color w:val="auto"/>
                <w:sz w:val="21"/>
                <w:szCs w:val="21"/>
                <w:lang w:eastAsia="zh-CN"/>
              </w:rPr>
              <w:t>。</w:t>
            </w:r>
          </w:p>
          <w:p w14:paraId="28760553">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sz w:val="21"/>
                <w:szCs w:val="21"/>
                <w:highlight w:val="yellow"/>
                <w:lang w:val="en-US" w:eastAsia="zh-CN"/>
              </w:rPr>
            </w:pPr>
            <w:r>
              <w:rPr>
                <w:rFonts w:hint="eastAsia" w:ascii="新宋体" w:hAnsi="新宋体" w:eastAsia="新宋体" w:cs="新宋体"/>
                <w:b/>
                <w:bCs/>
                <w:color w:val="auto"/>
                <w:kern w:val="2"/>
                <w:sz w:val="21"/>
                <w:szCs w:val="21"/>
                <w:lang w:val="en-US" w:eastAsia="zh-CN" w:bidi="ar-SA"/>
              </w:rPr>
              <w:t>▲</w:t>
            </w:r>
            <w:r>
              <w:rPr>
                <w:rFonts w:hint="eastAsia" w:ascii="宋体" w:hAnsi="宋体" w:eastAsia="宋体" w:cs="宋体"/>
                <w:b/>
                <w:bCs/>
                <w:color w:val="auto"/>
                <w:sz w:val="21"/>
                <w:szCs w:val="21"/>
              </w:rPr>
              <w:t>二、交货期：</w:t>
            </w:r>
            <w:r>
              <w:rPr>
                <w:rFonts w:hint="eastAsia" w:ascii="宋体" w:hAnsi="宋体"/>
                <w:color w:val="auto"/>
                <w:szCs w:val="21"/>
              </w:rPr>
              <w:t>自签订合同之日起</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30 </w:t>
            </w:r>
            <w:r>
              <w:rPr>
                <w:rFonts w:hint="eastAsia" w:ascii="宋体" w:hAnsi="宋体"/>
                <w:color w:val="auto"/>
                <w:szCs w:val="21"/>
              </w:rPr>
              <w:t>日（日历天）内</w:t>
            </w:r>
            <w:r>
              <w:rPr>
                <w:rFonts w:hint="eastAsia" w:ascii="宋体" w:hAnsi="宋体" w:eastAsia="宋体" w:cs="宋体"/>
                <w:color w:val="auto"/>
                <w:sz w:val="21"/>
                <w:szCs w:val="21"/>
                <w:lang w:val="en-US" w:eastAsia="zh-CN"/>
              </w:rPr>
              <w:t>。</w:t>
            </w:r>
          </w:p>
          <w:p w14:paraId="0527EDDA">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Cs/>
                <w:color w:val="auto"/>
                <w:sz w:val="21"/>
                <w:szCs w:val="21"/>
                <w:u w:val="single"/>
                <w:lang w:eastAsia="zh-CN"/>
              </w:rPr>
            </w:pPr>
            <w:r>
              <w:rPr>
                <w:rFonts w:hint="eastAsia" w:ascii="宋体" w:hAnsi="宋体" w:eastAsia="宋体" w:cs="宋体"/>
                <w:b/>
                <w:bCs/>
                <w:color w:val="auto"/>
                <w:sz w:val="21"/>
                <w:szCs w:val="21"/>
              </w:rPr>
              <w:t>三、交货地点：</w:t>
            </w:r>
            <w:r>
              <w:rPr>
                <w:rFonts w:hint="eastAsia" w:ascii="宋体" w:hAnsi="宋体" w:eastAsia="宋体" w:cs="宋体"/>
                <w:bCs/>
                <w:color w:val="auto"/>
                <w:sz w:val="21"/>
                <w:szCs w:val="21"/>
                <w:u w:val="none"/>
              </w:rPr>
              <w:t xml:space="preserve"> </w:t>
            </w:r>
            <w:r>
              <w:rPr>
                <w:rFonts w:hint="eastAsia" w:ascii="宋体" w:hAnsi="宋体" w:eastAsia="宋体" w:cs="宋体"/>
                <w:bCs/>
                <w:color w:val="auto"/>
                <w:sz w:val="21"/>
                <w:szCs w:val="21"/>
                <w:u w:val="none"/>
                <w:lang w:val="en-US" w:eastAsia="zh-CN"/>
              </w:rPr>
              <w:t>采购人指定地点</w:t>
            </w:r>
            <w:r>
              <w:rPr>
                <w:rFonts w:hint="eastAsia" w:ascii="宋体" w:hAnsi="宋体" w:eastAsia="宋体" w:cs="宋体"/>
                <w:bCs/>
                <w:color w:val="auto"/>
                <w:sz w:val="21"/>
                <w:szCs w:val="21"/>
                <w:u w:val="none"/>
                <w:lang w:eastAsia="zh-CN"/>
              </w:rPr>
              <w:t>。</w:t>
            </w:r>
          </w:p>
          <w:p w14:paraId="77373F55">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四、交货方式</w:t>
            </w:r>
            <w:r>
              <w:rPr>
                <w:rFonts w:hint="eastAsia" w:ascii="宋体" w:hAnsi="宋体" w:eastAsia="宋体" w:cs="宋体"/>
                <w:bCs/>
                <w:color w:val="auto"/>
                <w:sz w:val="21"/>
                <w:szCs w:val="21"/>
              </w:rPr>
              <w:t>：现场交货</w:t>
            </w:r>
            <w:r>
              <w:rPr>
                <w:rFonts w:hint="eastAsia" w:ascii="宋体" w:hAnsi="宋体" w:eastAsia="宋体" w:cs="宋体"/>
                <w:bCs/>
                <w:color w:val="auto"/>
                <w:sz w:val="21"/>
                <w:szCs w:val="21"/>
                <w:lang w:eastAsia="zh-CN"/>
              </w:rPr>
              <w:t>。</w:t>
            </w:r>
          </w:p>
          <w:p w14:paraId="19A1B6A4">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五、售后服务要求：</w:t>
            </w:r>
          </w:p>
          <w:p w14:paraId="0FAF4310">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新宋体" w:hAnsi="新宋体" w:eastAsia="新宋体" w:cs="新宋体"/>
                <w:color w:val="auto"/>
                <w:kern w:val="2"/>
                <w:sz w:val="21"/>
                <w:szCs w:val="21"/>
                <w:lang w:val="en-US" w:eastAsia="zh-CN" w:bidi="ar-SA"/>
              </w:rPr>
              <w:t>▲</w:t>
            </w:r>
            <w:r>
              <w:rPr>
                <w:rFonts w:hint="eastAsia" w:ascii="宋体" w:hAnsi="宋体" w:eastAsia="宋体" w:cs="宋体"/>
                <w:color w:val="auto"/>
                <w:sz w:val="21"/>
                <w:szCs w:val="21"/>
              </w:rPr>
              <w:t>1、质量保证期</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（自交货并验收合格之日起计）</w:t>
            </w:r>
          </w:p>
          <w:p w14:paraId="31E19B5A">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2、故障响应时间：中标供应商接到故障通知后在</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小时内到达采购人指定现场</w:t>
            </w:r>
            <w:r>
              <w:rPr>
                <w:rFonts w:hint="eastAsia" w:ascii="宋体" w:hAnsi="宋体" w:eastAsia="宋体" w:cs="宋体"/>
                <w:color w:val="auto"/>
                <w:sz w:val="21"/>
                <w:szCs w:val="21"/>
                <w:lang w:eastAsia="zh-CN"/>
              </w:rPr>
              <w:t>。</w:t>
            </w:r>
          </w:p>
          <w:p w14:paraId="75753223">
            <w:pPr>
              <w:pStyle w:val="34"/>
              <w:keepNext w:val="0"/>
              <w:keepLines w:val="0"/>
              <w:pageBreakBefore w:val="0"/>
              <w:suppressLineNumbers w:val="0"/>
              <w:kinsoku/>
              <w:overflowPunct/>
              <w:topLinePunct w:val="0"/>
              <w:autoSpaceDE/>
              <w:autoSpaceDN/>
              <w:bidi w:val="0"/>
              <w:adjustRightInd/>
              <w:snapToGrid/>
              <w:spacing w:beforeAutospacing="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3、在质保期内，中标供应商应对货物出现的质量问题负责处理解决并承担一切费用。</w:t>
            </w:r>
          </w:p>
          <w:p w14:paraId="3D5B0FED">
            <w:pPr>
              <w:pStyle w:val="34"/>
              <w:keepNext w:val="0"/>
              <w:keepLines w:val="0"/>
              <w:pageBreakBefore w:val="0"/>
              <w:suppressLineNumbers w:val="0"/>
              <w:kinsoku/>
              <w:overflowPunct/>
              <w:topLinePunct w:val="0"/>
              <w:autoSpaceDE/>
              <w:autoSpaceDN/>
              <w:bidi w:val="0"/>
              <w:adjustRightInd/>
              <w:snapToGrid/>
              <w:spacing w:beforeAutospacing="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4、超过保修期的机器设备，</w:t>
            </w:r>
            <w:r>
              <w:rPr>
                <w:rFonts w:hint="eastAsia" w:ascii="宋体" w:hAnsi="宋体" w:eastAsia="宋体" w:cs="宋体"/>
                <w:color w:val="auto"/>
                <w:sz w:val="21"/>
                <w:szCs w:val="21"/>
                <w:lang w:eastAsia="zh-CN"/>
              </w:rPr>
              <w:t>终身维修</w:t>
            </w:r>
            <w:r>
              <w:rPr>
                <w:rFonts w:hint="eastAsia" w:ascii="宋体" w:hAnsi="宋体" w:eastAsia="宋体" w:cs="宋体"/>
                <w:color w:val="auto"/>
                <w:sz w:val="21"/>
                <w:szCs w:val="21"/>
              </w:rPr>
              <w:t>，维修时只收部件成本费。</w:t>
            </w:r>
          </w:p>
          <w:p w14:paraId="2CB2438B">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六、其他要求</w:t>
            </w:r>
            <w:r>
              <w:rPr>
                <w:rFonts w:hint="eastAsia" w:ascii="宋体" w:hAnsi="宋体" w:eastAsia="宋体" w:cs="宋体"/>
                <w:color w:val="auto"/>
                <w:sz w:val="21"/>
                <w:szCs w:val="21"/>
              </w:rPr>
              <w:t>：</w:t>
            </w:r>
          </w:p>
          <w:p w14:paraId="350AC0DB">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新宋体" w:hAnsi="新宋体" w:eastAsia="新宋体" w:cs="新宋体"/>
                <w:color w:val="auto"/>
                <w:kern w:val="2"/>
                <w:sz w:val="21"/>
                <w:szCs w:val="21"/>
                <w:lang w:val="en-US" w:eastAsia="zh-CN" w:bidi="ar-SA"/>
              </w:rPr>
              <w:t>▲</w:t>
            </w:r>
            <w:r>
              <w:rPr>
                <w:rFonts w:hint="eastAsia" w:ascii="宋体" w:hAnsi="宋体" w:eastAsia="宋体" w:cs="宋体"/>
                <w:color w:val="auto"/>
                <w:sz w:val="21"/>
                <w:szCs w:val="21"/>
              </w:rPr>
              <w:t>1、投标报价为采购人指定地点的现场交货价，包括：</w:t>
            </w:r>
          </w:p>
          <w:p w14:paraId="3BDFE0F7">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（1）货物的价格；</w:t>
            </w:r>
          </w:p>
          <w:p w14:paraId="06385888">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（2）货物的标准附件、备品备件、专用工具的价格；</w:t>
            </w:r>
          </w:p>
          <w:p w14:paraId="04967111">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（3）运输、装卸、调试、培训、技术支持、售后服务等费用；</w:t>
            </w:r>
          </w:p>
          <w:p w14:paraId="5D526A0B">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（4）必要的保险费用和各项税费；</w:t>
            </w:r>
          </w:p>
          <w:p w14:paraId="428BED36">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（5）安装费用等所有费用。</w:t>
            </w:r>
          </w:p>
          <w:p w14:paraId="59250D2F">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Cs/>
                <w:color w:val="auto"/>
                <w:sz w:val="21"/>
                <w:szCs w:val="21"/>
                <w:u w:val="single"/>
                <w:lang w:val="en-US" w:eastAsia="zh-CN"/>
              </w:rPr>
            </w:pPr>
            <w:r>
              <w:rPr>
                <w:rFonts w:hint="eastAsia" w:ascii="新宋体" w:hAnsi="新宋体" w:eastAsia="新宋体" w:cs="新宋体"/>
                <w:color w:val="auto"/>
                <w:kern w:val="2"/>
                <w:sz w:val="21"/>
                <w:szCs w:val="21"/>
                <w:lang w:val="en-US" w:eastAsia="zh-CN" w:bidi="ar-SA"/>
              </w:rPr>
              <w:t>▲</w:t>
            </w:r>
            <w:r>
              <w:rPr>
                <w:rFonts w:hint="eastAsia" w:ascii="宋体" w:hAnsi="宋体" w:eastAsia="宋体" w:cs="宋体"/>
                <w:color w:val="auto"/>
                <w:sz w:val="21"/>
                <w:szCs w:val="21"/>
              </w:rPr>
              <w:t>2、付款方式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本项目无预付款，</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交货完毕并验收合格后，一次性支付合同款。</w:t>
            </w:r>
          </w:p>
          <w:p w14:paraId="274B8495">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3、备品备件及耗材等要求：按照厂家标准配置安排备品备件及耗材，满足设备的正常使用。</w:t>
            </w:r>
          </w:p>
          <w:p w14:paraId="130EA56A">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420" w:right="0" w:hanging="420" w:hanging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4、验收条件及标准：</w:t>
            </w:r>
          </w:p>
          <w:p w14:paraId="5C98AF7B">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（1）采购人对中标供应商提交的货物依据采购文件上的技术规格要求和国家有关质量标准进行现场初步验收，外观、说明书符合采购文件技术要求的，给予签收，初步验收不合格的不予签收。</w:t>
            </w:r>
          </w:p>
          <w:p w14:paraId="256DA06C">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（2）中标供应商交货前应对产品作出全面检查和对验收文件进行整理，并列出清单，作为采购人收货验收和使用的技术条件依据，检验的结果应随货物交采购人。</w:t>
            </w:r>
          </w:p>
          <w:p w14:paraId="603C8888">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rPr>
              <w:t>）采购人对中标供应商提供的货物在使用前进行调试时，中标供应商需负责安装并培训采购人的使用操作人员，并协助采购人一起调试，直到符合技术要求，采购人才做最终验收。</w:t>
            </w:r>
          </w:p>
          <w:p w14:paraId="16C2DD47">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420" w:right="0" w:hanging="420" w:hanging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）验收时中标供应商必须在现场，验收完毕后作出验收结果报告。</w:t>
            </w:r>
          </w:p>
          <w:p w14:paraId="7B8016F1">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）对技术复杂的货物，采购人可请国家认可的专业检测机构参与验收，并由其出具质量检测报告，相关费用由采购人承担。</w:t>
            </w:r>
          </w:p>
          <w:p w14:paraId="6C2084AE">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420" w:right="0" w:hanging="420" w:hangingChars="200"/>
              <w:textAlignment w:val="auto"/>
              <w:rPr>
                <w:rFonts w:hint="eastAsia" w:ascii="宋体" w:hAnsi="宋体" w:eastAsia="宋体" w:cs="宋体"/>
                <w:color w:val="auto"/>
                <w:sz w:val="21"/>
                <w:szCs w:val="21"/>
              </w:rPr>
            </w:pPr>
            <w:r>
              <w:rPr>
                <w:rFonts w:hint="eastAsia" w:ascii="新宋体" w:hAnsi="新宋体" w:eastAsia="新宋体" w:cs="新宋体"/>
                <w:color w:val="auto"/>
                <w:kern w:val="2"/>
                <w:sz w:val="21"/>
                <w:szCs w:val="21"/>
                <w:lang w:val="en-US" w:eastAsia="zh-CN" w:bidi="ar-SA"/>
              </w:rPr>
              <w:t>▲</w:t>
            </w:r>
            <w:r>
              <w:rPr>
                <w:rFonts w:hint="eastAsia" w:hAnsi="宋体" w:eastAsia="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其他</w:t>
            </w:r>
          </w:p>
          <w:p w14:paraId="439C065C">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中标</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供货时</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提供本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在《采购货物需求表》的技术参数要求中所</w:t>
            </w:r>
            <w:r>
              <w:rPr>
                <w:rFonts w:hint="eastAsia" w:ascii="宋体" w:hAnsi="宋体" w:eastAsia="宋体" w:cs="宋体"/>
                <w:color w:val="auto"/>
                <w:sz w:val="21"/>
                <w:szCs w:val="21"/>
              </w:rPr>
              <w:t>要求的相关佐证材料原件</w:t>
            </w:r>
            <w:r>
              <w:rPr>
                <w:rFonts w:hint="eastAsia" w:ascii="宋体" w:hAnsi="宋体" w:eastAsia="宋体" w:cs="宋体"/>
                <w:color w:val="auto"/>
                <w:sz w:val="21"/>
                <w:szCs w:val="21"/>
                <w:lang w:val="en-US" w:eastAsia="zh-CN"/>
              </w:rPr>
              <w:t>给采购方</w:t>
            </w:r>
            <w:r>
              <w:rPr>
                <w:rFonts w:hint="eastAsia" w:ascii="宋体" w:hAnsi="宋体" w:eastAsia="宋体" w:cs="宋体"/>
                <w:color w:val="auto"/>
                <w:sz w:val="21"/>
                <w:szCs w:val="21"/>
              </w:rPr>
              <w:t>复核，如</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供应商不能提供或是复核不合格的，采购方有权换货直至满足采购需求参数标注为止</w:t>
            </w:r>
            <w:r>
              <w:rPr>
                <w:rFonts w:hint="eastAsia" w:hAnsi="宋体" w:eastAsia="宋体" w:cs="宋体"/>
                <w:color w:val="auto"/>
                <w:sz w:val="21"/>
                <w:szCs w:val="21"/>
                <w:lang w:eastAsia="zh-CN"/>
              </w:rPr>
              <w:t>，</w:t>
            </w:r>
            <w:r>
              <w:rPr>
                <w:rFonts w:hint="eastAsia" w:ascii="宋体" w:hAnsi="宋体" w:eastAsia="宋体" w:cs="宋体"/>
                <w:color w:val="auto"/>
                <w:sz w:val="21"/>
                <w:szCs w:val="21"/>
              </w:rPr>
              <w:t>并根据相关政府采购法和实施条例上报监管部门要求追究相关法律责任。</w:t>
            </w:r>
          </w:p>
          <w:p w14:paraId="3E00DB47">
            <w:pPr>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cs="宋体"/>
                <w:b/>
                <w:bCs/>
                <w:color w:val="auto"/>
                <w:szCs w:val="21"/>
                <w:highlight w:val="none"/>
                <w:lang w:val="en-US" w:eastAsia="zh-CN"/>
              </w:rPr>
            </w:pPr>
            <w:r>
              <w:rPr>
                <w:rFonts w:hint="eastAsia" w:hAnsi="宋体" w:eastAsia="宋体" w:cs="宋体"/>
                <w:b w:val="0"/>
                <w:bCs w:val="0"/>
                <w:color w:val="auto"/>
                <w:sz w:val="21"/>
                <w:szCs w:val="21"/>
                <w:lang w:val="en-US" w:eastAsia="zh-CN"/>
              </w:rPr>
              <w:t>（2）</w:t>
            </w:r>
            <w:r>
              <w:rPr>
                <w:rFonts w:hint="eastAsia" w:hAnsi="宋体" w:eastAsia="宋体" w:cs="宋体"/>
                <w:b/>
                <w:bCs/>
                <w:color w:val="auto"/>
                <w:sz w:val="21"/>
                <w:szCs w:val="21"/>
                <w:lang w:val="en-US" w:eastAsia="zh-CN"/>
              </w:rPr>
              <w:t>.</w:t>
            </w:r>
            <w:r>
              <w:rPr>
                <w:rFonts w:hint="eastAsia" w:ascii="宋体" w:hAnsi="宋体" w:cs="宋体"/>
                <w:b/>
                <w:bCs/>
                <w:color w:val="auto"/>
                <w:szCs w:val="21"/>
                <w:highlight w:val="none"/>
              </w:rPr>
              <w:t>本项目货物不接受进口产品（即通过中国海关报关验放进入中国境内且产自关境外的产品）参与</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，如有此类产品参与</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的作无效</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处理</w:t>
            </w:r>
            <w:r>
              <w:rPr>
                <w:rFonts w:hint="eastAsia" w:ascii="宋体" w:hAnsi="宋体" w:cs="宋体"/>
                <w:b/>
                <w:bCs/>
                <w:color w:val="auto"/>
                <w:szCs w:val="21"/>
                <w:highlight w:val="none"/>
                <w:lang w:eastAsia="zh-CN"/>
              </w:rPr>
              <w:t>。</w:t>
            </w:r>
          </w:p>
          <w:p w14:paraId="50651385">
            <w:pPr>
              <w:pStyle w:val="32"/>
              <w:keepNext w:val="0"/>
              <w:keepLines w:val="0"/>
              <w:suppressLineNumbers w:val="0"/>
              <w:spacing w:beforeAutospacing="0" w:afterAutospacing="0"/>
              <w:ind w:left="0" w:right="0"/>
              <w:rPr>
                <w:rFonts w:hint="eastAsia"/>
                <w:color w:val="auto"/>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本项目所属行业为工业（制造业）。</w:t>
            </w:r>
          </w:p>
        </w:tc>
      </w:tr>
      <w:bookmarkEnd w:id="75"/>
    </w:tbl>
    <w:p w14:paraId="4FB2A73A">
      <w:pPr>
        <w:spacing w:line="428" w:lineRule="exact"/>
        <w:rPr>
          <w:rFonts w:hint="eastAsia" w:ascii="微软雅黑" w:hAnsi="微软雅黑" w:eastAsia="微软雅黑" w:cs="微软雅黑"/>
          <w:sz w:val="32"/>
          <w:szCs w:val="32"/>
        </w:rPr>
      </w:pPr>
      <w:bookmarkStart w:id="76" w:name="_Toc10308"/>
    </w:p>
    <w:p w14:paraId="565A0D3F">
      <w:pPr>
        <w:spacing w:line="428" w:lineRule="exact"/>
        <w:rPr>
          <w:rFonts w:hint="eastAsia" w:ascii="微软雅黑" w:hAnsi="微软雅黑" w:eastAsia="微软雅黑" w:cs="微软雅黑"/>
          <w:sz w:val="32"/>
          <w:szCs w:val="32"/>
        </w:rPr>
      </w:pPr>
    </w:p>
    <w:p w14:paraId="3FD6EDD0">
      <w:pPr>
        <w:spacing w:line="428" w:lineRule="exact"/>
        <w:rPr>
          <w:rFonts w:hint="eastAsia" w:ascii="微软雅黑" w:hAnsi="微软雅黑" w:eastAsia="微软雅黑" w:cs="微软雅黑"/>
          <w:sz w:val="32"/>
          <w:szCs w:val="32"/>
        </w:rPr>
      </w:pPr>
    </w:p>
    <w:p w14:paraId="6C30A86F">
      <w:pPr>
        <w:spacing w:line="428" w:lineRule="exact"/>
        <w:rPr>
          <w:rFonts w:hint="eastAsia" w:ascii="微软雅黑" w:hAnsi="微软雅黑" w:eastAsia="微软雅黑" w:cs="微软雅黑"/>
          <w:sz w:val="32"/>
          <w:szCs w:val="32"/>
        </w:rPr>
      </w:pPr>
    </w:p>
    <w:p w14:paraId="1C53DB83">
      <w:pPr>
        <w:spacing w:line="428" w:lineRule="exact"/>
        <w:rPr>
          <w:rFonts w:hint="eastAsia" w:ascii="微软雅黑" w:hAnsi="微软雅黑" w:eastAsia="微软雅黑" w:cs="微软雅黑"/>
          <w:sz w:val="32"/>
          <w:szCs w:val="32"/>
        </w:rPr>
      </w:pPr>
    </w:p>
    <w:p w14:paraId="6E619F30">
      <w:pPr>
        <w:spacing w:line="428" w:lineRule="exact"/>
        <w:rPr>
          <w:rFonts w:hint="eastAsia" w:ascii="微软雅黑" w:hAnsi="微软雅黑" w:eastAsia="微软雅黑" w:cs="微软雅黑"/>
          <w:sz w:val="32"/>
          <w:szCs w:val="32"/>
        </w:rPr>
      </w:pPr>
    </w:p>
    <w:p w14:paraId="0B997D06">
      <w:pPr>
        <w:spacing w:line="428" w:lineRule="exact"/>
        <w:rPr>
          <w:rFonts w:hint="eastAsia" w:ascii="微软雅黑" w:hAnsi="微软雅黑" w:eastAsia="微软雅黑" w:cs="微软雅黑"/>
          <w:sz w:val="32"/>
          <w:szCs w:val="32"/>
        </w:rPr>
      </w:pPr>
    </w:p>
    <w:p w14:paraId="1F78418B">
      <w:pPr>
        <w:spacing w:line="428" w:lineRule="exact"/>
        <w:rPr>
          <w:rFonts w:hint="eastAsia" w:ascii="微软雅黑" w:hAnsi="微软雅黑" w:eastAsia="微软雅黑" w:cs="微软雅黑"/>
          <w:sz w:val="32"/>
          <w:szCs w:val="32"/>
        </w:rPr>
      </w:pPr>
    </w:p>
    <w:p w14:paraId="68817531">
      <w:pPr>
        <w:spacing w:line="428" w:lineRule="exact"/>
        <w:rPr>
          <w:rFonts w:hint="eastAsia" w:ascii="微软雅黑" w:hAnsi="微软雅黑" w:eastAsia="微软雅黑" w:cs="微软雅黑"/>
          <w:sz w:val="32"/>
          <w:szCs w:val="32"/>
        </w:rPr>
      </w:pPr>
    </w:p>
    <w:p w14:paraId="18EE81EB">
      <w:pPr>
        <w:spacing w:line="428" w:lineRule="exact"/>
        <w:rPr>
          <w:rFonts w:hint="eastAsia" w:ascii="微软雅黑" w:hAnsi="微软雅黑" w:eastAsia="微软雅黑" w:cs="微软雅黑"/>
          <w:sz w:val="32"/>
          <w:szCs w:val="32"/>
        </w:rPr>
      </w:pPr>
    </w:p>
    <w:p w14:paraId="568AFF30">
      <w:pPr>
        <w:spacing w:line="428" w:lineRule="exact"/>
        <w:rPr>
          <w:rFonts w:hint="eastAsia" w:ascii="微软雅黑" w:hAnsi="微软雅黑" w:eastAsia="微软雅黑" w:cs="微软雅黑"/>
          <w:sz w:val="32"/>
          <w:szCs w:val="32"/>
        </w:rPr>
      </w:pPr>
    </w:p>
    <w:p w14:paraId="752DDF44">
      <w:pPr>
        <w:spacing w:line="428" w:lineRule="exact"/>
        <w:rPr>
          <w:rFonts w:hint="eastAsia" w:ascii="微软雅黑" w:hAnsi="微软雅黑" w:eastAsia="微软雅黑" w:cs="微软雅黑"/>
          <w:sz w:val="32"/>
          <w:szCs w:val="32"/>
        </w:rPr>
      </w:pPr>
    </w:p>
    <w:p w14:paraId="5C9BD098">
      <w:pPr>
        <w:spacing w:line="428" w:lineRule="exact"/>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2CC6A033">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6"/>
        <w:tblW w:w="9220" w:type="dxa"/>
        <w:jc w:val="center"/>
        <w:tblLayout w:type="autofit"/>
        <w:tblCellMar>
          <w:top w:w="0" w:type="dxa"/>
          <w:left w:w="108" w:type="dxa"/>
          <w:bottom w:w="0" w:type="dxa"/>
          <w:right w:w="108" w:type="dxa"/>
        </w:tblCellMar>
      </w:tblPr>
      <w:tblGrid>
        <w:gridCol w:w="641"/>
        <w:gridCol w:w="1116"/>
        <w:gridCol w:w="1516"/>
        <w:gridCol w:w="1612"/>
        <w:gridCol w:w="4335"/>
      </w:tblGrid>
      <w:tr w14:paraId="51927154">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4449F09C">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2103E2F5">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5F9A1EC4">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633E6B96">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35CC5B2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252E1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4623CA0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3F9A140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358AE8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3D5A23CE">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02D5A8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D60AD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EE9AD7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4D3CDCC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C00BD3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A9A79AF">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02A4AD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921C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E5271A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42CC6FA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1F9116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6D10306C">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7B8A4BD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EB4454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5F33BC7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52559F3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0314313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3D63956A">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94FEBA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C5CEB9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4B330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FB3111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20C1452F">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3FD0A14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1A7B58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B4D29B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8D5C6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91FE29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6536903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07958D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7C68CC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0D2B7D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4D5758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42EF037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652B1F1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47D70F15">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36DBC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6086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0208CC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67A1660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3596A45C">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0757F1C5">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7CBC1D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14:paraId="7754D76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79E541E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3CCC7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F99B7E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50281247">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3D0B6CF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14:paraId="3B38246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416CE0B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5CD6373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00FDD0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6AC3209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C429E3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14:paraId="32AFEDD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26EC7B3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69A2E64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0266BE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4FF5EC43">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2EEF59D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E7D2FB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4EBB83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3D91CB9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485C156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725B422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F6CFD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F9E3E9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E87D19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B1DBB1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49E4496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0C41665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5981B8E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F14781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3D4B4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F8E1E3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6931BD7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1D666D95">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791F9A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C0616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7D70AE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2F586C9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4C6E390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30D75ABE">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E505DA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CD95B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20AE45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CB0ED9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3F14B1D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6EB6A19D">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CD068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4CA423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4DD8888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1195AC3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13FFEA5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307080D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636E38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EB0E13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704E34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647142F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59A074E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7A3F244F">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35EAC1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14:paraId="213EE82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26598FC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B1787C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EA4448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4E7B057F">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B90C3A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14:paraId="307A610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251A037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4A4F346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1D6FBE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099FE93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B4C75C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14:paraId="33915AA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2F7931D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5D58DF4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AE0C5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6BE4BF7D">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0734383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3C66D2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02149F1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172CA02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AAE1FA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5C421F6F">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073558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C73AC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A0224F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6EDAF50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3164B72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02CB62A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2DB43C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E9EA4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81FF9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568383C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33D95A1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3337A3C4">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D84A8B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1E1BB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7F1F35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51D6D85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7AED715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5DF7FCB4">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676605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7833A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61D946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002687E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A42886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5AE26D5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71DE5E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2050F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33122E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5549C79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72AD334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37413FB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9C9042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E1BC3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F99D55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3E2546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7478473C">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0307AC6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1F5F25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907F2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4C96E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C12367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1CD7444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6F5BD3B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6BA688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4DF6E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D5A7D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122207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4DB7DD9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1C4848A6">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54B2BC1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D7171F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14:paraId="56872A4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14:paraId="0551008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C10808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16F02EF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151E97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B5BEC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51F0D1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14:paraId="5B74882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B36A7A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3869EB8A">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FDC890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0953F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2F4A43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14:paraId="37802F4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AC0A31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34C427D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A7458C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43D7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1FB0D3A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347265A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661E9E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23FB5579">
        <w:tblPrEx>
          <w:tblCellMar>
            <w:top w:w="0" w:type="dxa"/>
            <w:left w:w="108" w:type="dxa"/>
            <w:bottom w:w="0" w:type="dxa"/>
            <w:right w:w="108" w:type="dxa"/>
          </w:tblCellMar>
        </w:tblPrEx>
        <w:trPr>
          <w:trHeight w:val="73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A6342E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14:paraId="1E00F0A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14:paraId="67BF585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14:paraId="50FD55D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B8EBDA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0EC201D8">
        <w:tblPrEx>
          <w:tblCellMar>
            <w:top w:w="0" w:type="dxa"/>
            <w:left w:w="108" w:type="dxa"/>
            <w:bottom w:w="0" w:type="dxa"/>
            <w:right w:w="108" w:type="dxa"/>
          </w:tblCellMar>
        </w:tblPrEx>
        <w:trPr>
          <w:trHeight w:val="97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010EF4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14:paraId="7DF58EE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14:paraId="6781673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14:paraId="6F7628B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14:paraId="638307F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6C465B1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41A4659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14:paraId="10F0002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14:paraId="3932F42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14:paraId="1C40A53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546882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2C9925B4">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4D18CF5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227662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14:paraId="45B2A6C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14:paraId="1E74404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BF6FA5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5693A78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19D90A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E7BE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E51CC7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14:paraId="0023FC8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C4F515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0D97A1AB">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42C4DC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3F96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1A483D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14:paraId="141EAD2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18D96C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46C87B00">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3F2D7A0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14:paraId="7E003A0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2A1361D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F727E8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1D7AD7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471ACCF9">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B8EA81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14:paraId="5D56392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04A899D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672BD1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ED9933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5BC42A6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484636D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14:paraId="55D90D6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2355DF5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1FEC74B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A78C9A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2EA90F9C">
      <w:pPr>
        <w:pStyle w:val="10"/>
        <w:spacing w:line="360" w:lineRule="auto"/>
        <w:ind w:firstLine="408" w:firstLineChars="200"/>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0858B1F4">
      <w:pPr>
        <w:rPr>
          <w:rFonts w:hint="eastAsia"/>
          <w:highlight w:val="none"/>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p>
    <w:p w14:paraId="7B3C209E">
      <w:pPr>
        <w:pStyle w:val="14"/>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573E6CF1">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6"/>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5E51B187">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0729E589">
            <w:pPr>
              <w:keepNext w:val="0"/>
              <w:keepLines w:val="0"/>
              <w:widowControl/>
              <w:suppressLineNumbers w:val="0"/>
              <w:spacing w:before="0" w:beforeAutospacing="0" w:after="0" w:afterAutospacing="0"/>
              <w:ind w:left="0" w:right="0"/>
              <w:jc w:val="left"/>
              <w:rPr>
                <w:rFonts w:hint="default"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4663F67C">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0A42666">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67E17960">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14E60EF0">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7AEEF0CC">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48B30CC6">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F841E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5F15704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97BCBB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9A4F83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434BE39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2552AEC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C9E62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FCC36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1CD5BED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326478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A66DC4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9E6870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0D8541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E3CCAA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6AB0A5E">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354465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4F1FF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EF09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2B2A2B4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35FA5CC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EA08A4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CBD6F98">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A81177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F149B2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B4EC5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6964B6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16316B1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EC6EC4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83C7862">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1D63C3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438D3C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DC075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0DE0466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45E913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2718ED8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74A024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63D5F94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C4E1E7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C0206C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072AA8F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63CA44B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2C5966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CBD9D81">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7EE326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E6D95A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4CE2B4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17D4333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65310DA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7E96E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CFA5F48">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1AAF33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C1746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0D5C17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2445EE9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73282FD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25B95F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6D274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158F32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E2AF96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28C532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78574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7D89054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6D58F2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64F2F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3680D3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F5BCDC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5A30CC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C07EBF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AE2B91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3B0A93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ADE2F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81C346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4C5248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60551A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423C985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22DE1B7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F208C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2AEE3F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C8185D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927460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FC9BF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71ABF7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5710A8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3A24BB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C3457D0">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9AEA1E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0ADEF2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8F2BC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2E4E129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CD2ADC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ADC88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6341E7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1970770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A72723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5B6DA5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098A88C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A3040E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782ECB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026071">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654B0F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74A20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4E9BEC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3893A9F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CF8B8D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BD4870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DE14AD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7215FE6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4442E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6DAB4B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8E95F9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FDAEB2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9E7DA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60F23BD">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B290A3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DE9FD2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75664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C1F30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C82907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9E3D70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F38D9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3BBADB8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66B89B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02AB09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CF304F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850619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086CA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F50533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1B6084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E8C742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6FA88C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BCB964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CA5F20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6094BE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B37280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214A5AE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BDE01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4F9F7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08B4B26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42C422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35FD86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6C4B4E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E791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F62609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01DA0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22B9504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D0E9FE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E31802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EDC712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4DB04B8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624E2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445BBB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D3D31B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BCDE8D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E81281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005ECA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F9FDBB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BEC3E9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DB8D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313D21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5BF193A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27C68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C33CA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6AE63F9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D25B0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7F1FE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5D409F2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749C95E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0049CC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1CF4906">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D1A063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9C8F3C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305E8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2A16377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275B607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39AECD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3F98E98">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574952F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9575E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C52762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BE1C01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21463F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6BCC5D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69598C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904D39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FD5E6B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FE16E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507AC65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03659B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20F0F6E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38DD0F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6F090B5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8282C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02C107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CA967C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8A388B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C6091B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BA5134">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5F89C0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0AAA3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903E7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6A7B29E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125880E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F102BC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253D3D43">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61BFD23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E6639C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7C76E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594EA7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26186F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A1655EF">
      <w:pPr>
        <w:spacing w:line="560" w:lineRule="exact"/>
        <w:ind w:firstLine="525" w:firstLineChars="250"/>
        <w:rPr>
          <w:rFonts w:ascii="宋体" w:hAnsi="宋体"/>
          <w:kern w:val="0"/>
          <w:sz w:val="20"/>
          <w:szCs w:val="21"/>
        </w:rPr>
        <w:sectPr>
          <w:footerReference r:id="rId9" w:type="default"/>
          <w:pgSz w:w="11906" w:h="16838"/>
          <w:pgMar w:top="1134" w:right="1134" w:bottom="1134" w:left="1134" w:header="720" w:footer="720" w:gutter="0"/>
          <w:pgNumType w:fmt="decimal" w:start="1"/>
          <w:cols w:space="720" w:num="1"/>
          <w:docGrid w:type="lines" w:linePitch="331" w:charSpace="0"/>
        </w:sect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1479681">
      <w:pPr>
        <w:rPr>
          <w:rFonts w:hint="eastAsia"/>
          <w:highlight w:val="none"/>
        </w:rPr>
      </w:pPr>
    </w:p>
    <w:p w14:paraId="1DAC20EB">
      <w:pPr>
        <w:pStyle w:val="3"/>
        <w:spacing w:line="360" w:lineRule="auto"/>
        <w:jc w:val="center"/>
        <w:rPr>
          <w:rFonts w:hint="eastAsia"/>
          <w:sz w:val="28"/>
          <w:highlight w:val="none"/>
        </w:rPr>
      </w:pPr>
      <w:r>
        <w:rPr>
          <w:rFonts w:hint="eastAsia"/>
          <w:highlight w:val="none"/>
        </w:rPr>
        <w:t>第四章  评审程序和评定成交的标准</w:t>
      </w:r>
      <w:bookmarkEnd w:id="76"/>
    </w:p>
    <w:p w14:paraId="617A33EA">
      <w:pPr>
        <w:spacing w:line="360" w:lineRule="auto"/>
        <w:jc w:val="center"/>
        <w:rPr>
          <w:rFonts w:hint="eastAsia" w:ascii="宋体" w:hAnsi="宋体"/>
          <w:b/>
          <w:sz w:val="32"/>
          <w:szCs w:val="32"/>
          <w:highlight w:val="none"/>
        </w:rPr>
      </w:pPr>
      <w:r>
        <w:rPr>
          <w:rFonts w:hint="eastAsia" w:ascii="宋体" w:hAnsi="宋体"/>
          <w:b/>
          <w:sz w:val="32"/>
          <w:szCs w:val="32"/>
          <w:highlight w:val="none"/>
        </w:rPr>
        <w:t>一、评审程序</w:t>
      </w:r>
    </w:p>
    <w:p w14:paraId="7F2C583A">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.确认谈判文件</w:t>
      </w:r>
    </w:p>
    <w:p w14:paraId="2B59730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由谈判小组确认谈判文件。</w:t>
      </w:r>
    </w:p>
    <w:p w14:paraId="1FB29842">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.资格审查</w:t>
      </w:r>
    </w:p>
    <w:p w14:paraId="3A947C33">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.1响应文件开启后，谈判小组依法对供应商的资格证明文件进行审查。</w:t>
      </w:r>
    </w:p>
    <w:p w14:paraId="03012DE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注：提交响应文件截止时间前一天至资格审查结束前，对供应商进行信用查询。</w:t>
      </w:r>
    </w:p>
    <w:p w14:paraId="2DC64B3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查询渠道：“信用中国”网站(www.creditchina.gov.cn) 、中国政府采购网(www.ccgp.gov.cn)。信用查询截止时点：资格审查结束前。</w:t>
      </w:r>
    </w:p>
    <w:p w14:paraId="268E041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查询记录和证据留存方式：在查询网站中直接查询，截图另存为电子文档作为评审资料保存。</w:t>
      </w:r>
    </w:p>
    <w:p w14:paraId="154931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BEBC9D">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.2资格审查标准为本谈判文件中载明对供应商资格要求的条件。本项目资格审查采用合格制，凡符合谈判文件规定的供应商资格要求的供应商均通过资格审查。</w:t>
      </w:r>
    </w:p>
    <w:p w14:paraId="57D56AB0">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 供应商有下列情形之一的，资格审查不通过，其响应文件作无效处理：</w:t>
      </w:r>
    </w:p>
    <w:p w14:paraId="7286E45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）不具备谈判文件中规定的资格要求的；</w:t>
      </w:r>
    </w:p>
    <w:p w14:paraId="2A9F289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）响应文件未提供任一项“供应商须知前附表”资格证明文件规定的“必须提供”的文件资料的。</w:t>
      </w:r>
    </w:p>
    <w:p w14:paraId="6AE2E7C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）响应文件提供的资格证明文件出现任一项不符合“供应商须知前附表”资格证明文件规定的“必须提供”的文件资料要求或者无效的；</w:t>
      </w:r>
    </w:p>
    <w:p w14:paraId="4104C028">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.4通过资格审查的合格供应商不足3家（本章</w:t>
      </w:r>
      <w:r>
        <w:rPr>
          <w:rFonts w:ascii="宋体" w:hAnsi="宋体" w:cs="宋体"/>
          <w:szCs w:val="21"/>
          <w:highlight w:val="none"/>
        </w:rPr>
        <w:t>3</w:t>
      </w:r>
      <w:r>
        <w:rPr>
          <w:rFonts w:hint="eastAsia" w:ascii="宋体" w:hAnsi="宋体" w:cs="宋体"/>
          <w:szCs w:val="21"/>
          <w:highlight w:val="none"/>
        </w:rPr>
        <w:t>.6条规定除外）的，不得进入符合性审查环节，应当重新开展采购活动。</w:t>
      </w:r>
    </w:p>
    <w:p w14:paraId="2B862289">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.符合性审查</w:t>
      </w:r>
    </w:p>
    <w:p w14:paraId="6E18E39A">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w:t>
      </w:r>
      <w:r>
        <w:rPr>
          <w:rFonts w:hint="eastAsia" w:ascii="宋体" w:hAnsi="宋体" w:cs="宋体"/>
          <w:szCs w:val="21"/>
          <w:highlight w:val="none"/>
        </w:rPr>
        <w:t>谈判小组应当对符合资格的供应商的响应文件进行竞标报价、商务、技术等实质性要求符合性审查，以确定其是否满足谈判文件的实质性要求。</w:t>
      </w:r>
    </w:p>
    <w:p w14:paraId="206458F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C8C54">
      <w:pPr>
        <w:spacing w:line="360" w:lineRule="auto"/>
        <w:ind w:firstLine="420" w:firstLineChars="200"/>
        <w:rPr>
          <w:rFonts w:ascii="宋体" w:hAnsi="宋体" w:cs="宋体"/>
          <w:spacing w:val="-6"/>
          <w:szCs w:val="21"/>
          <w:highlight w:val="none"/>
        </w:rPr>
      </w:pPr>
      <w:r>
        <w:rPr>
          <w:rFonts w:ascii="宋体" w:hAnsi="宋体" w:cs="宋体"/>
          <w:szCs w:val="21"/>
          <w:highlight w:val="none"/>
        </w:rPr>
        <w:t>3</w:t>
      </w:r>
      <w:r>
        <w:rPr>
          <w:rFonts w:hint="eastAsia" w:ascii="宋体" w:hAnsi="宋体" w:cs="宋体"/>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highlight w:val="none"/>
        </w:rPr>
        <w:t>有利于采购人</w:t>
      </w:r>
      <w:r>
        <w:rPr>
          <w:rFonts w:hint="eastAsia" w:ascii="宋体" w:hAnsi="宋体" w:cs="宋体"/>
          <w:szCs w:val="21"/>
          <w:highlight w:val="none"/>
        </w:rPr>
        <w:t>的原则由谈判小组进行判定。供应商的澄清、说明或者更正必须加盖电子签章。</w:t>
      </w:r>
    </w:p>
    <w:p w14:paraId="03C2FCB7">
      <w:pPr>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194FC3F">
      <w:pPr>
        <w:spacing w:line="360" w:lineRule="auto"/>
        <w:ind w:firstLine="396" w:firstLineChars="200"/>
        <w:rPr>
          <w:rFonts w:hint="eastAsia" w:ascii="宋体" w:hAnsi="宋体" w:cs="宋体"/>
          <w:szCs w:val="21"/>
          <w:highlight w:val="none"/>
        </w:rPr>
      </w:pPr>
      <w:r>
        <w:rPr>
          <w:rFonts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1AF7BEA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6DCD9DC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14:paraId="755876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3E7239D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682B3B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3B078ED7">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14:paraId="30F411FE">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19C339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（1）商务技术评审</w:t>
      </w:r>
    </w:p>
    <w:p w14:paraId="28D4AC2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1）响应文件未按谈判文件要求签署、盖章的；</w:t>
      </w:r>
    </w:p>
    <w:p w14:paraId="790D4B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2）委托代理人未能出具有效身份证明或者出具的身份证明与授权委托书中的信息不符的； </w:t>
      </w:r>
    </w:p>
    <w:p w14:paraId="600411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3）提交的竞标保证金无效的或者未按照谈判文件的规定提交竞标保证金；</w:t>
      </w:r>
    </w:p>
    <w:p w14:paraId="19918F7E">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D0606F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5）商务条款中标“▲”的条款发生负偏离的或者允许负偏离的条款数超过“供应商须知前附表”规定项数的或者标明实质性的要求发生负偏离；</w:t>
      </w:r>
    </w:p>
    <w:p w14:paraId="74575B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6）未对竞标有效期作出响应或者响应文件承诺的竞标有效期不满足谈判文件要求；</w:t>
      </w:r>
    </w:p>
    <w:p w14:paraId="1D8A8D7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7）响应文件的实质性内容未使用中文表述、使用计量单位不符合谈判文件要求的；</w:t>
      </w:r>
    </w:p>
    <w:p w14:paraId="37A415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8）响应文件中的文件资料因填写不齐全或者内容虚假或者出现其他情形而导致被谈判小组认定无效的；</w:t>
      </w:r>
    </w:p>
    <w:p w14:paraId="6F95C52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9）响应文件含有采购人不能接受的附加条件的；</w:t>
      </w:r>
    </w:p>
    <w:p w14:paraId="1FFDD536">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0）属于“供应商须知正文”第7.</w:t>
      </w:r>
      <w:r>
        <w:rPr>
          <w:rFonts w:ascii="宋体" w:hAnsi="宋体" w:cs="宋体"/>
          <w:szCs w:val="21"/>
          <w:highlight w:val="none"/>
        </w:rPr>
        <w:t>5</w:t>
      </w:r>
      <w:r>
        <w:rPr>
          <w:rFonts w:hint="eastAsia" w:ascii="宋体" w:hAnsi="宋体" w:cs="宋体"/>
          <w:szCs w:val="21"/>
          <w:highlight w:val="none"/>
        </w:rPr>
        <w:t>条的情形的；</w:t>
      </w:r>
    </w:p>
    <w:p w14:paraId="120CC83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11）技术评审允许负偏离的条款数超过“供应商须知前附表”规定项数的；</w:t>
      </w:r>
    </w:p>
    <w:p w14:paraId="553D8A32">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2）虚假竞标，或者出现其他情形而导致被谈判小组认定无效的；</w:t>
      </w:r>
    </w:p>
    <w:p w14:paraId="3C3747CB">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3）竞标技术方案不明确，谈判文件未允许但存在一个或者一个以上备选（替代）竞标方案的；</w:t>
      </w:r>
    </w:p>
    <w:p w14:paraId="5698AEC5">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4）响应文件标注的项目名称或者项目编号与竞争性谈判文件标注的项目名称或者项目编号不一致的；</w:t>
      </w:r>
    </w:p>
    <w:p w14:paraId="0960CCA9">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 xml:space="preserve">5）未响应谈判文件实质性要求的； </w:t>
      </w:r>
    </w:p>
    <w:p w14:paraId="69E905F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16）法律、法规和谈判文件规定的其他无效情形。</w:t>
      </w:r>
    </w:p>
    <w:p w14:paraId="460980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2）报</w:t>
      </w:r>
      <w:r>
        <w:rPr>
          <w:rFonts w:hint="eastAsia" w:ascii="宋体" w:hAnsi="宋体" w:cs="宋体"/>
          <w:szCs w:val="21"/>
          <w:highlight w:val="none"/>
        </w:rPr>
        <w:t>价评审</w:t>
      </w:r>
    </w:p>
    <w:p w14:paraId="79D12E4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1)响应文件未提供“供应商须知前附表” 报价商务技术文件中规定的“竞标报价表”的；</w:t>
      </w:r>
    </w:p>
    <w:p w14:paraId="749F11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2）未采用人民币报价或者未按照谈判文件标明的币种报价的；</w:t>
      </w:r>
    </w:p>
    <w:p w14:paraId="293E250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6B8E74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EB37F9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C29FD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响应文件响应的标的数量及单位与竞争性谈判采购文件要求实质性不一致的。</w:t>
      </w:r>
    </w:p>
    <w:p w14:paraId="535A9896">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2FDD986">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5112209">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.8通过符合性审查的合格供应商不足3家的，不得进入谈判环节，应当重新开展采购活动。</w:t>
      </w:r>
    </w:p>
    <w:p w14:paraId="7DB452B2">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w:t>
      </w:r>
      <w:r>
        <w:rPr>
          <w:rFonts w:ascii="黑体" w:hAnsi="黑体" w:eastAsia="黑体" w:cs="宋体"/>
          <w:b/>
          <w:bCs/>
          <w:sz w:val="24"/>
          <w:highlight w:val="none"/>
        </w:rPr>
        <w:t>.</w:t>
      </w:r>
      <w:r>
        <w:rPr>
          <w:rFonts w:hint="eastAsia" w:ascii="黑体" w:hAnsi="黑体" w:eastAsia="黑体" w:cs="宋体"/>
          <w:b/>
          <w:bCs/>
          <w:sz w:val="24"/>
          <w:highlight w:val="none"/>
        </w:rPr>
        <w:t>谈判程序</w:t>
      </w:r>
    </w:p>
    <w:p w14:paraId="41D26DA7">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59D63A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5B2CCF57">
      <w:pPr>
        <w:spacing w:line="360" w:lineRule="auto"/>
        <w:ind w:firstLine="420" w:firstLineChars="200"/>
        <w:rPr>
          <w:rFonts w:hint="eastAsia"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对谈判文件作出的实质性变动是谈判文件的有效组成部分，谈判小组应当及时以电子澄清函形式同时通知所有参加谈判的供应商。</w:t>
      </w:r>
    </w:p>
    <w:p w14:paraId="5571D17E">
      <w:pPr>
        <w:spacing w:line="360" w:lineRule="auto"/>
        <w:ind w:firstLine="420" w:firstLineChars="200"/>
        <w:rPr>
          <w:rFonts w:hint="eastAsia"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供应商必须按照谈判文件的变动情况和谈判小组的要求以回函的形式重新提交响应文</w:t>
      </w:r>
    </w:p>
    <w:p w14:paraId="451EF334">
      <w:pPr>
        <w:spacing w:line="360" w:lineRule="auto"/>
        <w:rPr>
          <w:rFonts w:hint="eastAsia" w:ascii="宋体" w:hAnsi="宋体" w:cs="宋体"/>
          <w:szCs w:val="21"/>
          <w:highlight w:val="none"/>
        </w:rPr>
      </w:pPr>
      <w:r>
        <w:rPr>
          <w:rFonts w:hint="eastAsia" w:ascii="宋体" w:hAnsi="宋体" w:cs="宋体"/>
          <w:szCs w:val="21"/>
          <w:highlight w:val="none"/>
        </w:rPr>
        <w:t>件，并加盖电子签章。参加谈判的供应商未在规定时间内重新提交响应文件的，视同退出谈判，</w:t>
      </w:r>
    </w:p>
    <w:p w14:paraId="0498E3F5">
      <w:pPr>
        <w:spacing w:line="360" w:lineRule="auto"/>
        <w:rPr>
          <w:rFonts w:hint="eastAsia" w:ascii="宋体" w:hAnsi="宋体" w:cs="宋体"/>
          <w:szCs w:val="21"/>
          <w:highlight w:val="none"/>
        </w:rPr>
      </w:pPr>
      <w:r>
        <w:rPr>
          <w:rFonts w:hint="eastAsia" w:ascii="宋体" w:hAnsi="宋体" w:cs="宋体"/>
          <w:szCs w:val="21"/>
          <w:highlight w:val="none"/>
        </w:rPr>
        <w:t>其响应文件按无效处理。</w:t>
      </w:r>
    </w:p>
    <w:p w14:paraId="16951DFC">
      <w:pPr>
        <w:spacing w:line="360" w:lineRule="auto"/>
        <w:ind w:firstLine="420" w:firstLineChars="200"/>
        <w:rPr>
          <w:rFonts w:hint="eastAsia"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谈判中，谈判的任何一方不得透露与谈判有关的其他供应商的技术资料、价格和其他信息。</w:t>
      </w:r>
    </w:p>
    <w:p w14:paraId="6873325F">
      <w:pPr>
        <w:widowControl/>
        <w:tabs>
          <w:tab w:val="left" w:pos="540"/>
        </w:tabs>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采购代理机构对谈判过程和重要谈判内容进行记录。</w:t>
      </w:r>
    </w:p>
    <w:p w14:paraId="7DB6A31C">
      <w:pPr>
        <w:widowControl/>
        <w:tabs>
          <w:tab w:val="left" w:pos="540"/>
        </w:tabs>
        <w:spacing w:line="360" w:lineRule="auto"/>
        <w:ind w:firstLine="420" w:firstLineChars="200"/>
        <w:jc w:val="left"/>
        <w:rPr>
          <w:rFonts w:hint="eastAsia" w:ascii="宋体" w:hAnsi="宋体" w:cs="宋体"/>
          <w:highlight w:val="none"/>
        </w:rPr>
      </w:pPr>
      <w:r>
        <w:rPr>
          <w:rFonts w:ascii="宋体" w:hAnsi="宋体" w:cs="宋体"/>
          <w:szCs w:val="21"/>
          <w:highlight w:val="none"/>
        </w:rPr>
        <w:t>4.7</w:t>
      </w:r>
      <w:r>
        <w:rPr>
          <w:rFonts w:hint="eastAsia" w:ascii="宋体" w:hAnsi="宋体" w:cs="宋体"/>
          <w:highlight w:val="none"/>
        </w:rPr>
        <w:t>除本章第 3.7 条外，对谈判过程提交的响应文件进行有效性、完整性和响应程度审查，</w:t>
      </w:r>
    </w:p>
    <w:p w14:paraId="5EBB0EDF">
      <w:pPr>
        <w:widowControl/>
        <w:tabs>
          <w:tab w:val="left" w:pos="540"/>
        </w:tabs>
        <w:spacing w:line="360" w:lineRule="auto"/>
        <w:jc w:val="left"/>
        <w:rPr>
          <w:rFonts w:hint="eastAsia" w:ascii="宋体" w:hAnsi="宋体" w:cs="宋体"/>
          <w:szCs w:val="21"/>
          <w:highlight w:val="none"/>
        </w:rPr>
      </w:pPr>
      <w:r>
        <w:rPr>
          <w:rFonts w:hint="eastAsia" w:ascii="宋体" w:hAnsi="宋体" w:cs="宋体"/>
          <w:highlight w:val="none"/>
        </w:rPr>
        <w:t>通过审查的合格供应商不足 3 家的，采购人或者采购代理机构应当重新开展采购活动</w:t>
      </w:r>
      <w:r>
        <w:rPr>
          <w:rFonts w:hint="eastAsia" w:ascii="宋体" w:hAnsi="宋体" w:cs="宋体"/>
          <w:szCs w:val="21"/>
          <w:highlight w:val="none"/>
        </w:rPr>
        <w:t>。</w:t>
      </w:r>
    </w:p>
    <w:p w14:paraId="6723633C">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最后谈判结束后，谈判小组不得再与供应商进行任何形式的商谈。</w:t>
      </w:r>
    </w:p>
    <w:p w14:paraId="5D4BBC0A">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最后报价</w:t>
      </w:r>
    </w:p>
    <w:p w14:paraId="7672DED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.1</w:t>
      </w:r>
      <w:r>
        <w:rPr>
          <w:rFonts w:hint="eastAsia" w:ascii="宋体" w:hAnsi="宋体" w:cs="宋体"/>
          <w:szCs w:val="21"/>
          <w:highlight w:val="none"/>
        </w:rPr>
        <w:t xml:space="preserve"> 谈判文件能够详细列明采购标的的技术、服务要求的，谈判结束后，谈判小组应当要求</w:t>
      </w:r>
    </w:p>
    <w:p w14:paraId="13AEE171">
      <w:pPr>
        <w:spacing w:line="360" w:lineRule="auto"/>
        <w:rPr>
          <w:rFonts w:hint="eastAsia" w:ascii="宋体" w:hAnsi="宋体" w:cs="宋体"/>
          <w:szCs w:val="21"/>
          <w:highlight w:val="none"/>
        </w:rPr>
      </w:pPr>
      <w:r>
        <w:rPr>
          <w:rFonts w:hint="eastAsia" w:ascii="宋体" w:hAnsi="宋体" w:cs="宋体"/>
          <w:szCs w:val="21"/>
          <w:highlight w:val="none"/>
        </w:rPr>
        <w:t>所有继续参加谈判的供应商在规定时间内在“广西政府采购云”平台开标大厅提交最后报价，除本章第3.7 条外，提交最后报价的供应商不得少于 3 家，否则应当重新采购。</w:t>
      </w:r>
    </w:p>
    <w:p w14:paraId="205CD494">
      <w:pPr>
        <w:spacing w:line="360" w:lineRule="auto"/>
        <w:ind w:firstLine="420" w:firstLineChars="200"/>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 xml:space="preserve"> 谈判文件不能详细列明采购标的的技术、服务要求，需经谈判由供应商提供最后设计方</w:t>
      </w:r>
    </w:p>
    <w:p w14:paraId="2BDC6F48">
      <w:pPr>
        <w:spacing w:line="360" w:lineRule="auto"/>
        <w:rPr>
          <w:rFonts w:hint="eastAsia" w:ascii="宋体" w:hAnsi="宋体" w:cs="宋体"/>
          <w:szCs w:val="21"/>
          <w:highlight w:val="none"/>
        </w:rPr>
      </w:pPr>
      <w:r>
        <w:rPr>
          <w:rFonts w:hint="eastAsia" w:ascii="宋体" w:hAnsi="宋体" w:cs="宋体"/>
          <w:szCs w:val="21"/>
          <w:highlight w:val="none"/>
        </w:rPr>
        <w:t>案或者解决方案的，谈判结束后，谈判小组应当按照少数服从多数的原则投票推荐 3 家以上供应商的设计方案或者解决方案，并要求其在规定时间内在“广西政府采购云”平台开标大厅提交最后报价。</w:t>
      </w:r>
    </w:p>
    <w:p w14:paraId="7C0AA906">
      <w:pPr>
        <w:spacing w:line="360" w:lineRule="auto"/>
        <w:ind w:firstLine="420" w:firstLineChars="200"/>
        <w:rPr>
          <w:rFonts w:hint="eastAsia"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最后报价是供应商响应文件的有效组成部分。</w:t>
      </w:r>
    </w:p>
    <w:p w14:paraId="28430CEB">
      <w:pPr>
        <w:spacing w:line="360" w:lineRule="auto"/>
        <w:ind w:firstLine="420" w:firstLineChars="200"/>
        <w:rPr>
          <w:rFonts w:hint="eastAsia"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已经提交响应文件的供应商，在提交最后报价之前，可以根据谈判情况退出谈判。采购人、采购代理机构将退还退出谈判的供应商的保证金。</w:t>
      </w:r>
    </w:p>
    <w:p w14:paraId="71841F2D">
      <w:pPr>
        <w:spacing w:line="360" w:lineRule="auto"/>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供应商未在规定时间内提交最后报价的，视为退出谈判，其响应文件作无效处理。</w:t>
      </w:r>
    </w:p>
    <w:p w14:paraId="451728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.6</w:t>
      </w:r>
      <w:r>
        <w:rPr>
          <w:rFonts w:hint="eastAsia" w:ascii="宋体" w:hAnsi="宋体" w:cs="宋体"/>
          <w:szCs w:val="21"/>
          <w:highlight w:val="none"/>
        </w:rPr>
        <w:t>谈判小组收齐某一分标最后报价后统一开启，谈判小组对最后报价进行有效性、完整性和响应程度的审查。</w:t>
      </w:r>
    </w:p>
    <w:p w14:paraId="68D56686">
      <w:pPr>
        <w:spacing w:line="360" w:lineRule="auto"/>
        <w:ind w:firstLine="420" w:firstLineChars="200"/>
        <w:rPr>
          <w:rFonts w:hint="eastAsia" w:ascii="宋体" w:hAnsi="宋体" w:cs="宋体"/>
          <w:szCs w:val="21"/>
          <w:highlight w:val="none"/>
        </w:rPr>
      </w:pPr>
      <w:r>
        <w:rPr>
          <w:rFonts w:ascii="宋体" w:hAnsi="宋体" w:cs="宋体"/>
          <w:szCs w:val="21"/>
          <w:highlight w:val="none"/>
        </w:rPr>
        <w:t>5.7</w:t>
      </w:r>
      <w:r>
        <w:rPr>
          <w:rFonts w:hint="eastAsia" w:ascii="宋体" w:hAnsi="宋体" w:cs="宋体"/>
          <w:szCs w:val="21"/>
          <w:highlight w:val="none"/>
        </w:rPr>
        <w:t>响应文件首次及最后报价出现前后不一致的，按照本章第</w:t>
      </w:r>
      <w:r>
        <w:rPr>
          <w:rFonts w:ascii="宋体" w:hAnsi="宋体" w:cs="宋体"/>
          <w:szCs w:val="21"/>
          <w:highlight w:val="none"/>
        </w:rPr>
        <w:t>3.4</w:t>
      </w:r>
      <w:r>
        <w:rPr>
          <w:rFonts w:hint="eastAsia" w:ascii="宋体" w:hAnsi="宋体" w:cs="宋体"/>
          <w:szCs w:val="21"/>
          <w:highlight w:val="none"/>
        </w:rPr>
        <w:t xml:space="preserve">条的规定修正。 </w:t>
      </w:r>
    </w:p>
    <w:p w14:paraId="42B4CF1A">
      <w:pPr>
        <w:spacing w:line="360" w:lineRule="auto"/>
        <w:ind w:firstLine="420" w:firstLineChars="200"/>
        <w:rPr>
          <w:rFonts w:ascii="宋体" w:hAnsi="宋体" w:cs="宋体"/>
          <w:szCs w:val="21"/>
          <w:highlight w:val="none"/>
        </w:rPr>
      </w:pPr>
      <w:r>
        <w:rPr>
          <w:rFonts w:ascii="宋体" w:hAnsi="宋体" w:cs="宋体"/>
          <w:szCs w:val="21"/>
          <w:highlight w:val="none"/>
        </w:rPr>
        <w:t>5.8</w:t>
      </w:r>
      <w:r>
        <w:rPr>
          <w:rFonts w:hint="eastAsia" w:ascii="宋体" w:hAnsi="宋体" w:cs="宋体"/>
          <w:szCs w:val="21"/>
          <w:highlight w:val="none"/>
        </w:rPr>
        <w:t>修正后的报价出现下列情形的，按无效响应处理：</w:t>
      </w:r>
    </w:p>
    <w:p w14:paraId="22D732E1">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w:t>
      </w:r>
    </w:p>
    <w:p w14:paraId="2382B61B">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14042982">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16B6AF11">
      <w:pPr>
        <w:spacing w:line="360" w:lineRule="auto"/>
        <w:ind w:firstLine="420" w:firstLineChars="200"/>
        <w:rPr>
          <w:rFonts w:hint="eastAsia" w:ascii="宋体" w:hAnsi="宋体" w:cs="宋体"/>
          <w:szCs w:val="21"/>
          <w:highlight w:val="none"/>
        </w:rPr>
      </w:pPr>
      <w:r>
        <w:rPr>
          <w:rFonts w:ascii="宋体" w:hAnsi="宋体" w:cs="宋体"/>
          <w:szCs w:val="21"/>
          <w:highlight w:val="none"/>
        </w:rPr>
        <w:t>5.9</w:t>
      </w:r>
      <w:r>
        <w:rPr>
          <w:rFonts w:hint="eastAsia" w:ascii="宋体" w:hAnsi="宋体" w:cs="宋体"/>
          <w:szCs w:val="21"/>
          <w:highlight w:val="none"/>
        </w:rPr>
        <w:t>经供应商确认修正后的最后报价作为评审及签订合同的依据。</w:t>
      </w:r>
    </w:p>
    <w:p w14:paraId="70DC2DA2">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sz w:val="22"/>
          <w:szCs w:val="22"/>
          <w:highlight w:val="none"/>
        </w:rPr>
        <w:t>，谈判小组应当告知有关供应商</w:t>
      </w:r>
      <w:r>
        <w:rPr>
          <w:rFonts w:hint="eastAsia" w:ascii="宋体" w:hAnsi="宋体" w:cs="宋体"/>
          <w:szCs w:val="21"/>
          <w:highlight w:val="none"/>
        </w:rPr>
        <w:t>。</w:t>
      </w:r>
    </w:p>
    <w:p w14:paraId="22B1424C">
      <w:pPr>
        <w:spacing w:line="360" w:lineRule="auto"/>
        <w:ind w:firstLine="420" w:firstLineChars="200"/>
        <w:rPr>
          <w:rFonts w:hint="eastAsia"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1最后报价结束后，谈判小组不得再与供应商进行任何形式的商谈。</w:t>
      </w:r>
    </w:p>
    <w:p w14:paraId="0D221D36">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17DFB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bookmarkStart w:id="77" w:name="OLE_LINK4"/>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1BD8188">
      <w:pPr>
        <w:spacing w:line="360" w:lineRule="auto"/>
        <w:ind w:firstLine="420" w:firstLineChars="200"/>
        <w:rPr>
          <w:rFonts w:hint="eastAsia" w:ascii="宋体" w:hAnsi="宋体" w:cs="宋体"/>
          <w:color w:val="auto"/>
        </w:rPr>
      </w:pPr>
      <w:r>
        <w:rPr>
          <w:rFonts w:hint="eastAsia" w:ascii="宋体" w:hAnsi="宋体" w:cs="宋体"/>
          <w:color w:val="auto"/>
          <w:szCs w:val="21"/>
        </w:rPr>
        <w:t>6.2</w:t>
      </w:r>
      <w:r>
        <w:rPr>
          <w:rFonts w:hint="eastAsia" w:ascii="宋体" w:hAnsi="宋体" w:cs="宋体"/>
          <w:color w:val="auto"/>
        </w:rPr>
        <w:t>政策性扣除计算方法。</w:t>
      </w:r>
    </w:p>
    <w:p w14:paraId="029AD5C1">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根据《政府采购促进中小企业发展管理办法》（财库〔2020〕46号）的规定，供应商在其响应文件中提供《中小企业声明函》，</w:t>
      </w:r>
      <w:r>
        <w:rPr>
          <w:rFonts w:hint="eastAsia" w:ascii="宋体" w:hAnsi="宋体"/>
          <w:bCs/>
          <w:color w:val="auto"/>
          <w:szCs w:val="21"/>
          <w:highlight w:val="none"/>
        </w:rPr>
        <w:t>且其竞标全部货物均由小微企业提供的</w:t>
      </w:r>
      <w:r>
        <w:rPr>
          <w:rFonts w:hint="eastAsia" w:ascii="宋体" w:hAnsi="宋体" w:cs="宋体"/>
          <w:color w:val="auto"/>
          <w:szCs w:val="21"/>
          <w:highlight w:val="none"/>
        </w:rPr>
        <w:t>，</w:t>
      </w:r>
      <w:r>
        <w:rPr>
          <w:rFonts w:hint="eastAsia" w:ascii="宋体" w:hAnsi="宋体"/>
          <w:bCs/>
          <w:color w:val="auto"/>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w:t>
      </w:r>
    </w:p>
    <w:p w14:paraId="370D437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36CBC55">
      <w:pPr>
        <w:spacing w:line="360" w:lineRule="auto"/>
        <w:ind w:firstLine="420" w:firstLineChars="200"/>
        <w:rPr>
          <w:rFonts w:hint="eastAsia" w:ascii="宋体" w:hAnsi="宋体" w:cs="宋体"/>
          <w:color w:val="auto"/>
        </w:rPr>
      </w:pPr>
      <w:r>
        <w:rPr>
          <w:rFonts w:hint="eastAsia" w:ascii="宋体" w:hAnsi="宋体" w:cs="宋体"/>
          <w:color w:val="auto"/>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auto"/>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6ADE2C">
      <w:pPr>
        <w:spacing w:line="360" w:lineRule="auto"/>
        <w:ind w:firstLine="420" w:firstLineChars="200"/>
        <w:rPr>
          <w:rFonts w:hint="eastAsia" w:ascii="宋体" w:hAnsi="宋体" w:cs="宋体"/>
          <w:color w:val="auto"/>
        </w:rPr>
      </w:pPr>
      <w:r>
        <w:rPr>
          <w:rFonts w:hint="eastAsia" w:ascii="宋体" w:hAnsi="宋体" w:cs="宋体"/>
          <w:color w:val="auto"/>
        </w:rPr>
        <w:t>6.5除上述情况外，评审价＝最后报价。</w:t>
      </w:r>
      <w:bookmarkEnd w:id="77"/>
    </w:p>
    <w:p w14:paraId="37006B2D">
      <w:pPr>
        <w:spacing w:line="360" w:lineRule="auto"/>
        <w:rPr>
          <w:rFonts w:hint="eastAsia" w:ascii="宋体" w:hAnsi="宋体" w:cs="宋体"/>
          <w:highlight w:val="none"/>
        </w:rPr>
      </w:pPr>
    </w:p>
    <w:p w14:paraId="2BA7830F">
      <w:pPr>
        <w:spacing w:line="360" w:lineRule="auto"/>
        <w:jc w:val="center"/>
        <w:rPr>
          <w:rFonts w:hint="eastAsia" w:ascii="宋体" w:hAnsi="宋体"/>
          <w:b/>
          <w:sz w:val="32"/>
          <w:szCs w:val="32"/>
          <w:highlight w:val="none"/>
        </w:rPr>
      </w:pPr>
      <w:r>
        <w:rPr>
          <w:rFonts w:hint="eastAsia" w:ascii="宋体" w:hAnsi="宋体"/>
          <w:b/>
          <w:sz w:val="32"/>
          <w:szCs w:val="32"/>
          <w:highlight w:val="none"/>
        </w:rPr>
        <w:t>二、评定成交的标准</w:t>
      </w:r>
    </w:p>
    <w:p w14:paraId="069B0B97">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7.</w:t>
      </w:r>
      <w:r>
        <w:rPr>
          <w:rFonts w:hint="eastAsia" w:ascii="黑体" w:hAnsi="黑体" w:eastAsia="黑体" w:cs="宋体"/>
          <w:b/>
          <w:bCs/>
          <w:sz w:val="24"/>
          <w:highlight w:val="none"/>
        </w:rPr>
        <w:t xml:space="preserve"> 成交候选人推荐原则</w:t>
      </w:r>
    </w:p>
    <w:p w14:paraId="2B1132C9">
      <w:pPr>
        <w:spacing w:line="360" w:lineRule="auto"/>
        <w:ind w:firstLine="420" w:firstLineChars="200"/>
        <w:rPr>
          <w:rFonts w:hint="eastAsia" w:ascii="宋体" w:hAnsi="宋体" w:cs="宋体"/>
          <w:highlight w:val="none"/>
        </w:rPr>
      </w:pPr>
      <w:r>
        <w:rPr>
          <w:rFonts w:hint="eastAsia" w:ascii="宋体" w:hAnsi="宋体" w:cs="宋体"/>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highlight w:val="none"/>
        </w:rPr>
        <w:t>6</w:t>
      </w:r>
      <w:r>
        <w:rPr>
          <w:rFonts w:hint="eastAsia" w:ascii="宋体" w:hAnsi="宋体" w:cs="宋体"/>
          <w:highlight w:val="none"/>
        </w:rPr>
        <w:t>条规定的顺序推荐）,并编写评审报</w:t>
      </w:r>
    </w:p>
    <w:p w14:paraId="6A3ED185">
      <w:pPr>
        <w:spacing w:line="360" w:lineRule="auto"/>
        <w:rPr>
          <w:rFonts w:hint="eastAsia" w:ascii="宋体" w:hAnsi="宋体" w:cs="宋体"/>
          <w:highlight w:val="none"/>
        </w:rPr>
      </w:pPr>
      <w:r>
        <w:rPr>
          <w:rFonts w:hint="eastAsia" w:ascii="宋体" w:hAnsi="宋体" w:cs="宋体"/>
          <w:highlight w:val="none"/>
        </w:rPr>
        <w:t>告，评审报告通过电子交易平台向采购人、采购代理机构提交。</w:t>
      </w:r>
    </w:p>
    <w:p w14:paraId="20136126">
      <w:pPr>
        <w:pStyle w:val="3"/>
        <w:jc w:val="center"/>
        <w:rPr>
          <w:highlight w:val="none"/>
        </w:rPr>
      </w:pPr>
      <w:r>
        <w:rPr>
          <w:highlight w:val="none"/>
        </w:rPr>
        <w:br w:type="page"/>
      </w:r>
      <w:bookmarkStart w:id="78" w:name="_Toc11735"/>
    </w:p>
    <w:p w14:paraId="066C7FDA">
      <w:pPr>
        <w:pStyle w:val="3"/>
        <w:jc w:val="center"/>
        <w:rPr>
          <w:highlight w:val="none"/>
        </w:rPr>
      </w:pPr>
    </w:p>
    <w:p w14:paraId="7B8F4C68">
      <w:pPr>
        <w:pStyle w:val="3"/>
        <w:jc w:val="center"/>
        <w:rPr>
          <w:highlight w:val="none"/>
        </w:rPr>
      </w:pPr>
    </w:p>
    <w:p w14:paraId="60097788">
      <w:pPr>
        <w:pStyle w:val="3"/>
        <w:jc w:val="center"/>
        <w:rPr>
          <w:highlight w:val="none"/>
        </w:rPr>
      </w:pPr>
    </w:p>
    <w:p w14:paraId="22575EC3">
      <w:pPr>
        <w:pStyle w:val="3"/>
        <w:jc w:val="center"/>
        <w:rPr>
          <w:rFonts w:hint="eastAsia"/>
          <w:highlight w:val="none"/>
        </w:rPr>
      </w:pPr>
      <w:r>
        <w:rPr>
          <w:rFonts w:hint="eastAsia"/>
          <w:highlight w:val="none"/>
        </w:rPr>
        <w:t>第五章 响应文件格式</w:t>
      </w:r>
      <w:bookmarkEnd w:id="78"/>
    </w:p>
    <w:p w14:paraId="66FB99B6">
      <w:pPr>
        <w:spacing w:line="240" w:lineRule="atLeast"/>
        <w:rPr>
          <w:rFonts w:hint="eastAsia" w:ascii="宋体" w:hAnsi="宋体"/>
          <w:b/>
          <w:sz w:val="32"/>
          <w:szCs w:val="32"/>
          <w:highlight w:val="none"/>
        </w:rPr>
      </w:pPr>
    </w:p>
    <w:p w14:paraId="4B67DB0B">
      <w:pPr>
        <w:snapToGrid w:val="0"/>
        <w:spacing w:before="50" w:after="50"/>
        <w:rPr>
          <w:rFonts w:hint="eastAsia" w:ascii="宋体" w:hAnsi="宋体"/>
          <w:b/>
          <w:bCs/>
          <w:sz w:val="24"/>
          <w:highlight w:val="none"/>
        </w:rPr>
      </w:pPr>
    </w:p>
    <w:p w14:paraId="7F8FCFAE">
      <w:pPr>
        <w:snapToGrid w:val="0"/>
        <w:spacing w:before="120" w:beforeLines="50" w:after="50"/>
        <w:rPr>
          <w:rFonts w:hint="eastAsia" w:ascii="宋体" w:hAnsi="宋体"/>
          <w:sz w:val="24"/>
          <w:szCs w:val="20"/>
          <w:highlight w:val="none"/>
        </w:rPr>
      </w:pPr>
    </w:p>
    <w:p w14:paraId="345A9758">
      <w:pPr>
        <w:snapToGrid w:val="0"/>
        <w:spacing w:before="120" w:beforeLines="50" w:after="50"/>
        <w:jc w:val="center"/>
        <w:rPr>
          <w:rFonts w:hint="eastAsia" w:ascii="宋体" w:hAnsi="宋体"/>
          <w:bCs/>
          <w:sz w:val="24"/>
          <w:szCs w:val="20"/>
          <w:highlight w:val="none"/>
        </w:rPr>
      </w:pPr>
    </w:p>
    <w:p w14:paraId="37D25EA7">
      <w:pPr>
        <w:snapToGrid w:val="0"/>
        <w:spacing w:before="120" w:beforeLines="50" w:after="50" w:line="360" w:lineRule="auto"/>
        <w:outlineLvl w:val="1"/>
        <w:rPr>
          <w:rFonts w:hint="eastAsia" w:ascii="宋体" w:hAnsi="宋体"/>
          <w:b/>
          <w:bCs/>
          <w:sz w:val="32"/>
          <w:szCs w:val="32"/>
          <w:highlight w:val="none"/>
        </w:rPr>
      </w:pPr>
      <w:r>
        <w:rPr>
          <w:rFonts w:ascii="宋体" w:hAnsi="宋体"/>
          <w:bCs/>
          <w:sz w:val="24"/>
          <w:highlight w:val="none"/>
        </w:rPr>
        <w:br w:type="page"/>
      </w:r>
      <w:r>
        <w:rPr>
          <w:rFonts w:hint="eastAsia" w:ascii="宋体" w:hAnsi="宋体"/>
          <w:b/>
          <w:bCs/>
          <w:sz w:val="32"/>
          <w:szCs w:val="32"/>
          <w:highlight w:val="none"/>
        </w:rPr>
        <w:t>一、资格证明文件格式</w:t>
      </w:r>
    </w:p>
    <w:p w14:paraId="2E06947F">
      <w:pPr>
        <w:snapToGrid w:val="0"/>
        <w:spacing w:before="120" w:beforeLines="50" w:after="50" w:line="360" w:lineRule="auto"/>
        <w:jc w:val="left"/>
        <w:rPr>
          <w:rFonts w:hint="eastAsia" w:ascii="宋体" w:hAnsi="宋体"/>
          <w:b/>
          <w:sz w:val="24"/>
          <w:highlight w:val="none"/>
        </w:rPr>
      </w:pPr>
      <w:r>
        <w:rPr>
          <w:rFonts w:hint="eastAsia" w:ascii="宋体" w:hAnsi="宋体"/>
          <w:b/>
          <w:sz w:val="32"/>
          <w:szCs w:val="32"/>
          <w:highlight w:val="none"/>
        </w:rPr>
        <w:t>1.资格证明文件封面格式：</w:t>
      </w:r>
      <w:r>
        <w:rPr>
          <w:rFonts w:hint="eastAsia" w:ascii="宋体" w:hAnsi="宋体"/>
          <w:b/>
          <w:sz w:val="24"/>
          <w:highlight w:val="none"/>
        </w:rPr>
        <w:t xml:space="preserve"> </w:t>
      </w:r>
    </w:p>
    <w:p w14:paraId="7B09EB40">
      <w:pPr>
        <w:snapToGrid w:val="0"/>
        <w:spacing w:before="120" w:beforeLines="50" w:after="50"/>
        <w:rPr>
          <w:rFonts w:hint="eastAsia" w:ascii="宋体" w:hAnsi="宋体"/>
          <w:bCs/>
          <w:sz w:val="32"/>
          <w:szCs w:val="20"/>
          <w:highlight w:val="none"/>
        </w:rPr>
      </w:pPr>
      <w:r>
        <w:rPr>
          <w:rFonts w:hint="eastAsia" w:ascii="宋体" w:hAnsi="宋体"/>
          <w:sz w:val="24"/>
          <w:highlight w:val="none"/>
        </w:rPr>
        <w:t xml:space="preserve">                                                    </w:t>
      </w:r>
    </w:p>
    <w:p w14:paraId="2B1FE97C">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14:paraId="1CE51310">
      <w:pPr>
        <w:snapToGrid w:val="0"/>
        <w:spacing w:before="120" w:beforeLines="50" w:after="50"/>
        <w:rPr>
          <w:rFonts w:hint="eastAsia" w:ascii="宋体" w:hAnsi="宋体"/>
          <w:sz w:val="24"/>
          <w:szCs w:val="20"/>
          <w:highlight w:val="none"/>
        </w:rPr>
      </w:pPr>
    </w:p>
    <w:p w14:paraId="41BE8791">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14:paraId="12CC8D8F">
      <w:pPr>
        <w:snapToGrid w:val="0"/>
        <w:spacing w:before="120" w:beforeLines="50" w:after="50"/>
        <w:rPr>
          <w:rFonts w:hint="eastAsia" w:ascii="宋体" w:hAnsi="宋体"/>
          <w:bCs/>
          <w:sz w:val="24"/>
          <w:szCs w:val="20"/>
          <w:highlight w:val="none"/>
        </w:rPr>
      </w:pPr>
    </w:p>
    <w:p w14:paraId="46EDB672">
      <w:pPr>
        <w:snapToGrid w:val="0"/>
        <w:spacing w:before="120" w:beforeLines="50" w:after="50"/>
        <w:rPr>
          <w:rFonts w:hint="eastAsia" w:ascii="宋体" w:hAnsi="宋体"/>
          <w:bCs/>
          <w:sz w:val="24"/>
          <w:szCs w:val="20"/>
          <w:highlight w:val="none"/>
        </w:rPr>
      </w:pPr>
    </w:p>
    <w:p w14:paraId="0CDB99EF">
      <w:pPr>
        <w:snapToGrid w:val="0"/>
        <w:spacing w:before="120" w:beforeLines="50" w:after="50"/>
        <w:rPr>
          <w:rFonts w:hint="eastAsia" w:ascii="宋体" w:hAnsi="宋体"/>
          <w:bCs/>
          <w:sz w:val="24"/>
          <w:szCs w:val="20"/>
          <w:highlight w:val="none"/>
        </w:rPr>
      </w:pPr>
    </w:p>
    <w:p w14:paraId="17C1C82A">
      <w:pPr>
        <w:snapToGrid w:val="0"/>
        <w:spacing w:before="120" w:beforeLines="50" w:after="50"/>
        <w:rPr>
          <w:rFonts w:hint="eastAsia" w:ascii="宋体" w:hAnsi="宋体"/>
          <w:bCs/>
          <w:sz w:val="24"/>
          <w:szCs w:val="20"/>
          <w:highlight w:val="none"/>
        </w:rPr>
      </w:pPr>
    </w:p>
    <w:p w14:paraId="78629C59">
      <w:pPr>
        <w:snapToGrid w:val="0"/>
        <w:spacing w:before="120" w:beforeLines="50" w:after="50"/>
        <w:rPr>
          <w:rFonts w:hint="eastAsia" w:ascii="宋体" w:hAnsi="宋体"/>
          <w:bCs/>
          <w:sz w:val="24"/>
          <w:szCs w:val="20"/>
          <w:highlight w:val="none"/>
        </w:rPr>
      </w:pPr>
    </w:p>
    <w:p w14:paraId="7A56B285">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43C02026">
      <w:pPr>
        <w:snapToGrid w:val="0"/>
        <w:spacing w:before="120" w:beforeLines="50" w:after="50"/>
        <w:ind w:firstLine="720" w:firstLineChars="225"/>
        <w:rPr>
          <w:rFonts w:hint="eastAsia" w:ascii="宋体" w:hAnsi="宋体" w:cs="仿宋_GB2312"/>
          <w:bCs/>
          <w:sz w:val="32"/>
          <w:szCs w:val="32"/>
          <w:highlight w:val="none"/>
        </w:rPr>
      </w:pPr>
    </w:p>
    <w:p w14:paraId="1D32F08D">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05190365">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146661C5">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533684D7">
      <w:pPr>
        <w:snapToGrid w:val="0"/>
        <w:spacing w:before="120" w:beforeLines="50" w:after="50"/>
        <w:ind w:firstLine="720" w:firstLineChars="225"/>
        <w:rPr>
          <w:rFonts w:hint="eastAsia" w:ascii="宋体" w:hAnsi="宋体" w:cs="仿宋_GB2312"/>
          <w:bCs/>
          <w:sz w:val="32"/>
          <w:szCs w:val="32"/>
          <w:highlight w:val="none"/>
        </w:rPr>
      </w:pPr>
    </w:p>
    <w:p w14:paraId="1F094603">
      <w:pPr>
        <w:pStyle w:val="6"/>
        <w:snapToGrid w:val="0"/>
        <w:spacing w:before="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332B6263">
      <w:pPr>
        <w:snapToGrid w:val="0"/>
        <w:spacing w:before="120" w:beforeLines="50" w:after="50"/>
        <w:ind w:firstLine="640" w:firstLineChars="200"/>
        <w:rPr>
          <w:rFonts w:hint="eastAsia" w:ascii="宋体" w:hAnsi="宋体" w:cs="仿宋_GB2312"/>
          <w:bCs/>
          <w:sz w:val="32"/>
          <w:szCs w:val="32"/>
          <w:highlight w:val="none"/>
        </w:rPr>
      </w:pPr>
    </w:p>
    <w:p w14:paraId="1F6F6DE8">
      <w:pPr>
        <w:pStyle w:val="6"/>
        <w:snapToGrid w:val="0"/>
        <w:spacing w:before="50" w:after="50"/>
        <w:ind w:firstLine="720" w:firstLineChars="225"/>
        <w:rPr>
          <w:rFonts w:hint="eastAsia" w:ascii="宋体" w:hAnsi="宋体" w:cs="仿宋_GB2312"/>
          <w:bCs/>
          <w:sz w:val="32"/>
          <w:szCs w:val="32"/>
          <w:highlight w:val="none"/>
        </w:rPr>
      </w:pPr>
    </w:p>
    <w:p w14:paraId="622EAFBA">
      <w:pPr>
        <w:pStyle w:val="6"/>
        <w:snapToGrid w:val="0"/>
        <w:spacing w:before="50" w:after="50"/>
        <w:ind w:firstLine="720" w:firstLineChars="225"/>
        <w:rPr>
          <w:rFonts w:hint="eastAsia" w:ascii="宋体" w:hAnsi="宋体" w:cs="仿宋_GB2312"/>
          <w:bCs/>
          <w:sz w:val="32"/>
          <w:szCs w:val="32"/>
          <w:highlight w:val="none"/>
        </w:rPr>
      </w:pPr>
    </w:p>
    <w:p w14:paraId="68112231">
      <w:pPr>
        <w:pStyle w:val="6"/>
        <w:snapToGrid w:val="0"/>
        <w:spacing w:before="50" w:after="50"/>
        <w:ind w:firstLine="1280" w:firstLineChars="400"/>
        <w:rPr>
          <w:rFonts w:hint="eastAsia" w:ascii="宋体" w:hAnsi="宋体" w:cs="仿宋_GB2312"/>
          <w:bCs/>
          <w:sz w:val="32"/>
          <w:szCs w:val="32"/>
          <w:highlight w:val="none"/>
        </w:rPr>
      </w:pPr>
    </w:p>
    <w:p w14:paraId="53581D38">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70132F10">
      <w:pPr>
        <w:snapToGrid w:val="0"/>
        <w:spacing w:before="120" w:beforeLines="50" w:after="50" w:line="360" w:lineRule="auto"/>
        <w:ind w:left="142"/>
        <w:jc w:val="left"/>
        <w:rPr>
          <w:rFonts w:hint="eastAsia"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14:paraId="010AC8FD">
      <w:pPr>
        <w:snapToGrid w:val="0"/>
        <w:spacing w:before="120" w:beforeLines="50" w:after="50" w:line="360" w:lineRule="auto"/>
        <w:ind w:firstLine="645"/>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14:paraId="7C5DD2D4">
      <w:pPr>
        <w:snapToGrid w:val="0"/>
        <w:spacing w:before="120" w:beforeLines="50" w:after="50" w:line="360" w:lineRule="auto"/>
        <w:rPr>
          <w:rFonts w:ascii="宋体" w:hAnsi="宋体"/>
          <w:sz w:val="24"/>
          <w:szCs w:val="20"/>
          <w:highlight w:val="none"/>
        </w:rPr>
      </w:pPr>
      <w:r>
        <w:rPr>
          <w:rFonts w:ascii="宋体" w:hAnsi="宋体"/>
          <w:sz w:val="24"/>
          <w:szCs w:val="20"/>
          <w:highlight w:val="none"/>
        </w:rPr>
        <w:t xml:space="preserve"> </w:t>
      </w:r>
    </w:p>
    <w:p w14:paraId="61D7D32C">
      <w:pPr>
        <w:spacing w:line="360" w:lineRule="auto"/>
        <w:rPr>
          <w:rFonts w:hint="eastAsia" w:ascii="宋体" w:hAnsi="宋体"/>
          <w:szCs w:val="21"/>
          <w:highlight w:val="none"/>
        </w:rPr>
      </w:pPr>
    </w:p>
    <w:p w14:paraId="02338066">
      <w:pPr>
        <w:spacing w:line="360" w:lineRule="auto"/>
        <w:rPr>
          <w:rFonts w:hint="eastAsia" w:ascii="宋体" w:hAnsi="宋体"/>
          <w:szCs w:val="21"/>
          <w:highlight w:val="none"/>
        </w:rPr>
      </w:pPr>
    </w:p>
    <w:p w14:paraId="387975DA">
      <w:pPr>
        <w:spacing w:line="360" w:lineRule="auto"/>
        <w:rPr>
          <w:rFonts w:hint="eastAsia" w:ascii="宋体" w:hAnsi="宋体"/>
          <w:szCs w:val="21"/>
          <w:highlight w:val="none"/>
        </w:rPr>
      </w:pPr>
    </w:p>
    <w:p w14:paraId="794957AB">
      <w:pPr>
        <w:spacing w:line="360" w:lineRule="auto"/>
        <w:rPr>
          <w:rFonts w:hint="eastAsia" w:ascii="宋体" w:hAnsi="宋体"/>
          <w:szCs w:val="21"/>
          <w:highlight w:val="none"/>
        </w:rPr>
      </w:pPr>
    </w:p>
    <w:p w14:paraId="0C69C01F">
      <w:pPr>
        <w:spacing w:line="300" w:lineRule="auto"/>
        <w:rPr>
          <w:rFonts w:hint="eastAsia" w:ascii="宋体" w:hAnsi="宋体"/>
          <w:szCs w:val="21"/>
          <w:highlight w:val="none"/>
        </w:rPr>
      </w:pPr>
    </w:p>
    <w:p w14:paraId="4FAF99F5">
      <w:pPr>
        <w:spacing w:line="300" w:lineRule="auto"/>
        <w:rPr>
          <w:rFonts w:hint="eastAsia" w:ascii="宋体" w:hAnsi="宋体"/>
          <w:szCs w:val="21"/>
          <w:highlight w:val="none"/>
        </w:rPr>
      </w:pPr>
    </w:p>
    <w:p w14:paraId="5F110CA2">
      <w:pPr>
        <w:spacing w:line="300" w:lineRule="auto"/>
        <w:rPr>
          <w:rFonts w:hint="eastAsia" w:ascii="宋体" w:hAnsi="宋体"/>
          <w:szCs w:val="21"/>
          <w:highlight w:val="none"/>
        </w:rPr>
      </w:pPr>
    </w:p>
    <w:p w14:paraId="78A65742">
      <w:pPr>
        <w:spacing w:line="300" w:lineRule="auto"/>
        <w:rPr>
          <w:rFonts w:hint="eastAsia" w:ascii="宋体" w:hAnsi="宋体"/>
          <w:szCs w:val="21"/>
          <w:highlight w:val="none"/>
        </w:rPr>
      </w:pPr>
    </w:p>
    <w:p w14:paraId="0B790882">
      <w:pPr>
        <w:spacing w:line="300" w:lineRule="auto"/>
        <w:rPr>
          <w:rFonts w:hint="eastAsia" w:ascii="宋体" w:hAnsi="宋体"/>
          <w:szCs w:val="21"/>
          <w:highlight w:val="none"/>
        </w:rPr>
      </w:pPr>
    </w:p>
    <w:p w14:paraId="02EEC504">
      <w:pPr>
        <w:spacing w:line="300" w:lineRule="auto"/>
        <w:rPr>
          <w:rFonts w:hint="eastAsia" w:ascii="宋体" w:hAnsi="宋体"/>
          <w:szCs w:val="21"/>
          <w:highlight w:val="none"/>
        </w:rPr>
      </w:pPr>
    </w:p>
    <w:p w14:paraId="02E3B692">
      <w:pPr>
        <w:spacing w:line="300" w:lineRule="auto"/>
        <w:rPr>
          <w:rFonts w:hint="eastAsia" w:ascii="宋体" w:hAnsi="宋体"/>
          <w:szCs w:val="21"/>
          <w:highlight w:val="none"/>
        </w:rPr>
      </w:pPr>
    </w:p>
    <w:p w14:paraId="26F914C6">
      <w:pPr>
        <w:spacing w:line="300" w:lineRule="auto"/>
        <w:rPr>
          <w:rFonts w:hint="eastAsia" w:ascii="宋体" w:hAnsi="宋体"/>
          <w:szCs w:val="21"/>
          <w:highlight w:val="none"/>
        </w:rPr>
      </w:pPr>
    </w:p>
    <w:p w14:paraId="24F56348">
      <w:pPr>
        <w:spacing w:line="300" w:lineRule="auto"/>
        <w:rPr>
          <w:rFonts w:hint="eastAsia" w:ascii="宋体" w:hAnsi="宋体"/>
          <w:szCs w:val="21"/>
          <w:highlight w:val="none"/>
        </w:rPr>
      </w:pPr>
    </w:p>
    <w:p w14:paraId="123F4F18">
      <w:pPr>
        <w:spacing w:line="300" w:lineRule="auto"/>
        <w:rPr>
          <w:rFonts w:hint="eastAsia" w:ascii="宋体" w:hAnsi="宋体"/>
          <w:szCs w:val="21"/>
          <w:highlight w:val="none"/>
        </w:rPr>
      </w:pPr>
    </w:p>
    <w:p w14:paraId="4A9C3432">
      <w:pPr>
        <w:spacing w:line="300" w:lineRule="auto"/>
        <w:rPr>
          <w:rFonts w:hint="eastAsia" w:ascii="宋体" w:hAnsi="宋体"/>
          <w:szCs w:val="21"/>
          <w:highlight w:val="none"/>
        </w:rPr>
      </w:pPr>
    </w:p>
    <w:p w14:paraId="650D67B8">
      <w:pPr>
        <w:spacing w:line="320" w:lineRule="exact"/>
        <w:jc w:val="left"/>
        <w:rPr>
          <w:rFonts w:hint="eastAsia" w:ascii="宋体" w:hAnsi="宋体"/>
          <w:szCs w:val="21"/>
          <w:highlight w:val="none"/>
        </w:rPr>
      </w:pPr>
    </w:p>
    <w:p w14:paraId="5ECE6DD0">
      <w:pPr>
        <w:snapToGrid w:val="0"/>
        <w:spacing w:before="120" w:beforeLines="50" w:after="50"/>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供应商直接控股、管理关系信息表</w:t>
      </w:r>
    </w:p>
    <w:p w14:paraId="1B8CD82C">
      <w:pPr>
        <w:snapToGrid w:val="0"/>
        <w:spacing w:before="120" w:beforeLines="50" w:after="50"/>
        <w:jc w:val="center"/>
        <w:rPr>
          <w:rFonts w:hint="eastAsia" w:ascii="宋体" w:hAnsi="宋体"/>
          <w:b/>
          <w:sz w:val="32"/>
          <w:szCs w:val="32"/>
          <w:highlight w:val="none"/>
        </w:rPr>
      </w:pPr>
    </w:p>
    <w:p w14:paraId="5D1DAEF7">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供应商直接控股股东信息表</w:t>
      </w:r>
    </w:p>
    <w:p w14:paraId="62AE5F95">
      <w:pPr>
        <w:snapToGrid w:val="0"/>
        <w:spacing w:before="50" w:after="120" w:afterLines="50"/>
        <w:jc w:val="center"/>
        <w:rPr>
          <w:rFonts w:hint="eastAsia" w:ascii="宋体" w:hAnsi="宋体"/>
          <w:b/>
          <w:sz w:val="32"/>
          <w:szCs w:val="32"/>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A92A41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85C83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ED188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C4FE5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93E33C">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D00244">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057F44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B1216D">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479A3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1E84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701CC5">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1895D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26B238F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AB1BBE">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E43FA7">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B4E1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564EE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222AF">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0B2324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E2FC2">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323B6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6CA635">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8D800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7EE8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209CA2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65FDD">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4D38A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368B3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1DCA2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D6A81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bl>
    <w:p w14:paraId="14912B75">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注：</w:t>
      </w:r>
    </w:p>
    <w:p w14:paraId="32AE2490">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08D8763">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2.本表所指的控股关系仅限于直接控股关系，不包括间接的控股关系。公司实际控制人与公司之间的关系不属于本表所指的直接控股关系。</w:t>
      </w:r>
    </w:p>
    <w:p w14:paraId="6A8C35D0">
      <w:pPr>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3.供应商不存在直接控股股东的，则填“无”。</w:t>
      </w:r>
    </w:p>
    <w:p w14:paraId="56F0E637">
      <w:pPr>
        <w:spacing w:line="360" w:lineRule="auto"/>
        <w:ind w:firstLine="420" w:firstLineChars="200"/>
        <w:contextualSpacing/>
        <w:jc w:val="left"/>
        <w:rPr>
          <w:rFonts w:ascii="宋体" w:hAnsi="宋体" w:cs="宋体"/>
          <w:szCs w:val="21"/>
          <w:highlight w:val="none"/>
        </w:rPr>
      </w:pPr>
    </w:p>
    <w:p w14:paraId="3A933418">
      <w:pPr>
        <w:spacing w:line="360" w:lineRule="auto"/>
        <w:ind w:firstLine="560" w:firstLineChars="200"/>
        <w:contextualSpacing/>
        <w:jc w:val="left"/>
        <w:rPr>
          <w:rFonts w:hint="eastAsia" w:ascii="宋体" w:hAnsi="宋体" w:cs="宋体"/>
          <w:sz w:val="28"/>
          <w:szCs w:val="28"/>
          <w:highlight w:val="none"/>
        </w:rPr>
      </w:pPr>
    </w:p>
    <w:p w14:paraId="7A2AA715">
      <w:pPr>
        <w:spacing w:line="360" w:lineRule="auto"/>
        <w:ind w:right="480"/>
        <w:contextualSpacing/>
        <w:jc w:val="center"/>
        <w:rPr>
          <w:rFonts w:hint="eastAsia" w:ascii="宋体" w:hAnsi="宋体" w:cs="宋体"/>
          <w:sz w:val="24"/>
          <w:highlight w:val="none"/>
          <w:u w:val="singl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法定代表人或者委托代理人（签字或者电子签名）：</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14:paraId="51D1252A">
      <w:pPr>
        <w:spacing w:line="360" w:lineRule="auto"/>
        <w:ind w:right="480" w:firstLine="3000" w:firstLineChars="1250"/>
        <w:contextualSpacing/>
        <w:rPr>
          <w:rFonts w:hint="eastAsia" w:ascii="宋体" w:hAnsi="宋体" w:cs="宋体"/>
          <w:sz w:val="24"/>
          <w:highlight w:val="none"/>
          <w:u w:val="single"/>
        </w:rPr>
      </w:pPr>
      <w:r>
        <w:rPr>
          <w:rFonts w:hint="eastAsia" w:ascii="宋体" w:hAnsi="宋体" w:cs="宋体"/>
          <w:sz w:val="24"/>
          <w:highlight w:val="none"/>
        </w:rPr>
        <w:t xml:space="preserve">供应商（电子签章）： </w:t>
      </w:r>
      <w:r>
        <w:rPr>
          <w:rFonts w:hint="eastAsia" w:ascii="宋体" w:hAnsi="宋体" w:cs="宋体"/>
          <w:sz w:val="24"/>
          <w:highlight w:val="none"/>
          <w:u w:val="single"/>
        </w:rPr>
        <w:t xml:space="preserve">                              </w:t>
      </w:r>
    </w:p>
    <w:p w14:paraId="01D36D20">
      <w:pPr>
        <w:spacing w:line="360" w:lineRule="auto"/>
        <w:ind w:right="480" w:firstLine="5280" w:firstLineChars="2200"/>
        <w:contextualSpacing/>
        <w:rPr>
          <w:rFonts w:hint="eastAsia" w:ascii="宋体" w:hAnsi="宋体" w:cs="宋体"/>
          <w:sz w:val="28"/>
          <w:szCs w:val="28"/>
          <w:highlight w:val="none"/>
        </w:rPr>
      </w:pPr>
      <w:r>
        <w:rPr>
          <w:rFonts w:hint="eastAsia" w:ascii="宋体" w:hAnsi="宋体" w:cs="宋体"/>
          <w:sz w:val="24"/>
          <w:highlight w:val="none"/>
        </w:rPr>
        <w:t>年    月    日</w:t>
      </w:r>
    </w:p>
    <w:p w14:paraId="21B709E8">
      <w:pPr>
        <w:snapToGrid w:val="0"/>
        <w:jc w:val="center"/>
        <w:rPr>
          <w:rFonts w:hint="eastAsia" w:ascii="宋体" w:hAnsi="宋体"/>
          <w:b/>
          <w:sz w:val="28"/>
          <w:szCs w:val="28"/>
          <w:highlight w:val="none"/>
        </w:rPr>
      </w:pPr>
      <w:r>
        <w:rPr>
          <w:rFonts w:ascii="宋体" w:hAnsi="宋体"/>
          <w:b/>
          <w:sz w:val="28"/>
          <w:szCs w:val="28"/>
          <w:highlight w:val="none"/>
        </w:rPr>
        <w:br w:type="page"/>
      </w:r>
    </w:p>
    <w:p w14:paraId="6F897921">
      <w:pPr>
        <w:snapToGrid w:val="0"/>
        <w:jc w:val="center"/>
        <w:rPr>
          <w:rFonts w:hint="eastAsia" w:ascii="宋体" w:hAnsi="宋体"/>
          <w:b/>
          <w:sz w:val="32"/>
          <w:szCs w:val="32"/>
          <w:highlight w:val="none"/>
        </w:rPr>
      </w:pPr>
      <w:r>
        <w:rPr>
          <w:rFonts w:hint="eastAsia" w:ascii="宋体" w:hAnsi="宋体"/>
          <w:b/>
          <w:sz w:val="32"/>
          <w:szCs w:val="32"/>
          <w:highlight w:val="none"/>
        </w:rPr>
        <w:t>供应商直接管理关系信息表</w:t>
      </w:r>
    </w:p>
    <w:p w14:paraId="24629A19">
      <w:pPr>
        <w:snapToGrid w:val="0"/>
        <w:jc w:val="center"/>
        <w:rPr>
          <w:rFonts w:hint="eastAsia" w:ascii="宋体" w:hAnsi="宋体"/>
          <w:b/>
          <w:sz w:val="32"/>
          <w:szCs w:val="32"/>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0D3B175">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BD4FD10">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79545B">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A5C2232">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8F6AAFD">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2F51E1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4287E">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97255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B88567">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AD1EC">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3BA63DF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F842F2">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590A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45DC0B">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23745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0F6C756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378881">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FA754D">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20EAD0">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2DE3CE">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741FD4B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F163DA">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13E5BB">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749466">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CA511">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bl>
    <w:p w14:paraId="0BF369A5">
      <w:pPr>
        <w:spacing w:line="360" w:lineRule="auto"/>
        <w:contextualSpacing/>
        <w:jc w:val="left"/>
        <w:rPr>
          <w:rFonts w:hint="eastAsia" w:ascii="宋体" w:hAnsi="宋体"/>
          <w:szCs w:val="21"/>
          <w:highlight w:val="none"/>
        </w:rPr>
      </w:pPr>
      <w:r>
        <w:rPr>
          <w:rFonts w:hint="eastAsia" w:ascii="宋体" w:hAnsi="宋体"/>
          <w:szCs w:val="21"/>
          <w:highlight w:val="none"/>
        </w:rPr>
        <w:t>注：</w:t>
      </w:r>
    </w:p>
    <w:p w14:paraId="2DC490E7">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1.管理关系：是指不具有出资持股关系的其他单位之间存在的管理与被管理关系，如一些上下级关系的事业单位和团体组织。</w:t>
      </w:r>
    </w:p>
    <w:p w14:paraId="145005DD">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2.</w:t>
      </w:r>
      <w:r>
        <w:rPr>
          <w:rFonts w:hint="eastAsia" w:ascii="宋体" w:hAnsi="宋体"/>
          <w:spacing w:val="-6"/>
          <w:szCs w:val="21"/>
          <w:highlight w:val="none"/>
        </w:rPr>
        <w:t>本表所指的管理关系仅限于直接管理关系，不包括间接的管理关系。</w:t>
      </w:r>
    </w:p>
    <w:p w14:paraId="1981F095">
      <w:pPr>
        <w:spacing w:line="360" w:lineRule="auto"/>
        <w:ind w:firstLine="420" w:firstLineChars="200"/>
        <w:contextualSpacing/>
        <w:jc w:val="left"/>
        <w:rPr>
          <w:rFonts w:hint="eastAsia" w:ascii="宋体" w:hAnsi="宋体"/>
          <w:sz w:val="28"/>
          <w:szCs w:val="28"/>
          <w:highlight w:val="none"/>
        </w:rPr>
      </w:pPr>
      <w:r>
        <w:rPr>
          <w:rFonts w:hint="eastAsia" w:ascii="宋体" w:hAnsi="宋体"/>
          <w:szCs w:val="21"/>
          <w:highlight w:val="none"/>
        </w:rPr>
        <w:t>3.供应商不存在直接管理关系的，则填“无”。</w:t>
      </w:r>
    </w:p>
    <w:p w14:paraId="294DE30C">
      <w:pPr>
        <w:spacing w:line="360" w:lineRule="auto"/>
        <w:contextualSpacing/>
        <w:jc w:val="left"/>
        <w:rPr>
          <w:rFonts w:hint="eastAsia" w:ascii="宋体" w:hAnsi="宋体"/>
          <w:sz w:val="28"/>
          <w:szCs w:val="28"/>
          <w:highlight w:val="none"/>
        </w:rPr>
      </w:pPr>
    </w:p>
    <w:p w14:paraId="54350180">
      <w:pPr>
        <w:spacing w:line="360" w:lineRule="auto"/>
        <w:contextualSpacing/>
        <w:jc w:val="left"/>
        <w:rPr>
          <w:rFonts w:hint="eastAsia" w:ascii="宋体" w:hAnsi="宋体"/>
          <w:sz w:val="28"/>
          <w:szCs w:val="28"/>
          <w:highlight w:val="none"/>
        </w:rPr>
      </w:pPr>
    </w:p>
    <w:p w14:paraId="4F6E3789">
      <w:pPr>
        <w:spacing w:line="360" w:lineRule="auto"/>
        <w:contextualSpacing/>
        <w:jc w:val="left"/>
        <w:rPr>
          <w:rFonts w:hint="eastAsia"/>
          <w:sz w:val="28"/>
          <w:szCs w:val="28"/>
          <w:highlight w:val="none"/>
        </w:rPr>
      </w:pPr>
    </w:p>
    <w:p w14:paraId="5F158784">
      <w:pPr>
        <w:spacing w:line="360" w:lineRule="auto"/>
        <w:contextualSpacing/>
        <w:jc w:val="left"/>
        <w:rPr>
          <w:rFonts w:hint="eastAsia"/>
          <w:sz w:val="28"/>
          <w:szCs w:val="28"/>
          <w:highlight w:val="none"/>
        </w:rPr>
      </w:pPr>
    </w:p>
    <w:p w14:paraId="72391661">
      <w:pPr>
        <w:spacing w:line="360" w:lineRule="auto"/>
        <w:contextualSpacing/>
        <w:jc w:val="left"/>
        <w:rPr>
          <w:rFonts w:hint="eastAsia"/>
          <w:sz w:val="28"/>
          <w:szCs w:val="28"/>
          <w:highlight w:val="none"/>
        </w:rPr>
      </w:pPr>
    </w:p>
    <w:p w14:paraId="0EDE2905">
      <w:pPr>
        <w:spacing w:line="360" w:lineRule="auto"/>
        <w:contextualSpacing/>
        <w:jc w:val="left"/>
        <w:rPr>
          <w:rFonts w:hint="eastAsia" w:ascii="宋体" w:hAnsi="宋体"/>
          <w:sz w:val="28"/>
          <w:szCs w:val="28"/>
          <w:highlight w:val="none"/>
        </w:rPr>
      </w:pPr>
    </w:p>
    <w:p w14:paraId="3861FF3C">
      <w:pPr>
        <w:spacing w:line="360" w:lineRule="auto"/>
        <w:ind w:right="480"/>
        <w:contextualSpacing/>
        <w:jc w:val="center"/>
        <w:rPr>
          <w:rFonts w:hint="eastAsia" w:ascii="宋体" w:hAnsi="宋体"/>
          <w:sz w:val="24"/>
          <w:highlight w:val="none"/>
          <w:u w:val="singl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法定代表人或者委托代理人（签字或者电子签名）：</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0DAE9420">
      <w:pPr>
        <w:spacing w:line="360" w:lineRule="auto"/>
        <w:ind w:right="480" w:firstLine="3360" w:firstLineChars="1400"/>
        <w:contextualSpacing/>
        <w:rPr>
          <w:rFonts w:hint="eastAsia" w:ascii="宋体" w:hAnsi="宋体"/>
          <w:sz w:val="24"/>
          <w:highlight w:val="none"/>
        </w:rPr>
      </w:pPr>
      <w:r>
        <w:rPr>
          <w:rFonts w:hint="eastAsia" w:ascii="宋体" w:hAnsi="宋体"/>
          <w:sz w:val="24"/>
          <w:highlight w:val="none"/>
        </w:rPr>
        <w:t>供应商（电子签章）：</w:t>
      </w:r>
      <w:r>
        <w:rPr>
          <w:rFonts w:hint="eastAsia" w:ascii="宋体" w:hAnsi="宋体"/>
          <w:sz w:val="24"/>
          <w:highlight w:val="none"/>
          <w:u w:val="single"/>
        </w:rPr>
        <w:t xml:space="preserve">                </w:t>
      </w:r>
    </w:p>
    <w:p w14:paraId="24218D60">
      <w:pPr>
        <w:spacing w:line="360" w:lineRule="auto"/>
        <w:ind w:right="480" w:firstLine="240" w:firstLineChars="100"/>
        <w:contextualSpacing/>
        <w:jc w:val="center"/>
        <w:rPr>
          <w:rFonts w:hint="eastAsia" w:ascii="宋体" w:hAnsi="宋体"/>
          <w:sz w:val="28"/>
          <w:szCs w:val="28"/>
          <w:highlight w:val="none"/>
        </w:rPr>
      </w:pPr>
      <w:r>
        <w:rPr>
          <w:rFonts w:hint="eastAsia" w:ascii="宋体" w:hAnsi="宋体"/>
          <w:sz w:val="24"/>
          <w:highlight w:val="none"/>
        </w:rPr>
        <w:t xml:space="preserve">                                        年    月    日</w:t>
      </w:r>
    </w:p>
    <w:p w14:paraId="7E62CC4D">
      <w:pPr>
        <w:spacing w:line="320" w:lineRule="exact"/>
        <w:jc w:val="center"/>
        <w:rPr>
          <w:rFonts w:hint="eastAsia" w:ascii="方正小标宋简体" w:hAnsi="宋体" w:eastAsia="方正小标宋简体"/>
          <w:b/>
          <w:sz w:val="32"/>
          <w:szCs w:val="32"/>
          <w:highlight w:val="none"/>
        </w:rPr>
      </w:pPr>
      <w:r>
        <w:rPr>
          <w:rFonts w:ascii="宋体" w:hAnsi="宋体"/>
          <w:b/>
          <w:sz w:val="32"/>
          <w:szCs w:val="32"/>
          <w:highlight w:val="none"/>
        </w:rPr>
        <w:br w:type="page"/>
      </w:r>
      <w:r>
        <w:rPr>
          <w:rFonts w:hint="eastAsia" w:ascii="方正小标宋简体" w:hAnsi="宋体" w:eastAsia="方正小标宋简体"/>
          <w:b/>
          <w:sz w:val="32"/>
          <w:szCs w:val="32"/>
          <w:highlight w:val="none"/>
        </w:rPr>
        <w:t>竞标声明</w:t>
      </w:r>
    </w:p>
    <w:p w14:paraId="7F093DC2">
      <w:pPr>
        <w:spacing w:line="320" w:lineRule="exact"/>
        <w:jc w:val="center"/>
        <w:rPr>
          <w:rFonts w:hint="eastAsia" w:ascii="宋体" w:hAnsi="宋体"/>
          <w:sz w:val="24"/>
          <w:szCs w:val="20"/>
          <w:highlight w:val="none"/>
        </w:rPr>
      </w:pPr>
    </w:p>
    <w:p w14:paraId="02606F4F">
      <w:pPr>
        <w:spacing w:line="360" w:lineRule="auto"/>
        <w:contextualSpacing/>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（采购人名称）</w:t>
      </w:r>
      <w:r>
        <w:rPr>
          <w:rFonts w:hint="eastAsia" w:ascii="宋体" w:hAnsi="宋体" w:cs="宋体"/>
          <w:szCs w:val="21"/>
          <w:highlight w:val="none"/>
        </w:rPr>
        <w:t>：</w:t>
      </w:r>
    </w:p>
    <w:p w14:paraId="7195417B">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w:t>
      </w:r>
      <w:r>
        <w:rPr>
          <w:rFonts w:hint="eastAsia" w:ascii="宋体" w:hAnsi="宋体" w:cs="宋体"/>
          <w:szCs w:val="21"/>
          <w:highlight w:val="none"/>
          <w:u w:val="single"/>
        </w:rPr>
        <w:t>（供应商名称）</w:t>
      </w:r>
      <w:r>
        <w:rPr>
          <w:rFonts w:hint="eastAsia" w:ascii="宋体" w:hAnsi="宋体" w:cs="宋体"/>
          <w:szCs w:val="21"/>
          <w:highlight w:val="none"/>
        </w:rPr>
        <w:t>系中华人民共和国合法供应商，经营地址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084A76B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我方愿意参加贵方组织的</w:t>
      </w:r>
      <w:r>
        <w:rPr>
          <w:rFonts w:hint="eastAsia" w:ascii="宋体" w:hAnsi="宋体" w:cs="宋体"/>
          <w:szCs w:val="21"/>
          <w:highlight w:val="none"/>
          <w:u w:val="single"/>
        </w:rPr>
        <w:t>（项目名称）</w:t>
      </w:r>
      <w:r>
        <w:rPr>
          <w:rFonts w:hint="eastAsia" w:ascii="宋体" w:hAnsi="宋体" w:cs="宋体"/>
          <w:szCs w:val="21"/>
          <w:highlight w:val="none"/>
        </w:rPr>
        <w:t>项目的竞标，为便于贵方公正、择优地确定成交供应商及其竞标产品和服务，我方就本次竞标有关事项郑重声明如下：</w:t>
      </w:r>
    </w:p>
    <w:p w14:paraId="738800E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1.我方向贵方提交的所有响应文件、资料都是准确的和真实的。</w:t>
      </w:r>
    </w:p>
    <w:p w14:paraId="2409DCA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4EC748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3.在此，我方宣布同意如下：</w:t>
      </w:r>
    </w:p>
    <w:p w14:paraId="3ACBBDC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(1)将按竞争性谈判文件的约定履行合同责任和义务；</w:t>
      </w:r>
    </w:p>
    <w:p w14:paraId="507D425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(2)已详细审查全部竞争性谈判文件，包括补遗文件（如有）；</w:t>
      </w:r>
    </w:p>
    <w:p w14:paraId="12CF0976">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(3)同意提供按照贵方可能要求的与谈判有关的一切数据或者资料；</w:t>
      </w:r>
    </w:p>
    <w:p w14:paraId="04EEFD3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(4)响应竞争性谈判文件规定的竞标有效期。</w:t>
      </w:r>
    </w:p>
    <w:p w14:paraId="21687D12">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4.我方承诺符合《中华人民共和国政府采购法》第二十二条规定：</w:t>
      </w:r>
    </w:p>
    <w:p w14:paraId="1864153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（1）具有独立承担民事责任的能力；</w:t>
      </w:r>
    </w:p>
    <w:p w14:paraId="15CED9F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（2）具有良好的商业信誉和健全的财务会计制度；</w:t>
      </w:r>
    </w:p>
    <w:p w14:paraId="53D84099">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14:paraId="69BAF08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（4）有依法缴纳税收和社会保障资金的良好记录；</w:t>
      </w:r>
    </w:p>
    <w:p w14:paraId="7B94F5F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1FD9358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（6）法律、行政法规规定的其他条件。</w:t>
      </w:r>
    </w:p>
    <w:p w14:paraId="4BE355C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E85C97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817EA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14:paraId="1E385D6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涉及商业秘密的内容有：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7853926">
      <w:pPr>
        <w:pStyle w:val="14"/>
        <w:spacing w:line="360" w:lineRule="auto"/>
        <w:ind w:firstLine="420" w:firstLineChars="200"/>
        <w:contextualSpacing/>
        <w:rPr>
          <w:rFonts w:hint="eastAsia" w:hAnsi="宋体" w:cs="宋体"/>
          <w:sz w:val="21"/>
          <w:highlight w:val="none"/>
          <w:u w:val="single"/>
        </w:rPr>
      </w:pPr>
      <w:r>
        <w:rPr>
          <w:rFonts w:hint="eastAsia" w:hAnsi="宋体" w:cs="宋体"/>
          <w:sz w:val="21"/>
          <w:highlight w:val="none"/>
        </w:rPr>
        <w:t>7.与本谈判有关的一切正式往来信函请寄：</w:t>
      </w:r>
      <w:r>
        <w:rPr>
          <w:rFonts w:hint="eastAsia" w:hAnsi="宋体" w:cs="宋体"/>
          <w:sz w:val="21"/>
          <w:highlight w:val="none"/>
          <w:u w:val="single"/>
        </w:rPr>
        <w:t xml:space="preserve">                  </w:t>
      </w:r>
      <w:r>
        <w:rPr>
          <w:rFonts w:hint="eastAsia" w:hAnsi="宋体" w:cs="宋体"/>
          <w:sz w:val="21"/>
          <w:highlight w:val="none"/>
        </w:rPr>
        <w:t>邮政编号：</w:t>
      </w:r>
      <w:r>
        <w:rPr>
          <w:rFonts w:hint="eastAsia" w:hAnsi="宋体" w:cs="宋体"/>
          <w:sz w:val="21"/>
          <w:highlight w:val="none"/>
          <w:u w:val="single"/>
        </w:rPr>
        <w:t xml:space="preserve">    </w:t>
      </w:r>
    </w:p>
    <w:p w14:paraId="7E8F18C8">
      <w:pPr>
        <w:pStyle w:val="14"/>
        <w:spacing w:line="360" w:lineRule="auto"/>
        <w:ind w:firstLine="420" w:firstLineChars="200"/>
        <w:contextualSpacing/>
        <w:rPr>
          <w:rFonts w:hint="eastAsia" w:hAnsi="宋体" w:cs="宋体"/>
          <w:sz w:val="21"/>
          <w:highlight w:val="none"/>
        </w:rPr>
      </w:pPr>
      <w:r>
        <w:rPr>
          <w:rFonts w:hint="eastAsia" w:hAnsi="宋体" w:cs="宋体"/>
          <w:sz w:val="21"/>
          <w:highlight w:val="none"/>
        </w:rPr>
        <w:t>电话/传真：</w:t>
      </w:r>
      <w:r>
        <w:rPr>
          <w:rFonts w:hint="eastAsia" w:hAnsi="宋体" w:cs="宋体"/>
          <w:sz w:val="21"/>
          <w:highlight w:val="none"/>
          <w:u w:val="single"/>
        </w:rPr>
        <w:t xml:space="preserve">                        </w:t>
      </w:r>
      <w:r>
        <w:rPr>
          <w:rFonts w:hint="eastAsia" w:hAnsi="宋体" w:cs="宋体"/>
          <w:sz w:val="21"/>
          <w:highlight w:val="none"/>
        </w:rPr>
        <w:t xml:space="preserve"> 电子函件：</w:t>
      </w:r>
      <w:r>
        <w:rPr>
          <w:rFonts w:hint="eastAsia" w:hAnsi="宋体" w:cs="宋体"/>
          <w:sz w:val="21"/>
          <w:highlight w:val="none"/>
          <w:u w:val="single"/>
        </w:rPr>
        <w:t xml:space="preserve">             </w:t>
      </w:r>
      <w:r>
        <w:rPr>
          <w:rFonts w:hint="eastAsia" w:hAnsi="宋体" w:cs="宋体"/>
          <w:sz w:val="21"/>
          <w:highlight w:val="none"/>
        </w:rPr>
        <w:t xml:space="preserve">    </w:t>
      </w:r>
    </w:p>
    <w:p w14:paraId="424D50A0">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帐号/行号：</w:t>
      </w:r>
      <w:r>
        <w:rPr>
          <w:rFonts w:hint="eastAsia" w:ascii="宋体" w:hAnsi="宋体" w:cs="宋体"/>
          <w:szCs w:val="21"/>
          <w:highlight w:val="none"/>
          <w:u w:val="single"/>
        </w:rPr>
        <w:t xml:space="preserve">           </w:t>
      </w:r>
    </w:p>
    <w:p w14:paraId="16585BF5">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8.以上事项如有虚假或者隐瞒，我方愿意承担一切后果，并不再寻求任何旨在减轻或者免除法律责任的辩解。</w:t>
      </w:r>
    </w:p>
    <w:p w14:paraId="50509E54">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特此承诺。</w:t>
      </w:r>
    </w:p>
    <w:p w14:paraId="3C081F7A">
      <w:pPr>
        <w:spacing w:line="360" w:lineRule="auto"/>
        <w:contextualSpacing/>
        <w:jc w:val="left"/>
        <w:rPr>
          <w:rFonts w:hint="eastAsia" w:ascii="宋体" w:hAnsi="宋体"/>
          <w:b/>
          <w:sz w:val="24"/>
          <w:highlight w:val="none"/>
        </w:rPr>
      </w:pPr>
      <w:r>
        <w:rPr>
          <w:rFonts w:hint="eastAsia" w:ascii="宋体" w:hAnsi="宋体"/>
          <w:b/>
          <w:sz w:val="24"/>
          <w:highlight w:val="none"/>
        </w:rPr>
        <w:t>注：如为联合体竞标，盖章处须加盖联合体各方电子签章并由联合体各方法定代表人分别签署，否则响应文件作无效处理。</w:t>
      </w:r>
    </w:p>
    <w:p w14:paraId="02051B11">
      <w:pPr>
        <w:spacing w:line="360" w:lineRule="auto"/>
        <w:contextualSpacing/>
        <w:jc w:val="left"/>
        <w:rPr>
          <w:rFonts w:hint="eastAsia" w:ascii="宋体" w:hAnsi="宋体" w:cs="宋体"/>
          <w:szCs w:val="21"/>
          <w:highlight w:val="none"/>
        </w:rPr>
      </w:pPr>
    </w:p>
    <w:p w14:paraId="61EBDA24">
      <w:pPr>
        <w:spacing w:line="360" w:lineRule="auto"/>
        <w:ind w:firstLine="2520" w:firstLineChars="1200"/>
        <w:contextualSpacing/>
        <w:rPr>
          <w:rFonts w:hint="eastAsia"/>
          <w:highlight w:val="none"/>
        </w:rPr>
      </w:pPr>
      <w:r>
        <w:rPr>
          <w:rFonts w:hint="eastAsia"/>
          <w:highlight w:val="none"/>
        </w:rPr>
        <w:t>法定代表人（签字或者盖章或者电子签名）：</w:t>
      </w:r>
      <w:r>
        <w:rPr>
          <w:rFonts w:hint="eastAsia"/>
          <w:highlight w:val="none"/>
          <w:u w:val="single"/>
        </w:rPr>
        <w:t xml:space="preserve">           </w:t>
      </w:r>
      <w:r>
        <w:rPr>
          <w:rFonts w:hint="eastAsia"/>
          <w:highlight w:val="none"/>
        </w:rPr>
        <w:t xml:space="preserve">                                     </w:t>
      </w:r>
    </w:p>
    <w:p w14:paraId="327E26B6">
      <w:pPr>
        <w:spacing w:line="360" w:lineRule="auto"/>
        <w:ind w:firstLine="2520" w:firstLineChars="1200"/>
        <w:contextualSpacing/>
        <w:rPr>
          <w:rFonts w:hint="eastAsia" w:ascii="宋体" w:hAnsi="宋体" w:cs="宋体"/>
          <w:szCs w:val="21"/>
          <w:highlight w:val="none"/>
          <w:u w:val="single"/>
        </w:rPr>
      </w:pPr>
      <w:r>
        <w:rPr>
          <w:rFonts w:hint="eastAsia"/>
          <w:highlight w:val="none"/>
        </w:rPr>
        <w:t>供应商（电子签章）：</w:t>
      </w:r>
      <w:r>
        <w:rPr>
          <w:rFonts w:hint="eastAsia"/>
          <w:highlight w:val="none"/>
          <w:u w:val="single"/>
        </w:rPr>
        <w:t xml:space="preserve">                               </w:t>
      </w:r>
      <w:r>
        <w:rPr>
          <w:rFonts w:hint="eastAsia"/>
          <w:highlight w:val="none"/>
        </w:rPr>
        <w:t xml:space="preserve">       </w:t>
      </w:r>
      <w:r>
        <w:rPr>
          <w:rFonts w:hint="eastAsia" w:ascii="宋体" w:hAnsi="宋体" w:cs="宋体"/>
          <w:szCs w:val="21"/>
          <w:highlight w:val="none"/>
        </w:rPr>
        <w:t xml:space="preserve">    </w:t>
      </w:r>
    </w:p>
    <w:p w14:paraId="060AB97C">
      <w:pPr>
        <w:spacing w:line="360" w:lineRule="auto"/>
        <w:ind w:right="482" w:firstLine="210" w:firstLineChars="100"/>
        <w:contextualSpacing/>
        <w:jc w:val="center"/>
        <w:rPr>
          <w:rFonts w:hint="eastAsia" w:ascii="宋体" w:hAnsi="宋体"/>
          <w:szCs w:val="21"/>
          <w:highlight w:val="none"/>
        </w:rPr>
      </w:pPr>
      <w:r>
        <w:rPr>
          <w:rFonts w:hint="eastAsia" w:ascii="宋体" w:hAnsi="宋体" w:cs="宋体"/>
          <w:szCs w:val="21"/>
          <w:highlight w:val="none"/>
        </w:rPr>
        <w:t xml:space="preserve">                                                        </w:t>
      </w:r>
      <w:r>
        <w:rPr>
          <w:rFonts w:hint="eastAsia"/>
          <w:highlight w:val="none"/>
        </w:rPr>
        <w:t xml:space="preserve"> 年    月    日 </w:t>
      </w:r>
    </w:p>
    <w:p w14:paraId="3E9D4ED3">
      <w:pPr>
        <w:spacing w:line="360" w:lineRule="auto"/>
        <w:contextualSpacing/>
        <w:rPr>
          <w:rFonts w:hint="eastAsia" w:ascii="宋体" w:hAnsi="宋体" w:cs="仿宋_GB2312"/>
          <w:sz w:val="24"/>
          <w:highlight w:val="none"/>
        </w:rPr>
      </w:pPr>
    </w:p>
    <w:p w14:paraId="66085824">
      <w:pPr>
        <w:spacing w:line="360" w:lineRule="auto"/>
        <w:ind w:right="420"/>
        <w:contextualSpacing/>
        <w:jc w:val="left"/>
        <w:rPr>
          <w:rFonts w:hint="eastAsia" w:ascii="宋体" w:hAnsi="宋体"/>
          <w:b/>
          <w:sz w:val="32"/>
          <w:szCs w:val="32"/>
          <w:highlight w:val="none"/>
        </w:rPr>
      </w:pPr>
      <w:r>
        <w:rPr>
          <w:rFonts w:ascii="宋体" w:hAnsi="宋体"/>
          <w:szCs w:val="21"/>
          <w:highlight w:val="none"/>
        </w:rPr>
        <w:br w:type="page"/>
      </w:r>
      <w:r>
        <w:rPr>
          <w:rFonts w:hint="eastAsia" w:ascii="宋体" w:hAnsi="宋体"/>
          <w:b/>
          <w:bCs/>
          <w:sz w:val="32"/>
          <w:szCs w:val="32"/>
          <w:highlight w:val="none"/>
        </w:rPr>
        <w:t>二、</w:t>
      </w:r>
      <w:r>
        <w:rPr>
          <w:rFonts w:hint="eastAsia" w:ascii="宋体" w:hAnsi="宋体"/>
          <w:b/>
          <w:sz w:val="32"/>
          <w:szCs w:val="32"/>
          <w:highlight w:val="none"/>
        </w:rPr>
        <w:t xml:space="preserve">报价商务技术文件格式 </w:t>
      </w:r>
    </w:p>
    <w:p w14:paraId="58F5B9B9">
      <w:pPr>
        <w:snapToGrid w:val="0"/>
        <w:spacing w:before="120" w:beforeLines="50" w:after="50" w:line="360" w:lineRule="auto"/>
        <w:jc w:val="left"/>
        <w:rPr>
          <w:rFonts w:ascii="宋体" w:hAnsi="宋体"/>
          <w:b/>
          <w:sz w:val="32"/>
          <w:szCs w:val="32"/>
          <w:highlight w:val="none"/>
        </w:rPr>
      </w:pPr>
      <w:r>
        <w:rPr>
          <w:rFonts w:hint="eastAsia" w:ascii="宋体" w:hAnsi="宋体"/>
          <w:b/>
          <w:sz w:val="32"/>
          <w:szCs w:val="32"/>
          <w:highlight w:val="none"/>
        </w:rPr>
        <w:t>1.报价商务技术文件封面格式</w:t>
      </w:r>
    </w:p>
    <w:p w14:paraId="68E507CB">
      <w:pPr>
        <w:snapToGrid w:val="0"/>
        <w:spacing w:before="120" w:beforeLines="50" w:after="50"/>
        <w:rPr>
          <w:rFonts w:hint="eastAsia" w:ascii="宋体" w:hAnsi="宋体"/>
          <w:sz w:val="24"/>
          <w:szCs w:val="20"/>
          <w:highlight w:val="none"/>
        </w:rPr>
      </w:pPr>
      <w:r>
        <w:rPr>
          <w:rFonts w:hint="eastAsia" w:ascii="宋体" w:hAnsi="宋体"/>
          <w:sz w:val="24"/>
          <w:highlight w:val="none"/>
        </w:rPr>
        <w:t xml:space="preserve">                                               </w:t>
      </w:r>
    </w:p>
    <w:p w14:paraId="010205DE">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14:paraId="638CA524">
      <w:pPr>
        <w:snapToGrid w:val="0"/>
        <w:spacing w:before="120" w:beforeLines="50" w:after="50"/>
        <w:rPr>
          <w:rFonts w:hint="eastAsia" w:ascii="宋体" w:hAnsi="宋体"/>
          <w:sz w:val="24"/>
          <w:szCs w:val="20"/>
          <w:highlight w:val="none"/>
        </w:rPr>
      </w:pPr>
    </w:p>
    <w:p w14:paraId="1875048B">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  价  商  务  技  术  文  件</w:t>
      </w:r>
    </w:p>
    <w:p w14:paraId="1229C9DF">
      <w:pPr>
        <w:snapToGrid w:val="0"/>
        <w:spacing w:before="120" w:beforeLines="50" w:after="50"/>
        <w:rPr>
          <w:rFonts w:hint="eastAsia" w:ascii="宋体" w:hAnsi="宋体"/>
          <w:bCs/>
          <w:sz w:val="24"/>
          <w:szCs w:val="20"/>
          <w:highlight w:val="none"/>
        </w:rPr>
      </w:pPr>
    </w:p>
    <w:p w14:paraId="5DF1E62C">
      <w:pPr>
        <w:snapToGrid w:val="0"/>
        <w:spacing w:before="120" w:beforeLines="50" w:after="50"/>
        <w:rPr>
          <w:rFonts w:hint="eastAsia" w:ascii="宋体" w:hAnsi="宋体"/>
          <w:bCs/>
          <w:sz w:val="24"/>
          <w:szCs w:val="20"/>
          <w:highlight w:val="none"/>
        </w:rPr>
      </w:pPr>
    </w:p>
    <w:p w14:paraId="322696AC">
      <w:pPr>
        <w:snapToGrid w:val="0"/>
        <w:spacing w:before="120" w:beforeLines="50" w:after="50"/>
        <w:rPr>
          <w:rFonts w:hint="eastAsia" w:ascii="宋体" w:hAnsi="宋体"/>
          <w:bCs/>
          <w:sz w:val="24"/>
          <w:szCs w:val="20"/>
          <w:highlight w:val="none"/>
        </w:rPr>
      </w:pPr>
    </w:p>
    <w:p w14:paraId="33D12623">
      <w:pPr>
        <w:snapToGrid w:val="0"/>
        <w:spacing w:before="120" w:beforeLines="50" w:after="50"/>
        <w:rPr>
          <w:rFonts w:hint="eastAsia" w:ascii="宋体" w:hAnsi="宋体"/>
          <w:bCs/>
          <w:sz w:val="24"/>
          <w:szCs w:val="20"/>
          <w:highlight w:val="none"/>
        </w:rPr>
      </w:pPr>
    </w:p>
    <w:p w14:paraId="054DE28E">
      <w:pPr>
        <w:snapToGrid w:val="0"/>
        <w:spacing w:before="120" w:beforeLines="50" w:after="50"/>
        <w:rPr>
          <w:rFonts w:hint="eastAsia" w:ascii="宋体" w:hAnsi="宋体"/>
          <w:bCs/>
          <w:sz w:val="24"/>
          <w:szCs w:val="20"/>
          <w:highlight w:val="none"/>
        </w:rPr>
      </w:pPr>
    </w:p>
    <w:p w14:paraId="253DCB2B">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19417996">
      <w:pPr>
        <w:snapToGrid w:val="0"/>
        <w:spacing w:before="120" w:beforeLines="50" w:after="50"/>
        <w:ind w:firstLine="720" w:firstLineChars="225"/>
        <w:rPr>
          <w:rFonts w:hint="eastAsia" w:ascii="宋体" w:hAnsi="宋体" w:cs="仿宋_GB2312"/>
          <w:bCs/>
          <w:sz w:val="32"/>
          <w:szCs w:val="32"/>
          <w:highlight w:val="none"/>
        </w:rPr>
      </w:pPr>
    </w:p>
    <w:p w14:paraId="620D114E">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172AA3BF">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63BB9C51">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63601C00">
      <w:pPr>
        <w:snapToGrid w:val="0"/>
        <w:spacing w:before="120" w:beforeLines="50" w:after="50"/>
        <w:ind w:firstLine="720" w:firstLineChars="225"/>
        <w:rPr>
          <w:rFonts w:hint="eastAsia" w:ascii="宋体" w:hAnsi="宋体" w:cs="仿宋_GB2312"/>
          <w:bCs/>
          <w:sz w:val="32"/>
          <w:szCs w:val="32"/>
          <w:highlight w:val="none"/>
        </w:rPr>
      </w:pPr>
    </w:p>
    <w:p w14:paraId="5B3B536E">
      <w:pPr>
        <w:pStyle w:val="6"/>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358810E1">
      <w:pPr>
        <w:pStyle w:val="6"/>
        <w:snapToGrid w:val="0"/>
        <w:spacing w:before="50" w:after="50"/>
        <w:ind w:firstLine="640" w:firstLineChars="200"/>
        <w:rPr>
          <w:rFonts w:hint="eastAsia" w:ascii="宋体" w:hAnsi="宋体" w:cs="仿宋_GB2312"/>
          <w:bCs/>
          <w:sz w:val="32"/>
          <w:szCs w:val="32"/>
          <w:highlight w:val="none"/>
        </w:rPr>
      </w:pPr>
    </w:p>
    <w:p w14:paraId="76E2752D">
      <w:pPr>
        <w:pStyle w:val="6"/>
        <w:snapToGrid w:val="0"/>
        <w:spacing w:before="50" w:after="50"/>
        <w:ind w:firstLine="720" w:firstLineChars="225"/>
        <w:rPr>
          <w:rFonts w:hint="eastAsia" w:ascii="宋体" w:hAnsi="宋体" w:cs="仿宋_GB2312"/>
          <w:bCs/>
          <w:sz w:val="32"/>
          <w:szCs w:val="32"/>
          <w:highlight w:val="none"/>
        </w:rPr>
      </w:pPr>
    </w:p>
    <w:p w14:paraId="7DA51438">
      <w:pPr>
        <w:pStyle w:val="6"/>
        <w:snapToGrid w:val="0"/>
        <w:spacing w:before="50" w:after="50"/>
        <w:ind w:firstLine="0"/>
        <w:rPr>
          <w:rFonts w:hint="eastAsia" w:ascii="宋体" w:hAnsi="宋体" w:cs="仿宋_GB2312"/>
          <w:bCs/>
          <w:sz w:val="32"/>
          <w:szCs w:val="32"/>
          <w:highlight w:val="none"/>
        </w:rPr>
      </w:pPr>
    </w:p>
    <w:p w14:paraId="71DBB26F">
      <w:pPr>
        <w:pStyle w:val="6"/>
        <w:snapToGrid w:val="0"/>
        <w:spacing w:before="50" w:after="50"/>
        <w:ind w:firstLine="1280" w:firstLineChars="400"/>
        <w:rPr>
          <w:rFonts w:hint="eastAsia" w:ascii="宋体" w:hAnsi="宋体" w:cs="仿宋_GB2312"/>
          <w:bCs/>
          <w:sz w:val="32"/>
          <w:szCs w:val="32"/>
          <w:highlight w:val="none"/>
        </w:rPr>
      </w:pPr>
    </w:p>
    <w:p w14:paraId="06605F9F">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73D81758">
      <w:pPr>
        <w:snapToGrid w:val="0"/>
        <w:spacing w:before="120" w:beforeLines="50" w:after="50" w:line="360" w:lineRule="auto"/>
        <w:ind w:left="142"/>
        <w:jc w:val="left"/>
        <w:rPr>
          <w:rFonts w:hint="eastAsia"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2.报价商务技术文件目录</w:t>
      </w:r>
    </w:p>
    <w:p w14:paraId="64C5257E">
      <w:pPr>
        <w:snapToGrid w:val="0"/>
        <w:spacing w:before="120"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14:paraId="54FA3883">
      <w:pPr>
        <w:spacing w:line="400" w:lineRule="exact"/>
        <w:rPr>
          <w:rFonts w:hint="eastAsia" w:ascii="仿宋_GB2312" w:hAnsi="仿宋_GB2312" w:eastAsia="仿宋_GB2312" w:cs="仿宋_GB2312"/>
          <w:sz w:val="32"/>
          <w:szCs w:val="32"/>
          <w:highlight w:val="none"/>
        </w:rPr>
      </w:pPr>
    </w:p>
    <w:p w14:paraId="63DBDDCD">
      <w:pPr>
        <w:spacing w:line="52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无串通竞标行为的承诺函</w:t>
      </w:r>
    </w:p>
    <w:p w14:paraId="0C03B841">
      <w:pPr>
        <w:spacing w:line="360" w:lineRule="auto"/>
        <w:ind w:firstLine="640" w:firstLineChars="200"/>
        <w:contextualSpacing/>
        <w:rPr>
          <w:rFonts w:hint="eastAsia" w:ascii="仿宋_GB2312" w:hAnsi="仿宋_GB2312" w:eastAsia="仿宋_GB2312" w:cs="仿宋_GB2312"/>
          <w:sz w:val="32"/>
          <w:szCs w:val="32"/>
          <w:highlight w:val="none"/>
        </w:rPr>
      </w:pPr>
    </w:p>
    <w:p w14:paraId="0E71DF7E">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一、我方承诺无下列相互串通竞标的情形：</w:t>
      </w:r>
    </w:p>
    <w:p w14:paraId="49773DF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1.不同供应商的响应文件由同一单位或者个人编制；</w:t>
      </w:r>
    </w:p>
    <w:p w14:paraId="7BA5CB6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49E6465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14:paraId="42F36CF2">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7166078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5.不同供应商的响应文件相互混装；</w:t>
      </w:r>
    </w:p>
    <w:p w14:paraId="71FA9977">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6.不同供应商的竞标保证金从同一单位或者个人账户转出。</w:t>
      </w:r>
    </w:p>
    <w:p w14:paraId="5AEA45F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二、我方承诺无下列恶意串通的情形：</w:t>
      </w:r>
    </w:p>
    <w:p w14:paraId="2A694E8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7AD6C8A1">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68274F6A">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45FAE5A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630A82EC">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14:paraId="214BC30F">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72E3D8E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73AF06DB">
      <w:pPr>
        <w:spacing w:line="360" w:lineRule="auto"/>
        <w:ind w:firstLine="480" w:firstLineChars="200"/>
        <w:contextualSpacing/>
        <w:rPr>
          <w:rFonts w:hint="eastAsia" w:ascii="宋体" w:hAnsi="宋体" w:cs="仿宋_GB2312"/>
          <w:sz w:val="24"/>
          <w:highlight w:val="none"/>
        </w:rPr>
      </w:pPr>
    </w:p>
    <w:p w14:paraId="3721358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095FEB55">
      <w:pPr>
        <w:spacing w:line="360" w:lineRule="auto"/>
        <w:ind w:firstLine="480" w:firstLineChars="200"/>
        <w:contextualSpacing/>
        <w:rPr>
          <w:rFonts w:hint="eastAsia" w:ascii="宋体" w:hAnsi="宋体" w:cs="仿宋_GB2312"/>
          <w:sz w:val="24"/>
          <w:highlight w:val="none"/>
        </w:rPr>
      </w:pPr>
    </w:p>
    <w:p w14:paraId="21EA3DDD">
      <w:pPr>
        <w:spacing w:line="360" w:lineRule="auto"/>
        <w:contextualSpacing/>
        <w:rPr>
          <w:rFonts w:hint="eastAsia" w:ascii="宋体" w:hAnsi="宋体" w:cs="仿宋_GB2312"/>
          <w:sz w:val="24"/>
          <w:highlight w:val="none"/>
        </w:rPr>
      </w:pPr>
    </w:p>
    <w:p w14:paraId="66095C5E">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供应商（电子签章）：</w:t>
      </w:r>
    </w:p>
    <w:p w14:paraId="5EEBD19E">
      <w:pPr>
        <w:spacing w:line="360" w:lineRule="auto"/>
        <w:ind w:firstLine="480" w:firstLineChars="200"/>
        <w:contextualSpacing/>
        <w:jc w:val="center"/>
        <w:rPr>
          <w:rFonts w:hint="eastAsia" w:ascii="宋体" w:hAnsi="宋体" w:cs="仿宋_GB2312"/>
          <w:sz w:val="24"/>
          <w:highlight w:val="none"/>
        </w:rPr>
      </w:pPr>
      <w:r>
        <w:rPr>
          <w:rFonts w:hint="eastAsia" w:ascii="宋体" w:hAnsi="宋体" w:cs="仿宋_GB2312"/>
          <w:sz w:val="24"/>
          <w:highlight w:val="none"/>
        </w:rPr>
        <w:t xml:space="preserve">                               年   月   日</w:t>
      </w:r>
    </w:p>
    <w:p w14:paraId="562CF974">
      <w:pPr>
        <w:spacing w:line="360" w:lineRule="auto"/>
        <w:ind w:firstLine="640" w:firstLineChars="200"/>
        <w:contextualSpacing/>
        <w:jc w:val="center"/>
        <w:rPr>
          <w:rFonts w:hint="eastAsia" w:ascii="宋体" w:hAnsi="宋体" w:cs="仿宋_GB2312"/>
          <w:sz w:val="32"/>
          <w:szCs w:val="32"/>
          <w:highlight w:val="none"/>
        </w:rPr>
      </w:pPr>
    </w:p>
    <w:p w14:paraId="3FB8BD8F">
      <w:pPr>
        <w:tabs>
          <w:tab w:val="left" w:pos="3479"/>
        </w:tabs>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44"/>
          <w:szCs w:val="44"/>
          <w:highlight w:val="none"/>
        </w:rPr>
        <w:t>竞  标  报  价  表</w:t>
      </w:r>
    </w:p>
    <w:p w14:paraId="3288F9B5">
      <w:pPr>
        <w:snapToGrid w:val="0"/>
        <w:spacing w:before="50" w:after="50" w:line="360" w:lineRule="auto"/>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分标（如有）：</w:t>
      </w:r>
      <w:r>
        <w:rPr>
          <w:rFonts w:hint="eastAsia" w:ascii="宋体" w:hAnsi="宋体" w:cs="仿宋_GB2312"/>
          <w:sz w:val="24"/>
          <w:highlight w:val="none"/>
          <w:u w:val="single"/>
        </w:rPr>
        <w:t xml:space="preserve">            </w:t>
      </w:r>
    </w:p>
    <w:p w14:paraId="0B52A02F">
      <w:pPr>
        <w:snapToGrid w:val="0"/>
        <w:spacing w:before="50" w:after="50" w:line="360" w:lineRule="auto"/>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6E3E2C61">
      <w:pPr>
        <w:snapToGrid w:val="0"/>
        <w:spacing w:before="50" w:after="50" w:line="360" w:lineRule="auto"/>
        <w:ind w:firstLine="5520" w:firstLineChars="2300"/>
        <w:rPr>
          <w:rFonts w:hint="eastAsia" w:ascii="宋体" w:hAnsi="宋体" w:cs="仿宋_GB2312"/>
          <w:sz w:val="24"/>
          <w:highlight w:val="none"/>
        </w:rPr>
      </w:pPr>
      <w:r>
        <w:rPr>
          <w:rFonts w:hint="eastAsia" w:ascii="宋体" w:hAnsi="宋体" w:cs="仿宋_GB2312"/>
          <w:sz w:val="24"/>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6A8D5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34955BDD">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2C2ED8">
            <w:pPr>
              <w:keepNext w:val="0"/>
              <w:keepLines w:val="0"/>
              <w:suppressLineNumbers w:val="0"/>
              <w:spacing w:before="0" w:beforeAutospacing="0" w:after="0" w:afterAutospacing="0" w:line="360" w:lineRule="auto"/>
              <w:ind w:left="0" w:right="0"/>
              <w:jc w:val="center"/>
              <w:rPr>
                <w:rFonts w:hint="default" w:ascii="宋体" w:hAnsi="宋体" w:cs="仿宋_GB2312"/>
                <w:b/>
                <w:bCs/>
                <w:sz w:val="24"/>
                <w:highlight w:val="none"/>
              </w:rPr>
            </w:pPr>
            <w:r>
              <w:rPr>
                <w:rFonts w:hint="eastAsia" w:ascii="宋体" w:hAnsi="宋体" w:cs="仿宋_GB2312"/>
                <w:b/>
                <w:bCs/>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3ADA9A6">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数量及单位</w:t>
            </w:r>
          </w:p>
          <w:p w14:paraId="3440D261">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CC40D8F">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品牌</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B6A6BBC">
            <w:pPr>
              <w:keepNext w:val="0"/>
              <w:keepLines w:val="0"/>
              <w:suppressLineNumbers w:val="0"/>
              <w:spacing w:before="0" w:beforeAutospacing="0" w:after="0" w:afterAutospacing="0" w:line="360" w:lineRule="auto"/>
              <w:ind w:left="0" w:right="0"/>
              <w:jc w:val="center"/>
              <w:rPr>
                <w:rFonts w:hint="default" w:ascii="宋体" w:hAnsi="宋体" w:cs="仿宋_GB2312"/>
                <w:b/>
                <w:bCs/>
                <w:sz w:val="24"/>
                <w:highlight w:val="none"/>
              </w:rPr>
            </w:pPr>
            <w:r>
              <w:rPr>
                <w:rFonts w:hint="eastAsia" w:ascii="宋体" w:hAnsi="宋体" w:cs="仿宋_GB2312"/>
                <w:b/>
                <w:bCs/>
                <w:sz w:val="24"/>
                <w:highlight w:val="none"/>
              </w:rPr>
              <w:t>规格</w:t>
            </w:r>
          </w:p>
          <w:p w14:paraId="1B5D92C9">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0ADBDA">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B72EE9">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ED93E5">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7D7A1E8">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单价</w:t>
            </w:r>
          </w:p>
          <w:p w14:paraId="0881E30E">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6A3F0BE">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竞标报价</w:t>
            </w:r>
          </w:p>
          <w:p w14:paraId="10AC0FBA">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③=①×②</w:t>
            </w:r>
          </w:p>
        </w:tc>
      </w:tr>
      <w:tr w14:paraId="32899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30CFDB8C">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D5E1818">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351A027">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DD119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AEA2B6">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A5B246">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EAF755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469003">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730B9AB">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8F3197C">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14:paraId="7F876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9C77288">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760E6E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505D0A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900A7E">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49D16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C8B3E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0792E8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DDBE3F">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51A5D41">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06E7B4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14:paraId="78EC2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9A3EAB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AD639B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51F277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80491C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3DB8FCA">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B8D9B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BC2E6C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3F6C11">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7E2E909">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F20C8FA">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14:paraId="1C5A5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0CED6C9A">
            <w:pPr>
              <w:keepNext w:val="0"/>
              <w:keepLines w:val="0"/>
              <w:suppressLineNumbers w:val="0"/>
              <w:snapToGrid w:val="0"/>
              <w:spacing w:before="50" w:beforeAutospacing="0" w:after="50" w:afterAutospacing="0" w:line="360" w:lineRule="auto"/>
              <w:ind w:left="0" w:right="0"/>
              <w:rPr>
                <w:rFonts w:hint="eastAsia" w:ascii="宋体" w:hAnsi="宋体" w:cs="仿宋_GB2312"/>
                <w:sz w:val="24"/>
                <w:highlight w:val="none"/>
              </w:rPr>
            </w:pPr>
            <w:r>
              <w:rPr>
                <w:rFonts w:hint="eastAsia" w:ascii="宋体" w:hAnsi="宋体" w:cs="仿宋_GB2312"/>
                <w:sz w:val="24"/>
                <w:highlight w:val="none"/>
              </w:rPr>
              <w:t>合计金额大写：人民币</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sz w:val="24"/>
                <w:highlight w:val="none"/>
                <w:u w:val="single"/>
              </w:rPr>
              <w:t xml:space="preserve">           </w:t>
            </w:r>
            <w:r>
              <w:rPr>
                <w:rFonts w:hint="eastAsia" w:ascii="宋体" w:hAnsi="宋体" w:cs="仿宋_GB2312"/>
                <w:sz w:val="24"/>
                <w:highlight w:val="none"/>
              </w:rPr>
              <w:t>）</w:t>
            </w:r>
          </w:p>
          <w:p w14:paraId="3B88CC6B">
            <w:pPr>
              <w:keepNext w:val="0"/>
              <w:keepLines w:val="0"/>
              <w:suppressLineNumbers w:val="0"/>
              <w:snapToGrid w:val="0"/>
              <w:spacing w:before="50" w:beforeAutospacing="0" w:after="50" w:afterAutospacing="0" w:line="360" w:lineRule="auto"/>
              <w:ind w:left="0" w:right="0"/>
              <w:rPr>
                <w:rFonts w:hint="eastAsia" w:ascii="宋体" w:hAnsi="宋体" w:cs="仿宋_GB2312"/>
                <w:sz w:val="24"/>
                <w:highlight w:val="none"/>
                <w:u w:val="single"/>
              </w:rPr>
            </w:pPr>
            <w:r>
              <w:rPr>
                <w:rFonts w:hint="eastAsia" w:ascii="宋体" w:hAnsi="宋体" w:cs="仿宋_GB2312"/>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14:paraId="1768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55609C0C">
            <w:pPr>
              <w:keepNext w:val="0"/>
              <w:keepLines w:val="0"/>
              <w:widowControl/>
              <w:suppressLineNumbers w:val="0"/>
              <w:snapToGrid w:val="0"/>
              <w:spacing w:before="50" w:beforeAutospacing="0" w:after="50" w:afterAutospacing="0" w:line="360" w:lineRule="auto"/>
              <w:ind w:left="0" w:right="0"/>
              <w:jc w:val="left"/>
              <w:rPr>
                <w:rFonts w:hint="eastAsia" w:ascii="宋体" w:hAnsi="宋体" w:cs="仿宋_GB2312"/>
                <w:sz w:val="24"/>
                <w:highlight w:val="none"/>
                <w:u w:val="single"/>
              </w:rPr>
            </w:pPr>
            <w:r>
              <w:rPr>
                <w:rFonts w:hint="eastAsia" w:ascii="宋体" w:hAnsi="宋体" w:cs="宋体"/>
                <w:kern w:val="0"/>
                <w:sz w:val="24"/>
                <w:highlight w:val="none"/>
                <w:lang w:bidi="ar"/>
              </w:rPr>
              <w:t xml:space="preserve">交付时间： </w:t>
            </w:r>
          </w:p>
        </w:tc>
      </w:tr>
      <w:tr w14:paraId="49D7E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21D0EF8B">
            <w:pPr>
              <w:keepNext w:val="0"/>
              <w:keepLines w:val="0"/>
              <w:widowControl/>
              <w:suppressLineNumbers w:val="0"/>
              <w:snapToGrid w:val="0"/>
              <w:spacing w:before="50" w:beforeAutospacing="0" w:after="50" w:afterAutospacing="0" w:line="360" w:lineRule="auto"/>
              <w:ind w:left="0" w:right="0"/>
              <w:jc w:val="left"/>
              <w:rPr>
                <w:rFonts w:hint="eastAsia" w:ascii="宋体" w:hAnsi="宋体" w:cs="仿宋_GB2312"/>
                <w:sz w:val="24"/>
                <w:highlight w:val="none"/>
                <w:u w:val="single"/>
              </w:rPr>
            </w:pPr>
            <w:r>
              <w:rPr>
                <w:rFonts w:hint="eastAsia" w:ascii="宋体" w:hAnsi="宋体" w:cs="宋体"/>
                <w:kern w:val="0"/>
                <w:sz w:val="24"/>
                <w:highlight w:val="none"/>
                <w:lang w:bidi="ar"/>
              </w:rPr>
              <w:t xml:space="preserve">交付地点： </w:t>
            </w:r>
          </w:p>
        </w:tc>
      </w:tr>
    </w:tbl>
    <w:p w14:paraId="58BB4209">
      <w:pPr>
        <w:contextualSpacing/>
        <w:jc w:val="left"/>
        <w:rPr>
          <w:rFonts w:ascii="宋体" w:hAnsi="宋体" w:cs="仿宋_GB2312"/>
          <w:sz w:val="24"/>
          <w:highlight w:val="none"/>
        </w:rPr>
      </w:pPr>
      <w:r>
        <w:rPr>
          <w:rFonts w:hint="eastAsia" w:ascii="宋体" w:hAnsi="宋体" w:cs="仿宋_GB2312"/>
          <w:sz w:val="24"/>
          <w:highlight w:val="none"/>
        </w:rPr>
        <w:t xml:space="preserve">注: </w:t>
      </w:r>
    </w:p>
    <w:p w14:paraId="3B92C9CD">
      <w:pPr>
        <w:ind w:firstLine="480" w:firstLineChars="200"/>
        <w:contextualSpacing/>
        <w:jc w:val="left"/>
        <w:rPr>
          <w:rFonts w:ascii="宋体" w:hAnsi="宋体" w:cs="仿宋_GB2312"/>
          <w:sz w:val="24"/>
          <w:highlight w:val="none"/>
        </w:rPr>
      </w:pPr>
      <w:r>
        <w:rPr>
          <w:rFonts w:hint="eastAsia" w:ascii="宋体" w:hAnsi="宋体" w:cs="仿宋_GB2312"/>
          <w:sz w:val="24"/>
          <w:highlight w:val="none"/>
        </w:rPr>
        <w:t>1</w:t>
      </w:r>
      <w:r>
        <w:rPr>
          <w:rFonts w:ascii="宋体" w:hAnsi="宋体" w:cs="仿宋_GB2312"/>
          <w:sz w:val="24"/>
          <w:highlight w:val="none"/>
        </w:rPr>
        <w:t>.</w:t>
      </w:r>
      <w:r>
        <w:rPr>
          <w:rFonts w:hint="eastAsia" w:ascii="宋体" w:hAnsi="宋体"/>
          <w:sz w:val="24"/>
          <w:highlight w:val="none"/>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highlight w:val="none"/>
        </w:rPr>
        <w:t>的，</w:t>
      </w:r>
      <w:r>
        <w:rPr>
          <w:rFonts w:hint="eastAsia" w:ascii="宋体" w:hAnsi="宋体" w:cs="仿宋_GB2312"/>
          <w:b/>
          <w:sz w:val="24"/>
          <w:highlight w:val="none"/>
        </w:rPr>
        <w:t>其响应文件作无效处理</w:t>
      </w:r>
      <w:r>
        <w:rPr>
          <w:rFonts w:hint="eastAsia" w:ascii="宋体" w:hAnsi="宋体"/>
          <w:b/>
          <w:sz w:val="24"/>
          <w:highlight w:val="none"/>
        </w:rPr>
        <w:t>。</w:t>
      </w:r>
    </w:p>
    <w:p w14:paraId="49D3AF71">
      <w:pPr>
        <w:ind w:firstLine="480" w:firstLineChars="200"/>
        <w:contextualSpacing/>
        <w:jc w:val="left"/>
        <w:rPr>
          <w:rFonts w:hint="eastAsia"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.供应商的报价表表必须加盖供应商电子签章并由法定代表人或者委托代理人签字或者电子签名，</w:t>
      </w:r>
      <w:r>
        <w:rPr>
          <w:rFonts w:hint="eastAsia" w:ascii="宋体" w:hAnsi="宋体" w:cs="仿宋_GB2312"/>
          <w:b/>
          <w:sz w:val="24"/>
          <w:highlight w:val="none"/>
        </w:rPr>
        <w:t>否则其响应文件作无效处理</w:t>
      </w:r>
      <w:r>
        <w:rPr>
          <w:rFonts w:hint="eastAsia" w:ascii="宋体" w:hAnsi="宋体" w:cs="仿宋_GB2312"/>
          <w:sz w:val="24"/>
          <w:highlight w:val="none"/>
        </w:rPr>
        <w:t>。</w:t>
      </w:r>
    </w:p>
    <w:p w14:paraId="59219F74">
      <w:pPr>
        <w:ind w:firstLine="480" w:firstLineChars="200"/>
        <w:contextualSpacing/>
        <w:jc w:val="left"/>
        <w:rPr>
          <w:rFonts w:hint="eastAsia" w:ascii="宋体" w:hAnsi="宋体" w:cs="仿宋_GB2312"/>
          <w:sz w:val="24"/>
          <w:highlight w:val="none"/>
        </w:rPr>
      </w:pPr>
      <w:r>
        <w:rPr>
          <w:rFonts w:ascii="宋体" w:hAnsi="宋体" w:cs="仿宋_GB2312"/>
          <w:bCs/>
          <w:sz w:val="24"/>
          <w:highlight w:val="none"/>
        </w:rPr>
        <w:t>3</w:t>
      </w:r>
      <w:r>
        <w:rPr>
          <w:rFonts w:hint="eastAsia" w:ascii="宋体" w:hAnsi="宋体" w:cs="仿宋_GB2312"/>
          <w:bCs/>
          <w:sz w:val="24"/>
          <w:highlight w:val="none"/>
        </w:rPr>
        <w:t>.</w:t>
      </w:r>
      <w:r>
        <w:rPr>
          <w:rFonts w:hint="eastAsia" w:ascii="宋体" w:hAnsi="宋体" w:cs="仿宋_GB2312"/>
          <w:sz w:val="24"/>
          <w:highlight w:val="none"/>
        </w:rPr>
        <w:t>报价一经涂改，应在涂改处加盖供应商公章或者加盖电子签章或者由法定代</w:t>
      </w:r>
    </w:p>
    <w:p w14:paraId="3236F276">
      <w:pPr>
        <w:contextualSpacing/>
        <w:jc w:val="left"/>
        <w:rPr>
          <w:rFonts w:hint="eastAsia" w:ascii="宋体" w:hAnsi="宋体" w:cs="仿宋_GB2312"/>
          <w:b/>
          <w:sz w:val="24"/>
          <w:highlight w:val="none"/>
        </w:rPr>
      </w:pPr>
      <w:r>
        <w:rPr>
          <w:rFonts w:hint="eastAsia" w:ascii="宋体" w:hAnsi="宋体" w:cs="仿宋_GB2312"/>
          <w:sz w:val="24"/>
          <w:highlight w:val="none"/>
        </w:rPr>
        <w:t>表人或者授权委托人签字（或者电子签名），</w:t>
      </w:r>
      <w:r>
        <w:rPr>
          <w:rFonts w:hint="eastAsia" w:ascii="宋体" w:hAnsi="宋体" w:cs="仿宋_GB2312"/>
          <w:b/>
          <w:sz w:val="24"/>
          <w:highlight w:val="none"/>
        </w:rPr>
        <w:t>否则其响应文件作无效处理。</w:t>
      </w:r>
    </w:p>
    <w:p w14:paraId="7D59B5B0">
      <w:pPr>
        <w:ind w:firstLine="480" w:firstLineChars="200"/>
        <w:contextualSpacing/>
        <w:jc w:val="left"/>
        <w:rPr>
          <w:rFonts w:hint="eastAsia" w:ascii="宋体" w:hAns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.竞争性谈判文件中列明采购专用耗材的，应按竞争性谈判文件规定的耗材量或者按耗材的常规试用量提供报价。</w:t>
      </w:r>
    </w:p>
    <w:p w14:paraId="3EAE3AEB">
      <w:pPr>
        <w:spacing w:line="360" w:lineRule="auto"/>
        <w:ind w:right="-817" w:rightChars="-389" w:firstLine="2640" w:firstLineChars="1100"/>
        <w:contextualSpacing/>
        <w:rPr>
          <w:rFonts w:hint="eastAsia" w:ascii="宋体" w:hAnsi="宋体" w:cs="仿宋_GB2312"/>
          <w:sz w:val="24"/>
          <w:highlight w:val="none"/>
        </w:rPr>
      </w:pPr>
    </w:p>
    <w:p w14:paraId="29163084">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法定代表人或者委托代理人（签字或者电子签名）：                    </w:t>
      </w:r>
    </w:p>
    <w:p w14:paraId="75035772">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14:paraId="2F1868C1">
      <w:pPr>
        <w:spacing w:line="360" w:lineRule="auto"/>
        <w:ind w:right="-817" w:rightChars="-389" w:firstLine="4080" w:firstLineChars="17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14:paraId="77677E8D">
      <w:pPr>
        <w:spacing w:before="240" w:beforeLines="100" w:after="120" w:afterLines="50" w:line="520" w:lineRule="exact"/>
        <w:ind w:left="540"/>
        <w:jc w:val="center"/>
        <w:rPr>
          <w:rFonts w:hint="eastAsia" w:ascii="仿宋_GB2312" w:hAnsi="仿宋_GB2312" w:eastAsia="仿宋_GB2312" w:cs="仿宋_GB2312"/>
          <w:sz w:val="32"/>
          <w:szCs w:val="32"/>
          <w:highlight w:val="none"/>
        </w:rPr>
      </w:pPr>
      <w:r>
        <w:rPr>
          <w:rFonts w:hint="eastAsia" w:ascii="宋体" w:hAnsi="Courier New"/>
          <w:b/>
          <w:sz w:val="32"/>
          <w:szCs w:val="32"/>
          <w:highlight w:val="none"/>
        </w:rPr>
        <w:br w:type="page"/>
      </w:r>
      <w:r>
        <w:rPr>
          <w:rFonts w:hint="eastAsia" w:ascii="方正小标宋简体" w:hAnsi="方正小标宋简体" w:eastAsia="方正小标宋简体" w:cs="方正小标宋简体"/>
          <w:bCs/>
          <w:sz w:val="44"/>
          <w:szCs w:val="44"/>
          <w:highlight w:val="none"/>
        </w:rPr>
        <w:t>法定代表人证明书</w:t>
      </w:r>
    </w:p>
    <w:p w14:paraId="149EC4BD">
      <w:pPr>
        <w:spacing w:line="360" w:lineRule="auto"/>
        <w:ind w:left="540"/>
        <w:contextualSpacing/>
        <w:rPr>
          <w:rFonts w:hint="eastAsia" w:ascii="仿宋_GB2312" w:hAnsi="仿宋_GB2312" w:eastAsia="仿宋_GB2312" w:cs="仿宋_GB2312"/>
          <w:sz w:val="32"/>
          <w:szCs w:val="32"/>
          <w:highlight w:val="none"/>
        </w:rPr>
      </w:pPr>
    </w:p>
    <w:p w14:paraId="1814EB22">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p>
    <w:p w14:paraId="764DB045">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地    址：</w:t>
      </w:r>
      <w:r>
        <w:rPr>
          <w:rFonts w:hint="eastAsia" w:ascii="宋体" w:hAnsi="宋体" w:cs="仿宋_GB2312"/>
          <w:sz w:val="24"/>
          <w:highlight w:val="none"/>
          <w:u w:val="single"/>
        </w:rPr>
        <w:t xml:space="preserve">                                                        </w:t>
      </w:r>
    </w:p>
    <w:p w14:paraId="04F0A381">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姓    名：</w:t>
      </w:r>
      <w:r>
        <w:rPr>
          <w:rFonts w:hint="eastAsia" w:ascii="宋体" w:hAnsi="宋体" w:cs="仿宋_GB2312"/>
          <w:sz w:val="24"/>
          <w:highlight w:val="none"/>
          <w:u w:val="single"/>
        </w:rPr>
        <w:t xml:space="preserve">               </w:t>
      </w:r>
      <w:r>
        <w:rPr>
          <w:rFonts w:hint="eastAsia" w:ascii="宋体" w:hAnsi="宋体" w:cs="仿宋_GB2312"/>
          <w:sz w:val="24"/>
          <w:highlight w:val="none"/>
        </w:rPr>
        <w:t>性      别：</w:t>
      </w:r>
      <w:r>
        <w:rPr>
          <w:rFonts w:hint="eastAsia" w:ascii="宋体" w:hAnsi="宋体" w:cs="仿宋_GB2312"/>
          <w:sz w:val="24"/>
          <w:highlight w:val="none"/>
          <w:u w:val="single"/>
        </w:rPr>
        <w:t xml:space="preserve">                </w:t>
      </w:r>
    </w:p>
    <w:p w14:paraId="5E64B7F4">
      <w:pPr>
        <w:spacing w:line="360" w:lineRule="auto"/>
        <w:ind w:left="540"/>
        <w:contextualSpacing/>
        <w:rPr>
          <w:rFonts w:hint="eastAsia" w:ascii="宋体" w:hAnsi="宋体" w:cs="仿宋_GB2312"/>
          <w:sz w:val="24"/>
          <w:highlight w:val="none"/>
          <w:u w:val="single"/>
        </w:rPr>
      </w:pPr>
      <w:r>
        <w:rPr>
          <w:rFonts w:hint="eastAsia" w:ascii="宋体" w:hAnsi="宋体" w:cs="仿宋_GB2312"/>
          <w:sz w:val="24"/>
          <w:highlight w:val="none"/>
        </w:rPr>
        <w:t>年    龄：</w:t>
      </w:r>
      <w:r>
        <w:rPr>
          <w:rFonts w:hint="eastAsia" w:ascii="宋体" w:hAnsi="宋体" w:cs="仿宋_GB2312"/>
          <w:sz w:val="24"/>
          <w:highlight w:val="none"/>
          <w:u w:val="single"/>
        </w:rPr>
        <w:t xml:space="preserve">               </w:t>
      </w:r>
      <w:r>
        <w:rPr>
          <w:rFonts w:hint="eastAsia" w:ascii="宋体" w:hAnsi="宋体" w:cs="仿宋_GB2312"/>
          <w:sz w:val="24"/>
          <w:highlight w:val="none"/>
        </w:rPr>
        <w:t>职      务：</w:t>
      </w:r>
      <w:r>
        <w:rPr>
          <w:rFonts w:hint="eastAsia" w:ascii="宋体" w:hAnsi="宋体" w:cs="仿宋_GB2312"/>
          <w:sz w:val="24"/>
          <w:highlight w:val="none"/>
          <w:u w:val="single"/>
        </w:rPr>
        <w:t xml:space="preserve">                </w:t>
      </w:r>
    </w:p>
    <w:p w14:paraId="7C4A4956">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身份证号码：</w:t>
      </w:r>
      <w:r>
        <w:rPr>
          <w:rFonts w:hint="eastAsia" w:ascii="宋体" w:hAnsi="宋体" w:cs="仿宋_GB2312"/>
          <w:sz w:val="24"/>
          <w:highlight w:val="none"/>
          <w:u w:val="single"/>
        </w:rPr>
        <w:t xml:space="preserve">                                        </w:t>
      </w:r>
    </w:p>
    <w:p w14:paraId="6BDB15C5">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系</w:t>
      </w:r>
      <w:r>
        <w:rPr>
          <w:rFonts w:hint="eastAsia" w:ascii="宋体" w:hAnsi="宋体" w:cs="仿宋_GB2312"/>
          <w:sz w:val="24"/>
          <w:highlight w:val="none"/>
          <w:u w:val="single"/>
        </w:rPr>
        <w:t xml:space="preserve"> </w:t>
      </w:r>
      <w:r>
        <w:rPr>
          <w:rFonts w:ascii="宋体" w:hAnsi="宋体" w:cs="仿宋_GB2312"/>
          <w:sz w:val="24"/>
          <w:highlight w:val="none"/>
          <w:u w:val="single"/>
        </w:rPr>
        <w:t xml:space="preserve">   </w:t>
      </w:r>
      <w:r>
        <w:rPr>
          <w:rFonts w:hint="eastAsia" w:ascii="宋体" w:hAnsi="宋体" w:cs="仿宋_GB2312"/>
          <w:sz w:val="24"/>
          <w:highlight w:val="none"/>
          <w:u w:val="single"/>
        </w:rPr>
        <w:t xml:space="preserve">（供应商名称） </w:t>
      </w:r>
      <w:r>
        <w:rPr>
          <w:rFonts w:ascii="宋体" w:hAnsi="宋体" w:cs="仿宋_GB2312"/>
          <w:sz w:val="24"/>
          <w:highlight w:val="none"/>
          <w:u w:val="single"/>
        </w:rPr>
        <w:t xml:space="preserve">  </w:t>
      </w:r>
      <w:r>
        <w:rPr>
          <w:rFonts w:hint="eastAsia" w:ascii="宋体" w:hAnsi="宋体" w:cs="仿宋_GB2312"/>
          <w:sz w:val="24"/>
          <w:highlight w:val="none"/>
        </w:rPr>
        <w:t>的法定代表人。</w:t>
      </w:r>
    </w:p>
    <w:p w14:paraId="2D7CBAD6">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特此证明。</w:t>
      </w:r>
    </w:p>
    <w:p w14:paraId="411647A3">
      <w:pPr>
        <w:spacing w:line="360" w:lineRule="auto"/>
        <w:ind w:left="540"/>
        <w:contextualSpacing/>
        <w:rPr>
          <w:rFonts w:hint="eastAsia" w:ascii="宋体" w:hAnsi="宋体" w:cs="仿宋_GB2312"/>
          <w:sz w:val="24"/>
          <w:highlight w:val="none"/>
        </w:rPr>
      </w:pPr>
    </w:p>
    <w:p w14:paraId="023BB544">
      <w:pPr>
        <w:spacing w:line="360" w:lineRule="auto"/>
        <w:ind w:left="540"/>
        <w:contextualSpacing/>
        <w:rPr>
          <w:rFonts w:hint="eastAsia" w:ascii="宋体" w:hAnsi="宋体" w:cs="仿宋_GB2312"/>
          <w:sz w:val="24"/>
          <w:highlight w:val="none"/>
        </w:rPr>
      </w:pPr>
    </w:p>
    <w:p w14:paraId="31C42121">
      <w:pPr>
        <w:spacing w:line="360" w:lineRule="auto"/>
        <w:ind w:left="540"/>
        <w:contextualSpacing/>
        <w:rPr>
          <w:rFonts w:hint="eastAsia" w:ascii="宋体" w:hAnsi="宋体" w:cs="仿宋_GB2312"/>
          <w:sz w:val="24"/>
          <w:highlight w:val="none"/>
        </w:rPr>
      </w:pPr>
    </w:p>
    <w:p w14:paraId="6F2C31C9">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附件：法定代表人有效身份证正反面复印件</w:t>
      </w:r>
    </w:p>
    <w:p w14:paraId="3984FC09">
      <w:pPr>
        <w:spacing w:line="360" w:lineRule="auto"/>
        <w:ind w:left="540"/>
        <w:contextualSpacing/>
        <w:rPr>
          <w:rFonts w:hint="eastAsia" w:ascii="宋体" w:hAnsi="宋体" w:cs="仿宋_GB2312"/>
          <w:sz w:val="24"/>
          <w:highlight w:val="none"/>
        </w:rPr>
      </w:pPr>
    </w:p>
    <w:p w14:paraId="6AC24EA7">
      <w:pPr>
        <w:spacing w:line="360" w:lineRule="auto"/>
        <w:ind w:left="540"/>
        <w:contextualSpacing/>
        <w:jc w:val="center"/>
        <w:rPr>
          <w:rFonts w:hint="eastAsia" w:ascii="宋体" w:hAnsi="宋体" w:cs="仿宋_GB2312"/>
          <w:sz w:val="24"/>
          <w:highlight w:val="none"/>
        </w:rPr>
      </w:pPr>
      <w:r>
        <w:rPr>
          <w:rFonts w:hint="eastAsia" w:ascii="宋体" w:hAnsi="宋体" w:cs="仿宋_GB2312"/>
          <w:sz w:val="24"/>
          <w:highlight w:val="none"/>
        </w:rPr>
        <w:t>供应商（</w:t>
      </w:r>
      <w:r>
        <w:rPr>
          <w:rFonts w:hint="eastAsia"/>
          <w:highlight w:val="none"/>
        </w:rPr>
        <w:t>电子签章</w:t>
      </w:r>
      <w:r>
        <w:rPr>
          <w:rFonts w:hint="eastAsia" w:ascii="宋体" w:hAnsi="宋体" w:cs="仿宋_GB2312"/>
          <w:sz w:val="24"/>
          <w:highlight w:val="none"/>
        </w:rPr>
        <w:t>）：</w:t>
      </w:r>
      <w:r>
        <w:rPr>
          <w:rFonts w:hint="eastAsia" w:ascii="宋体" w:hAnsi="宋体" w:cs="仿宋_GB2312"/>
          <w:sz w:val="24"/>
          <w:highlight w:val="none"/>
          <w:u w:val="single"/>
        </w:rPr>
        <w:t xml:space="preserve">               </w:t>
      </w:r>
    </w:p>
    <w:p w14:paraId="7E024DBD">
      <w:pPr>
        <w:spacing w:line="360" w:lineRule="auto"/>
        <w:ind w:firstLine="4080" w:firstLineChars="1700"/>
        <w:contextualSpacing/>
        <w:rPr>
          <w:rFonts w:hint="eastAsia" w:ascii="宋体" w:hAnsi="宋体" w:cs="仿宋_GB2312"/>
          <w:sz w:val="24"/>
          <w:highlight w:val="none"/>
        </w:rPr>
      </w:pPr>
      <w:r>
        <w:rPr>
          <w:rFonts w:hint="eastAsia" w:ascii="宋体" w:hAnsi="宋体" w:cs="仿宋_GB2312"/>
          <w:sz w:val="24"/>
          <w:highlight w:val="none"/>
          <w:u w:val="single"/>
        </w:rPr>
        <w:t xml:space="preserve">     </w:t>
      </w:r>
      <w:r>
        <w:rPr>
          <w:rFonts w:hint="eastAsia" w:ascii="宋体" w:hAnsi="宋体" w:cs="仿宋_GB2312"/>
          <w:sz w:val="24"/>
          <w:highlight w:val="none"/>
        </w:rPr>
        <w:t>年</w:t>
      </w:r>
      <w:r>
        <w:rPr>
          <w:rFonts w:hint="eastAsia" w:ascii="宋体" w:hAnsi="宋体" w:cs="仿宋_GB2312"/>
          <w:sz w:val="24"/>
          <w:highlight w:val="none"/>
          <w:u w:val="single"/>
        </w:rPr>
        <w:t xml:space="preserve">     </w:t>
      </w:r>
      <w:r>
        <w:rPr>
          <w:rFonts w:hint="eastAsia" w:ascii="宋体" w:hAnsi="宋体" w:cs="仿宋_GB2312"/>
          <w:sz w:val="24"/>
          <w:highlight w:val="none"/>
        </w:rPr>
        <w:t>月</w:t>
      </w:r>
      <w:r>
        <w:rPr>
          <w:rFonts w:hint="eastAsia" w:ascii="宋体" w:hAnsi="宋体" w:cs="仿宋_GB2312"/>
          <w:sz w:val="24"/>
          <w:highlight w:val="none"/>
          <w:u w:val="single"/>
        </w:rPr>
        <w:t xml:space="preserve">     </w:t>
      </w:r>
      <w:r>
        <w:rPr>
          <w:rFonts w:hint="eastAsia" w:ascii="宋体" w:hAnsi="宋体" w:cs="仿宋_GB2312"/>
          <w:sz w:val="24"/>
          <w:highlight w:val="none"/>
        </w:rPr>
        <w:t>日</w:t>
      </w:r>
    </w:p>
    <w:p w14:paraId="3090E65A">
      <w:pPr>
        <w:spacing w:line="360" w:lineRule="auto"/>
        <w:contextualSpacing/>
        <w:jc w:val="center"/>
        <w:rPr>
          <w:rFonts w:hint="eastAsia" w:ascii="宋体" w:hAnsi="宋体" w:cs="仿宋_GB2312"/>
          <w:b/>
          <w:sz w:val="24"/>
          <w:highlight w:val="none"/>
        </w:rPr>
      </w:pPr>
    </w:p>
    <w:p w14:paraId="255DFC04">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注：1</w:t>
      </w:r>
      <w:r>
        <w:rPr>
          <w:rFonts w:ascii="宋体" w:hAnsi="宋体" w:cs="仿宋_GB2312"/>
          <w:sz w:val="24"/>
          <w:highlight w:val="none"/>
        </w:rPr>
        <w:t>.</w:t>
      </w:r>
      <w:r>
        <w:rPr>
          <w:rFonts w:hint="eastAsia" w:ascii="宋体" w:hAnsi="宋体" w:cs="仿宋_GB2312"/>
          <w:sz w:val="24"/>
          <w:highlight w:val="none"/>
        </w:rPr>
        <w:t>自然人竞标的无需提供，联合体竞标的只需牵头人出具。</w:t>
      </w:r>
    </w:p>
    <w:p w14:paraId="2AC3492E">
      <w:pPr>
        <w:spacing w:line="360" w:lineRule="auto"/>
        <w:ind w:firstLine="480" w:firstLineChars="200"/>
        <w:contextualSpacing/>
        <w:jc w:val="left"/>
        <w:rPr>
          <w:rFonts w:hint="eastAsia" w:ascii="仿宋_GB2312" w:hAnsi="仿宋_GB2312" w:eastAsia="仿宋_GB2312" w:cs="仿宋_GB2312"/>
          <w:b/>
          <w:sz w:val="32"/>
          <w:szCs w:val="32"/>
          <w:highlight w:val="none"/>
        </w:rPr>
      </w:pPr>
      <w:r>
        <w:rPr>
          <w:rFonts w:hint="eastAsia" w:ascii="宋体" w:hAnsi="宋体" w:cs="仿宋_GB2312"/>
          <w:sz w:val="24"/>
          <w:highlight w:val="none"/>
        </w:rPr>
        <w:t>2</w:t>
      </w:r>
      <w:r>
        <w:rPr>
          <w:rFonts w:ascii="宋体" w:hAnsi="宋体" w:cs="仿宋_GB2312"/>
          <w:sz w:val="24"/>
          <w:highlight w:val="none"/>
        </w:rPr>
        <w:t>.</w:t>
      </w:r>
      <w:r>
        <w:rPr>
          <w:rFonts w:hint="eastAsia" w:ascii="宋体" w:hAnsi="宋体" w:cs="仿宋_GB2312"/>
          <w:sz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0E0BD37">
      <w:pPr>
        <w:adjustRightInd w:val="0"/>
        <w:snapToGrid w:val="0"/>
        <w:spacing w:line="300" w:lineRule="auto"/>
        <w:jc w:val="left"/>
        <w:rPr>
          <w:rFonts w:hint="eastAsia" w:ascii="宋体" w:hAnsi="宋体"/>
          <w:b/>
          <w:szCs w:val="21"/>
          <w:highlight w:val="none"/>
        </w:rPr>
      </w:pPr>
    </w:p>
    <w:p w14:paraId="031CDC2B">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授权委托书（非联合体竞标格式）</w:t>
      </w:r>
    </w:p>
    <w:p w14:paraId="30AE855A">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（如有委托时）</w:t>
      </w:r>
    </w:p>
    <w:p w14:paraId="174F576E">
      <w:pPr>
        <w:spacing w:line="360" w:lineRule="auto"/>
        <w:contextualSpacing/>
        <w:rPr>
          <w:rFonts w:hint="eastAsia" w:ascii="仿宋_GB2312" w:hAnsi="仿宋_GB2312" w:eastAsia="仿宋_GB2312" w:cs="仿宋_GB2312"/>
          <w:sz w:val="32"/>
          <w:szCs w:val="32"/>
          <w:highlight w:val="none"/>
        </w:rPr>
      </w:pPr>
    </w:p>
    <w:p w14:paraId="0E20229D">
      <w:pPr>
        <w:spacing w:line="360" w:lineRule="auto"/>
        <w:contextualSpacing/>
        <w:rPr>
          <w:rFonts w:hint="eastAsia" w:ascii="宋体" w:hAnsi="宋体" w:cs="仿宋_GB2312"/>
          <w:sz w:val="24"/>
          <w:highlight w:val="none"/>
        </w:rPr>
      </w:pPr>
      <w:r>
        <w:rPr>
          <w:rFonts w:hint="eastAsia" w:ascii="宋体" w:hAnsi="宋体" w:cs="仿宋_GB2312"/>
          <w:sz w:val="24"/>
          <w:highlight w:val="none"/>
        </w:rPr>
        <w:t>致：</w:t>
      </w:r>
      <w:r>
        <w:rPr>
          <w:rFonts w:hint="eastAsia" w:ascii="宋体" w:hAnsi="宋体" w:cs="仿宋_GB2312"/>
          <w:sz w:val="24"/>
          <w:highlight w:val="none"/>
          <w:u w:val="single"/>
        </w:rPr>
        <w:t>（采购人名称）</w:t>
      </w:r>
      <w:r>
        <w:rPr>
          <w:rFonts w:hint="eastAsia" w:ascii="宋体" w:hAnsi="宋体" w:cs="仿宋_GB2312"/>
          <w:sz w:val="24"/>
          <w:highlight w:val="none"/>
        </w:rPr>
        <w:t>：</w:t>
      </w:r>
    </w:p>
    <w:p w14:paraId="492D0ABA">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我</w:t>
      </w:r>
      <w:r>
        <w:rPr>
          <w:rFonts w:hint="eastAsia" w:ascii="宋体" w:hAnsi="宋体" w:cs="仿宋_GB2312"/>
          <w:sz w:val="24"/>
          <w:highlight w:val="none"/>
          <w:u w:val="single"/>
        </w:rPr>
        <w:t xml:space="preserve">  （姓名）  </w:t>
      </w:r>
      <w:r>
        <w:rPr>
          <w:rFonts w:hint="eastAsia" w:ascii="宋体" w:hAnsi="宋体" w:cs="仿宋_GB2312"/>
          <w:sz w:val="24"/>
          <w:highlight w:val="none"/>
        </w:rPr>
        <w:t>系</w:t>
      </w:r>
      <w:r>
        <w:rPr>
          <w:rFonts w:hint="eastAsia" w:ascii="宋体" w:hAnsi="宋体" w:cs="仿宋_GB2312"/>
          <w:sz w:val="24"/>
          <w:highlight w:val="none"/>
          <w:u w:val="single"/>
        </w:rPr>
        <w:t xml:space="preserve">  （供应商名称）  </w:t>
      </w:r>
      <w:r>
        <w:rPr>
          <w:rFonts w:hint="eastAsia" w:ascii="宋体" w:hAnsi="宋体" w:cs="仿宋_GB2312"/>
          <w:sz w:val="24"/>
          <w:highlight w:val="none"/>
        </w:rPr>
        <w:t>的（</w:t>
      </w:r>
      <w:r>
        <w:rPr>
          <w:rFonts w:hint="eastAsia" w:ascii="宋体" w:hAnsi="宋体" w:cs="仿宋_GB2312"/>
          <w:sz w:val="24"/>
          <w:highlight w:val="none"/>
          <w:u w:val="single"/>
        </w:rPr>
        <w:t>□法定代表人/□负责人/□自然人本人</w:t>
      </w:r>
      <w:r>
        <w:rPr>
          <w:rFonts w:hint="eastAsia" w:ascii="宋体" w:hAnsi="宋体" w:cs="仿宋_GB2312"/>
          <w:sz w:val="24"/>
          <w:highlight w:val="none"/>
        </w:rPr>
        <w:t>），现授权</w:t>
      </w:r>
      <w:r>
        <w:rPr>
          <w:rFonts w:hint="eastAsia" w:ascii="宋体" w:hAnsi="宋体" w:cs="仿宋_GB2312"/>
          <w:sz w:val="24"/>
          <w:highlight w:val="none"/>
          <w:u w:val="single"/>
        </w:rPr>
        <w:t xml:space="preserve"> （姓名） </w:t>
      </w:r>
      <w:r>
        <w:rPr>
          <w:rFonts w:hint="eastAsia" w:ascii="宋体" w:hAnsi="宋体" w:cs="仿宋_GB2312"/>
          <w:sz w:val="24"/>
          <w:highlight w:val="none"/>
        </w:rPr>
        <w:t>以我方的名义参加</w:t>
      </w:r>
      <w:r>
        <w:rPr>
          <w:rFonts w:hint="eastAsia" w:ascii="宋体" w:hAnsi="宋体" w:cs="仿宋_GB2312"/>
          <w:sz w:val="24"/>
          <w:highlight w:val="none"/>
          <w:u w:val="single"/>
        </w:rPr>
        <w:t xml:space="preserve">              </w:t>
      </w:r>
      <w:r>
        <w:rPr>
          <w:rFonts w:hint="eastAsia" w:ascii="宋体" w:hAnsi="宋体" w:cs="仿宋_GB2312"/>
          <w:sz w:val="24"/>
          <w:highlight w:val="none"/>
        </w:rPr>
        <w:t>项目的竞标活动，并代表我方全权办理针对上述项目的所有采购程序和环节的具体事务和签署相关文件。</w:t>
      </w:r>
    </w:p>
    <w:p w14:paraId="68861A8A">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我方对委托代理人的签字事项负全部责任。</w:t>
      </w:r>
    </w:p>
    <w:p w14:paraId="61424A59">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14:paraId="4BF71193">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委托代理人无转委托权，特此委托。</w:t>
      </w:r>
    </w:p>
    <w:p w14:paraId="1111427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附：法定代表人身份证明书及委托代理人有效身份证正反面复印件</w:t>
      </w:r>
    </w:p>
    <w:p w14:paraId="3EBBA607">
      <w:pPr>
        <w:spacing w:line="360" w:lineRule="auto"/>
        <w:contextualSpacing/>
        <w:rPr>
          <w:rFonts w:hint="eastAsia" w:ascii="宋体" w:hAnsi="宋体" w:cs="仿宋_GB2312"/>
          <w:sz w:val="24"/>
          <w:highlight w:val="none"/>
        </w:rPr>
      </w:pPr>
    </w:p>
    <w:p w14:paraId="09137291">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委托代理人（（签字或者电子签名）：         法定代表人（（签字或者电子签名）：                    </w:t>
      </w:r>
    </w:p>
    <w:p w14:paraId="6EAFF5A7">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委托代理人身份证号码：                              </w:t>
      </w:r>
    </w:p>
    <w:p w14:paraId="33B9B15B">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w:t>
      </w:r>
    </w:p>
    <w:p w14:paraId="0ED914E7">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供应商（电子签章）：                      </w:t>
      </w:r>
    </w:p>
    <w:p w14:paraId="35AAEA2B">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年    月    日</w:t>
      </w:r>
    </w:p>
    <w:p w14:paraId="36656260">
      <w:pPr>
        <w:spacing w:line="360" w:lineRule="auto"/>
        <w:contextualSpacing/>
        <w:rPr>
          <w:rFonts w:hint="eastAsia" w:ascii="宋体" w:hAnsi="宋体" w:cs="仿宋_GB2312"/>
          <w:sz w:val="24"/>
          <w:highlight w:val="none"/>
        </w:rPr>
      </w:pPr>
    </w:p>
    <w:p w14:paraId="0566628A">
      <w:pPr>
        <w:spacing w:line="360" w:lineRule="auto"/>
        <w:contextualSpacing/>
        <w:rPr>
          <w:rFonts w:ascii="宋体" w:hAnsi="宋体" w:cs="仿宋_GB2312"/>
          <w:sz w:val="24"/>
          <w:highlight w:val="none"/>
        </w:rPr>
      </w:pPr>
      <w:r>
        <w:rPr>
          <w:rFonts w:hint="eastAsia" w:ascii="宋体" w:hAnsi="宋体" w:cs="仿宋_GB2312"/>
          <w:sz w:val="24"/>
          <w:highlight w:val="none"/>
        </w:rPr>
        <w:t>注：1. 法定代表人必须在授权委托书上签字或者盖章或者电子签名，委托代理人必须在授权委托书上签字或者盖章或者电子签名，</w:t>
      </w:r>
      <w:r>
        <w:rPr>
          <w:rFonts w:hint="eastAsia" w:ascii="宋体" w:hAnsi="宋体" w:cs="仿宋_GB2312"/>
          <w:b/>
          <w:sz w:val="24"/>
          <w:highlight w:val="none"/>
        </w:rPr>
        <w:t>否则其响应文件按无效响应处理。</w:t>
      </w:r>
    </w:p>
    <w:p w14:paraId="4597675D">
      <w:pPr>
        <w:spacing w:line="360" w:lineRule="auto"/>
        <w:ind w:firstLine="480" w:firstLineChars="200"/>
        <w:contextualSpacing/>
        <w:jc w:val="left"/>
        <w:rPr>
          <w:rFonts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E5EF6AE">
      <w:pPr>
        <w:spacing w:line="360" w:lineRule="auto"/>
        <w:ind w:firstLine="480" w:firstLineChars="200"/>
        <w:contextualSpacing/>
        <w:jc w:val="left"/>
        <w:rPr>
          <w:rFonts w:hint="eastAsia" w:ascii="宋体" w:hAnsi="宋体" w:cs="仿宋_GB2312"/>
          <w:sz w:val="24"/>
          <w:highlight w:val="none"/>
        </w:rPr>
      </w:pPr>
      <w:r>
        <w:rPr>
          <w:rFonts w:hint="eastAsia" w:ascii="宋体" w:hAnsi="宋体" w:cs="仿宋_GB2312"/>
          <w:sz w:val="24"/>
          <w:highlight w:val="none"/>
        </w:rPr>
        <w:t>3</w:t>
      </w:r>
      <w:r>
        <w:rPr>
          <w:rFonts w:ascii="宋体" w:hAnsi="宋体" w:cs="仿宋_GB2312"/>
          <w:sz w:val="24"/>
          <w:highlight w:val="none"/>
        </w:rPr>
        <w:t>.</w:t>
      </w:r>
      <w:r>
        <w:rPr>
          <w:rFonts w:hint="eastAsia" w:ascii="宋体" w:hAnsi="宋体" w:cs="仿宋_GB2312"/>
          <w:sz w:val="24"/>
          <w:highlight w:val="none"/>
        </w:rPr>
        <w:t>法人、其他组织竞标时“我方”是指“我单位”，自然人竞标时“我方”是指“本人”。</w:t>
      </w:r>
    </w:p>
    <w:p w14:paraId="520BA9D2">
      <w:pPr>
        <w:spacing w:line="360" w:lineRule="auto"/>
        <w:ind w:firstLine="420" w:firstLineChars="200"/>
        <w:contextualSpacing/>
        <w:jc w:val="left"/>
        <w:rPr>
          <w:rFonts w:hint="eastAsia" w:ascii="仿宋_GB2312" w:hAnsi="仿宋_GB2312" w:eastAsia="仿宋_GB2312" w:cs="仿宋_GB2312"/>
          <w:szCs w:val="21"/>
          <w:highlight w:val="none"/>
        </w:rPr>
      </w:pPr>
    </w:p>
    <w:p w14:paraId="426798F4">
      <w:pPr>
        <w:spacing w:line="360" w:lineRule="auto"/>
        <w:contextualSpacing/>
        <w:jc w:val="left"/>
        <w:rPr>
          <w:rFonts w:hint="eastAsia" w:ascii="仿宋_GB2312" w:hAnsi="仿宋_GB2312" w:eastAsia="仿宋_GB2312" w:cs="仿宋_GB2312"/>
          <w:szCs w:val="21"/>
          <w:highlight w:val="none"/>
        </w:rPr>
      </w:pPr>
    </w:p>
    <w:p w14:paraId="1C11F025">
      <w:pPr>
        <w:spacing w:line="500" w:lineRule="exact"/>
        <w:jc w:val="center"/>
        <w:rPr>
          <w:rFonts w:hint="eastAsia" w:ascii="方正小标宋简体" w:hAnsi="方正小标宋简体" w:eastAsia="方正小标宋简体" w:cs="方正小标宋简体"/>
          <w:bCs/>
          <w:sz w:val="44"/>
          <w:szCs w:val="44"/>
          <w:highlight w:val="none"/>
        </w:rPr>
      </w:pPr>
      <w:r>
        <w:rPr>
          <w:rFonts w:hint="eastAsia" w:ascii="仿宋_GB2312" w:hAnsi="仿宋_GB2312" w:eastAsia="仿宋_GB2312" w:cs="仿宋_GB2312"/>
          <w:sz w:val="32"/>
          <w:szCs w:val="32"/>
          <w:highlight w:val="none"/>
        </w:rPr>
        <w:br w:type="page"/>
      </w:r>
      <w:r>
        <w:rPr>
          <w:rFonts w:hint="eastAsia" w:ascii="方正小标宋简体" w:hAnsi="方正小标宋简体" w:eastAsia="方正小标宋简体" w:cs="方正小标宋简体"/>
          <w:bCs/>
          <w:sz w:val="44"/>
          <w:szCs w:val="44"/>
          <w:highlight w:val="none"/>
        </w:rPr>
        <w:t>商务条款偏离表格式</w:t>
      </w:r>
    </w:p>
    <w:p w14:paraId="46407227">
      <w:pPr>
        <w:spacing w:line="500" w:lineRule="exact"/>
        <w:jc w:val="center"/>
        <w:rPr>
          <w:rFonts w:hint="eastAsia" w:ascii="宋体" w:hAnsi="宋体"/>
          <w:b/>
          <w:sz w:val="32"/>
          <w:szCs w:val="32"/>
          <w:highlight w:val="none"/>
        </w:rPr>
      </w:pPr>
      <w:r>
        <w:rPr>
          <w:rFonts w:hint="eastAsia" w:ascii="方正小标宋简体" w:hAnsi="方正小标宋简体" w:eastAsia="方正小标宋简体" w:cs="方正小标宋简体"/>
          <w:bCs/>
          <w:sz w:val="44"/>
          <w:szCs w:val="44"/>
          <w:highlight w:val="none"/>
        </w:rPr>
        <w:t>(注：按采购需求具体条款修改)</w:t>
      </w:r>
    </w:p>
    <w:p w14:paraId="2A97D7C8">
      <w:pPr>
        <w:snapToGrid w:val="0"/>
        <w:spacing w:before="50"/>
        <w:jc w:val="left"/>
        <w:rPr>
          <w:rFonts w:hint="eastAsia" w:ascii="宋体" w:hAnsi="宋体"/>
          <w:sz w:val="24"/>
          <w:highlight w:val="none"/>
        </w:rPr>
      </w:pPr>
    </w:p>
    <w:p w14:paraId="7A5F6658">
      <w:pPr>
        <w:pStyle w:val="14"/>
        <w:spacing w:line="360" w:lineRule="auto"/>
        <w:rPr>
          <w:rFonts w:hint="eastAsia" w:hAnsi="宋体" w:cs="仿宋_GB2312"/>
          <w:sz w:val="24"/>
          <w:szCs w:val="24"/>
          <w:highlight w:val="none"/>
        </w:rPr>
      </w:pPr>
      <w:r>
        <w:rPr>
          <w:rFonts w:hint="eastAsia" w:hAnsi="宋体" w:cs="仿宋_GB2312"/>
          <w:sz w:val="24"/>
          <w:szCs w:val="24"/>
          <w:highlight w:val="none"/>
        </w:rPr>
        <w:t>所竞分标：</w:t>
      </w:r>
      <w:r>
        <w:rPr>
          <w:rFonts w:hint="eastAsia" w:hAnsi="宋体" w:cs="仿宋_GB2312"/>
          <w:sz w:val="24"/>
          <w:szCs w:val="24"/>
          <w:highlight w:val="none"/>
          <w:u w:val="single"/>
        </w:rPr>
        <w:t xml:space="preserve">              </w:t>
      </w:r>
    </w:p>
    <w:tbl>
      <w:tblPr>
        <w:tblStyle w:val="26"/>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FDC1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92014D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B274ED1">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EB340A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B58E6F3">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偏离说明</w:t>
            </w:r>
          </w:p>
        </w:tc>
      </w:tr>
      <w:tr w14:paraId="6FC82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C7FF2EA">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质保期</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8B863D1">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74510B1">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85094E0">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14:paraId="7BD8E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02CF517">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配套（售后）服务要求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1B5279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4E25D84">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0AEA4E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14:paraId="29587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D92592D">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1AB503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1.交付时间：</w:t>
            </w:r>
          </w:p>
          <w:p w14:paraId="5347A6E6">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2.交付地点：</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18A895">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FC20379">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仿宋_GB2312"/>
                <w:sz w:val="24"/>
                <w:highlight w:val="none"/>
              </w:rPr>
            </w:pPr>
          </w:p>
        </w:tc>
      </w:tr>
      <w:tr w14:paraId="1B6A0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D2D266B">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705BC72">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3DFA8F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B531364">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14:paraId="77A61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7DB8E0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6C5D66D">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112E12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E430439">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bl>
    <w:p w14:paraId="0F50EE78">
      <w:pPr>
        <w:pStyle w:val="9"/>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注：</w:t>
      </w:r>
    </w:p>
    <w:p w14:paraId="1F71D351">
      <w:pPr>
        <w:pStyle w:val="9"/>
        <w:spacing w:after="0" w:line="360" w:lineRule="auto"/>
        <w:contextualSpacing/>
        <w:rPr>
          <w:rFonts w:ascii="宋体" w:hAnsi="宋体"/>
          <w:kern w:val="0"/>
          <w:sz w:val="24"/>
          <w:szCs w:val="24"/>
          <w:highlight w:val="none"/>
        </w:rPr>
      </w:pPr>
      <w:r>
        <w:rPr>
          <w:rFonts w:hint="eastAsia" w:ascii="宋体" w:hAnsi="宋体"/>
          <w:kern w:val="0"/>
          <w:sz w:val="24"/>
          <w:szCs w:val="24"/>
          <w:highlight w:val="none"/>
        </w:rPr>
        <w:t>1. 说明：应对照谈判文件“第三章 采购需求”中的商务条款逐条明确响应，并作出偏离说明。</w:t>
      </w:r>
    </w:p>
    <w:p w14:paraId="0479CEBE">
      <w:pPr>
        <w:pStyle w:val="9"/>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2.供应商应根据自身的承诺，对照谈判文件要求在“偏离说明”中注明“正偏离”、“负偏离”或者“无偏离”。既不属于“正偏离”也不属于“负偏离”即为“无偏离”。</w:t>
      </w:r>
    </w:p>
    <w:p w14:paraId="40C819EC">
      <w:pPr>
        <w:spacing w:line="360" w:lineRule="auto"/>
        <w:contextualSpacing/>
        <w:jc w:val="left"/>
        <w:rPr>
          <w:rFonts w:hint="eastAsia" w:ascii="宋体" w:hAnsi="宋体" w:cs="仿宋_GB2312"/>
          <w:sz w:val="24"/>
          <w:highlight w:val="none"/>
          <w:u w:val="single"/>
        </w:rPr>
      </w:pPr>
    </w:p>
    <w:p w14:paraId="6B263A61">
      <w:pPr>
        <w:spacing w:line="360" w:lineRule="auto"/>
        <w:contextualSpacing/>
        <w:jc w:val="left"/>
        <w:rPr>
          <w:rFonts w:hint="eastAsia" w:ascii="宋体" w:hAnsi="宋体" w:cs="仿宋_GB2312"/>
          <w:sz w:val="24"/>
          <w:highlight w:val="none"/>
          <w:u w:val="single"/>
        </w:rPr>
      </w:pPr>
    </w:p>
    <w:p w14:paraId="5C90C92D">
      <w:pPr>
        <w:spacing w:line="360" w:lineRule="auto"/>
        <w:ind w:right="-817" w:rightChars="-389"/>
        <w:contextualSpacing/>
        <w:rPr>
          <w:rFonts w:hint="eastAsia" w:ascii="宋体" w:hAnsi="宋体" w:cs="仿宋_GB2312"/>
          <w:sz w:val="24"/>
          <w:highlight w:val="none"/>
        </w:rPr>
      </w:pPr>
    </w:p>
    <w:p w14:paraId="71EC950A">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1DE09997">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14:paraId="32C759B2">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日期：   年   月   日</w:t>
      </w:r>
    </w:p>
    <w:p w14:paraId="613AF842">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70D78675">
      <w:pPr>
        <w:adjustRightInd w:val="0"/>
        <w:snapToGrid w:val="0"/>
        <w:spacing w:line="520" w:lineRule="exact"/>
        <w:jc w:val="center"/>
        <w:rPr>
          <w:rFonts w:hint="eastAsia" w:ascii="宋体" w:hAnsi="宋体"/>
          <w:b/>
          <w:sz w:val="32"/>
          <w:szCs w:val="32"/>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货物配置清单</w:t>
      </w:r>
    </w:p>
    <w:p w14:paraId="3613CB59">
      <w:pPr>
        <w:spacing w:line="300" w:lineRule="auto"/>
        <w:rPr>
          <w:rFonts w:hint="eastAsia" w:ascii="宋体" w:hAnsi="宋体"/>
          <w:szCs w:val="21"/>
          <w:highlight w:val="none"/>
        </w:rPr>
      </w:pPr>
    </w:p>
    <w:p w14:paraId="12353954">
      <w:pPr>
        <w:spacing w:line="360" w:lineRule="auto"/>
        <w:rPr>
          <w:rFonts w:hint="eastAsia" w:ascii="宋体" w:hAnsi="宋体" w:cs="仿宋_GB2312"/>
          <w:sz w:val="24"/>
          <w:highlight w:val="none"/>
        </w:rPr>
      </w:pP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2CCC04EA">
      <w:pPr>
        <w:spacing w:line="360" w:lineRule="auto"/>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0AB5832B">
      <w:pPr>
        <w:spacing w:line="360" w:lineRule="auto"/>
        <w:rPr>
          <w:rFonts w:hint="eastAsia" w:ascii="宋体" w:hAnsi="宋体" w:cs="仿宋_GB2312"/>
          <w:sz w:val="24"/>
          <w:highlight w:val="none"/>
          <w:u w:val="single"/>
        </w:rPr>
      </w:pPr>
      <w:r>
        <w:rPr>
          <w:rFonts w:hint="eastAsia" w:ascii="宋体" w:hAnsi="宋体" w:cs="仿宋_GB2312"/>
          <w:sz w:val="24"/>
          <w:highlight w:val="none"/>
        </w:rPr>
        <w:t>所竞分标：</w:t>
      </w:r>
      <w:r>
        <w:rPr>
          <w:rFonts w:hint="eastAsia" w:ascii="宋体" w:hAnsi="宋体" w:cs="仿宋_GB2312"/>
          <w:sz w:val="24"/>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187C1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A8D8EA2">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3100212">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货物名称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AAE442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E57A89">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301A9900">
            <w:pPr>
              <w:keepNext w:val="0"/>
              <w:keepLines w:val="0"/>
              <w:suppressLineNumbers w:val="0"/>
              <w:snapToGrid w:val="0"/>
              <w:spacing w:before="50" w:beforeAutospacing="0" w:after="50" w:afterAutospacing="0"/>
              <w:ind w:left="0" w:right="0"/>
              <w:jc w:val="center"/>
              <w:rPr>
                <w:rFonts w:hint="default" w:ascii="宋体" w:hAnsi="宋体" w:cs="Times New Roman"/>
                <w:sz w:val="24"/>
                <w:highlight w:val="none"/>
              </w:rPr>
            </w:pPr>
          </w:p>
          <w:p w14:paraId="40D41DE4">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A5758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3BA3946">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02F916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参数性能、指标及配置</w:t>
            </w:r>
          </w:p>
        </w:tc>
      </w:tr>
      <w:tr w14:paraId="11974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E14B02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DAA07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0A1CE91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795AF2D">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48268F74">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1160E6A">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E34DFEF">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F5A5D19">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r w14:paraId="0CC98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702EC4A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65B2F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5943A8ED">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DE9AEB">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43D93B6F">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BDF17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A3541F">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DE64325">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r w14:paraId="29B96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2ABC2522">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BF9305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7444139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C4B3B0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4B17422D">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0F54DC4">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7624E6">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1F859CB">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bl>
    <w:p w14:paraId="4746EF87">
      <w:pPr>
        <w:spacing w:line="360" w:lineRule="auto"/>
        <w:contextualSpacing/>
        <w:rPr>
          <w:rFonts w:hint="eastAsia" w:ascii="宋体" w:hAnsi="宋体"/>
          <w:sz w:val="24"/>
          <w:highlight w:val="none"/>
        </w:rPr>
      </w:pPr>
      <w:r>
        <w:rPr>
          <w:rFonts w:hint="eastAsia" w:ascii="宋体" w:hAnsi="宋体"/>
          <w:sz w:val="24"/>
          <w:highlight w:val="none"/>
        </w:rPr>
        <w:t>备注：</w:t>
      </w:r>
    </w:p>
    <w:p w14:paraId="39A08352">
      <w:pPr>
        <w:tabs>
          <w:tab w:val="left" w:pos="1065"/>
        </w:tabs>
        <w:adjustRightInd w:val="0"/>
        <w:spacing w:line="360" w:lineRule="auto"/>
        <w:contextualSpacing/>
        <w:rPr>
          <w:rFonts w:hint="eastAsia" w:ascii="宋体" w:hAnsi="宋体" w:cs="仿宋_GB2312"/>
          <w:sz w:val="24"/>
          <w:highlight w:val="none"/>
        </w:rPr>
      </w:pPr>
      <w:r>
        <w:rPr>
          <w:rFonts w:hint="eastAsia" w:ascii="宋体" w:hAnsi="宋体"/>
          <w:b/>
          <w:bCs/>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sz w:val="24"/>
          <w:highlight w:val="none"/>
        </w:rPr>
        <w:t>。</w:t>
      </w:r>
      <w:r>
        <w:rPr>
          <w:rFonts w:hint="eastAsia" w:ascii="宋体" w:hAnsi="宋体"/>
          <w:sz w:val="24"/>
          <w:highlight w:val="none"/>
        </w:rPr>
        <w:t>货物名称、数量及单位、品牌必须与“开标一览表”一致，</w:t>
      </w:r>
      <w:r>
        <w:rPr>
          <w:rFonts w:hint="eastAsia" w:ascii="宋体" w:hAnsi="宋体"/>
          <w:bCs/>
          <w:sz w:val="24"/>
          <w:highlight w:val="none"/>
        </w:rPr>
        <w:t>否则响应文件作无效处理</w:t>
      </w:r>
      <w:r>
        <w:rPr>
          <w:rFonts w:hint="eastAsia" w:ascii="宋体" w:hAnsi="宋体"/>
          <w:b/>
          <w:sz w:val="24"/>
          <w:highlight w:val="none"/>
        </w:rPr>
        <w:t>。</w:t>
      </w:r>
      <w:r>
        <w:rPr>
          <w:rFonts w:hint="eastAsia" w:ascii="宋体" w:hAnsi="宋体" w:cs="仿宋_GB2312"/>
          <w:sz w:val="24"/>
          <w:highlight w:val="none"/>
        </w:rPr>
        <w:tab/>
      </w:r>
    </w:p>
    <w:p w14:paraId="4A9F2CD3">
      <w:pPr>
        <w:adjustRightInd w:val="0"/>
        <w:spacing w:line="360" w:lineRule="auto"/>
        <w:contextualSpacing/>
        <w:jc w:val="left"/>
        <w:rPr>
          <w:rFonts w:hint="eastAsia" w:ascii="宋体" w:hAnsi="宋体" w:cs="仿宋_GB2312"/>
          <w:sz w:val="24"/>
          <w:highlight w:val="none"/>
        </w:rPr>
      </w:pPr>
    </w:p>
    <w:p w14:paraId="3B66AC33">
      <w:pPr>
        <w:adjustRightInd w:val="0"/>
        <w:spacing w:line="360" w:lineRule="auto"/>
        <w:contextualSpacing/>
        <w:jc w:val="left"/>
        <w:rPr>
          <w:rFonts w:hint="eastAsia" w:ascii="宋体" w:hAnsi="宋体" w:cs="仿宋_GB2312"/>
          <w:sz w:val="24"/>
          <w:highlight w:val="none"/>
        </w:rPr>
      </w:pPr>
    </w:p>
    <w:p w14:paraId="03FDC9B4">
      <w:pPr>
        <w:adjustRightInd w:val="0"/>
        <w:spacing w:line="360" w:lineRule="auto"/>
        <w:contextualSpacing/>
        <w:jc w:val="left"/>
        <w:rPr>
          <w:rFonts w:hint="eastAsia" w:ascii="宋体" w:hAnsi="宋体" w:cs="仿宋_GB2312"/>
          <w:sz w:val="24"/>
          <w:highlight w:val="none"/>
        </w:rPr>
      </w:pPr>
    </w:p>
    <w:p w14:paraId="32711A39">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2DEAA58B">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14:paraId="5644FD5B">
      <w:pPr>
        <w:spacing w:line="360" w:lineRule="auto"/>
        <w:ind w:right="-817" w:rightChars="-389" w:firstLine="2880" w:firstLineChars="12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14:paraId="25A36CAC">
      <w:pPr>
        <w:adjustRightInd w:val="0"/>
        <w:snapToGrid w:val="0"/>
        <w:spacing w:line="300" w:lineRule="auto"/>
        <w:rPr>
          <w:rFonts w:hint="eastAsia" w:ascii="宋体" w:hAnsi="宋体"/>
          <w:szCs w:val="21"/>
          <w:highlight w:val="none"/>
          <w:u w:val="single"/>
        </w:rPr>
      </w:pPr>
    </w:p>
    <w:p w14:paraId="4DA71245">
      <w:pPr>
        <w:adjustRightInd w:val="0"/>
        <w:snapToGrid w:val="0"/>
        <w:spacing w:line="300" w:lineRule="auto"/>
        <w:rPr>
          <w:rFonts w:hint="eastAsia" w:ascii="宋体" w:hAnsi="宋体"/>
          <w:szCs w:val="21"/>
          <w:highlight w:val="none"/>
          <w:u w:val="single"/>
        </w:rPr>
      </w:pPr>
    </w:p>
    <w:p w14:paraId="129A1B54">
      <w:pPr>
        <w:adjustRightInd w:val="0"/>
        <w:snapToGrid w:val="0"/>
        <w:spacing w:line="300" w:lineRule="auto"/>
        <w:rPr>
          <w:rFonts w:hint="eastAsia" w:ascii="宋体" w:hAnsi="宋体"/>
          <w:szCs w:val="21"/>
          <w:highlight w:val="none"/>
          <w:u w:val="single"/>
        </w:rPr>
      </w:pPr>
    </w:p>
    <w:p w14:paraId="71CCA348">
      <w:pPr>
        <w:adjustRightInd w:val="0"/>
        <w:snapToGrid w:val="0"/>
        <w:spacing w:line="300" w:lineRule="auto"/>
        <w:rPr>
          <w:rFonts w:hint="eastAsia" w:ascii="宋体" w:hAnsi="宋体"/>
          <w:szCs w:val="21"/>
          <w:highlight w:val="none"/>
          <w:u w:val="single"/>
        </w:rPr>
      </w:pPr>
    </w:p>
    <w:p w14:paraId="55E6BE17">
      <w:pPr>
        <w:adjustRightInd w:val="0"/>
        <w:snapToGrid w:val="0"/>
        <w:spacing w:line="300" w:lineRule="auto"/>
        <w:rPr>
          <w:rFonts w:hint="eastAsia" w:ascii="宋体" w:hAnsi="宋体"/>
          <w:szCs w:val="21"/>
          <w:highlight w:val="none"/>
          <w:u w:val="single"/>
        </w:rPr>
      </w:pPr>
    </w:p>
    <w:p w14:paraId="0AB3AF9A">
      <w:pPr>
        <w:adjustRightInd w:val="0"/>
        <w:snapToGrid w:val="0"/>
        <w:spacing w:line="300" w:lineRule="auto"/>
        <w:rPr>
          <w:rFonts w:hint="eastAsia" w:ascii="宋体" w:hAnsi="宋体"/>
          <w:szCs w:val="21"/>
          <w:highlight w:val="none"/>
          <w:u w:val="single"/>
        </w:rPr>
      </w:pPr>
    </w:p>
    <w:p w14:paraId="4381747F">
      <w:pPr>
        <w:adjustRightInd w:val="0"/>
        <w:snapToGrid w:val="0"/>
        <w:spacing w:line="300" w:lineRule="auto"/>
        <w:rPr>
          <w:rFonts w:hint="eastAsia" w:ascii="宋体" w:hAnsi="宋体"/>
          <w:szCs w:val="21"/>
          <w:highlight w:val="none"/>
          <w:u w:val="single"/>
        </w:rPr>
      </w:pPr>
    </w:p>
    <w:p w14:paraId="0C65A5E0">
      <w:pPr>
        <w:adjustRightInd w:val="0"/>
        <w:snapToGrid w:val="0"/>
        <w:spacing w:line="300" w:lineRule="auto"/>
        <w:rPr>
          <w:rFonts w:hint="eastAsia" w:ascii="宋体" w:hAnsi="宋体"/>
          <w:szCs w:val="21"/>
          <w:highlight w:val="none"/>
          <w:u w:val="single"/>
        </w:rPr>
      </w:pPr>
    </w:p>
    <w:p w14:paraId="7F25CEAD">
      <w:pPr>
        <w:adjustRightInd w:val="0"/>
        <w:snapToGrid w:val="0"/>
        <w:spacing w:line="300" w:lineRule="auto"/>
        <w:jc w:val="center"/>
        <w:rPr>
          <w:rFonts w:hint="eastAsia" w:ascii="方正小标宋简体" w:hAnsi="方正小标宋简体" w:eastAsia="方正小标宋简体" w:cs="方正小标宋简体"/>
          <w:bCs/>
          <w:sz w:val="44"/>
          <w:szCs w:val="44"/>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技术需求偏离表</w:t>
      </w:r>
    </w:p>
    <w:p w14:paraId="5457A476">
      <w:pPr>
        <w:spacing w:line="520" w:lineRule="exact"/>
        <w:rPr>
          <w:rFonts w:hint="eastAsia" w:ascii="仿宋_GB2312" w:hAnsi="仿宋_GB2312" w:eastAsia="仿宋_GB2312" w:cs="仿宋_GB2312"/>
          <w:sz w:val="32"/>
          <w:szCs w:val="32"/>
          <w:highlight w:val="none"/>
        </w:rPr>
      </w:pPr>
    </w:p>
    <w:p w14:paraId="2A036C2C">
      <w:pPr>
        <w:spacing w:line="360" w:lineRule="auto"/>
        <w:rPr>
          <w:rFonts w:hint="eastAsia" w:ascii="宋体" w:hAnsi="宋体" w:cs="仿宋_GB2312"/>
          <w:sz w:val="24"/>
          <w:highlight w:val="none"/>
          <w:u w:val="single"/>
        </w:rPr>
      </w:pPr>
      <w:r>
        <w:rPr>
          <w:rFonts w:hint="eastAsia" w:ascii="宋体" w:hAnsi="宋体" w:cs="仿宋_GB2312"/>
          <w:sz w:val="24"/>
          <w:highlight w:val="none"/>
        </w:rPr>
        <w:t>采购项目编号：</w:t>
      </w:r>
      <w:r>
        <w:rPr>
          <w:rFonts w:hint="eastAsia" w:ascii="宋体" w:hAnsi="宋体" w:cs="仿宋_GB2312"/>
          <w:sz w:val="24"/>
          <w:highlight w:val="none"/>
          <w:u w:val="single"/>
        </w:rPr>
        <w:t xml:space="preserve">                 </w:t>
      </w:r>
    </w:p>
    <w:p w14:paraId="6A71707B">
      <w:pPr>
        <w:spacing w:line="360" w:lineRule="auto"/>
        <w:rPr>
          <w:rFonts w:hint="eastAsia" w:ascii="宋体" w:hAnsi="宋体" w:cs="仿宋_GB2312"/>
          <w:sz w:val="24"/>
          <w:highlight w:val="none"/>
        </w:rPr>
      </w:pPr>
      <w:r>
        <w:rPr>
          <w:rFonts w:hint="eastAsia" w:ascii="宋体" w:hAnsi="宋体" w:cs="仿宋_GB2312"/>
          <w:sz w:val="24"/>
          <w:highlight w:val="none"/>
        </w:rPr>
        <w:t>采购项目名称：</w:t>
      </w:r>
      <w:r>
        <w:rPr>
          <w:rFonts w:hint="eastAsia" w:ascii="宋体" w:hAnsi="宋体" w:cs="仿宋_GB2312"/>
          <w:sz w:val="24"/>
          <w:highlight w:val="none"/>
          <w:u w:val="single"/>
        </w:rPr>
        <w:t xml:space="preserve">                 </w:t>
      </w:r>
    </w:p>
    <w:p w14:paraId="79DE4F60">
      <w:pPr>
        <w:spacing w:line="360" w:lineRule="auto"/>
        <w:rPr>
          <w:rFonts w:hint="eastAsia" w:ascii="宋体" w:hAnsi="宋体" w:cs="仿宋_GB2312"/>
          <w:sz w:val="24"/>
          <w:highlight w:val="none"/>
          <w:u w:val="single"/>
        </w:rPr>
      </w:pPr>
      <w:r>
        <w:rPr>
          <w:rFonts w:hint="eastAsia" w:ascii="宋体" w:hAnsi="宋体" w:cs="仿宋_GB2312"/>
          <w:sz w:val="24"/>
          <w:highlight w:val="none"/>
        </w:rPr>
        <w:t>分标号：</w:t>
      </w:r>
      <w:r>
        <w:rPr>
          <w:rFonts w:hint="eastAsia" w:ascii="宋体" w:hAnsi="宋体" w:cs="仿宋_GB2312"/>
          <w:sz w:val="24"/>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1093A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1D659A4">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序号</w:t>
            </w:r>
          </w:p>
        </w:tc>
        <w:tc>
          <w:tcPr>
            <w:tcW w:w="900" w:type="dxa"/>
            <w:tcBorders>
              <w:right w:val="single" w:color="auto" w:sz="4" w:space="0"/>
            </w:tcBorders>
            <w:noWrap w:val="0"/>
            <w:vAlign w:val="center"/>
          </w:tcPr>
          <w:p w14:paraId="3D2059E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2989" w:type="dxa"/>
            <w:tcBorders>
              <w:left w:val="single" w:color="auto" w:sz="4" w:space="0"/>
            </w:tcBorders>
            <w:noWrap w:val="0"/>
            <w:vAlign w:val="center"/>
          </w:tcPr>
          <w:p w14:paraId="11EEFCD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竞争性谈判文件要求</w:t>
            </w:r>
          </w:p>
        </w:tc>
        <w:tc>
          <w:tcPr>
            <w:tcW w:w="2690" w:type="dxa"/>
            <w:noWrap w:val="0"/>
            <w:vAlign w:val="center"/>
          </w:tcPr>
          <w:p w14:paraId="0194178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竞标响应</w:t>
            </w:r>
          </w:p>
        </w:tc>
        <w:tc>
          <w:tcPr>
            <w:tcW w:w="1467" w:type="dxa"/>
            <w:noWrap w:val="0"/>
            <w:vAlign w:val="center"/>
          </w:tcPr>
          <w:p w14:paraId="6D1FC68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偏离说明</w:t>
            </w:r>
          </w:p>
        </w:tc>
      </w:tr>
      <w:tr w14:paraId="42AAA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43FC947">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1</w:t>
            </w:r>
          </w:p>
        </w:tc>
        <w:tc>
          <w:tcPr>
            <w:tcW w:w="900" w:type="dxa"/>
            <w:tcBorders>
              <w:right w:val="single" w:color="auto" w:sz="4" w:space="0"/>
            </w:tcBorders>
            <w:noWrap w:val="0"/>
            <w:vAlign w:val="center"/>
          </w:tcPr>
          <w:p w14:paraId="37A2AFDF">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5183EA01">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26B97DE0">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06639596">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42453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F117E0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2</w:t>
            </w:r>
          </w:p>
        </w:tc>
        <w:tc>
          <w:tcPr>
            <w:tcW w:w="900" w:type="dxa"/>
            <w:tcBorders>
              <w:right w:val="single" w:color="auto" w:sz="4" w:space="0"/>
            </w:tcBorders>
            <w:noWrap w:val="0"/>
            <w:vAlign w:val="center"/>
          </w:tcPr>
          <w:p w14:paraId="5094DAA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03D0BD0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36DE0D17">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63BBC46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21DE4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4A6E6153">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3</w:t>
            </w:r>
          </w:p>
        </w:tc>
        <w:tc>
          <w:tcPr>
            <w:tcW w:w="900" w:type="dxa"/>
            <w:tcBorders>
              <w:right w:val="single" w:color="auto" w:sz="4" w:space="0"/>
            </w:tcBorders>
            <w:noWrap w:val="0"/>
            <w:vAlign w:val="center"/>
          </w:tcPr>
          <w:p w14:paraId="6A3080A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1510411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746DF1B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12DD853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5988A1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769F6BB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4</w:t>
            </w:r>
          </w:p>
        </w:tc>
        <w:tc>
          <w:tcPr>
            <w:tcW w:w="900" w:type="dxa"/>
            <w:tcBorders>
              <w:right w:val="single" w:color="auto" w:sz="4" w:space="0"/>
            </w:tcBorders>
            <w:noWrap w:val="0"/>
            <w:vAlign w:val="center"/>
          </w:tcPr>
          <w:p w14:paraId="55D2DB9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30C2802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1CA8E303">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396F6CE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42C601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8F872E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5</w:t>
            </w:r>
          </w:p>
        </w:tc>
        <w:tc>
          <w:tcPr>
            <w:tcW w:w="900" w:type="dxa"/>
            <w:tcBorders>
              <w:right w:val="single" w:color="auto" w:sz="4" w:space="0"/>
            </w:tcBorders>
            <w:noWrap w:val="0"/>
            <w:vAlign w:val="center"/>
          </w:tcPr>
          <w:p w14:paraId="0C3CB507">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7F58E968">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04B0A823">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54368AE0">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04C0C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30FFE018">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w:t>
            </w:r>
          </w:p>
        </w:tc>
        <w:tc>
          <w:tcPr>
            <w:tcW w:w="900" w:type="dxa"/>
            <w:tcBorders>
              <w:right w:val="single" w:color="auto" w:sz="4" w:space="0"/>
            </w:tcBorders>
            <w:noWrap w:val="0"/>
            <w:vAlign w:val="center"/>
          </w:tcPr>
          <w:p w14:paraId="5305387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6E975D06">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4AAD7106">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tcBorders>
              <w:right w:val="single" w:color="auto" w:sz="4" w:space="0"/>
            </w:tcBorders>
            <w:noWrap w:val="0"/>
            <w:vAlign w:val="center"/>
          </w:tcPr>
          <w:p w14:paraId="7FFAC6E9">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bl>
    <w:p w14:paraId="2F736D15">
      <w:pPr>
        <w:pStyle w:val="11"/>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注：</w:t>
      </w:r>
    </w:p>
    <w:p w14:paraId="163C92A2">
      <w:pPr>
        <w:pStyle w:val="11"/>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1. 说明：应对照谈判文件“第三章 采购需求”中的技术需求逐条实质性响应，并作出偏离说明。</w:t>
      </w:r>
    </w:p>
    <w:p w14:paraId="33832308">
      <w:pPr>
        <w:pStyle w:val="11"/>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2.供应商应根据竞标设备的性能指标，对照谈判文件要求，在“偏离说明”中注明“正偏离”、“负偏离”或者“无偏离”。既不属于“正偏离”也不属于“负偏离”即为“无偏离”。</w:t>
      </w:r>
    </w:p>
    <w:p w14:paraId="45C71D55">
      <w:pPr>
        <w:pStyle w:val="11"/>
        <w:spacing w:line="360" w:lineRule="auto"/>
        <w:ind w:firstLine="0" w:firstLineChars="0"/>
        <w:contextualSpacing/>
        <w:rPr>
          <w:rFonts w:ascii="宋体" w:hAnsi="宋体" w:eastAsia="宋体"/>
          <w:sz w:val="24"/>
          <w:szCs w:val="24"/>
          <w:highlight w:val="none"/>
        </w:rPr>
      </w:pPr>
      <w:r>
        <w:rPr>
          <w:rFonts w:hint="eastAsia" w:ascii="宋体" w:hAnsi="宋体" w:eastAsia="宋体"/>
          <w:sz w:val="24"/>
          <w:szCs w:val="24"/>
          <w:highlight w:val="none"/>
        </w:rPr>
        <w:t>3.供应商认为其竞标响应有正偏离的，请在技术偏离表中列明，且在响应文件中提供竞标产品的彩页或第三方检测报告复印件或产品生产厂家出具的技术参数说明证明作为佐证，以上佐证材料均需加盖生产厂家或代理商（附生产厂家授权资料）公章。</w:t>
      </w:r>
    </w:p>
    <w:p w14:paraId="21B73722">
      <w:pPr>
        <w:pStyle w:val="11"/>
        <w:spacing w:line="360" w:lineRule="auto"/>
        <w:ind w:firstLine="0" w:firstLineChars="0"/>
        <w:contextualSpacing/>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w:t>
      </w:r>
      <w:r>
        <w:rPr>
          <w:rFonts w:hint="eastAsia" w:ascii="宋体" w:hAnsi="宋体" w:eastAsia="宋体"/>
          <w:sz w:val="24"/>
          <w:szCs w:val="24"/>
          <w:highlight w:val="none"/>
        </w:rPr>
        <w:t xml:space="preserve"> 如技术偏离表中的竞标响应与佐证材料不一致的，以佐证材料为准。</w:t>
      </w:r>
    </w:p>
    <w:p w14:paraId="02F07958">
      <w:pPr>
        <w:pStyle w:val="11"/>
        <w:spacing w:line="360" w:lineRule="auto"/>
        <w:ind w:firstLine="0" w:firstLineChars="0"/>
        <w:contextualSpacing/>
        <w:rPr>
          <w:rFonts w:hint="eastAsia" w:ascii="宋体" w:hAnsi="宋体" w:eastAsia="宋体" w:cs="仿宋_GB2312"/>
          <w:sz w:val="24"/>
          <w:szCs w:val="24"/>
          <w:highlight w:val="none"/>
        </w:rPr>
      </w:pPr>
    </w:p>
    <w:p w14:paraId="1A52AB9C">
      <w:pPr>
        <w:spacing w:line="360" w:lineRule="auto"/>
        <w:ind w:right="-817" w:rightChars="-389"/>
        <w:contextualSpacing/>
        <w:rPr>
          <w:rFonts w:hint="eastAsia" w:ascii="宋体" w:hAnsi="宋体" w:cs="仿宋_GB2312"/>
          <w:sz w:val="24"/>
          <w:highlight w:val="none"/>
        </w:rPr>
      </w:pPr>
    </w:p>
    <w:p w14:paraId="29132AA2">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1B7B94C1">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14:paraId="75E962A0">
      <w:pPr>
        <w:spacing w:line="360" w:lineRule="auto"/>
        <w:ind w:right="-817" w:rightChars="-389" w:firstLine="2880" w:firstLineChars="1200"/>
        <w:contextualSpacing/>
        <w:rPr>
          <w:rFonts w:ascii="仿宋_GB2312" w:hAnsi="仿宋_GB2312" w:eastAsia="仿宋_GB2312" w:cs="仿宋_GB2312"/>
          <w:sz w:val="32"/>
          <w:szCs w:val="32"/>
          <w:highlight w:val="none"/>
        </w:rPr>
      </w:pPr>
      <w:r>
        <w:rPr>
          <w:rFonts w:hint="eastAsia" w:ascii="宋体" w:hAnsi="宋体" w:cs="仿宋_GB2312"/>
          <w:sz w:val="24"/>
          <w:highlight w:val="none"/>
        </w:rPr>
        <w:t>日期：   年   月   日</w:t>
      </w:r>
    </w:p>
    <w:p w14:paraId="5E955609">
      <w:pPr>
        <w:spacing w:line="300" w:lineRule="auto"/>
        <w:rPr>
          <w:rFonts w:hint="eastAsia" w:ascii="宋体" w:hAnsi="宋体"/>
          <w:szCs w:val="21"/>
          <w:highlight w:val="none"/>
        </w:rPr>
      </w:pPr>
      <w:r>
        <w:rPr>
          <w:rFonts w:ascii="宋体" w:hAnsi="宋体"/>
          <w:b/>
          <w:bCs/>
          <w:sz w:val="24"/>
          <w:highlight w:val="none"/>
        </w:rPr>
        <w:br w:type="page"/>
      </w:r>
      <w:r>
        <w:rPr>
          <w:rFonts w:hint="eastAsia" w:ascii="宋体" w:hAnsi="宋体"/>
          <w:b/>
          <w:bCs/>
          <w:sz w:val="24"/>
          <w:highlight w:val="none"/>
        </w:rPr>
        <w:t>其他文书、文件格式</w:t>
      </w:r>
    </w:p>
    <w:p w14:paraId="3C468CFC">
      <w:pPr>
        <w:pStyle w:val="2"/>
        <w:spacing w:before="146" w:line="500" w:lineRule="exact"/>
        <w:ind w:right="142"/>
        <w:jc w:val="center"/>
        <w:rPr>
          <w:b w:val="0"/>
          <w:bCs w:val="0"/>
          <w:highlight w:val="none"/>
        </w:rPr>
      </w:pPr>
      <w:bookmarkStart w:id="79" w:name="_Toc3238"/>
      <w:r>
        <w:rPr>
          <w:highlight w:val="none"/>
        </w:rPr>
        <w:t>中小企业声明函（货物）</w:t>
      </w:r>
      <w:bookmarkEnd w:id="79"/>
    </w:p>
    <w:p w14:paraId="334246F8">
      <w:pPr>
        <w:spacing w:before="2" w:line="500" w:lineRule="exact"/>
        <w:rPr>
          <w:rFonts w:ascii="宋体" w:hAnsi="宋体" w:cs="宋体"/>
          <w:b/>
          <w:bCs/>
          <w:sz w:val="27"/>
          <w:szCs w:val="27"/>
          <w:highlight w:val="none"/>
        </w:rPr>
      </w:pPr>
    </w:p>
    <w:p w14:paraId="31974A67">
      <w:pPr>
        <w:pStyle w:val="10"/>
        <w:spacing w:after="0" w:line="360" w:lineRule="auto"/>
        <w:ind w:left="-426" w:right="142" w:firstLine="640"/>
        <w:contextualSpacing/>
        <w:rPr>
          <w:rFonts w:ascii="宋体" w:hAnsi="宋体"/>
          <w:sz w:val="24"/>
          <w:highlight w:val="none"/>
        </w:rPr>
      </w:pPr>
      <w:r>
        <w:rPr>
          <w:rFonts w:ascii="宋体" w:hAnsi="宋体"/>
          <w:sz w:val="24"/>
          <w:highlight w:val="none"/>
        </w:rPr>
        <w:t>本公司（联合体）郑重声明，根据《政府采购促进中小企业发展管理办法》（财库﹝2020﹞46号）的规定，本公司（联合体）参加</w:t>
      </w:r>
      <w:r>
        <w:rPr>
          <w:rFonts w:ascii="宋体" w:hAnsi="宋体"/>
          <w:sz w:val="24"/>
          <w:highlight w:val="none"/>
          <w:u w:val="single"/>
        </w:rPr>
        <w:t>（单位名称）</w:t>
      </w:r>
      <w:r>
        <w:rPr>
          <w:rFonts w:ascii="宋体" w:hAnsi="宋体"/>
          <w:sz w:val="24"/>
          <w:highlight w:val="none"/>
        </w:rPr>
        <w:t>的</w:t>
      </w:r>
      <w:r>
        <w:rPr>
          <w:rFonts w:ascii="宋体" w:hAnsi="宋体"/>
          <w:sz w:val="24"/>
          <w:highlight w:val="none"/>
          <w:u w:val="single"/>
        </w:rPr>
        <w:t>（项目名称）</w:t>
      </w:r>
      <w:r>
        <w:rPr>
          <w:rFonts w:ascii="宋体" w:hAnsi="宋体"/>
          <w:sz w:val="24"/>
          <w:highlight w:val="none"/>
        </w:rPr>
        <w:t>采购活动，提供的货物全部由符合政策要求的中小企业制造。相关企业（含联合体中的中小企业、签订分包意向协议的中小企业）的具体情况如下：</w:t>
      </w:r>
    </w:p>
    <w:p w14:paraId="28DFAFCA">
      <w:pPr>
        <w:tabs>
          <w:tab w:val="left" w:pos="1384"/>
          <w:tab w:val="left" w:pos="4562"/>
          <w:tab w:val="left" w:pos="6803"/>
        </w:tabs>
        <w:spacing w:line="360" w:lineRule="auto"/>
        <w:ind w:left="-426" w:right="-58" w:firstLine="655"/>
        <w:contextualSpacing/>
        <w:rPr>
          <w:rFonts w:ascii="宋体" w:hAnsi="宋体"/>
          <w:sz w:val="24"/>
          <w:highlight w:val="none"/>
        </w:rPr>
      </w:pPr>
      <w:r>
        <w:rPr>
          <w:rFonts w:ascii="宋体" w:hAnsi="宋体"/>
          <w:sz w:val="24"/>
          <w:highlight w:val="none"/>
        </w:rPr>
        <w:t>1.</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14:paraId="022FEE9B">
      <w:pPr>
        <w:tabs>
          <w:tab w:val="left" w:pos="1065"/>
          <w:tab w:val="left" w:pos="6477"/>
        </w:tabs>
        <w:spacing w:line="360" w:lineRule="auto"/>
        <w:ind w:left="-426" w:right="-58" w:firstLine="655"/>
        <w:contextualSpacing/>
        <w:rPr>
          <w:rFonts w:ascii="宋体" w:hAnsi="宋体"/>
          <w:sz w:val="24"/>
          <w:highlight w:val="none"/>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14:paraId="19251F72">
      <w:pPr>
        <w:pStyle w:val="10"/>
        <w:spacing w:after="0" w:line="360" w:lineRule="auto"/>
        <w:ind w:left="142" w:right="142"/>
        <w:contextualSpacing/>
        <w:rPr>
          <w:rFonts w:ascii="宋体" w:hAnsi="宋体"/>
          <w:sz w:val="24"/>
          <w:highlight w:val="none"/>
        </w:rPr>
      </w:pPr>
      <w:r>
        <w:rPr>
          <w:rFonts w:ascii="宋体" w:hAnsi="宋体"/>
          <w:sz w:val="24"/>
          <w:highlight w:val="none"/>
        </w:rPr>
        <w:t xml:space="preserve">…… </w:t>
      </w:r>
    </w:p>
    <w:p w14:paraId="0147E249">
      <w:pPr>
        <w:pStyle w:val="10"/>
        <w:spacing w:after="0" w:line="360" w:lineRule="auto"/>
        <w:ind w:left="-405" w:leftChars="-193" w:right="142" w:firstLine="453" w:firstLineChars="189"/>
        <w:contextualSpacing/>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14:paraId="028A7D4A">
      <w:pPr>
        <w:pStyle w:val="10"/>
        <w:spacing w:after="0" w:line="360" w:lineRule="auto"/>
        <w:ind w:left="-426" w:right="142" w:firstLine="567"/>
        <w:contextualSpacing/>
        <w:rPr>
          <w:rFonts w:ascii="宋体" w:hAnsi="宋体"/>
          <w:sz w:val="24"/>
          <w:highlight w:val="none"/>
        </w:rPr>
      </w:pPr>
      <w:r>
        <w:rPr>
          <w:rFonts w:ascii="宋体" w:hAnsi="宋体"/>
          <w:sz w:val="24"/>
          <w:highlight w:val="none"/>
        </w:rPr>
        <w:t>本企业对上述声明内容的真实性负责。如有虚假，将依法承担相应责任。</w:t>
      </w:r>
    </w:p>
    <w:p w14:paraId="35814ED3">
      <w:pPr>
        <w:pStyle w:val="10"/>
        <w:spacing w:after="0" w:line="360" w:lineRule="auto"/>
        <w:ind w:left="3960" w:right="1808"/>
        <w:contextualSpacing/>
        <w:rPr>
          <w:rFonts w:hint="eastAsia" w:ascii="宋体" w:hAnsi="宋体"/>
          <w:sz w:val="24"/>
          <w:highlight w:val="none"/>
        </w:rPr>
      </w:pPr>
    </w:p>
    <w:p w14:paraId="6D2A7546">
      <w:pPr>
        <w:pStyle w:val="10"/>
        <w:spacing w:after="0" w:line="360" w:lineRule="auto"/>
        <w:ind w:left="3960" w:right="1808"/>
        <w:contextualSpacing/>
        <w:rPr>
          <w:rFonts w:ascii="宋体" w:hAnsi="宋体"/>
          <w:sz w:val="24"/>
          <w:highlight w:val="none"/>
        </w:rPr>
      </w:pPr>
      <w:r>
        <w:rPr>
          <w:rFonts w:ascii="宋体" w:hAnsi="宋体"/>
          <w:sz w:val="24"/>
          <w:highlight w:val="none"/>
        </w:rPr>
        <w:t>企业名称（</w:t>
      </w:r>
      <w:r>
        <w:rPr>
          <w:rFonts w:hint="eastAsia" w:ascii="宋体" w:hAnsi="宋体"/>
          <w:sz w:val="24"/>
          <w:highlight w:val="none"/>
        </w:rPr>
        <w:t>章</w:t>
      </w:r>
      <w:r>
        <w:rPr>
          <w:rFonts w:ascii="宋体" w:hAnsi="宋体"/>
          <w:sz w:val="24"/>
          <w:highlight w:val="none"/>
        </w:rPr>
        <w:t xml:space="preserve">）： </w:t>
      </w:r>
    </w:p>
    <w:p w14:paraId="06637B02">
      <w:pPr>
        <w:pStyle w:val="10"/>
        <w:spacing w:after="0" w:line="360" w:lineRule="auto"/>
        <w:ind w:left="3960" w:right="1808"/>
        <w:contextualSpacing/>
        <w:rPr>
          <w:rFonts w:ascii="宋体" w:hAnsi="宋体"/>
          <w:sz w:val="24"/>
          <w:highlight w:val="none"/>
        </w:rPr>
      </w:pP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p>
    <w:p w14:paraId="6E1A8F28">
      <w:pPr>
        <w:pStyle w:val="10"/>
        <w:spacing w:after="0" w:line="360" w:lineRule="auto"/>
        <w:ind w:left="3960" w:right="1808"/>
        <w:contextualSpacing/>
        <w:rPr>
          <w:highlight w:val="none"/>
        </w:rPr>
      </w:pPr>
    </w:p>
    <w:p w14:paraId="1472C968">
      <w:pPr>
        <w:spacing w:line="360" w:lineRule="auto"/>
        <w:contextualSpacing/>
        <w:jc w:val="left"/>
        <w:rPr>
          <w:rFonts w:hint="eastAsia" w:ascii="宋体" w:hAnsi="宋体" w:cs="仿宋_GB2312"/>
          <w:sz w:val="24"/>
          <w:highlight w:val="none"/>
        </w:rPr>
      </w:pPr>
      <w:r>
        <w:rPr>
          <w:rFonts w:hint="eastAsia" w:ascii="宋体" w:hAnsi="宋体" w:cs="仿宋_GB2312"/>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8545979">
      <w:pPr>
        <w:spacing w:line="360" w:lineRule="auto"/>
        <w:contextualSpacing/>
        <w:jc w:val="center"/>
        <w:rPr>
          <w:rFonts w:hint="eastAsia" w:ascii="仿宋_GB2312" w:hAnsi="仿宋_GB2312" w:eastAsia="仿宋_GB2312" w:cs="仿宋_GB2312"/>
          <w:sz w:val="32"/>
          <w:szCs w:val="32"/>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残疾人福利性单位声明函</w:t>
      </w:r>
    </w:p>
    <w:p w14:paraId="462AB890">
      <w:pPr>
        <w:spacing w:line="520" w:lineRule="exact"/>
        <w:rPr>
          <w:rFonts w:hint="eastAsia" w:ascii="仿宋_GB2312" w:hAnsi="仿宋_GB2312" w:eastAsia="仿宋_GB2312" w:cs="仿宋_GB2312"/>
          <w:sz w:val="32"/>
          <w:szCs w:val="32"/>
          <w:highlight w:val="none"/>
        </w:rPr>
      </w:pPr>
    </w:p>
    <w:p w14:paraId="07253B21">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highlight w:val="none"/>
          <w:u w:val="single"/>
        </w:rPr>
        <w:t xml:space="preserve">       </w:t>
      </w:r>
      <w:r>
        <w:rPr>
          <w:rFonts w:hint="eastAsia" w:ascii="宋体" w:hAnsi="宋体" w:cs="仿宋_GB2312"/>
          <w:sz w:val="24"/>
          <w:highlight w:val="none"/>
        </w:rPr>
        <w:t>单位的</w:t>
      </w:r>
      <w:r>
        <w:rPr>
          <w:rFonts w:hint="eastAsia" w:ascii="宋体" w:hAnsi="宋体" w:cs="仿宋_GB2312"/>
          <w:sz w:val="24"/>
          <w:highlight w:val="none"/>
          <w:u w:val="single"/>
        </w:rPr>
        <w:t xml:space="preserve">        </w:t>
      </w:r>
      <w:r>
        <w:rPr>
          <w:rFonts w:hint="eastAsia" w:ascii="宋体" w:hAnsi="宋体"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15D889B5">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本单位对上述声明的真实性负责。如有虚假，将依法承担相应责任。</w:t>
      </w:r>
    </w:p>
    <w:p w14:paraId="156956AB">
      <w:pPr>
        <w:spacing w:line="360" w:lineRule="auto"/>
        <w:contextualSpacing/>
        <w:rPr>
          <w:rFonts w:hint="eastAsia" w:ascii="宋体" w:hAnsi="宋体" w:cs="仿宋_GB2312"/>
          <w:sz w:val="24"/>
          <w:highlight w:val="none"/>
        </w:rPr>
      </w:pPr>
    </w:p>
    <w:p w14:paraId="06254976">
      <w:pPr>
        <w:spacing w:line="360" w:lineRule="auto"/>
        <w:contextualSpacing/>
        <w:rPr>
          <w:rFonts w:hint="eastAsia" w:ascii="宋体" w:hAnsi="宋体" w:cs="仿宋_GB2312"/>
          <w:sz w:val="24"/>
          <w:highlight w:val="none"/>
        </w:rPr>
      </w:pPr>
    </w:p>
    <w:p w14:paraId="31749C97">
      <w:pPr>
        <w:spacing w:line="360" w:lineRule="auto"/>
        <w:contextualSpacing/>
        <w:rPr>
          <w:rFonts w:hint="eastAsia" w:ascii="宋体" w:hAnsi="宋体" w:cs="仿宋_GB2312"/>
          <w:sz w:val="24"/>
          <w:highlight w:val="none"/>
        </w:rPr>
      </w:pPr>
    </w:p>
    <w:p w14:paraId="51057B30">
      <w:pPr>
        <w:spacing w:line="360" w:lineRule="auto"/>
        <w:ind w:firstLine="2400" w:firstLineChars="1000"/>
        <w:contextualSpacing/>
        <w:rPr>
          <w:rFonts w:hint="eastAsia" w:ascii="宋体" w:hAnsi="宋体" w:cs="仿宋_GB2312"/>
          <w:sz w:val="24"/>
          <w:highlight w:val="none"/>
        </w:rPr>
      </w:pPr>
      <w:r>
        <w:rPr>
          <w:rFonts w:hint="eastAsia" w:ascii="宋体" w:hAnsi="宋体" w:cs="仿宋_GB2312"/>
          <w:sz w:val="24"/>
          <w:highlight w:val="none"/>
        </w:rPr>
        <w:t>单位名称（盖章）：</w:t>
      </w:r>
    </w:p>
    <w:p w14:paraId="0AE1D840">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日  期：</w:t>
      </w:r>
    </w:p>
    <w:p w14:paraId="2540ACAC">
      <w:pPr>
        <w:spacing w:line="360" w:lineRule="auto"/>
        <w:contextualSpacing/>
        <w:rPr>
          <w:rFonts w:hint="eastAsia" w:ascii="宋体" w:hAnsi="宋体" w:cs="仿宋_GB2312"/>
          <w:sz w:val="24"/>
          <w:highlight w:val="none"/>
        </w:rPr>
      </w:pPr>
    </w:p>
    <w:p w14:paraId="732B8434">
      <w:pPr>
        <w:spacing w:line="360" w:lineRule="auto"/>
        <w:contextualSpacing/>
        <w:rPr>
          <w:rFonts w:hint="eastAsia" w:ascii="宋体" w:hAnsi="宋体" w:cs="仿宋_GB2312"/>
          <w:sz w:val="24"/>
          <w:highlight w:val="none"/>
        </w:rPr>
      </w:pPr>
    </w:p>
    <w:p w14:paraId="0E1BC51D">
      <w:pPr>
        <w:spacing w:line="360" w:lineRule="auto"/>
        <w:contextualSpacing/>
        <w:rPr>
          <w:rFonts w:hint="eastAsia" w:ascii="宋体" w:hAnsi="宋体" w:cs="仿宋_GB2312"/>
          <w:sz w:val="24"/>
          <w:highlight w:val="none"/>
        </w:rPr>
      </w:pPr>
    </w:p>
    <w:p w14:paraId="4995C640">
      <w:pPr>
        <w:spacing w:line="360" w:lineRule="auto"/>
        <w:contextualSpacing/>
        <w:rPr>
          <w:rFonts w:ascii="宋体" w:hAnsi="宋体" w:cs="仿宋_GB2312"/>
          <w:sz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868C7CA">
      <w:pPr>
        <w:spacing w:line="360" w:lineRule="auto"/>
        <w:jc w:val="center"/>
        <w:rPr>
          <w:rFonts w:ascii="宋体" w:hAnsi="宋体" w:cs="仿宋_GB2312"/>
          <w:sz w:val="24"/>
          <w:highlight w:val="none"/>
        </w:rPr>
      </w:pPr>
      <w:r>
        <w:rPr>
          <w:rFonts w:ascii="宋体" w:hAnsi="宋体" w:cs="仿宋_GB2312"/>
          <w:sz w:val="24"/>
          <w:highlight w:val="none"/>
        </w:rPr>
        <w:br w:type="page"/>
      </w:r>
    </w:p>
    <w:p w14:paraId="7299EF07">
      <w:pPr>
        <w:pStyle w:val="14"/>
        <w:ind w:firstLine="472" w:firstLineChars="147"/>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项目实施人员一览表（格式）</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0BC6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14:paraId="37D4ADAA">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noWrap w:val="0"/>
            <w:vAlign w:val="center"/>
          </w:tcPr>
          <w:p w14:paraId="37A511D8">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noWrap w:val="0"/>
            <w:vAlign w:val="center"/>
          </w:tcPr>
          <w:p w14:paraId="5BA4D258">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noWrap w:val="0"/>
            <w:vAlign w:val="center"/>
          </w:tcPr>
          <w:p w14:paraId="0FD99A85">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noWrap w:val="0"/>
            <w:vAlign w:val="center"/>
          </w:tcPr>
          <w:p w14:paraId="2FE6560E">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noWrap w:val="0"/>
            <w:vAlign w:val="center"/>
          </w:tcPr>
          <w:p w14:paraId="4FF37A9F">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备注</w:t>
            </w:r>
          </w:p>
        </w:tc>
      </w:tr>
      <w:tr w14:paraId="553C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23B28BC">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520C98B8">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7B11C1D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310CB2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3F87E9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12D81DBC">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7F74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89A9AF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0464740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5E6D202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026167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69A21B7">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369A153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14E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3929218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42BEA01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483BBE6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993E75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6C49F3D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7D01175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256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F22E14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4705EED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2D1E999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1E4CB49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E2EF64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043705F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194C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21D035E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5F1B98C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051AC408">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29EB37D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D95111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47B3F59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515B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904CDE7">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78E9F68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751DB8D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9E118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002968E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16201A9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bl>
    <w:p w14:paraId="1D3916AC">
      <w:pPr>
        <w:spacing w:line="400" w:lineRule="exact"/>
        <w:rPr>
          <w:color w:val="auto"/>
          <w:szCs w:val="21"/>
          <w:highlight w:val="none"/>
        </w:rPr>
      </w:pPr>
      <w:r>
        <w:rPr>
          <w:color w:val="auto"/>
          <w:szCs w:val="21"/>
          <w:highlight w:val="none"/>
        </w:rPr>
        <w:t>注：1.在填写时，如本表格不适合供应商的实际情况，可根据本表格式自行制表填写。</w:t>
      </w:r>
    </w:p>
    <w:p w14:paraId="0D17B833">
      <w:pPr>
        <w:spacing w:line="400" w:lineRule="exact"/>
        <w:ind w:left="420" w:leftChars="200"/>
        <w:rPr>
          <w:color w:val="auto"/>
          <w:szCs w:val="21"/>
          <w:highlight w:val="none"/>
        </w:rPr>
      </w:pPr>
      <w:r>
        <w:rPr>
          <w:color w:val="auto"/>
          <w:szCs w:val="21"/>
          <w:highlight w:val="none"/>
        </w:rPr>
        <w:t>2.项目实施人员一览表须由法定代表人、负责人、自然人或相应的委托代理人签字</w:t>
      </w:r>
      <w:r>
        <w:rPr>
          <w:color w:val="auto"/>
          <w:highlight w:val="none"/>
        </w:rPr>
        <w:t>（属自然人的应在签名处加盖大拇指指印）</w:t>
      </w:r>
      <w:r>
        <w:rPr>
          <w:color w:val="auto"/>
          <w:szCs w:val="21"/>
          <w:highlight w:val="none"/>
        </w:rPr>
        <w:t>并加盖供应商公章</w:t>
      </w:r>
      <w:r>
        <w:rPr>
          <w:color w:val="auto"/>
          <w:highlight w:val="none"/>
        </w:rPr>
        <w:t>（自然人除外）</w:t>
      </w:r>
      <w:r>
        <w:rPr>
          <w:color w:val="auto"/>
          <w:szCs w:val="21"/>
          <w:highlight w:val="none"/>
        </w:rPr>
        <w:t>。</w:t>
      </w:r>
    </w:p>
    <w:p w14:paraId="652B27F8">
      <w:pPr>
        <w:pStyle w:val="14"/>
        <w:spacing w:line="400" w:lineRule="exact"/>
        <w:rPr>
          <w:rFonts w:ascii="Times New Roman" w:hAnsi="Times New Roman"/>
          <w:color w:val="auto"/>
          <w:highlight w:val="none"/>
        </w:rPr>
      </w:pPr>
    </w:p>
    <w:p w14:paraId="67901E86">
      <w:pPr>
        <w:snapToGrid w:val="0"/>
        <w:spacing w:line="400" w:lineRule="exact"/>
        <w:ind w:firstLine="3570" w:firstLineChars="1700"/>
        <w:rPr>
          <w:rFonts w:ascii="Times New Roman" w:hAnsi="Times New Roman"/>
          <w:color w:val="auto"/>
          <w:highlight w:val="none"/>
        </w:rPr>
      </w:pPr>
      <w:r>
        <w:rPr>
          <w:color w:val="auto"/>
          <w:szCs w:val="21"/>
          <w:highlight w:val="none"/>
        </w:rPr>
        <w:t>供应商（</w:t>
      </w:r>
      <w:r>
        <w:rPr>
          <w:rFonts w:hint="eastAsia" w:ascii="宋体" w:hAnsi="宋体" w:cs="宋体"/>
          <w:color w:val="auto"/>
          <w:szCs w:val="21"/>
          <w:highlight w:val="none"/>
        </w:rPr>
        <w:t>公章(CA签章)，自然人签字或个人CA签章</w:t>
      </w:r>
      <w:r>
        <w:rPr>
          <w:color w:val="auto"/>
          <w:szCs w:val="21"/>
          <w:highlight w:val="none"/>
        </w:rPr>
        <w:t>）：</w:t>
      </w:r>
      <w:r>
        <w:rPr>
          <w:color w:val="auto"/>
          <w:szCs w:val="21"/>
          <w:highlight w:val="none"/>
          <w:u w:val="single"/>
        </w:rPr>
        <w:t xml:space="preserve">                           </w:t>
      </w:r>
    </w:p>
    <w:p w14:paraId="1E6265AF">
      <w:pPr>
        <w:pStyle w:val="14"/>
        <w:ind w:firstLine="3400" w:firstLineChars="1700"/>
        <w:rPr>
          <w:rFonts w:ascii="Times New Roman" w:hAnsi="Times New Roman"/>
          <w:color w:val="auto"/>
          <w:highlight w:val="none"/>
        </w:rPr>
      </w:pPr>
    </w:p>
    <w:p w14:paraId="35EA209E">
      <w:pPr>
        <w:pStyle w:val="14"/>
        <w:ind w:firstLine="3400" w:firstLineChars="1700"/>
        <w:rPr>
          <w:rFonts w:hint="eastAsia" w:cs="宋体"/>
          <w:color w:val="auto"/>
          <w:sz w:val="30"/>
          <w:szCs w:val="30"/>
          <w:highlight w:val="none"/>
        </w:rPr>
      </w:pPr>
      <w:r>
        <w:rPr>
          <w:rFonts w:ascii="Times New Roman" w:hAnsi="Times New Roman"/>
          <w:color w:val="auto"/>
          <w:highlight w:val="none"/>
        </w:rPr>
        <w:t>日          期：</w:t>
      </w:r>
      <w:r>
        <w:rPr>
          <w:rFonts w:ascii="Times New Roman" w:hAnsi="Times New Roman"/>
          <w:color w:val="auto"/>
          <w:highlight w:val="none"/>
          <w:u w:val="single"/>
        </w:rPr>
        <w:t xml:space="preserve">                             </w:t>
      </w:r>
    </w:p>
    <w:p w14:paraId="1555BB91">
      <w:pPr>
        <w:spacing w:line="360" w:lineRule="auto"/>
        <w:rPr>
          <w:rFonts w:hint="eastAsia" w:ascii="宋体" w:cs="宋体"/>
          <w:b/>
          <w:bCs/>
          <w:color w:val="auto"/>
          <w:sz w:val="28"/>
          <w:szCs w:val="28"/>
          <w:highlight w:val="none"/>
        </w:rPr>
      </w:pPr>
    </w:p>
    <w:p w14:paraId="561C3D9B">
      <w:pPr>
        <w:spacing w:line="360" w:lineRule="auto"/>
        <w:rPr>
          <w:rFonts w:hint="eastAsia" w:ascii="宋体" w:cs="宋体"/>
          <w:b/>
          <w:bCs/>
          <w:color w:val="auto"/>
          <w:sz w:val="28"/>
          <w:szCs w:val="28"/>
          <w:highlight w:val="none"/>
        </w:rPr>
      </w:pPr>
      <w:r>
        <w:rPr>
          <w:rFonts w:hint="eastAsia" w:ascii="宋体" w:cs="宋体"/>
          <w:b/>
          <w:bCs/>
          <w:color w:val="auto"/>
          <w:sz w:val="28"/>
          <w:szCs w:val="28"/>
          <w:highlight w:val="none"/>
        </w:rPr>
        <w:t>注：供应商根据自身情况结合本项目自行制定</w:t>
      </w:r>
    </w:p>
    <w:p w14:paraId="563E8A32">
      <w:pPr>
        <w:pStyle w:val="10"/>
        <w:rPr>
          <w:rFonts w:hint="eastAsia" w:ascii="宋体" w:cs="宋体"/>
          <w:b/>
          <w:bCs/>
          <w:color w:val="auto"/>
          <w:sz w:val="28"/>
          <w:szCs w:val="28"/>
          <w:highlight w:val="none"/>
        </w:rPr>
      </w:pPr>
    </w:p>
    <w:p w14:paraId="3527DDC5">
      <w:pPr>
        <w:rPr>
          <w:rFonts w:hint="eastAsia"/>
          <w:color w:val="auto"/>
          <w:highlight w:val="none"/>
        </w:rPr>
      </w:pPr>
    </w:p>
    <w:p w14:paraId="7061D4FE">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节能方面的证书</w:t>
      </w:r>
      <w:r>
        <w:rPr>
          <w:rFonts w:hint="eastAsia" w:ascii="宋体" w:hAnsi="宋体" w:eastAsia="宋体" w:cs="宋体"/>
          <w:b/>
          <w:bCs/>
          <w:color w:val="auto"/>
          <w:sz w:val="28"/>
          <w:szCs w:val="28"/>
          <w:highlight w:val="none"/>
          <w:lang w:eastAsia="zh-CN"/>
        </w:rPr>
        <w:t>扫描件</w:t>
      </w:r>
      <w:r>
        <w:rPr>
          <w:rFonts w:hint="eastAsia" w:ascii="宋体" w:hAnsi="宋体" w:eastAsia="宋体" w:cs="宋体"/>
          <w:b/>
          <w:bCs/>
          <w:color w:val="auto"/>
          <w:sz w:val="28"/>
          <w:szCs w:val="28"/>
          <w:highlight w:val="none"/>
        </w:rPr>
        <w:t>（如有，请提供）；</w:t>
      </w:r>
    </w:p>
    <w:p w14:paraId="091EE635">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5638C0C6">
      <w:pPr>
        <w:pStyle w:val="3"/>
        <w:tabs>
          <w:tab w:val="left" w:pos="567"/>
        </w:tabs>
        <w:rPr>
          <w:rFonts w:hint="eastAsia"/>
          <w:color w:val="auto"/>
          <w:highlight w:val="none"/>
          <w:lang w:val="en-US" w:eastAsia="zh-CN"/>
        </w:rPr>
      </w:pPr>
    </w:p>
    <w:p w14:paraId="1DB2D0B8">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环境标志方面的证书</w:t>
      </w:r>
      <w:r>
        <w:rPr>
          <w:rFonts w:hint="eastAsia" w:ascii="宋体" w:hAnsi="宋体" w:eastAsia="宋体" w:cs="宋体"/>
          <w:b/>
          <w:bCs/>
          <w:color w:val="auto"/>
          <w:sz w:val="28"/>
          <w:szCs w:val="28"/>
          <w:highlight w:val="none"/>
          <w:lang w:eastAsia="zh-CN"/>
        </w:rPr>
        <w:t>扫描件</w:t>
      </w:r>
      <w:r>
        <w:rPr>
          <w:rFonts w:hint="eastAsia" w:ascii="宋体" w:hAnsi="宋体" w:eastAsia="宋体" w:cs="宋体"/>
          <w:b/>
          <w:bCs/>
          <w:color w:val="auto"/>
          <w:sz w:val="28"/>
          <w:szCs w:val="28"/>
          <w:highlight w:val="none"/>
        </w:rPr>
        <w:t>（如有，请提供）；</w:t>
      </w:r>
    </w:p>
    <w:p w14:paraId="576A7250">
      <w:pPr>
        <w:pStyle w:val="3"/>
        <w:keepNext/>
        <w:keepLines/>
        <w:widowControl w:val="0"/>
        <w:numPr>
          <w:ilvl w:val="0"/>
          <w:numId w:val="0"/>
        </w:numPr>
        <w:tabs>
          <w:tab w:val="left" w:pos="567"/>
        </w:tabs>
        <w:spacing w:line="360" w:lineRule="auto"/>
        <w:jc w:val="both"/>
        <w:outlineLvl w:val="1"/>
        <w:rPr>
          <w:rFonts w:hint="eastAsia"/>
          <w:color w:val="auto"/>
          <w:highlight w:val="none"/>
        </w:rPr>
      </w:pPr>
    </w:p>
    <w:p w14:paraId="220EA446">
      <w:pPr>
        <w:rPr>
          <w:rFonts w:hint="eastAsia"/>
          <w:color w:val="auto"/>
          <w:highlight w:val="none"/>
        </w:rPr>
      </w:pPr>
    </w:p>
    <w:p w14:paraId="22D2F323">
      <w:pPr>
        <w:rPr>
          <w:rFonts w:hint="eastAsia"/>
          <w:color w:val="auto"/>
          <w:highlight w:val="none"/>
        </w:rPr>
      </w:pPr>
    </w:p>
    <w:p w14:paraId="6DED1228">
      <w:pPr>
        <w:pStyle w:val="14"/>
        <w:numPr>
          <w:ilvl w:val="0"/>
          <w:numId w:val="0"/>
        </w:numPr>
        <w:spacing w:line="340" w:lineRule="exact"/>
        <w:ind w:leftChars="0"/>
        <w:rPr>
          <w:rFonts w:hint="eastAsia"/>
          <w:b/>
          <w:color w:val="auto"/>
          <w:sz w:val="28"/>
          <w:szCs w:val="28"/>
          <w:highlight w:val="none"/>
          <w:lang w:val="en-US" w:eastAsia="zh-CN"/>
        </w:rPr>
      </w:pPr>
    </w:p>
    <w:p w14:paraId="1F6A6A20">
      <w:pPr>
        <w:pStyle w:val="14"/>
        <w:numPr>
          <w:ilvl w:val="0"/>
          <w:numId w:val="0"/>
        </w:numPr>
        <w:spacing w:line="340" w:lineRule="exact"/>
        <w:ind w:leftChars="0"/>
        <w:rPr>
          <w:rFonts w:hint="eastAsia"/>
          <w:b/>
          <w:color w:val="auto"/>
          <w:sz w:val="28"/>
          <w:szCs w:val="28"/>
          <w:highlight w:val="none"/>
          <w:lang w:val="en-US" w:eastAsia="zh-CN"/>
        </w:rPr>
      </w:pPr>
    </w:p>
    <w:p w14:paraId="7149BFF8">
      <w:pPr>
        <w:spacing w:line="360" w:lineRule="auto"/>
        <w:jc w:val="center"/>
        <w:rPr>
          <w:rFonts w:ascii="宋体" w:hAnsi="宋体" w:cs="仿宋_GB2312"/>
          <w:sz w:val="24"/>
          <w:highlight w:val="none"/>
        </w:rPr>
      </w:pPr>
    </w:p>
    <w:p w14:paraId="0F920365">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cs="仿宋_GB2312"/>
          <w:b/>
          <w:bCs/>
          <w:sz w:val="24"/>
          <w:highlight w:val="none"/>
          <w:lang w:val="en-US" w:eastAsia="zh-CN"/>
        </w:rPr>
        <w:t>5.</w:t>
      </w:r>
      <w:r>
        <w:rPr>
          <w:rFonts w:hint="eastAsia" w:ascii="宋体" w:hAnsi="宋体" w:eastAsia="宋体" w:cs="宋体"/>
          <w:b/>
          <w:bCs/>
          <w:color w:val="auto"/>
          <w:sz w:val="28"/>
          <w:szCs w:val="28"/>
          <w:highlight w:val="none"/>
        </w:rPr>
        <w:t>供应商可结合本项目的评</w:t>
      </w:r>
      <w:r>
        <w:rPr>
          <w:rFonts w:hint="eastAsia" w:ascii="宋体" w:hAnsi="宋体" w:eastAsia="宋体" w:cs="宋体"/>
          <w:b/>
          <w:bCs/>
          <w:color w:val="auto"/>
          <w:sz w:val="28"/>
          <w:szCs w:val="28"/>
          <w:highlight w:val="none"/>
          <w:lang w:val="en-US" w:eastAsia="zh-CN"/>
        </w:rPr>
        <w:t>审</w:t>
      </w:r>
      <w:r>
        <w:rPr>
          <w:rFonts w:hint="eastAsia" w:ascii="宋体" w:hAnsi="宋体" w:eastAsia="宋体" w:cs="宋体"/>
          <w:b/>
          <w:bCs/>
          <w:color w:val="auto"/>
          <w:sz w:val="28"/>
          <w:szCs w:val="28"/>
          <w:highlight w:val="none"/>
        </w:rPr>
        <w:t>办法视自身情况自行提交相关证明材料（如有，请提供）。</w:t>
      </w:r>
    </w:p>
    <w:p w14:paraId="0C47653E">
      <w:pPr>
        <w:spacing w:line="360" w:lineRule="auto"/>
        <w:jc w:val="center"/>
        <w:rPr>
          <w:rFonts w:hint="default" w:ascii="宋体" w:hAnsi="宋体" w:eastAsia="宋体" w:cs="仿宋_GB2312"/>
          <w:sz w:val="24"/>
          <w:highlight w:val="none"/>
          <w:lang w:val="en-US" w:eastAsia="zh-CN"/>
        </w:rPr>
      </w:pPr>
    </w:p>
    <w:p w14:paraId="3590B93F">
      <w:pPr>
        <w:spacing w:line="360" w:lineRule="auto"/>
        <w:jc w:val="center"/>
        <w:rPr>
          <w:rFonts w:ascii="宋体" w:hAnsi="宋体" w:cs="仿宋_GB2312"/>
          <w:sz w:val="24"/>
          <w:highlight w:val="none"/>
        </w:rPr>
      </w:pPr>
    </w:p>
    <w:p w14:paraId="549C3E56">
      <w:pPr>
        <w:spacing w:line="360" w:lineRule="auto"/>
        <w:jc w:val="both"/>
        <w:rPr>
          <w:rFonts w:ascii="宋体" w:hAnsi="宋体" w:cs="仿宋_GB2312"/>
          <w:sz w:val="24"/>
          <w:highlight w:val="none"/>
        </w:rPr>
      </w:pPr>
    </w:p>
    <w:p w14:paraId="7109AAEC">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质疑函（格式）</w:t>
      </w:r>
    </w:p>
    <w:p w14:paraId="0041ED16">
      <w:pPr>
        <w:pStyle w:val="14"/>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14:paraId="0368DCDA">
      <w:pPr>
        <w:pStyle w:val="14"/>
        <w:spacing w:line="360" w:lineRule="auto"/>
        <w:ind w:firstLine="480" w:firstLineChars="200"/>
        <w:contextualSpacing/>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5EAA5D63">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0B0A39D6">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C2A984C">
      <w:pPr>
        <w:pStyle w:val="14"/>
        <w:spacing w:line="360" w:lineRule="auto"/>
        <w:ind w:firstLine="480" w:firstLineChars="200"/>
        <w:contextualSpacing/>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14:paraId="5285A09C">
      <w:pPr>
        <w:pStyle w:val="14"/>
        <w:spacing w:line="360" w:lineRule="auto"/>
        <w:ind w:firstLine="480" w:firstLineChars="200"/>
        <w:contextualSpacing/>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53041DA">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97A7EE5">
      <w:pPr>
        <w:pStyle w:val="14"/>
        <w:spacing w:line="360" w:lineRule="auto"/>
        <w:ind w:firstLine="482" w:firstLineChars="200"/>
        <w:contextualSpacing/>
        <w:rPr>
          <w:rFonts w:hint="eastAsia" w:hAnsi="宋体"/>
          <w:b/>
          <w:bCs/>
          <w:sz w:val="24"/>
          <w:szCs w:val="24"/>
          <w:highlight w:val="none"/>
        </w:rPr>
      </w:pPr>
      <w:r>
        <w:rPr>
          <w:rFonts w:hint="eastAsia" w:hAnsi="宋体"/>
          <w:b/>
          <w:bCs/>
          <w:sz w:val="24"/>
          <w:szCs w:val="24"/>
          <w:highlight w:val="none"/>
        </w:rPr>
        <w:t>二、质疑项目基本情况：</w:t>
      </w:r>
    </w:p>
    <w:p w14:paraId="03C23E7E">
      <w:pPr>
        <w:pStyle w:val="14"/>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14:paraId="6AC04D7E">
      <w:pPr>
        <w:pStyle w:val="14"/>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14:paraId="28C49BEE">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14:paraId="4B9BA8EE">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w:t>
      </w:r>
    </w:p>
    <w:p w14:paraId="7B530773">
      <w:pPr>
        <w:pStyle w:val="14"/>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□采购文件   采购文件获取日期：</w:t>
      </w:r>
      <w:r>
        <w:rPr>
          <w:rFonts w:hint="eastAsia" w:hAnsi="宋体"/>
          <w:bCs/>
          <w:sz w:val="24"/>
          <w:szCs w:val="24"/>
          <w:highlight w:val="none"/>
          <w:u w:val="single"/>
        </w:rPr>
        <w:t xml:space="preserve">                                   </w:t>
      </w:r>
    </w:p>
    <w:p w14:paraId="240AA1D3">
      <w:pPr>
        <w:pStyle w:val="14"/>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 xml:space="preserve">□采购过程   </w:t>
      </w:r>
    </w:p>
    <w:p w14:paraId="20655002">
      <w:pPr>
        <w:pStyle w:val="14"/>
        <w:spacing w:line="360" w:lineRule="auto"/>
        <w:ind w:left="25" w:leftChars="12" w:firstLine="352" w:firstLineChars="147"/>
        <w:contextualSpacing/>
        <w:rPr>
          <w:rFonts w:hint="eastAsia" w:hAnsi="宋体"/>
          <w:bCs/>
          <w:sz w:val="24"/>
          <w:szCs w:val="24"/>
          <w:highlight w:val="none"/>
          <w:u w:val="single"/>
        </w:rPr>
      </w:pPr>
      <w:r>
        <w:rPr>
          <w:rFonts w:hint="eastAsia" w:hAnsi="宋体"/>
          <w:sz w:val="24"/>
          <w:szCs w:val="24"/>
          <w:highlight w:val="none"/>
        </w:rPr>
        <w:t xml:space="preserve">□成交结果   </w:t>
      </w:r>
    </w:p>
    <w:p w14:paraId="01017F88">
      <w:pPr>
        <w:pStyle w:val="14"/>
        <w:spacing w:line="360" w:lineRule="auto"/>
        <w:ind w:left="25" w:leftChars="12" w:firstLine="472" w:firstLineChars="196"/>
        <w:contextualSpacing/>
        <w:rPr>
          <w:rFonts w:hint="eastAsia" w:hAnsi="宋体"/>
          <w:b/>
          <w:sz w:val="24"/>
          <w:szCs w:val="24"/>
          <w:highlight w:val="none"/>
        </w:rPr>
      </w:pPr>
      <w:r>
        <w:rPr>
          <w:rFonts w:hint="eastAsia" w:hAnsi="宋体"/>
          <w:b/>
          <w:sz w:val="24"/>
          <w:szCs w:val="24"/>
          <w:highlight w:val="none"/>
        </w:rPr>
        <w:t>三、质疑事项具体内容</w:t>
      </w:r>
    </w:p>
    <w:p w14:paraId="7757668A">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14:paraId="41A0A272">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14:paraId="515B2F9B">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14:paraId="286CC04B">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质疑事项2</w:t>
      </w:r>
    </w:p>
    <w:p w14:paraId="727EB108">
      <w:pPr>
        <w:pStyle w:val="14"/>
        <w:spacing w:line="360" w:lineRule="auto"/>
        <w:ind w:left="25" w:leftChars="12" w:firstLine="472" w:firstLineChars="197"/>
        <w:contextualSpacing/>
        <w:rPr>
          <w:rFonts w:hint="eastAsia" w:hAnsi="宋体"/>
          <w:sz w:val="24"/>
          <w:szCs w:val="24"/>
          <w:highlight w:val="none"/>
        </w:rPr>
      </w:pPr>
      <w:r>
        <w:rPr>
          <w:rFonts w:hAnsi="宋体"/>
          <w:sz w:val="24"/>
          <w:szCs w:val="24"/>
          <w:highlight w:val="none"/>
        </w:rPr>
        <w:t>……</w:t>
      </w:r>
    </w:p>
    <w:p w14:paraId="29CCDF83">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四、与质疑事项相关的质疑请求：</w:t>
      </w:r>
    </w:p>
    <w:p w14:paraId="6ABA8E15">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50FFA7C1">
      <w:pPr>
        <w:pStyle w:val="14"/>
        <w:spacing w:line="360" w:lineRule="auto"/>
        <w:ind w:left="25" w:leftChars="12" w:firstLine="352" w:firstLineChars="147"/>
        <w:contextualSpacing/>
        <w:rPr>
          <w:rFonts w:hint="eastAsia" w:hAnsi="宋体"/>
          <w:sz w:val="24"/>
          <w:szCs w:val="24"/>
          <w:highlight w:val="none"/>
        </w:rPr>
      </w:pPr>
    </w:p>
    <w:p w14:paraId="59E5262A">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签字（签章）：                                       公章：</w:t>
      </w:r>
    </w:p>
    <w:p w14:paraId="7E619BF0">
      <w:pPr>
        <w:pStyle w:val="14"/>
        <w:spacing w:line="360" w:lineRule="auto"/>
        <w:ind w:left="25" w:leftChars="12" w:firstLine="352" w:firstLineChars="147"/>
        <w:contextualSpacing/>
        <w:rPr>
          <w:rFonts w:hint="eastAsia" w:hAnsi="宋体"/>
          <w:sz w:val="24"/>
          <w:szCs w:val="24"/>
          <w:highlight w:val="none"/>
        </w:rPr>
      </w:pPr>
    </w:p>
    <w:p w14:paraId="4C0E2257">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日期：</w:t>
      </w:r>
    </w:p>
    <w:p w14:paraId="56275C5A">
      <w:pPr>
        <w:pStyle w:val="14"/>
        <w:spacing w:line="360" w:lineRule="auto"/>
        <w:contextualSpacing/>
        <w:rPr>
          <w:rFonts w:hint="eastAsia" w:hAnsi="宋体"/>
          <w:b/>
          <w:sz w:val="24"/>
          <w:szCs w:val="24"/>
          <w:highlight w:val="none"/>
        </w:rPr>
      </w:pPr>
    </w:p>
    <w:p w14:paraId="23648C1C">
      <w:pPr>
        <w:pStyle w:val="14"/>
        <w:spacing w:line="360" w:lineRule="auto"/>
        <w:contextualSpacing/>
        <w:rPr>
          <w:rFonts w:hint="eastAsia" w:hAnsi="宋体"/>
          <w:b/>
          <w:sz w:val="24"/>
          <w:szCs w:val="24"/>
          <w:highlight w:val="none"/>
        </w:rPr>
      </w:pPr>
    </w:p>
    <w:p w14:paraId="68CB42C6">
      <w:pPr>
        <w:pStyle w:val="14"/>
        <w:spacing w:line="360" w:lineRule="auto"/>
        <w:contextualSpacing/>
        <w:rPr>
          <w:rFonts w:hint="eastAsia" w:hAnsi="宋体"/>
          <w:b/>
          <w:sz w:val="24"/>
          <w:szCs w:val="24"/>
          <w:highlight w:val="none"/>
        </w:rPr>
      </w:pPr>
      <w:r>
        <w:rPr>
          <w:rFonts w:hint="eastAsia" w:hAnsi="宋体"/>
          <w:b/>
          <w:sz w:val="24"/>
          <w:szCs w:val="24"/>
          <w:highlight w:val="none"/>
        </w:rPr>
        <w:t>说明：</w:t>
      </w:r>
    </w:p>
    <w:p w14:paraId="62F467E0">
      <w:pPr>
        <w:pStyle w:val="14"/>
        <w:spacing w:line="360" w:lineRule="auto"/>
        <w:ind w:left="25" w:leftChars="12" w:firstLine="354" w:firstLineChars="147"/>
        <w:contextualSpacing/>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6B9B91C8">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35C292">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14:paraId="10BF1B1B">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4.质疑函的质疑请求应与质疑事项相关。</w:t>
      </w:r>
    </w:p>
    <w:p w14:paraId="32A16DFD">
      <w:pPr>
        <w:pStyle w:val="14"/>
        <w:spacing w:line="360" w:lineRule="auto"/>
        <w:ind w:left="25" w:leftChars="12" w:firstLine="354" w:firstLineChars="147"/>
        <w:contextualSpacing/>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2F5271B7">
      <w:pPr>
        <w:pStyle w:val="14"/>
        <w:snapToGrid w:val="0"/>
        <w:rPr>
          <w:rFonts w:hint="eastAsia"/>
          <w:b/>
          <w:sz w:val="24"/>
          <w:szCs w:val="24"/>
          <w:highlight w:val="none"/>
        </w:rPr>
      </w:pPr>
    </w:p>
    <w:p w14:paraId="62F56CB0">
      <w:pPr>
        <w:spacing w:line="460" w:lineRule="exact"/>
        <w:jc w:val="center"/>
        <w:rPr>
          <w:rFonts w:hint="eastAsia" w:eastAsia="隶书"/>
          <w:sz w:val="44"/>
          <w:highlight w:val="none"/>
        </w:rPr>
      </w:pPr>
      <w:r>
        <w:rPr>
          <w:rFonts w:eastAsia="隶书"/>
          <w:sz w:val="44"/>
          <w:highlight w:val="none"/>
        </w:rPr>
        <w:br w:type="page"/>
      </w:r>
    </w:p>
    <w:p w14:paraId="3995461D">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投诉书（格式）</w:t>
      </w:r>
    </w:p>
    <w:p w14:paraId="5E3BB7CC">
      <w:pPr>
        <w:pStyle w:val="14"/>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2848B234">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F5E237F">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3E11AFE5">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14:paraId="2BF9F1F7">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E6FD023">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47C87EDA">
      <w:pPr>
        <w:pStyle w:val="14"/>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14:paraId="33397281">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9341193">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被投诉人1：</w:t>
      </w:r>
    </w:p>
    <w:p w14:paraId="6CE22629">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14:paraId="5792B0ED">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650776A">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B5DC5C8">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被投诉人2：</w:t>
      </w:r>
    </w:p>
    <w:p w14:paraId="3F994EF3">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w:t>
      </w:r>
    </w:p>
    <w:p w14:paraId="00BD03D2">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14:paraId="5F34FDF6">
      <w:pPr>
        <w:pStyle w:val="14"/>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14:paraId="09373A1B">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B01132A">
      <w:pPr>
        <w:pStyle w:val="14"/>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14:paraId="2EA07FD2">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14:paraId="762B8728">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14:paraId="1E511846">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14:paraId="08E450DB">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14:paraId="3ABEF2AF">
      <w:pPr>
        <w:pStyle w:val="14"/>
        <w:spacing w:line="360" w:lineRule="auto"/>
        <w:ind w:left="25" w:leftChars="12" w:firstLine="472" w:firstLineChars="197"/>
        <w:rPr>
          <w:rFonts w:hint="eastAsia"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7EBED8FC">
      <w:pPr>
        <w:pStyle w:val="14"/>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26A11E84">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14:paraId="0C434FB4">
      <w:pPr>
        <w:pStyle w:val="14"/>
        <w:spacing w:line="360" w:lineRule="auto"/>
        <w:ind w:left="23" w:leftChars="11" w:firstLine="540" w:firstLineChars="225"/>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14:paraId="3D722E40">
      <w:pPr>
        <w:pStyle w:val="14"/>
        <w:spacing w:line="360" w:lineRule="auto"/>
        <w:ind w:left="23" w:leftChars="11" w:firstLine="540" w:firstLineChars="225"/>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14:paraId="4AC2D2AD">
      <w:pPr>
        <w:pStyle w:val="14"/>
        <w:spacing w:line="360" w:lineRule="auto"/>
        <w:ind w:left="23" w:leftChars="11" w:firstLine="540" w:firstLineChars="225"/>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6D558452">
      <w:pPr>
        <w:pStyle w:val="14"/>
        <w:spacing w:line="360" w:lineRule="auto"/>
        <w:ind w:left="23" w:leftChars="11" w:firstLine="540" w:firstLineChars="225"/>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14:paraId="5604F856">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14:paraId="72093C23">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14:paraId="4A622722">
      <w:pPr>
        <w:pStyle w:val="14"/>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52D3CC71">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14:paraId="6603F731">
      <w:pPr>
        <w:pStyle w:val="14"/>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71CE4A53">
      <w:pPr>
        <w:pStyle w:val="14"/>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7346E2ED">
      <w:pPr>
        <w:pStyle w:val="14"/>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14:paraId="444E7EC8">
      <w:pPr>
        <w:pStyle w:val="14"/>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14:paraId="61E44BFA">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14:paraId="1B1E93F5">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640A9CBF">
      <w:pPr>
        <w:pStyle w:val="14"/>
        <w:spacing w:line="360" w:lineRule="auto"/>
        <w:ind w:left="25" w:leftChars="12" w:firstLine="352" w:firstLineChars="147"/>
        <w:rPr>
          <w:rFonts w:hint="eastAsia" w:hAnsi="宋体"/>
          <w:sz w:val="24"/>
          <w:szCs w:val="24"/>
          <w:highlight w:val="none"/>
        </w:rPr>
      </w:pPr>
    </w:p>
    <w:p w14:paraId="73791F93">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14:paraId="4B66CCF4">
      <w:pPr>
        <w:pStyle w:val="14"/>
        <w:spacing w:line="360" w:lineRule="auto"/>
        <w:ind w:left="25" w:leftChars="12" w:firstLine="352" w:firstLineChars="147"/>
        <w:rPr>
          <w:rFonts w:hint="eastAsia" w:hAnsi="宋体"/>
          <w:sz w:val="24"/>
          <w:szCs w:val="24"/>
          <w:highlight w:val="none"/>
        </w:rPr>
      </w:pPr>
    </w:p>
    <w:p w14:paraId="36D868F9">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14:paraId="1EDAED1F">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 xml:space="preserve">                                                                                 </w:t>
      </w:r>
    </w:p>
    <w:p w14:paraId="70DD63C7">
      <w:pPr>
        <w:pStyle w:val="14"/>
        <w:snapToGrid w:val="0"/>
        <w:spacing w:line="360" w:lineRule="auto"/>
        <w:rPr>
          <w:rFonts w:hint="eastAsia" w:hAnsi="宋体"/>
          <w:b/>
          <w:sz w:val="24"/>
          <w:szCs w:val="24"/>
          <w:highlight w:val="none"/>
        </w:rPr>
      </w:pPr>
    </w:p>
    <w:p w14:paraId="0A7D4665">
      <w:pPr>
        <w:pStyle w:val="14"/>
        <w:snapToGrid w:val="0"/>
        <w:spacing w:line="360" w:lineRule="auto"/>
        <w:rPr>
          <w:rFonts w:hint="eastAsia" w:hAnsi="宋体"/>
          <w:b/>
          <w:sz w:val="24"/>
          <w:szCs w:val="24"/>
          <w:highlight w:val="none"/>
        </w:rPr>
      </w:pPr>
      <w:r>
        <w:rPr>
          <w:rFonts w:hint="eastAsia" w:hAnsi="宋体"/>
          <w:b/>
          <w:sz w:val="24"/>
          <w:szCs w:val="24"/>
          <w:highlight w:val="none"/>
        </w:rPr>
        <w:t>说明：</w:t>
      </w:r>
    </w:p>
    <w:p w14:paraId="50D137DD">
      <w:pPr>
        <w:pStyle w:val="14"/>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68EC26FB">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A0F02E">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14:paraId="024F7F55">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14:paraId="4028264E">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14:paraId="61BFE738">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5AB0B321">
      <w:pPr>
        <w:pStyle w:val="3"/>
        <w:jc w:val="center"/>
        <w:rPr>
          <w:rFonts w:hint="eastAsia"/>
          <w:highlight w:val="none"/>
        </w:rPr>
      </w:pPr>
      <w:r>
        <w:rPr>
          <w:highlight w:val="none"/>
        </w:rPr>
        <w:br w:type="page"/>
      </w:r>
      <w:bookmarkStart w:id="80" w:name="_Toc8083"/>
      <w:r>
        <w:rPr>
          <w:rFonts w:hint="eastAsia"/>
          <w:highlight w:val="none"/>
        </w:rPr>
        <w:t>第六章 合同文本</w:t>
      </w:r>
      <w:bookmarkEnd w:id="80"/>
    </w:p>
    <w:p w14:paraId="286B7662">
      <w:pPr>
        <w:jc w:val="center"/>
        <w:rPr>
          <w:sz w:val="30"/>
          <w:szCs w:val="30"/>
          <w:highlight w:val="none"/>
        </w:rPr>
      </w:pPr>
      <w:r>
        <w:rPr>
          <w:rFonts w:hint="eastAsia"/>
          <w:sz w:val="30"/>
          <w:szCs w:val="30"/>
          <w:highlight w:val="none"/>
        </w:rPr>
        <w:t>（参考格式）</w:t>
      </w:r>
    </w:p>
    <w:p w14:paraId="5D506609">
      <w:pPr>
        <w:jc w:val="center"/>
        <w:rPr>
          <w:sz w:val="30"/>
          <w:szCs w:val="30"/>
          <w:highlight w:val="none"/>
        </w:rPr>
      </w:pPr>
      <w:r>
        <w:rPr>
          <w:rFonts w:hint="eastAsia"/>
          <w:sz w:val="30"/>
          <w:szCs w:val="30"/>
          <w:highlight w:val="none"/>
        </w:rPr>
        <w:t>（注：本合同格式仅为合同的参考文本，合同签订双方可根据项目的具体要求进行修订。）</w:t>
      </w:r>
    </w:p>
    <w:p w14:paraId="70F5B360">
      <w:pPr>
        <w:snapToGrid w:val="0"/>
        <w:spacing w:line="400" w:lineRule="exact"/>
        <w:jc w:val="center"/>
        <w:rPr>
          <w:rFonts w:hint="eastAsia" w:ascii="宋体" w:hAnsi="宋体"/>
          <w:b/>
          <w:bCs/>
          <w:sz w:val="32"/>
          <w:szCs w:val="32"/>
          <w:highlight w:val="none"/>
        </w:rPr>
      </w:pPr>
    </w:p>
    <w:p w14:paraId="112EE948">
      <w:pPr>
        <w:snapToGrid w:val="0"/>
        <w:spacing w:line="400" w:lineRule="exact"/>
        <w:jc w:val="center"/>
        <w:rPr>
          <w:rFonts w:hint="eastAsia" w:ascii="宋体" w:hAnsi="宋体"/>
          <w:b/>
          <w:bCs/>
          <w:sz w:val="32"/>
          <w:szCs w:val="32"/>
          <w:highlight w:val="none"/>
        </w:rPr>
      </w:pPr>
      <w:r>
        <w:rPr>
          <w:rFonts w:hint="eastAsia" w:ascii="宋体" w:hAnsi="宋体"/>
          <w:b/>
          <w:bCs/>
          <w:sz w:val="32"/>
          <w:szCs w:val="32"/>
          <w:highlight w:val="none"/>
        </w:rPr>
        <w:t>《广西壮族自治区政府采购合同》</w:t>
      </w:r>
      <w:r>
        <w:rPr>
          <w:rFonts w:hint="eastAsia" w:ascii="宋体" w:hAnsi="宋体"/>
          <w:b/>
          <w:sz w:val="32"/>
          <w:szCs w:val="32"/>
          <w:highlight w:val="none"/>
        </w:rPr>
        <w:t>文本</w:t>
      </w:r>
    </w:p>
    <w:p w14:paraId="2D839A89">
      <w:pPr>
        <w:snapToGrid w:val="0"/>
        <w:spacing w:line="400" w:lineRule="exact"/>
        <w:ind w:right="480" w:firstLine="5250" w:firstLineChars="2500"/>
        <w:rPr>
          <w:rFonts w:hint="eastAsia" w:ascii="宋体" w:hAnsi="宋体"/>
          <w:bCs/>
          <w:szCs w:val="21"/>
          <w:highlight w:val="none"/>
        </w:rPr>
      </w:pPr>
    </w:p>
    <w:p w14:paraId="564E767E">
      <w:pPr>
        <w:snapToGrid w:val="0"/>
        <w:spacing w:line="400" w:lineRule="exact"/>
        <w:ind w:right="480" w:firstLine="5250" w:firstLineChars="2500"/>
        <w:rPr>
          <w:rFonts w:hint="eastAsia" w:ascii="宋体" w:hAnsi="宋体" w:cs="宋体"/>
          <w:bCs/>
          <w:szCs w:val="21"/>
          <w:highlight w:val="none"/>
          <w:u w:val="single"/>
        </w:rPr>
      </w:pPr>
      <w:r>
        <w:rPr>
          <w:rFonts w:hint="eastAsia" w:ascii="宋体" w:hAnsi="宋体" w:cs="宋体"/>
          <w:bCs/>
          <w:szCs w:val="21"/>
          <w:highlight w:val="none"/>
        </w:rPr>
        <w:t>合同编号：</w:t>
      </w:r>
    </w:p>
    <w:p w14:paraId="01DC21B5">
      <w:pPr>
        <w:snapToGrid w:val="0"/>
        <w:spacing w:line="400" w:lineRule="exact"/>
        <w:rPr>
          <w:rFonts w:hint="eastAsia" w:ascii="宋体" w:hAnsi="宋体" w:cs="宋体"/>
          <w:szCs w:val="21"/>
          <w:highlight w:val="none"/>
        </w:rPr>
      </w:pPr>
    </w:p>
    <w:p w14:paraId="080F61FB">
      <w:pPr>
        <w:snapToGrid w:val="0"/>
        <w:spacing w:line="360" w:lineRule="auto"/>
        <w:rPr>
          <w:rFonts w:hint="eastAsia" w:ascii="宋体" w:hAnsi="宋体" w:cs="宋体"/>
          <w:sz w:val="24"/>
          <w:highlight w:val="none"/>
          <w:u w:val="single"/>
        </w:rPr>
      </w:pPr>
      <w:r>
        <w:rPr>
          <w:rFonts w:hint="eastAsia" w:ascii="宋体" w:hAnsi="宋体" w:cs="宋体"/>
          <w:sz w:val="24"/>
          <w:highlight w:val="none"/>
        </w:rPr>
        <w:t>采购人（甲方）：</w:t>
      </w:r>
      <w:r>
        <w:rPr>
          <w:rFonts w:hint="eastAsia" w:ascii="宋体" w:hAnsi="宋体" w:cs="宋体"/>
          <w:sz w:val="24"/>
          <w:highlight w:val="none"/>
          <w:u w:val="single"/>
        </w:rPr>
        <w:t xml:space="preserve">                          </w:t>
      </w:r>
      <w:r>
        <w:rPr>
          <w:rFonts w:hint="eastAsia" w:ascii="宋体" w:hAnsi="宋体" w:cs="宋体"/>
          <w:sz w:val="24"/>
          <w:highlight w:val="none"/>
        </w:rPr>
        <w:t xml:space="preserve">  采购计划号：</w:t>
      </w:r>
      <w:r>
        <w:rPr>
          <w:rFonts w:hint="eastAsia" w:ascii="宋体" w:hAnsi="宋体" w:cs="宋体"/>
          <w:sz w:val="24"/>
          <w:highlight w:val="none"/>
          <w:u w:val="single"/>
        </w:rPr>
        <w:t xml:space="preserve">                        </w:t>
      </w:r>
    </w:p>
    <w:p w14:paraId="22875CA3">
      <w:pPr>
        <w:snapToGrid w:val="0"/>
        <w:spacing w:line="360" w:lineRule="auto"/>
        <w:rPr>
          <w:rFonts w:hint="eastAsia" w:ascii="宋体" w:hAnsi="宋体" w:cs="宋体"/>
          <w:sz w:val="24"/>
          <w:highlight w:val="none"/>
        </w:rPr>
      </w:pPr>
      <w:r>
        <w:rPr>
          <w:rFonts w:hint="eastAsia" w:ascii="宋体" w:hAnsi="宋体" w:cs="宋体"/>
          <w:sz w:val="24"/>
          <w:highlight w:val="none"/>
        </w:rPr>
        <w:t>供应商（乙方）：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6D53461">
      <w:pPr>
        <w:snapToGrid w:val="0"/>
        <w:spacing w:line="36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p>
    <w:p w14:paraId="5BA1967B">
      <w:pPr>
        <w:snapToGrid w:val="0"/>
        <w:spacing w:line="360" w:lineRule="auto"/>
        <w:rPr>
          <w:rFonts w:hint="eastAsia" w:ascii="宋体" w:hAnsi="宋体" w:cs="宋体"/>
          <w:sz w:val="24"/>
          <w:highlight w:val="none"/>
          <w:u w:val="single"/>
        </w:rPr>
      </w:pPr>
      <w:r>
        <w:rPr>
          <w:rFonts w:hint="eastAsia" w:ascii="宋体" w:hAnsi="宋体" w:cs="宋体"/>
          <w:sz w:val="24"/>
          <w:highlight w:val="none"/>
        </w:rPr>
        <w:t>签订地点：</w:t>
      </w:r>
      <w:r>
        <w:rPr>
          <w:rFonts w:hint="eastAsia" w:ascii="宋体" w:hAnsi="宋体" w:cs="宋体"/>
          <w:sz w:val="24"/>
          <w:highlight w:val="none"/>
          <w:u w:val="single"/>
        </w:rPr>
        <w:t xml:space="preserve">                                </w:t>
      </w:r>
      <w:r>
        <w:rPr>
          <w:rFonts w:hint="eastAsia" w:ascii="宋体" w:hAnsi="宋体" w:cs="宋体"/>
          <w:sz w:val="24"/>
          <w:highlight w:val="none"/>
        </w:rPr>
        <w:t xml:space="preserve">  签订时间：</w:t>
      </w:r>
      <w:r>
        <w:rPr>
          <w:rFonts w:hint="eastAsia" w:ascii="宋体" w:hAnsi="宋体" w:cs="宋体"/>
          <w:sz w:val="24"/>
          <w:highlight w:val="none"/>
          <w:u w:val="single"/>
        </w:rPr>
        <w:t xml:space="preserve">                          </w:t>
      </w:r>
    </w:p>
    <w:p w14:paraId="4985FE5D">
      <w:pPr>
        <w:snapToGrid w:val="0"/>
        <w:spacing w:line="360" w:lineRule="auto"/>
        <w:rPr>
          <w:rFonts w:hint="eastAsia" w:ascii="宋体" w:hAnsi="宋体" w:cs="宋体"/>
          <w:sz w:val="24"/>
          <w:highlight w:val="none"/>
        </w:rPr>
      </w:pPr>
      <w:r>
        <w:rPr>
          <w:rFonts w:hint="eastAsia" w:ascii="宋体" w:hAnsi="宋体" w:cs="宋体"/>
          <w:sz w:val="24"/>
          <w:highlight w:val="none"/>
        </w:rPr>
        <w:t>本合同为中小企业预留合同：（是/否）</w:t>
      </w:r>
    </w:p>
    <w:p w14:paraId="17AF5A1A">
      <w:pPr>
        <w:snapToGrid w:val="0"/>
        <w:spacing w:line="360" w:lineRule="auto"/>
        <w:rPr>
          <w:rFonts w:hint="eastAsia" w:ascii="宋体" w:hAnsi="宋体" w:cs="宋体"/>
          <w:sz w:val="24"/>
          <w:highlight w:val="none"/>
        </w:rPr>
      </w:pPr>
    </w:p>
    <w:p w14:paraId="5055F6D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根据《中华人民共和国政府采购法》、《中华人民共和国民法典》等法律、法规规定，按照竞争性谈判文件规定条款和成交供应商承诺，甲乙双方签订本合同。</w:t>
      </w:r>
    </w:p>
    <w:p w14:paraId="7A9472D6">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第一条　合同标的</w:t>
      </w:r>
    </w:p>
    <w:p w14:paraId="33EB404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1.供货一览表</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692B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6AB909D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233" w:type="dxa"/>
            <w:noWrap w:val="0"/>
            <w:vAlign w:val="center"/>
          </w:tcPr>
          <w:p w14:paraId="296C358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产品名称</w:t>
            </w:r>
          </w:p>
        </w:tc>
        <w:tc>
          <w:tcPr>
            <w:tcW w:w="1059" w:type="dxa"/>
            <w:noWrap w:val="0"/>
            <w:vAlign w:val="center"/>
          </w:tcPr>
          <w:p w14:paraId="292C777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商标品牌</w:t>
            </w:r>
          </w:p>
        </w:tc>
        <w:tc>
          <w:tcPr>
            <w:tcW w:w="1233" w:type="dxa"/>
            <w:noWrap w:val="0"/>
            <w:vAlign w:val="center"/>
          </w:tcPr>
          <w:p w14:paraId="12ED9E3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规格型号</w:t>
            </w:r>
          </w:p>
        </w:tc>
        <w:tc>
          <w:tcPr>
            <w:tcW w:w="1210" w:type="dxa"/>
            <w:noWrap w:val="0"/>
            <w:vAlign w:val="center"/>
          </w:tcPr>
          <w:p w14:paraId="39531EC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生产厂家</w:t>
            </w:r>
          </w:p>
        </w:tc>
        <w:tc>
          <w:tcPr>
            <w:tcW w:w="737" w:type="dxa"/>
            <w:noWrap w:val="0"/>
            <w:vAlign w:val="center"/>
          </w:tcPr>
          <w:p w14:paraId="4E45B1D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数量</w:t>
            </w:r>
          </w:p>
        </w:tc>
        <w:tc>
          <w:tcPr>
            <w:tcW w:w="735" w:type="dxa"/>
            <w:noWrap w:val="0"/>
            <w:vAlign w:val="center"/>
          </w:tcPr>
          <w:p w14:paraId="560DC5D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单位</w:t>
            </w:r>
          </w:p>
        </w:tc>
        <w:tc>
          <w:tcPr>
            <w:tcW w:w="1095" w:type="dxa"/>
            <w:noWrap w:val="0"/>
            <w:vAlign w:val="center"/>
          </w:tcPr>
          <w:p w14:paraId="7942DF7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单价（元）</w:t>
            </w:r>
          </w:p>
        </w:tc>
        <w:tc>
          <w:tcPr>
            <w:tcW w:w="1145" w:type="dxa"/>
            <w:noWrap w:val="0"/>
            <w:vAlign w:val="center"/>
          </w:tcPr>
          <w:p w14:paraId="0DB2DC0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金额（元）</w:t>
            </w:r>
          </w:p>
        </w:tc>
      </w:tr>
      <w:tr w14:paraId="316E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6EE8713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1</w:t>
            </w:r>
          </w:p>
        </w:tc>
        <w:tc>
          <w:tcPr>
            <w:tcW w:w="1233" w:type="dxa"/>
            <w:noWrap w:val="0"/>
            <w:vAlign w:val="center"/>
          </w:tcPr>
          <w:p w14:paraId="79BB793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12D1C7A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411F1B2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3EF5742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52E2994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5F68C8F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7BE52C4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3C7A41A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7D95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378F92A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2</w:t>
            </w:r>
          </w:p>
        </w:tc>
        <w:tc>
          <w:tcPr>
            <w:tcW w:w="1233" w:type="dxa"/>
            <w:noWrap w:val="0"/>
            <w:vAlign w:val="center"/>
          </w:tcPr>
          <w:p w14:paraId="3ED32C3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1B52298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50BC27E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202ACF2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102FD18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44D5ED3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526864E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570F93C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7C7A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808E39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w:t>
            </w:r>
          </w:p>
        </w:tc>
        <w:tc>
          <w:tcPr>
            <w:tcW w:w="1233" w:type="dxa"/>
            <w:noWrap w:val="0"/>
            <w:vAlign w:val="center"/>
          </w:tcPr>
          <w:p w14:paraId="381EEBF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74AAE19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77C4913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5910D01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33569B6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4F70146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3171257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3D6085CC">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6FE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14:paraId="1C5D2AB1">
            <w:pPr>
              <w:keepNext w:val="0"/>
              <w:keepLines w:val="0"/>
              <w:suppressLineNumbers w:val="0"/>
              <w:snapToGrid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 xml:space="preserve">人民币合计金额（大写）                          （小写）                 </w:t>
            </w:r>
          </w:p>
        </w:tc>
      </w:tr>
    </w:tbl>
    <w:p w14:paraId="71B44BDA">
      <w:pPr>
        <w:snapToGrid w:val="0"/>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1A79D23B">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第二条　质量要求</w:t>
      </w:r>
    </w:p>
    <w:p w14:paraId="7094175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48DB3FBB">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2.乙方所提供的货物必须是全新、未使用的原装产品，且在正常安装、使用和保养条件下，其使用寿命期内各项指标均达到竞争性谈判文件规定或者响应文件承诺的质量要求。</w:t>
      </w:r>
    </w:p>
    <w:p w14:paraId="1221FC81">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第三条　权利保证</w:t>
      </w:r>
    </w:p>
    <w:p w14:paraId="64F28F0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1.乙方应保证所提供货物在使用时不会侵犯任何第三方的专利权、商标权、工业设计权或者其他权利。</w:t>
      </w:r>
    </w:p>
    <w:p w14:paraId="11325E4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2.乙方应按竞争性谈判文件规定或者响应文件承诺的时间向甲方提供使用货物的有关技术资料。</w:t>
      </w:r>
    </w:p>
    <w:p w14:paraId="4A4026B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13E4BB9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4.乙方保证将要交付的货物的所有权完全属于乙方且无任何抵押、质押、查封等产权瑕疵。</w:t>
      </w:r>
    </w:p>
    <w:p w14:paraId="2C66AB24">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第四条　包装和运输</w:t>
      </w:r>
    </w:p>
    <w:p w14:paraId="0CAF234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1.乙方提供的货物均应按竞争性谈判文件规定或者响应文件承诺的要求的包装材料、包装标准、包装方式进行包装，每一包装单元内应附详细的装箱单和质量合格证。</w:t>
      </w:r>
    </w:p>
    <w:p w14:paraId="35A95CF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2.货物的运输方式：</w:t>
      </w:r>
      <w:r>
        <w:rPr>
          <w:rFonts w:hint="eastAsia" w:ascii="宋体" w:hAnsi="宋体" w:cs="宋体"/>
          <w:sz w:val="24"/>
          <w:highlight w:val="none"/>
          <w:u w:val="single"/>
        </w:rPr>
        <w:t xml:space="preserve">  满足本次采购运输需求    </w:t>
      </w:r>
      <w:r>
        <w:rPr>
          <w:rFonts w:hint="eastAsia" w:ascii="宋体" w:hAnsi="宋体" w:cs="宋体"/>
          <w:sz w:val="24"/>
          <w:highlight w:val="none"/>
        </w:rPr>
        <w:t>。</w:t>
      </w:r>
    </w:p>
    <w:p w14:paraId="3138A114">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3.乙方负责货物运输，货物运输合理损耗及计算方法：</w:t>
      </w:r>
      <w:r>
        <w:rPr>
          <w:rFonts w:hint="eastAsia" w:ascii="宋体" w:hAnsi="宋体" w:cs="宋体"/>
          <w:sz w:val="24"/>
          <w:highlight w:val="none"/>
          <w:u w:val="single"/>
        </w:rPr>
        <w:t xml:space="preserve"> 无     </w:t>
      </w:r>
      <w:r>
        <w:rPr>
          <w:rFonts w:hint="eastAsia" w:ascii="宋体" w:hAnsi="宋体" w:cs="宋体"/>
          <w:sz w:val="24"/>
          <w:highlight w:val="none"/>
        </w:rPr>
        <w:t>。</w:t>
      </w:r>
    </w:p>
    <w:p w14:paraId="6A00D7B9">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第五条　交付和验收</w:t>
      </w:r>
    </w:p>
    <w:p w14:paraId="6D30B7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1.交付时间：</w:t>
      </w:r>
      <w:r>
        <w:rPr>
          <w:rFonts w:hint="eastAsia" w:ascii="宋体" w:hAnsi="宋体" w:cs="宋体"/>
          <w:sz w:val="24"/>
          <w:highlight w:val="none"/>
          <w:u w:val="single"/>
        </w:rPr>
        <w:t xml:space="preserve"> 按采购文件和响应文件规定的时间 </w:t>
      </w:r>
      <w:r>
        <w:rPr>
          <w:rFonts w:hint="eastAsia" w:ascii="宋体" w:hAnsi="宋体" w:cs="宋体"/>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采购人指定的地点</w:t>
      </w:r>
      <w:r>
        <w:rPr>
          <w:rFonts w:hint="eastAsia" w:ascii="宋体" w:hAnsi="宋体" w:cs="宋体"/>
          <w:color w:val="auto"/>
          <w:sz w:val="24"/>
          <w:highlight w:val="none"/>
        </w:rPr>
        <w:t>。</w:t>
      </w:r>
    </w:p>
    <w:p w14:paraId="314627A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2.乙方提供不符合竞争性谈判文件规定或者响应文件承诺的和本合同规定的货物，甲方有权拒绝接受。</w:t>
      </w:r>
    </w:p>
    <w:p w14:paraId="2A07EA6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837BA4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4.甲方应当在到货（安装、调试完）后七个工作日内进行验收，逾期不验收的，乙方可视同验收合格。验收合格后由甲乙双方签署货物验收单并加盖甲方公章，甲乙双方各执一份。</w:t>
      </w:r>
    </w:p>
    <w:p w14:paraId="3D11F46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5749B5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6.甲方对验收有异议的，在验收后五个工作日内以书面形式向乙方提出，乙方应自收到甲方书面异议后</w:t>
      </w:r>
      <w:r>
        <w:rPr>
          <w:rFonts w:hint="eastAsia" w:ascii="宋体" w:hAnsi="宋体" w:cs="宋体"/>
          <w:sz w:val="24"/>
          <w:highlight w:val="none"/>
          <w:u w:val="single"/>
        </w:rPr>
        <w:t xml:space="preserve"> 15</w:t>
      </w:r>
      <w:r>
        <w:rPr>
          <w:rFonts w:hint="eastAsia" w:ascii="宋体" w:hAnsi="宋体" w:cs="宋体"/>
          <w:sz w:val="24"/>
          <w:highlight w:val="none"/>
        </w:rPr>
        <w:t>日内及时予以解决。</w:t>
      </w:r>
    </w:p>
    <w:p w14:paraId="4A9D7EFA">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第六条　安装和培训</w:t>
      </w:r>
    </w:p>
    <w:p w14:paraId="066D2AA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1.甲方应提供必要安装条件（如场地、电源、水源等）。</w:t>
      </w:r>
    </w:p>
    <w:p w14:paraId="72370865">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2.乙方响应文件承诺负责甲方有关人员的培训。培训时间、地点：</w:t>
      </w:r>
      <w:r>
        <w:rPr>
          <w:rFonts w:hint="eastAsia" w:ascii="宋体" w:hAnsi="宋体" w:cs="宋体"/>
          <w:sz w:val="24"/>
          <w:highlight w:val="none"/>
          <w:u w:val="single"/>
        </w:rPr>
        <w:t xml:space="preserve"> 采购人指定地点   </w:t>
      </w:r>
      <w:r>
        <w:rPr>
          <w:rFonts w:hint="eastAsia" w:ascii="宋体" w:hAnsi="宋体" w:cs="宋体"/>
          <w:sz w:val="24"/>
          <w:highlight w:val="none"/>
        </w:rPr>
        <w:t>。</w:t>
      </w:r>
    </w:p>
    <w:p w14:paraId="4F2013F3">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第七条  售后服务、质保期</w:t>
      </w:r>
    </w:p>
    <w:p w14:paraId="4E8CE4A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1.乙方应按照国家有关法律法规和“三包”规定以及本合同所附的《服务承诺》，为甲方提供售后服务。</w:t>
      </w:r>
    </w:p>
    <w:p w14:paraId="3616DAF6">
      <w:pPr>
        <w:snapToGrid w:val="0"/>
        <w:spacing w:line="360" w:lineRule="auto"/>
        <w:ind w:firstLine="480" w:firstLineChars="200"/>
        <w:rPr>
          <w:rFonts w:hint="eastAsia" w:ascii="宋体" w:hAnsi="宋体" w:cs="宋体"/>
          <w:color w:val="auto"/>
          <w:sz w:val="21"/>
          <w:szCs w:val="21"/>
          <w:highlight w:val="non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lang w:val="en-US" w:eastAsia="zh-CN"/>
        </w:rPr>
        <w:t>3年</w:t>
      </w:r>
      <w:r>
        <w:rPr>
          <w:rFonts w:hint="eastAsia" w:ascii="宋体" w:hAnsi="宋体" w:cs="宋体"/>
          <w:color w:val="auto"/>
          <w:sz w:val="24"/>
          <w:highlight w:val="none"/>
        </w:rPr>
        <w:t>（自提交成果并终验合格之日起计）如采购需求中有另行要求的，按采购需求中的要求执行。按国家有关产品“三包”规定执行“三包”。</w:t>
      </w:r>
    </w:p>
    <w:p w14:paraId="3DC194FB">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3.乙方提供的服务承诺和售后服务及保修期责任等其它具体约定事项。（见合同附件）</w:t>
      </w:r>
    </w:p>
    <w:p w14:paraId="11F8D878">
      <w:pPr>
        <w:snapToGrid w:val="0"/>
        <w:spacing w:line="360" w:lineRule="auto"/>
        <w:ind w:firstLine="482" w:firstLineChars="200"/>
        <w:rPr>
          <w:rFonts w:hint="default" w:ascii="宋体" w:hAnsi="宋体" w:eastAsia="宋体" w:cs="宋体"/>
          <w:b/>
          <w:color w:val="auto"/>
          <w:sz w:val="24"/>
          <w:highlight w:val="none"/>
          <w:shd w:val="clear" w:color="auto" w:fill="auto"/>
          <w:lang w:val="en-US" w:eastAsia="zh-CN"/>
        </w:rPr>
      </w:pPr>
      <w:r>
        <w:rPr>
          <w:rFonts w:hint="eastAsia" w:ascii="宋体" w:hAnsi="宋体" w:cs="宋体"/>
          <w:b/>
          <w:color w:val="auto"/>
          <w:sz w:val="24"/>
          <w:highlight w:val="none"/>
          <w:shd w:val="clear" w:color="auto" w:fill="auto"/>
        </w:rPr>
        <w:t>第八条　付款方式</w:t>
      </w:r>
    </w:p>
    <w:p w14:paraId="57A0FE35">
      <w:pPr>
        <w:snapToGrid w:val="0"/>
        <w:spacing w:line="360" w:lineRule="auto"/>
        <w:ind w:left="-61" w:leftChars="-29" w:firstLine="588" w:firstLineChars="245"/>
        <w:rPr>
          <w:rFonts w:hint="eastAsia" w:ascii="宋体" w:hAnsi="宋体" w:cs="宋体"/>
          <w:b/>
          <w:sz w:val="24"/>
          <w:szCs w:val="24"/>
          <w:highlight w:val="none"/>
        </w:rPr>
      </w:pPr>
      <w:r>
        <w:rPr>
          <w:rFonts w:hint="eastAsia" w:ascii="宋体" w:hAnsi="宋体" w:eastAsia="宋体" w:cs="宋体"/>
          <w:color w:val="auto"/>
          <w:sz w:val="24"/>
          <w:szCs w:val="24"/>
          <w:highlight w:val="none"/>
        </w:rPr>
        <w:t>本项目无预付款，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交货完毕并验收合格后，一次性支付合同款。</w:t>
      </w:r>
    </w:p>
    <w:p w14:paraId="0E554C40">
      <w:pPr>
        <w:snapToGrid w:val="0"/>
        <w:spacing w:line="360" w:lineRule="auto"/>
        <w:ind w:left="-61" w:leftChars="-29" w:firstLine="590" w:firstLineChars="245"/>
        <w:rPr>
          <w:rFonts w:ascii="宋体" w:hAnsi="宋体" w:cs="宋体"/>
          <w:color w:val="FF0000"/>
          <w:sz w:val="24"/>
          <w:highlight w:val="none"/>
        </w:rPr>
      </w:pPr>
      <w:r>
        <w:rPr>
          <w:rFonts w:hint="eastAsia" w:ascii="宋体" w:hAnsi="宋体" w:cs="宋体"/>
          <w:b/>
          <w:sz w:val="24"/>
          <w:highlight w:val="none"/>
        </w:rPr>
        <w:t>第九条　履约保证金：无</w:t>
      </w:r>
    </w:p>
    <w:p w14:paraId="474B7EED">
      <w:pPr>
        <w:snapToGrid w:val="0"/>
        <w:spacing w:line="360" w:lineRule="auto"/>
        <w:ind w:left="-61" w:firstLine="514"/>
        <w:rPr>
          <w:rFonts w:hint="eastAsia" w:ascii="宋体" w:hAnsi="宋体" w:cs="宋体"/>
          <w:b/>
          <w:sz w:val="24"/>
          <w:highlight w:val="none"/>
        </w:rPr>
      </w:pPr>
      <w:r>
        <w:rPr>
          <w:rFonts w:hint="eastAsia" w:ascii="宋体" w:hAnsi="宋体" w:cs="宋体"/>
          <w:b/>
          <w:sz w:val="24"/>
          <w:highlight w:val="none"/>
        </w:rPr>
        <w:t>第十条  税费</w:t>
      </w:r>
    </w:p>
    <w:p w14:paraId="5C9457C2">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本合同执行中相关的一切税费均由乙方负担，合同另有约定的除外。</w:t>
      </w:r>
    </w:p>
    <w:p w14:paraId="6060F88C">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第十一条  质量保证及售后服务</w:t>
      </w:r>
    </w:p>
    <w:p w14:paraId="45541B40">
      <w:pPr>
        <w:pStyle w:val="14"/>
        <w:snapToGrid w:val="0"/>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1.</w:t>
      </w:r>
      <w:r>
        <w:rPr>
          <w:rFonts w:hint="eastAsia" w:hAnsi="宋体" w:cs="宋体"/>
          <w:sz w:val="24"/>
          <w:szCs w:val="24"/>
          <w:highlight w:val="none"/>
        </w:rPr>
        <w:t>乙方应按竞争性谈判文件规定的产品名称、商标品牌、生产厂家、规格型号、技术参数、质量标准向甲方提供未经使用的全新产品。不符合要求的，根据实际情况，经双方协商，可按以下办法处理：</w:t>
      </w:r>
    </w:p>
    <w:p w14:paraId="63FC0C46">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⑴更换：由乙方承担所发生的全部费用。</w:t>
      </w:r>
    </w:p>
    <w:p w14:paraId="42903939">
      <w:pPr>
        <w:pStyle w:val="14"/>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⑵贬值处理：由甲乙双方合议定价。</w:t>
      </w:r>
    </w:p>
    <w:p w14:paraId="42F86E13">
      <w:pPr>
        <w:pStyle w:val="14"/>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⑶退货处理：乙方应退还甲方支付的合同款，同时应承担该货物的直接费用（运输、保险、检验、货款利息及银行手续费等）。</w:t>
      </w:r>
    </w:p>
    <w:p w14:paraId="02C89E85">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2.如在使用过程中发生质量问题，乙方在接到甲方通知后到达甲方现场处理的时间（</w:t>
      </w:r>
      <w:r>
        <w:rPr>
          <w:rFonts w:hint="eastAsia" w:hAnsi="宋体" w:cs="宋体"/>
          <w:sz w:val="24"/>
          <w:szCs w:val="24"/>
          <w:highlight w:val="none"/>
          <w:u w:val="single"/>
        </w:rPr>
        <w:t>按响应文件承诺的数据填写</w:t>
      </w:r>
      <w:r>
        <w:rPr>
          <w:rFonts w:hint="eastAsia" w:hAnsi="宋体" w:cs="宋体"/>
          <w:sz w:val="24"/>
          <w:szCs w:val="24"/>
          <w:highlight w:val="none"/>
        </w:rPr>
        <w:t>）小时内。</w:t>
      </w:r>
    </w:p>
    <w:p w14:paraId="01A97D6F">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3.在质保期内，乙方应对货物出现的质量及安全问题负责处理解决并承担一切费用。</w:t>
      </w:r>
    </w:p>
    <w:p w14:paraId="5B8ECA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color w:val="auto"/>
          <w:sz w:val="24"/>
          <w:highlight w:val="none"/>
        </w:rPr>
        <w:t>.上述的货物质保期为</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年，</w:t>
      </w:r>
      <w:r>
        <w:rPr>
          <w:rFonts w:hint="eastAsia" w:ascii="宋体" w:hAnsi="宋体" w:cs="宋体"/>
          <w:sz w:val="24"/>
          <w:highlight w:val="none"/>
        </w:rPr>
        <w:t>因人为因素出现的故障不在免费保修范围内。超过保修期的机器设备，终生维修，维修时只收部件成本费。</w:t>
      </w:r>
    </w:p>
    <w:p w14:paraId="091CCCA1">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第十二条  调试和验收（本条款适用于甲方自行验收，委托第三方验收的另行规定）</w:t>
      </w:r>
    </w:p>
    <w:p w14:paraId="374F1BF8">
      <w:pPr>
        <w:pStyle w:val="14"/>
        <w:snapToGrid w:val="0"/>
        <w:spacing w:line="360" w:lineRule="auto"/>
        <w:ind w:firstLine="480" w:firstLineChars="200"/>
        <w:jc w:val="left"/>
        <w:rPr>
          <w:rFonts w:hint="eastAsia" w:hAnsi="宋体" w:cs="宋体"/>
          <w:sz w:val="24"/>
          <w:szCs w:val="24"/>
          <w:highlight w:val="none"/>
        </w:rPr>
      </w:pPr>
      <w:bookmarkStart w:id="81" w:name="OLE_LINK8"/>
      <w:r>
        <w:rPr>
          <w:rFonts w:hint="eastAsia" w:hAnsi="宋体" w:cs="宋体"/>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67E4E05A">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2.乙方交货前应对产品作出全面检查和对验收文件进行整理，并列出清单，作为甲方收货验收和使用的技术条件依据，检验的结果应随货物交甲方。</w:t>
      </w:r>
    </w:p>
    <w:p w14:paraId="69510892">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3.甲方对乙方提供的货物在使用前进行调试时，乙方需负责安装并培训甲方的使用操作人员，并协助甲方一起调试，直到符合技术要求，甲方才做最终验收。</w:t>
      </w:r>
    </w:p>
    <w:p w14:paraId="52AA430F">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4.对技术复杂的货物，甲方应请国家认可的专业检测机构参与初步验收及最终验收，并由其出具质量检测报告。</w:t>
      </w:r>
    </w:p>
    <w:p w14:paraId="18F3CB85">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5.验收时乙方必须在现场，验收完毕后作出验收结果报告；验收费用按竞争性谈判文件约定承担方负责。</w:t>
      </w:r>
    </w:p>
    <w:bookmarkEnd w:id="81"/>
    <w:p w14:paraId="15F1F253">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第十三条  货物包装、发运及运输</w:t>
      </w:r>
    </w:p>
    <w:p w14:paraId="4B302B72">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1.乙方应在货物发运前对其进行满足运输距离、防潮、防震、防锈和防破损装卸等要求包装，以保证货物安全运达甲方指定地点。</w:t>
      </w:r>
    </w:p>
    <w:p w14:paraId="084E00F5">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2.使用说明书（货物属于进口产品的，供货时应同时附上中文使用说明书）、质量检验证明书、随配附件和工具以及清单一并附于货物内。</w:t>
      </w:r>
    </w:p>
    <w:p w14:paraId="51A0337E">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3.乙方在货物发运手续办理完毕后二十四小时内或者货到甲方四十八小时前通知甲方，以准备接货。</w:t>
      </w:r>
    </w:p>
    <w:p w14:paraId="46F3B799">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4.货物在交付甲方前发生的风险均由乙方负责。</w:t>
      </w:r>
    </w:p>
    <w:p w14:paraId="20A04253">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5.货物在规定的交付期限内由乙方送达甲方指定的地点视为交付，乙方同时需通知甲方货物已送达。</w:t>
      </w:r>
    </w:p>
    <w:p w14:paraId="06908069">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第十四条　违约责任</w:t>
      </w:r>
    </w:p>
    <w:p w14:paraId="6199DFA9">
      <w:pPr>
        <w:keepNext w:val="0"/>
        <w:keepLines w:val="0"/>
        <w:pageBreakBefore w:val="0"/>
        <w:widowControl w:val="0"/>
        <w:kinsoku/>
        <w:wordWrap/>
        <w:overflowPunct/>
        <w:topLinePunct w:val="0"/>
        <w:autoSpaceDE/>
        <w:autoSpaceDN/>
        <w:bidi w:val="0"/>
        <w:adjustRightInd/>
        <w:spacing w:line="380" w:lineRule="exact"/>
        <w:ind w:left="430" w:leftChars="200" w:right="111" w:rightChars="53" w:hanging="1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乙方所提供的服务质量不合格的，应及时更换，更换不及时的按逾期处罚，乙方应向甲方支付合同金额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违约金并赔偿甲方经济损失。</w:t>
      </w:r>
    </w:p>
    <w:p w14:paraId="0DA5CFEE">
      <w:pPr>
        <w:keepNext w:val="0"/>
        <w:keepLines w:val="0"/>
        <w:pageBreakBefore w:val="0"/>
        <w:widowControl w:val="0"/>
        <w:kinsoku/>
        <w:wordWrap/>
        <w:overflowPunct/>
        <w:topLinePunct w:val="0"/>
        <w:autoSpaceDE/>
        <w:autoSpaceDN/>
        <w:bidi w:val="0"/>
        <w:adjustRightInd/>
        <w:spacing w:line="38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乙方提供的服务如果侵犯了第三方合法权益而引发的任何纠纷或诉讼，均由乙方负责交涉并承担全部责任。</w:t>
      </w:r>
    </w:p>
    <w:p w14:paraId="767A6474">
      <w:pPr>
        <w:keepNext w:val="0"/>
        <w:keepLines w:val="0"/>
        <w:pageBreakBefore w:val="0"/>
        <w:widowControl w:val="0"/>
        <w:kinsoku/>
        <w:wordWrap/>
        <w:overflowPunct/>
        <w:topLinePunct w:val="0"/>
        <w:autoSpaceDE/>
        <w:autoSpaceDN/>
        <w:bidi w:val="0"/>
        <w:adjustRightInd/>
        <w:spacing w:line="380" w:lineRule="exact"/>
        <w:ind w:left="210" w:leftChars="100" w:firstLine="230" w:firstLineChars="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方无故延期服务交付的，每天向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方偿付违约合同金额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违约金，但违约金累计不得超过合同金额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方有权解除合同，违约方承担因此给对方造成经济损失；甲方不能按期付款的，每天向乙方偿付延合同金额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滞纳金，但滞纳金累计不得超过合同金额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7E499C9">
      <w:pPr>
        <w:keepNext w:val="0"/>
        <w:keepLines w:val="0"/>
        <w:pageBreakBefore w:val="0"/>
        <w:widowControl w:val="0"/>
        <w:kinsoku/>
        <w:wordWrap/>
        <w:overflowPunct/>
        <w:topLinePunct w:val="0"/>
        <w:autoSpaceDE/>
        <w:autoSpaceDN/>
        <w:bidi w:val="0"/>
        <w:adjustRightInd/>
        <w:spacing w:line="38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乙方未按本合同和投标文件中规定的服务承诺提供服务的，乙方应按本合同合同金额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向甲方支付违约金。</w:t>
      </w:r>
    </w:p>
    <w:p w14:paraId="248B71B8">
      <w:pPr>
        <w:keepNext w:val="0"/>
        <w:keepLines w:val="0"/>
        <w:pageBreakBefore w:val="0"/>
        <w:widowControl w:val="0"/>
        <w:kinsoku/>
        <w:wordWrap/>
        <w:overflowPunct/>
        <w:topLinePunct w:val="0"/>
        <w:autoSpaceDE/>
        <w:autoSpaceDN/>
        <w:bidi w:val="0"/>
        <w:adjustRightInd/>
        <w:spacing w:line="380" w:lineRule="exact"/>
        <w:ind w:firstLine="470" w:firstLineChars="196"/>
        <w:textAlignment w:val="auto"/>
        <w:rPr>
          <w:rFonts w:hint="eastAsia" w:hAnsi="宋体" w:cs="宋体"/>
          <w:b/>
          <w:sz w:val="24"/>
          <w:szCs w:val="24"/>
          <w:highlight w:val="none"/>
        </w:rPr>
      </w:pPr>
      <w:r>
        <w:rPr>
          <w:rFonts w:hint="eastAsia" w:ascii="宋体" w:hAnsi="宋体" w:eastAsia="宋体" w:cs="宋体"/>
          <w:color w:val="auto"/>
          <w:sz w:val="24"/>
          <w:szCs w:val="24"/>
          <w:highlight w:val="none"/>
        </w:rPr>
        <w:t>5. 其他违约行为按照合同金额额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收取违约金并赔偿经济损失。</w:t>
      </w:r>
    </w:p>
    <w:p w14:paraId="172E8DB4">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第十五条  不可抗力事件处理</w:t>
      </w:r>
    </w:p>
    <w:p w14:paraId="7828E9E6">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1.在合同有效期内，任何一方因不可抗力事件导致不能履行合同，则合同履行期可延长，其延长期与不可抗力影响期相同。</w:t>
      </w:r>
    </w:p>
    <w:p w14:paraId="7B0A61AF">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2.不可抗力事件发生后，应立即通知对方，并寄送有关权威机构出具的证明。</w:t>
      </w:r>
    </w:p>
    <w:p w14:paraId="435DE72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3.不可抗力事件延续一百二十天以上，双方应通过友好协商，确定是否继续履行合同。</w:t>
      </w:r>
    </w:p>
    <w:p w14:paraId="303A49EA">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第十六条  合同争议解决</w:t>
      </w:r>
    </w:p>
    <w:p w14:paraId="197AEE6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1.因货物质量问题发生争议的，应邀请国家认可的质量检测机构对货物质量进行鉴定。货物符合标准的，鉴定费由甲方承担；货物不符合标准的，鉴定费由乙方承担。</w:t>
      </w:r>
    </w:p>
    <w:p w14:paraId="239AF78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2.因履行本合同引起的或者与本合同有关的争议，甲乙双方应首先通过友好协商解决，如果协商不能解决，可向甲方所在地人民法院提起诉讼。</w:t>
      </w:r>
    </w:p>
    <w:p w14:paraId="388E24D3">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3.诉讼期间，本合同继续履行。</w:t>
      </w:r>
    </w:p>
    <w:p w14:paraId="104150D1">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第十七条  合同生效及其它</w:t>
      </w:r>
    </w:p>
    <w:p w14:paraId="1CC05562">
      <w:pPr>
        <w:pStyle w:val="14"/>
        <w:snapToGrid w:val="0"/>
        <w:spacing w:line="360" w:lineRule="auto"/>
        <w:ind w:firstLine="480" w:firstLineChars="200"/>
        <w:rPr>
          <w:rFonts w:hint="eastAsia" w:hAnsi="宋体" w:cs="宋体"/>
          <w:b w:val="0"/>
          <w:bCs/>
          <w:sz w:val="24"/>
          <w:szCs w:val="24"/>
          <w:highlight w:val="none"/>
        </w:rPr>
      </w:pPr>
      <w:r>
        <w:rPr>
          <w:rFonts w:hint="eastAsia" w:hAnsi="宋体" w:cs="宋体"/>
          <w:b w:val="0"/>
          <w:bCs/>
          <w:sz w:val="24"/>
          <w:szCs w:val="24"/>
          <w:highlight w:val="none"/>
        </w:rPr>
        <w:t>1. 合同经双方法定代表人或者委托代理人签字并加盖单位公章后生效（委托代理人签字的需后附法定代表人授权委托书，格式自拟）。</w:t>
      </w:r>
    </w:p>
    <w:p w14:paraId="6CAB1830">
      <w:pPr>
        <w:pStyle w:val="14"/>
        <w:snapToGrid w:val="0"/>
        <w:spacing w:line="360" w:lineRule="auto"/>
        <w:ind w:firstLine="480" w:firstLineChars="200"/>
        <w:rPr>
          <w:rFonts w:hint="eastAsia" w:hAnsi="宋体" w:cs="宋体"/>
          <w:b w:val="0"/>
          <w:bCs/>
          <w:sz w:val="24"/>
          <w:szCs w:val="24"/>
          <w:highlight w:val="none"/>
        </w:rPr>
      </w:pPr>
      <w:r>
        <w:rPr>
          <w:rFonts w:hint="eastAsia" w:hAnsi="宋体" w:cs="宋体"/>
          <w:b w:val="0"/>
          <w:bCs/>
          <w:sz w:val="24"/>
          <w:szCs w:val="24"/>
          <w:highlight w:val="none"/>
        </w:rPr>
        <w:t>2.合同执行中涉及采购资金和采购内容修改或者补充的，须经财政部门审批，并签书面补充协议报财政部门备案，方可作为主合同不可分割的一部分。</w:t>
      </w:r>
    </w:p>
    <w:p w14:paraId="251FAC27">
      <w:pPr>
        <w:pStyle w:val="14"/>
        <w:snapToGrid w:val="0"/>
        <w:spacing w:line="360" w:lineRule="auto"/>
        <w:ind w:left="283" w:leftChars="135" w:firstLine="143"/>
        <w:rPr>
          <w:rFonts w:hint="eastAsia" w:hAnsi="宋体" w:cs="宋体"/>
          <w:b w:val="0"/>
          <w:bCs/>
          <w:sz w:val="24"/>
          <w:szCs w:val="24"/>
          <w:highlight w:val="none"/>
        </w:rPr>
      </w:pPr>
      <w:r>
        <w:rPr>
          <w:rFonts w:hint="eastAsia" w:hAnsi="宋体" w:cs="宋体"/>
          <w:b w:val="0"/>
          <w:bCs/>
          <w:sz w:val="24"/>
          <w:szCs w:val="24"/>
          <w:highlight w:val="none"/>
        </w:rPr>
        <w:t>3.本合同未尽事宜，遵照《中华人民共和国民法典》有关条文执行。</w:t>
      </w:r>
    </w:p>
    <w:p w14:paraId="63F303CD">
      <w:pPr>
        <w:snapToGrid w:val="0"/>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第十八条　合同的变更、终止与转让</w:t>
      </w:r>
    </w:p>
    <w:p w14:paraId="099DFCE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1.除《中华人民共和国政府采购法》第五十条规定的情形外，本合同一经签订，甲乙双方不得擅自变更、中止或者终止。</w:t>
      </w:r>
    </w:p>
    <w:p w14:paraId="12344151">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2.乙方不得擅自转让（无进口资格的供应商委托进口货物除外）其应履行的合同义务。</w:t>
      </w:r>
    </w:p>
    <w:p w14:paraId="6C8BE0EA">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第十九条　</w:t>
      </w:r>
      <w:r>
        <w:rPr>
          <w:rFonts w:hint="eastAsia" w:ascii="宋体" w:hAnsi="宋体" w:cs="宋体"/>
          <w:b/>
          <w:bCs/>
          <w:kern w:val="0"/>
          <w:sz w:val="24"/>
          <w:highlight w:val="none"/>
        </w:rPr>
        <w:t>本合同书与下列文件一起构成合同文件</w:t>
      </w:r>
    </w:p>
    <w:p w14:paraId="494E5E69">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1.成交通知书；</w:t>
      </w:r>
    </w:p>
    <w:p w14:paraId="30EEA61D">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2.竞标声明书；</w:t>
      </w:r>
    </w:p>
    <w:p w14:paraId="2CE88D0A">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3.商务条款偏离表和技术需求偏离表；</w:t>
      </w:r>
    </w:p>
    <w:p w14:paraId="1D981978">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4.采购需求；</w:t>
      </w:r>
    </w:p>
    <w:p w14:paraId="0E293F27">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5.竞标报价表；</w:t>
      </w:r>
    </w:p>
    <w:p w14:paraId="1AE03B6E">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6.其他合同文件。</w:t>
      </w:r>
    </w:p>
    <w:p w14:paraId="21E0FF52">
      <w:pPr>
        <w:pStyle w:val="14"/>
        <w:snapToGrid w:val="0"/>
        <w:spacing w:line="360" w:lineRule="auto"/>
        <w:ind w:firstLine="424" w:firstLineChars="177"/>
        <w:rPr>
          <w:rFonts w:hint="eastAsia" w:hAnsi="宋体" w:cs="宋体"/>
          <w:b/>
          <w:sz w:val="24"/>
          <w:szCs w:val="24"/>
          <w:highlight w:val="none"/>
        </w:rPr>
      </w:pPr>
      <w:r>
        <w:rPr>
          <w:rFonts w:hint="eastAsia" w:hAnsi="宋体" w:cs="宋体"/>
          <w:sz w:val="24"/>
          <w:szCs w:val="24"/>
          <w:highlight w:val="none"/>
        </w:rPr>
        <w:t>7.上述合同文件互相补充和解释。如果合同文件之间存在矛盾或者不一致之处，以上述文件的排列顺序在先者为准。</w:t>
      </w:r>
    </w:p>
    <w:p w14:paraId="3E3211ED">
      <w:pPr>
        <w:snapToGrid w:val="0"/>
        <w:spacing w:line="360" w:lineRule="auto"/>
        <w:ind w:firstLine="482" w:firstLineChars="200"/>
        <w:rPr>
          <w:rFonts w:hint="eastAsia" w:ascii="宋体" w:hAnsi="宋体" w:cs="宋体"/>
          <w:kern w:val="0"/>
          <w:sz w:val="24"/>
          <w:highlight w:val="none"/>
        </w:rPr>
      </w:pPr>
      <w:r>
        <w:rPr>
          <w:rFonts w:hint="eastAsia" w:ascii="宋体" w:hAnsi="宋体" w:cs="宋体"/>
          <w:b/>
          <w:sz w:val="24"/>
          <w:highlight w:val="none"/>
        </w:rPr>
        <w:t>第二十条　</w:t>
      </w:r>
      <w:r>
        <w:rPr>
          <w:rFonts w:hint="eastAsia" w:ascii="宋体" w:hAnsi="宋体" w:cs="宋体"/>
          <w:kern w:val="0"/>
          <w:sz w:val="24"/>
          <w:highlight w:val="none"/>
        </w:rPr>
        <w:t>本合同一式四份，具有同等法律效力，财政部门（政府采购监管部门）、采购代理机构各一份，甲乙双方各一份（可根据需要另增加）。</w:t>
      </w:r>
    </w:p>
    <w:p w14:paraId="2022991C">
      <w:pPr>
        <w:snapToGrid w:val="0"/>
        <w:spacing w:line="360" w:lineRule="auto"/>
        <w:ind w:left="-61" w:firstLine="514"/>
        <w:rPr>
          <w:rFonts w:hint="eastAsia" w:ascii="宋体" w:hAnsi="宋体" w:cs="宋体"/>
          <w:kern w:val="0"/>
          <w:sz w:val="24"/>
          <w:highlight w:val="none"/>
        </w:rPr>
      </w:pPr>
      <w:r>
        <w:rPr>
          <w:rFonts w:hint="eastAsia" w:ascii="宋体" w:hAnsi="宋体" w:cs="宋体"/>
          <w:kern w:val="0"/>
          <w:sz w:val="24"/>
          <w:highlight w:val="none"/>
        </w:rPr>
        <w:t>本合同甲乙双方签字盖章后生效，自签订之日起七个工作日内，甲方应当将合同副本报同级财政部门备案。</w:t>
      </w:r>
    </w:p>
    <w:p w14:paraId="58FCB66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本合同自签订之日起2个工作日内，甲方应当将采购合同在广西壮族自治区财政厅指定的媒体上公告。</w:t>
      </w:r>
    </w:p>
    <w:p w14:paraId="2DFD2A64">
      <w:pPr>
        <w:snapToGrid w:val="0"/>
        <w:spacing w:line="360" w:lineRule="auto"/>
        <w:rPr>
          <w:rFonts w:hint="eastAsia" w:ascii="宋体" w:hAnsi="宋体" w:cs="宋体"/>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E91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38FDF6E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甲方（章）           </w:t>
            </w:r>
          </w:p>
          <w:p w14:paraId="0CBECD9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14:paraId="3B7CE17A">
            <w:pPr>
              <w:keepNext w:val="0"/>
              <w:keepLines w:val="0"/>
              <w:suppressLineNumbers w:val="0"/>
              <w:snapToGrid w:val="0"/>
              <w:spacing w:before="0" w:beforeAutospacing="0" w:after="0" w:afterAutospacing="0" w:line="360" w:lineRule="auto"/>
              <w:ind w:left="0" w:right="0" w:firstLine="1080" w:firstLineChars="450"/>
              <w:jc w:val="right"/>
              <w:rPr>
                <w:rFonts w:hint="eastAsia" w:ascii="宋体" w:hAnsi="宋体" w:cs="Times New Roman"/>
                <w:sz w:val="24"/>
                <w:highlight w:val="none"/>
              </w:rPr>
            </w:pPr>
            <w:r>
              <w:rPr>
                <w:rFonts w:hint="eastAsia" w:ascii="宋体" w:hAnsi="宋体" w:cs="Times New Roman"/>
                <w:sz w:val="24"/>
                <w:highlight w:val="none"/>
              </w:rPr>
              <w:t>年   月   日</w:t>
            </w:r>
          </w:p>
        </w:tc>
        <w:tc>
          <w:tcPr>
            <w:tcW w:w="4517" w:type="dxa"/>
            <w:noWrap w:val="0"/>
            <w:vAlign w:val="center"/>
          </w:tcPr>
          <w:p w14:paraId="6ADDD1D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乙方（章）              </w:t>
            </w:r>
          </w:p>
          <w:p w14:paraId="6ABE7D97">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14:paraId="416A7269">
            <w:pPr>
              <w:keepNext w:val="0"/>
              <w:keepLines w:val="0"/>
              <w:suppressLineNumbers w:val="0"/>
              <w:snapToGrid w:val="0"/>
              <w:spacing w:before="0" w:beforeAutospacing="0" w:after="0" w:afterAutospacing="0" w:line="360" w:lineRule="auto"/>
              <w:ind w:left="0" w:right="0"/>
              <w:jc w:val="right"/>
              <w:rPr>
                <w:rFonts w:hint="eastAsia" w:ascii="宋体" w:hAnsi="宋体" w:cs="Times New Roman"/>
                <w:sz w:val="24"/>
                <w:highlight w:val="none"/>
              </w:rPr>
            </w:pPr>
            <w:r>
              <w:rPr>
                <w:rFonts w:hint="eastAsia" w:ascii="宋体" w:hAnsi="宋体" w:cs="Times New Roman"/>
                <w:sz w:val="24"/>
                <w:highlight w:val="none"/>
              </w:rPr>
              <w:t xml:space="preserve"> 年   月   日</w:t>
            </w:r>
          </w:p>
        </w:tc>
      </w:tr>
      <w:tr w14:paraId="09F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3B03E3A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c>
          <w:tcPr>
            <w:tcW w:w="4517" w:type="dxa"/>
            <w:noWrap w:val="0"/>
            <w:vAlign w:val="center"/>
          </w:tcPr>
          <w:p w14:paraId="1418589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r>
      <w:tr w14:paraId="5D0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2F470E7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c>
          <w:tcPr>
            <w:tcW w:w="4517" w:type="dxa"/>
            <w:noWrap w:val="0"/>
            <w:vAlign w:val="top"/>
          </w:tcPr>
          <w:p w14:paraId="0A81F4AC">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r>
      <w:tr w14:paraId="59C1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29C969CC">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c>
          <w:tcPr>
            <w:tcW w:w="4517" w:type="dxa"/>
            <w:noWrap w:val="0"/>
            <w:vAlign w:val="center"/>
          </w:tcPr>
          <w:p w14:paraId="6BE9F819">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r>
      <w:tr w14:paraId="1709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41FCA137">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c>
          <w:tcPr>
            <w:tcW w:w="4517" w:type="dxa"/>
            <w:noWrap w:val="0"/>
            <w:vAlign w:val="center"/>
          </w:tcPr>
          <w:p w14:paraId="416E3BBD">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r>
      <w:tr w14:paraId="0D4C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71DABD8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c>
          <w:tcPr>
            <w:tcW w:w="4517" w:type="dxa"/>
            <w:noWrap w:val="0"/>
            <w:vAlign w:val="center"/>
          </w:tcPr>
          <w:p w14:paraId="5CC0AC99">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r>
      <w:tr w14:paraId="2772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628383F0">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c>
          <w:tcPr>
            <w:tcW w:w="4517" w:type="dxa"/>
            <w:noWrap w:val="0"/>
            <w:vAlign w:val="center"/>
          </w:tcPr>
          <w:p w14:paraId="07ADBA6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r>
      <w:tr w14:paraId="5474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58D593F1">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c>
          <w:tcPr>
            <w:tcW w:w="4517" w:type="dxa"/>
            <w:noWrap w:val="0"/>
            <w:vAlign w:val="center"/>
          </w:tcPr>
          <w:p w14:paraId="7F3A2EA9">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r>
    </w:tbl>
    <w:p w14:paraId="6957EB7E">
      <w:pPr>
        <w:snapToGrid w:val="0"/>
        <w:spacing w:line="360" w:lineRule="auto"/>
        <w:jc w:val="center"/>
        <w:outlineLvl w:val="0"/>
        <w:rPr>
          <w:rFonts w:hint="eastAsia" w:ascii="宋体" w:hAnsi="宋体"/>
          <w:b/>
          <w:sz w:val="24"/>
          <w:highlight w:val="none"/>
        </w:rPr>
      </w:pPr>
      <w:bookmarkStart w:id="82" w:name="_Toc14620"/>
      <w:r>
        <w:rPr>
          <w:rFonts w:hint="eastAsia" w:ascii="宋体" w:hAnsi="宋体"/>
          <w:b/>
          <w:sz w:val="24"/>
          <w:highlight w:val="none"/>
        </w:rPr>
        <w:t>合 同 附 件</w:t>
      </w:r>
      <w:bookmarkEnd w:id="82"/>
    </w:p>
    <w:p w14:paraId="320D988F">
      <w:pPr>
        <w:snapToGrid w:val="0"/>
        <w:spacing w:line="360" w:lineRule="auto"/>
        <w:rPr>
          <w:rFonts w:hint="eastAsia" w:ascii="宋体" w:hAnsi="宋体"/>
          <w:sz w:val="24"/>
          <w:highlight w:val="none"/>
        </w:rPr>
      </w:pPr>
      <w:r>
        <w:rPr>
          <w:rFonts w:hint="eastAsia" w:ascii="宋体" w:hAnsi="宋体"/>
          <w:sz w:val="24"/>
          <w:highlight w:val="none"/>
        </w:rPr>
        <w:t>一般货物类</w:t>
      </w:r>
    </w:p>
    <w:tbl>
      <w:tblPr>
        <w:tblStyle w:val="26"/>
        <w:tblW w:w="0" w:type="auto"/>
        <w:jc w:val="center"/>
        <w:tblLayout w:type="fixed"/>
        <w:tblCellMar>
          <w:top w:w="0" w:type="dxa"/>
          <w:left w:w="108" w:type="dxa"/>
          <w:bottom w:w="0" w:type="dxa"/>
          <w:right w:w="108" w:type="dxa"/>
        </w:tblCellMar>
      </w:tblPr>
      <w:tblGrid>
        <w:gridCol w:w="4263"/>
        <w:gridCol w:w="4259"/>
      </w:tblGrid>
      <w:tr w14:paraId="69E65A0C">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14:paraId="52A1DC6F">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1. 供应商承诺具体事项：</w:t>
            </w:r>
          </w:p>
        </w:tc>
      </w:tr>
      <w:tr w14:paraId="26DD7D4A">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14:paraId="5261076E">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2. 售后服务具体事项：</w:t>
            </w:r>
          </w:p>
        </w:tc>
      </w:tr>
      <w:tr w14:paraId="613179FA">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14:paraId="3CE9F2F2">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3. 保修期责任：</w:t>
            </w:r>
          </w:p>
        </w:tc>
      </w:tr>
      <w:tr w14:paraId="7BC362ED">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14:paraId="088132A3">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4. 其他具体事项：</w:t>
            </w:r>
          </w:p>
        </w:tc>
      </w:tr>
      <w:tr w14:paraId="4220D1AC">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1414955E">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甲方（章）</w:t>
            </w:r>
          </w:p>
          <w:p w14:paraId="3F4CD574">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14:paraId="652D2861">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14:paraId="070E5231">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14:paraId="1BC44875">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乙方（章）</w:t>
            </w:r>
          </w:p>
          <w:p w14:paraId="536B1855">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14:paraId="30CAAF29">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14:paraId="4F14E229">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w:t>
            </w:r>
          </w:p>
        </w:tc>
      </w:tr>
    </w:tbl>
    <w:p w14:paraId="729250BD">
      <w:pPr>
        <w:snapToGrid w:val="0"/>
        <w:spacing w:line="360" w:lineRule="auto"/>
        <w:jc w:val="left"/>
        <w:rPr>
          <w:rFonts w:hint="eastAsia" w:ascii="宋体" w:hAnsi="宋体" w:eastAsia="宋体"/>
          <w:sz w:val="24"/>
          <w:highlight w:val="none"/>
          <w:lang w:val="en-US" w:eastAsia="zh-CN"/>
        </w:rPr>
      </w:pPr>
      <w:r>
        <w:rPr>
          <w:rFonts w:hint="eastAsia" w:ascii="宋体" w:hAnsi="宋体"/>
          <w:sz w:val="24"/>
          <w:highlight w:val="none"/>
        </w:rPr>
        <w:t xml:space="preserve">   注：售后服务事项填不下时可另加附页</w:t>
      </w:r>
      <w:r>
        <w:rPr>
          <w:rFonts w:hint="eastAsia" w:ascii="宋体" w:hAnsi="宋体"/>
          <w:sz w:val="24"/>
          <w:highlight w:val="none"/>
          <w:lang w:val="en-US" w:eastAsia="zh-CN"/>
        </w:rPr>
        <w:t xml:space="preserve"> </w:t>
      </w: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隶书">
    <w:altName w:val="Arial Unicode MS"/>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12B1">
    <w:pPr>
      <w:pStyle w:val="18"/>
      <w:jc w:val="center"/>
    </w:pPr>
  </w:p>
  <w:p w14:paraId="529F300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951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5AB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7553">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64B4">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13F10">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513F10">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773D">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1A270">
                          <w:pPr>
                            <w:pStyle w:val="18"/>
                            <w:jc w:val="center"/>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Z33A80BAACeAwAADgAAAAAAAAABACAAAAAeAQAAZHJzL2Uy&#10;b0RvYy54bWxQSwUGAAAAAAYABgBZAQAAXQUAAAAA&#10;">
              <v:fill on="f" focussize="0,0"/>
              <v:stroke on="f"/>
              <v:imagedata o:title=""/>
              <o:lock v:ext="edit" aspectratio="f"/>
              <v:textbox inset="0mm,0mm,0mm,0mm" style="mso-fit-shape-to-text:t;">
                <w:txbxContent>
                  <w:p w14:paraId="3E91A270">
                    <w:pPr>
                      <w:pStyle w:val="18"/>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50D8C06F">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FE17">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1E7E5">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5Bstc0BAACeAwAADgAAAAAAAAABACAAAAAeAQAAZHJzL2Uy&#10;b0RvYy54bWxQSwUGAAAAAAYABgBZAQAAXQUAAAAA&#10;">
              <v:fill on="f" focussize="0,0"/>
              <v:stroke on="f"/>
              <v:imagedata o:title=""/>
              <o:lock v:ext="edit" aspectratio="f"/>
              <v:textbox inset="0mm,0mm,0mm,0mm" style="mso-fit-shape-to-text:t;">
                <w:txbxContent>
                  <w:p w14:paraId="72C1E7E5">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0A61">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E85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FED6998B"/>
    <w:multiLevelType w:val="singleLevel"/>
    <w:tmpl w:val="FED6998B"/>
    <w:lvl w:ilvl="0" w:tentative="0">
      <w:start w:val="1"/>
      <w:numFmt w:val="decimal"/>
      <w:lvlText w:val="%1."/>
      <w:lvlJc w:val="left"/>
      <w:pPr>
        <w:tabs>
          <w:tab w:val="left" w:pos="312"/>
        </w:tabs>
      </w:pPr>
    </w:lvl>
  </w:abstractNum>
  <w:abstractNum w:abstractNumId="2">
    <w:nsid w:val="09170F88"/>
    <w:multiLevelType w:val="singleLevel"/>
    <w:tmpl w:val="09170F88"/>
    <w:lvl w:ilvl="0" w:tentative="0">
      <w:start w:val="1"/>
      <w:numFmt w:val="chineseCounting"/>
      <w:suff w:val="nothing"/>
      <w:lvlText w:val="%1、"/>
      <w:lvlJc w:val="left"/>
      <w:rPr>
        <w:rFonts w:hint="eastAsia"/>
      </w:rPr>
    </w:lvl>
  </w:abstractNum>
  <w:abstractNum w:abstractNumId="3">
    <w:nsid w:val="1597ED36"/>
    <w:multiLevelType w:val="singleLevel"/>
    <w:tmpl w:val="1597ED36"/>
    <w:lvl w:ilvl="0" w:tentative="0">
      <w:start w:val="1"/>
      <w:numFmt w:val="chineseCounting"/>
      <w:suff w:val="nothing"/>
      <w:lvlText w:val="%1、"/>
      <w:lvlJc w:val="left"/>
      <w:rPr>
        <w:rFonts w:hint="eastAsia"/>
      </w:rPr>
    </w:lvl>
  </w:abstractNum>
  <w:abstractNum w:abstractNumId="4">
    <w:nsid w:val="2EE8A33B"/>
    <w:multiLevelType w:val="singleLevel"/>
    <w:tmpl w:val="2EE8A33B"/>
    <w:lvl w:ilvl="0" w:tentative="0">
      <w:start w:val="1"/>
      <w:numFmt w:val="chineseCounting"/>
      <w:suff w:val="nothing"/>
      <w:lvlText w:val="%1、"/>
      <w:lvlJc w:val="left"/>
      <w:rPr>
        <w:rFonts w:hint="eastAsia"/>
      </w:rPr>
    </w:lvl>
  </w:abstractNum>
  <w:abstractNum w:abstractNumId="5">
    <w:nsid w:val="6105F216"/>
    <w:multiLevelType w:val="singleLevel"/>
    <w:tmpl w:val="6105F216"/>
    <w:lvl w:ilvl="0" w:tentative="0">
      <w:start w:val="1"/>
      <w:numFmt w:val="chineseCounting"/>
      <w:suff w:val="nothing"/>
      <w:lvlText w:val="%1、"/>
      <w:lvlJc w:val="left"/>
      <w:rPr>
        <w:rFonts w:hint="eastAsia"/>
      </w:rPr>
    </w:lvl>
  </w:abstractNum>
  <w:abstractNum w:abstractNumId="6">
    <w:nsid w:val="652AB8BD"/>
    <w:multiLevelType w:val="singleLevel"/>
    <w:tmpl w:val="652AB8BD"/>
    <w:lvl w:ilvl="0" w:tentative="0">
      <w:start w:val="1"/>
      <w:numFmt w:val="decimal"/>
      <w:lvlText w:val="%1."/>
      <w:lvlJc w:val="left"/>
      <w:pPr>
        <w:tabs>
          <w:tab w:val="left" w:pos="312"/>
        </w:tabs>
      </w:p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WJjNTY5NjU4ODcxNjEzNTA5NzVkOWM3MmQ5M2UifQ=="/>
  </w:docVars>
  <w:rsids>
    <w:rsidRoot w:val="00F34B14"/>
    <w:rsid w:val="00000672"/>
    <w:rsid w:val="00001799"/>
    <w:rsid w:val="00002D29"/>
    <w:rsid w:val="000040C5"/>
    <w:rsid w:val="000047AC"/>
    <w:rsid w:val="00005E55"/>
    <w:rsid w:val="00005FDF"/>
    <w:rsid w:val="00006586"/>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45A5"/>
    <w:rsid w:val="00025382"/>
    <w:rsid w:val="00025636"/>
    <w:rsid w:val="00025E36"/>
    <w:rsid w:val="00026627"/>
    <w:rsid w:val="00026886"/>
    <w:rsid w:val="00030496"/>
    <w:rsid w:val="000329E0"/>
    <w:rsid w:val="000333A0"/>
    <w:rsid w:val="000352E9"/>
    <w:rsid w:val="00036A07"/>
    <w:rsid w:val="00036E33"/>
    <w:rsid w:val="00040571"/>
    <w:rsid w:val="0004156E"/>
    <w:rsid w:val="00041597"/>
    <w:rsid w:val="0004440C"/>
    <w:rsid w:val="00045880"/>
    <w:rsid w:val="00046B5E"/>
    <w:rsid w:val="0004783A"/>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EDE"/>
    <w:rsid w:val="00106BEE"/>
    <w:rsid w:val="00113134"/>
    <w:rsid w:val="00113AC0"/>
    <w:rsid w:val="00114851"/>
    <w:rsid w:val="00115E11"/>
    <w:rsid w:val="00115F56"/>
    <w:rsid w:val="00117CBD"/>
    <w:rsid w:val="0012006A"/>
    <w:rsid w:val="00120990"/>
    <w:rsid w:val="001217B5"/>
    <w:rsid w:val="00121979"/>
    <w:rsid w:val="00122064"/>
    <w:rsid w:val="001263B8"/>
    <w:rsid w:val="00126763"/>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540E"/>
    <w:rsid w:val="001D58A1"/>
    <w:rsid w:val="001D5A8A"/>
    <w:rsid w:val="001D735E"/>
    <w:rsid w:val="001D73C8"/>
    <w:rsid w:val="001D7E1F"/>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483"/>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0AE3"/>
    <w:rsid w:val="00251C4A"/>
    <w:rsid w:val="0025271C"/>
    <w:rsid w:val="00252A91"/>
    <w:rsid w:val="002533CD"/>
    <w:rsid w:val="00254EAB"/>
    <w:rsid w:val="002557AF"/>
    <w:rsid w:val="002566B1"/>
    <w:rsid w:val="002575E3"/>
    <w:rsid w:val="002603C1"/>
    <w:rsid w:val="002609A1"/>
    <w:rsid w:val="002612B1"/>
    <w:rsid w:val="00266165"/>
    <w:rsid w:val="0027125E"/>
    <w:rsid w:val="00271767"/>
    <w:rsid w:val="00271E65"/>
    <w:rsid w:val="00272293"/>
    <w:rsid w:val="002723C8"/>
    <w:rsid w:val="00273CBE"/>
    <w:rsid w:val="0028232C"/>
    <w:rsid w:val="00282EC3"/>
    <w:rsid w:val="002835B0"/>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5B2"/>
    <w:rsid w:val="002A3A57"/>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18B"/>
    <w:rsid w:val="002D3380"/>
    <w:rsid w:val="002D4AC6"/>
    <w:rsid w:val="002D5C7B"/>
    <w:rsid w:val="002D7648"/>
    <w:rsid w:val="002D7909"/>
    <w:rsid w:val="002E109C"/>
    <w:rsid w:val="002E115E"/>
    <w:rsid w:val="002E193E"/>
    <w:rsid w:val="002E1D76"/>
    <w:rsid w:val="002E243C"/>
    <w:rsid w:val="002E26C4"/>
    <w:rsid w:val="002E3CE3"/>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3745F"/>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4DDB"/>
    <w:rsid w:val="003A60E7"/>
    <w:rsid w:val="003B0B6A"/>
    <w:rsid w:val="003B220C"/>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2332"/>
    <w:rsid w:val="004025C2"/>
    <w:rsid w:val="00403E55"/>
    <w:rsid w:val="00404681"/>
    <w:rsid w:val="0040496D"/>
    <w:rsid w:val="00405010"/>
    <w:rsid w:val="0040595A"/>
    <w:rsid w:val="00406923"/>
    <w:rsid w:val="0040713A"/>
    <w:rsid w:val="0040763D"/>
    <w:rsid w:val="004105B0"/>
    <w:rsid w:val="00410EC5"/>
    <w:rsid w:val="004133A8"/>
    <w:rsid w:val="00413821"/>
    <w:rsid w:val="00413D43"/>
    <w:rsid w:val="004141A3"/>
    <w:rsid w:val="00414909"/>
    <w:rsid w:val="00415E66"/>
    <w:rsid w:val="00416112"/>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65A8"/>
    <w:rsid w:val="004C786C"/>
    <w:rsid w:val="004C7963"/>
    <w:rsid w:val="004D2F63"/>
    <w:rsid w:val="004D35BA"/>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736"/>
    <w:rsid w:val="004E7B03"/>
    <w:rsid w:val="004F0064"/>
    <w:rsid w:val="004F06AC"/>
    <w:rsid w:val="004F1AE6"/>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2149"/>
    <w:rsid w:val="00563FFD"/>
    <w:rsid w:val="00565855"/>
    <w:rsid w:val="005677CE"/>
    <w:rsid w:val="00567B5D"/>
    <w:rsid w:val="00573733"/>
    <w:rsid w:val="005744E5"/>
    <w:rsid w:val="00574554"/>
    <w:rsid w:val="00576089"/>
    <w:rsid w:val="005764B1"/>
    <w:rsid w:val="00576A56"/>
    <w:rsid w:val="00576D06"/>
    <w:rsid w:val="005779E4"/>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28"/>
    <w:rsid w:val="005C019B"/>
    <w:rsid w:val="005C144E"/>
    <w:rsid w:val="005C30F5"/>
    <w:rsid w:val="005C357E"/>
    <w:rsid w:val="005C51A5"/>
    <w:rsid w:val="005C557A"/>
    <w:rsid w:val="005C61DD"/>
    <w:rsid w:val="005C6438"/>
    <w:rsid w:val="005C6B8B"/>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894"/>
    <w:rsid w:val="00622BB7"/>
    <w:rsid w:val="00622F3B"/>
    <w:rsid w:val="00623389"/>
    <w:rsid w:val="0062352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126"/>
    <w:rsid w:val="006572C1"/>
    <w:rsid w:val="00660238"/>
    <w:rsid w:val="006602EF"/>
    <w:rsid w:val="00661277"/>
    <w:rsid w:val="006616FE"/>
    <w:rsid w:val="006619D1"/>
    <w:rsid w:val="00663FEA"/>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27B"/>
    <w:rsid w:val="006C4F9F"/>
    <w:rsid w:val="006D0C1D"/>
    <w:rsid w:val="006D0CE1"/>
    <w:rsid w:val="006D2004"/>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2F5"/>
    <w:rsid w:val="006F2574"/>
    <w:rsid w:val="006F3231"/>
    <w:rsid w:val="006F3DE3"/>
    <w:rsid w:val="006F511F"/>
    <w:rsid w:val="006F61D8"/>
    <w:rsid w:val="006F62B7"/>
    <w:rsid w:val="006F70BC"/>
    <w:rsid w:val="006F713A"/>
    <w:rsid w:val="006F76BF"/>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7DE2"/>
    <w:rsid w:val="007504BF"/>
    <w:rsid w:val="007506CD"/>
    <w:rsid w:val="0075267F"/>
    <w:rsid w:val="007526EC"/>
    <w:rsid w:val="0075310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2118"/>
    <w:rsid w:val="00872827"/>
    <w:rsid w:val="00872A32"/>
    <w:rsid w:val="00876EAE"/>
    <w:rsid w:val="00880F95"/>
    <w:rsid w:val="00882B44"/>
    <w:rsid w:val="00882FE5"/>
    <w:rsid w:val="00886138"/>
    <w:rsid w:val="00886E66"/>
    <w:rsid w:val="008871B0"/>
    <w:rsid w:val="008878D1"/>
    <w:rsid w:val="0089217C"/>
    <w:rsid w:val="00893671"/>
    <w:rsid w:val="00895838"/>
    <w:rsid w:val="00895A72"/>
    <w:rsid w:val="00895CDF"/>
    <w:rsid w:val="008968C7"/>
    <w:rsid w:val="00897A55"/>
    <w:rsid w:val="008A0FC9"/>
    <w:rsid w:val="008A1956"/>
    <w:rsid w:val="008A40D3"/>
    <w:rsid w:val="008A469C"/>
    <w:rsid w:val="008A484A"/>
    <w:rsid w:val="008A5877"/>
    <w:rsid w:val="008A6539"/>
    <w:rsid w:val="008B05DD"/>
    <w:rsid w:val="008B17E8"/>
    <w:rsid w:val="008B266C"/>
    <w:rsid w:val="008B2D03"/>
    <w:rsid w:val="008B2E7C"/>
    <w:rsid w:val="008B45A7"/>
    <w:rsid w:val="008B4A70"/>
    <w:rsid w:val="008B502F"/>
    <w:rsid w:val="008B6CF2"/>
    <w:rsid w:val="008B7034"/>
    <w:rsid w:val="008B7227"/>
    <w:rsid w:val="008C191C"/>
    <w:rsid w:val="008C1DA4"/>
    <w:rsid w:val="008C2CD5"/>
    <w:rsid w:val="008C3618"/>
    <w:rsid w:val="008C43AD"/>
    <w:rsid w:val="008C59FB"/>
    <w:rsid w:val="008C6687"/>
    <w:rsid w:val="008C68F0"/>
    <w:rsid w:val="008C6F92"/>
    <w:rsid w:val="008C731F"/>
    <w:rsid w:val="008C74D9"/>
    <w:rsid w:val="008D124C"/>
    <w:rsid w:val="008D1BB3"/>
    <w:rsid w:val="008D22AE"/>
    <w:rsid w:val="008D234A"/>
    <w:rsid w:val="008D566C"/>
    <w:rsid w:val="008D58D9"/>
    <w:rsid w:val="008D66EA"/>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13DD"/>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12D3"/>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66D"/>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3CE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F18"/>
    <w:rsid w:val="00B21516"/>
    <w:rsid w:val="00B22CE0"/>
    <w:rsid w:val="00B23738"/>
    <w:rsid w:val="00B23BEF"/>
    <w:rsid w:val="00B247BB"/>
    <w:rsid w:val="00B25C11"/>
    <w:rsid w:val="00B25EDF"/>
    <w:rsid w:val="00B25EE6"/>
    <w:rsid w:val="00B3115A"/>
    <w:rsid w:val="00B31A5C"/>
    <w:rsid w:val="00B33C19"/>
    <w:rsid w:val="00B34861"/>
    <w:rsid w:val="00B363BD"/>
    <w:rsid w:val="00B369F7"/>
    <w:rsid w:val="00B36A99"/>
    <w:rsid w:val="00B42980"/>
    <w:rsid w:val="00B434B2"/>
    <w:rsid w:val="00B434C7"/>
    <w:rsid w:val="00B43D45"/>
    <w:rsid w:val="00B44771"/>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2C80"/>
    <w:rsid w:val="00B730B4"/>
    <w:rsid w:val="00B74340"/>
    <w:rsid w:val="00B744E0"/>
    <w:rsid w:val="00B74F2F"/>
    <w:rsid w:val="00B756FB"/>
    <w:rsid w:val="00B769BC"/>
    <w:rsid w:val="00B77349"/>
    <w:rsid w:val="00B7761E"/>
    <w:rsid w:val="00B80A37"/>
    <w:rsid w:val="00B80A3D"/>
    <w:rsid w:val="00B823E0"/>
    <w:rsid w:val="00B82B78"/>
    <w:rsid w:val="00B84662"/>
    <w:rsid w:val="00B8540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D16"/>
    <w:rsid w:val="00BB6180"/>
    <w:rsid w:val="00BB69E6"/>
    <w:rsid w:val="00BC1B7A"/>
    <w:rsid w:val="00BC2BC7"/>
    <w:rsid w:val="00BC2C17"/>
    <w:rsid w:val="00BC3ACD"/>
    <w:rsid w:val="00BC6A3C"/>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239"/>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21168"/>
    <w:rsid w:val="00D235C8"/>
    <w:rsid w:val="00D2438C"/>
    <w:rsid w:val="00D26C3F"/>
    <w:rsid w:val="00D27185"/>
    <w:rsid w:val="00D32B84"/>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7F6"/>
    <w:rsid w:val="00D77F88"/>
    <w:rsid w:val="00D81EAA"/>
    <w:rsid w:val="00D8259F"/>
    <w:rsid w:val="00D825F2"/>
    <w:rsid w:val="00D828B1"/>
    <w:rsid w:val="00D84F27"/>
    <w:rsid w:val="00D862D1"/>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0DF"/>
    <w:rsid w:val="00DC7833"/>
    <w:rsid w:val="00DD132B"/>
    <w:rsid w:val="00DD1725"/>
    <w:rsid w:val="00DD2427"/>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671"/>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4EE"/>
    <w:rsid w:val="00E359FF"/>
    <w:rsid w:val="00E405F1"/>
    <w:rsid w:val="00E43054"/>
    <w:rsid w:val="00E44FE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1E2A"/>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CAF"/>
    <w:rsid w:val="00F60305"/>
    <w:rsid w:val="00F61B12"/>
    <w:rsid w:val="00F62398"/>
    <w:rsid w:val="00F63223"/>
    <w:rsid w:val="00F63264"/>
    <w:rsid w:val="00F6379E"/>
    <w:rsid w:val="00F653BD"/>
    <w:rsid w:val="00F70799"/>
    <w:rsid w:val="00F70A8B"/>
    <w:rsid w:val="00F724FB"/>
    <w:rsid w:val="00F72578"/>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0214"/>
    <w:rsid w:val="00FB18F6"/>
    <w:rsid w:val="00FB2A52"/>
    <w:rsid w:val="00FB2F13"/>
    <w:rsid w:val="00FB6E19"/>
    <w:rsid w:val="00FB71F6"/>
    <w:rsid w:val="00FC1483"/>
    <w:rsid w:val="00FC1C47"/>
    <w:rsid w:val="00FC39ED"/>
    <w:rsid w:val="00FC3B2D"/>
    <w:rsid w:val="00FC3C8F"/>
    <w:rsid w:val="00FC4419"/>
    <w:rsid w:val="00FC47A6"/>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2CE1"/>
    <w:rsid w:val="00FF3A41"/>
    <w:rsid w:val="00FF3E5B"/>
    <w:rsid w:val="00FF544F"/>
    <w:rsid w:val="00FF57E4"/>
    <w:rsid w:val="00FF78E5"/>
    <w:rsid w:val="0123584C"/>
    <w:rsid w:val="01330404"/>
    <w:rsid w:val="01433EA5"/>
    <w:rsid w:val="015A5953"/>
    <w:rsid w:val="016245C6"/>
    <w:rsid w:val="01675739"/>
    <w:rsid w:val="017B5128"/>
    <w:rsid w:val="018207C5"/>
    <w:rsid w:val="01916C5A"/>
    <w:rsid w:val="01A324E9"/>
    <w:rsid w:val="01B90F9B"/>
    <w:rsid w:val="01CB44CB"/>
    <w:rsid w:val="01CD5893"/>
    <w:rsid w:val="01CE0603"/>
    <w:rsid w:val="01F2753D"/>
    <w:rsid w:val="01F40F97"/>
    <w:rsid w:val="01F5361D"/>
    <w:rsid w:val="021D5A28"/>
    <w:rsid w:val="02293ECD"/>
    <w:rsid w:val="02511F9D"/>
    <w:rsid w:val="025A529E"/>
    <w:rsid w:val="027B0384"/>
    <w:rsid w:val="028326B0"/>
    <w:rsid w:val="029C1F55"/>
    <w:rsid w:val="02A530DF"/>
    <w:rsid w:val="02B33C2A"/>
    <w:rsid w:val="02B95D01"/>
    <w:rsid w:val="02BC1AB4"/>
    <w:rsid w:val="02C638A1"/>
    <w:rsid w:val="02CB0EB4"/>
    <w:rsid w:val="02CD2B48"/>
    <w:rsid w:val="02F922EE"/>
    <w:rsid w:val="03056ED3"/>
    <w:rsid w:val="03274BC6"/>
    <w:rsid w:val="032A4C70"/>
    <w:rsid w:val="03385656"/>
    <w:rsid w:val="03393105"/>
    <w:rsid w:val="034F0AFF"/>
    <w:rsid w:val="034F434F"/>
    <w:rsid w:val="035148F2"/>
    <w:rsid w:val="037C62AF"/>
    <w:rsid w:val="03920A67"/>
    <w:rsid w:val="03A314B8"/>
    <w:rsid w:val="03AD2B6F"/>
    <w:rsid w:val="03CF48D0"/>
    <w:rsid w:val="03D567D9"/>
    <w:rsid w:val="03D82B98"/>
    <w:rsid w:val="03E740FA"/>
    <w:rsid w:val="03E875F3"/>
    <w:rsid w:val="03EF7383"/>
    <w:rsid w:val="03F83E8B"/>
    <w:rsid w:val="040F5035"/>
    <w:rsid w:val="041A1188"/>
    <w:rsid w:val="041D7E34"/>
    <w:rsid w:val="04284894"/>
    <w:rsid w:val="043F5DA4"/>
    <w:rsid w:val="04461BE1"/>
    <w:rsid w:val="045E35EB"/>
    <w:rsid w:val="04823634"/>
    <w:rsid w:val="04877EA0"/>
    <w:rsid w:val="048E2D2F"/>
    <w:rsid w:val="049D5660"/>
    <w:rsid w:val="04A32A64"/>
    <w:rsid w:val="04B11FDA"/>
    <w:rsid w:val="04B166DA"/>
    <w:rsid w:val="04B54A0D"/>
    <w:rsid w:val="04C74F24"/>
    <w:rsid w:val="04C82992"/>
    <w:rsid w:val="04CB4231"/>
    <w:rsid w:val="04FE75C6"/>
    <w:rsid w:val="04FF4FC2"/>
    <w:rsid w:val="05043697"/>
    <w:rsid w:val="05080FE1"/>
    <w:rsid w:val="05104339"/>
    <w:rsid w:val="05425844"/>
    <w:rsid w:val="056855B7"/>
    <w:rsid w:val="059576B4"/>
    <w:rsid w:val="05B840CB"/>
    <w:rsid w:val="05C74A0B"/>
    <w:rsid w:val="05CA5F53"/>
    <w:rsid w:val="05EF315A"/>
    <w:rsid w:val="05F61781"/>
    <w:rsid w:val="061D6094"/>
    <w:rsid w:val="06393A45"/>
    <w:rsid w:val="064B76EB"/>
    <w:rsid w:val="06500E91"/>
    <w:rsid w:val="065924E4"/>
    <w:rsid w:val="066A5CCC"/>
    <w:rsid w:val="066D5199"/>
    <w:rsid w:val="06712BB6"/>
    <w:rsid w:val="068145FC"/>
    <w:rsid w:val="069A6270"/>
    <w:rsid w:val="069D1254"/>
    <w:rsid w:val="06C947A0"/>
    <w:rsid w:val="06DD1E44"/>
    <w:rsid w:val="06F12B40"/>
    <w:rsid w:val="06F3181D"/>
    <w:rsid w:val="070D0B30"/>
    <w:rsid w:val="071A4FFB"/>
    <w:rsid w:val="071B54FD"/>
    <w:rsid w:val="075939FE"/>
    <w:rsid w:val="075B42C3"/>
    <w:rsid w:val="07660C34"/>
    <w:rsid w:val="07877446"/>
    <w:rsid w:val="078801B7"/>
    <w:rsid w:val="078B42EC"/>
    <w:rsid w:val="07B72767"/>
    <w:rsid w:val="08077E72"/>
    <w:rsid w:val="08086333"/>
    <w:rsid w:val="0851568A"/>
    <w:rsid w:val="08962DA7"/>
    <w:rsid w:val="08A53B3F"/>
    <w:rsid w:val="08A94619"/>
    <w:rsid w:val="08CD536A"/>
    <w:rsid w:val="08CE1480"/>
    <w:rsid w:val="08F65F4C"/>
    <w:rsid w:val="08F8133D"/>
    <w:rsid w:val="090C4C7D"/>
    <w:rsid w:val="091D7025"/>
    <w:rsid w:val="0922364C"/>
    <w:rsid w:val="092A546A"/>
    <w:rsid w:val="093840FB"/>
    <w:rsid w:val="09463FB2"/>
    <w:rsid w:val="094C3466"/>
    <w:rsid w:val="09680929"/>
    <w:rsid w:val="097F1A8E"/>
    <w:rsid w:val="09B039F5"/>
    <w:rsid w:val="09BF29B7"/>
    <w:rsid w:val="09C83C7C"/>
    <w:rsid w:val="09CC2AAC"/>
    <w:rsid w:val="09CF2327"/>
    <w:rsid w:val="09E33B38"/>
    <w:rsid w:val="09F124DC"/>
    <w:rsid w:val="0A041C20"/>
    <w:rsid w:val="0A0F4207"/>
    <w:rsid w:val="0A652D3E"/>
    <w:rsid w:val="0A6D4283"/>
    <w:rsid w:val="0A6F565E"/>
    <w:rsid w:val="0AB6328D"/>
    <w:rsid w:val="0AC82B77"/>
    <w:rsid w:val="0AD927DA"/>
    <w:rsid w:val="0AE64D56"/>
    <w:rsid w:val="0B201F52"/>
    <w:rsid w:val="0B2668AF"/>
    <w:rsid w:val="0B2B4ACB"/>
    <w:rsid w:val="0B4C599F"/>
    <w:rsid w:val="0B5232F9"/>
    <w:rsid w:val="0B584344"/>
    <w:rsid w:val="0B6E3B68"/>
    <w:rsid w:val="0B78030F"/>
    <w:rsid w:val="0B8406F4"/>
    <w:rsid w:val="0B880226"/>
    <w:rsid w:val="0BC87D97"/>
    <w:rsid w:val="0BF96151"/>
    <w:rsid w:val="0C1A03C7"/>
    <w:rsid w:val="0C297D0D"/>
    <w:rsid w:val="0C4C3EA9"/>
    <w:rsid w:val="0C772892"/>
    <w:rsid w:val="0C8748EC"/>
    <w:rsid w:val="0C8E1777"/>
    <w:rsid w:val="0C8E4429"/>
    <w:rsid w:val="0C8F01EB"/>
    <w:rsid w:val="0C92213C"/>
    <w:rsid w:val="0CA04344"/>
    <w:rsid w:val="0CAD3436"/>
    <w:rsid w:val="0CAF61E6"/>
    <w:rsid w:val="0CB258E3"/>
    <w:rsid w:val="0CB819EA"/>
    <w:rsid w:val="0CDA6346"/>
    <w:rsid w:val="0CE35CBA"/>
    <w:rsid w:val="0CFA3905"/>
    <w:rsid w:val="0D0343E8"/>
    <w:rsid w:val="0D043DD8"/>
    <w:rsid w:val="0D411534"/>
    <w:rsid w:val="0D4F221D"/>
    <w:rsid w:val="0D505C1B"/>
    <w:rsid w:val="0D5331C2"/>
    <w:rsid w:val="0D646C09"/>
    <w:rsid w:val="0D84032B"/>
    <w:rsid w:val="0D945ED5"/>
    <w:rsid w:val="0D986930"/>
    <w:rsid w:val="0DA31998"/>
    <w:rsid w:val="0DAE7DB1"/>
    <w:rsid w:val="0DBD1298"/>
    <w:rsid w:val="0DC74094"/>
    <w:rsid w:val="0DF742E8"/>
    <w:rsid w:val="0E022299"/>
    <w:rsid w:val="0E0D231C"/>
    <w:rsid w:val="0E141CA7"/>
    <w:rsid w:val="0E295443"/>
    <w:rsid w:val="0E453591"/>
    <w:rsid w:val="0E6F1AC9"/>
    <w:rsid w:val="0E71409B"/>
    <w:rsid w:val="0E7878EF"/>
    <w:rsid w:val="0E8813E4"/>
    <w:rsid w:val="0F251AE4"/>
    <w:rsid w:val="0F3311B1"/>
    <w:rsid w:val="0F46111F"/>
    <w:rsid w:val="0FAC4C5F"/>
    <w:rsid w:val="0FB35FED"/>
    <w:rsid w:val="0FC535F0"/>
    <w:rsid w:val="0FC75429"/>
    <w:rsid w:val="0FC825F2"/>
    <w:rsid w:val="0FCA489C"/>
    <w:rsid w:val="100D7CE3"/>
    <w:rsid w:val="101E5B5C"/>
    <w:rsid w:val="102A6AC5"/>
    <w:rsid w:val="10476743"/>
    <w:rsid w:val="104D0CCE"/>
    <w:rsid w:val="105253A5"/>
    <w:rsid w:val="106612B1"/>
    <w:rsid w:val="10705587"/>
    <w:rsid w:val="10A27F31"/>
    <w:rsid w:val="10BD52DD"/>
    <w:rsid w:val="10C2608D"/>
    <w:rsid w:val="10ED487C"/>
    <w:rsid w:val="10F41847"/>
    <w:rsid w:val="10FD6B87"/>
    <w:rsid w:val="1117483A"/>
    <w:rsid w:val="113413B0"/>
    <w:rsid w:val="113A4E77"/>
    <w:rsid w:val="11452DE3"/>
    <w:rsid w:val="114A1A7F"/>
    <w:rsid w:val="1160654C"/>
    <w:rsid w:val="11847C41"/>
    <w:rsid w:val="11927058"/>
    <w:rsid w:val="11B33A5B"/>
    <w:rsid w:val="11C45EDD"/>
    <w:rsid w:val="11D04486"/>
    <w:rsid w:val="11E60706"/>
    <w:rsid w:val="11F668CC"/>
    <w:rsid w:val="11FB708E"/>
    <w:rsid w:val="120C7329"/>
    <w:rsid w:val="1266271E"/>
    <w:rsid w:val="12725CE5"/>
    <w:rsid w:val="12737FD2"/>
    <w:rsid w:val="127F59F3"/>
    <w:rsid w:val="129607F6"/>
    <w:rsid w:val="12BB1692"/>
    <w:rsid w:val="12C67BCD"/>
    <w:rsid w:val="12D547F3"/>
    <w:rsid w:val="12EE0384"/>
    <w:rsid w:val="12F80C04"/>
    <w:rsid w:val="130251BC"/>
    <w:rsid w:val="13190299"/>
    <w:rsid w:val="1319085D"/>
    <w:rsid w:val="131B16E4"/>
    <w:rsid w:val="13271A65"/>
    <w:rsid w:val="132C5202"/>
    <w:rsid w:val="133113DF"/>
    <w:rsid w:val="133B4C77"/>
    <w:rsid w:val="134D0817"/>
    <w:rsid w:val="13516249"/>
    <w:rsid w:val="135344E6"/>
    <w:rsid w:val="1369556C"/>
    <w:rsid w:val="137960F5"/>
    <w:rsid w:val="139F5206"/>
    <w:rsid w:val="139F6FB4"/>
    <w:rsid w:val="13AF4F03"/>
    <w:rsid w:val="13BB0907"/>
    <w:rsid w:val="13C92844"/>
    <w:rsid w:val="13E0137B"/>
    <w:rsid w:val="13E46BAF"/>
    <w:rsid w:val="1403357C"/>
    <w:rsid w:val="14192D85"/>
    <w:rsid w:val="14214815"/>
    <w:rsid w:val="144B7D94"/>
    <w:rsid w:val="14736E66"/>
    <w:rsid w:val="148B578A"/>
    <w:rsid w:val="149B6AC2"/>
    <w:rsid w:val="149E726C"/>
    <w:rsid w:val="14A8670E"/>
    <w:rsid w:val="14AF76CB"/>
    <w:rsid w:val="14B126D8"/>
    <w:rsid w:val="14F447EE"/>
    <w:rsid w:val="150A4793"/>
    <w:rsid w:val="15170DCC"/>
    <w:rsid w:val="15293653"/>
    <w:rsid w:val="1534169A"/>
    <w:rsid w:val="1548367B"/>
    <w:rsid w:val="1554249D"/>
    <w:rsid w:val="155B0D1A"/>
    <w:rsid w:val="15671CEC"/>
    <w:rsid w:val="15A25C0B"/>
    <w:rsid w:val="15A66392"/>
    <w:rsid w:val="15C03E03"/>
    <w:rsid w:val="160114A8"/>
    <w:rsid w:val="1613133B"/>
    <w:rsid w:val="16135A37"/>
    <w:rsid w:val="161F42DB"/>
    <w:rsid w:val="161F43DC"/>
    <w:rsid w:val="162A1908"/>
    <w:rsid w:val="162A25EB"/>
    <w:rsid w:val="16521A70"/>
    <w:rsid w:val="16620522"/>
    <w:rsid w:val="168E28E8"/>
    <w:rsid w:val="16984E9E"/>
    <w:rsid w:val="16A421AA"/>
    <w:rsid w:val="16B94074"/>
    <w:rsid w:val="16CE50C5"/>
    <w:rsid w:val="16D63BE4"/>
    <w:rsid w:val="16E276A1"/>
    <w:rsid w:val="16E51093"/>
    <w:rsid w:val="16FD2A55"/>
    <w:rsid w:val="171F3E7E"/>
    <w:rsid w:val="17226677"/>
    <w:rsid w:val="17366761"/>
    <w:rsid w:val="17371525"/>
    <w:rsid w:val="17562AF8"/>
    <w:rsid w:val="176C06FA"/>
    <w:rsid w:val="177C01F0"/>
    <w:rsid w:val="17A04BAF"/>
    <w:rsid w:val="17A0779F"/>
    <w:rsid w:val="17CC0594"/>
    <w:rsid w:val="17CC1A18"/>
    <w:rsid w:val="17CE6630"/>
    <w:rsid w:val="17E256C1"/>
    <w:rsid w:val="17E70CF7"/>
    <w:rsid w:val="17F915E3"/>
    <w:rsid w:val="180D4793"/>
    <w:rsid w:val="183569CC"/>
    <w:rsid w:val="183D0B4A"/>
    <w:rsid w:val="18A3234A"/>
    <w:rsid w:val="18FC27B3"/>
    <w:rsid w:val="19010DAE"/>
    <w:rsid w:val="19031A95"/>
    <w:rsid w:val="190E1339"/>
    <w:rsid w:val="190F49FC"/>
    <w:rsid w:val="19122940"/>
    <w:rsid w:val="191A4F3D"/>
    <w:rsid w:val="19241EBC"/>
    <w:rsid w:val="19277699"/>
    <w:rsid w:val="19422412"/>
    <w:rsid w:val="19613133"/>
    <w:rsid w:val="19636636"/>
    <w:rsid w:val="19756C96"/>
    <w:rsid w:val="19820BA0"/>
    <w:rsid w:val="198A7092"/>
    <w:rsid w:val="199D7887"/>
    <w:rsid w:val="19D16F1B"/>
    <w:rsid w:val="19E74AF8"/>
    <w:rsid w:val="19F80032"/>
    <w:rsid w:val="19FA4649"/>
    <w:rsid w:val="19FB402F"/>
    <w:rsid w:val="1A0E71A5"/>
    <w:rsid w:val="1A217CEE"/>
    <w:rsid w:val="1A224E4A"/>
    <w:rsid w:val="1A81100C"/>
    <w:rsid w:val="1AB95765"/>
    <w:rsid w:val="1AD4792F"/>
    <w:rsid w:val="1AF8344E"/>
    <w:rsid w:val="1AFA16D5"/>
    <w:rsid w:val="1AFC50D3"/>
    <w:rsid w:val="1B1863BF"/>
    <w:rsid w:val="1B1F09DB"/>
    <w:rsid w:val="1B284F69"/>
    <w:rsid w:val="1B383071"/>
    <w:rsid w:val="1B3C5B7E"/>
    <w:rsid w:val="1B3D5A39"/>
    <w:rsid w:val="1B486006"/>
    <w:rsid w:val="1B4F19F8"/>
    <w:rsid w:val="1B5F4269"/>
    <w:rsid w:val="1B722AF7"/>
    <w:rsid w:val="1B9D6C76"/>
    <w:rsid w:val="1BB34C01"/>
    <w:rsid w:val="1BD92184"/>
    <w:rsid w:val="1BDD5AFE"/>
    <w:rsid w:val="1BE34830"/>
    <w:rsid w:val="1C3948C0"/>
    <w:rsid w:val="1C46679F"/>
    <w:rsid w:val="1C512181"/>
    <w:rsid w:val="1C5170A2"/>
    <w:rsid w:val="1C57568C"/>
    <w:rsid w:val="1C7104B7"/>
    <w:rsid w:val="1C7119D7"/>
    <w:rsid w:val="1C7D3C0B"/>
    <w:rsid w:val="1C8F0867"/>
    <w:rsid w:val="1CAA3D68"/>
    <w:rsid w:val="1CDB7EE7"/>
    <w:rsid w:val="1CED2A87"/>
    <w:rsid w:val="1CFC261A"/>
    <w:rsid w:val="1D04432C"/>
    <w:rsid w:val="1D0D3BB9"/>
    <w:rsid w:val="1D2D666C"/>
    <w:rsid w:val="1D471BE4"/>
    <w:rsid w:val="1D5277E1"/>
    <w:rsid w:val="1D530E0B"/>
    <w:rsid w:val="1D68183C"/>
    <w:rsid w:val="1D72075C"/>
    <w:rsid w:val="1D766140"/>
    <w:rsid w:val="1D952165"/>
    <w:rsid w:val="1DA2662B"/>
    <w:rsid w:val="1DA9777E"/>
    <w:rsid w:val="1DAB22D5"/>
    <w:rsid w:val="1DB10E44"/>
    <w:rsid w:val="1DB41DC8"/>
    <w:rsid w:val="1DBE0159"/>
    <w:rsid w:val="1DD80D03"/>
    <w:rsid w:val="1DDF4451"/>
    <w:rsid w:val="1DFB128B"/>
    <w:rsid w:val="1E0353CB"/>
    <w:rsid w:val="1E0A3BC4"/>
    <w:rsid w:val="1E18182C"/>
    <w:rsid w:val="1E19489C"/>
    <w:rsid w:val="1E4D0E68"/>
    <w:rsid w:val="1E5F7CE3"/>
    <w:rsid w:val="1E690417"/>
    <w:rsid w:val="1E8D1FC1"/>
    <w:rsid w:val="1EDD2B2F"/>
    <w:rsid w:val="1EEA39CD"/>
    <w:rsid w:val="1EFA7C30"/>
    <w:rsid w:val="1F063325"/>
    <w:rsid w:val="1F1B770B"/>
    <w:rsid w:val="1F5D7D23"/>
    <w:rsid w:val="1F6F5922"/>
    <w:rsid w:val="1F7A1D89"/>
    <w:rsid w:val="1F7E1A5B"/>
    <w:rsid w:val="1F9B5111"/>
    <w:rsid w:val="1FA6661C"/>
    <w:rsid w:val="1FBC5DF5"/>
    <w:rsid w:val="1FCB72E5"/>
    <w:rsid w:val="1FF535FC"/>
    <w:rsid w:val="1FF72257"/>
    <w:rsid w:val="200603BB"/>
    <w:rsid w:val="200D2AFA"/>
    <w:rsid w:val="200F41A6"/>
    <w:rsid w:val="202857BC"/>
    <w:rsid w:val="20387569"/>
    <w:rsid w:val="20530D7F"/>
    <w:rsid w:val="20603504"/>
    <w:rsid w:val="206C0F9C"/>
    <w:rsid w:val="20AD5BD3"/>
    <w:rsid w:val="20D93A8B"/>
    <w:rsid w:val="20EC75B1"/>
    <w:rsid w:val="20EE3814"/>
    <w:rsid w:val="20F14799"/>
    <w:rsid w:val="20FB7FAA"/>
    <w:rsid w:val="210437B9"/>
    <w:rsid w:val="21152DF9"/>
    <w:rsid w:val="211B33DF"/>
    <w:rsid w:val="21361A0A"/>
    <w:rsid w:val="21425423"/>
    <w:rsid w:val="214B2529"/>
    <w:rsid w:val="21823CFC"/>
    <w:rsid w:val="21B67FAF"/>
    <w:rsid w:val="21B83F86"/>
    <w:rsid w:val="21D417A5"/>
    <w:rsid w:val="21E55E66"/>
    <w:rsid w:val="221178A8"/>
    <w:rsid w:val="22120EF0"/>
    <w:rsid w:val="221213CF"/>
    <w:rsid w:val="22182D9E"/>
    <w:rsid w:val="22327A92"/>
    <w:rsid w:val="227F0AA8"/>
    <w:rsid w:val="228F28EA"/>
    <w:rsid w:val="22A144DF"/>
    <w:rsid w:val="22A3415F"/>
    <w:rsid w:val="22A44D37"/>
    <w:rsid w:val="22A46395"/>
    <w:rsid w:val="22B1460E"/>
    <w:rsid w:val="22B73674"/>
    <w:rsid w:val="22B94124"/>
    <w:rsid w:val="22DD3D55"/>
    <w:rsid w:val="22EF67DD"/>
    <w:rsid w:val="22F028ED"/>
    <w:rsid w:val="231D53A2"/>
    <w:rsid w:val="23305D5F"/>
    <w:rsid w:val="23672FA4"/>
    <w:rsid w:val="23792BF2"/>
    <w:rsid w:val="23B7504C"/>
    <w:rsid w:val="23BC770E"/>
    <w:rsid w:val="23C8091F"/>
    <w:rsid w:val="23CC34AF"/>
    <w:rsid w:val="23D04F68"/>
    <w:rsid w:val="23F87D91"/>
    <w:rsid w:val="23FF0FA2"/>
    <w:rsid w:val="240E091B"/>
    <w:rsid w:val="241A569F"/>
    <w:rsid w:val="24571307"/>
    <w:rsid w:val="245F69A6"/>
    <w:rsid w:val="24681644"/>
    <w:rsid w:val="249D7540"/>
    <w:rsid w:val="24BA2984"/>
    <w:rsid w:val="24BA4B4F"/>
    <w:rsid w:val="24E0742D"/>
    <w:rsid w:val="250613CB"/>
    <w:rsid w:val="250F1DC2"/>
    <w:rsid w:val="25414E82"/>
    <w:rsid w:val="254168DF"/>
    <w:rsid w:val="254554E2"/>
    <w:rsid w:val="254E4396"/>
    <w:rsid w:val="255143B7"/>
    <w:rsid w:val="256601FE"/>
    <w:rsid w:val="25921BB6"/>
    <w:rsid w:val="259A582D"/>
    <w:rsid w:val="25A64EFF"/>
    <w:rsid w:val="25B85CB3"/>
    <w:rsid w:val="25C80C5B"/>
    <w:rsid w:val="25D44AD6"/>
    <w:rsid w:val="25D843C3"/>
    <w:rsid w:val="25F56F08"/>
    <w:rsid w:val="261B7A69"/>
    <w:rsid w:val="262E4311"/>
    <w:rsid w:val="26446DE3"/>
    <w:rsid w:val="26655261"/>
    <w:rsid w:val="266876DA"/>
    <w:rsid w:val="26734A28"/>
    <w:rsid w:val="26736128"/>
    <w:rsid w:val="2695319D"/>
    <w:rsid w:val="26B65D25"/>
    <w:rsid w:val="26C07516"/>
    <w:rsid w:val="26D1527F"/>
    <w:rsid w:val="26D7699F"/>
    <w:rsid w:val="26F22552"/>
    <w:rsid w:val="26F63912"/>
    <w:rsid w:val="27207F84"/>
    <w:rsid w:val="27443A19"/>
    <w:rsid w:val="278B4EE6"/>
    <w:rsid w:val="27A4478C"/>
    <w:rsid w:val="27A67F99"/>
    <w:rsid w:val="27B5050A"/>
    <w:rsid w:val="27FF6F70"/>
    <w:rsid w:val="28143C3B"/>
    <w:rsid w:val="282C40EB"/>
    <w:rsid w:val="28333D17"/>
    <w:rsid w:val="284B2E0F"/>
    <w:rsid w:val="286A04CF"/>
    <w:rsid w:val="286A466A"/>
    <w:rsid w:val="286B52E0"/>
    <w:rsid w:val="28893937"/>
    <w:rsid w:val="288B44A8"/>
    <w:rsid w:val="28984110"/>
    <w:rsid w:val="28A92EA0"/>
    <w:rsid w:val="28DF529E"/>
    <w:rsid w:val="29013255"/>
    <w:rsid w:val="29033CAF"/>
    <w:rsid w:val="2904718E"/>
    <w:rsid w:val="290B3B64"/>
    <w:rsid w:val="293A7AF4"/>
    <w:rsid w:val="297033D4"/>
    <w:rsid w:val="297A1869"/>
    <w:rsid w:val="29BB5F06"/>
    <w:rsid w:val="29C03F4E"/>
    <w:rsid w:val="29F734DD"/>
    <w:rsid w:val="2A2102CB"/>
    <w:rsid w:val="2A257B34"/>
    <w:rsid w:val="2A5821BF"/>
    <w:rsid w:val="2A65091E"/>
    <w:rsid w:val="2A932366"/>
    <w:rsid w:val="2AA0743E"/>
    <w:rsid w:val="2AAD0D12"/>
    <w:rsid w:val="2AED45F9"/>
    <w:rsid w:val="2B09065E"/>
    <w:rsid w:val="2B195446"/>
    <w:rsid w:val="2B2A08EA"/>
    <w:rsid w:val="2B45448D"/>
    <w:rsid w:val="2B46466A"/>
    <w:rsid w:val="2B4D4894"/>
    <w:rsid w:val="2B4F0E68"/>
    <w:rsid w:val="2B774624"/>
    <w:rsid w:val="2BAC66B6"/>
    <w:rsid w:val="2BBA621B"/>
    <w:rsid w:val="2BD01A9C"/>
    <w:rsid w:val="2BDC285A"/>
    <w:rsid w:val="2BE27A8A"/>
    <w:rsid w:val="2BE37B42"/>
    <w:rsid w:val="2C3E2DD3"/>
    <w:rsid w:val="2C5C5C81"/>
    <w:rsid w:val="2C666469"/>
    <w:rsid w:val="2C7A72BE"/>
    <w:rsid w:val="2C7D70D0"/>
    <w:rsid w:val="2C95418B"/>
    <w:rsid w:val="2CB66B69"/>
    <w:rsid w:val="2CBE62A5"/>
    <w:rsid w:val="2CCB124D"/>
    <w:rsid w:val="2CFD4502"/>
    <w:rsid w:val="2D1905B2"/>
    <w:rsid w:val="2D41674C"/>
    <w:rsid w:val="2D573383"/>
    <w:rsid w:val="2D70181A"/>
    <w:rsid w:val="2D82079F"/>
    <w:rsid w:val="2DA57465"/>
    <w:rsid w:val="2DC27A1E"/>
    <w:rsid w:val="2DD07372"/>
    <w:rsid w:val="2DFB13FE"/>
    <w:rsid w:val="2E313E9D"/>
    <w:rsid w:val="2E342629"/>
    <w:rsid w:val="2E3F1FBA"/>
    <w:rsid w:val="2E60513A"/>
    <w:rsid w:val="2E6952B5"/>
    <w:rsid w:val="2E7013BD"/>
    <w:rsid w:val="2E770747"/>
    <w:rsid w:val="2EA978AC"/>
    <w:rsid w:val="2EB61B31"/>
    <w:rsid w:val="2EBD258D"/>
    <w:rsid w:val="2ED0760B"/>
    <w:rsid w:val="2F1A79DF"/>
    <w:rsid w:val="2F232720"/>
    <w:rsid w:val="2F401D3C"/>
    <w:rsid w:val="2F437197"/>
    <w:rsid w:val="2F443B7E"/>
    <w:rsid w:val="2F6320F8"/>
    <w:rsid w:val="2F6C5DDD"/>
    <w:rsid w:val="2FA54582"/>
    <w:rsid w:val="2FA95C88"/>
    <w:rsid w:val="2FB93772"/>
    <w:rsid w:val="2FC82F97"/>
    <w:rsid w:val="2FD71E49"/>
    <w:rsid w:val="2FE97D6D"/>
    <w:rsid w:val="2FF124EE"/>
    <w:rsid w:val="2FFE4C0B"/>
    <w:rsid w:val="30275FC0"/>
    <w:rsid w:val="302E34D2"/>
    <w:rsid w:val="303B12D6"/>
    <w:rsid w:val="3041370F"/>
    <w:rsid w:val="30413836"/>
    <w:rsid w:val="30684D7B"/>
    <w:rsid w:val="30755827"/>
    <w:rsid w:val="3094583F"/>
    <w:rsid w:val="30A26617"/>
    <w:rsid w:val="30B31E99"/>
    <w:rsid w:val="30BE2D79"/>
    <w:rsid w:val="30DB1837"/>
    <w:rsid w:val="30EE4C54"/>
    <w:rsid w:val="30F57DAD"/>
    <w:rsid w:val="310149B3"/>
    <w:rsid w:val="314D6AF7"/>
    <w:rsid w:val="31570A76"/>
    <w:rsid w:val="315E6460"/>
    <w:rsid w:val="317A3C94"/>
    <w:rsid w:val="319C1BED"/>
    <w:rsid w:val="31B16017"/>
    <w:rsid w:val="31ED7358"/>
    <w:rsid w:val="31FA19C0"/>
    <w:rsid w:val="321D581C"/>
    <w:rsid w:val="323E41F3"/>
    <w:rsid w:val="32406B7F"/>
    <w:rsid w:val="32453A27"/>
    <w:rsid w:val="325E7BE3"/>
    <w:rsid w:val="32600F98"/>
    <w:rsid w:val="3263064A"/>
    <w:rsid w:val="32844AAD"/>
    <w:rsid w:val="32987598"/>
    <w:rsid w:val="32AC0C06"/>
    <w:rsid w:val="32B45324"/>
    <w:rsid w:val="32C825ED"/>
    <w:rsid w:val="32F07CFC"/>
    <w:rsid w:val="33114C55"/>
    <w:rsid w:val="33236B09"/>
    <w:rsid w:val="33326E13"/>
    <w:rsid w:val="3342059A"/>
    <w:rsid w:val="33753436"/>
    <w:rsid w:val="33895391"/>
    <w:rsid w:val="33AF2BC4"/>
    <w:rsid w:val="33AF6CB8"/>
    <w:rsid w:val="33CB7DEA"/>
    <w:rsid w:val="33D13E44"/>
    <w:rsid w:val="33F16546"/>
    <w:rsid w:val="33F24A86"/>
    <w:rsid w:val="34237336"/>
    <w:rsid w:val="343233A5"/>
    <w:rsid w:val="34355949"/>
    <w:rsid w:val="34526A6D"/>
    <w:rsid w:val="348F22D5"/>
    <w:rsid w:val="349F0383"/>
    <w:rsid w:val="34B5144C"/>
    <w:rsid w:val="34BF705E"/>
    <w:rsid w:val="34CA77B1"/>
    <w:rsid w:val="34F571CF"/>
    <w:rsid w:val="352A7547"/>
    <w:rsid w:val="352F39CF"/>
    <w:rsid w:val="3537750C"/>
    <w:rsid w:val="3537798C"/>
    <w:rsid w:val="35432242"/>
    <w:rsid w:val="355538D5"/>
    <w:rsid w:val="356C2FFF"/>
    <w:rsid w:val="35794430"/>
    <w:rsid w:val="35934474"/>
    <w:rsid w:val="35C13FC9"/>
    <w:rsid w:val="360874E7"/>
    <w:rsid w:val="3626118E"/>
    <w:rsid w:val="362E6D87"/>
    <w:rsid w:val="364257B6"/>
    <w:rsid w:val="36840A7D"/>
    <w:rsid w:val="369C5CAF"/>
    <w:rsid w:val="36A15E2F"/>
    <w:rsid w:val="36D05553"/>
    <w:rsid w:val="36D52E06"/>
    <w:rsid w:val="36DD6847"/>
    <w:rsid w:val="370137CD"/>
    <w:rsid w:val="370A2254"/>
    <w:rsid w:val="370C5988"/>
    <w:rsid w:val="372B09DB"/>
    <w:rsid w:val="374264D3"/>
    <w:rsid w:val="374A5AF6"/>
    <w:rsid w:val="37505BCF"/>
    <w:rsid w:val="37531C8E"/>
    <w:rsid w:val="376B527C"/>
    <w:rsid w:val="377A5B12"/>
    <w:rsid w:val="378326DE"/>
    <w:rsid w:val="378330E5"/>
    <w:rsid w:val="37846E6B"/>
    <w:rsid w:val="37A10C9D"/>
    <w:rsid w:val="37A25F13"/>
    <w:rsid w:val="37AF4CE7"/>
    <w:rsid w:val="37CC6816"/>
    <w:rsid w:val="37DB7874"/>
    <w:rsid w:val="37EA5922"/>
    <w:rsid w:val="37F7095F"/>
    <w:rsid w:val="380A05F1"/>
    <w:rsid w:val="38276B93"/>
    <w:rsid w:val="383F1BE5"/>
    <w:rsid w:val="38571D4F"/>
    <w:rsid w:val="388B3042"/>
    <w:rsid w:val="38CC32C4"/>
    <w:rsid w:val="38F4537F"/>
    <w:rsid w:val="38F679AD"/>
    <w:rsid w:val="393953C8"/>
    <w:rsid w:val="394473A0"/>
    <w:rsid w:val="395B4E7C"/>
    <w:rsid w:val="39857FA0"/>
    <w:rsid w:val="39AF18CA"/>
    <w:rsid w:val="39D122C9"/>
    <w:rsid w:val="39D12FF5"/>
    <w:rsid w:val="39E608A1"/>
    <w:rsid w:val="39EF6F04"/>
    <w:rsid w:val="39F71049"/>
    <w:rsid w:val="3A0B64A7"/>
    <w:rsid w:val="3A0D4EBF"/>
    <w:rsid w:val="3A3E7B24"/>
    <w:rsid w:val="3A9B5311"/>
    <w:rsid w:val="3A9D2DCC"/>
    <w:rsid w:val="3AA1633F"/>
    <w:rsid w:val="3AC52EF5"/>
    <w:rsid w:val="3ACD44B1"/>
    <w:rsid w:val="3AEB7A38"/>
    <w:rsid w:val="3AF74C02"/>
    <w:rsid w:val="3AFD443D"/>
    <w:rsid w:val="3B0C4680"/>
    <w:rsid w:val="3B286C5A"/>
    <w:rsid w:val="3B3E22EA"/>
    <w:rsid w:val="3B412FAB"/>
    <w:rsid w:val="3B4820D0"/>
    <w:rsid w:val="3B64607D"/>
    <w:rsid w:val="3B6B5F12"/>
    <w:rsid w:val="3B790F9A"/>
    <w:rsid w:val="3B7F0AC1"/>
    <w:rsid w:val="3B972ED2"/>
    <w:rsid w:val="3BE473AB"/>
    <w:rsid w:val="3BF8112F"/>
    <w:rsid w:val="3BF877CB"/>
    <w:rsid w:val="3C0059A5"/>
    <w:rsid w:val="3C134E78"/>
    <w:rsid w:val="3C225536"/>
    <w:rsid w:val="3C376097"/>
    <w:rsid w:val="3C5E791A"/>
    <w:rsid w:val="3C694C57"/>
    <w:rsid w:val="3C802278"/>
    <w:rsid w:val="3C9C5F78"/>
    <w:rsid w:val="3CA82BDD"/>
    <w:rsid w:val="3CD97263"/>
    <w:rsid w:val="3CF163D1"/>
    <w:rsid w:val="3CF25AF7"/>
    <w:rsid w:val="3D0715A3"/>
    <w:rsid w:val="3D0A17A7"/>
    <w:rsid w:val="3D1E74C1"/>
    <w:rsid w:val="3D540560"/>
    <w:rsid w:val="3D864BBD"/>
    <w:rsid w:val="3D953A3C"/>
    <w:rsid w:val="3DB16E50"/>
    <w:rsid w:val="3DEF013E"/>
    <w:rsid w:val="3DF6345D"/>
    <w:rsid w:val="3E0850AE"/>
    <w:rsid w:val="3E282408"/>
    <w:rsid w:val="3E3444BC"/>
    <w:rsid w:val="3E35213F"/>
    <w:rsid w:val="3E4329F2"/>
    <w:rsid w:val="3E4D330A"/>
    <w:rsid w:val="3E6B5B61"/>
    <w:rsid w:val="3E713A29"/>
    <w:rsid w:val="3EA07024"/>
    <w:rsid w:val="3EC51715"/>
    <w:rsid w:val="3EE13701"/>
    <w:rsid w:val="3EE8492E"/>
    <w:rsid w:val="3F0A7128"/>
    <w:rsid w:val="3F197792"/>
    <w:rsid w:val="3F1A035E"/>
    <w:rsid w:val="3F1A4BB3"/>
    <w:rsid w:val="3F23643C"/>
    <w:rsid w:val="3F450160"/>
    <w:rsid w:val="3F530871"/>
    <w:rsid w:val="3F6C62EC"/>
    <w:rsid w:val="3F9C3C49"/>
    <w:rsid w:val="3F9D680A"/>
    <w:rsid w:val="3FA465D7"/>
    <w:rsid w:val="3FB50CD0"/>
    <w:rsid w:val="3FC93D4B"/>
    <w:rsid w:val="3FF46033"/>
    <w:rsid w:val="40035DDC"/>
    <w:rsid w:val="40192BA6"/>
    <w:rsid w:val="401E3F60"/>
    <w:rsid w:val="404E74E8"/>
    <w:rsid w:val="40501DF6"/>
    <w:rsid w:val="405A0EC6"/>
    <w:rsid w:val="408334A9"/>
    <w:rsid w:val="40844CB8"/>
    <w:rsid w:val="40895253"/>
    <w:rsid w:val="40B62C30"/>
    <w:rsid w:val="410C5900"/>
    <w:rsid w:val="41354204"/>
    <w:rsid w:val="41475B95"/>
    <w:rsid w:val="41724B9B"/>
    <w:rsid w:val="41757E3A"/>
    <w:rsid w:val="419413F4"/>
    <w:rsid w:val="41A835D2"/>
    <w:rsid w:val="41BF7FE9"/>
    <w:rsid w:val="41C42BF4"/>
    <w:rsid w:val="41F10C39"/>
    <w:rsid w:val="41FC219C"/>
    <w:rsid w:val="42043526"/>
    <w:rsid w:val="42513ADD"/>
    <w:rsid w:val="42550A18"/>
    <w:rsid w:val="426601FF"/>
    <w:rsid w:val="42AA1BED"/>
    <w:rsid w:val="42B424FC"/>
    <w:rsid w:val="42BA4B3A"/>
    <w:rsid w:val="42E63FD0"/>
    <w:rsid w:val="42EA29D6"/>
    <w:rsid w:val="42F473A1"/>
    <w:rsid w:val="42FC0372"/>
    <w:rsid w:val="43046C7E"/>
    <w:rsid w:val="430E0459"/>
    <w:rsid w:val="4364101B"/>
    <w:rsid w:val="43927F47"/>
    <w:rsid w:val="43962AEF"/>
    <w:rsid w:val="43A02A50"/>
    <w:rsid w:val="43AC63D7"/>
    <w:rsid w:val="43B06757"/>
    <w:rsid w:val="43C56053"/>
    <w:rsid w:val="43D16888"/>
    <w:rsid w:val="43EA5BC6"/>
    <w:rsid w:val="441018C0"/>
    <w:rsid w:val="44103433"/>
    <w:rsid w:val="4419602F"/>
    <w:rsid w:val="441D16AC"/>
    <w:rsid w:val="441E62C0"/>
    <w:rsid w:val="442347E8"/>
    <w:rsid w:val="443864E5"/>
    <w:rsid w:val="44843A29"/>
    <w:rsid w:val="448D4A83"/>
    <w:rsid w:val="44A40B8C"/>
    <w:rsid w:val="44A9788A"/>
    <w:rsid w:val="44AE49BE"/>
    <w:rsid w:val="44B97A3D"/>
    <w:rsid w:val="44C10289"/>
    <w:rsid w:val="44C125DD"/>
    <w:rsid w:val="44D47285"/>
    <w:rsid w:val="44E81CBA"/>
    <w:rsid w:val="44FD5801"/>
    <w:rsid w:val="44FF5255"/>
    <w:rsid w:val="4517491E"/>
    <w:rsid w:val="451B616E"/>
    <w:rsid w:val="452A0524"/>
    <w:rsid w:val="45455F5D"/>
    <w:rsid w:val="4554734F"/>
    <w:rsid w:val="457277D5"/>
    <w:rsid w:val="45811C7C"/>
    <w:rsid w:val="459040FF"/>
    <w:rsid w:val="45A41848"/>
    <w:rsid w:val="45D264C6"/>
    <w:rsid w:val="45E72B74"/>
    <w:rsid w:val="46206CE3"/>
    <w:rsid w:val="464F0AEA"/>
    <w:rsid w:val="46633F07"/>
    <w:rsid w:val="46787E89"/>
    <w:rsid w:val="468A074A"/>
    <w:rsid w:val="468A3669"/>
    <w:rsid w:val="468B3EFB"/>
    <w:rsid w:val="468E27CD"/>
    <w:rsid w:val="46924613"/>
    <w:rsid w:val="46B20136"/>
    <w:rsid w:val="46BF4C9C"/>
    <w:rsid w:val="46D26521"/>
    <w:rsid w:val="46DA06CE"/>
    <w:rsid w:val="46DD25D9"/>
    <w:rsid w:val="46F5399C"/>
    <w:rsid w:val="46FF778E"/>
    <w:rsid w:val="470A6193"/>
    <w:rsid w:val="474775FE"/>
    <w:rsid w:val="47766090"/>
    <w:rsid w:val="478665E8"/>
    <w:rsid w:val="47A17E01"/>
    <w:rsid w:val="47B6091B"/>
    <w:rsid w:val="47BC2D21"/>
    <w:rsid w:val="47CF0DDC"/>
    <w:rsid w:val="47D9484E"/>
    <w:rsid w:val="47DC4F5C"/>
    <w:rsid w:val="47F62DBA"/>
    <w:rsid w:val="47FE1C87"/>
    <w:rsid w:val="480E7C08"/>
    <w:rsid w:val="481B6E71"/>
    <w:rsid w:val="481C6D75"/>
    <w:rsid w:val="48243B68"/>
    <w:rsid w:val="484A4A39"/>
    <w:rsid w:val="485B78C5"/>
    <w:rsid w:val="487B4BF3"/>
    <w:rsid w:val="48847404"/>
    <w:rsid w:val="48B2747B"/>
    <w:rsid w:val="48B40671"/>
    <w:rsid w:val="48D118F2"/>
    <w:rsid w:val="48FB4C86"/>
    <w:rsid w:val="48FF25D1"/>
    <w:rsid w:val="49767777"/>
    <w:rsid w:val="4980707E"/>
    <w:rsid w:val="498A7FB7"/>
    <w:rsid w:val="499B5738"/>
    <w:rsid w:val="499D7C4A"/>
    <w:rsid w:val="499F244D"/>
    <w:rsid w:val="49C45812"/>
    <w:rsid w:val="49C95F6F"/>
    <w:rsid w:val="49E22BC4"/>
    <w:rsid w:val="49E76C62"/>
    <w:rsid w:val="49EC3FFA"/>
    <w:rsid w:val="49FD6C71"/>
    <w:rsid w:val="4A177DC9"/>
    <w:rsid w:val="4A2A2FB8"/>
    <w:rsid w:val="4A5B2F2E"/>
    <w:rsid w:val="4A5E47CC"/>
    <w:rsid w:val="4A6A3171"/>
    <w:rsid w:val="4A8A7297"/>
    <w:rsid w:val="4A8F58C2"/>
    <w:rsid w:val="4A933931"/>
    <w:rsid w:val="4A981A8C"/>
    <w:rsid w:val="4AAA1D38"/>
    <w:rsid w:val="4AB7533B"/>
    <w:rsid w:val="4ACD18C8"/>
    <w:rsid w:val="4AF8490A"/>
    <w:rsid w:val="4AF91FE2"/>
    <w:rsid w:val="4AF96BC7"/>
    <w:rsid w:val="4B4C1690"/>
    <w:rsid w:val="4B641CF0"/>
    <w:rsid w:val="4B68689B"/>
    <w:rsid w:val="4B700C5B"/>
    <w:rsid w:val="4B8322F0"/>
    <w:rsid w:val="4B8A33E0"/>
    <w:rsid w:val="4BA821A3"/>
    <w:rsid w:val="4BFB4050"/>
    <w:rsid w:val="4BFC24EE"/>
    <w:rsid w:val="4C501A44"/>
    <w:rsid w:val="4C513C42"/>
    <w:rsid w:val="4C776080"/>
    <w:rsid w:val="4C816990"/>
    <w:rsid w:val="4CE748E1"/>
    <w:rsid w:val="4CE779DE"/>
    <w:rsid w:val="4CED7344"/>
    <w:rsid w:val="4CEF36E2"/>
    <w:rsid w:val="4D2226C1"/>
    <w:rsid w:val="4D2E0486"/>
    <w:rsid w:val="4D3B1120"/>
    <w:rsid w:val="4D556548"/>
    <w:rsid w:val="4D941508"/>
    <w:rsid w:val="4DC31516"/>
    <w:rsid w:val="4E140493"/>
    <w:rsid w:val="4E3A208D"/>
    <w:rsid w:val="4E516C0B"/>
    <w:rsid w:val="4E7B594C"/>
    <w:rsid w:val="4EA81A2F"/>
    <w:rsid w:val="4EAC6020"/>
    <w:rsid w:val="4EAF5DA4"/>
    <w:rsid w:val="4EB32D66"/>
    <w:rsid w:val="4EB96475"/>
    <w:rsid w:val="4EBE7F2F"/>
    <w:rsid w:val="4EC01154"/>
    <w:rsid w:val="4EE74140"/>
    <w:rsid w:val="4EF7686B"/>
    <w:rsid w:val="4EFA24EA"/>
    <w:rsid w:val="4F372FFB"/>
    <w:rsid w:val="4F644C38"/>
    <w:rsid w:val="4F652159"/>
    <w:rsid w:val="4F6E60DE"/>
    <w:rsid w:val="4F714AE4"/>
    <w:rsid w:val="4F7B7A30"/>
    <w:rsid w:val="4F941D71"/>
    <w:rsid w:val="4FAB400F"/>
    <w:rsid w:val="4FBF3F5F"/>
    <w:rsid w:val="4FEE5732"/>
    <w:rsid w:val="502F51A3"/>
    <w:rsid w:val="50306C0B"/>
    <w:rsid w:val="50596D30"/>
    <w:rsid w:val="50633173"/>
    <w:rsid w:val="50640A39"/>
    <w:rsid w:val="50942694"/>
    <w:rsid w:val="50AC6DEA"/>
    <w:rsid w:val="50CF287C"/>
    <w:rsid w:val="5107796B"/>
    <w:rsid w:val="511D0F3D"/>
    <w:rsid w:val="51324AC5"/>
    <w:rsid w:val="51394A0A"/>
    <w:rsid w:val="514214DC"/>
    <w:rsid w:val="51524645"/>
    <w:rsid w:val="5153164D"/>
    <w:rsid w:val="5156444F"/>
    <w:rsid w:val="515774C6"/>
    <w:rsid w:val="51637BEC"/>
    <w:rsid w:val="5164091A"/>
    <w:rsid w:val="51DF2696"/>
    <w:rsid w:val="51EA0BE8"/>
    <w:rsid w:val="51EF0030"/>
    <w:rsid w:val="51F7371D"/>
    <w:rsid w:val="521D4F6D"/>
    <w:rsid w:val="527256E3"/>
    <w:rsid w:val="52A336A2"/>
    <w:rsid w:val="52AC2690"/>
    <w:rsid w:val="52AC5686"/>
    <w:rsid w:val="52C10D75"/>
    <w:rsid w:val="52C75CA5"/>
    <w:rsid w:val="52CB49C9"/>
    <w:rsid w:val="52DD747F"/>
    <w:rsid w:val="530D4FE1"/>
    <w:rsid w:val="5316015D"/>
    <w:rsid w:val="532577D5"/>
    <w:rsid w:val="53530C46"/>
    <w:rsid w:val="535943A9"/>
    <w:rsid w:val="535E11E7"/>
    <w:rsid w:val="5370740E"/>
    <w:rsid w:val="53746E0E"/>
    <w:rsid w:val="538E6122"/>
    <w:rsid w:val="53AD1D22"/>
    <w:rsid w:val="53B01CF2"/>
    <w:rsid w:val="53B81EE5"/>
    <w:rsid w:val="53BC7A47"/>
    <w:rsid w:val="53C60ADF"/>
    <w:rsid w:val="53DE59A8"/>
    <w:rsid w:val="53E030A9"/>
    <w:rsid w:val="53E66CCA"/>
    <w:rsid w:val="53F73B85"/>
    <w:rsid w:val="54171005"/>
    <w:rsid w:val="541F2B8E"/>
    <w:rsid w:val="54216F83"/>
    <w:rsid w:val="544256CC"/>
    <w:rsid w:val="54705F59"/>
    <w:rsid w:val="54717BEB"/>
    <w:rsid w:val="548B5741"/>
    <w:rsid w:val="54902B3C"/>
    <w:rsid w:val="54E0475B"/>
    <w:rsid w:val="54E762B6"/>
    <w:rsid w:val="54F8431E"/>
    <w:rsid w:val="54FC6D12"/>
    <w:rsid w:val="550C4BD7"/>
    <w:rsid w:val="551E0533"/>
    <w:rsid w:val="55255313"/>
    <w:rsid w:val="5527584B"/>
    <w:rsid w:val="55401D6C"/>
    <w:rsid w:val="554C4194"/>
    <w:rsid w:val="55572986"/>
    <w:rsid w:val="555B0286"/>
    <w:rsid w:val="55656729"/>
    <w:rsid w:val="556603F6"/>
    <w:rsid w:val="558756A0"/>
    <w:rsid w:val="558E3B46"/>
    <w:rsid w:val="559A0800"/>
    <w:rsid w:val="55AC361A"/>
    <w:rsid w:val="55CF0B80"/>
    <w:rsid w:val="55DA5C93"/>
    <w:rsid w:val="55EE09B5"/>
    <w:rsid w:val="56382375"/>
    <w:rsid w:val="57715FE8"/>
    <w:rsid w:val="582C6290"/>
    <w:rsid w:val="583A591C"/>
    <w:rsid w:val="58422359"/>
    <w:rsid w:val="584E7BC1"/>
    <w:rsid w:val="585070F0"/>
    <w:rsid w:val="585711D8"/>
    <w:rsid w:val="589046EA"/>
    <w:rsid w:val="58A93002"/>
    <w:rsid w:val="58DF11CE"/>
    <w:rsid w:val="58E84F27"/>
    <w:rsid w:val="592A095A"/>
    <w:rsid w:val="59441031"/>
    <w:rsid w:val="596E15C2"/>
    <w:rsid w:val="597C465F"/>
    <w:rsid w:val="59BB7545"/>
    <w:rsid w:val="59BD50C9"/>
    <w:rsid w:val="59CD16F1"/>
    <w:rsid w:val="59D625D1"/>
    <w:rsid w:val="59D8236A"/>
    <w:rsid w:val="5A0507C0"/>
    <w:rsid w:val="5A2B56FD"/>
    <w:rsid w:val="5A403EEE"/>
    <w:rsid w:val="5A461504"/>
    <w:rsid w:val="5A506865"/>
    <w:rsid w:val="5A523487"/>
    <w:rsid w:val="5A5A528C"/>
    <w:rsid w:val="5A71080E"/>
    <w:rsid w:val="5A862593"/>
    <w:rsid w:val="5A8B5169"/>
    <w:rsid w:val="5A957D93"/>
    <w:rsid w:val="5AA71877"/>
    <w:rsid w:val="5ABA49C0"/>
    <w:rsid w:val="5AC43E10"/>
    <w:rsid w:val="5AD67D94"/>
    <w:rsid w:val="5AE27AA9"/>
    <w:rsid w:val="5B3973A5"/>
    <w:rsid w:val="5B6A0607"/>
    <w:rsid w:val="5B9C20DB"/>
    <w:rsid w:val="5BB50EF6"/>
    <w:rsid w:val="5BBD741D"/>
    <w:rsid w:val="5BC052E6"/>
    <w:rsid w:val="5BC62F1F"/>
    <w:rsid w:val="5BC85F49"/>
    <w:rsid w:val="5BD46EBF"/>
    <w:rsid w:val="5BF57A15"/>
    <w:rsid w:val="5C084DCE"/>
    <w:rsid w:val="5C1D00AB"/>
    <w:rsid w:val="5C4E46A0"/>
    <w:rsid w:val="5C730ABA"/>
    <w:rsid w:val="5C86208C"/>
    <w:rsid w:val="5CB84210"/>
    <w:rsid w:val="5CC17C13"/>
    <w:rsid w:val="5CC52B17"/>
    <w:rsid w:val="5CD31B06"/>
    <w:rsid w:val="5CD728E8"/>
    <w:rsid w:val="5CDA5F34"/>
    <w:rsid w:val="5CDB3503"/>
    <w:rsid w:val="5CDD2367"/>
    <w:rsid w:val="5CF166C9"/>
    <w:rsid w:val="5CFE279C"/>
    <w:rsid w:val="5CFF733E"/>
    <w:rsid w:val="5D1276BE"/>
    <w:rsid w:val="5D1860CB"/>
    <w:rsid w:val="5D5B0BB2"/>
    <w:rsid w:val="5D5C60D0"/>
    <w:rsid w:val="5DA16576"/>
    <w:rsid w:val="5DA2372A"/>
    <w:rsid w:val="5DB43BC6"/>
    <w:rsid w:val="5DD85D90"/>
    <w:rsid w:val="5DD961EC"/>
    <w:rsid w:val="5DEF1EB3"/>
    <w:rsid w:val="5DFA72A7"/>
    <w:rsid w:val="5DFD62AF"/>
    <w:rsid w:val="5E0E085B"/>
    <w:rsid w:val="5E1B7B71"/>
    <w:rsid w:val="5E281D50"/>
    <w:rsid w:val="5E345D1B"/>
    <w:rsid w:val="5EB822A5"/>
    <w:rsid w:val="5EC21572"/>
    <w:rsid w:val="5ED4797E"/>
    <w:rsid w:val="5EEA6F44"/>
    <w:rsid w:val="5F1C6CD8"/>
    <w:rsid w:val="5F301346"/>
    <w:rsid w:val="5F3176B9"/>
    <w:rsid w:val="5F3F0461"/>
    <w:rsid w:val="5F502B10"/>
    <w:rsid w:val="5F6076DB"/>
    <w:rsid w:val="5F7239A5"/>
    <w:rsid w:val="5F926F9A"/>
    <w:rsid w:val="5F9D47EA"/>
    <w:rsid w:val="5FA77C77"/>
    <w:rsid w:val="5FAF380A"/>
    <w:rsid w:val="5FB32210"/>
    <w:rsid w:val="600B28A8"/>
    <w:rsid w:val="600C0923"/>
    <w:rsid w:val="6054424F"/>
    <w:rsid w:val="605A0420"/>
    <w:rsid w:val="606007BB"/>
    <w:rsid w:val="606036A1"/>
    <w:rsid w:val="60607DAB"/>
    <w:rsid w:val="60AC7F66"/>
    <w:rsid w:val="60B076B6"/>
    <w:rsid w:val="60B67C25"/>
    <w:rsid w:val="60BE0930"/>
    <w:rsid w:val="60C56EFB"/>
    <w:rsid w:val="60D70D00"/>
    <w:rsid w:val="60F055F7"/>
    <w:rsid w:val="611D6D37"/>
    <w:rsid w:val="615C1188"/>
    <w:rsid w:val="616366D4"/>
    <w:rsid w:val="618835DC"/>
    <w:rsid w:val="61BF10D9"/>
    <w:rsid w:val="61F636C4"/>
    <w:rsid w:val="620C634F"/>
    <w:rsid w:val="62270670"/>
    <w:rsid w:val="62310D8F"/>
    <w:rsid w:val="624A3CBD"/>
    <w:rsid w:val="624F75D6"/>
    <w:rsid w:val="62512EF7"/>
    <w:rsid w:val="62523A04"/>
    <w:rsid w:val="62593D9F"/>
    <w:rsid w:val="626B1130"/>
    <w:rsid w:val="62730AC5"/>
    <w:rsid w:val="62A115DE"/>
    <w:rsid w:val="62A8028B"/>
    <w:rsid w:val="62A80882"/>
    <w:rsid w:val="62B20138"/>
    <w:rsid w:val="62BE3C02"/>
    <w:rsid w:val="62D665B5"/>
    <w:rsid w:val="62F22F8A"/>
    <w:rsid w:val="62FD472A"/>
    <w:rsid w:val="63053881"/>
    <w:rsid w:val="63116428"/>
    <w:rsid w:val="632D797C"/>
    <w:rsid w:val="632F7DC1"/>
    <w:rsid w:val="633B16F7"/>
    <w:rsid w:val="636C2774"/>
    <w:rsid w:val="6370375A"/>
    <w:rsid w:val="63712462"/>
    <w:rsid w:val="637335A3"/>
    <w:rsid w:val="638D0016"/>
    <w:rsid w:val="63C6393F"/>
    <w:rsid w:val="63CE7F9C"/>
    <w:rsid w:val="63E43B3C"/>
    <w:rsid w:val="63EB60FE"/>
    <w:rsid w:val="640C7C21"/>
    <w:rsid w:val="64436203"/>
    <w:rsid w:val="644D1781"/>
    <w:rsid w:val="646130A5"/>
    <w:rsid w:val="646D3B32"/>
    <w:rsid w:val="64794774"/>
    <w:rsid w:val="647A360A"/>
    <w:rsid w:val="647C5B23"/>
    <w:rsid w:val="6490769C"/>
    <w:rsid w:val="64AA48F3"/>
    <w:rsid w:val="64D32693"/>
    <w:rsid w:val="64D70FAB"/>
    <w:rsid w:val="64DC3487"/>
    <w:rsid w:val="64E45EF7"/>
    <w:rsid w:val="650647F6"/>
    <w:rsid w:val="651353CF"/>
    <w:rsid w:val="65474383"/>
    <w:rsid w:val="65705687"/>
    <w:rsid w:val="657960D0"/>
    <w:rsid w:val="65A93AD5"/>
    <w:rsid w:val="65B10A9B"/>
    <w:rsid w:val="65B37C6A"/>
    <w:rsid w:val="65DA51F7"/>
    <w:rsid w:val="66794A10"/>
    <w:rsid w:val="668626BA"/>
    <w:rsid w:val="669B6734"/>
    <w:rsid w:val="66A6332B"/>
    <w:rsid w:val="66C719A1"/>
    <w:rsid w:val="66D457C1"/>
    <w:rsid w:val="66D734E4"/>
    <w:rsid w:val="66E913E7"/>
    <w:rsid w:val="66E95DA1"/>
    <w:rsid w:val="6713178C"/>
    <w:rsid w:val="6762412B"/>
    <w:rsid w:val="677435B2"/>
    <w:rsid w:val="67852BE5"/>
    <w:rsid w:val="679B1D06"/>
    <w:rsid w:val="67A34FAA"/>
    <w:rsid w:val="67CD6582"/>
    <w:rsid w:val="67D0475F"/>
    <w:rsid w:val="67EF75F1"/>
    <w:rsid w:val="682C7077"/>
    <w:rsid w:val="68340093"/>
    <w:rsid w:val="68400C6C"/>
    <w:rsid w:val="68416983"/>
    <w:rsid w:val="68560CB2"/>
    <w:rsid w:val="68C71474"/>
    <w:rsid w:val="68C93348"/>
    <w:rsid w:val="68CA77A4"/>
    <w:rsid w:val="69124F16"/>
    <w:rsid w:val="691729B9"/>
    <w:rsid w:val="69180B03"/>
    <w:rsid w:val="694641F3"/>
    <w:rsid w:val="695A0043"/>
    <w:rsid w:val="695B0770"/>
    <w:rsid w:val="697B6072"/>
    <w:rsid w:val="6982451A"/>
    <w:rsid w:val="699121C1"/>
    <w:rsid w:val="69BC08B0"/>
    <w:rsid w:val="69C64B0E"/>
    <w:rsid w:val="69CD5C14"/>
    <w:rsid w:val="69CF0D33"/>
    <w:rsid w:val="69E06B54"/>
    <w:rsid w:val="69F36887"/>
    <w:rsid w:val="6A244C92"/>
    <w:rsid w:val="6A2B2AD8"/>
    <w:rsid w:val="6A3053E5"/>
    <w:rsid w:val="6A37294F"/>
    <w:rsid w:val="6A60517F"/>
    <w:rsid w:val="6A621377"/>
    <w:rsid w:val="6A665BEA"/>
    <w:rsid w:val="6A765FA6"/>
    <w:rsid w:val="6A9931FF"/>
    <w:rsid w:val="6AA91DB8"/>
    <w:rsid w:val="6AB4101F"/>
    <w:rsid w:val="6ACB60BB"/>
    <w:rsid w:val="6AE8508B"/>
    <w:rsid w:val="6AF723A7"/>
    <w:rsid w:val="6B0D1BCA"/>
    <w:rsid w:val="6B1A26DB"/>
    <w:rsid w:val="6B3B6738"/>
    <w:rsid w:val="6B8D111F"/>
    <w:rsid w:val="6B903E85"/>
    <w:rsid w:val="6B935963"/>
    <w:rsid w:val="6B9946B3"/>
    <w:rsid w:val="6B9D0F9D"/>
    <w:rsid w:val="6BC34D1E"/>
    <w:rsid w:val="6BCA2D65"/>
    <w:rsid w:val="6BE1298B"/>
    <w:rsid w:val="6BE51391"/>
    <w:rsid w:val="6C1A709F"/>
    <w:rsid w:val="6C1F7998"/>
    <w:rsid w:val="6C2E004A"/>
    <w:rsid w:val="6C4A50D1"/>
    <w:rsid w:val="6C640193"/>
    <w:rsid w:val="6C666467"/>
    <w:rsid w:val="6C722EF2"/>
    <w:rsid w:val="6C8B6C15"/>
    <w:rsid w:val="6C9300E0"/>
    <w:rsid w:val="6CB71DEE"/>
    <w:rsid w:val="6CBB2B21"/>
    <w:rsid w:val="6CBD4F2A"/>
    <w:rsid w:val="6CDF1345"/>
    <w:rsid w:val="6CE139E2"/>
    <w:rsid w:val="6CF26F8C"/>
    <w:rsid w:val="6CFE4CAA"/>
    <w:rsid w:val="6D162FB8"/>
    <w:rsid w:val="6D4C79DE"/>
    <w:rsid w:val="6D614100"/>
    <w:rsid w:val="6D866257"/>
    <w:rsid w:val="6D875C64"/>
    <w:rsid w:val="6D895531"/>
    <w:rsid w:val="6D9D581D"/>
    <w:rsid w:val="6D9F3BE5"/>
    <w:rsid w:val="6DAC3053"/>
    <w:rsid w:val="6DB27E9C"/>
    <w:rsid w:val="6DC04D4B"/>
    <w:rsid w:val="6DC9385F"/>
    <w:rsid w:val="6DD4663E"/>
    <w:rsid w:val="6DE76850"/>
    <w:rsid w:val="6DE9247B"/>
    <w:rsid w:val="6E011E5D"/>
    <w:rsid w:val="6E0A5F70"/>
    <w:rsid w:val="6E0E45E1"/>
    <w:rsid w:val="6E293B49"/>
    <w:rsid w:val="6E2F4E5F"/>
    <w:rsid w:val="6E3B698F"/>
    <w:rsid w:val="6E3D1B65"/>
    <w:rsid w:val="6E5D1A2C"/>
    <w:rsid w:val="6E723819"/>
    <w:rsid w:val="6E776A87"/>
    <w:rsid w:val="6E846DFB"/>
    <w:rsid w:val="6E866461"/>
    <w:rsid w:val="6E9536A5"/>
    <w:rsid w:val="6E9544FD"/>
    <w:rsid w:val="6EA168B2"/>
    <w:rsid w:val="6EA87530"/>
    <w:rsid w:val="6F047D3C"/>
    <w:rsid w:val="6F0547B1"/>
    <w:rsid w:val="6F20011E"/>
    <w:rsid w:val="6F866004"/>
    <w:rsid w:val="6F886EA2"/>
    <w:rsid w:val="6F991C7F"/>
    <w:rsid w:val="6FB20BD4"/>
    <w:rsid w:val="6FBA59BE"/>
    <w:rsid w:val="6FD07D1D"/>
    <w:rsid w:val="6FEE562A"/>
    <w:rsid w:val="6FF352AC"/>
    <w:rsid w:val="6FF46638"/>
    <w:rsid w:val="70296B3E"/>
    <w:rsid w:val="70334649"/>
    <w:rsid w:val="703D7D31"/>
    <w:rsid w:val="70411FBB"/>
    <w:rsid w:val="704716DB"/>
    <w:rsid w:val="70611204"/>
    <w:rsid w:val="7089614F"/>
    <w:rsid w:val="708B0FCF"/>
    <w:rsid w:val="709370DD"/>
    <w:rsid w:val="70B30FF5"/>
    <w:rsid w:val="70B40E04"/>
    <w:rsid w:val="70BD199D"/>
    <w:rsid w:val="70BE4E07"/>
    <w:rsid w:val="70C80D12"/>
    <w:rsid w:val="70CB7351"/>
    <w:rsid w:val="70DB1EF8"/>
    <w:rsid w:val="710021F1"/>
    <w:rsid w:val="71075CF1"/>
    <w:rsid w:val="712349C4"/>
    <w:rsid w:val="71237A52"/>
    <w:rsid w:val="712E093E"/>
    <w:rsid w:val="713734FD"/>
    <w:rsid w:val="71443C37"/>
    <w:rsid w:val="71460DC4"/>
    <w:rsid w:val="71687B5B"/>
    <w:rsid w:val="71701708"/>
    <w:rsid w:val="717958C4"/>
    <w:rsid w:val="71B60311"/>
    <w:rsid w:val="71CD3E62"/>
    <w:rsid w:val="71D026C6"/>
    <w:rsid w:val="71D92806"/>
    <w:rsid w:val="71F64B04"/>
    <w:rsid w:val="71FE1F10"/>
    <w:rsid w:val="722241AD"/>
    <w:rsid w:val="722703D7"/>
    <w:rsid w:val="722E1EA5"/>
    <w:rsid w:val="724203AC"/>
    <w:rsid w:val="72700673"/>
    <w:rsid w:val="72B2653C"/>
    <w:rsid w:val="72C928DE"/>
    <w:rsid w:val="72F47CB6"/>
    <w:rsid w:val="730A1B38"/>
    <w:rsid w:val="732551F6"/>
    <w:rsid w:val="73380993"/>
    <w:rsid w:val="73830C7C"/>
    <w:rsid w:val="73852C46"/>
    <w:rsid w:val="73861D97"/>
    <w:rsid w:val="739A20CC"/>
    <w:rsid w:val="739F5D0B"/>
    <w:rsid w:val="73A86934"/>
    <w:rsid w:val="73C06D07"/>
    <w:rsid w:val="73C3376E"/>
    <w:rsid w:val="73C62B81"/>
    <w:rsid w:val="73DD6D85"/>
    <w:rsid w:val="73F4055C"/>
    <w:rsid w:val="74253AE1"/>
    <w:rsid w:val="74311F2E"/>
    <w:rsid w:val="7434641A"/>
    <w:rsid w:val="74531350"/>
    <w:rsid w:val="745B6E82"/>
    <w:rsid w:val="746644BF"/>
    <w:rsid w:val="74686B07"/>
    <w:rsid w:val="746C7962"/>
    <w:rsid w:val="748C0004"/>
    <w:rsid w:val="74AA2DF3"/>
    <w:rsid w:val="74AC1B7A"/>
    <w:rsid w:val="74C0380A"/>
    <w:rsid w:val="74E120FE"/>
    <w:rsid w:val="74F55BA9"/>
    <w:rsid w:val="74FA2C30"/>
    <w:rsid w:val="750202AB"/>
    <w:rsid w:val="75296A22"/>
    <w:rsid w:val="753619A8"/>
    <w:rsid w:val="7544443B"/>
    <w:rsid w:val="754A6D0E"/>
    <w:rsid w:val="754E0E15"/>
    <w:rsid w:val="754E3901"/>
    <w:rsid w:val="756248C1"/>
    <w:rsid w:val="758328FE"/>
    <w:rsid w:val="75834FA1"/>
    <w:rsid w:val="758C3DAB"/>
    <w:rsid w:val="75AA7C9A"/>
    <w:rsid w:val="75AE2E79"/>
    <w:rsid w:val="75D27C98"/>
    <w:rsid w:val="75D32A53"/>
    <w:rsid w:val="75F714AD"/>
    <w:rsid w:val="761262E7"/>
    <w:rsid w:val="76157B85"/>
    <w:rsid w:val="761756AB"/>
    <w:rsid w:val="7625601A"/>
    <w:rsid w:val="76270152"/>
    <w:rsid w:val="76365CC6"/>
    <w:rsid w:val="76452218"/>
    <w:rsid w:val="76725C62"/>
    <w:rsid w:val="76A74C81"/>
    <w:rsid w:val="76AC0B80"/>
    <w:rsid w:val="76BA4AF8"/>
    <w:rsid w:val="76BF63C5"/>
    <w:rsid w:val="76C62D39"/>
    <w:rsid w:val="77000DA2"/>
    <w:rsid w:val="77106CCA"/>
    <w:rsid w:val="775841CD"/>
    <w:rsid w:val="776338C9"/>
    <w:rsid w:val="77657E19"/>
    <w:rsid w:val="77676169"/>
    <w:rsid w:val="778B2EAC"/>
    <w:rsid w:val="77A61681"/>
    <w:rsid w:val="77C4430A"/>
    <w:rsid w:val="77C94015"/>
    <w:rsid w:val="77E349A3"/>
    <w:rsid w:val="78150891"/>
    <w:rsid w:val="781E69D1"/>
    <w:rsid w:val="782462DA"/>
    <w:rsid w:val="7825692D"/>
    <w:rsid w:val="7826607A"/>
    <w:rsid w:val="7835390F"/>
    <w:rsid w:val="78752EF2"/>
    <w:rsid w:val="788B1B55"/>
    <w:rsid w:val="78EB5EB3"/>
    <w:rsid w:val="791252B1"/>
    <w:rsid w:val="791800B8"/>
    <w:rsid w:val="79260FA5"/>
    <w:rsid w:val="792A2B20"/>
    <w:rsid w:val="79321F63"/>
    <w:rsid w:val="793A2BF2"/>
    <w:rsid w:val="793D367B"/>
    <w:rsid w:val="79524722"/>
    <w:rsid w:val="795576D7"/>
    <w:rsid w:val="795B0EBD"/>
    <w:rsid w:val="798B6ADC"/>
    <w:rsid w:val="799B65F3"/>
    <w:rsid w:val="79A33E26"/>
    <w:rsid w:val="79B27BD2"/>
    <w:rsid w:val="79E65AC0"/>
    <w:rsid w:val="79FF30E5"/>
    <w:rsid w:val="7A101951"/>
    <w:rsid w:val="7A146AD1"/>
    <w:rsid w:val="7A301431"/>
    <w:rsid w:val="7A526CD8"/>
    <w:rsid w:val="7A765715"/>
    <w:rsid w:val="7A812B29"/>
    <w:rsid w:val="7A953366"/>
    <w:rsid w:val="7AA45ABC"/>
    <w:rsid w:val="7ABD74EB"/>
    <w:rsid w:val="7ACC2F08"/>
    <w:rsid w:val="7ACE32C7"/>
    <w:rsid w:val="7AD96587"/>
    <w:rsid w:val="7ADF0D25"/>
    <w:rsid w:val="7AF46346"/>
    <w:rsid w:val="7AFE61F7"/>
    <w:rsid w:val="7B06617E"/>
    <w:rsid w:val="7B0F5EBF"/>
    <w:rsid w:val="7B13027A"/>
    <w:rsid w:val="7B130FB9"/>
    <w:rsid w:val="7B9074F3"/>
    <w:rsid w:val="7BAC20F3"/>
    <w:rsid w:val="7BC93671"/>
    <w:rsid w:val="7BDA1655"/>
    <w:rsid w:val="7BDE0625"/>
    <w:rsid w:val="7BE92011"/>
    <w:rsid w:val="7BF64EDE"/>
    <w:rsid w:val="7BFC1292"/>
    <w:rsid w:val="7C30396B"/>
    <w:rsid w:val="7C372603"/>
    <w:rsid w:val="7C400C1E"/>
    <w:rsid w:val="7C5B5079"/>
    <w:rsid w:val="7C5C02BC"/>
    <w:rsid w:val="7C5D24AB"/>
    <w:rsid w:val="7C7D1A4A"/>
    <w:rsid w:val="7C7E3E91"/>
    <w:rsid w:val="7C977546"/>
    <w:rsid w:val="7CA83B93"/>
    <w:rsid w:val="7CFC0AC5"/>
    <w:rsid w:val="7D13210E"/>
    <w:rsid w:val="7D3B2F9B"/>
    <w:rsid w:val="7D6C2781"/>
    <w:rsid w:val="7D6F4223"/>
    <w:rsid w:val="7DD11708"/>
    <w:rsid w:val="7DEC566F"/>
    <w:rsid w:val="7E0744B0"/>
    <w:rsid w:val="7E1150D6"/>
    <w:rsid w:val="7E1A2770"/>
    <w:rsid w:val="7E1C3FA0"/>
    <w:rsid w:val="7E21597E"/>
    <w:rsid w:val="7E447259"/>
    <w:rsid w:val="7E4932C0"/>
    <w:rsid w:val="7E503E50"/>
    <w:rsid w:val="7E6D12BC"/>
    <w:rsid w:val="7E7E6C0F"/>
    <w:rsid w:val="7E875323"/>
    <w:rsid w:val="7EB85AF2"/>
    <w:rsid w:val="7EBC14E6"/>
    <w:rsid w:val="7EBC46EA"/>
    <w:rsid w:val="7EC167BD"/>
    <w:rsid w:val="7EFB4DA9"/>
    <w:rsid w:val="7F20421C"/>
    <w:rsid w:val="7F22007A"/>
    <w:rsid w:val="7F233313"/>
    <w:rsid w:val="7F475962"/>
    <w:rsid w:val="7F594F87"/>
    <w:rsid w:val="7F5B7C83"/>
    <w:rsid w:val="7F8477C4"/>
    <w:rsid w:val="7F8E14DC"/>
    <w:rsid w:val="7F983623"/>
    <w:rsid w:val="7FC70D8A"/>
    <w:rsid w:val="7FD8234F"/>
    <w:rsid w:val="7FDC5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5">
    <w:name w:val="heading 5"/>
    <w:basedOn w:val="1"/>
    <w:next w:val="6"/>
    <w:link w:val="38"/>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8">
    <w:name w:val="annotation text"/>
    <w:basedOn w:val="1"/>
    <w:link w:val="39"/>
    <w:qFormat/>
    <w:uiPriority w:val="0"/>
    <w:pPr>
      <w:jc w:val="left"/>
    </w:pPr>
  </w:style>
  <w:style w:type="paragraph" w:styleId="9">
    <w:name w:val="Body Text 3"/>
    <w:basedOn w:val="1"/>
    <w:link w:val="40"/>
    <w:unhideWhenUsed/>
    <w:qFormat/>
    <w:uiPriority w:val="99"/>
    <w:pPr>
      <w:spacing w:after="120"/>
    </w:pPr>
    <w:rPr>
      <w:sz w:val="16"/>
      <w:szCs w:val="16"/>
    </w:rPr>
  </w:style>
  <w:style w:type="paragraph" w:styleId="10">
    <w:name w:val="Body Text"/>
    <w:basedOn w:val="1"/>
    <w:link w:val="41"/>
    <w:unhideWhenUsed/>
    <w:qFormat/>
    <w:uiPriority w:val="0"/>
    <w:pPr>
      <w:spacing w:after="120"/>
    </w:pPr>
  </w:style>
  <w:style w:type="paragraph" w:styleId="11">
    <w:name w:val="Body Text Indent"/>
    <w:basedOn w:val="1"/>
    <w:next w:val="12"/>
    <w:link w:val="42"/>
    <w:qFormat/>
    <w:uiPriority w:val="0"/>
    <w:pPr>
      <w:ind w:firstLine="830" w:firstLineChars="352"/>
    </w:pPr>
    <w:rPr>
      <w:rFonts w:ascii="仿宋_GB2312" w:eastAsia="仿宋_GB2312"/>
      <w:kern w:val="0"/>
      <w:sz w:val="32"/>
      <w:szCs w:val="20"/>
    </w:rPr>
  </w:style>
  <w:style w:type="paragraph" w:styleId="12">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
    <w:link w:val="43"/>
    <w:qFormat/>
    <w:uiPriority w:val="0"/>
    <w:rPr>
      <w:rFonts w:ascii="宋体" w:hAnsi="Courier New"/>
      <w:kern w:val="0"/>
      <w:sz w:val="20"/>
      <w:szCs w:val="21"/>
    </w:rPr>
  </w:style>
  <w:style w:type="paragraph" w:styleId="15">
    <w:name w:val="Date"/>
    <w:basedOn w:val="1"/>
    <w:next w:val="1"/>
    <w:link w:val="44"/>
    <w:unhideWhenUsed/>
    <w:qFormat/>
    <w:uiPriority w:val="99"/>
    <w:pPr>
      <w:ind w:left="100" w:leftChars="2500"/>
    </w:pPr>
  </w:style>
  <w:style w:type="paragraph" w:styleId="16">
    <w:name w:val="Body Text Indent 2"/>
    <w:basedOn w:val="1"/>
    <w:qFormat/>
    <w:uiPriority w:val="0"/>
    <w:pPr>
      <w:ind w:firstLine="630"/>
    </w:pPr>
    <w:rPr>
      <w:sz w:val="32"/>
      <w:szCs w:val="20"/>
    </w:rPr>
  </w:style>
  <w:style w:type="paragraph" w:styleId="17">
    <w:name w:val="Balloon Text"/>
    <w:basedOn w:val="1"/>
    <w:semiHidden/>
    <w:qFormat/>
    <w:uiPriority w:val="0"/>
    <w:rPr>
      <w:sz w:val="18"/>
      <w:szCs w:val="18"/>
    </w:rPr>
  </w:style>
  <w:style w:type="paragraph" w:styleId="18">
    <w:name w:val="footer"/>
    <w:basedOn w:val="1"/>
    <w:link w:val="45"/>
    <w:unhideWhenUsed/>
    <w:qFormat/>
    <w:uiPriority w:val="99"/>
    <w:pPr>
      <w:tabs>
        <w:tab w:val="center" w:pos="4153"/>
        <w:tab w:val="right" w:pos="8306"/>
      </w:tabs>
      <w:snapToGrid w:val="0"/>
      <w:jc w:val="left"/>
    </w:pPr>
    <w:rPr>
      <w:kern w:val="0"/>
      <w:sz w:val="18"/>
      <w:szCs w:val="18"/>
    </w:rPr>
  </w:style>
  <w:style w:type="paragraph" w:styleId="19">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annotation subject"/>
    <w:basedOn w:val="8"/>
    <w:next w:val="8"/>
    <w:link w:val="47"/>
    <w:qFormat/>
    <w:uiPriority w:val="99"/>
    <w:rPr>
      <w:b/>
      <w:bCs/>
    </w:rPr>
  </w:style>
  <w:style w:type="paragraph" w:styleId="24">
    <w:name w:val="Body Text First Indent 2"/>
    <w:basedOn w:val="11"/>
    <w:next w:val="25"/>
    <w:unhideWhenUsed/>
    <w:qFormat/>
    <w:uiPriority w:val="99"/>
    <w:pPr>
      <w:ind w:firstLine="420" w:firstLineChars="200"/>
    </w:pPr>
  </w:style>
  <w:style w:type="paragraph" w:customStyle="1" w:styleId="25">
    <w:name w:val="**正文"/>
    <w:basedOn w:val="1"/>
    <w:qFormat/>
    <w:uiPriority w:val="0"/>
    <w:pPr>
      <w:ind w:firstLine="482"/>
    </w:pPr>
    <w:rPr>
      <w:rFonts w:ascii="宋体" w:hAnsi="宋体"/>
      <w:sz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FollowedHyperlink"/>
    <w:basedOn w:val="28"/>
    <w:semiHidden/>
    <w:unhideWhenUsed/>
    <w:qFormat/>
    <w:uiPriority w:val="99"/>
    <w:rPr>
      <w:color w:val="800080"/>
      <w:u w:val="single"/>
    </w:rPr>
  </w:style>
  <w:style w:type="character" w:styleId="30">
    <w:name w:val="Hyperlink"/>
    <w:basedOn w:val="28"/>
    <w:unhideWhenUsed/>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style4"/>
    <w:next w:val="33"/>
    <w:qFormat/>
    <w:uiPriority w:val="99"/>
    <w:pPr>
      <w:widowControl/>
      <w:spacing w:before="280" w:after="280"/>
      <w:jc w:val="both"/>
    </w:pPr>
    <w:rPr>
      <w:rFonts w:ascii="宋体" w:hAnsi="Times New Roman" w:eastAsia="宋体" w:cs="Times New Roman"/>
      <w:kern w:val="2"/>
      <w:sz w:val="18"/>
      <w:szCs w:val="22"/>
      <w:lang w:val="en-US" w:eastAsia="zh-CN" w:bidi="ar-SA"/>
    </w:rPr>
  </w:style>
  <w:style w:type="paragraph" w:customStyle="1" w:styleId="33">
    <w:name w:val="2"/>
    <w:basedOn w:val="11"/>
    <w:next w:val="1"/>
    <w:qFormat/>
    <w:uiPriority w:val="0"/>
    <w:pPr>
      <w:widowControl w:val="0"/>
      <w:spacing w:after="120"/>
      <w:ind w:left="42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paragraph" w:customStyle="1" w:styleId="35">
    <w:name w:val="样式 正文文本缩进 + 首行缩进:  2 字符 行距: 1.5 倍行距"/>
    <w:basedOn w:val="11"/>
    <w:qFormat/>
    <w:uiPriority w:val="0"/>
    <w:rPr>
      <w:rFonts w:cs="宋体"/>
    </w:rPr>
  </w:style>
  <w:style w:type="character" w:customStyle="1" w:styleId="36">
    <w:name w:val="标题 1 字符1"/>
    <w:link w:val="2"/>
    <w:qFormat/>
    <w:uiPriority w:val="0"/>
    <w:rPr>
      <w:b/>
      <w:bCs/>
      <w:kern w:val="44"/>
      <w:sz w:val="44"/>
      <w:szCs w:val="44"/>
    </w:rPr>
  </w:style>
  <w:style w:type="character" w:customStyle="1" w:styleId="37">
    <w:name w:val="标题 2 字符"/>
    <w:link w:val="3"/>
    <w:qFormat/>
    <w:uiPriority w:val="9"/>
    <w:rPr>
      <w:rFonts w:ascii="Cambria" w:hAnsi="Cambria" w:eastAsia="宋体" w:cs="Times New Roman"/>
      <w:b/>
      <w:bCs/>
      <w:kern w:val="2"/>
      <w:sz w:val="32"/>
      <w:szCs w:val="32"/>
    </w:rPr>
  </w:style>
  <w:style w:type="character" w:customStyle="1" w:styleId="38">
    <w:name w:val="标题 5 字符"/>
    <w:link w:val="5"/>
    <w:semiHidden/>
    <w:qFormat/>
    <w:uiPriority w:val="9"/>
    <w:rPr>
      <w:rFonts w:ascii="Times New Roman" w:hAnsi="Times New Roman"/>
      <w:b/>
      <w:bCs/>
      <w:kern w:val="2"/>
      <w:sz w:val="28"/>
      <w:szCs w:val="28"/>
    </w:rPr>
  </w:style>
  <w:style w:type="character" w:customStyle="1" w:styleId="39">
    <w:name w:val="批注文字 字符"/>
    <w:link w:val="8"/>
    <w:qFormat/>
    <w:uiPriority w:val="0"/>
    <w:rPr>
      <w:rFonts w:ascii="Times New Roman" w:hAnsi="Times New Roman"/>
      <w:kern w:val="2"/>
      <w:sz w:val="21"/>
      <w:szCs w:val="24"/>
    </w:rPr>
  </w:style>
  <w:style w:type="character" w:customStyle="1" w:styleId="40">
    <w:name w:val="正文文本 3 字符"/>
    <w:link w:val="9"/>
    <w:semiHidden/>
    <w:qFormat/>
    <w:uiPriority w:val="99"/>
    <w:rPr>
      <w:rFonts w:ascii="Times New Roman" w:hAnsi="Times New Roman"/>
      <w:kern w:val="2"/>
      <w:sz w:val="16"/>
      <w:szCs w:val="16"/>
    </w:rPr>
  </w:style>
  <w:style w:type="character" w:customStyle="1" w:styleId="41">
    <w:name w:val="正文文本 字符"/>
    <w:link w:val="10"/>
    <w:qFormat/>
    <w:uiPriority w:val="0"/>
    <w:rPr>
      <w:rFonts w:ascii="Times New Roman" w:hAnsi="Times New Roman"/>
      <w:kern w:val="2"/>
      <w:sz w:val="21"/>
      <w:szCs w:val="24"/>
    </w:rPr>
  </w:style>
  <w:style w:type="character" w:customStyle="1" w:styleId="42">
    <w:name w:val="正文文本缩进 字符"/>
    <w:link w:val="11"/>
    <w:qFormat/>
    <w:uiPriority w:val="0"/>
    <w:rPr>
      <w:rFonts w:ascii="仿宋_GB2312" w:hAnsi="Times New Roman" w:eastAsia="仿宋_GB2312" w:cs="Times New Roman"/>
      <w:sz w:val="32"/>
      <w:szCs w:val="20"/>
    </w:rPr>
  </w:style>
  <w:style w:type="character" w:customStyle="1" w:styleId="43">
    <w:name w:val="纯文本 字符"/>
    <w:link w:val="14"/>
    <w:qFormat/>
    <w:uiPriority w:val="0"/>
    <w:rPr>
      <w:rFonts w:ascii="宋体" w:hAnsi="Courier New" w:eastAsia="宋体" w:cs="Courier New"/>
      <w:szCs w:val="21"/>
    </w:rPr>
  </w:style>
  <w:style w:type="character" w:customStyle="1" w:styleId="44">
    <w:name w:val="日期 字符"/>
    <w:link w:val="15"/>
    <w:semiHidden/>
    <w:qFormat/>
    <w:uiPriority w:val="99"/>
    <w:rPr>
      <w:rFonts w:ascii="Times New Roman" w:hAnsi="Times New Roman"/>
      <w:kern w:val="2"/>
      <w:sz w:val="21"/>
      <w:szCs w:val="24"/>
    </w:rPr>
  </w:style>
  <w:style w:type="character" w:customStyle="1" w:styleId="45">
    <w:name w:val="页脚 字符"/>
    <w:link w:val="18"/>
    <w:qFormat/>
    <w:uiPriority w:val="99"/>
    <w:rPr>
      <w:sz w:val="18"/>
      <w:szCs w:val="18"/>
    </w:rPr>
  </w:style>
  <w:style w:type="character" w:customStyle="1" w:styleId="46">
    <w:name w:val="页眉 字符"/>
    <w:link w:val="19"/>
    <w:qFormat/>
    <w:uiPriority w:val="99"/>
    <w:rPr>
      <w:sz w:val="18"/>
      <w:szCs w:val="18"/>
    </w:rPr>
  </w:style>
  <w:style w:type="character" w:customStyle="1" w:styleId="47">
    <w:name w:val="批注主题 字符"/>
    <w:link w:val="23"/>
    <w:qFormat/>
    <w:uiPriority w:val="99"/>
    <w:rPr>
      <w:rFonts w:ascii="Times New Roman" w:hAnsi="Times New Roman"/>
      <w:b/>
      <w:bCs/>
      <w:kern w:val="2"/>
      <w:sz w:val="21"/>
      <w:szCs w:val="24"/>
    </w:rPr>
  </w:style>
  <w:style w:type="character" w:customStyle="1" w:styleId="48">
    <w:name w:val="纯文本 字符1"/>
    <w:qFormat/>
    <w:uiPriority w:val="0"/>
    <w:rPr>
      <w:rFonts w:ascii="宋体" w:hAnsi="Courier New"/>
    </w:rPr>
  </w:style>
  <w:style w:type="character" w:customStyle="1" w:styleId="49">
    <w:name w:val="标题 1 字符"/>
    <w:qFormat/>
    <w:uiPriority w:val="9"/>
    <w:rPr>
      <w:b/>
      <w:bCs/>
      <w:kern w:val="44"/>
      <w:sz w:val="44"/>
      <w:szCs w:val="44"/>
    </w:rPr>
  </w:style>
  <w:style w:type="character" w:customStyle="1" w:styleId="50">
    <w:name w:val="纯文本 字符2"/>
    <w:qFormat/>
    <w:uiPriority w:val="0"/>
    <w:rPr>
      <w:rFonts w:ascii="宋体" w:hAnsi="Courier New" w:eastAsia="宋体" w:cs="Courier New"/>
      <w:szCs w:val="21"/>
    </w:rPr>
  </w:style>
  <w:style w:type="character" w:customStyle="1" w:styleId="51">
    <w:name w:val="apple-style-span"/>
    <w:qFormat/>
    <w:uiPriority w:val="0"/>
  </w:style>
  <w:style w:type="character" w:customStyle="1" w:styleId="52">
    <w:name w:val="textcontents"/>
    <w:qFormat/>
    <w:uiPriority w:val="0"/>
  </w:style>
  <w:style w:type="character" w:customStyle="1" w:styleId="53">
    <w:name w:val="页脚 Char"/>
    <w:qFormat/>
    <w:uiPriority w:val="99"/>
    <w:rPr>
      <w:lang w:eastAsia="zh-CN"/>
    </w:rPr>
  </w:style>
  <w:style w:type="character" w:customStyle="1" w:styleId="54">
    <w:name w:val="正文文本缩进 字符1"/>
    <w:qFormat/>
    <w:uiPriority w:val="0"/>
    <w:rPr>
      <w:rFonts w:ascii="仿宋_GB2312" w:hAnsi="Times New Roman" w:eastAsia="仿宋_GB2312" w:cs="Times New Roman"/>
      <w:sz w:val="32"/>
      <w:szCs w:val="20"/>
    </w:rPr>
  </w:style>
  <w:style w:type="character" w:customStyle="1" w:styleId="55">
    <w:name w:val="批注文字 字符1"/>
    <w:qFormat/>
    <w:uiPriority w:val="0"/>
    <w:rPr>
      <w:kern w:val="2"/>
      <w:sz w:val="21"/>
      <w:szCs w:val="24"/>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列出段落"/>
    <w:basedOn w:val="1"/>
    <w:qFormat/>
    <w:uiPriority w:val="34"/>
    <w:pPr>
      <w:ind w:firstLine="420" w:firstLineChars="200"/>
    </w:pPr>
  </w:style>
  <w:style w:type="paragraph" w:customStyle="1" w:styleId="61">
    <w:name w:val="列出段落1"/>
    <w:basedOn w:val="1"/>
    <w:qFormat/>
    <w:uiPriority w:val="34"/>
    <w:pPr>
      <w:ind w:firstLine="420" w:firstLineChars="200"/>
    </w:pPr>
    <w:rPr>
      <w:szCs w:val="22"/>
    </w:rPr>
  </w:style>
  <w:style w:type="character" w:customStyle="1" w:styleId="62">
    <w:name w:val="font71"/>
    <w:basedOn w:val="28"/>
    <w:qFormat/>
    <w:uiPriority w:val="0"/>
    <w:rPr>
      <w:rFonts w:ascii="Arial" w:hAnsi="Arial" w:cs="Arial"/>
      <w:color w:val="000000"/>
      <w:sz w:val="22"/>
      <w:szCs w:val="22"/>
      <w:u w:val="none"/>
    </w:rPr>
  </w:style>
  <w:style w:type="character" w:customStyle="1" w:styleId="63">
    <w:name w:val="font11"/>
    <w:basedOn w:val="28"/>
    <w:qFormat/>
    <w:uiPriority w:val="0"/>
    <w:rPr>
      <w:rFonts w:hint="eastAsia" w:ascii="宋体" w:hAnsi="宋体" w:eastAsia="宋体" w:cs="宋体"/>
      <w:color w:val="000000"/>
      <w:sz w:val="22"/>
      <w:szCs w:val="22"/>
      <w:u w:val="none"/>
    </w:rPr>
  </w:style>
  <w:style w:type="paragraph" w:customStyle="1" w:styleId="64">
    <w:name w:val="List Paragraph"/>
    <w:basedOn w:val="1"/>
    <w:qFormat/>
    <w:uiPriority w:val="34"/>
    <w:pPr>
      <w:ind w:firstLine="420" w:firstLineChars="200"/>
    </w:pPr>
    <w:rPr>
      <w:rFonts w:ascii="Times New Roman" w:hAnsi="Times New Roman"/>
      <w:szCs w:val="20"/>
    </w:rPr>
  </w:style>
  <w:style w:type="character" w:customStyle="1" w:styleId="65">
    <w:name w:val="font21"/>
    <w:basedOn w:val="28"/>
    <w:qFormat/>
    <w:uiPriority w:val="99"/>
    <w:rPr>
      <w:rFonts w:ascii="BatangChe" w:hAnsi="BatangChe" w:eastAsia="BatangChe" w:cs="BatangChe"/>
      <w:color w:val="000000"/>
      <w:sz w:val="21"/>
      <w:szCs w:val="21"/>
      <w:u w:val="none"/>
    </w:rPr>
  </w:style>
  <w:style w:type="character" w:customStyle="1" w:styleId="66">
    <w:name w:val="font41"/>
    <w:basedOn w:val="2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101</Pages>
  <Words>9389</Words>
  <Characters>10397</Characters>
  <Lines>415</Lines>
  <Paragraphs>116</Paragraphs>
  <TotalTime>0</TotalTime>
  <ScaleCrop>false</ScaleCrop>
  <LinksUpToDate>false</LinksUpToDate>
  <CharactersWithSpaces>10616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2024-06-28T08:45:00Z</dcterms:created>
  <dc:creator>唐冰</dc:creator>
  <cp:lastModifiedBy>YNWA</cp:lastModifiedBy>
  <cp:lastPrinted>2025-06-19T07:25:00Z</cp:lastPrinted>
  <dcterms:modified xsi:type="dcterms:W3CDTF">2025-07-28T08:25:20Z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6FA79CE02BF44669A2BA3F9DD0BF8B07_13</vt:lpwstr>
  </property>
  <property fmtid="{D5CDD505-2E9C-101B-9397-08002B2CF9AE}" pid="4" name="KSOTemplateDocerSaveRecord">
    <vt:lpwstr>eyJoZGlkIjoiYmZhMzVjYzJkZmMwNzdjMmQxMDIwYTBmNDFhMzE1OWYiLCJ1c2VySWQiOiI0MjkyMDg2MzkifQ==</vt:lpwstr>
  </property>
</Properties>
</file>