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hint="eastAsia"/>
          <w:b/>
          <w:sz w:val="44"/>
          <w:szCs w:val="44"/>
        </w:rPr>
      </w:pPr>
      <w:r>
        <w:rPr>
          <w:rFonts w:hint="eastAsia"/>
          <w:b/>
          <w:sz w:val="44"/>
          <w:szCs w:val="44"/>
        </w:rPr>
        <w:t xml:space="preserve"> </w:t>
      </w:r>
      <w:r>
        <w:rPr>
          <w:rFonts w:hint="eastAsia"/>
          <w:b/>
          <w:sz w:val="44"/>
          <w:szCs w:val="44"/>
          <w:lang w:val="en-US" w:eastAsia="zh-CN"/>
        </w:rPr>
        <w:t xml:space="preserve">        </w:t>
      </w:r>
      <w:r>
        <w:rPr>
          <w:rFonts w:ascii="微软雅黑" w:hAnsi="微软雅黑" w:eastAsia="微软雅黑" w:cs="微软雅黑"/>
          <w:b/>
          <w:bCs/>
          <w:i w:val="0"/>
          <w:iCs w:val="0"/>
          <w:caps w:val="0"/>
          <w:color w:val="000000"/>
          <w:spacing w:val="0"/>
          <w:sz w:val="36"/>
          <w:szCs w:val="36"/>
        </w:rPr>
        <w:t>玉林市玉州区教育局202</w:t>
      </w:r>
      <w:r>
        <w:rPr>
          <w:rFonts w:hint="eastAsia" w:ascii="微软雅黑" w:hAnsi="微软雅黑" w:eastAsia="微软雅黑" w:cs="微软雅黑"/>
          <w:b/>
          <w:bCs/>
          <w:i w:val="0"/>
          <w:iCs w:val="0"/>
          <w:caps w:val="0"/>
          <w:color w:val="000000"/>
          <w:spacing w:val="0"/>
          <w:sz w:val="36"/>
          <w:szCs w:val="36"/>
          <w:lang w:val="en-US" w:eastAsia="zh-CN"/>
        </w:rPr>
        <w:t>5</w:t>
      </w:r>
      <w:r>
        <w:rPr>
          <w:rFonts w:ascii="微软雅黑" w:hAnsi="微软雅黑" w:eastAsia="微软雅黑" w:cs="微软雅黑"/>
          <w:b/>
          <w:bCs/>
          <w:i w:val="0"/>
          <w:iCs w:val="0"/>
          <w:caps w:val="0"/>
          <w:color w:val="000000"/>
          <w:spacing w:val="0"/>
          <w:sz w:val="36"/>
          <w:szCs w:val="36"/>
        </w:rPr>
        <w:t>年11月至12月政府采购意向</w:t>
      </w:r>
      <w:r>
        <w:rPr>
          <w:rFonts w:hint="eastAsia"/>
          <w:b/>
          <w:sz w:val="44"/>
          <w:szCs w:val="44"/>
        </w:rPr>
        <w:t xml:space="preserve"> </w:t>
      </w:r>
    </w:p>
    <w:p>
      <w:pPr>
        <w:ind w:firstLine="442" w:firstLineChars="100"/>
        <w:rPr>
          <w:rFonts w:hint="default" w:eastAsiaTheme="minorEastAsia"/>
          <w:b w:val="0"/>
          <w:bCs w:val="0"/>
          <w:sz w:val="28"/>
          <w:szCs w:val="28"/>
          <w:lang w:val="en-US" w:eastAsia="zh-CN"/>
        </w:rPr>
      </w:pPr>
      <w:r>
        <w:rPr>
          <w:rFonts w:hint="eastAsia"/>
          <w:b/>
          <w:sz w:val="44"/>
          <w:szCs w:val="44"/>
        </w:rPr>
        <w:t xml:space="preserve"> </w:t>
      </w:r>
      <w:r>
        <w:rPr>
          <w:rFonts w:ascii="微软雅黑" w:hAnsi="微软雅黑" w:eastAsia="微软雅黑" w:cs="微软雅黑"/>
          <w:i w:val="0"/>
          <w:iCs w:val="0"/>
          <w:caps w:val="0"/>
          <w:color w:val="000000"/>
          <w:spacing w:val="0"/>
          <w:sz w:val="27"/>
          <w:szCs w:val="27"/>
        </w:rPr>
        <w:t>为便于供应商及时了解政府采购信息，根据《财政部关于开展政府采购意向公开工作的通知》（财库〔2020〕10号）和《广西壮族自治区财政厅关于进一步规范政府采购意向公开工作的通知》（桂财采〔2022〕84号）等有关规定</w:t>
      </w:r>
      <w:r>
        <w:rPr>
          <w:rFonts w:ascii="微软雅黑" w:hAnsi="微软雅黑" w:eastAsia="微软雅黑" w:cs="微软雅黑"/>
          <w:b w:val="0"/>
          <w:bCs w:val="0"/>
          <w:i w:val="0"/>
          <w:iCs w:val="0"/>
          <w:caps w:val="0"/>
          <w:color w:val="000000"/>
          <w:spacing w:val="0"/>
          <w:sz w:val="27"/>
          <w:szCs w:val="27"/>
        </w:rPr>
        <w:t>现将</w:t>
      </w:r>
      <w:r>
        <w:rPr>
          <w:rStyle w:val="7"/>
          <w:rFonts w:ascii="宋体" w:hAnsi="宋体" w:eastAsia="宋体" w:cs="宋体"/>
          <w:b w:val="0"/>
          <w:bCs w:val="0"/>
          <w:i w:val="0"/>
          <w:iCs w:val="0"/>
          <w:caps w:val="0"/>
          <w:color w:val="000000"/>
          <w:spacing w:val="0"/>
          <w:sz w:val="27"/>
          <w:szCs w:val="27"/>
        </w:rPr>
        <w:t>玉林市玉州区教育局202</w:t>
      </w:r>
      <w:r>
        <w:rPr>
          <w:rStyle w:val="7"/>
          <w:rFonts w:hint="eastAsia" w:ascii="宋体" w:hAnsi="宋体" w:eastAsia="宋体" w:cs="宋体"/>
          <w:b w:val="0"/>
          <w:bCs w:val="0"/>
          <w:i w:val="0"/>
          <w:iCs w:val="0"/>
          <w:caps w:val="0"/>
          <w:color w:val="000000"/>
          <w:spacing w:val="0"/>
          <w:sz w:val="27"/>
          <w:szCs w:val="27"/>
          <w:lang w:val="en-US" w:eastAsia="zh-CN"/>
        </w:rPr>
        <w:t>5</w:t>
      </w:r>
      <w:r>
        <w:rPr>
          <w:rStyle w:val="7"/>
          <w:rFonts w:ascii="宋体" w:hAnsi="宋体" w:eastAsia="宋体" w:cs="宋体"/>
          <w:b w:val="0"/>
          <w:bCs w:val="0"/>
          <w:i w:val="0"/>
          <w:iCs w:val="0"/>
          <w:caps w:val="0"/>
          <w:color w:val="000000"/>
          <w:spacing w:val="0"/>
          <w:sz w:val="27"/>
          <w:szCs w:val="27"/>
        </w:rPr>
        <w:t>年11月至12月采购意向公开</w:t>
      </w:r>
      <w:r>
        <w:rPr>
          <w:rFonts w:hint="eastAsia" w:ascii="微软雅黑" w:hAnsi="微软雅黑" w:eastAsia="微软雅黑" w:cs="微软雅黑"/>
          <w:b w:val="0"/>
          <w:bCs w:val="0"/>
          <w:i w:val="0"/>
          <w:iCs w:val="0"/>
          <w:caps w:val="0"/>
          <w:color w:val="000000"/>
          <w:spacing w:val="0"/>
          <w:sz w:val="27"/>
          <w:szCs w:val="27"/>
        </w:rPr>
        <w:t>如下</w:t>
      </w:r>
      <w:r>
        <w:rPr>
          <w:rFonts w:hint="eastAsia"/>
          <w:b w:val="0"/>
          <w:bCs w:val="0"/>
          <w:sz w:val="28"/>
          <w:szCs w:val="28"/>
        </w:rPr>
        <w:t>：</w:t>
      </w:r>
      <w:r>
        <w:rPr>
          <w:rFonts w:hint="eastAsia"/>
          <w:b w:val="0"/>
          <w:bCs w:val="0"/>
          <w:sz w:val="28"/>
          <w:szCs w:val="28"/>
          <w:lang w:val="en-US" w:eastAsia="zh-CN"/>
        </w:rPr>
        <w:t xml:space="preserve">                                                        </w:t>
      </w:r>
    </w:p>
    <w:tbl>
      <w:tblPr>
        <w:tblStyle w:val="4"/>
        <w:tblpPr w:leftFromText="180" w:rightFromText="180" w:vertAnchor="text" w:horzAnchor="page" w:tblpX="636" w:tblpY="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720"/>
        <w:gridCol w:w="4320"/>
        <w:gridCol w:w="1680"/>
        <w:gridCol w:w="1755"/>
        <w:gridCol w:w="148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60" w:type="dxa"/>
            <w:vAlign w:val="center"/>
          </w:tcPr>
          <w:p>
            <w:pPr>
              <w:jc w:val="center"/>
              <w:rPr>
                <w:b w:val="0"/>
                <w:bCs w:val="0"/>
                <w:sz w:val="24"/>
                <w:szCs w:val="24"/>
              </w:rPr>
            </w:pPr>
            <w:r>
              <w:rPr>
                <w:rFonts w:hint="eastAsia"/>
                <w:b w:val="0"/>
                <w:bCs w:val="0"/>
                <w:sz w:val="24"/>
                <w:szCs w:val="24"/>
              </w:rPr>
              <w:t>序号</w:t>
            </w:r>
          </w:p>
        </w:tc>
        <w:tc>
          <w:tcPr>
            <w:tcW w:w="3720" w:type="dxa"/>
            <w:vAlign w:val="center"/>
          </w:tcPr>
          <w:p>
            <w:pPr>
              <w:jc w:val="center"/>
              <w:rPr>
                <w:b w:val="0"/>
                <w:bCs w:val="0"/>
                <w:sz w:val="24"/>
                <w:szCs w:val="24"/>
              </w:rPr>
            </w:pPr>
            <w:r>
              <w:rPr>
                <w:rFonts w:hint="eastAsia"/>
                <w:b w:val="0"/>
                <w:bCs w:val="0"/>
                <w:sz w:val="24"/>
                <w:szCs w:val="24"/>
              </w:rPr>
              <w:t>采购项目名称</w:t>
            </w:r>
          </w:p>
        </w:tc>
        <w:tc>
          <w:tcPr>
            <w:tcW w:w="4320" w:type="dxa"/>
            <w:vAlign w:val="center"/>
          </w:tcPr>
          <w:p>
            <w:pPr>
              <w:jc w:val="center"/>
              <w:rPr>
                <w:b w:val="0"/>
                <w:bCs w:val="0"/>
                <w:sz w:val="24"/>
                <w:szCs w:val="24"/>
              </w:rPr>
            </w:pPr>
            <w:r>
              <w:rPr>
                <w:rFonts w:hint="eastAsia"/>
                <w:b w:val="0"/>
                <w:bCs w:val="0"/>
                <w:sz w:val="24"/>
                <w:szCs w:val="24"/>
              </w:rPr>
              <w:t>采购需求概况</w:t>
            </w:r>
          </w:p>
        </w:tc>
        <w:tc>
          <w:tcPr>
            <w:tcW w:w="1680" w:type="dxa"/>
            <w:vAlign w:val="center"/>
          </w:tcPr>
          <w:p>
            <w:pPr>
              <w:jc w:val="center"/>
              <w:rPr>
                <w:b w:val="0"/>
                <w:bCs w:val="0"/>
                <w:sz w:val="24"/>
                <w:szCs w:val="24"/>
              </w:rPr>
            </w:pPr>
            <w:r>
              <w:rPr>
                <w:rFonts w:hint="eastAsia"/>
                <w:b w:val="0"/>
                <w:bCs w:val="0"/>
                <w:sz w:val="24"/>
                <w:szCs w:val="24"/>
              </w:rPr>
              <w:t>预算金额（万元）</w:t>
            </w:r>
          </w:p>
        </w:tc>
        <w:tc>
          <w:tcPr>
            <w:tcW w:w="1755" w:type="dxa"/>
            <w:vAlign w:val="center"/>
          </w:tcPr>
          <w:p>
            <w:pPr>
              <w:jc w:val="center"/>
              <w:rPr>
                <w:b w:val="0"/>
                <w:bCs w:val="0"/>
                <w:sz w:val="24"/>
                <w:szCs w:val="24"/>
              </w:rPr>
            </w:pPr>
            <w:r>
              <w:rPr>
                <w:rFonts w:hint="eastAsia"/>
                <w:b w:val="0"/>
                <w:bCs w:val="0"/>
                <w:sz w:val="24"/>
                <w:szCs w:val="24"/>
              </w:rPr>
              <w:t>预计采购时间（填写到月）</w:t>
            </w:r>
          </w:p>
        </w:tc>
        <w:tc>
          <w:tcPr>
            <w:tcW w:w="1485" w:type="dxa"/>
            <w:vAlign w:val="center"/>
          </w:tcPr>
          <w:p>
            <w:pPr>
              <w:jc w:val="center"/>
              <w:rPr>
                <w:rFonts w:hint="eastAsia"/>
                <w:b w:val="0"/>
                <w:bCs w:val="0"/>
                <w:sz w:val="24"/>
                <w:szCs w:val="24"/>
              </w:rPr>
            </w:pPr>
            <w:r>
              <w:rPr>
                <w:rStyle w:val="6"/>
                <w:rFonts w:ascii="微软雅黑" w:hAnsi="微软雅黑" w:eastAsia="微软雅黑" w:cs="微软雅黑"/>
                <w:b w:val="0"/>
                <w:bCs w:val="0"/>
                <w:i w:val="0"/>
                <w:iCs w:val="0"/>
                <w:caps w:val="0"/>
                <w:color w:val="000000"/>
                <w:spacing w:val="0"/>
                <w:sz w:val="21"/>
                <w:szCs w:val="21"/>
              </w:rPr>
              <w:t>落实政府采购政策功能情况</w:t>
            </w:r>
          </w:p>
        </w:tc>
        <w:tc>
          <w:tcPr>
            <w:tcW w:w="1540" w:type="dxa"/>
            <w:vAlign w:val="center"/>
          </w:tcPr>
          <w:p>
            <w:pPr>
              <w:jc w:val="center"/>
              <w:rPr>
                <w:b w:val="0"/>
                <w:bCs w:val="0"/>
                <w:sz w:val="24"/>
                <w:szCs w:val="24"/>
              </w:rPr>
            </w:pPr>
            <w:r>
              <w:rPr>
                <w:rFonts w:hint="eastAsia"/>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960" w:type="dxa"/>
          </w:tcPr>
          <w:p>
            <w:pPr>
              <w:ind w:firstLine="240" w:firstLineChars="100"/>
              <w:rPr>
                <w:rFonts w:hint="eastAsia" w:eastAsiaTheme="minorEastAsia"/>
                <w:b w:val="0"/>
                <w:bCs w:val="0"/>
                <w:sz w:val="24"/>
                <w:szCs w:val="24"/>
                <w:lang w:val="en-US" w:eastAsia="zh-CN"/>
              </w:rPr>
            </w:pPr>
            <w:r>
              <w:rPr>
                <w:rFonts w:hint="eastAsia"/>
                <w:b w:val="0"/>
                <w:bCs w:val="0"/>
                <w:sz w:val="24"/>
                <w:szCs w:val="24"/>
                <w:lang w:val="en-US" w:eastAsia="zh-CN"/>
              </w:rPr>
              <w:t>1</w:t>
            </w:r>
          </w:p>
        </w:tc>
        <w:tc>
          <w:tcPr>
            <w:tcW w:w="3720" w:type="dxa"/>
            <w:vAlign w:val="center"/>
          </w:tcPr>
          <w:p>
            <w:pPr>
              <w:jc w:val="both"/>
              <w:rPr>
                <w:b w:val="0"/>
                <w:bCs w:val="0"/>
                <w:sz w:val="24"/>
                <w:szCs w:val="24"/>
              </w:rPr>
            </w:pPr>
            <w:r>
              <w:rPr>
                <w:rFonts w:hint="eastAsia"/>
                <w:b w:val="0"/>
                <w:bCs w:val="0"/>
                <w:sz w:val="24"/>
                <w:szCs w:val="24"/>
              </w:rPr>
              <w:t>玉州区“三名培养”工程—中小学名校长培养工程</w:t>
            </w:r>
          </w:p>
        </w:tc>
        <w:tc>
          <w:tcPr>
            <w:tcW w:w="4320" w:type="dxa"/>
            <w:vAlign w:val="center"/>
          </w:tcPr>
          <w:p>
            <w:pPr>
              <w:jc w:val="both"/>
              <w:rPr>
                <w:rFonts w:hint="eastAsia"/>
                <w:b w:val="0"/>
                <w:bCs w:val="0"/>
                <w:sz w:val="24"/>
                <w:szCs w:val="24"/>
              </w:rPr>
            </w:pPr>
            <w:r>
              <w:rPr>
                <w:rFonts w:hint="eastAsia"/>
                <w:b w:val="0"/>
                <w:bCs w:val="0"/>
                <w:sz w:val="24"/>
                <w:szCs w:val="24"/>
              </w:rPr>
              <w:t>1.学校文化；</w:t>
            </w:r>
          </w:p>
          <w:p>
            <w:pPr>
              <w:jc w:val="both"/>
              <w:rPr>
                <w:rFonts w:hint="eastAsia"/>
                <w:b w:val="0"/>
                <w:bCs w:val="0"/>
                <w:sz w:val="24"/>
                <w:szCs w:val="24"/>
              </w:rPr>
            </w:pPr>
            <w:r>
              <w:rPr>
                <w:rFonts w:hint="eastAsia"/>
                <w:b w:val="0"/>
                <w:bCs w:val="0"/>
                <w:sz w:val="24"/>
                <w:szCs w:val="24"/>
              </w:rPr>
              <w:t>2.学校制度；</w:t>
            </w:r>
          </w:p>
          <w:p>
            <w:pPr>
              <w:jc w:val="both"/>
              <w:rPr>
                <w:rFonts w:hint="eastAsia"/>
                <w:b w:val="0"/>
                <w:bCs w:val="0"/>
                <w:sz w:val="24"/>
                <w:szCs w:val="24"/>
              </w:rPr>
            </w:pPr>
            <w:r>
              <w:rPr>
                <w:rFonts w:hint="eastAsia"/>
                <w:b w:val="0"/>
                <w:bCs w:val="0"/>
                <w:sz w:val="24"/>
                <w:szCs w:val="24"/>
              </w:rPr>
              <w:t xml:space="preserve">3.学校品位、教育内涵；                                                                  </w:t>
            </w:r>
          </w:p>
          <w:p>
            <w:pPr>
              <w:jc w:val="center"/>
              <w:rPr>
                <w:rFonts w:hint="eastAsia"/>
                <w:b w:val="0"/>
                <w:bCs w:val="0"/>
                <w:sz w:val="24"/>
                <w:szCs w:val="24"/>
              </w:rPr>
            </w:pPr>
            <w:r>
              <w:rPr>
                <w:rFonts w:hint="eastAsia"/>
                <w:b w:val="0"/>
                <w:bCs w:val="0"/>
                <w:sz w:val="24"/>
                <w:szCs w:val="24"/>
              </w:rPr>
              <w:t xml:space="preserve">4.校长理论基础、理性思维、办学思想；                                                  </w:t>
            </w:r>
          </w:p>
          <w:p>
            <w:pPr>
              <w:jc w:val="center"/>
              <w:rPr>
                <w:rFonts w:hint="eastAsia"/>
                <w:b w:val="0"/>
                <w:bCs w:val="0"/>
                <w:sz w:val="24"/>
                <w:szCs w:val="24"/>
                <w:lang w:eastAsia="zh-CN"/>
              </w:rPr>
            </w:pPr>
            <w:r>
              <w:rPr>
                <w:rFonts w:hint="eastAsia"/>
                <w:b w:val="0"/>
                <w:bCs w:val="0"/>
                <w:sz w:val="24"/>
                <w:szCs w:val="24"/>
              </w:rPr>
              <w:t>5.校长管理策略、教育评价、教育改革</w:t>
            </w:r>
            <w:r>
              <w:rPr>
                <w:rFonts w:hint="eastAsia"/>
                <w:b w:val="0"/>
                <w:bCs w:val="0"/>
                <w:sz w:val="24"/>
                <w:szCs w:val="24"/>
                <w:lang w:eastAsia="zh-CN"/>
              </w:rPr>
              <w:t>。</w:t>
            </w:r>
          </w:p>
          <w:p>
            <w:pPr>
              <w:jc w:val="center"/>
              <w:rPr>
                <w:rFonts w:hint="default"/>
                <w:b w:val="0"/>
                <w:bCs w:val="0"/>
                <w:sz w:val="24"/>
                <w:szCs w:val="24"/>
                <w:lang w:val="en-US" w:eastAsia="zh-CN"/>
              </w:rPr>
            </w:pPr>
            <w:r>
              <w:rPr>
                <w:rFonts w:hint="eastAsia"/>
                <w:b w:val="0"/>
                <w:bCs w:val="0"/>
                <w:sz w:val="24"/>
                <w:szCs w:val="24"/>
                <w:lang w:val="en-US" w:eastAsia="zh-CN"/>
              </w:rPr>
              <w:t>100人*550元*7天=385000元</w:t>
            </w:r>
          </w:p>
        </w:tc>
        <w:tc>
          <w:tcPr>
            <w:tcW w:w="1680" w:type="dxa"/>
            <w:vAlign w:val="center"/>
          </w:tcPr>
          <w:p>
            <w:pPr>
              <w:jc w:val="center"/>
              <w:rPr>
                <w:rFonts w:hint="default" w:eastAsiaTheme="minorEastAsia"/>
                <w:b w:val="0"/>
                <w:bCs w:val="0"/>
                <w:sz w:val="24"/>
                <w:szCs w:val="24"/>
                <w:lang w:val="en-US" w:eastAsia="zh-CN"/>
              </w:rPr>
            </w:pPr>
            <w:r>
              <w:rPr>
                <w:rFonts w:hint="eastAsia"/>
                <w:b w:val="0"/>
                <w:bCs w:val="0"/>
                <w:sz w:val="24"/>
                <w:szCs w:val="24"/>
                <w:lang w:val="en-US" w:eastAsia="zh-CN"/>
              </w:rPr>
              <w:t>38.5</w:t>
            </w:r>
          </w:p>
        </w:tc>
        <w:tc>
          <w:tcPr>
            <w:tcW w:w="1755" w:type="dxa"/>
            <w:vAlign w:val="center"/>
          </w:tcPr>
          <w:p>
            <w:pPr>
              <w:jc w:val="both"/>
              <w:rPr>
                <w:b w:val="0"/>
                <w:bCs w:val="0"/>
                <w:sz w:val="24"/>
                <w:szCs w:val="24"/>
              </w:rPr>
            </w:pPr>
            <w:r>
              <w:rPr>
                <w:rFonts w:ascii="微软雅黑" w:hAnsi="微软雅黑" w:eastAsia="微软雅黑" w:cs="微软雅黑"/>
                <w:b w:val="0"/>
                <w:bCs w:val="0"/>
                <w:i w:val="0"/>
                <w:iCs w:val="0"/>
                <w:caps w:val="0"/>
                <w:color w:val="000000"/>
                <w:spacing w:val="0"/>
                <w:sz w:val="21"/>
                <w:szCs w:val="21"/>
              </w:rPr>
              <w:t>202</w:t>
            </w:r>
            <w:r>
              <w:rPr>
                <w:rFonts w:hint="eastAsia" w:ascii="微软雅黑" w:hAnsi="微软雅黑" w:eastAsia="微软雅黑" w:cs="微软雅黑"/>
                <w:b w:val="0"/>
                <w:bCs w:val="0"/>
                <w:i w:val="0"/>
                <w:iCs w:val="0"/>
                <w:caps w:val="0"/>
                <w:color w:val="000000"/>
                <w:spacing w:val="0"/>
                <w:sz w:val="21"/>
                <w:szCs w:val="21"/>
                <w:lang w:val="en-US" w:eastAsia="zh-CN"/>
              </w:rPr>
              <w:t>5</w:t>
            </w:r>
            <w:r>
              <w:rPr>
                <w:rFonts w:ascii="微软雅黑" w:hAnsi="微软雅黑" w:eastAsia="微软雅黑" w:cs="微软雅黑"/>
                <w:b w:val="0"/>
                <w:bCs w:val="0"/>
                <w:i w:val="0"/>
                <w:iCs w:val="0"/>
                <w:caps w:val="0"/>
                <w:color w:val="000000"/>
                <w:spacing w:val="0"/>
                <w:sz w:val="21"/>
                <w:szCs w:val="21"/>
              </w:rPr>
              <w:t>年</w:t>
            </w:r>
            <w:r>
              <w:rPr>
                <w:rFonts w:hint="eastAsia" w:ascii="微软雅黑" w:hAnsi="微软雅黑" w:eastAsia="微软雅黑" w:cs="微软雅黑"/>
                <w:b w:val="0"/>
                <w:bCs w:val="0"/>
                <w:i w:val="0"/>
                <w:iCs w:val="0"/>
                <w:caps w:val="0"/>
                <w:color w:val="000000"/>
                <w:spacing w:val="0"/>
                <w:sz w:val="21"/>
                <w:szCs w:val="21"/>
                <w:lang w:val="en-US" w:eastAsia="zh-CN"/>
              </w:rPr>
              <w:t>12</w:t>
            </w:r>
            <w:r>
              <w:rPr>
                <w:rFonts w:ascii="微软雅黑" w:hAnsi="微软雅黑" w:eastAsia="微软雅黑" w:cs="微软雅黑"/>
                <w:b w:val="0"/>
                <w:bCs w:val="0"/>
                <w:i w:val="0"/>
                <w:iCs w:val="0"/>
                <w:caps w:val="0"/>
                <w:color w:val="000000"/>
                <w:spacing w:val="0"/>
                <w:sz w:val="21"/>
                <w:szCs w:val="21"/>
              </w:rPr>
              <w:t>月</w:t>
            </w:r>
          </w:p>
        </w:tc>
        <w:tc>
          <w:tcPr>
            <w:tcW w:w="1485" w:type="dxa"/>
            <w:vAlign w:val="center"/>
          </w:tcPr>
          <w:p>
            <w:pPr>
              <w:jc w:val="center"/>
              <w:rPr>
                <w:rFonts w:ascii="微软雅黑" w:hAnsi="微软雅黑" w:eastAsia="微软雅黑" w:cs="微软雅黑"/>
                <w:b w:val="0"/>
                <w:bCs w:val="0"/>
                <w:i w:val="0"/>
                <w:iCs w:val="0"/>
                <w:caps w:val="0"/>
                <w:color w:val="000000"/>
                <w:spacing w:val="0"/>
                <w:sz w:val="21"/>
                <w:szCs w:val="21"/>
              </w:rPr>
            </w:pPr>
            <w:r>
              <w:rPr>
                <w:rFonts w:ascii="微软雅黑" w:hAnsi="微软雅黑" w:eastAsia="微软雅黑" w:cs="微软雅黑"/>
                <w:b w:val="0"/>
                <w:bCs w:val="0"/>
                <w:i w:val="0"/>
                <w:iCs w:val="0"/>
                <w:caps w:val="0"/>
                <w:color w:val="000000"/>
                <w:spacing w:val="0"/>
                <w:sz w:val="21"/>
                <w:szCs w:val="21"/>
              </w:rPr>
              <w:t>落实相关政策</w:t>
            </w:r>
          </w:p>
        </w:tc>
        <w:tc>
          <w:tcPr>
            <w:tcW w:w="1540" w:type="dxa"/>
            <w:vAlign w:val="center"/>
          </w:tcPr>
          <w:p>
            <w:pPr>
              <w:jc w:val="center"/>
              <w:rPr>
                <w:b w:val="0"/>
                <w:bCs w:val="0"/>
                <w:sz w:val="24"/>
                <w:szCs w:val="24"/>
              </w:rPr>
            </w:pPr>
          </w:p>
        </w:tc>
      </w:tr>
    </w:tbl>
    <w:p>
      <w:pPr>
        <w:ind w:firstLine="280" w:firstLineChars="100"/>
        <w:rPr>
          <w:b w:val="0"/>
          <w:bCs w:val="0"/>
          <w:sz w:val="28"/>
          <w:szCs w:val="28"/>
        </w:rPr>
      </w:pPr>
      <w:r>
        <w:rPr>
          <w:rFonts w:hint="eastAsia"/>
          <w:b w:val="0"/>
          <w:bCs w:val="0"/>
          <w:sz w:val="28"/>
          <w:szCs w:val="28"/>
        </w:rPr>
        <w:t xml:space="preserve"> </w:t>
      </w:r>
      <w:r>
        <w:rPr>
          <w:rFonts w:hint="eastAsia"/>
          <w:b w:val="0"/>
          <w:bCs w:val="0"/>
          <w:sz w:val="28"/>
          <w:szCs w:val="28"/>
          <w:lang w:val="en-US" w:eastAsia="zh-CN"/>
        </w:rPr>
        <w:t>本</w:t>
      </w:r>
      <w:r>
        <w:rPr>
          <w:rFonts w:hint="eastAsia"/>
          <w:b w:val="0"/>
          <w:bCs w:val="0"/>
          <w:sz w:val="28"/>
          <w:szCs w:val="28"/>
        </w:rPr>
        <w:t>次公开的政府采购意向是本单位政府采购工作的初步安排，具体采购项目情况以相关采购公告、采购文件为准。</w:t>
      </w:r>
    </w:p>
    <w:p>
      <w:pPr>
        <w:keepNext w:val="0"/>
        <w:keepLines w:val="0"/>
        <w:widowControl/>
        <w:suppressLineNumbers w:val="0"/>
        <w:ind w:firstLine="10530" w:firstLineChars="3900"/>
        <w:jc w:val="left"/>
        <w:rPr>
          <w:b w:val="0"/>
          <w:bCs w:val="0"/>
        </w:rPr>
      </w:pPr>
      <w:r>
        <w:rPr>
          <w:rFonts w:ascii="微软雅黑" w:hAnsi="微软雅黑" w:eastAsia="微软雅黑" w:cs="微软雅黑"/>
          <w:b w:val="0"/>
          <w:bCs w:val="0"/>
          <w:i w:val="0"/>
          <w:iCs w:val="0"/>
          <w:caps w:val="0"/>
          <w:color w:val="000000"/>
          <w:spacing w:val="0"/>
          <w:kern w:val="0"/>
          <w:sz w:val="27"/>
          <w:szCs w:val="27"/>
          <w:lang w:val="en-US" w:eastAsia="zh-CN" w:bidi="ar"/>
        </w:rPr>
        <w:t> </w:t>
      </w:r>
      <w:r>
        <w:rPr>
          <w:rStyle w:val="7"/>
          <w:rFonts w:hint="eastAsia" w:ascii="微软雅黑" w:hAnsi="微软雅黑" w:eastAsia="微软雅黑" w:cs="微软雅黑"/>
          <w:b w:val="0"/>
          <w:bCs w:val="0"/>
          <w:i w:val="0"/>
          <w:iCs w:val="0"/>
          <w:caps w:val="0"/>
          <w:color w:val="000000"/>
          <w:spacing w:val="0"/>
          <w:kern w:val="0"/>
          <w:sz w:val="27"/>
          <w:szCs w:val="27"/>
          <w:lang w:val="en-US" w:eastAsia="zh-CN" w:bidi="ar"/>
        </w:rPr>
        <w:t>玉林市玉州区教育局</w:t>
      </w:r>
      <w:r>
        <w:rPr>
          <w:rFonts w:hint="eastAsia" w:ascii="微软雅黑" w:hAnsi="微软雅黑" w:eastAsia="微软雅黑" w:cs="微软雅黑"/>
          <w:b w:val="0"/>
          <w:bCs w:val="0"/>
          <w:i w:val="0"/>
          <w:iCs w:val="0"/>
          <w:caps w:val="0"/>
          <w:color w:val="000000"/>
          <w:spacing w:val="0"/>
          <w:kern w:val="0"/>
          <w:sz w:val="27"/>
          <w:szCs w:val="27"/>
          <w:lang w:val="en-US" w:eastAsia="zh-CN" w:bidi="ar"/>
        </w:rPr>
        <w:t>        </w:t>
      </w:r>
    </w:p>
    <w:p>
      <w:pPr>
        <w:pStyle w:val="2"/>
        <w:keepNext w:val="0"/>
        <w:keepLines w:val="0"/>
        <w:widowControl/>
        <w:suppressLineNumbers w:val="0"/>
        <w:wordWrap/>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lang w:val="en-US" w:eastAsia="zh-CN"/>
        </w:rPr>
        <w:t xml:space="preserve">                                                             </w:t>
      </w:r>
      <w:r>
        <w:rPr>
          <w:rFonts w:hint="eastAsia" w:ascii="微软雅黑" w:hAnsi="微软雅黑" w:eastAsia="微软雅黑" w:cs="微软雅黑"/>
          <w:b w:val="0"/>
          <w:bCs w:val="0"/>
          <w:i w:val="0"/>
          <w:iCs w:val="0"/>
          <w:caps w:val="0"/>
          <w:color w:val="000000"/>
          <w:spacing w:val="0"/>
          <w:sz w:val="27"/>
          <w:szCs w:val="27"/>
        </w:rPr>
        <w:t> </w:t>
      </w:r>
      <w:r>
        <w:rPr>
          <w:rStyle w:val="7"/>
          <w:rFonts w:hint="eastAsia" w:ascii="微软雅黑" w:hAnsi="微软雅黑" w:eastAsia="微软雅黑" w:cs="微软雅黑"/>
          <w:b w:val="0"/>
          <w:bCs w:val="0"/>
          <w:i w:val="0"/>
          <w:iCs w:val="0"/>
          <w:caps w:val="0"/>
          <w:color w:val="000000"/>
          <w:spacing w:val="0"/>
          <w:sz w:val="27"/>
          <w:szCs w:val="27"/>
        </w:rPr>
        <w:t>202</w:t>
      </w:r>
      <w:r>
        <w:rPr>
          <w:rStyle w:val="7"/>
          <w:rFonts w:hint="eastAsia" w:ascii="微软雅黑" w:hAnsi="微软雅黑" w:eastAsia="微软雅黑" w:cs="微软雅黑"/>
          <w:b w:val="0"/>
          <w:bCs w:val="0"/>
          <w:i w:val="0"/>
          <w:iCs w:val="0"/>
          <w:caps w:val="0"/>
          <w:color w:val="000000"/>
          <w:spacing w:val="0"/>
          <w:sz w:val="27"/>
          <w:szCs w:val="27"/>
          <w:lang w:val="en-US" w:eastAsia="zh-CN"/>
        </w:rPr>
        <w:t>5</w:t>
      </w:r>
      <w:r>
        <w:rPr>
          <w:rStyle w:val="7"/>
          <w:rFonts w:hint="eastAsia" w:ascii="微软雅黑" w:hAnsi="微软雅黑" w:eastAsia="微软雅黑" w:cs="微软雅黑"/>
          <w:b w:val="0"/>
          <w:bCs w:val="0"/>
          <w:i w:val="0"/>
          <w:iCs w:val="0"/>
          <w:caps w:val="0"/>
          <w:color w:val="000000"/>
          <w:spacing w:val="0"/>
          <w:sz w:val="27"/>
          <w:szCs w:val="27"/>
        </w:rPr>
        <w:t>年11月1</w:t>
      </w:r>
      <w:r>
        <w:rPr>
          <w:rStyle w:val="7"/>
          <w:rFonts w:hint="eastAsia" w:ascii="微软雅黑" w:hAnsi="微软雅黑" w:eastAsia="微软雅黑" w:cs="微软雅黑"/>
          <w:b w:val="0"/>
          <w:bCs w:val="0"/>
          <w:i w:val="0"/>
          <w:iCs w:val="0"/>
          <w:caps w:val="0"/>
          <w:color w:val="000000"/>
          <w:spacing w:val="0"/>
          <w:sz w:val="27"/>
          <w:szCs w:val="27"/>
          <w:lang w:val="en-US" w:eastAsia="zh-CN"/>
        </w:rPr>
        <w:t>3</w:t>
      </w:r>
      <w:r>
        <w:rPr>
          <w:rStyle w:val="7"/>
          <w:rFonts w:hint="eastAsia" w:ascii="微软雅黑" w:hAnsi="微软雅黑" w:eastAsia="微软雅黑" w:cs="微软雅黑"/>
          <w:b w:val="0"/>
          <w:bCs w:val="0"/>
          <w:i w:val="0"/>
          <w:iCs w:val="0"/>
          <w:caps w:val="0"/>
          <w:color w:val="000000"/>
          <w:spacing w:val="0"/>
          <w:sz w:val="27"/>
          <w:szCs w:val="27"/>
        </w:rPr>
        <w:t>日</w:t>
      </w:r>
      <w:r>
        <w:rPr>
          <w:rFonts w:hint="eastAsia" w:ascii="微软雅黑" w:hAnsi="微软雅黑" w:eastAsia="微软雅黑" w:cs="微软雅黑"/>
          <w:b w:val="0"/>
          <w:bCs w:val="0"/>
          <w:i w:val="0"/>
          <w:iCs w:val="0"/>
          <w:caps w:val="0"/>
          <w:color w:val="000000"/>
          <w:spacing w:val="0"/>
          <w:sz w:val="27"/>
          <w:szCs w:val="27"/>
        </w:rPr>
        <w:t>  </w:t>
      </w:r>
    </w:p>
    <w:p>
      <w:pPr>
        <w:ind w:firstLine="240" w:firstLineChars="100"/>
        <w:jc w:val="right"/>
        <w:rPr>
          <w:sz w:val="24"/>
          <w:szCs w:val="24"/>
        </w:rPr>
      </w:pPr>
      <w:bookmarkStart w:id="0" w:name="_GoBack"/>
      <w:bookmarkEnd w:id="0"/>
    </w:p>
    <w:p>
      <w:pPr>
        <w:ind w:firstLine="240" w:firstLineChars="100"/>
        <w:jc w:val="center"/>
        <w:rPr>
          <w:sz w:val="24"/>
          <w:szCs w:val="24"/>
        </w:rPr>
      </w:pP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F06BF"/>
    <w:rsid w:val="08C02830"/>
    <w:rsid w:val="0A3F0535"/>
    <w:rsid w:val="22946164"/>
    <w:rsid w:val="32EF06BF"/>
    <w:rsid w:val="44546EDF"/>
    <w:rsid w:val="464B6F2B"/>
    <w:rsid w:val="5CBB6600"/>
    <w:rsid w:val="5FF72320"/>
    <w:rsid w:val="6EAC6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2025-11-10T01:22:00Z</dcterms:created>
  <dc:creator>Administrator</dc:creator>
  <cp:lastModifiedBy>Administrator</cp:lastModifiedBy>
  <cp:lastPrinted>2025-11-10T03:28:00Z</cp:lastPrinted>
  <dcterms:modified xsi:type="dcterms:W3CDTF">2025-11-13T09:16:46Z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3F70C2F3CD564E2DA89606DEFD23A064</vt:lpwstr>
  </property>
</Properties>
</file>