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A7B73">
      <w:pPr>
        <w:ind w:firstLine="0" w:firstLineChars="0"/>
        <w:rPr>
          <w:rFonts w:hint="eastAsia" w:ascii="宋体" w:hAnsi="宋体"/>
          <w:color w:val="auto"/>
          <w:highlight w:val="none"/>
        </w:rPr>
      </w:pPr>
    </w:p>
    <w:p w14:paraId="4D2FFF0B">
      <w:pPr>
        <w:spacing w:before="156" w:beforeLines="50" w:line="1600" w:lineRule="exact"/>
        <w:ind w:firstLine="0" w:firstLineChars="0"/>
        <w:jc w:val="center"/>
        <w:rPr>
          <w:rFonts w:ascii="宋体" w:hAnsi="宋体"/>
          <w:color w:val="auto"/>
          <w:sz w:val="120"/>
          <w:szCs w:val="120"/>
          <w:highlight w:val="none"/>
        </w:rPr>
      </w:pPr>
      <w:r>
        <w:rPr>
          <w:rFonts w:hint="eastAsia" w:ascii="宋体" w:hAnsi="宋体"/>
          <w:color w:val="auto"/>
          <w:sz w:val="120"/>
          <w:szCs w:val="120"/>
          <w:highlight w:val="none"/>
        </w:rPr>
        <w:t>招标文件</w:t>
      </w:r>
    </w:p>
    <w:p w14:paraId="3B6B849D">
      <w:pPr>
        <w:ind w:firstLine="0" w:firstLineChars="0"/>
        <w:rPr>
          <w:rFonts w:ascii="宋体" w:hAnsi="宋体"/>
          <w:color w:val="auto"/>
          <w:highlight w:val="none"/>
        </w:rPr>
      </w:pPr>
    </w:p>
    <w:p w14:paraId="7B10307B">
      <w:pPr>
        <w:ind w:firstLine="0" w:firstLineChars="0"/>
        <w:rPr>
          <w:rFonts w:hint="eastAsia" w:ascii="宋体" w:hAnsi="宋体"/>
          <w:color w:val="auto"/>
          <w:highlight w:val="none"/>
        </w:rPr>
      </w:pPr>
    </w:p>
    <w:p w14:paraId="34CCBFDE">
      <w:pPr>
        <w:ind w:firstLine="0" w:firstLineChars="0"/>
        <w:rPr>
          <w:rFonts w:ascii="宋体" w:hAnsi="宋体"/>
          <w:color w:val="auto"/>
          <w:highlight w:val="none"/>
        </w:rPr>
      </w:pPr>
    </w:p>
    <w:p w14:paraId="3C90FA3F">
      <w:pPr>
        <w:ind w:firstLine="0" w:firstLineChars="0"/>
        <w:rPr>
          <w:rFonts w:ascii="宋体" w:hAnsi="宋体"/>
          <w:color w:val="auto"/>
          <w:highlight w:val="none"/>
        </w:rPr>
      </w:pPr>
    </w:p>
    <w:p w14:paraId="5AB5F405">
      <w:pPr>
        <w:ind w:firstLine="0" w:firstLineChars="0"/>
        <w:rPr>
          <w:rFonts w:ascii="宋体" w:hAnsi="宋体"/>
          <w:color w:val="auto"/>
          <w:highlight w:val="none"/>
        </w:rPr>
      </w:pPr>
    </w:p>
    <w:p w14:paraId="035A3C80">
      <w:pPr>
        <w:ind w:firstLine="0" w:firstLineChars="0"/>
        <w:rPr>
          <w:rFonts w:ascii="宋体" w:hAnsi="宋体"/>
          <w:color w:val="auto"/>
          <w:highlight w:val="none"/>
        </w:rPr>
      </w:pPr>
    </w:p>
    <w:p w14:paraId="344DB099">
      <w:pPr>
        <w:ind w:firstLine="0" w:firstLineChars="0"/>
        <w:rPr>
          <w:rFonts w:hint="eastAsia" w:ascii="宋体" w:hAnsi="宋体"/>
          <w:color w:val="auto"/>
          <w:highlight w:val="none"/>
        </w:rPr>
      </w:pPr>
    </w:p>
    <w:p w14:paraId="1CC2ADEE">
      <w:pPr>
        <w:ind w:firstLine="0" w:firstLineChars="0"/>
        <w:rPr>
          <w:rFonts w:ascii="宋体" w:hAnsi="宋体"/>
          <w:color w:val="auto"/>
          <w:highlight w:val="none"/>
        </w:rPr>
      </w:pPr>
    </w:p>
    <w:p w14:paraId="61871300">
      <w:pPr>
        <w:ind w:firstLine="0" w:firstLineChars="0"/>
        <w:rPr>
          <w:rFonts w:hint="eastAsia" w:ascii="宋体" w:hAnsi="宋体"/>
          <w:color w:val="auto"/>
          <w:highlight w:val="none"/>
        </w:rPr>
      </w:pPr>
    </w:p>
    <w:p w14:paraId="1DDEF6F0">
      <w:pPr>
        <w:ind w:firstLine="0" w:firstLineChars="0"/>
        <w:rPr>
          <w:rFonts w:hint="eastAsia" w:ascii="宋体" w:hAnsi="宋体"/>
          <w:color w:val="auto"/>
          <w:highlight w:val="none"/>
        </w:rPr>
      </w:pPr>
    </w:p>
    <w:p w14:paraId="69B8826D">
      <w:pPr>
        <w:snapToGrid w:val="0"/>
        <w:spacing w:before="156" w:beforeLines="50"/>
        <w:ind w:firstLine="1253" w:firstLineChars="400"/>
        <w:jc w:val="both"/>
        <w:rPr>
          <w:rFonts w:hint="eastAsia" w:ascii="宋体" w:hAnsi="宋体"/>
          <w:b/>
          <w:bCs/>
          <w:color w:val="auto"/>
          <w:spacing w:val="6"/>
          <w:sz w:val="30"/>
          <w:szCs w:val="72"/>
          <w:highlight w:val="none"/>
        </w:rPr>
      </w:pPr>
    </w:p>
    <w:p w14:paraId="33B28313">
      <w:pPr>
        <w:snapToGrid w:val="0"/>
        <w:spacing w:before="156" w:beforeLines="50"/>
        <w:ind w:firstLine="2192" w:firstLineChars="700"/>
        <w:jc w:val="both"/>
        <w:rPr>
          <w:rFonts w:hint="eastAsia" w:ascii="宋体" w:hAnsi="宋体"/>
          <w:b/>
          <w:bCs/>
          <w:color w:val="auto"/>
          <w:spacing w:val="6"/>
          <w:sz w:val="30"/>
          <w:szCs w:val="72"/>
          <w:highlight w:val="none"/>
        </w:rPr>
      </w:pPr>
      <w:r>
        <w:rPr>
          <w:rFonts w:hint="eastAsia" w:ascii="宋体" w:hAnsi="宋体"/>
          <w:b/>
          <w:bCs/>
          <w:color w:val="auto"/>
          <w:spacing w:val="6"/>
          <w:sz w:val="30"/>
          <w:szCs w:val="72"/>
          <w:highlight w:val="none"/>
        </w:rPr>
        <w:t>项目名称</w:t>
      </w:r>
      <w:r>
        <w:rPr>
          <w:rFonts w:hint="eastAsia" w:ascii="宋体" w:hAnsi="宋体"/>
          <w:b/>
          <w:bCs/>
          <w:color w:val="auto"/>
          <w:sz w:val="30"/>
          <w:szCs w:val="72"/>
          <w:highlight w:val="none"/>
        </w:rPr>
        <w:t>:</w:t>
      </w:r>
      <w:r>
        <w:rPr>
          <w:rFonts w:hint="eastAsia" w:ascii="宋体" w:hAnsi="宋体"/>
          <w:b/>
          <w:bCs/>
          <w:color w:val="auto"/>
          <w:sz w:val="30"/>
          <w:szCs w:val="72"/>
          <w:highlight w:val="none"/>
          <w:lang w:eastAsia="zh-CN"/>
        </w:rPr>
        <w:t>灵山县发展和改革局灵山县电子政务外网服务</w:t>
      </w:r>
    </w:p>
    <w:p w14:paraId="3A04F110">
      <w:pPr>
        <w:snapToGrid w:val="0"/>
        <w:spacing w:before="156" w:beforeLines="50"/>
        <w:ind w:left="0" w:leftChars="0" w:firstLine="2192" w:firstLineChars="700"/>
        <w:rPr>
          <w:rFonts w:hint="eastAsia" w:ascii="宋体" w:hAnsi="宋体" w:eastAsia="宋体"/>
          <w:b/>
          <w:bCs/>
          <w:color w:val="auto"/>
          <w:sz w:val="30"/>
          <w:szCs w:val="30"/>
          <w:highlight w:val="none"/>
          <w:lang w:eastAsia="zh-CN"/>
        </w:rPr>
      </w:pPr>
      <w:r>
        <w:rPr>
          <w:rFonts w:hint="eastAsia" w:ascii="宋体" w:hAnsi="宋体"/>
          <w:b/>
          <w:bCs/>
          <w:color w:val="auto"/>
          <w:spacing w:val="6"/>
          <w:sz w:val="30"/>
          <w:szCs w:val="72"/>
          <w:highlight w:val="none"/>
        </w:rPr>
        <w:t>项目编号</w:t>
      </w:r>
      <w:r>
        <w:rPr>
          <w:rFonts w:hint="eastAsia" w:ascii="宋体" w:hAnsi="宋体"/>
          <w:b/>
          <w:bCs/>
          <w:color w:val="auto"/>
          <w:sz w:val="30"/>
          <w:szCs w:val="72"/>
          <w:highlight w:val="none"/>
        </w:rPr>
        <w:t>:</w:t>
      </w:r>
      <w:r>
        <w:rPr>
          <w:rFonts w:hint="eastAsia" w:ascii="宋体" w:hAnsi="宋体"/>
          <w:b/>
          <w:bCs/>
          <w:color w:val="auto"/>
          <w:sz w:val="30"/>
          <w:szCs w:val="30"/>
          <w:highlight w:val="none"/>
          <w:lang w:eastAsia="zh-CN"/>
        </w:rPr>
        <w:t>QZZC2025-G3-210251-QZSZ</w:t>
      </w:r>
    </w:p>
    <w:p w14:paraId="0DEC2549">
      <w:pPr>
        <w:ind w:firstLine="0" w:firstLineChars="0"/>
        <w:rPr>
          <w:rFonts w:hint="eastAsia" w:ascii="宋体" w:hAnsi="宋体"/>
          <w:color w:val="auto"/>
          <w:highlight w:val="none"/>
        </w:rPr>
      </w:pPr>
    </w:p>
    <w:p w14:paraId="1FB44901">
      <w:pPr>
        <w:ind w:firstLine="0" w:firstLineChars="0"/>
        <w:rPr>
          <w:rFonts w:hint="eastAsia" w:ascii="宋体" w:hAnsi="宋体"/>
          <w:color w:val="auto"/>
          <w:highlight w:val="none"/>
        </w:rPr>
      </w:pPr>
    </w:p>
    <w:p w14:paraId="05B28E87">
      <w:pPr>
        <w:ind w:firstLine="0" w:firstLineChars="0"/>
        <w:rPr>
          <w:rFonts w:hint="eastAsia" w:ascii="宋体" w:hAnsi="宋体"/>
          <w:color w:val="auto"/>
          <w:highlight w:val="none"/>
        </w:rPr>
      </w:pPr>
    </w:p>
    <w:p w14:paraId="5A624DCF">
      <w:pPr>
        <w:ind w:firstLine="0" w:firstLineChars="0"/>
        <w:rPr>
          <w:rFonts w:ascii="宋体" w:hAnsi="宋体"/>
          <w:color w:val="auto"/>
          <w:highlight w:val="none"/>
        </w:rPr>
      </w:pPr>
    </w:p>
    <w:p w14:paraId="4D7E61FE">
      <w:pPr>
        <w:ind w:firstLine="0" w:firstLineChars="0"/>
        <w:rPr>
          <w:rFonts w:ascii="宋体" w:hAnsi="宋体"/>
          <w:color w:val="auto"/>
          <w:highlight w:val="none"/>
        </w:rPr>
      </w:pPr>
    </w:p>
    <w:p w14:paraId="585B6CD2">
      <w:pPr>
        <w:ind w:firstLine="0" w:firstLineChars="0"/>
        <w:rPr>
          <w:rFonts w:ascii="宋体" w:hAnsi="宋体"/>
          <w:color w:val="auto"/>
          <w:highlight w:val="none"/>
        </w:rPr>
      </w:pPr>
    </w:p>
    <w:p w14:paraId="4C1F3D72">
      <w:pPr>
        <w:ind w:firstLine="0" w:firstLineChars="0"/>
        <w:rPr>
          <w:rFonts w:ascii="宋体" w:hAnsi="宋体"/>
          <w:color w:val="auto"/>
          <w:highlight w:val="none"/>
        </w:rPr>
      </w:pPr>
    </w:p>
    <w:p w14:paraId="11CB56E4">
      <w:pPr>
        <w:ind w:firstLine="0" w:firstLineChars="0"/>
        <w:rPr>
          <w:rFonts w:ascii="宋体" w:hAnsi="宋体"/>
          <w:color w:val="auto"/>
          <w:highlight w:val="none"/>
        </w:rPr>
      </w:pPr>
    </w:p>
    <w:p w14:paraId="780A09E5">
      <w:pPr>
        <w:ind w:firstLine="0" w:firstLineChars="0"/>
        <w:rPr>
          <w:rFonts w:hint="eastAsia" w:ascii="宋体" w:hAnsi="宋体"/>
          <w:color w:val="auto"/>
          <w:highlight w:val="none"/>
        </w:rPr>
      </w:pPr>
    </w:p>
    <w:p w14:paraId="45A6F89B">
      <w:pPr>
        <w:ind w:firstLine="0" w:firstLineChars="0"/>
        <w:rPr>
          <w:rFonts w:hint="eastAsia" w:ascii="宋体" w:hAnsi="宋体"/>
          <w:color w:val="auto"/>
          <w:highlight w:val="none"/>
        </w:rPr>
      </w:pPr>
    </w:p>
    <w:p w14:paraId="360C6EC3">
      <w:pPr>
        <w:ind w:firstLine="0" w:firstLineChars="0"/>
        <w:rPr>
          <w:rFonts w:hint="eastAsia" w:ascii="宋体" w:hAnsi="宋体"/>
          <w:color w:val="auto"/>
          <w:highlight w:val="none"/>
        </w:rPr>
      </w:pPr>
    </w:p>
    <w:p w14:paraId="3D916D07">
      <w:pPr>
        <w:ind w:firstLine="0" w:firstLineChars="0"/>
        <w:rPr>
          <w:rFonts w:ascii="宋体" w:hAnsi="宋体"/>
          <w:color w:val="auto"/>
          <w:highlight w:val="none"/>
        </w:rPr>
      </w:pPr>
    </w:p>
    <w:p w14:paraId="3355560F">
      <w:pPr>
        <w:spacing w:line="360" w:lineRule="exact"/>
        <w:ind w:firstLine="0" w:firstLineChars="0"/>
        <w:jc w:val="center"/>
        <w:rPr>
          <w:rFonts w:hint="eastAsia" w:ascii="宋体" w:hAnsi="宋体"/>
          <w:b/>
          <w:bCs/>
          <w:color w:val="auto"/>
          <w:sz w:val="32"/>
          <w:szCs w:val="32"/>
          <w:highlight w:val="none"/>
        </w:rPr>
      </w:pPr>
      <w:r>
        <w:rPr>
          <w:rFonts w:hint="eastAsia" w:ascii="宋体" w:hAnsi="宋体"/>
          <w:b/>
          <w:bCs/>
          <w:color w:val="auto"/>
          <w:sz w:val="32"/>
          <w:szCs w:val="32"/>
          <w:highlight w:val="none"/>
        </w:rPr>
        <w:t>钦州市政府采购中心</w:t>
      </w:r>
    </w:p>
    <w:p w14:paraId="2CF4678C">
      <w:pPr>
        <w:snapToGrid w:val="0"/>
        <w:spacing w:before="156" w:beforeLines="50" w:line="360" w:lineRule="exact"/>
        <w:ind w:firstLine="0" w:firstLineChars="0"/>
        <w:jc w:val="center"/>
        <w:rPr>
          <w:rFonts w:hint="eastAsia" w:ascii="宋体" w:hAnsi="宋体" w:eastAsia="宋体"/>
          <w:color w:val="auto"/>
          <w:sz w:val="30"/>
          <w:szCs w:val="72"/>
          <w:highlight w:val="none"/>
          <w:lang w:eastAsia="zh-CN"/>
        </w:rPr>
      </w:pPr>
      <w:r>
        <w:rPr>
          <w:rFonts w:hint="eastAsia" w:ascii="宋体" w:hAnsi="宋体"/>
          <w:b/>
          <w:bCs/>
          <w:color w:val="auto"/>
          <w:sz w:val="32"/>
          <w:szCs w:val="32"/>
          <w:highlight w:val="none"/>
          <w:lang w:eastAsia="zh-CN"/>
        </w:rPr>
        <w:t>2025年</w:t>
      </w:r>
      <w:r>
        <w:rPr>
          <w:rFonts w:hint="eastAsia" w:ascii="宋体" w:hAnsi="宋体"/>
          <w:b/>
          <w:bCs/>
          <w:color w:val="auto"/>
          <w:sz w:val="32"/>
          <w:szCs w:val="32"/>
          <w:highlight w:val="none"/>
          <w:lang w:val="en-US" w:eastAsia="zh-CN"/>
        </w:rPr>
        <w:t>11</w:t>
      </w:r>
      <w:r>
        <w:rPr>
          <w:rFonts w:hint="eastAsia" w:ascii="宋体" w:hAnsi="宋体"/>
          <w:b/>
          <w:bCs/>
          <w:color w:val="auto"/>
          <w:sz w:val="32"/>
          <w:szCs w:val="32"/>
          <w:highlight w:val="none"/>
          <w:lang w:eastAsia="zh-CN"/>
        </w:rPr>
        <w:t>月</w:t>
      </w:r>
    </w:p>
    <w:p w14:paraId="6F8DF9D1">
      <w:pPr>
        <w:ind w:firstLine="0" w:firstLineChars="0"/>
        <w:rPr>
          <w:rFonts w:ascii="宋体" w:hAnsi="宋体"/>
          <w:color w:val="auto"/>
          <w:highlight w:val="none"/>
        </w:rPr>
      </w:pPr>
      <w:r>
        <w:rPr>
          <w:rFonts w:ascii="宋体" w:hAnsi="宋体"/>
          <w:color w:val="auto"/>
          <w:highlight w:val="none"/>
        </w:rPr>
        <w:br w:type="page"/>
      </w:r>
    </w:p>
    <w:p w14:paraId="4955F95B">
      <w:pPr>
        <w:ind w:firstLine="0" w:firstLineChars="0"/>
        <w:rPr>
          <w:rFonts w:hint="eastAsia" w:ascii="宋体" w:hAnsi="宋体"/>
          <w:color w:val="auto"/>
          <w:highlight w:val="none"/>
        </w:rPr>
      </w:pPr>
    </w:p>
    <w:p w14:paraId="122C9355">
      <w:pPr>
        <w:pStyle w:val="29"/>
        <w:ind w:firstLine="0" w:firstLineChars="0"/>
        <w:jc w:val="center"/>
        <w:rPr>
          <w:rFonts w:hint="eastAsia" w:hAnsi="宋体"/>
          <w:b/>
          <w:color w:val="auto"/>
          <w:sz w:val="44"/>
          <w:highlight w:val="none"/>
        </w:rPr>
      </w:pPr>
      <w:r>
        <w:rPr>
          <w:rFonts w:hint="eastAsia" w:hAnsi="宋体"/>
          <w:b/>
          <w:color w:val="auto"/>
          <w:sz w:val="44"/>
          <w:highlight w:val="none"/>
        </w:rPr>
        <w:t>目   录</w:t>
      </w:r>
    </w:p>
    <w:p w14:paraId="3117059B">
      <w:pPr>
        <w:ind w:firstLine="0" w:firstLineChars="0"/>
        <w:rPr>
          <w:rFonts w:ascii="宋体" w:hAnsi="宋体"/>
          <w:color w:val="auto"/>
          <w:highlight w:val="none"/>
        </w:rPr>
      </w:pPr>
    </w:p>
    <w:p w14:paraId="1864B3F2">
      <w:pPr>
        <w:pStyle w:val="92"/>
        <w:spacing w:line="1000" w:lineRule="exact"/>
        <w:rPr>
          <w:rFonts w:ascii="宋体" w:hAnsi="宋体" w:eastAsia="宋体"/>
          <w:color w:val="auto"/>
          <w:sz w:val="28"/>
          <w:szCs w:val="28"/>
          <w:highlight w:val="none"/>
        </w:rPr>
      </w:pP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w:instrText>
      </w:r>
      <w:r>
        <w:rPr>
          <w:rFonts w:hint="eastAsia" w:ascii="宋体" w:hAnsi="宋体" w:eastAsia="宋体"/>
          <w:color w:val="auto"/>
          <w:sz w:val="32"/>
          <w:szCs w:val="32"/>
          <w:highlight w:val="none"/>
        </w:rPr>
        <w:instrText xml:space="preserve">TOC \o "1-1" \h \z \u</w:instrText>
      </w:r>
      <w:r>
        <w:rPr>
          <w:rFonts w:ascii="宋体" w:hAnsi="宋体" w:eastAsia="宋体"/>
          <w:color w:val="auto"/>
          <w:sz w:val="32"/>
          <w:szCs w:val="32"/>
          <w:highlight w:val="none"/>
        </w:rPr>
        <w:instrText xml:space="preserve"> </w:instrText>
      </w:r>
      <w:r>
        <w:rPr>
          <w:rFonts w:ascii="宋体" w:hAnsi="宋体" w:eastAsia="宋体"/>
          <w:color w:val="auto"/>
          <w:sz w:val="32"/>
          <w:szCs w:val="32"/>
          <w:highlight w:val="none"/>
        </w:rPr>
        <w:fldChar w:fldCharType="separate"/>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"_Toc91512283"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第一章  公 告</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_Toc91512283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3</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14:paraId="583CE0D5">
      <w:pPr>
        <w:pStyle w:val="92"/>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"_Toc91512284"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第二章  项目需求</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_Toc91512284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7</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14:paraId="4ACB4224">
      <w:pPr>
        <w:pStyle w:val="92"/>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"_Toc91512285"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第三章  投标人须知及前</w:t>
      </w:r>
      <w:bookmarkStart w:id="0" w:name="_Hlt91583492"/>
      <w:bookmarkStart w:id="1" w:name="_Hlt91583491"/>
      <w:r>
        <w:rPr>
          <w:rFonts w:ascii="宋体" w:hAnsi="宋体" w:eastAsia="宋体"/>
          <w:color w:val="auto"/>
          <w:sz w:val="28"/>
          <w:szCs w:val="28"/>
          <w:highlight w:val="none"/>
        </w:rPr>
        <w:t>附</w:t>
      </w:r>
      <w:bookmarkEnd w:id="0"/>
      <w:bookmarkEnd w:id="1"/>
      <w:r>
        <w:rPr>
          <w:rFonts w:ascii="宋体" w:hAnsi="宋体" w:eastAsia="宋体"/>
          <w:color w:val="auto"/>
          <w:sz w:val="28"/>
          <w:szCs w:val="28"/>
          <w:highlight w:val="none"/>
        </w:rPr>
        <w:t>表</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_Toc91512285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42</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14:paraId="1EDB8B51">
      <w:pPr>
        <w:pStyle w:val="92"/>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"_Toc91512286"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第四章  评</w:t>
      </w:r>
      <w:r>
        <w:rPr>
          <w:rFonts w:hint="eastAsia" w:ascii="宋体" w:hAnsi="宋体" w:eastAsia="宋体"/>
          <w:color w:val="auto"/>
          <w:sz w:val="28"/>
          <w:szCs w:val="28"/>
          <w:highlight w:val="none"/>
        </w:rPr>
        <w:t>定</w:t>
      </w:r>
      <w:r>
        <w:rPr>
          <w:rFonts w:ascii="宋体" w:hAnsi="宋体" w:eastAsia="宋体"/>
          <w:color w:val="auto"/>
          <w:sz w:val="28"/>
          <w:szCs w:val="28"/>
          <w:highlight w:val="none"/>
        </w:rPr>
        <w:t>标准及</w:t>
      </w:r>
      <w:r>
        <w:rPr>
          <w:rFonts w:hint="eastAsia" w:ascii="宋体" w:hAnsi="宋体" w:eastAsia="宋体"/>
          <w:color w:val="auto"/>
          <w:sz w:val="28"/>
          <w:szCs w:val="28"/>
          <w:highlight w:val="none"/>
        </w:rPr>
        <w:t>推荐原则</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_Toc91512286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54</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14:paraId="3F9E01A5">
      <w:pPr>
        <w:pStyle w:val="92"/>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"_Toc91512287"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第五章  政府采购合同主要条款</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_Toc91512287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59</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14:paraId="2D14FC16">
      <w:pPr>
        <w:pStyle w:val="92"/>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"_Toc91512288"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第六章　投标文件格式</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_Toc91512288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66</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14:paraId="2BDF03E6">
      <w:pPr>
        <w:ind w:firstLine="0" w:firstLineChars="0"/>
        <w:rPr>
          <w:rFonts w:ascii="宋体" w:hAnsi="宋体"/>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246" w:right="1106" w:bottom="1091" w:left="1080" w:header="851" w:footer="992" w:gutter="0"/>
          <w:pgNumType w:fmt="decimal" w:start="1"/>
          <w:cols w:space="720" w:num="1"/>
          <w:docGrid w:type="lines" w:linePitch="312" w:charSpace="0"/>
        </w:sectPr>
      </w:pPr>
      <w:r>
        <w:rPr>
          <w:rFonts w:ascii="宋体" w:hAnsi="宋体"/>
          <w:color w:val="auto"/>
          <w:highlight w:val="none"/>
        </w:rPr>
        <w:fldChar w:fldCharType="end"/>
      </w:r>
    </w:p>
    <w:p w14:paraId="3F151C33">
      <w:pPr>
        <w:ind w:firstLine="0" w:firstLineChars="0"/>
        <w:rPr>
          <w:rFonts w:hint="eastAsia" w:ascii="宋体" w:hAnsi="宋体"/>
          <w:color w:val="auto"/>
          <w:highlight w:val="none"/>
        </w:rPr>
      </w:pPr>
    </w:p>
    <w:p w14:paraId="264560E0">
      <w:pPr>
        <w:ind w:firstLine="0" w:firstLineChars="0"/>
        <w:rPr>
          <w:rFonts w:ascii="宋体" w:hAnsi="宋体"/>
          <w:color w:val="auto"/>
          <w:highlight w:val="none"/>
        </w:rPr>
      </w:pPr>
      <w:bookmarkStart w:id="2" w:name="_Toc91512283"/>
    </w:p>
    <w:p w14:paraId="281A2DDC">
      <w:pPr>
        <w:ind w:firstLine="0" w:firstLineChars="0"/>
        <w:rPr>
          <w:rFonts w:ascii="宋体" w:hAnsi="宋体"/>
          <w:color w:val="auto"/>
          <w:highlight w:val="none"/>
        </w:rPr>
      </w:pPr>
    </w:p>
    <w:p w14:paraId="5D9663CA">
      <w:pPr>
        <w:ind w:firstLine="0" w:firstLineChars="0"/>
        <w:rPr>
          <w:rFonts w:ascii="宋体" w:hAnsi="宋体"/>
          <w:color w:val="auto"/>
          <w:highlight w:val="none"/>
        </w:rPr>
      </w:pPr>
    </w:p>
    <w:p w14:paraId="04D4CC93">
      <w:pPr>
        <w:ind w:firstLine="0" w:firstLineChars="0"/>
        <w:rPr>
          <w:rFonts w:ascii="宋体" w:hAnsi="宋体"/>
          <w:color w:val="auto"/>
          <w:highlight w:val="none"/>
        </w:rPr>
      </w:pPr>
    </w:p>
    <w:p w14:paraId="506383C4">
      <w:pPr>
        <w:ind w:firstLine="0" w:firstLineChars="0"/>
        <w:rPr>
          <w:rFonts w:ascii="宋体" w:hAnsi="宋体"/>
          <w:color w:val="auto"/>
          <w:highlight w:val="none"/>
        </w:rPr>
      </w:pPr>
    </w:p>
    <w:p w14:paraId="24BE7272">
      <w:pPr>
        <w:ind w:firstLine="0" w:firstLineChars="0"/>
        <w:rPr>
          <w:rFonts w:ascii="宋体" w:hAnsi="宋体"/>
          <w:color w:val="auto"/>
          <w:highlight w:val="none"/>
        </w:rPr>
      </w:pPr>
    </w:p>
    <w:p w14:paraId="065D8025">
      <w:pPr>
        <w:ind w:firstLine="0" w:firstLineChars="0"/>
        <w:rPr>
          <w:rFonts w:ascii="宋体" w:hAnsi="宋体"/>
          <w:color w:val="auto"/>
          <w:highlight w:val="none"/>
        </w:rPr>
      </w:pPr>
    </w:p>
    <w:p w14:paraId="006BC3A2">
      <w:pPr>
        <w:ind w:firstLine="0" w:firstLineChars="0"/>
        <w:rPr>
          <w:rFonts w:ascii="宋体" w:hAnsi="宋体"/>
          <w:color w:val="auto"/>
          <w:highlight w:val="none"/>
        </w:rPr>
      </w:pPr>
    </w:p>
    <w:p w14:paraId="609D5EE7">
      <w:pPr>
        <w:ind w:firstLine="0" w:firstLineChars="0"/>
        <w:rPr>
          <w:rFonts w:ascii="宋体" w:hAnsi="宋体"/>
          <w:color w:val="auto"/>
          <w:highlight w:val="none"/>
        </w:rPr>
      </w:pPr>
    </w:p>
    <w:p w14:paraId="1A50EAE2">
      <w:pPr>
        <w:ind w:firstLine="0" w:firstLineChars="0"/>
        <w:rPr>
          <w:rFonts w:hint="eastAsia" w:ascii="宋体" w:hAnsi="宋体"/>
          <w:color w:val="auto"/>
          <w:highlight w:val="none"/>
        </w:rPr>
      </w:pPr>
    </w:p>
    <w:p w14:paraId="364FFEBC">
      <w:pPr>
        <w:pStyle w:val="49"/>
        <w:ind w:left="0" w:leftChars="0" w:right="0" w:rightChars="0" w:firstLine="0" w:firstLineChars="0"/>
        <w:jc w:val="center"/>
        <w:rPr>
          <w:rFonts w:hint="eastAsia" w:ascii="宋体" w:hAnsi="宋体" w:eastAsia="宋体"/>
          <w:color w:val="auto"/>
          <w:szCs w:val="44"/>
          <w:highlight w:val="none"/>
        </w:rPr>
      </w:pPr>
      <w:r>
        <w:rPr>
          <w:rFonts w:hint="eastAsia" w:ascii="宋体" w:hAnsi="宋体" w:eastAsia="宋体"/>
          <w:color w:val="auto"/>
          <w:szCs w:val="44"/>
          <w:highlight w:val="none"/>
        </w:rPr>
        <w:t>第一章  公 告</w:t>
      </w:r>
      <w:bookmarkEnd w:id="2"/>
    </w:p>
    <w:p w14:paraId="06D36285">
      <w:pPr>
        <w:spacing w:line="440" w:lineRule="exact"/>
        <w:ind w:firstLine="0" w:firstLineChars="0"/>
        <w:jc w:val="left"/>
        <w:rPr>
          <w:rFonts w:ascii="宋体" w:hAnsi="宋体"/>
          <w:color w:val="auto"/>
          <w:highlight w:val="none"/>
        </w:rPr>
      </w:pPr>
      <w:r>
        <w:rPr>
          <w:rFonts w:ascii="宋体" w:hAnsi="宋体"/>
          <w:color w:val="auto"/>
          <w:highlight w:val="none"/>
        </w:rPr>
        <w:br w:type="page"/>
      </w:r>
    </w:p>
    <w:p w14:paraId="6BAF1080">
      <w:pPr>
        <w:spacing w:line="440" w:lineRule="exact"/>
        <w:ind w:firstLine="0" w:firstLineChars="0"/>
        <w:jc w:val="center"/>
        <w:rPr>
          <w:rFonts w:hint="eastAsia" w:ascii="宋体" w:hAnsi="宋体"/>
          <w:b/>
          <w:bCs/>
          <w:color w:val="auto"/>
          <w:sz w:val="35"/>
          <w:szCs w:val="35"/>
          <w:highlight w:val="none"/>
        </w:rPr>
      </w:pPr>
      <w:r>
        <w:rPr>
          <w:rFonts w:hint="eastAsia" w:ascii="宋体" w:hAnsi="宋体"/>
          <w:b/>
          <w:bCs/>
          <w:color w:val="auto"/>
          <w:sz w:val="35"/>
          <w:szCs w:val="35"/>
          <w:highlight w:val="none"/>
        </w:rPr>
        <w:t>钦州市政府采购中心关于</w:t>
      </w:r>
      <w:r>
        <w:rPr>
          <w:rFonts w:hint="eastAsia" w:ascii="宋体" w:hAnsi="宋体"/>
          <w:b/>
          <w:bCs/>
          <w:color w:val="auto"/>
          <w:sz w:val="35"/>
          <w:szCs w:val="35"/>
          <w:highlight w:val="none"/>
          <w:lang w:eastAsia="zh-CN"/>
        </w:rPr>
        <w:t>灵山县发展和改革局灵山县电子政务外网服务</w:t>
      </w:r>
      <w:r>
        <w:rPr>
          <w:rFonts w:hint="eastAsia" w:ascii="宋体" w:hAnsi="宋体"/>
          <w:b/>
          <w:bCs/>
          <w:color w:val="auto"/>
          <w:sz w:val="35"/>
          <w:szCs w:val="35"/>
          <w:highlight w:val="none"/>
        </w:rPr>
        <w:t>(</w:t>
      </w:r>
      <w:r>
        <w:rPr>
          <w:rFonts w:hint="eastAsia" w:ascii="宋体" w:hAnsi="宋体"/>
          <w:b/>
          <w:bCs/>
          <w:color w:val="auto"/>
          <w:sz w:val="35"/>
          <w:szCs w:val="35"/>
          <w:highlight w:val="none"/>
          <w:lang w:eastAsia="zh-CN"/>
        </w:rPr>
        <w:t>QZZC2025-G3-210251-QZSZ</w:t>
      </w:r>
      <w:r>
        <w:rPr>
          <w:rFonts w:ascii="宋体" w:hAnsi="宋体"/>
          <w:b/>
          <w:bCs/>
          <w:color w:val="auto"/>
          <w:sz w:val="35"/>
          <w:szCs w:val="35"/>
          <w:highlight w:val="none"/>
        </w:rPr>
        <w:t>)</w:t>
      </w:r>
      <w:r>
        <w:rPr>
          <w:rFonts w:hint="eastAsia" w:ascii="宋体" w:hAnsi="宋体"/>
          <w:b/>
          <w:bCs/>
          <w:color w:val="auto"/>
          <w:sz w:val="35"/>
          <w:szCs w:val="35"/>
          <w:highlight w:val="none"/>
        </w:rPr>
        <w:t>的招标公告</w:t>
      </w:r>
    </w:p>
    <w:p w14:paraId="4A22C178">
      <w:pPr>
        <w:pBdr>
          <w:top w:val="single" w:color="auto" w:sz="4" w:space="0"/>
          <w:left w:val="single" w:color="auto" w:sz="4" w:space="4"/>
          <w:bottom w:val="single" w:color="auto" w:sz="4" w:space="1"/>
          <w:right w:val="single" w:color="auto" w:sz="4" w:space="4"/>
        </w:pBdr>
        <w:ind w:firstLine="0" w:firstLineChars="0"/>
        <w:rPr>
          <w:rFonts w:ascii="宋体" w:hAnsi="宋体"/>
          <w:color w:val="auto"/>
          <w:szCs w:val="21"/>
          <w:highlight w:val="none"/>
        </w:rPr>
      </w:pPr>
      <w:r>
        <w:rPr>
          <w:rFonts w:hint="eastAsia" w:ascii="宋体" w:hAnsi="宋体"/>
          <w:color w:val="auto"/>
          <w:szCs w:val="21"/>
          <w:highlight w:val="none"/>
        </w:rPr>
        <w:t>项目概况</w:t>
      </w:r>
    </w:p>
    <w:p w14:paraId="2818A18E">
      <w:pPr>
        <w:pBdr>
          <w:top w:val="single" w:color="auto" w:sz="4" w:space="0"/>
          <w:left w:val="single" w:color="auto" w:sz="4" w:space="4"/>
          <w:bottom w:val="single" w:color="auto" w:sz="4" w:space="1"/>
          <w:right w:val="single" w:color="auto" w:sz="4" w:space="4"/>
        </w:pBdr>
        <w:ind w:firstLine="420"/>
        <w:rPr>
          <w:rFonts w:ascii="宋体" w:hAnsi="宋体"/>
          <w:color w:val="auto"/>
          <w:szCs w:val="21"/>
          <w:highlight w:val="none"/>
        </w:rPr>
      </w:pPr>
      <w:r>
        <w:rPr>
          <w:rFonts w:hint="eastAsia" w:ascii="宋体" w:hAnsi="宋体"/>
          <w:bCs/>
          <w:color w:val="auto"/>
          <w:szCs w:val="21"/>
          <w:highlight w:val="none"/>
          <w:lang w:eastAsia="zh-CN"/>
        </w:rPr>
        <w:t>灵山县发展和改革局灵山县电子政务外网服务</w:t>
      </w:r>
      <w:r>
        <w:rPr>
          <w:rFonts w:hint="eastAsia" w:ascii="宋体" w:hAnsi="宋体"/>
          <w:bCs/>
          <w:color w:val="auto"/>
          <w:szCs w:val="21"/>
          <w:highlight w:val="none"/>
        </w:rPr>
        <w:t>招标</w:t>
      </w:r>
      <w:r>
        <w:rPr>
          <w:rFonts w:hint="eastAsia" w:ascii="宋体" w:hAnsi="宋体"/>
          <w:color w:val="auto"/>
          <w:szCs w:val="21"/>
          <w:highlight w:val="none"/>
        </w:rPr>
        <w:t>项目的潜在投标人应在</w:t>
      </w:r>
      <w:r>
        <w:rPr>
          <w:rFonts w:ascii="宋体" w:hAnsi="宋体"/>
          <w:color w:val="auto"/>
          <w:szCs w:val="21"/>
          <w:highlight w:val="none"/>
        </w:rPr>
        <w:fldChar w:fldCharType="begin"/>
      </w:r>
      <w:r>
        <w:rPr>
          <w:rFonts w:ascii="宋体" w:hAnsi="宋体"/>
          <w:color w:val="auto"/>
          <w:szCs w:val="21"/>
          <w:highlight w:val="none"/>
        </w:rPr>
        <w:instrText xml:space="preserve"> </w:instrText>
      </w:r>
      <w:r>
        <w:rPr>
          <w:rFonts w:hint="eastAsia" w:ascii="宋体" w:hAnsi="宋体"/>
          <w:color w:val="auto"/>
          <w:szCs w:val="21"/>
          <w:highlight w:val="none"/>
        </w:rPr>
        <w:instrText xml:space="preserve">HYPERLINK "https://www.zcygov.cn/"</w:instrText>
      </w:r>
      <w:r>
        <w:rPr>
          <w:rFonts w:ascii="宋体" w:hAnsi="宋体"/>
          <w:color w:val="auto"/>
          <w:szCs w:val="21"/>
          <w:highlight w:val="none"/>
        </w:rPr>
        <w:instrText xml:space="preserve"> </w:instrText>
      </w:r>
      <w:r>
        <w:rPr>
          <w:rFonts w:ascii="宋体" w:hAnsi="宋体"/>
          <w:color w:val="auto"/>
          <w:szCs w:val="21"/>
          <w:highlight w:val="none"/>
        </w:rPr>
        <w:fldChar w:fldCharType="separate"/>
      </w:r>
      <w:r>
        <w:rPr>
          <w:rStyle w:val="60"/>
          <w:rFonts w:hint="eastAsia" w:ascii="宋体" w:hAnsi="宋体"/>
          <w:color w:val="auto"/>
          <w:szCs w:val="21"/>
          <w:highlight w:val="none"/>
          <w:u w:val="none"/>
        </w:rPr>
        <w:t>政府采购云平台</w:t>
      </w:r>
      <w:r>
        <w:rPr>
          <w:rFonts w:ascii="宋体" w:hAnsi="宋体"/>
          <w:color w:val="auto"/>
          <w:szCs w:val="21"/>
          <w:highlight w:val="none"/>
        </w:rPr>
        <w:fldChar w:fldCharType="end"/>
      </w:r>
      <w:r>
        <w:rPr>
          <w:rFonts w:hint="eastAsia" w:ascii="宋体" w:hAnsi="宋体"/>
          <w:color w:val="auto"/>
          <w:szCs w:val="21"/>
          <w:highlight w:val="none"/>
        </w:rPr>
        <w:t>获取招标文件，并于</w:t>
      </w:r>
      <w:r>
        <w:rPr>
          <w:rFonts w:hint="eastAsia" w:ascii="宋体" w:hAnsi="宋体"/>
          <w:color w:val="auto"/>
          <w:szCs w:val="21"/>
          <w:highlight w:val="none"/>
          <w:lang w:eastAsia="zh-CN"/>
        </w:rPr>
        <w:t>2025年</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10:00</w:t>
      </w:r>
      <w:r>
        <w:rPr>
          <w:rFonts w:hint="eastAsia" w:ascii="宋体" w:hAnsi="宋体"/>
          <w:color w:val="auto"/>
          <w:szCs w:val="21"/>
          <w:highlight w:val="none"/>
        </w:rPr>
        <w:t>(北京时间)前提交投标文件。</w:t>
      </w:r>
    </w:p>
    <w:p w14:paraId="21B3990C">
      <w:pPr>
        <w:spacing w:line="418" w:lineRule="exact"/>
        <w:ind w:left="-283" w:leftChars="-135" w:firstLine="283" w:firstLineChars="0"/>
        <w:rPr>
          <w:rFonts w:ascii="宋体" w:hAnsi="宋体"/>
          <w:b/>
          <w:color w:val="auto"/>
          <w:highlight w:val="none"/>
        </w:rPr>
      </w:pPr>
      <w:bookmarkStart w:id="3" w:name="_Toc35393790"/>
      <w:bookmarkStart w:id="4" w:name="_Toc28359002"/>
      <w:bookmarkStart w:id="5" w:name="_Toc28359079"/>
      <w:bookmarkStart w:id="6" w:name="_Toc35393621"/>
      <w:bookmarkStart w:id="7" w:name="_Hlk24379207"/>
      <w:bookmarkStart w:id="8" w:name="_Hlk92355554"/>
      <w:r>
        <w:rPr>
          <w:rFonts w:hint="eastAsia" w:ascii="宋体" w:hAnsi="宋体"/>
          <w:b/>
          <w:color w:val="auto"/>
          <w:highlight w:val="none"/>
        </w:rPr>
        <w:t>一、项目基本情况</w:t>
      </w:r>
      <w:bookmarkEnd w:id="3"/>
      <w:bookmarkEnd w:id="4"/>
      <w:bookmarkEnd w:id="5"/>
      <w:bookmarkEnd w:id="6"/>
    </w:p>
    <w:p w14:paraId="0260C8AD">
      <w:pPr>
        <w:spacing w:line="418" w:lineRule="exact"/>
        <w:ind w:left="-283" w:leftChars="-135" w:firstLine="283" w:firstLineChars="0"/>
        <w:rPr>
          <w:rFonts w:hint="eastAsia" w:ascii="宋体" w:hAnsi="宋体" w:eastAsia="宋体"/>
          <w:color w:val="auto"/>
          <w:highlight w:val="none"/>
          <w:lang w:eastAsia="zh-CN"/>
        </w:rPr>
      </w:pPr>
      <w:r>
        <w:rPr>
          <w:rFonts w:hint="eastAsia" w:ascii="宋体" w:hAnsi="宋体"/>
          <w:color w:val="auto"/>
          <w:highlight w:val="none"/>
        </w:rPr>
        <w:t>项目编号：</w:t>
      </w:r>
      <w:r>
        <w:rPr>
          <w:rFonts w:hint="eastAsia" w:ascii="宋体" w:hAnsi="宋体"/>
          <w:bCs/>
          <w:color w:val="auto"/>
          <w:highlight w:val="none"/>
          <w:lang w:eastAsia="zh-CN"/>
        </w:rPr>
        <w:t>QZZC2025-G3-210251-QZSZ</w:t>
      </w:r>
    </w:p>
    <w:p w14:paraId="6CDDF8B8">
      <w:pPr>
        <w:spacing w:line="418" w:lineRule="exact"/>
        <w:ind w:left="-283" w:leftChars="-135" w:firstLine="283" w:firstLineChars="0"/>
        <w:rPr>
          <w:rFonts w:hint="eastAsia" w:ascii="宋体" w:hAnsi="宋体" w:eastAsia="宋体"/>
          <w:color w:val="auto"/>
          <w:highlight w:val="none"/>
          <w:lang w:eastAsia="zh-CN"/>
        </w:rPr>
      </w:pPr>
      <w:r>
        <w:rPr>
          <w:rFonts w:hint="eastAsia" w:ascii="宋体" w:hAnsi="宋体"/>
          <w:color w:val="auto"/>
          <w:highlight w:val="none"/>
        </w:rPr>
        <w:t>项目名称：</w:t>
      </w:r>
      <w:r>
        <w:rPr>
          <w:rFonts w:hint="eastAsia" w:ascii="宋体" w:hAnsi="宋体"/>
          <w:color w:val="auto"/>
          <w:highlight w:val="none"/>
          <w:lang w:eastAsia="zh-CN"/>
        </w:rPr>
        <w:t>灵山县发展和改革局灵山县电子政务外网服务</w:t>
      </w:r>
    </w:p>
    <w:bookmarkEnd w:id="7"/>
    <w:p w14:paraId="2ED8DF37">
      <w:pPr>
        <w:spacing w:line="418" w:lineRule="exact"/>
        <w:ind w:left="-283" w:leftChars="-135" w:firstLine="283" w:firstLineChars="0"/>
        <w:rPr>
          <w:rFonts w:hint="eastAsia" w:ascii="宋体" w:hAnsi="宋体"/>
          <w:color w:val="auto"/>
          <w:highlight w:val="none"/>
          <w:lang w:eastAsia="zh-CN"/>
        </w:rPr>
      </w:pPr>
      <w:r>
        <w:rPr>
          <w:rFonts w:hint="eastAsia" w:ascii="宋体" w:hAnsi="宋体"/>
          <w:color w:val="auto"/>
          <w:highlight w:val="none"/>
        </w:rPr>
        <w:t>预算总金额(元</w:t>
      </w:r>
      <w:r>
        <w:rPr>
          <w:rFonts w:ascii="宋体" w:hAnsi="宋体"/>
          <w:color w:val="auto"/>
          <w:highlight w:val="none"/>
        </w:rPr>
        <w:t>)</w:t>
      </w:r>
      <w:r>
        <w:rPr>
          <w:rFonts w:hint="eastAsia" w:ascii="宋体" w:hAnsi="宋体"/>
          <w:color w:val="auto"/>
          <w:highlight w:val="none"/>
          <w:lang w:eastAsia="zh-CN"/>
        </w:rPr>
        <w:t>：15,048,000.00</w:t>
      </w:r>
    </w:p>
    <w:p w14:paraId="74E9F14A">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采购需求：</w:t>
      </w:r>
    </w:p>
    <w:p w14:paraId="7451B876">
      <w:pPr>
        <w:spacing w:line="418" w:lineRule="exact"/>
        <w:ind w:left="-283" w:leftChars="-135" w:firstLine="283" w:firstLineChars="0"/>
        <w:rPr>
          <w:rFonts w:hint="eastAsia" w:ascii="宋体" w:hAnsi="宋体"/>
          <w:color w:val="auto"/>
          <w:highlight w:val="none"/>
        </w:rPr>
      </w:pPr>
    </w:p>
    <w:p w14:paraId="6D8EC67E">
      <w:pPr>
        <w:spacing w:line="418" w:lineRule="exact"/>
        <w:ind w:left="-283" w:leftChars="-135" w:firstLine="283" w:firstLineChars="0"/>
        <w:rPr>
          <w:rFonts w:hint="eastAsia" w:ascii="宋体" w:hAnsi="宋体" w:eastAsia="宋体"/>
          <w:color w:val="auto"/>
          <w:highlight w:val="none"/>
          <w:lang w:eastAsia="zh-CN"/>
        </w:rPr>
      </w:pPr>
      <w:r>
        <w:rPr>
          <w:rFonts w:hint="eastAsia" w:ascii="宋体" w:hAnsi="宋体"/>
          <w:color w:val="auto"/>
          <w:highlight w:val="none"/>
        </w:rPr>
        <w:t>标项名称：</w:t>
      </w:r>
      <w:r>
        <w:rPr>
          <w:rFonts w:hint="eastAsia" w:ascii="宋体" w:hAnsi="宋体" w:cs="宋体"/>
          <w:color w:val="auto"/>
          <w:highlight w:val="none"/>
          <w:lang w:eastAsia="zh-CN"/>
        </w:rPr>
        <w:t>灵山县发展和改革局灵山县电子政务外网服务</w:t>
      </w:r>
    </w:p>
    <w:p w14:paraId="4887135B">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数量：</w:t>
      </w:r>
      <w:r>
        <w:rPr>
          <w:rFonts w:ascii="宋体" w:hAnsi="宋体"/>
          <w:color w:val="auto"/>
          <w:highlight w:val="none"/>
        </w:rPr>
        <w:t>1</w:t>
      </w:r>
      <w:r>
        <w:rPr>
          <w:rFonts w:hint="eastAsia" w:ascii="宋体" w:hAnsi="宋体"/>
          <w:color w:val="auto"/>
          <w:highlight w:val="none"/>
        </w:rPr>
        <w:t>项</w:t>
      </w:r>
    </w:p>
    <w:p w14:paraId="5B2AEC89">
      <w:pPr>
        <w:spacing w:line="418" w:lineRule="exact"/>
        <w:ind w:left="-283" w:leftChars="-135" w:firstLine="283" w:firstLineChars="0"/>
        <w:rPr>
          <w:rFonts w:hint="eastAsia" w:ascii="宋体" w:hAnsi="宋体" w:eastAsia="宋体"/>
          <w:color w:val="auto"/>
          <w:sz w:val="30"/>
          <w:szCs w:val="30"/>
          <w:highlight w:val="none"/>
          <w:lang w:eastAsia="zh-CN"/>
        </w:rPr>
      </w:pPr>
      <w:r>
        <w:rPr>
          <w:rFonts w:hint="eastAsia" w:ascii="宋体" w:hAnsi="宋体"/>
          <w:color w:val="auto"/>
          <w:highlight w:val="none"/>
        </w:rPr>
        <w:t>预算金额(元</w:t>
      </w:r>
      <w:r>
        <w:rPr>
          <w:rFonts w:ascii="宋体" w:hAnsi="宋体"/>
          <w:color w:val="auto"/>
          <w:highlight w:val="none"/>
        </w:rPr>
        <w:t>)</w:t>
      </w:r>
      <w:r>
        <w:rPr>
          <w:rFonts w:hint="eastAsia" w:ascii="宋体" w:hAnsi="宋体"/>
          <w:color w:val="auto"/>
          <w:highlight w:val="none"/>
        </w:rPr>
        <w:t>：</w:t>
      </w:r>
      <w:r>
        <w:rPr>
          <w:rFonts w:hint="eastAsia" w:ascii="宋体" w:hAnsi="宋体"/>
          <w:color w:val="auto"/>
          <w:highlight w:val="none"/>
          <w:lang w:eastAsia="zh-CN"/>
        </w:rPr>
        <w:t>15,048,000.00</w:t>
      </w:r>
    </w:p>
    <w:p w14:paraId="52059D19">
      <w:pPr>
        <w:spacing w:line="418" w:lineRule="exact"/>
        <w:ind w:left="-283" w:leftChars="-135" w:firstLine="283" w:firstLineChars="0"/>
        <w:rPr>
          <w:rFonts w:ascii="宋体" w:hAnsi="宋体" w:cs="宋体"/>
          <w:color w:val="auto"/>
          <w:kern w:val="0"/>
          <w:szCs w:val="21"/>
          <w:highlight w:val="none"/>
        </w:rPr>
      </w:pPr>
      <w:r>
        <w:rPr>
          <w:rFonts w:hint="eastAsia" w:ascii="宋体" w:hAnsi="宋体"/>
          <w:color w:val="auto"/>
          <w:highlight w:val="none"/>
        </w:rPr>
        <w:t>简要规格描述或项目基本概况介绍、用途：</w:t>
      </w:r>
      <w:r>
        <w:rPr>
          <w:rFonts w:hint="eastAsia" w:ascii="宋体" w:hAnsi="宋体" w:cs="宋体"/>
          <w:color w:val="auto"/>
          <w:highlight w:val="none"/>
          <w:lang w:eastAsia="zh-CN"/>
        </w:rPr>
        <w:t>灵山县发展和改革局灵山县电子政务外网服务</w:t>
      </w:r>
      <w:r>
        <w:rPr>
          <w:rFonts w:hint="eastAsia" w:ascii="宋体" w:hAnsi="宋体"/>
          <w:color w:val="auto"/>
          <w:highlight w:val="none"/>
        </w:rPr>
        <w:t>，详见</w:t>
      </w:r>
      <w:r>
        <w:rPr>
          <w:rFonts w:hint="eastAsia" w:ascii="宋体" w:hAnsi="宋体"/>
          <w:color w:val="auto"/>
          <w:highlight w:val="none"/>
          <w:lang w:val="en-US" w:eastAsia="zh-CN"/>
        </w:rPr>
        <w:t>项目需求</w:t>
      </w:r>
      <w:r>
        <w:rPr>
          <w:rFonts w:hint="eastAsia" w:ascii="宋体" w:hAnsi="宋体"/>
          <w:color w:val="auto"/>
          <w:highlight w:val="none"/>
        </w:rPr>
        <w:t>。</w:t>
      </w:r>
    </w:p>
    <w:p w14:paraId="0746BA0B">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最高限价(如有</w:t>
      </w:r>
      <w:r>
        <w:rPr>
          <w:rFonts w:ascii="宋体" w:hAnsi="宋体"/>
          <w:color w:val="auto"/>
          <w:highlight w:val="none"/>
        </w:rPr>
        <w:t>)</w:t>
      </w:r>
      <w:r>
        <w:rPr>
          <w:rFonts w:hint="eastAsia" w:ascii="宋体" w:hAnsi="宋体"/>
          <w:color w:val="auto"/>
          <w:highlight w:val="none"/>
        </w:rPr>
        <w:t>：</w:t>
      </w:r>
    </w:p>
    <w:p w14:paraId="19B1D5D1">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合同履行期限：合同签订之</w:t>
      </w:r>
      <w:r>
        <w:rPr>
          <w:rFonts w:hint="eastAsia" w:ascii="宋体" w:hAnsi="宋体"/>
          <w:color w:val="auto"/>
          <w:highlight w:val="none"/>
          <w:u w:val="none"/>
        </w:rPr>
        <w:t>日起</w:t>
      </w:r>
      <w:r>
        <w:rPr>
          <w:rFonts w:hint="eastAsia" w:ascii="宋体" w:hAnsi="宋体"/>
          <w:color w:val="auto"/>
          <w:highlight w:val="none"/>
          <w:u w:val="none"/>
          <w:lang w:val="en-US" w:eastAsia="zh-CN"/>
        </w:rPr>
        <w:t>3</w:t>
      </w:r>
      <w:r>
        <w:rPr>
          <w:rFonts w:hint="eastAsia" w:ascii="宋体" w:hAnsi="宋体"/>
          <w:color w:val="auto"/>
          <w:highlight w:val="none"/>
          <w:u w:val="none"/>
        </w:rPr>
        <w:t>年。</w:t>
      </w:r>
    </w:p>
    <w:p w14:paraId="7F60CF5A">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本标项</w:t>
      </w:r>
      <w:r>
        <w:rPr>
          <w:rFonts w:hint="eastAsia" w:ascii="宋体" w:hAnsi="宋体"/>
          <w:color w:val="auto"/>
          <w:highlight w:val="none"/>
          <w:lang w:val="en-US" w:eastAsia="zh-CN"/>
        </w:rPr>
        <w:t>不</w:t>
      </w:r>
      <w:r>
        <w:rPr>
          <w:rFonts w:hint="eastAsia" w:ascii="宋体" w:hAnsi="宋体"/>
          <w:color w:val="auto"/>
          <w:highlight w:val="none"/>
        </w:rPr>
        <w:t>接受联合体投标。</w:t>
      </w:r>
    </w:p>
    <w:p w14:paraId="10F4104C">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备注：</w:t>
      </w:r>
    </w:p>
    <w:p w14:paraId="02D1BB02">
      <w:pPr>
        <w:spacing w:line="418" w:lineRule="exact"/>
        <w:ind w:left="-283" w:leftChars="-135" w:firstLine="283" w:firstLineChars="0"/>
        <w:rPr>
          <w:rFonts w:ascii="宋体" w:hAnsi="宋体"/>
          <w:color w:val="auto"/>
          <w:highlight w:val="none"/>
        </w:rPr>
      </w:pPr>
    </w:p>
    <w:p w14:paraId="5B9E1919">
      <w:pPr>
        <w:spacing w:line="418" w:lineRule="exact"/>
        <w:ind w:left="-283" w:leftChars="-135" w:firstLine="283" w:firstLineChars="0"/>
        <w:rPr>
          <w:rFonts w:ascii="宋体" w:hAnsi="宋体"/>
          <w:b/>
          <w:color w:val="auto"/>
          <w:highlight w:val="none"/>
        </w:rPr>
      </w:pPr>
      <w:bookmarkStart w:id="9" w:name="_Toc28359080"/>
      <w:bookmarkStart w:id="10" w:name="_Toc28359003"/>
      <w:bookmarkStart w:id="11" w:name="_Toc35393791"/>
      <w:bookmarkStart w:id="12" w:name="_Toc35393622"/>
      <w:r>
        <w:rPr>
          <w:rFonts w:hint="eastAsia" w:ascii="宋体" w:hAnsi="宋体"/>
          <w:b/>
          <w:color w:val="auto"/>
          <w:highlight w:val="none"/>
        </w:rPr>
        <w:t>二、申请人的资格要求：</w:t>
      </w:r>
      <w:bookmarkEnd w:id="9"/>
      <w:bookmarkEnd w:id="10"/>
      <w:bookmarkEnd w:id="11"/>
      <w:bookmarkEnd w:id="12"/>
      <w:bookmarkStart w:id="13" w:name="_Toc35393623"/>
      <w:bookmarkStart w:id="14" w:name="_Toc28359081"/>
      <w:bookmarkStart w:id="15" w:name="_Toc28359004"/>
      <w:bookmarkStart w:id="16" w:name="_Toc35393792"/>
    </w:p>
    <w:p w14:paraId="726DA65B">
      <w:pPr>
        <w:spacing w:line="418" w:lineRule="exact"/>
        <w:ind w:left="-283" w:leftChars="-135" w:firstLine="283" w:firstLineChars="0"/>
        <w:rPr>
          <w:rFonts w:ascii="宋体" w:hAnsi="宋体"/>
          <w:b/>
          <w:color w:val="auto"/>
          <w:highlight w:val="none"/>
        </w:rPr>
      </w:pPr>
      <w:r>
        <w:rPr>
          <w:rFonts w:hint="eastAsia" w:ascii="宋体" w:hAnsi="宋体"/>
          <w:color w:val="auto"/>
          <w:highlight w:val="none"/>
        </w:rPr>
        <w:t>1.满足《中华人民共和国政府采购法》第二十二条规定；</w:t>
      </w:r>
    </w:p>
    <w:p w14:paraId="2BEE6C68">
      <w:pPr>
        <w:spacing w:line="418" w:lineRule="exact"/>
        <w:ind w:left="-283" w:leftChars="-135" w:firstLine="283" w:firstLineChars="0"/>
        <w:rPr>
          <w:rFonts w:hint="eastAsia" w:ascii="宋体" w:hAnsi="宋体" w:eastAsia="宋体" w:cs="Times New Roman"/>
          <w:color w:val="auto"/>
          <w:highlight w:val="none"/>
          <w:lang w:val="en-US" w:eastAsia="zh-CN"/>
        </w:rPr>
      </w:pPr>
      <w:r>
        <w:rPr>
          <w:rFonts w:hint="eastAsia" w:ascii="宋体" w:hAnsi="宋体"/>
          <w:color w:val="auto"/>
          <w:highlight w:val="none"/>
        </w:rPr>
        <w:t>2.落实政府采购政策需满足的资格要</w:t>
      </w:r>
      <w:r>
        <w:rPr>
          <w:rFonts w:hint="eastAsia" w:ascii="宋体" w:hAnsi="宋体" w:eastAsia="宋体" w:cs="Times New Roman"/>
          <w:color w:val="auto"/>
          <w:highlight w:val="none"/>
        </w:rPr>
        <w:t>求：</w:t>
      </w:r>
      <w:r>
        <w:rPr>
          <w:rFonts w:hint="eastAsia" w:ascii="宋体" w:hAnsi="宋体" w:cs="Times New Roman"/>
          <w:color w:val="auto"/>
          <w:highlight w:val="none"/>
          <w:lang w:val="en-US" w:eastAsia="zh-CN"/>
        </w:rPr>
        <w:t>无；</w:t>
      </w:r>
    </w:p>
    <w:p w14:paraId="36E37FC5">
      <w:pPr>
        <w:spacing w:line="418" w:lineRule="exact"/>
        <w:ind w:left="-283" w:leftChars="-135" w:firstLine="283" w:firstLineChars="0"/>
        <w:rPr>
          <w:rFonts w:hint="eastAsia" w:ascii="宋体" w:hAnsi="宋体" w:eastAsia="宋体"/>
          <w:color w:val="auto"/>
          <w:highlight w:val="yellow"/>
          <w:lang w:eastAsia="zh-CN"/>
        </w:rPr>
      </w:pPr>
      <w:r>
        <w:rPr>
          <w:rFonts w:hint="eastAsia" w:ascii="宋体" w:hAnsi="宋体"/>
          <w:color w:val="auto"/>
          <w:highlight w:val="none"/>
        </w:rPr>
        <w:t>3.本项目的特定资格要求：</w:t>
      </w:r>
      <w:r>
        <w:rPr>
          <w:rFonts w:hint="eastAsia" w:ascii="宋体" w:hAnsi="宋体" w:eastAsia="宋体" w:cs="Times New Roman"/>
          <w:color w:val="auto"/>
          <w:szCs w:val="21"/>
          <w:highlight w:val="none"/>
        </w:rPr>
        <w:t>本项目允许分支机构或分公司参加</w:t>
      </w:r>
      <w:r>
        <w:rPr>
          <w:rFonts w:hint="eastAsia" w:ascii="宋体" w:hAnsi="宋体" w:eastAsia="宋体" w:cs="Times New Roman"/>
          <w:color w:val="auto"/>
          <w:szCs w:val="21"/>
          <w:highlight w:val="none"/>
          <w:lang w:val="en-US" w:eastAsia="zh-CN"/>
        </w:rPr>
        <w:t>投标</w:t>
      </w:r>
      <w:r>
        <w:rPr>
          <w:rFonts w:hint="eastAsia" w:ascii="宋体" w:hAnsi="宋体" w:eastAsia="宋体" w:cs="Times New Roman"/>
          <w:color w:val="auto"/>
          <w:szCs w:val="21"/>
          <w:highlight w:val="none"/>
        </w:rPr>
        <w:t>，分支机构或分公司参加</w:t>
      </w:r>
      <w:r>
        <w:rPr>
          <w:rFonts w:hint="eastAsia" w:ascii="宋体" w:hAnsi="宋体" w:eastAsia="宋体" w:cs="Times New Roman"/>
          <w:color w:val="auto"/>
          <w:szCs w:val="21"/>
          <w:highlight w:val="none"/>
          <w:lang w:val="en-US" w:eastAsia="zh-CN"/>
        </w:rPr>
        <w:t>投标</w:t>
      </w:r>
      <w:r>
        <w:rPr>
          <w:rFonts w:hint="eastAsia" w:ascii="宋体" w:hAnsi="宋体" w:eastAsia="宋体" w:cs="Times New Roman"/>
          <w:color w:val="auto"/>
          <w:szCs w:val="21"/>
          <w:highlight w:val="none"/>
        </w:rPr>
        <w:t>的，</w:t>
      </w:r>
      <w:r>
        <w:rPr>
          <w:rFonts w:hint="eastAsia" w:ascii="宋体" w:hAnsi="宋体" w:eastAsia="宋体" w:cs="Times New Roman"/>
          <w:color w:val="auto"/>
          <w:szCs w:val="21"/>
          <w:highlight w:val="none"/>
          <w:lang w:val="en-US" w:eastAsia="zh-CN"/>
        </w:rPr>
        <w:t>须</w:t>
      </w:r>
      <w:r>
        <w:rPr>
          <w:rFonts w:hint="eastAsia" w:ascii="宋体" w:hAnsi="宋体" w:eastAsia="宋体" w:cs="Times New Roman"/>
          <w:color w:val="auto"/>
          <w:szCs w:val="21"/>
          <w:highlight w:val="none"/>
        </w:rPr>
        <w:t>提供总公司的有关文件或者制度等能证明总公司授权其独立开展业务或提供总公司出具的授权其参与本项目采购的授权文件。</w:t>
      </w:r>
    </w:p>
    <w:p w14:paraId="1426BE03">
      <w:pPr>
        <w:spacing w:line="418" w:lineRule="exact"/>
        <w:ind w:firstLine="0" w:firstLineChars="0"/>
        <w:rPr>
          <w:rFonts w:hint="eastAsia" w:ascii="宋体" w:hAnsi="宋体"/>
          <w:color w:val="auto"/>
          <w:highlight w:val="none"/>
        </w:rPr>
      </w:pPr>
    </w:p>
    <w:p w14:paraId="1F8127B3">
      <w:pPr>
        <w:spacing w:line="418" w:lineRule="exact"/>
        <w:ind w:left="-283" w:leftChars="-135" w:firstLine="283" w:firstLineChars="0"/>
        <w:rPr>
          <w:rFonts w:ascii="宋体" w:hAnsi="宋体"/>
          <w:b/>
          <w:color w:val="auto"/>
          <w:highlight w:val="none"/>
        </w:rPr>
      </w:pPr>
      <w:r>
        <w:rPr>
          <w:rFonts w:hint="eastAsia" w:ascii="宋体" w:hAnsi="宋体"/>
          <w:b/>
          <w:color w:val="auto"/>
          <w:highlight w:val="none"/>
        </w:rPr>
        <w:t>三、获取招标文件</w:t>
      </w:r>
      <w:bookmarkEnd w:id="13"/>
      <w:bookmarkEnd w:id="14"/>
      <w:bookmarkEnd w:id="15"/>
      <w:bookmarkEnd w:id="16"/>
    </w:p>
    <w:p w14:paraId="67ED7BF0">
      <w:pPr>
        <w:spacing w:line="418" w:lineRule="exact"/>
        <w:ind w:left="-283" w:leftChars="-135" w:firstLine="283" w:firstLineChars="0"/>
        <w:jc w:val="left"/>
        <w:rPr>
          <w:rFonts w:ascii="宋体" w:hAnsi="宋体"/>
          <w:color w:val="auto"/>
          <w:highlight w:val="none"/>
        </w:rPr>
      </w:pPr>
      <w:bookmarkStart w:id="17" w:name="_Toc38370141"/>
      <w:r>
        <w:rPr>
          <w:rFonts w:hint="eastAsia" w:ascii="宋体" w:hAnsi="宋体"/>
          <w:color w:val="auto"/>
          <w:highlight w:val="none"/>
        </w:rPr>
        <w:t>时间：</w:t>
      </w:r>
      <w:r>
        <w:rPr>
          <w:rFonts w:hint="eastAsia" w:ascii="宋体" w:hAnsi="宋体"/>
          <w:color w:val="auto"/>
          <w:szCs w:val="21"/>
          <w:highlight w:val="none"/>
          <w:lang w:eastAsia="zh-CN"/>
        </w:rPr>
        <w:t>2025年</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日</w:t>
      </w:r>
      <w:r>
        <w:rPr>
          <w:rFonts w:hint="eastAsia" w:ascii="宋体" w:hAnsi="宋体"/>
          <w:color w:val="auto"/>
          <w:highlight w:val="none"/>
        </w:rPr>
        <w:t>至</w:t>
      </w:r>
      <w:r>
        <w:rPr>
          <w:rFonts w:hint="eastAsia" w:ascii="宋体" w:hAnsi="宋体"/>
          <w:color w:val="auto"/>
          <w:szCs w:val="21"/>
          <w:highlight w:val="none"/>
          <w:lang w:eastAsia="zh-CN"/>
        </w:rPr>
        <w:t>2025年</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日</w:t>
      </w:r>
      <w:r>
        <w:rPr>
          <w:rFonts w:hint="eastAsia" w:ascii="宋体" w:hAnsi="宋体"/>
          <w:color w:val="auto"/>
          <w:highlight w:val="none"/>
        </w:rPr>
        <w:t>，每天上午00:00至12:00，下午12:00至23:59(北京时间，法定节假日除外)</w:t>
      </w:r>
    </w:p>
    <w:p w14:paraId="7A35ADD3">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地点(网址</w:t>
      </w:r>
      <w:r>
        <w:rPr>
          <w:rFonts w:ascii="宋体" w:hAnsi="宋体"/>
          <w:color w:val="auto"/>
          <w:highlight w:val="none"/>
        </w:rPr>
        <w:t>)</w:t>
      </w:r>
      <w:r>
        <w:rPr>
          <w:rFonts w:hint="eastAsia" w:ascii="宋体" w:hAnsi="宋体"/>
          <w:color w:val="auto"/>
          <w:highlight w:val="none"/>
        </w:rPr>
        <w:t>：</w:t>
      </w:r>
      <w:r>
        <w:rPr>
          <w:rFonts w:hint="eastAsia" w:ascii="宋体" w:hAnsi="宋体"/>
          <w:color w:val="auto"/>
          <w:szCs w:val="21"/>
          <w:highlight w:val="none"/>
        </w:rPr>
        <w:t>广西政府采购云平台（https://www.gcy.zfcg.gxzf.gov.cn/）</w:t>
      </w:r>
    </w:p>
    <w:p w14:paraId="4B14AFBB">
      <w:pPr>
        <w:pStyle w:val="19"/>
        <w:ind w:left="0" w:leftChars="0" w:firstLine="0" w:firstLineChars="0"/>
        <w:rPr>
          <w:rFonts w:ascii="宋体" w:hAnsi="宋体"/>
          <w:color w:val="auto"/>
          <w:highlight w:val="none"/>
        </w:rPr>
      </w:pPr>
      <w:r>
        <w:rPr>
          <w:rFonts w:hint="eastAsia" w:ascii="宋体" w:hAnsi="宋体"/>
          <w:color w:val="auto"/>
          <w:highlight w:val="none"/>
        </w:rPr>
        <w:t>方式：供应商登录</w:t>
      </w:r>
      <w:r>
        <w:rPr>
          <w:rFonts w:hint="eastAsia" w:ascii="宋体" w:hAnsi="宋体"/>
          <w:color w:val="auto"/>
          <w:szCs w:val="21"/>
          <w:highlight w:val="none"/>
        </w:rPr>
        <w:t>广西政府采购云平台（https://www.gcy.zfcg.gxzf.gov.cn/）</w:t>
      </w:r>
      <w:r>
        <w:rPr>
          <w:rFonts w:hint="eastAsia" w:ascii="宋体" w:hAnsi="宋体"/>
          <w:color w:val="auto"/>
          <w:highlight w:val="none"/>
        </w:rPr>
        <w:t>在线获取招标文件(进入“项目采购”应用选择项目，获取招标文件)</w:t>
      </w:r>
    </w:p>
    <w:p w14:paraId="6ADC4B5B">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售价(元</w:t>
      </w:r>
      <w:r>
        <w:rPr>
          <w:rFonts w:ascii="宋体" w:hAnsi="宋体"/>
          <w:color w:val="auto"/>
          <w:highlight w:val="none"/>
        </w:rPr>
        <w:t>)</w:t>
      </w:r>
      <w:r>
        <w:rPr>
          <w:rFonts w:hint="eastAsia" w:ascii="宋体" w:hAnsi="宋体"/>
          <w:color w:val="auto"/>
          <w:highlight w:val="none"/>
        </w:rPr>
        <w:t>：0</w:t>
      </w:r>
    </w:p>
    <w:p w14:paraId="0203A2FA">
      <w:pPr>
        <w:spacing w:line="418" w:lineRule="exact"/>
        <w:ind w:left="-283" w:leftChars="-135" w:firstLine="283" w:firstLineChars="0"/>
        <w:rPr>
          <w:rFonts w:ascii="宋体" w:hAnsi="宋体"/>
          <w:b/>
          <w:color w:val="auto"/>
          <w:highlight w:val="none"/>
        </w:rPr>
      </w:pPr>
      <w:r>
        <w:rPr>
          <w:rFonts w:hint="eastAsia" w:ascii="宋体" w:hAnsi="宋体"/>
          <w:b/>
          <w:bCs/>
          <w:color w:val="auto"/>
          <w:highlight w:val="none"/>
        </w:rPr>
        <w:t>四、</w:t>
      </w:r>
      <w:bookmarkEnd w:id="17"/>
      <w:bookmarkStart w:id="18" w:name="_Toc28359005"/>
      <w:bookmarkStart w:id="19" w:name="_Toc28359082"/>
      <w:bookmarkStart w:id="20" w:name="_Toc35393793"/>
      <w:bookmarkStart w:id="21" w:name="_Toc35393624"/>
      <w:r>
        <w:rPr>
          <w:rFonts w:hint="eastAsia" w:ascii="宋体" w:hAnsi="宋体"/>
          <w:b/>
          <w:color w:val="auto"/>
          <w:highlight w:val="none"/>
        </w:rPr>
        <w:t>投标文件</w:t>
      </w:r>
      <w:bookmarkEnd w:id="18"/>
      <w:bookmarkEnd w:id="19"/>
      <w:r>
        <w:rPr>
          <w:rFonts w:hint="eastAsia" w:ascii="宋体" w:hAnsi="宋体"/>
          <w:b/>
          <w:color w:val="auto"/>
          <w:highlight w:val="none"/>
        </w:rPr>
        <w:t>提交截止时间、开标时间和</w:t>
      </w:r>
      <w:bookmarkEnd w:id="20"/>
      <w:bookmarkEnd w:id="21"/>
      <w:r>
        <w:rPr>
          <w:rFonts w:hint="eastAsia" w:ascii="宋体" w:hAnsi="宋体"/>
          <w:b/>
          <w:color w:val="auto"/>
          <w:highlight w:val="none"/>
        </w:rPr>
        <w:t>地点</w:t>
      </w:r>
    </w:p>
    <w:p w14:paraId="3B1DBF72">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提交投标文件截止时间：</w:t>
      </w:r>
      <w:r>
        <w:rPr>
          <w:rFonts w:hint="eastAsia" w:ascii="宋体" w:hAnsi="宋体"/>
          <w:color w:val="auto"/>
          <w:szCs w:val="21"/>
          <w:highlight w:val="none"/>
          <w:lang w:eastAsia="zh-CN"/>
        </w:rPr>
        <w:t>2025年</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10:00</w:t>
      </w:r>
      <w:r>
        <w:rPr>
          <w:rFonts w:hint="eastAsia" w:ascii="宋体" w:hAnsi="宋体"/>
          <w:color w:val="auto"/>
          <w:highlight w:val="none"/>
        </w:rPr>
        <w:t xml:space="preserve"> (北京时间)</w:t>
      </w:r>
    </w:p>
    <w:p w14:paraId="7CC47D8A">
      <w:pPr>
        <w:pStyle w:val="19"/>
        <w:ind w:left="0" w:leftChars="0" w:firstLine="0" w:firstLineChars="0"/>
        <w:rPr>
          <w:rFonts w:ascii="宋体" w:hAnsi="宋体" w:cs="Courier New"/>
          <w:color w:val="auto"/>
          <w:szCs w:val="21"/>
          <w:highlight w:val="none"/>
        </w:rPr>
      </w:pPr>
      <w:r>
        <w:rPr>
          <w:rFonts w:hint="eastAsia" w:ascii="宋体" w:hAnsi="宋体"/>
          <w:color w:val="auto"/>
          <w:highlight w:val="none"/>
        </w:rPr>
        <w:t>投标地点(网址)：</w:t>
      </w:r>
      <w:r>
        <w:rPr>
          <w:rFonts w:hint="eastAsia" w:ascii="宋体" w:hAnsi="宋体"/>
          <w:color w:val="auto"/>
          <w:szCs w:val="21"/>
          <w:highlight w:val="none"/>
        </w:rPr>
        <w:t>广西政府采购云平台（https://www.gcy.zfcg.gxzf.gov.cn/）</w:t>
      </w:r>
    </w:p>
    <w:p w14:paraId="24E679C3">
      <w:pPr>
        <w:spacing w:line="418" w:lineRule="exact"/>
        <w:ind w:left="-283" w:leftChars="-135" w:firstLine="283" w:firstLineChars="0"/>
        <w:rPr>
          <w:rFonts w:ascii="宋体" w:hAnsi="宋体" w:cs="Courier New"/>
          <w:color w:val="auto"/>
          <w:szCs w:val="21"/>
          <w:highlight w:val="none"/>
        </w:rPr>
      </w:pPr>
      <w:r>
        <w:rPr>
          <w:rFonts w:hint="eastAsia" w:ascii="宋体" w:hAnsi="宋体" w:cs="Courier New"/>
          <w:color w:val="auto"/>
          <w:szCs w:val="21"/>
          <w:highlight w:val="none"/>
        </w:rPr>
        <w:t>开标时间：</w:t>
      </w:r>
      <w:r>
        <w:rPr>
          <w:rFonts w:hint="eastAsia" w:ascii="宋体" w:hAnsi="宋体"/>
          <w:color w:val="auto"/>
          <w:szCs w:val="21"/>
          <w:highlight w:val="none"/>
          <w:lang w:eastAsia="zh-CN"/>
        </w:rPr>
        <w:t>2025年</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10:00</w:t>
      </w:r>
      <w:r>
        <w:rPr>
          <w:rFonts w:hint="eastAsia" w:ascii="宋体" w:hAnsi="宋体"/>
          <w:color w:val="auto"/>
          <w:highlight w:val="none"/>
        </w:rPr>
        <w:t xml:space="preserve"> (北京时间)</w:t>
      </w:r>
    </w:p>
    <w:p w14:paraId="339268F2">
      <w:pPr>
        <w:spacing w:line="418" w:lineRule="exact"/>
        <w:ind w:left="-283" w:leftChars="-135" w:firstLine="283" w:firstLineChars="0"/>
        <w:rPr>
          <w:rFonts w:ascii="宋体" w:hAnsi="宋体" w:cs="Courier New"/>
          <w:color w:val="auto"/>
          <w:szCs w:val="21"/>
          <w:highlight w:val="none"/>
        </w:rPr>
      </w:pPr>
      <w:r>
        <w:rPr>
          <w:rFonts w:hint="eastAsia" w:ascii="宋体" w:hAnsi="宋体" w:cs="Courier New"/>
          <w:color w:val="auto"/>
          <w:szCs w:val="21"/>
          <w:highlight w:val="none"/>
        </w:rPr>
        <w:t>开标地点：</w:t>
      </w:r>
      <w:bookmarkStart w:id="22" w:name="_Toc35393625"/>
      <w:bookmarkStart w:id="23" w:name="_Toc35393794"/>
      <w:bookmarkStart w:id="24" w:name="_Toc28359007"/>
      <w:bookmarkStart w:id="25" w:name="_Toc28359084"/>
      <w:r>
        <w:rPr>
          <w:rFonts w:hint="eastAsia" w:ascii="宋体" w:hAnsi="宋体" w:cs="Courier New"/>
          <w:color w:val="auto"/>
          <w:szCs w:val="21"/>
          <w:highlight w:val="none"/>
        </w:rPr>
        <w:t>广西钦州市金海湾东大街8号市政务服务中心三楼评标区</w:t>
      </w:r>
    </w:p>
    <w:p w14:paraId="2AC166A7">
      <w:pPr>
        <w:spacing w:line="418" w:lineRule="exact"/>
        <w:ind w:left="-283" w:leftChars="-135" w:firstLine="283" w:firstLineChars="0"/>
        <w:rPr>
          <w:rFonts w:ascii="宋体" w:hAnsi="宋体"/>
          <w:b/>
          <w:color w:val="auto"/>
          <w:highlight w:val="none"/>
        </w:rPr>
      </w:pPr>
      <w:r>
        <w:rPr>
          <w:rFonts w:hint="eastAsia" w:ascii="宋体" w:hAnsi="宋体"/>
          <w:b/>
          <w:color w:val="auto"/>
          <w:highlight w:val="none"/>
        </w:rPr>
        <w:t>五、公告期限</w:t>
      </w:r>
      <w:bookmarkEnd w:id="22"/>
      <w:bookmarkEnd w:id="23"/>
      <w:bookmarkEnd w:id="24"/>
      <w:bookmarkEnd w:id="25"/>
    </w:p>
    <w:p w14:paraId="461F66B7">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自本公告发布之日起5个工作日。</w:t>
      </w:r>
    </w:p>
    <w:p w14:paraId="62259604">
      <w:pPr>
        <w:spacing w:line="418" w:lineRule="exact"/>
        <w:ind w:left="-283" w:leftChars="-135" w:firstLine="283" w:firstLineChars="0"/>
        <w:rPr>
          <w:rFonts w:ascii="宋体" w:hAnsi="宋体"/>
          <w:b/>
          <w:color w:val="auto"/>
          <w:highlight w:val="none"/>
        </w:rPr>
      </w:pPr>
      <w:bookmarkStart w:id="26" w:name="_Toc28359085"/>
      <w:bookmarkStart w:id="27" w:name="_Toc28359008"/>
      <w:bookmarkStart w:id="28" w:name="_Toc35393627"/>
      <w:bookmarkStart w:id="29" w:name="_Toc35393796"/>
      <w:r>
        <w:rPr>
          <w:rFonts w:hint="eastAsia" w:ascii="宋体" w:hAnsi="宋体"/>
          <w:b/>
          <w:color w:val="auto"/>
          <w:highlight w:val="none"/>
        </w:rPr>
        <w:t>六、其他补充事宜</w:t>
      </w:r>
    </w:p>
    <w:p w14:paraId="1745C4CF">
      <w:pPr>
        <w:spacing w:line="360" w:lineRule="auto"/>
        <w:ind w:left="0" w:leftChars="0" w:firstLine="0" w:firstLineChars="0"/>
        <w:rPr>
          <w:rFonts w:hint="eastAsia" w:ascii="宋体" w:hAnsi="宋体" w:eastAsia="宋体" w:cs="Courier New"/>
          <w:color w:val="auto"/>
          <w:szCs w:val="21"/>
          <w:highlight w:val="none"/>
          <w:lang w:eastAsia="zh-CN"/>
        </w:rPr>
      </w:pPr>
      <w:r>
        <w:rPr>
          <w:rFonts w:hint="eastAsia" w:ascii="宋体" w:hAnsi="宋体" w:cs="宋体"/>
          <w:iCs/>
          <w:color w:val="auto"/>
          <w:kern w:val="0"/>
          <w:szCs w:val="21"/>
          <w:lang w:val="en-US" w:eastAsia="zh-CN"/>
        </w:rPr>
        <w:t>1.</w:t>
      </w:r>
      <w:r>
        <w:rPr>
          <w:rFonts w:hint="eastAsia" w:ascii="宋体" w:hAnsi="宋体" w:cs="宋体"/>
          <w:iCs/>
          <w:color w:val="auto"/>
          <w:kern w:val="0"/>
          <w:szCs w:val="21"/>
        </w:rPr>
        <w:t>本项目需要落实的政府采购政策</w:t>
      </w:r>
      <w:r>
        <w:rPr>
          <w:rFonts w:hint="eastAsia" w:ascii="宋体" w:hAnsi="宋体" w:cs="宋体"/>
          <w:iCs/>
          <w:color w:val="auto"/>
          <w:kern w:val="0"/>
          <w:szCs w:val="21"/>
          <w:lang w:eastAsia="zh-CN"/>
        </w:rPr>
        <w:t>：</w:t>
      </w:r>
    </w:p>
    <w:p w14:paraId="1808AA13">
      <w:pPr>
        <w:spacing w:line="418" w:lineRule="exact"/>
        <w:ind w:left="-283" w:leftChars="-135" w:firstLine="283" w:firstLineChars="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(1)财政部工业和信息化部关于印发《政府采购促进中小企业发展管理办法》的通知(财库﹝2020﹞46号)</w:t>
      </w:r>
    </w:p>
    <w:p w14:paraId="32C7D290">
      <w:pPr>
        <w:spacing w:line="418" w:lineRule="exact"/>
        <w:ind w:left="-283" w:leftChars="-135" w:firstLine="283" w:firstLineChars="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(2)财政部司法部关于政府采购支持监狱企业发展有关问题的通知(财库﹝2014﹞68号)</w:t>
      </w:r>
    </w:p>
    <w:p w14:paraId="222A0137">
      <w:pPr>
        <w:spacing w:line="418" w:lineRule="exact"/>
        <w:ind w:left="-283" w:leftChars="-135" w:firstLine="283" w:firstLineChars="0"/>
        <w:rPr>
          <w:rFonts w:hint="eastAsia" w:ascii="宋体" w:hAnsi="宋体"/>
          <w:color w:val="auto"/>
          <w:highlight w:val="none"/>
        </w:rPr>
      </w:pPr>
      <w:r>
        <w:rPr>
          <w:rFonts w:hint="eastAsia" w:ascii="宋体" w:hAnsi="宋体" w:eastAsia="宋体" w:cs="Courier New"/>
          <w:color w:val="auto"/>
          <w:szCs w:val="21"/>
          <w:highlight w:val="none"/>
        </w:rPr>
        <w:t>(3)财政部民政部中国残疾人联合会关于促进残疾人就业政府采购政策的通知(财库﹝2017﹞141号)</w:t>
      </w:r>
    </w:p>
    <w:p w14:paraId="771F9939">
      <w:pPr>
        <w:spacing w:line="418" w:lineRule="exact"/>
        <w:ind w:left="-283" w:leftChars="-135" w:firstLine="283" w:firstLineChars="0"/>
        <w:rPr>
          <w:rFonts w:ascii="宋体" w:hAnsi="宋体"/>
          <w:color w:val="auto"/>
          <w:highlight w:val="none"/>
        </w:rPr>
      </w:pPr>
      <w:r>
        <w:rPr>
          <w:rFonts w:hint="eastAsia" w:ascii="宋体" w:hAnsi="宋体"/>
          <w:color w:val="auto"/>
          <w:highlight w:val="none"/>
          <w:lang w:val="en-US" w:eastAsia="zh-CN"/>
        </w:rPr>
        <w:t>2</w:t>
      </w:r>
      <w:r>
        <w:rPr>
          <w:rFonts w:ascii="宋体" w:hAnsi="宋体"/>
          <w:color w:val="auto"/>
          <w:highlight w:val="none"/>
        </w:rPr>
        <w:t>.</w:t>
      </w:r>
      <w:r>
        <w:rPr>
          <w:rFonts w:hint="eastAsia" w:ascii="宋体" w:hAnsi="宋体"/>
          <w:color w:val="auto"/>
          <w:highlight w:val="none"/>
        </w:rPr>
        <w:t>投标保证金：</w:t>
      </w:r>
      <w:r>
        <w:rPr>
          <w:rFonts w:hint="eastAsia" w:ascii="宋体" w:hAnsi="宋体"/>
          <w:color w:val="auto"/>
          <w:highlight w:val="none"/>
          <w:lang w:val="en-US" w:eastAsia="zh-CN"/>
        </w:rPr>
        <w:t>拾万元整</w:t>
      </w:r>
      <w:r>
        <w:rPr>
          <w:rFonts w:hint="eastAsia" w:ascii="宋体" w:hAnsi="宋体"/>
          <w:color w:val="auto"/>
          <w:highlight w:val="none"/>
        </w:rPr>
        <w:t>(￥</w:t>
      </w:r>
      <w:r>
        <w:rPr>
          <w:rFonts w:hint="eastAsia" w:ascii="宋体" w:hAnsi="宋体"/>
          <w:color w:val="auto"/>
          <w:highlight w:val="none"/>
          <w:lang w:val="en-US" w:eastAsia="zh-CN"/>
        </w:rPr>
        <w:t>100000.00</w:t>
      </w:r>
      <w:r>
        <w:rPr>
          <w:rFonts w:ascii="宋体" w:hAnsi="宋体"/>
          <w:color w:val="auto"/>
          <w:highlight w:val="none"/>
        </w:rPr>
        <w:t>)</w:t>
      </w:r>
    </w:p>
    <w:p w14:paraId="24D1FE16">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提交形式:以支票、汇票、本票、网上银行支付或者金融机构、担保机构出具的保函等非现金形式提交。</w:t>
      </w:r>
    </w:p>
    <w:p w14:paraId="621F897B">
      <w:pPr>
        <w:spacing w:line="418" w:lineRule="exact"/>
        <w:ind w:left="-283" w:leftChars="-135" w:firstLine="283" w:firstLineChars="0"/>
        <w:rPr>
          <w:rFonts w:ascii="宋体" w:hAnsi="宋体"/>
          <w:b/>
          <w:color w:val="auto"/>
          <w:highlight w:val="none"/>
        </w:rPr>
      </w:pPr>
      <w:bookmarkStart w:id="30" w:name="_Hlk91771226"/>
      <w:r>
        <w:rPr>
          <w:rFonts w:hint="eastAsia" w:ascii="宋体" w:hAnsi="宋体"/>
          <w:color w:val="auto"/>
          <w:highlight w:val="none"/>
        </w:rPr>
        <w:t>以支票、汇票、本票、保函等形式提交保证金的，投标人必须将票据、保函等原件于投标文件提交截止时间前递交至本中心财务室(</w:t>
      </w:r>
      <w:r>
        <w:rPr>
          <w:rFonts w:hint="eastAsia" w:ascii="宋体" w:hAnsi="宋体" w:cs="宋体"/>
          <w:bCs/>
          <w:color w:val="auto"/>
          <w:kern w:val="0"/>
          <w:szCs w:val="21"/>
          <w:highlight w:val="none"/>
        </w:rPr>
        <w:t>地址:广西钦州市钦南区水东街区金海湾东大街8号市政务服务中心二楼市政府采购中心财务室，</w:t>
      </w:r>
      <w:r>
        <w:rPr>
          <w:rFonts w:hint="eastAsia" w:ascii="宋体" w:hAnsi="宋体"/>
          <w:color w:val="auto"/>
          <w:highlight w:val="none"/>
        </w:rPr>
        <w:t>联系方式:0</w:t>
      </w:r>
      <w:r>
        <w:rPr>
          <w:rFonts w:ascii="宋体" w:hAnsi="宋体"/>
          <w:color w:val="auto"/>
          <w:highlight w:val="none"/>
        </w:rPr>
        <w:t>777</w:t>
      </w:r>
      <w:r>
        <w:rPr>
          <w:rFonts w:hint="eastAsia" w:ascii="宋体" w:hAnsi="宋体"/>
          <w:color w:val="auto"/>
          <w:highlight w:val="none"/>
        </w:rPr>
        <w:t>-</w:t>
      </w:r>
      <w:r>
        <w:rPr>
          <w:rFonts w:ascii="宋体" w:hAnsi="宋体"/>
          <w:color w:val="auto"/>
          <w:highlight w:val="none"/>
        </w:rPr>
        <w:t>2886026</w:t>
      </w:r>
      <w:r>
        <w:rPr>
          <w:rFonts w:hint="eastAsia" w:ascii="宋体" w:hAnsi="宋体"/>
          <w:color w:val="auto"/>
          <w:highlight w:val="none"/>
        </w:rPr>
        <w:t>)。</w:t>
      </w:r>
    </w:p>
    <w:bookmarkEnd w:id="30"/>
    <w:p w14:paraId="7B47FC92">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网上银行形式提交的，投标人必须于投标文件递交截止时间前从投标人账户缴存至本中心银行账户(以到账时间为准)。</w:t>
      </w:r>
    </w:p>
    <w:p w14:paraId="62D90634">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本中心银行账户：</w:t>
      </w:r>
    </w:p>
    <w:p w14:paraId="1A2A0B93">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开户名称:钦州市政府采购中心</w:t>
      </w:r>
    </w:p>
    <w:p w14:paraId="03B6FE11">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开户银行:中国工商银行股份有限公司钦州市永福东支行</w:t>
      </w:r>
    </w:p>
    <w:p w14:paraId="2757D453">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银行账号:2115591229100078724</w:t>
      </w:r>
    </w:p>
    <w:p w14:paraId="32485F1B">
      <w:pPr>
        <w:ind w:firstLine="0" w:firstLineChars="0"/>
        <w:rPr>
          <w:rFonts w:hint="eastAsia"/>
          <w:color w:val="auto"/>
          <w:highlight w:val="none"/>
        </w:rPr>
      </w:pPr>
      <w:r>
        <w:rPr>
          <w:rFonts w:hint="eastAsia"/>
          <w:color w:val="auto"/>
        </w:rPr>
        <w:t>注：</w:t>
      </w:r>
      <w:r>
        <w:rPr>
          <w:rFonts w:hint="eastAsia"/>
          <w:color w:val="auto"/>
          <w:lang w:val="en-US" w:eastAsia="zh-CN"/>
        </w:rPr>
        <w:t>（1）</w:t>
      </w:r>
      <w:r>
        <w:rPr>
          <w:rFonts w:hint="eastAsia"/>
          <w:color w:val="auto"/>
        </w:rPr>
        <w:t>投标人无法选择以上开户银行的，请选择“中国工商银行股份有限公司钦州分行”进行缴存。</w:t>
      </w:r>
      <w:r>
        <w:rPr>
          <w:rFonts w:hint="eastAsia"/>
          <w:color w:val="auto"/>
          <w:lang w:val="en-US" w:eastAsia="zh-CN"/>
        </w:rPr>
        <w:t>（2）</w:t>
      </w:r>
      <w:r>
        <w:rPr>
          <w:rFonts w:hint="eastAsia" w:ascii="宋体" w:hAnsi="宋体" w:eastAsia="宋体" w:cs="Times New Roman"/>
          <w:color w:val="auto"/>
          <w:szCs w:val="21"/>
          <w:highlight w:val="none"/>
        </w:rPr>
        <w:t>分支机构或分公司</w:t>
      </w:r>
      <w:r>
        <w:rPr>
          <w:rFonts w:hint="eastAsia"/>
          <w:color w:val="auto"/>
          <w:lang w:val="en-US" w:eastAsia="zh-CN"/>
        </w:rPr>
        <w:t>投标无账户的，可以由总公司代交投标保证金。</w:t>
      </w:r>
    </w:p>
    <w:p w14:paraId="5FA7F104">
      <w:pPr>
        <w:spacing w:line="418" w:lineRule="exact"/>
        <w:ind w:left="-283" w:leftChars="-135" w:firstLine="283" w:firstLineChars="0"/>
        <w:rPr>
          <w:rFonts w:ascii="宋体" w:hAnsi="宋体"/>
          <w:color w:val="auto"/>
          <w:highlight w:val="none"/>
        </w:rPr>
      </w:pPr>
      <w:r>
        <w:rPr>
          <w:rFonts w:hint="eastAsia" w:ascii="宋体" w:hAnsi="宋体"/>
          <w:color w:val="auto"/>
          <w:highlight w:val="none"/>
          <w:lang w:val="en-US" w:eastAsia="zh-CN"/>
        </w:rPr>
        <w:t>3</w:t>
      </w:r>
      <w:r>
        <w:rPr>
          <w:rFonts w:ascii="宋体" w:hAnsi="宋体"/>
          <w:color w:val="auto"/>
          <w:highlight w:val="none"/>
        </w:rPr>
        <w:t>.</w:t>
      </w:r>
      <w:bookmarkStart w:id="31" w:name="_Hlk91598380"/>
      <w:r>
        <w:rPr>
          <w:rFonts w:hint="eastAsia" w:ascii="宋体" w:hAnsi="宋体"/>
          <w:color w:val="auto"/>
          <w:highlight w:val="none"/>
        </w:rPr>
        <w:t>全流程电子化</w:t>
      </w:r>
      <w:bookmarkEnd w:id="31"/>
      <w:r>
        <w:rPr>
          <w:rFonts w:hint="eastAsia" w:ascii="宋体" w:hAnsi="宋体"/>
          <w:color w:val="auto"/>
          <w:highlight w:val="none"/>
        </w:rPr>
        <w:t>要求：</w:t>
      </w:r>
    </w:p>
    <w:p w14:paraId="21CE0665">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本项目为全流程电子化项目，潜在投标人应做好参与全流程电子化交易的充分准备，熟悉掌握电子化采购项目操作指南</w:t>
      </w:r>
      <w:r>
        <w:rPr>
          <w:rFonts w:hint="eastAsia"/>
          <w:color w:val="auto"/>
          <w:highlight w:val="none"/>
        </w:rPr>
        <w:t>(操作指南：政采云电子卖场首页右上角—服务中心—帮助文档—项目采购)，及时完成CA申领和绑定(操作指南：政采云电子卖场首页右上角—帮助文档—入驻与配置—CA管理；CA证书申领路径：政采云平台—我的工作台右上角—CA管理—CA证书申领)</w:t>
      </w:r>
      <w:r>
        <w:rPr>
          <w:rFonts w:hint="eastAsia" w:ascii="宋体" w:hAnsi="宋体"/>
          <w:color w:val="auto"/>
          <w:highlight w:val="none"/>
        </w:rPr>
        <w:t>。因未注册入库、未办理CA数字证书、CA证书故障、操作不当等原因造成投标失败等后果由投标人承担。</w:t>
      </w:r>
    </w:p>
    <w:p w14:paraId="5E21D829">
      <w:pPr>
        <w:spacing w:line="418" w:lineRule="exact"/>
        <w:ind w:left="-283" w:leftChars="-135" w:firstLine="283" w:firstLineChars="0"/>
        <w:rPr>
          <w:rFonts w:ascii="宋体" w:hAnsi="宋体"/>
          <w:color w:val="auto"/>
          <w:highlight w:val="none"/>
        </w:rPr>
      </w:pPr>
      <w:r>
        <w:rPr>
          <w:rFonts w:ascii="宋体" w:hAnsi="宋体"/>
          <w:color w:val="auto"/>
          <w:highlight w:val="none"/>
        </w:rPr>
        <w:t>(1)</w:t>
      </w:r>
      <w:r>
        <w:rPr>
          <w:rFonts w:hint="eastAsia" w:ascii="宋体" w:hAnsi="宋体"/>
          <w:color w:val="auto"/>
          <w:highlight w:val="none"/>
        </w:rPr>
        <w:t>依法获取招标文件：投标人须在获取招标文件时间内登陆</w:t>
      </w:r>
      <w:r>
        <w:rPr>
          <w:rFonts w:ascii="宋体" w:hAnsi="宋体"/>
          <w:color w:val="auto"/>
          <w:highlight w:val="none"/>
        </w:rPr>
        <w:fldChar w:fldCharType="begin"/>
      </w:r>
      <w:r>
        <w:rPr>
          <w:rFonts w:ascii="宋体" w:hAnsi="宋体"/>
          <w:color w:val="auto"/>
          <w:highlight w:val="none"/>
        </w:rPr>
        <w:instrText xml:space="preserve"> </w:instrText>
      </w:r>
      <w:r>
        <w:rPr>
          <w:rFonts w:hint="eastAsia" w:ascii="宋体" w:hAnsi="宋体"/>
          <w:color w:val="auto"/>
          <w:highlight w:val="none"/>
        </w:rPr>
        <w:instrText xml:space="preserve">HYPERLINK "https://www.zcygov.cn/"</w:instrText>
      </w:r>
      <w:r>
        <w:rPr>
          <w:rFonts w:ascii="宋体" w:hAnsi="宋体"/>
          <w:color w:val="auto"/>
          <w:highlight w:val="none"/>
        </w:rPr>
        <w:instrText xml:space="preserve"> </w:instrText>
      </w:r>
      <w:r>
        <w:rPr>
          <w:rFonts w:ascii="宋体" w:hAnsi="宋体"/>
          <w:color w:val="auto"/>
          <w:highlight w:val="none"/>
        </w:rPr>
        <w:fldChar w:fldCharType="separate"/>
      </w:r>
      <w:r>
        <w:rPr>
          <w:rStyle w:val="60"/>
          <w:rFonts w:hint="eastAsia" w:ascii="宋体" w:hAnsi="宋体"/>
          <w:color w:val="auto"/>
          <w:highlight w:val="none"/>
          <w:u w:val="none"/>
        </w:rPr>
        <w:t>政府采购云平台</w:t>
      </w:r>
      <w:r>
        <w:rPr>
          <w:rFonts w:ascii="宋体" w:hAnsi="宋体"/>
          <w:color w:val="auto"/>
          <w:highlight w:val="none"/>
        </w:rPr>
        <w:fldChar w:fldCharType="end"/>
      </w:r>
      <w:r>
        <w:rPr>
          <w:rFonts w:hint="eastAsia" w:ascii="宋体" w:hAnsi="宋体"/>
          <w:color w:val="auto"/>
          <w:highlight w:val="none"/>
        </w:rPr>
        <w:t>申请下载招标文件才视作依法获取招标文件。</w:t>
      </w:r>
    </w:p>
    <w:p w14:paraId="0E0FD2A6">
      <w:pPr>
        <w:spacing w:line="418" w:lineRule="exact"/>
        <w:ind w:left="-283" w:leftChars="-135" w:firstLine="283" w:firstLineChars="0"/>
        <w:rPr>
          <w:rFonts w:ascii="宋体" w:hAnsi="宋体"/>
          <w:b/>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投标人应通过政采云投标客户端制作投标文件，客户端请供应商自行前往下载安装</w:t>
      </w:r>
      <w:r>
        <w:rPr>
          <w:rFonts w:hint="eastAsia"/>
          <w:color w:val="auto"/>
          <w:highlight w:val="none"/>
        </w:rPr>
        <w:t>（</w:t>
      </w:r>
      <w:bookmarkStart w:id="32" w:name="_Hlk152682913"/>
      <w:r>
        <w:rPr>
          <w:color w:val="auto"/>
          <w:highlight w:val="none"/>
        </w:rPr>
        <w:fldChar w:fldCharType="begin"/>
      </w:r>
      <w:r>
        <w:rPr>
          <w:color w:val="auto"/>
          <w:highlight w:val="none"/>
        </w:rPr>
        <w:instrText xml:space="preserve">HYPERLINK "https://cdn.zcycdn.com/zcy-client/bidding-client-new/official/zcy/ZhengCaiYunStep.latest.exe?utm=luban.luban-PC-85.155-ca-driver-download.1.d68905b08cfe11eeac039d105806b144"</w:instrText>
      </w:r>
      <w:r>
        <w:rPr>
          <w:color w:val="auto"/>
          <w:highlight w:val="none"/>
        </w:rPr>
        <w:fldChar w:fldCharType="separate"/>
      </w:r>
      <w:r>
        <w:rPr>
          <w:rStyle w:val="60"/>
          <w:rFonts w:hint="eastAsia"/>
          <w:color w:val="auto"/>
          <w:highlight w:val="none"/>
          <w:u w:val="none"/>
        </w:rPr>
        <w:t>客户端</w:t>
      </w:r>
      <w:bookmarkStart w:id="33" w:name="_Hlt151995013"/>
      <w:bookmarkStart w:id="34" w:name="_Hlt151995012"/>
      <w:r>
        <w:rPr>
          <w:rStyle w:val="60"/>
          <w:rFonts w:hint="eastAsia"/>
          <w:color w:val="auto"/>
          <w:highlight w:val="none"/>
          <w:u w:val="none"/>
        </w:rPr>
        <w:t>下</w:t>
      </w:r>
      <w:bookmarkEnd w:id="33"/>
      <w:bookmarkEnd w:id="34"/>
      <w:bookmarkStart w:id="35" w:name="_Hlt152683317"/>
      <w:bookmarkStart w:id="36" w:name="_Hlt152683103"/>
      <w:bookmarkStart w:id="37" w:name="_Hlt152683104"/>
      <w:bookmarkStart w:id="38" w:name="_Hlt152683316"/>
      <w:r>
        <w:rPr>
          <w:rStyle w:val="60"/>
          <w:rFonts w:hint="eastAsia"/>
          <w:color w:val="auto"/>
          <w:highlight w:val="none"/>
          <w:u w:val="none"/>
        </w:rPr>
        <w:t>载</w:t>
      </w:r>
      <w:bookmarkEnd w:id="35"/>
      <w:bookmarkEnd w:id="36"/>
      <w:bookmarkEnd w:id="37"/>
      <w:bookmarkEnd w:id="38"/>
      <w:r>
        <w:rPr>
          <w:color w:val="auto"/>
          <w:highlight w:val="none"/>
        </w:rPr>
        <w:fldChar w:fldCharType="end"/>
      </w:r>
      <w:bookmarkEnd w:id="32"/>
      <w:r>
        <w:rPr>
          <w:rFonts w:hint="eastAsia"/>
          <w:color w:val="auto"/>
          <w:highlight w:val="none"/>
        </w:rPr>
        <w:t>）</w:t>
      </w:r>
      <w:r>
        <w:rPr>
          <w:rFonts w:hint="eastAsia" w:ascii="宋体" w:hAnsi="宋体"/>
          <w:color w:val="auto"/>
          <w:highlight w:val="none"/>
        </w:rPr>
        <w:t>。</w:t>
      </w:r>
    </w:p>
    <w:p w14:paraId="6E3D5536">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投标人须按照招标文件和政府采购云平台的要求进行编制、上传、加密、提交、解密投标文件，投标文件在线提交截止时间后，政府采购云平台自动提取全部投标文件，各投标人须在提交截止时间后30分钟内对已上传政府采购云平台的投标文件进行解密，参与本项目的全部投标人在规定的解密时限内解密完成或解密时限结束后，我中心开启投标文件；投标人在解密时限内未完成解密的，政府采购云平台默认为投标人放弃参与投标。</w:t>
      </w:r>
    </w:p>
    <w:p w14:paraId="39E7CEA4">
      <w:pPr>
        <w:spacing w:line="418" w:lineRule="exact"/>
        <w:ind w:left="-283" w:leftChars="-135" w:firstLine="283" w:firstLineChars="0"/>
        <w:rPr>
          <w:rFonts w:hint="eastAsia" w:ascii="宋体" w:hAnsi="宋体"/>
          <w:b/>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投标人法定代表人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highlight w:val="none"/>
        </w:rPr>
        <w:t>或委托代理人须按时</w:t>
      </w:r>
      <w:bookmarkStart w:id="39" w:name="_Hlk90367388"/>
      <w:r>
        <w:rPr>
          <w:rFonts w:hint="eastAsia" w:ascii="宋体" w:hAnsi="宋体"/>
          <w:color w:val="auto"/>
          <w:highlight w:val="none"/>
          <w:lang w:eastAsia="zh-CN"/>
        </w:rPr>
        <w:t>登入政采云</w:t>
      </w:r>
      <w:r>
        <w:rPr>
          <w:rFonts w:hint="eastAsia" w:ascii="宋体" w:hAnsi="宋体" w:cs="Courier New"/>
          <w:color w:val="auto"/>
          <w:szCs w:val="21"/>
          <w:highlight w:val="none"/>
        </w:rPr>
        <w:t>远程开标大厅</w:t>
      </w:r>
      <w:bookmarkEnd w:id="39"/>
      <w:r>
        <w:rPr>
          <w:rFonts w:hint="eastAsia" w:ascii="宋体" w:hAnsi="宋体"/>
          <w:color w:val="auto"/>
          <w:highlight w:val="none"/>
        </w:rPr>
        <w:t>，保持全程在线并关注开标评标进度，评标期间评标委员会提出澄清等要求时，投标人须在规定时间内进行应答，否则按招标文件或政采云平台的相关规定执行。</w:t>
      </w:r>
    </w:p>
    <w:p w14:paraId="204AB691">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投标人参与投标过程中涉及政府采购云平台的问题，请咨询政采云技术支持热线：</w:t>
      </w:r>
      <w:r>
        <w:rPr>
          <w:rFonts w:ascii="宋体" w:hAnsi="宋体"/>
          <w:color w:val="auto"/>
          <w:highlight w:val="none"/>
        </w:rPr>
        <w:t>95763</w:t>
      </w:r>
      <w:r>
        <w:rPr>
          <w:rFonts w:hint="eastAsia" w:ascii="宋体" w:hAnsi="宋体"/>
          <w:color w:val="auto"/>
          <w:highlight w:val="none"/>
        </w:rPr>
        <w:t>。</w:t>
      </w:r>
    </w:p>
    <w:p w14:paraId="46060367">
      <w:pPr>
        <w:spacing w:line="418" w:lineRule="exact"/>
        <w:ind w:left="-283" w:leftChars="-135" w:firstLine="283" w:firstLineChars="0"/>
        <w:rPr>
          <w:rFonts w:ascii="宋体" w:hAnsi="宋体"/>
          <w:color w:val="auto"/>
          <w:highlight w:val="none"/>
        </w:rPr>
      </w:pPr>
      <w:r>
        <w:rPr>
          <w:rFonts w:hint="eastAsia" w:ascii="宋体" w:hAnsi="宋体"/>
          <w:color w:val="auto"/>
          <w:highlight w:val="none"/>
          <w:lang w:val="en-US" w:eastAsia="zh-CN"/>
        </w:rPr>
        <w:t>4</w:t>
      </w:r>
      <w:r>
        <w:rPr>
          <w:rFonts w:ascii="宋体" w:hAnsi="宋体"/>
          <w:color w:val="auto"/>
          <w:highlight w:val="none"/>
        </w:rPr>
        <w:t>.</w:t>
      </w:r>
      <w:r>
        <w:rPr>
          <w:rFonts w:hint="eastAsia" w:ascii="宋体" w:hAnsi="宋体"/>
          <w:color w:val="auto"/>
          <w:highlight w:val="none"/>
        </w:rPr>
        <w:t>查询媒体：</w:t>
      </w:r>
      <w:bookmarkStart w:id="40" w:name="_Hlk97804124"/>
      <w:r>
        <w:rPr>
          <w:rFonts w:ascii="宋体" w:hAnsi="宋体"/>
          <w:color w:val="auto"/>
          <w:highlight w:val="none"/>
        </w:rPr>
        <w:fldChar w:fldCharType="begin"/>
      </w:r>
      <w:r>
        <w:rPr>
          <w:rFonts w:hint="eastAsia" w:ascii="宋体" w:hAnsi="宋体"/>
          <w:color w:val="auto"/>
          <w:highlight w:val="none"/>
        </w:rPr>
        <w:instrText xml:space="preserve">HYPERLINK "http://www.ccgp.gov.cn/"</w:instrText>
      </w:r>
      <w:r>
        <w:rPr>
          <w:rFonts w:ascii="宋体" w:hAnsi="宋体"/>
          <w:color w:val="auto"/>
          <w:highlight w:val="none"/>
        </w:rPr>
        <w:fldChar w:fldCharType="separate"/>
      </w:r>
      <w:r>
        <w:rPr>
          <w:rStyle w:val="60"/>
          <w:rFonts w:hint="eastAsia" w:ascii="宋体" w:hAnsi="宋体"/>
          <w:color w:val="auto"/>
          <w:highlight w:val="none"/>
          <w:u w:val="none"/>
        </w:rPr>
        <w:t>中国政府采购网</w:t>
      </w:r>
      <w:r>
        <w:rPr>
          <w:rFonts w:ascii="宋体" w:hAnsi="宋体"/>
          <w:color w:val="auto"/>
          <w:highlight w:val="none"/>
        </w:rPr>
        <w:fldChar w:fldCharType="end"/>
      </w:r>
      <w:r>
        <w:rPr>
          <w:rFonts w:hint="eastAsia" w:ascii="宋体" w:hAnsi="宋体"/>
          <w:color w:val="auto"/>
          <w:highlight w:val="none"/>
        </w:rPr>
        <w:t>、</w:t>
      </w:r>
      <w:r>
        <w:rPr>
          <w:rFonts w:ascii="宋体" w:hAnsi="宋体"/>
          <w:color w:val="auto"/>
          <w:highlight w:val="none"/>
        </w:rPr>
        <w:fldChar w:fldCharType="begin"/>
      </w:r>
      <w:r>
        <w:rPr>
          <w:rFonts w:ascii="宋体" w:hAnsi="宋体"/>
          <w:color w:val="auto"/>
          <w:highlight w:val="none"/>
        </w:rPr>
        <w:instrText xml:space="preserve"> HYPERLINK "http://zfcg.gxzf.gov.cn/" </w:instrText>
      </w:r>
      <w:r>
        <w:rPr>
          <w:rFonts w:ascii="宋体" w:hAnsi="宋体"/>
          <w:color w:val="auto"/>
          <w:highlight w:val="none"/>
        </w:rPr>
        <w:fldChar w:fldCharType="separate"/>
      </w:r>
      <w:r>
        <w:rPr>
          <w:rFonts w:hint="eastAsia" w:ascii="宋体" w:hAnsi="宋体"/>
          <w:color w:val="auto"/>
          <w:highlight w:val="none"/>
        </w:rPr>
        <w:t>广西政府</w:t>
      </w:r>
      <w:bookmarkStart w:id="41" w:name="_Hlt97804098"/>
      <w:bookmarkStart w:id="42" w:name="_Hlt97804099"/>
      <w:r>
        <w:rPr>
          <w:rFonts w:hint="eastAsia" w:ascii="宋体" w:hAnsi="宋体"/>
          <w:color w:val="auto"/>
          <w:highlight w:val="none"/>
        </w:rPr>
        <w:t>采</w:t>
      </w:r>
      <w:bookmarkEnd w:id="41"/>
      <w:bookmarkEnd w:id="42"/>
      <w:r>
        <w:rPr>
          <w:rFonts w:hint="eastAsia" w:ascii="宋体" w:hAnsi="宋体"/>
          <w:color w:val="auto"/>
          <w:highlight w:val="none"/>
        </w:rPr>
        <w:t>购网</w:t>
      </w:r>
      <w:r>
        <w:rPr>
          <w:rFonts w:ascii="宋体" w:hAnsi="宋体"/>
          <w:color w:val="auto"/>
          <w:highlight w:val="none"/>
        </w:rPr>
        <w:fldChar w:fldCharType="end"/>
      </w:r>
      <w:r>
        <w:rPr>
          <w:rFonts w:hint="eastAsia" w:ascii="宋体" w:hAnsi="宋体"/>
          <w:color w:val="auto"/>
          <w:highlight w:val="none"/>
        </w:rPr>
        <w:t>。</w:t>
      </w:r>
      <w:bookmarkEnd w:id="40"/>
    </w:p>
    <w:p w14:paraId="06FFDC2D">
      <w:pPr>
        <w:spacing w:line="418" w:lineRule="exact"/>
        <w:ind w:left="-283" w:leftChars="-135" w:firstLine="283" w:firstLineChars="0"/>
        <w:jc w:val="left"/>
        <w:rPr>
          <w:rFonts w:ascii="宋体" w:hAnsi="宋体"/>
          <w:color w:val="auto"/>
          <w:highlight w:val="none"/>
        </w:rPr>
      </w:pPr>
      <w:r>
        <w:rPr>
          <w:rFonts w:hint="eastAsia" w:ascii="宋体" w:hAnsi="宋体"/>
          <w:color w:val="auto"/>
          <w:highlight w:val="none"/>
          <w:lang w:val="en-US" w:eastAsia="zh-CN"/>
        </w:rPr>
        <w:t>5</w:t>
      </w:r>
      <w:r>
        <w:rPr>
          <w:rFonts w:ascii="宋体" w:hAnsi="宋体"/>
          <w:color w:val="auto"/>
          <w:highlight w:val="none"/>
        </w:rPr>
        <w:t>.</w:t>
      </w:r>
      <w:r>
        <w:rPr>
          <w:rFonts w:hint="eastAsia" w:ascii="宋体" w:hAnsi="宋体"/>
          <w:color w:val="auto"/>
          <w:highlight w:val="none"/>
        </w:rPr>
        <w:t>钦州市政府采购中心联系方式：</w:t>
      </w:r>
    </w:p>
    <w:p w14:paraId="235B5B5B">
      <w:pPr>
        <w:spacing w:line="418" w:lineRule="exact"/>
        <w:ind w:left="-283" w:leftChars="-135" w:firstLine="283" w:firstLineChars="0"/>
        <w:jc w:val="left"/>
        <w:rPr>
          <w:rFonts w:ascii="宋体" w:hAnsi="宋体"/>
          <w:color w:val="auto"/>
          <w:highlight w:val="none"/>
        </w:rPr>
      </w:pPr>
      <w:r>
        <w:rPr>
          <w:rFonts w:ascii="宋体" w:hAnsi="宋体"/>
          <w:color w:val="auto"/>
          <w:highlight w:val="none"/>
        </w:rPr>
        <w:t>(1)</w:t>
      </w:r>
      <w:r>
        <w:rPr>
          <w:rFonts w:hint="eastAsia" w:ascii="宋体" w:hAnsi="宋体"/>
          <w:color w:val="auto"/>
          <w:highlight w:val="none"/>
        </w:rPr>
        <w:t>采购部(招标文件</w:t>
      </w:r>
      <w:r>
        <w:rPr>
          <w:rFonts w:ascii="宋体" w:hAnsi="宋体"/>
          <w:color w:val="auto"/>
          <w:highlight w:val="none"/>
        </w:rPr>
        <w:t>)</w:t>
      </w:r>
    </w:p>
    <w:p w14:paraId="368D618E">
      <w:pPr>
        <w:spacing w:line="418" w:lineRule="exact"/>
        <w:ind w:left="-283" w:leftChars="-135" w:firstLine="283" w:firstLineChars="0"/>
        <w:jc w:val="left"/>
        <w:rPr>
          <w:rFonts w:ascii="宋体" w:hAnsi="宋体"/>
          <w:color w:val="auto"/>
          <w:highlight w:val="none"/>
        </w:rPr>
      </w:pPr>
      <w:r>
        <w:rPr>
          <w:rFonts w:hint="eastAsia" w:ascii="宋体" w:hAnsi="宋体"/>
          <w:color w:val="auto"/>
          <w:highlight w:val="none"/>
        </w:rPr>
        <w:t>联系人：</w:t>
      </w:r>
      <w:r>
        <w:rPr>
          <w:rFonts w:hint="eastAsia" w:ascii="宋体" w:hAnsi="宋体"/>
          <w:color w:val="auto"/>
          <w:highlight w:val="none"/>
          <w:lang w:eastAsia="zh-CN"/>
        </w:rPr>
        <w:t>苏晓婷</w:t>
      </w:r>
      <w:r>
        <w:rPr>
          <w:rFonts w:ascii="宋体" w:hAnsi="宋体"/>
          <w:color w:val="auto"/>
          <w:highlight w:val="none"/>
        </w:rPr>
        <w:t xml:space="preserve">  </w:t>
      </w:r>
      <w:r>
        <w:rPr>
          <w:rFonts w:hint="eastAsia" w:ascii="宋体" w:hAnsi="宋体"/>
          <w:color w:val="auto"/>
          <w:highlight w:val="none"/>
        </w:rPr>
        <w:t xml:space="preserve"> 联系方式：0777-2886022</w:t>
      </w:r>
    </w:p>
    <w:p w14:paraId="52029E02">
      <w:pPr>
        <w:spacing w:line="418" w:lineRule="exact"/>
        <w:ind w:left="-283" w:leftChars="-135" w:firstLine="283" w:firstLineChars="0"/>
        <w:jc w:val="left"/>
        <w:rPr>
          <w:rFonts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综合二部(保证金、开评标、中标及合同管理)</w:t>
      </w:r>
    </w:p>
    <w:p w14:paraId="6A48FB87">
      <w:pPr>
        <w:spacing w:line="418" w:lineRule="exact"/>
        <w:ind w:left="-283" w:leftChars="-135" w:firstLine="283" w:firstLineChars="0"/>
        <w:jc w:val="left"/>
        <w:rPr>
          <w:rFonts w:hint="eastAsia" w:ascii="宋体" w:hAnsi="宋体"/>
          <w:color w:val="auto"/>
          <w:highlight w:val="none"/>
        </w:rPr>
      </w:pPr>
      <w:r>
        <w:rPr>
          <w:rFonts w:hint="eastAsia" w:ascii="宋体" w:hAnsi="宋体"/>
          <w:color w:val="auto"/>
          <w:highlight w:val="none"/>
        </w:rPr>
        <w:t>联系人：陈侃</w:t>
      </w:r>
      <w:r>
        <w:rPr>
          <w:rFonts w:hint="eastAsia" w:ascii="宋体" w:hAnsi="宋体"/>
          <w:color w:val="auto"/>
          <w:highlight w:val="none"/>
          <w:lang w:eastAsia="zh-CN"/>
        </w:rPr>
        <w:t>、</w:t>
      </w:r>
      <w:r>
        <w:rPr>
          <w:rFonts w:hint="eastAsia" w:ascii="宋体" w:hAnsi="宋体"/>
          <w:color w:val="auto"/>
          <w:highlight w:val="none"/>
        </w:rPr>
        <w:t xml:space="preserve">陈启梅 </w:t>
      </w:r>
      <w:r>
        <w:rPr>
          <w:rFonts w:ascii="宋体" w:hAnsi="宋体"/>
          <w:color w:val="auto"/>
          <w:highlight w:val="none"/>
        </w:rPr>
        <w:t xml:space="preserve"> </w:t>
      </w:r>
      <w:r>
        <w:rPr>
          <w:rFonts w:hint="eastAsia" w:ascii="宋体" w:hAnsi="宋体"/>
          <w:color w:val="auto"/>
          <w:highlight w:val="none"/>
        </w:rPr>
        <w:t xml:space="preserve"> 联系方式：0777-2886006</w:t>
      </w:r>
    </w:p>
    <w:p w14:paraId="6E04466A">
      <w:pPr>
        <w:spacing w:line="418" w:lineRule="exact"/>
        <w:ind w:left="-283" w:leftChars="-135" w:firstLine="283" w:firstLineChars="0"/>
        <w:rPr>
          <w:rFonts w:ascii="宋体" w:hAnsi="宋体"/>
          <w:b/>
          <w:color w:val="auto"/>
          <w:highlight w:val="none"/>
        </w:rPr>
      </w:pPr>
      <w:r>
        <w:rPr>
          <w:rFonts w:hint="eastAsia" w:ascii="宋体" w:hAnsi="宋体"/>
          <w:b/>
          <w:color w:val="auto"/>
          <w:highlight w:val="none"/>
        </w:rPr>
        <w:t>七、对本次招标提出询问，请按</w:t>
      </w:r>
      <w:r>
        <w:rPr>
          <w:rFonts w:ascii="宋体" w:hAnsi="宋体"/>
          <w:b/>
          <w:color w:val="auto"/>
          <w:highlight w:val="none"/>
        </w:rPr>
        <w:t>以下方式</w:t>
      </w:r>
      <w:r>
        <w:rPr>
          <w:rFonts w:hint="eastAsia" w:ascii="宋体" w:hAnsi="宋体"/>
          <w:b/>
          <w:color w:val="auto"/>
          <w:highlight w:val="none"/>
        </w:rPr>
        <w:t>联系</w:t>
      </w:r>
      <w:bookmarkEnd w:id="26"/>
      <w:bookmarkEnd w:id="27"/>
      <w:bookmarkEnd w:id="28"/>
      <w:bookmarkEnd w:id="29"/>
    </w:p>
    <w:bookmarkEnd w:id="8"/>
    <w:p w14:paraId="4919DA19">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1.采购人信息</w:t>
      </w:r>
    </w:p>
    <w:p w14:paraId="5502AB57">
      <w:pPr>
        <w:spacing w:line="418" w:lineRule="exact"/>
        <w:ind w:left="-283" w:leftChars="-135" w:firstLine="283" w:firstLineChars="0"/>
        <w:rPr>
          <w:rFonts w:hint="default" w:ascii="宋体" w:hAnsi="宋体" w:eastAsia="宋体"/>
          <w:color w:val="auto"/>
          <w:highlight w:val="none"/>
          <w:lang w:val="en-US" w:eastAsia="zh-CN"/>
        </w:rPr>
      </w:pPr>
      <w:r>
        <w:rPr>
          <w:rFonts w:hint="eastAsia" w:ascii="宋体" w:hAnsi="宋体"/>
          <w:color w:val="auto"/>
          <w:highlight w:val="none"/>
        </w:rPr>
        <w:t>名称：</w:t>
      </w:r>
      <w:r>
        <w:rPr>
          <w:rFonts w:hint="eastAsia" w:ascii="宋体" w:hAnsi="宋体"/>
          <w:color w:val="auto"/>
          <w:highlight w:val="none"/>
          <w:lang w:eastAsia="zh-CN"/>
        </w:rPr>
        <w:t>灵山县发展和改革局</w:t>
      </w:r>
    </w:p>
    <w:p w14:paraId="03A8E530">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地址：</w:t>
      </w:r>
      <w:r>
        <w:rPr>
          <w:rFonts w:hint="eastAsia" w:cs="Times New Roman"/>
          <w:color w:val="auto"/>
          <w:highlight w:val="none"/>
          <w:lang w:val="en-US" w:eastAsia="zh-CN"/>
        </w:rPr>
        <w:t>广西钦州市灵山县灵城街道广场路31号</w:t>
      </w:r>
    </w:p>
    <w:p w14:paraId="4EB7DEAA">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项目联系人：</w:t>
      </w:r>
      <w:r>
        <w:rPr>
          <w:rFonts w:hint="eastAsia"/>
          <w:color w:val="auto"/>
          <w:highlight w:val="none"/>
        </w:rPr>
        <w:t>卢慧</w:t>
      </w:r>
    </w:p>
    <w:p w14:paraId="7DAA940D">
      <w:pPr>
        <w:spacing w:line="418" w:lineRule="exact"/>
        <w:ind w:left="-283" w:leftChars="-135" w:firstLine="283" w:firstLineChars="0"/>
        <w:rPr>
          <w:rFonts w:hint="default" w:ascii="宋体" w:hAnsi="宋体"/>
          <w:color w:val="auto"/>
          <w:highlight w:val="none"/>
          <w:lang w:val="en-US" w:eastAsia="zh-CN"/>
        </w:rPr>
      </w:pPr>
      <w:r>
        <w:rPr>
          <w:rFonts w:hint="eastAsia" w:ascii="宋体" w:hAnsi="宋体"/>
          <w:color w:val="auto"/>
          <w:highlight w:val="none"/>
        </w:rPr>
        <w:t>项目联系方式</w:t>
      </w:r>
      <w:bookmarkStart w:id="43" w:name="_Toc28359086"/>
      <w:bookmarkStart w:id="44" w:name="_Toc28359009"/>
      <w:r>
        <w:rPr>
          <w:rFonts w:hint="eastAsia" w:ascii="宋体" w:hAnsi="宋体"/>
          <w:color w:val="auto"/>
          <w:highlight w:val="none"/>
        </w:rPr>
        <w:t>：</w:t>
      </w:r>
      <w:bookmarkStart w:id="45" w:name="_Hlk92356946"/>
      <w:r>
        <w:rPr>
          <w:rFonts w:hint="eastAsia"/>
          <w:color w:val="auto"/>
          <w:highlight w:val="none"/>
        </w:rPr>
        <w:t>0777-6521516</w:t>
      </w:r>
    </w:p>
    <w:p w14:paraId="17BDE51D">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2.采购代理机构信息</w:t>
      </w:r>
      <w:bookmarkEnd w:id="43"/>
      <w:bookmarkEnd w:id="44"/>
    </w:p>
    <w:p w14:paraId="0F5DCDEA">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名称：钦州市政府采购中心</w:t>
      </w:r>
    </w:p>
    <w:p w14:paraId="200BEBFF">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地址：钦州市金海湾东大街8号</w:t>
      </w:r>
    </w:p>
    <w:p w14:paraId="15F0A015">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项目联系人：</w:t>
      </w:r>
      <w:r>
        <w:rPr>
          <w:rFonts w:hint="eastAsia" w:ascii="宋体" w:hAnsi="宋体"/>
          <w:color w:val="auto"/>
          <w:highlight w:val="none"/>
          <w:lang w:eastAsia="zh-CN"/>
        </w:rPr>
        <w:t>苏晓婷</w:t>
      </w:r>
      <w:r>
        <w:rPr>
          <w:rFonts w:hint="eastAsia" w:ascii="宋体" w:hAnsi="宋体"/>
          <w:color w:val="auto"/>
          <w:highlight w:val="none"/>
        </w:rPr>
        <w:t>、陈侃、陈启梅</w:t>
      </w:r>
    </w:p>
    <w:p w14:paraId="6E18B476">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项目联系方式：</w:t>
      </w:r>
      <w:bookmarkStart w:id="46" w:name="_Toc28359087"/>
      <w:bookmarkStart w:id="47" w:name="_Toc28359010"/>
      <w:r>
        <w:rPr>
          <w:rFonts w:hint="eastAsia" w:ascii="宋体" w:hAnsi="宋体"/>
          <w:color w:val="auto"/>
          <w:highlight w:val="none"/>
        </w:rPr>
        <w:t>0</w:t>
      </w:r>
      <w:r>
        <w:rPr>
          <w:rFonts w:ascii="宋体" w:hAnsi="宋体"/>
          <w:color w:val="auto"/>
          <w:highlight w:val="none"/>
        </w:rPr>
        <w:t>777-2886022</w:t>
      </w:r>
      <w:r>
        <w:rPr>
          <w:rFonts w:hint="eastAsia" w:ascii="宋体" w:hAnsi="宋体"/>
          <w:color w:val="auto"/>
          <w:highlight w:val="none"/>
        </w:rPr>
        <w:t>、2</w:t>
      </w:r>
      <w:r>
        <w:rPr>
          <w:rFonts w:ascii="宋体" w:hAnsi="宋体"/>
          <w:color w:val="auto"/>
          <w:highlight w:val="none"/>
        </w:rPr>
        <w:t>886006</w:t>
      </w:r>
    </w:p>
    <w:bookmarkEnd w:id="45"/>
    <w:bookmarkEnd w:id="46"/>
    <w:bookmarkEnd w:id="47"/>
    <w:p w14:paraId="12E61B3A">
      <w:pPr>
        <w:ind w:firstLine="0" w:firstLineChars="0"/>
        <w:jc w:val="left"/>
        <w:rPr>
          <w:rFonts w:hint="eastAsia" w:ascii="宋体" w:hAnsi="宋体"/>
          <w:color w:val="auto"/>
          <w:highlight w:val="none"/>
        </w:rPr>
      </w:pPr>
      <w:r>
        <w:rPr>
          <w:rFonts w:ascii="宋体" w:hAnsi="宋体"/>
          <w:color w:val="auto"/>
          <w:highlight w:val="none"/>
        </w:rPr>
        <w:br w:type="page"/>
      </w:r>
    </w:p>
    <w:p w14:paraId="50A83030">
      <w:pPr>
        <w:ind w:firstLine="0" w:firstLineChars="0"/>
        <w:jc w:val="left"/>
        <w:rPr>
          <w:rFonts w:hint="eastAsia" w:ascii="宋体" w:hAnsi="宋体"/>
          <w:color w:val="auto"/>
          <w:highlight w:val="none"/>
        </w:rPr>
      </w:pPr>
    </w:p>
    <w:p w14:paraId="4F494966">
      <w:pPr>
        <w:ind w:firstLine="0" w:firstLineChars="0"/>
        <w:jc w:val="left"/>
        <w:rPr>
          <w:rFonts w:hint="eastAsia" w:ascii="宋体" w:hAnsi="宋体"/>
          <w:color w:val="auto"/>
          <w:highlight w:val="none"/>
        </w:rPr>
      </w:pPr>
    </w:p>
    <w:p w14:paraId="2FD943B2">
      <w:pPr>
        <w:ind w:firstLine="0" w:firstLineChars="0"/>
        <w:jc w:val="left"/>
        <w:rPr>
          <w:rFonts w:hint="eastAsia" w:ascii="宋体" w:hAnsi="宋体"/>
          <w:color w:val="auto"/>
          <w:highlight w:val="none"/>
        </w:rPr>
      </w:pPr>
    </w:p>
    <w:p w14:paraId="7BD848D1">
      <w:pPr>
        <w:ind w:firstLine="0" w:firstLineChars="0"/>
        <w:jc w:val="left"/>
        <w:rPr>
          <w:rFonts w:hint="eastAsia" w:ascii="宋体" w:hAnsi="宋体"/>
          <w:color w:val="auto"/>
          <w:highlight w:val="none"/>
        </w:rPr>
      </w:pPr>
    </w:p>
    <w:p w14:paraId="2E57C288">
      <w:pPr>
        <w:ind w:firstLine="0" w:firstLineChars="0"/>
        <w:jc w:val="left"/>
        <w:rPr>
          <w:rFonts w:hint="eastAsia" w:ascii="宋体" w:hAnsi="宋体"/>
          <w:color w:val="auto"/>
          <w:highlight w:val="none"/>
        </w:rPr>
      </w:pPr>
    </w:p>
    <w:p w14:paraId="1B5E2F64">
      <w:pPr>
        <w:ind w:firstLine="0" w:firstLineChars="0"/>
        <w:jc w:val="left"/>
        <w:rPr>
          <w:rFonts w:hint="eastAsia" w:ascii="宋体" w:hAnsi="宋体"/>
          <w:color w:val="auto"/>
          <w:highlight w:val="none"/>
        </w:rPr>
      </w:pPr>
    </w:p>
    <w:p w14:paraId="0034BF00">
      <w:pPr>
        <w:ind w:firstLine="0" w:firstLineChars="0"/>
        <w:jc w:val="left"/>
        <w:rPr>
          <w:rFonts w:hint="eastAsia" w:ascii="宋体" w:hAnsi="宋体"/>
          <w:color w:val="auto"/>
          <w:highlight w:val="none"/>
        </w:rPr>
      </w:pPr>
    </w:p>
    <w:p w14:paraId="25E2DD4E">
      <w:pPr>
        <w:ind w:firstLine="0" w:firstLineChars="0"/>
        <w:jc w:val="left"/>
        <w:rPr>
          <w:rFonts w:ascii="宋体" w:hAnsi="宋体"/>
          <w:color w:val="auto"/>
          <w:highlight w:val="none"/>
        </w:rPr>
      </w:pPr>
    </w:p>
    <w:p w14:paraId="7613CAA1">
      <w:pPr>
        <w:ind w:firstLine="0" w:firstLineChars="0"/>
        <w:jc w:val="left"/>
        <w:rPr>
          <w:rFonts w:ascii="宋体" w:hAnsi="宋体"/>
          <w:color w:val="auto"/>
          <w:highlight w:val="none"/>
        </w:rPr>
      </w:pPr>
    </w:p>
    <w:p w14:paraId="32ABF61E">
      <w:pPr>
        <w:ind w:firstLine="0" w:firstLineChars="0"/>
        <w:jc w:val="left"/>
        <w:rPr>
          <w:rFonts w:ascii="宋体" w:hAnsi="宋体"/>
          <w:color w:val="auto"/>
          <w:highlight w:val="none"/>
        </w:rPr>
      </w:pPr>
    </w:p>
    <w:p w14:paraId="4E320AF3">
      <w:pPr>
        <w:ind w:firstLine="0" w:firstLineChars="0"/>
        <w:jc w:val="left"/>
        <w:rPr>
          <w:rFonts w:hint="eastAsia" w:ascii="宋体" w:hAnsi="宋体"/>
          <w:color w:val="auto"/>
          <w:highlight w:val="none"/>
        </w:rPr>
      </w:pPr>
    </w:p>
    <w:p w14:paraId="77D628A2">
      <w:pPr>
        <w:pStyle w:val="49"/>
        <w:ind w:left="0" w:leftChars="0" w:right="0" w:rightChars="0" w:firstLine="0" w:firstLineChars="0"/>
        <w:jc w:val="center"/>
        <w:rPr>
          <w:rFonts w:hint="eastAsia" w:ascii="宋体" w:hAnsi="宋体" w:eastAsia="宋体"/>
          <w:color w:val="auto"/>
          <w:highlight w:val="none"/>
        </w:rPr>
      </w:pPr>
      <w:bookmarkStart w:id="48" w:name="_Toc352700402"/>
      <w:bookmarkStart w:id="49" w:name="_Toc91512284"/>
      <w:r>
        <w:rPr>
          <w:rFonts w:hint="eastAsia" w:ascii="宋体" w:hAnsi="宋体" w:eastAsia="宋体"/>
          <w:color w:val="auto"/>
          <w:highlight w:val="none"/>
        </w:rPr>
        <w:t xml:space="preserve">第二章  </w:t>
      </w:r>
      <w:bookmarkEnd w:id="48"/>
      <w:r>
        <w:rPr>
          <w:rFonts w:hint="eastAsia" w:ascii="宋体" w:hAnsi="宋体" w:eastAsia="宋体"/>
          <w:color w:val="auto"/>
          <w:highlight w:val="none"/>
        </w:rPr>
        <w:t>项目需求</w:t>
      </w:r>
      <w:bookmarkEnd w:id="49"/>
      <w:bookmarkStart w:id="50" w:name="_Toc352700403"/>
    </w:p>
    <w:p w14:paraId="59ACA007">
      <w:pPr>
        <w:spacing w:line="1000" w:lineRule="exact"/>
        <w:ind w:firstLine="0" w:firstLineChars="0"/>
        <w:rPr>
          <w:rFonts w:ascii="宋体" w:hAnsi="宋体"/>
          <w:b/>
          <w:bCs/>
          <w:color w:val="auto"/>
          <w:highlight w:val="none"/>
        </w:rPr>
      </w:pPr>
      <w:r>
        <w:rPr>
          <w:rFonts w:ascii="宋体" w:hAnsi="宋体"/>
          <w:b/>
          <w:bCs/>
          <w:color w:val="auto"/>
          <w:highlight w:val="none"/>
        </w:rPr>
        <w:t xml:space="preserve"> </w:t>
      </w:r>
    </w:p>
    <w:p w14:paraId="360EEA75">
      <w:pPr>
        <w:spacing w:line="440" w:lineRule="exact"/>
        <w:jc w:val="center"/>
        <w:rPr>
          <w:rFonts w:ascii="宋体" w:hAnsi="宋体"/>
          <w:b/>
          <w:color w:val="auto"/>
          <w:sz w:val="36"/>
          <w:szCs w:val="36"/>
          <w:highlight w:val="none"/>
        </w:rPr>
      </w:pPr>
      <w:r>
        <w:rPr>
          <w:rFonts w:ascii="宋体" w:hAnsi="宋体"/>
          <w:b/>
          <w:bCs/>
          <w:color w:val="auto"/>
          <w:highlight w:val="none"/>
        </w:rPr>
        <w:br w:type="page"/>
      </w:r>
      <w:bookmarkStart w:id="51" w:name="_Toc5112"/>
      <w:bookmarkStart w:id="52" w:name="_Toc2486"/>
      <w:bookmarkStart w:id="53" w:name="_Toc17312"/>
      <w:r>
        <w:rPr>
          <w:rFonts w:hint="eastAsia" w:ascii="宋体" w:hAnsi="宋体"/>
          <w:b/>
          <w:color w:val="auto"/>
          <w:sz w:val="36"/>
          <w:szCs w:val="36"/>
          <w:highlight w:val="none"/>
        </w:rPr>
        <w:t>项目需求</w:t>
      </w:r>
    </w:p>
    <w:bookmarkEnd w:id="51"/>
    <w:bookmarkEnd w:id="52"/>
    <w:bookmarkEnd w:id="53"/>
    <w:p w14:paraId="53389BA9">
      <w:pPr>
        <w:spacing w:line="360" w:lineRule="auto"/>
        <w:jc w:val="left"/>
        <w:rPr>
          <w:rFonts w:ascii="宋体" w:hAnsi="宋体" w:cs="宋体"/>
          <w:color w:val="auto"/>
          <w:szCs w:val="21"/>
        </w:rPr>
      </w:pPr>
      <w:r>
        <w:rPr>
          <w:rFonts w:hint="eastAsia" w:ascii="宋体" w:hAnsi="宋体" w:cs="宋体"/>
          <w:color w:val="auto"/>
          <w:szCs w:val="21"/>
        </w:rPr>
        <w:t>说明：</w:t>
      </w:r>
    </w:p>
    <w:p w14:paraId="2ED3623B">
      <w:pPr>
        <w:spacing w:line="360" w:lineRule="auto"/>
        <w:ind w:firstLine="420" w:firstLineChars="200"/>
        <w:jc w:val="left"/>
        <w:rPr>
          <w:color w:val="auto"/>
        </w:rPr>
      </w:pPr>
      <w:r>
        <w:rPr>
          <w:rFonts w:hint="eastAsia"/>
          <w:color w:val="auto"/>
        </w:rPr>
        <w:t>1. 为落实政府采购政策需满足的要求</w:t>
      </w:r>
    </w:p>
    <w:p w14:paraId="7110D114">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（1）本招标文件所称中小企业必须符合《政府采购促进中小企业发展管理办法》（财库〔2020〕46号）的规定。</w:t>
      </w:r>
    </w:p>
    <w:p w14:paraId="2F80CA68">
      <w:pPr>
        <w:spacing w:line="360" w:lineRule="auto"/>
        <w:ind w:firstLine="424" w:firstLineChars="202"/>
        <w:jc w:val="left"/>
        <w:rPr>
          <w:rFonts w:ascii="宋体" w:hAnsi="宋体" w:cs="宋体"/>
          <w:color w:val="auto"/>
          <w:szCs w:val="21"/>
        </w:rPr>
      </w:pPr>
      <w:r>
        <w:rPr>
          <w:rFonts w:hint="eastAsia" w:ascii="宋体" w:hAnsi="宋体" w:cs="宋体"/>
          <w:color w:val="auto"/>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宋体" w:hAnsi="宋体" w:cs="宋体"/>
          <w:b/>
          <w:bCs/>
          <w:color w:val="auto"/>
          <w:szCs w:val="21"/>
        </w:rPr>
        <w:t>否则按无效投标处理</w:t>
      </w:r>
      <w:r>
        <w:rPr>
          <w:rFonts w:hint="eastAsia" w:ascii="宋体" w:hAnsi="宋体" w:cs="宋体"/>
          <w:color w:val="auto"/>
          <w:szCs w:val="21"/>
        </w:rPr>
        <w:t>。如本项目包含的货物属于品目清单内非标注“★”的产品时，应优先采购，具体详见“第四章 评标方法及评标标准”。</w:t>
      </w:r>
    </w:p>
    <w:p w14:paraId="030EDB49">
      <w:pPr>
        <w:spacing w:line="460" w:lineRule="exact"/>
        <w:ind w:firstLine="422"/>
        <w:rPr>
          <w:rFonts w:ascii="宋体" w:hAnsi="宋体" w:cs="宋体"/>
          <w:color w:val="auto"/>
          <w:szCs w:val="21"/>
        </w:rPr>
      </w:pPr>
      <w:r>
        <w:rPr>
          <w:rFonts w:hint="eastAsia" w:ascii="宋体" w:hAnsi="宋体" w:cs="宋体"/>
          <w:color w:val="auto"/>
          <w:szCs w:val="21"/>
        </w:rPr>
        <w:t>（3）</w:t>
      </w:r>
      <w:r>
        <w:rPr>
          <w:rFonts w:hint="eastAsia" w:ascii="宋体" w:hAnsi="宋体" w:cs="宋体"/>
          <w:b w:val="0"/>
          <w:bCs w:val="0"/>
          <w:color w:val="auto"/>
          <w:szCs w:val="21"/>
        </w:rPr>
        <w:t>根据《关于调整网络安全专用产品安全管理有关事项的公告》（2023年1号）规定，采购标的中如包含列入《网络关键设备和网络安全专用产品目录》的网络安全专用产品，供应商应当按照《信息安全技术网络安全专用产品安全技术要求》等相关国家标准的强制性要求，</w:t>
      </w:r>
      <w:r>
        <w:rPr>
          <w:rFonts w:hint="eastAsia" w:ascii="宋体" w:hAnsi="宋体" w:cs="宋体"/>
          <w:b/>
          <w:bCs/>
          <w:color w:val="auto"/>
          <w:szCs w:val="21"/>
        </w:rPr>
        <w:t>提供由具备资格的机构安全认证合格或者安全检测符合要求证明材料（加盖供应商公章），否则</w:t>
      </w:r>
      <w:r>
        <w:rPr>
          <w:rFonts w:hint="eastAsia" w:ascii="宋体" w:hAnsi="宋体" w:cs="宋体"/>
          <w:b/>
          <w:bCs/>
          <w:color w:val="auto"/>
          <w:szCs w:val="21"/>
          <w:lang w:val="en-US" w:eastAsia="zh-CN"/>
        </w:rPr>
        <w:t>投标</w:t>
      </w:r>
      <w:r>
        <w:rPr>
          <w:rFonts w:hint="eastAsia" w:ascii="宋体" w:hAnsi="宋体" w:cs="宋体"/>
          <w:b/>
          <w:bCs/>
          <w:color w:val="auto"/>
          <w:szCs w:val="21"/>
        </w:rPr>
        <w:t>无效。</w:t>
      </w:r>
    </w:p>
    <w:p w14:paraId="1F7D2C9C">
      <w:pPr>
        <w:pStyle w:val="323"/>
        <w:ind w:firstLine="422"/>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标注“★”的条款或注明为“必须”的条款为实质性条款或实质性要求，投标人所提供的投标文件必须满足，否则作废标处理。</w:t>
      </w:r>
    </w:p>
    <w:p w14:paraId="59B41381">
      <w:pPr>
        <w:spacing w:line="360" w:lineRule="auto"/>
        <w:ind w:firstLine="426" w:firstLineChars="202"/>
        <w:jc w:val="left"/>
        <w:rPr>
          <w:rFonts w:hint="eastAsia" w:ascii="宋体" w:hAnsi="宋体" w:eastAsia="宋体" w:cs="宋体"/>
          <w:b/>
          <w:bCs/>
          <w:color w:val="auto"/>
          <w:szCs w:val="21"/>
          <w:lang w:eastAsia="zh-CN"/>
        </w:rPr>
      </w:pPr>
      <w:r>
        <w:rPr>
          <w:rFonts w:hint="eastAsia" w:ascii="宋体" w:hAnsi="宋体" w:cs="宋体"/>
          <w:b/>
          <w:bCs/>
          <w:color w:val="auto"/>
          <w:szCs w:val="21"/>
        </w:rPr>
        <w:t>3.</w:t>
      </w:r>
      <w:r>
        <w:rPr>
          <w:rFonts w:hint="eastAsia" w:ascii="宋体" w:hAnsi="宋体" w:eastAsia="宋体" w:cs="宋体"/>
          <w:b/>
          <w:color w:val="auto"/>
          <w:sz w:val="21"/>
          <w:szCs w:val="21"/>
        </w:rPr>
        <w:t>采购需求中如注“▲”号的参数系本项目的重要技术指标、功能项，将作为货物性能的评分依据</w:t>
      </w:r>
      <w:r>
        <w:rPr>
          <w:rFonts w:hint="eastAsia" w:ascii="宋体" w:hAnsi="宋体" w:cs="宋体"/>
          <w:b/>
          <w:color w:val="auto"/>
          <w:sz w:val="21"/>
          <w:szCs w:val="21"/>
          <w:lang w:eastAsia="zh-CN"/>
        </w:rPr>
        <w:t>。</w:t>
      </w:r>
    </w:p>
    <w:p w14:paraId="6FCB9466">
      <w:pPr>
        <w:spacing w:line="360" w:lineRule="auto"/>
        <w:ind w:firstLine="424" w:firstLineChars="202"/>
        <w:jc w:val="left"/>
        <w:rPr>
          <w:rStyle w:val="61"/>
          <w:color w:val="auto"/>
        </w:rPr>
      </w:pPr>
      <w:r>
        <w:rPr>
          <w:rFonts w:hint="eastAsia" w:ascii="宋体" w:hAnsi="宋体" w:cs="宋体"/>
          <w:color w:val="auto"/>
          <w:szCs w:val="21"/>
        </w:rPr>
        <w:t>4.采购需求中出现的品牌、型号或者生产厂家仅起参考作用，不属于指定品牌、型号或者生产厂家的情形。投标人可参照或者选用其他相当的品牌、型号或者生产厂家替代。</w:t>
      </w:r>
    </w:p>
    <w:p w14:paraId="6CC965AC">
      <w:pPr>
        <w:spacing w:line="360" w:lineRule="auto"/>
        <w:jc w:val="left"/>
        <w:rPr>
          <w:rFonts w:hint="eastAsia"/>
          <w:color w:val="auto"/>
        </w:rPr>
      </w:pPr>
      <w:r>
        <w:rPr>
          <w:rFonts w:hint="eastAsia" w:ascii="宋体" w:hAnsi="宋体" w:cs="宋体"/>
          <w:color w:val="auto"/>
          <w:szCs w:val="21"/>
          <w:lang w:val="en-US" w:eastAsia="zh-CN"/>
        </w:rPr>
        <w:t>5.</w:t>
      </w:r>
      <w:r>
        <w:rPr>
          <w:rFonts w:hint="eastAsia"/>
          <w:color w:val="auto"/>
        </w:rPr>
        <w:t>投标人</w:t>
      </w:r>
      <w:r>
        <w:rPr>
          <w:color w:val="auto"/>
        </w:rPr>
        <w:t>必须自行为其</w:t>
      </w:r>
      <w:r>
        <w:rPr>
          <w:rFonts w:hint="eastAsia"/>
          <w:color w:val="auto"/>
        </w:rPr>
        <w:t>投标</w:t>
      </w:r>
      <w:r>
        <w:rPr>
          <w:color w:val="auto"/>
        </w:rPr>
        <w:t>产品侵犯</w:t>
      </w:r>
      <w:r>
        <w:rPr>
          <w:rFonts w:hint="eastAsia"/>
          <w:color w:val="auto"/>
        </w:rPr>
        <w:t>他人的知识产权或者专利成果的行为</w:t>
      </w:r>
      <w:r>
        <w:rPr>
          <w:color w:val="auto"/>
        </w:rPr>
        <w:t>承担相应法律责任</w:t>
      </w:r>
      <w:r>
        <w:rPr>
          <w:rFonts w:hint="eastAsia"/>
          <w:color w:val="auto"/>
        </w:rPr>
        <w:t>。</w:t>
      </w:r>
    </w:p>
    <w:p w14:paraId="71E08A6C">
      <w:pPr>
        <w:ind w:firstLine="0" w:firstLineChars="0"/>
        <w:rPr>
          <w:rFonts w:ascii="宋体" w:hAnsi="宋体"/>
          <w:color w:val="auto"/>
          <w:highlight w:val="none"/>
        </w:rPr>
      </w:pPr>
    </w:p>
    <w:p w14:paraId="70EEF53E">
      <w:pPr>
        <w:ind w:firstLine="0" w:firstLineChars="0"/>
        <w:rPr>
          <w:rFonts w:ascii="宋体" w:hAnsi="宋体"/>
          <w:color w:val="auto"/>
          <w:highlight w:val="none"/>
        </w:rPr>
      </w:pPr>
    </w:p>
    <w:p w14:paraId="4FE348C3">
      <w:pPr>
        <w:ind w:firstLine="0" w:firstLineChars="0"/>
        <w:rPr>
          <w:rFonts w:hint="eastAsia" w:ascii="宋体" w:hAnsi="宋体"/>
          <w:color w:val="auto"/>
          <w:highlight w:val="none"/>
        </w:rPr>
      </w:pPr>
    </w:p>
    <w:p w14:paraId="77344148">
      <w:pPr>
        <w:ind w:firstLine="0" w:firstLineChars="0"/>
        <w:rPr>
          <w:rFonts w:hint="eastAsia" w:ascii="宋体" w:hAnsi="宋体"/>
          <w:color w:val="auto"/>
          <w:highlight w:val="none"/>
        </w:rPr>
      </w:pPr>
    </w:p>
    <w:p w14:paraId="7D4A027F">
      <w:pPr>
        <w:ind w:firstLine="0" w:firstLineChars="0"/>
        <w:rPr>
          <w:rFonts w:hint="eastAsia" w:ascii="宋体" w:hAnsi="宋体"/>
          <w:color w:val="auto"/>
          <w:highlight w:val="none"/>
        </w:rPr>
      </w:pPr>
    </w:p>
    <w:p w14:paraId="2459DDFD">
      <w:pPr>
        <w:ind w:firstLine="0" w:firstLineChars="0"/>
        <w:rPr>
          <w:rFonts w:hint="eastAsia" w:ascii="宋体" w:hAnsi="宋体"/>
          <w:color w:val="auto"/>
          <w:highlight w:val="none"/>
        </w:rPr>
      </w:pPr>
    </w:p>
    <w:p w14:paraId="48B550EA">
      <w:pPr>
        <w:keepNext w:val="0"/>
        <w:keepLines w:val="0"/>
        <w:pageBreakBefore w:val="0"/>
        <w:kinsoku/>
        <w:wordWrap/>
        <w:overflowPunct/>
        <w:topLinePunct w:val="0"/>
        <w:autoSpaceDE/>
        <w:autoSpaceDN/>
        <w:bidi w:val="0"/>
        <w:adjustRightInd/>
        <w:ind w:firstLine="0" w:firstLineChars="0"/>
        <w:rPr>
          <w:color w:val="auto"/>
        </w:rPr>
      </w:pPr>
    </w:p>
    <w:p w14:paraId="74EDC46C">
      <w:pPr>
        <w:pStyle w:val="37"/>
        <w:keepNext w:val="0"/>
        <w:keepLines w:val="0"/>
        <w:pageBreakBefore w:val="0"/>
        <w:tabs>
          <w:tab w:val="right" w:leader="dot" w:pos="8398"/>
        </w:tabs>
        <w:kinsoku/>
        <w:wordWrap/>
        <w:overflowPunct/>
        <w:topLinePunct w:val="0"/>
        <w:autoSpaceDE/>
        <w:autoSpaceDN/>
        <w:bidi w:val="0"/>
        <w:adjustRightInd/>
        <w:ind w:firstLine="0" w:firstLineChars="0"/>
        <w:rPr>
          <w:rFonts w:hint="eastAsia"/>
          <w:color w:val="auto"/>
          <w:highlight w:val="none"/>
        </w:rPr>
      </w:pPr>
    </w:p>
    <w:tbl>
      <w:tblPr>
        <w:tblStyle w:val="51"/>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965"/>
        <w:gridCol w:w="779"/>
        <w:gridCol w:w="898"/>
        <w:gridCol w:w="5538"/>
      </w:tblGrid>
      <w:tr w14:paraId="5A57F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27" w:type="dxa"/>
            <w:vAlign w:val="center"/>
          </w:tcPr>
          <w:p w14:paraId="494DC6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s="宋体"/>
                <w:b/>
                <w:color w:val="auto"/>
                <w:szCs w:val="21"/>
              </w:rPr>
            </w:pPr>
            <w:r>
              <w:rPr>
                <w:rFonts w:hint="eastAsia" w:ascii="宋体" w:hAnsi="宋体" w:cs="宋体"/>
                <w:b/>
                <w:color w:val="auto"/>
                <w:szCs w:val="21"/>
              </w:rPr>
              <w:t>项号</w:t>
            </w:r>
          </w:p>
        </w:tc>
        <w:tc>
          <w:tcPr>
            <w:tcW w:w="965" w:type="dxa"/>
            <w:vAlign w:val="center"/>
          </w:tcPr>
          <w:p w14:paraId="59DAC7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标的的名称</w:t>
            </w:r>
          </w:p>
        </w:tc>
        <w:tc>
          <w:tcPr>
            <w:tcW w:w="779" w:type="dxa"/>
            <w:vAlign w:val="center"/>
          </w:tcPr>
          <w:p w14:paraId="6B6E42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所属行业</w:t>
            </w:r>
          </w:p>
        </w:tc>
        <w:tc>
          <w:tcPr>
            <w:tcW w:w="898" w:type="dxa"/>
            <w:vAlign w:val="center"/>
          </w:tcPr>
          <w:p w14:paraId="7A80F4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s="宋体"/>
                <w:b/>
                <w:color w:val="auto"/>
                <w:szCs w:val="21"/>
              </w:rPr>
            </w:pPr>
            <w:r>
              <w:rPr>
                <w:rFonts w:hint="eastAsia" w:ascii="宋体" w:hAnsi="宋体" w:cs="宋体"/>
                <w:b/>
                <w:color w:val="auto"/>
                <w:szCs w:val="21"/>
              </w:rPr>
              <w:t>数量</w:t>
            </w:r>
            <w:r>
              <w:rPr>
                <w:rFonts w:hint="eastAsia" w:ascii="宋体" w:hAnsi="宋体" w:cs="宋体"/>
                <w:b/>
                <w:color w:val="auto"/>
                <w:szCs w:val="21"/>
                <w:lang w:val="en-US" w:eastAsia="zh-CN"/>
              </w:rPr>
              <w:t>及</w:t>
            </w:r>
            <w:r>
              <w:rPr>
                <w:rFonts w:hint="eastAsia" w:ascii="宋体" w:hAnsi="宋体" w:cs="宋体"/>
                <w:b/>
                <w:color w:val="auto"/>
                <w:szCs w:val="21"/>
              </w:rPr>
              <w:t>单位</w:t>
            </w:r>
          </w:p>
        </w:tc>
        <w:tc>
          <w:tcPr>
            <w:tcW w:w="5538" w:type="dxa"/>
            <w:vAlign w:val="center"/>
          </w:tcPr>
          <w:p w14:paraId="43009364">
            <w:pPr>
              <w:jc w:val="center"/>
              <w:rPr>
                <w:rFonts w:ascii="宋体" w:hAnsi="宋体" w:cs="宋体"/>
                <w:b/>
                <w:color w:val="auto"/>
                <w:szCs w:val="21"/>
              </w:rPr>
            </w:pPr>
            <w:r>
              <w:rPr>
                <w:rFonts w:hint="eastAsia" w:ascii="宋体" w:hAnsi="宋体" w:cs="宋体"/>
                <w:b/>
                <w:color w:val="auto"/>
                <w:szCs w:val="21"/>
              </w:rPr>
              <w:t>功能、技术参数/服务要求</w:t>
            </w:r>
          </w:p>
        </w:tc>
      </w:tr>
      <w:tr w14:paraId="404C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8907" w:type="dxa"/>
            <w:gridSpan w:val="5"/>
            <w:vAlign w:val="center"/>
          </w:tcPr>
          <w:p w14:paraId="429AB460">
            <w:pPr>
              <w:jc w:val="left"/>
              <w:rPr>
                <w:rFonts w:ascii="宋体" w:hAnsi="宋体" w:cs="宋体"/>
                <w:b/>
                <w:color w:val="auto"/>
                <w:szCs w:val="21"/>
              </w:rPr>
            </w:pPr>
            <w:r>
              <w:rPr>
                <w:rFonts w:hint="eastAsia" w:ascii="宋体" w:hAnsi="宋体" w:cs="宋体"/>
                <w:b/>
                <w:color w:val="auto"/>
                <w:szCs w:val="21"/>
              </w:rPr>
              <w:t>一、传输线路服务部分</w:t>
            </w:r>
            <w:r>
              <w:rPr>
                <w:rFonts w:hint="eastAsia" w:ascii="宋体" w:hAnsi="宋体" w:cs="宋体"/>
                <w:b/>
                <w:color w:val="auto"/>
                <w:szCs w:val="21"/>
                <w:lang w:eastAsia="zh-CN"/>
              </w:rPr>
              <w:t>（</w:t>
            </w:r>
            <w:r>
              <w:rPr>
                <w:rFonts w:hint="eastAsia" w:ascii="宋体" w:hAnsi="宋体" w:cs="宋体"/>
                <w:b/>
                <w:bCs/>
                <w:color w:val="auto"/>
                <w:kern w:val="0"/>
                <w:szCs w:val="21"/>
                <w:lang w:bidi="ar"/>
              </w:rPr>
              <w:t>线路租赁服务</w:t>
            </w:r>
            <w:r>
              <w:rPr>
                <w:rFonts w:hint="eastAsia" w:ascii="宋体" w:hAnsi="宋体" w:cs="宋体"/>
                <w:b/>
                <w:color w:val="auto"/>
                <w:szCs w:val="21"/>
                <w:lang w:eastAsia="zh-CN"/>
              </w:rPr>
              <w:t>）</w:t>
            </w:r>
          </w:p>
        </w:tc>
      </w:tr>
      <w:tr w14:paraId="274F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7" w:type="dxa"/>
            <w:vAlign w:val="center"/>
          </w:tcPr>
          <w:p w14:paraId="7DC2F5ED">
            <w:pPr>
              <w:keepNext w:val="0"/>
              <w:keepLines w:val="0"/>
              <w:pageBreakBefore w:val="0"/>
              <w:kinsoku/>
              <w:wordWrap/>
              <w:overflowPunct/>
              <w:topLinePunct w:val="0"/>
              <w:autoSpaceDE/>
              <w:autoSpaceDN/>
              <w:bidi w:val="0"/>
              <w:adjustRightInd/>
              <w:snapToGrid/>
              <w:ind w:firstLine="0" w:firstLineChars="0"/>
              <w:jc w:val="center"/>
              <w:textAlignment w:val="auto"/>
              <w:rPr>
                <w:rFonts w:ascii="宋体" w:hAnsi="宋体" w:cs="宋体"/>
                <w:color w:val="auto"/>
                <w:szCs w:val="21"/>
              </w:rPr>
            </w:pPr>
            <w:r>
              <w:rPr>
                <w:rFonts w:hint="eastAsia" w:ascii="宋体" w:hAnsi="宋体" w:cs="宋体"/>
                <w:color w:val="auto"/>
                <w:szCs w:val="21"/>
              </w:rPr>
              <w:t>1</w:t>
            </w:r>
          </w:p>
        </w:tc>
        <w:tc>
          <w:tcPr>
            <w:tcW w:w="965" w:type="dxa"/>
            <w:vAlign w:val="center"/>
          </w:tcPr>
          <w:p w14:paraId="5A906B5A">
            <w:pPr>
              <w:keepNext w:val="0"/>
              <w:keepLines w:val="0"/>
              <w:pageBreakBefore w:val="0"/>
              <w:kinsoku/>
              <w:wordWrap/>
              <w:overflowPunct/>
              <w:topLinePunct w:val="0"/>
              <w:autoSpaceDE/>
              <w:autoSpaceDN/>
              <w:bidi w:val="0"/>
              <w:adjustRightInd/>
              <w:snapToGrid/>
              <w:ind w:firstLine="0" w:firstLineChars="0"/>
              <w:textAlignment w:val="auto"/>
              <w:rPr>
                <w:rFonts w:ascii="宋体" w:hAnsi="宋体"/>
                <w:color w:val="auto"/>
                <w:szCs w:val="21"/>
              </w:rPr>
            </w:pPr>
            <w:r>
              <w:rPr>
                <w:rFonts w:hint="eastAsia" w:ascii="宋体" w:hAnsi="宋体"/>
                <w:color w:val="auto"/>
                <w:szCs w:val="21"/>
              </w:rPr>
              <w:t>接入路由器</w:t>
            </w:r>
          </w:p>
        </w:tc>
        <w:tc>
          <w:tcPr>
            <w:tcW w:w="779" w:type="dxa"/>
            <w:vAlign w:val="center"/>
          </w:tcPr>
          <w:p w14:paraId="1C3461AC">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宋体" w:hAnsi="宋体" w:cs="宋体"/>
                <w:color w:val="auto"/>
                <w:szCs w:val="21"/>
              </w:rPr>
            </w:pPr>
            <w:r>
              <w:rPr>
                <w:rFonts w:hint="eastAsia"/>
                <w:color w:val="auto"/>
                <w:szCs w:val="21"/>
                <w:lang w:val="en-US" w:eastAsia="zh-CN"/>
              </w:rPr>
              <w:t>租赁和商务服务业</w:t>
            </w:r>
          </w:p>
        </w:tc>
        <w:tc>
          <w:tcPr>
            <w:tcW w:w="898" w:type="dxa"/>
            <w:vAlign w:val="center"/>
          </w:tcPr>
          <w:p w14:paraId="601EB363">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宋体" w:hAnsi="宋体" w:cs="宋体"/>
                <w:color w:val="auto"/>
                <w:szCs w:val="21"/>
              </w:rPr>
            </w:pPr>
            <w:r>
              <w:rPr>
                <w:rFonts w:ascii="宋体" w:hAnsi="宋体" w:cs="宋体"/>
                <w:color w:val="auto"/>
                <w:szCs w:val="21"/>
              </w:rPr>
              <w:t>560</w:t>
            </w:r>
            <w:r>
              <w:rPr>
                <w:rFonts w:hint="eastAsia" w:ascii="宋体" w:hAnsi="宋体" w:cs="宋体"/>
                <w:color w:val="auto"/>
                <w:szCs w:val="21"/>
              </w:rPr>
              <w:t>台</w:t>
            </w:r>
          </w:p>
        </w:tc>
        <w:tc>
          <w:tcPr>
            <w:tcW w:w="5538" w:type="dxa"/>
            <w:vAlign w:val="center"/>
          </w:tcPr>
          <w:p w14:paraId="02E2F143">
            <w:pPr>
              <w:spacing w:line="360" w:lineRule="exact"/>
              <w:rPr>
                <w:rFonts w:ascii="宋体" w:hAnsi="宋体" w:cs="宋体"/>
                <w:color w:val="auto"/>
                <w:szCs w:val="21"/>
              </w:rPr>
            </w:pPr>
            <w:r>
              <w:rPr>
                <w:rFonts w:hint="eastAsia" w:ascii="宋体" w:hAnsi="宋体" w:cs="宋体"/>
                <w:color w:val="auto"/>
                <w:szCs w:val="21"/>
              </w:rPr>
              <w:t xml:space="preserve">1. </w:t>
            </w:r>
            <w:r>
              <w:rPr>
                <w:rFonts w:hint="eastAsia" w:ascii="宋体" w:hAnsi="宋体" w:eastAsia="宋体" w:cs="宋体"/>
                <w:b/>
                <w:color w:val="auto"/>
                <w:sz w:val="21"/>
                <w:szCs w:val="21"/>
              </w:rPr>
              <w:t>★</w:t>
            </w:r>
            <w:r>
              <w:rPr>
                <w:rFonts w:hint="eastAsia" w:ascii="宋体" w:hAnsi="宋体" w:cs="宋体"/>
                <w:color w:val="auto"/>
                <w:szCs w:val="21"/>
              </w:rPr>
              <w:t>转发性能支持3Mpps</w:t>
            </w:r>
          </w:p>
          <w:p w14:paraId="56C3E980">
            <w:pPr>
              <w:spacing w:line="360" w:lineRule="exac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 xml:space="preserve">. </w:t>
            </w:r>
            <w:r>
              <w:rPr>
                <w:rFonts w:hint="eastAsia" w:ascii="宋体" w:hAnsi="宋体" w:eastAsia="宋体" w:cs="宋体"/>
                <w:b/>
                <w:color w:val="auto"/>
                <w:sz w:val="21"/>
                <w:szCs w:val="21"/>
              </w:rPr>
              <w:t>★</w:t>
            </w:r>
            <w:r>
              <w:rPr>
                <w:rFonts w:hint="eastAsia" w:ascii="宋体" w:hAnsi="宋体" w:cs="宋体"/>
                <w:color w:val="auto"/>
                <w:szCs w:val="21"/>
              </w:rPr>
              <w:t>实配三层千兆电口≥2，二层千兆电口≥8（支持二三层切换），可扩展千兆光口≥2个；</w:t>
            </w:r>
          </w:p>
          <w:p w14:paraId="302C2568">
            <w:pPr>
              <w:spacing w:line="360" w:lineRule="exac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 xml:space="preserve">. </w:t>
            </w:r>
            <w:r>
              <w:rPr>
                <w:rFonts w:hint="eastAsia" w:ascii="宋体" w:hAnsi="宋体" w:eastAsia="宋体" w:cs="宋体"/>
                <w:b/>
                <w:color w:val="auto"/>
                <w:sz w:val="21"/>
                <w:szCs w:val="21"/>
              </w:rPr>
              <w:t>▲</w:t>
            </w:r>
            <w:r>
              <w:rPr>
                <w:rFonts w:hint="eastAsia" w:ascii="宋体" w:hAnsi="宋体" w:cs="宋体"/>
                <w:color w:val="auto"/>
                <w:szCs w:val="21"/>
              </w:rPr>
              <w:t>内存≥2GB，Flash≥4GB，支持业务槽位≥1个，可以灵活插卡扩展4G/5G/SFP接口；</w:t>
            </w:r>
          </w:p>
          <w:p w14:paraId="0737CD68">
            <w:pPr>
              <w:spacing w:line="360" w:lineRule="exact"/>
              <w:rPr>
                <w:rFonts w:ascii="宋体" w:hAnsi="宋体" w:cs="宋体"/>
                <w:color w:val="auto"/>
                <w:szCs w:val="21"/>
              </w:rPr>
            </w:pPr>
            <w:r>
              <w:rPr>
                <w:rFonts w:ascii="宋体" w:hAnsi="宋体" w:cs="宋体"/>
                <w:color w:val="auto"/>
                <w:szCs w:val="21"/>
              </w:rPr>
              <w:t>4</w:t>
            </w:r>
            <w:r>
              <w:rPr>
                <w:rFonts w:hint="eastAsia" w:ascii="宋体" w:hAnsi="宋体" w:cs="宋体"/>
                <w:color w:val="auto"/>
                <w:szCs w:val="21"/>
              </w:rPr>
              <w:t>.设备具备多功能健，支持一键升级一键开局功能；</w:t>
            </w:r>
          </w:p>
          <w:p w14:paraId="5789B62A">
            <w:pPr>
              <w:spacing w:line="360" w:lineRule="exact"/>
              <w:rPr>
                <w:rFonts w:ascii="宋体" w:hAnsi="宋体" w:cs="宋体"/>
                <w:color w:val="auto"/>
                <w:szCs w:val="21"/>
              </w:rPr>
            </w:pPr>
            <w:r>
              <w:rPr>
                <w:rFonts w:ascii="宋体" w:hAnsi="宋体" w:cs="宋体"/>
                <w:color w:val="auto"/>
                <w:szCs w:val="21"/>
              </w:rPr>
              <w:t>5</w:t>
            </w:r>
            <w:r>
              <w:rPr>
                <w:rFonts w:hint="eastAsia" w:ascii="宋体" w:hAnsi="宋体" w:cs="宋体"/>
                <w:color w:val="auto"/>
                <w:szCs w:val="21"/>
              </w:rPr>
              <w:t>. 支持基于DPI/五元组/DSCP等多种方式的应用识别能力；</w:t>
            </w:r>
          </w:p>
          <w:p w14:paraId="28C11B98">
            <w:pPr>
              <w:spacing w:line="360" w:lineRule="exact"/>
              <w:rPr>
                <w:rFonts w:ascii="宋体" w:hAnsi="宋体" w:cs="宋体"/>
                <w:color w:val="auto"/>
                <w:szCs w:val="21"/>
              </w:rPr>
            </w:pPr>
            <w:r>
              <w:rPr>
                <w:rFonts w:ascii="宋体" w:hAnsi="宋体" w:cs="宋体"/>
                <w:color w:val="auto"/>
                <w:szCs w:val="21"/>
              </w:rPr>
              <w:t>6</w:t>
            </w:r>
            <w:r>
              <w:rPr>
                <w:rFonts w:hint="eastAsia" w:ascii="宋体" w:hAnsi="宋体" w:cs="宋体"/>
                <w:color w:val="auto"/>
                <w:szCs w:val="21"/>
              </w:rPr>
              <w:t>. 支持1X、WEB、AAA、RADIUS等多种认证模式</w:t>
            </w:r>
          </w:p>
          <w:p w14:paraId="09C9D547">
            <w:pPr>
              <w:spacing w:line="360" w:lineRule="exact"/>
              <w:rPr>
                <w:rFonts w:ascii="宋体" w:hAnsi="宋体" w:cs="宋体"/>
                <w:color w:val="auto"/>
                <w:szCs w:val="21"/>
              </w:rPr>
            </w:pPr>
            <w:r>
              <w:rPr>
                <w:rFonts w:ascii="宋体" w:hAnsi="宋体" w:cs="宋体"/>
                <w:color w:val="auto"/>
                <w:szCs w:val="21"/>
              </w:rPr>
              <w:t>7</w:t>
            </w:r>
            <w:r>
              <w:rPr>
                <w:rFonts w:hint="eastAsia" w:ascii="宋体" w:hAnsi="宋体" w:cs="宋体"/>
                <w:color w:val="auto"/>
                <w:szCs w:val="21"/>
              </w:rPr>
              <w:t xml:space="preserve">. </w:t>
            </w:r>
            <w:r>
              <w:rPr>
                <w:rFonts w:hint="eastAsia" w:ascii="宋体" w:hAnsi="宋体" w:eastAsia="宋体" w:cs="宋体"/>
                <w:b/>
                <w:color w:val="auto"/>
                <w:sz w:val="21"/>
                <w:szCs w:val="21"/>
              </w:rPr>
              <w:t>▲</w:t>
            </w:r>
            <w:r>
              <w:rPr>
                <w:rFonts w:hint="eastAsia" w:ascii="宋体" w:hAnsi="宋体" w:cs="宋体"/>
                <w:color w:val="auto"/>
                <w:szCs w:val="21"/>
              </w:rPr>
              <w:t>支持IPSLA</w:t>
            </w:r>
            <w:r>
              <w:rPr>
                <w:rFonts w:hint="eastAsia" w:ascii="宋体" w:hAnsi="宋体" w:cs="宋体"/>
                <w:color w:val="auto"/>
                <w:szCs w:val="21"/>
                <w:lang w:val="en-US" w:eastAsia="zh-CN"/>
              </w:rPr>
              <w:t>或</w:t>
            </w:r>
            <w:r>
              <w:rPr>
                <w:rFonts w:hint="eastAsia" w:ascii="宋体" w:hAnsi="宋体" w:cs="宋体"/>
                <w:color w:val="auto"/>
                <w:szCs w:val="21"/>
              </w:rPr>
              <w:t>NQA等多种链路探测协议</w:t>
            </w:r>
          </w:p>
          <w:p w14:paraId="78A74349">
            <w:pPr>
              <w:spacing w:line="360" w:lineRule="exact"/>
              <w:rPr>
                <w:rFonts w:ascii="宋体" w:hAnsi="宋体" w:cs="宋体"/>
                <w:color w:val="auto"/>
                <w:szCs w:val="21"/>
              </w:rPr>
            </w:pPr>
            <w:r>
              <w:rPr>
                <w:rFonts w:ascii="宋体" w:hAnsi="宋体" w:cs="宋体"/>
                <w:color w:val="auto"/>
                <w:szCs w:val="21"/>
              </w:rPr>
              <w:t>8</w:t>
            </w:r>
            <w:r>
              <w:rPr>
                <w:rFonts w:hint="eastAsia" w:ascii="宋体" w:hAnsi="宋体" w:cs="宋体"/>
                <w:color w:val="auto"/>
                <w:szCs w:val="21"/>
              </w:rPr>
              <w:t>. 支持IPv4和IPv6双协议栈，支持IPV4静态路由、OSPFv2、BGP、IS-IS、路由策略，支持IPv6静态路由、OSPFv3、IS-ISv6、BGP4+；</w:t>
            </w:r>
          </w:p>
          <w:p w14:paraId="0C0D8BFB">
            <w:pPr>
              <w:spacing w:line="360" w:lineRule="exact"/>
              <w:rPr>
                <w:rFonts w:ascii="宋体" w:hAnsi="宋体" w:cs="宋体"/>
                <w:color w:val="auto"/>
                <w:szCs w:val="21"/>
              </w:rPr>
            </w:pPr>
            <w:r>
              <w:rPr>
                <w:rFonts w:ascii="宋体" w:hAnsi="宋体" w:cs="宋体"/>
                <w:color w:val="auto"/>
                <w:szCs w:val="21"/>
              </w:rPr>
              <w:t>9</w:t>
            </w:r>
            <w:r>
              <w:rPr>
                <w:rFonts w:hint="eastAsia" w:ascii="宋体" w:hAnsi="宋体" w:cs="宋体"/>
                <w:color w:val="auto"/>
                <w:szCs w:val="21"/>
              </w:rPr>
              <w:t>. MPLS VPN支持LDP等MPLS标签分发协议，支持三层VPN；</w:t>
            </w:r>
          </w:p>
          <w:p w14:paraId="3948AA44">
            <w:pPr>
              <w:spacing w:line="360" w:lineRule="exact"/>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0</w:t>
            </w:r>
            <w:r>
              <w:rPr>
                <w:rFonts w:hint="eastAsia" w:ascii="宋体" w:hAnsi="宋体" w:cs="宋体"/>
                <w:color w:val="auto"/>
                <w:szCs w:val="21"/>
              </w:rPr>
              <w:t>. 支持SNMP、netconf、gRPC等管理面协议，实现更加灵活的对接管理</w:t>
            </w:r>
          </w:p>
          <w:p w14:paraId="28BE86D3">
            <w:pPr>
              <w:spacing w:line="360" w:lineRule="exact"/>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1</w:t>
            </w:r>
            <w:r>
              <w:rPr>
                <w:rFonts w:hint="eastAsia" w:ascii="宋体" w:hAnsi="宋体" w:cs="宋体"/>
                <w:color w:val="auto"/>
                <w:szCs w:val="21"/>
              </w:rPr>
              <w:t>. 支持国密算法SM2/3/4</w:t>
            </w:r>
          </w:p>
          <w:p w14:paraId="11289E4D">
            <w:pPr>
              <w:spacing w:line="360" w:lineRule="exact"/>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 支持广域网传输前向纠错(A-FEC)；</w:t>
            </w:r>
          </w:p>
          <w:p w14:paraId="39161FFB">
            <w:pPr>
              <w:spacing w:line="360" w:lineRule="exact"/>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3</w:t>
            </w:r>
            <w:r>
              <w:rPr>
                <w:rFonts w:hint="eastAsia" w:ascii="宋体" w:hAnsi="宋体" w:cs="宋体"/>
                <w:color w:val="auto"/>
                <w:szCs w:val="21"/>
              </w:rPr>
              <w:t>. 支持URL过滤</w:t>
            </w:r>
          </w:p>
          <w:p w14:paraId="77106833">
            <w:pPr>
              <w:spacing w:line="360" w:lineRule="exact"/>
              <w:rPr>
                <w:rFonts w:hint="eastAsia" w:ascii="宋体" w:hAnsi="宋体" w:cs="宋体"/>
                <w:color w:val="auto"/>
                <w:szCs w:val="21"/>
              </w:rPr>
            </w:pPr>
            <w:r>
              <w:rPr>
                <w:rFonts w:hint="eastAsia" w:ascii="宋体" w:hAnsi="宋体" w:cs="宋体"/>
                <w:b w:val="0"/>
                <w:bCs w:val="0"/>
                <w:color w:val="auto"/>
                <w:kern w:val="0"/>
                <w:szCs w:val="21"/>
                <w:lang w:val="en-US" w:eastAsia="zh-CN" w:bidi="ar"/>
              </w:rPr>
              <w:t xml:space="preserve">14. </w:t>
            </w:r>
            <w:r>
              <w:rPr>
                <w:rFonts w:hint="eastAsia" w:ascii="宋体" w:hAnsi="宋体" w:cs="宋体"/>
                <w:b w:val="0"/>
                <w:bCs w:val="0"/>
                <w:color w:val="auto"/>
                <w:kern w:val="0"/>
                <w:szCs w:val="21"/>
                <w:lang w:bidi="ar"/>
              </w:rPr>
              <w:t>租赁周期3年</w:t>
            </w:r>
          </w:p>
        </w:tc>
      </w:tr>
      <w:tr w14:paraId="43B4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7" w:type="dxa"/>
            <w:vMerge w:val="restart"/>
            <w:vAlign w:val="center"/>
          </w:tcPr>
          <w:p w14:paraId="42799F20">
            <w:pPr>
              <w:keepNext w:val="0"/>
              <w:keepLines w:val="0"/>
              <w:pageBreakBefore w:val="0"/>
              <w:kinsoku/>
              <w:wordWrap/>
              <w:overflowPunct/>
              <w:topLinePunct w:val="0"/>
              <w:autoSpaceDE/>
              <w:autoSpaceDN/>
              <w:bidi w:val="0"/>
              <w:adjustRightInd/>
              <w:snapToGrid/>
              <w:ind w:firstLine="0" w:firstLineChars="0"/>
              <w:jc w:val="center"/>
              <w:textAlignment w:val="auto"/>
              <w:rPr>
                <w:rFonts w:ascii="宋体" w:hAnsi="宋体" w:cs="宋体"/>
                <w:color w:val="auto"/>
                <w:szCs w:val="21"/>
              </w:rPr>
            </w:pPr>
            <w:r>
              <w:rPr>
                <w:rFonts w:hint="eastAsia" w:ascii="宋体" w:hAnsi="宋体" w:cs="宋体"/>
                <w:color w:val="auto"/>
                <w:szCs w:val="21"/>
              </w:rPr>
              <w:t>2</w:t>
            </w:r>
          </w:p>
        </w:tc>
        <w:tc>
          <w:tcPr>
            <w:tcW w:w="965" w:type="dxa"/>
            <w:vMerge w:val="restart"/>
            <w:vAlign w:val="center"/>
          </w:tcPr>
          <w:p w14:paraId="3CA09192">
            <w:pPr>
              <w:keepNext w:val="0"/>
              <w:keepLines w:val="0"/>
              <w:pageBreakBefore w:val="0"/>
              <w:kinsoku/>
              <w:wordWrap/>
              <w:overflowPunct/>
              <w:topLinePunct w:val="0"/>
              <w:autoSpaceDE/>
              <w:autoSpaceDN/>
              <w:bidi w:val="0"/>
              <w:adjustRightInd/>
              <w:snapToGrid/>
              <w:ind w:firstLine="0" w:firstLineChars="0"/>
              <w:textAlignment w:val="auto"/>
              <w:rPr>
                <w:rFonts w:ascii="宋体" w:hAnsi="宋体"/>
                <w:color w:val="auto"/>
                <w:szCs w:val="21"/>
              </w:rPr>
            </w:pPr>
            <w:r>
              <w:rPr>
                <w:rFonts w:hint="eastAsia" w:ascii="宋体" w:hAnsi="宋体" w:cs="宋体"/>
                <w:color w:val="auto"/>
                <w:szCs w:val="21"/>
              </w:rPr>
              <w:t>线路服务</w:t>
            </w:r>
          </w:p>
        </w:tc>
        <w:tc>
          <w:tcPr>
            <w:tcW w:w="779" w:type="dxa"/>
            <w:vMerge w:val="restart"/>
            <w:vAlign w:val="center"/>
          </w:tcPr>
          <w:p w14:paraId="4A349651">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宋体" w:hAnsi="宋体" w:cs="宋体"/>
                <w:color w:val="auto"/>
                <w:szCs w:val="21"/>
                <w:lang w:val="en-US"/>
              </w:rPr>
            </w:pPr>
            <w:r>
              <w:rPr>
                <w:rFonts w:hint="eastAsia"/>
                <w:color w:val="auto"/>
                <w:szCs w:val="21"/>
                <w:lang w:val="en-US" w:eastAsia="zh-CN"/>
              </w:rPr>
              <w:t>租赁和商务服务业</w:t>
            </w:r>
          </w:p>
        </w:tc>
        <w:tc>
          <w:tcPr>
            <w:tcW w:w="898" w:type="dxa"/>
            <w:vAlign w:val="center"/>
          </w:tcPr>
          <w:p w14:paraId="7CA271B1">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val="en-US" w:eastAsia="zh-CN"/>
              </w:rPr>
              <w:t>45</w:t>
            </w:r>
            <w:r>
              <w:rPr>
                <w:rFonts w:hint="eastAsia" w:ascii="宋体" w:hAnsi="宋体" w:cs="宋体"/>
                <w:color w:val="auto"/>
                <w:szCs w:val="21"/>
              </w:rPr>
              <w:t>条</w:t>
            </w:r>
          </w:p>
        </w:tc>
        <w:tc>
          <w:tcPr>
            <w:tcW w:w="5538" w:type="dxa"/>
            <w:vAlign w:val="center"/>
          </w:tcPr>
          <w:p w14:paraId="7EC7914D">
            <w:pPr>
              <w:spacing w:line="360" w:lineRule="exact"/>
              <w:rPr>
                <w:rFonts w:ascii="宋体" w:hAnsi="宋体" w:cs="宋体"/>
                <w:color w:val="auto"/>
                <w:szCs w:val="21"/>
              </w:rPr>
            </w:pPr>
            <w:r>
              <w:rPr>
                <w:rFonts w:hint="eastAsia" w:ascii="宋体" w:hAnsi="宋体" w:cs="宋体"/>
                <w:color w:val="auto"/>
                <w:szCs w:val="21"/>
              </w:rPr>
              <w:t>1.速率：上、下行不低于100Mbps；</w:t>
            </w:r>
          </w:p>
          <w:p w14:paraId="6861F94F">
            <w:pPr>
              <w:spacing w:line="360" w:lineRule="exact"/>
              <w:rPr>
                <w:rFonts w:ascii="宋体" w:hAnsi="宋体" w:cs="宋体"/>
                <w:color w:val="auto"/>
                <w:szCs w:val="21"/>
              </w:rPr>
            </w:pPr>
            <w:r>
              <w:rPr>
                <w:rFonts w:hint="eastAsia" w:ascii="宋体" w:hAnsi="宋体" w:cs="宋体"/>
                <w:color w:val="auto"/>
                <w:szCs w:val="21"/>
              </w:rPr>
              <w:t>2.线路连接方式：IPRAN/PTN点对点光纤专线线路或更先进的专用专线；</w:t>
            </w:r>
          </w:p>
          <w:p w14:paraId="119BF5D2">
            <w:pPr>
              <w:spacing w:line="360" w:lineRule="exact"/>
              <w:rPr>
                <w:rFonts w:ascii="宋体" w:hAnsi="宋体" w:cs="宋体"/>
                <w:color w:val="auto"/>
                <w:szCs w:val="21"/>
              </w:rPr>
            </w:pPr>
            <w:r>
              <w:rPr>
                <w:rFonts w:hint="eastAsia" w:ascii="宋体" w:hAnsi="宋体" w:cs="宋体"/>
                <w:color w:val="auto"/>
                <w:szCs w:val="21"/>
              </w:rPr>
              <w:t>3.线路技术指标：</w:t>
            </w:r>
          </w:p>
          <w:p w14:paraId="586F9A65">
            <w:pPr>
              <w:spacing w:line="360" w:lineRule="exact"/>
              <w:rPr>
                <w:rFonts w:ascii="宋体" w:hAnsi="宋体" w:cs="宋体"/>
                <w:color w:val="auto"/>
                <w:szCs w:val="21"/>
              </w:rPr>
            </w:pPr>
            <w:r>
              <w:rPr>
                <w:rFonts w:hint="eastAsia" w:ascii="宋体" w:hAnsi="宋体" w:cs="宋体"/>
                <w:color w:val="auto"/>
                <w:szCs w:val="21"/>
              </w:rPr>
              <w:t>（1）线路可用率≥99.50%;</w:t>
            </w:r>
          </w:p>
          <w:p w14:paraId="68A197CA">
            <w:pPr>
              <w:spacing w:line="360" w:lineRule="exact"/>
              <w:rPr>
                <w:rFonts w:ascii="宋体" w:hAnsi="宋体" w:cs="宋体"/>
                <w:color w:val="auto"/>
                <w:szCs w:val="21"/>
              </w:rPr>
            </w:pPr>
            <w:r>
              <w:rPr>
                <w:rFonts w:hint="eastAsia" w:ascii="宋体" w:hAnsi="宋体" w:cs="宋体"/>
                <w:color w:val="auto"/>
                <w:szCs w:val="21"/>
              </w:rPr>
              <w:t>（2）系统端到端的时延上限400ms，</w:t>
            </w:r>
          </w:p>
          <w:p w14:paraId="6427A7F6">
            <w:pPr>
              <w:spacing w:line="360" w:lineRule="exact"/>
              <w:ind w:firstLine="420" w:firstLineChars="200"/>
              <w:rPr>
                <w:rFonts w:ascii="宋体" w:hAnsi="宋体" w:cs="宋体"/>
                <w:color w:val="auto"/>
                <w:szCs w:val="21"/>
              </w:rPr>
            </w:pPr>
            <w:r>
              <w:rPr>
                <w:rFonts w:hint="eastAsia" w:ascii="宋体" w:hAnsi="宋体" w:cs="宋体"/>
                <w:color w:val="auto"/>
                <w:szCs w:val="21"/>
              </w:rPr>
              <w:t>其中网络时延不超过50ms；</w:t>
            </w:r>
          </w:p>
          <w:p w14:paraId="1740769A">
            <w:pPr>
              <w:spacing w:line="360" w:lineRule="exact"/>
              <w:rPr>
                <w:rFonts w:ascii="宋体" w:hAnsi="宋体" w:cs="宋体"/>
                <w:color w:val="auto"/>
                <w:szCs w:val="21"/>
              </w:rPr>
            </w:pPr>
            <w:r>
              <w:rPr>
                <w:rFonts w:hint="eastAsia" w:ascii="宋体" w:hAnsi="宋体" w:cs="宋体"/>
                <w:color w:val="auto"/>
                <w:szCs w:val="21"/>
              </w:rPr>
              <w:t>（3）网络丢包率上限值为 1×10</w:t>
            </w:r>
            <w:r>
              <w:rPr>
                <w:rFonts w:hint="eastAsia" w:ascii="宋体" w:hAnsi="宋体" w:cs="宋体"/>
                <w:color w:val="auto"/>
                <w:szCs w:val="21"/>
                <w:vertAlign w:val="superscript"/>
              </w:rPr>
              <w:t>-3</w:t>
            </w:r>
            <w:r>
              <w:rPr>
                <w:rFonts w:hint="eastAsia" w:ascii="宋体" w:hAnsi="宋体" w:cs="宋体"/>
                <w:color w:val="auto"/>
                <w:szCs w:val="21"/>
              </w:rPr>
              <w:t>；</w:t>
            </w:r>
          </w:p>
          <w:p w14:paraId="20597023">
            <w:pPr>
              <w:spacing w:line="360" w:lineRule="exact"/>
              <w:rPr>
                <w:rFonts w:ascii="宋体" w:hAnsi="宋体" w:cs="宋体"/>
                <w:color w:val="auto"/>
                <w:szCs w:val="21"/>
              </w:rPr>
            </w:pPr>
            <w:r>
              <w:rPr>
                <w:rFonts w:hint="eastAsia" w:ascii="宋体" w:hAnsi="宋体" w:cs="宋体"/>
                <w:color w:val="auto"/>
                <w:szCs w:val="21"/>
              </w:rPr>
              <w:t>（4）包误差率上限值为 1×10</w:t>
            </w:r>
            <w:r>
              <w:rPr>
                <w:rFonts w:hint="eastAsia" w:ascii="宋体" w:hAnsi="宋体" w:cs="宋体"/>
                <w:color w:val="auto"/>
                <w:szCs w:val="21"/>
                <w:vertAlign w:val="superscript"/>
              </w:rPr>
              <w:t>-4</w:t>
            </w:r>
            <w:r>
              <w:rPr>
                <w:rFonts w:hint="eastAsia" w:ascii="宋体" w:hAnsi="宋体" w:cs="宋体"/>
                <w:color w:val="auto"/>
                <w:szCs w:val="21"/>
              </w:rPr>
              <w:t>；</w:t>
            </w:r>
          </w:p>
          <w:p w14:paraId="0B58B2C3">
            <w:pPr>
              <w:spacing w:line="360" w:lineRule="exact"/>
              <w:rPr>
                <w:rFonts w:hint="eastAsia" w:ascii="宋体" w:hAnsi="宋体" w:cs="宋体"/>
                <w:color w:val="auto"/>
                <w:szCs w:val="21"/>
              </w:rPr>
            </w:pPr>
            <w:r>
              <w:rPr>
                <w:rFonts w:hint="eastAsia" w:ascii="宋体" w:hAnsi="宋体" w:cs="宋体"/>
                <w:color w:val="auto"/>
                <w:szCs w:val="21"/>
              </w:rPr>
              <w:t>4.具备自愈保护功能接入段节点业务恢复时间小于50ms。</w:t>
            </w:r>
          </w:p>
          <w:p w14:paraId="02CB33A1">
            <w:pPr>
              <w:spacing w:line="360" w:lineRule="exact"/>
              <w:rPr>
                <w:rFonts w:hint="default" w:ascii="宋体" w:hAnsi="宋体" w:eastAsia="宋体" w:cs="宋体"/>
                <w:color w:val="auto"/>
                <w:szCs w:val="21"/>
                <w:lang w:val="en-US" w:eastAsia="zh-CN"/>
              </w:rPr>
            </w:pPr>
            <w:r>
              <w:rPr>
                <w:rFonts w:hint="eastAsia" w:ascii="宋体" w:hAnsi="宋体" w:cs="宋体"/>
                <w:color w:val="auto"/>
                <w:szCs w:val="21"/>
                <w:lang w:val="en-US" w:eastAsia="zh-CN"/>
              </w:rPr>
              <w:t>5.</w:t>
            </w:r>
            <w:r>
              <w:rPr>
                <w:rFonts w:hint="eastAsia" w:ascii="宋体" w:hAnsi="宋体" w:cs="宋体"/>
                <w:b w:val="0"/>
                <w:bCs w:val="0"/>
                <w:color w:val="auto"/>
                <w:kern w:val="0"/>
                <w:szCs w:val="21"/>
                <w:lang w:bidi="ar"/>
              </w:rPr>
              <w:t>租赁周期3年</w:t>
            </w:r>
          </w:p>
        </w:tc>
      </w:tr>
      <w:tr w14:paraId="21A5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7" w:type="dxa"/>
            <w:vMerge w:val="continue"/>
            <w:vAlign w:val="center"/>
          </w:tcPr>
          <w:p w14:paraId="1F28071D">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szCs w:val="21"/>
              </w:rPr>
            </w:pPr>
          </w:p>
        </w:tc>
        <w:tc>
          <w:tcPr>
            <w:tcW w:w="965" w:type="dxa"/>
            <w:vMerge w:val="continue"/>
            <w:vAlign w:val="center"/>
          </w:tcPr>
          <w:p w14:paraId="13D6D00A">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cs="宋体"/>
                <w:color w:val="auto"/>
                <w:szCs w:val="21"/>
              </w:rPr>
            </w:pPr>
          </w:p>
        </w:tc>
        <w:tc>
          <w:tcPr>
            <w:tcW w:w="779" w:type="dxa"/>
            <w:vMerge w:val="continue"/>
            <w:vAlign w:val="center"/>
          </w:tcPr>
          <w:p w14:paraId="7777A053">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宋体" w:hAnsi="宋体" w:eastAsia="宋体" w:cs="宋体"/>
                <w:color w:val="auto"/>
                <w:szCs w:val="21"/>
                <w:lang w:val="en-US" w:eastAsia="zh-CN"/>
              </w:rPr>
            </w:pPr>
          </w:p>
        </w:tc>
        <w:tc>
          <w:tcPr>
            <w:tcW w:w="898" w:type="dxa"/>
            <w:vAlign w:val="center"/>
          </w:tcPr>
          <w:p w14:paraId="32C47F1B">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szCs w:val="21"/>
                <w:lang w:eastAsia="zh-CN"/>
              </w:rPr>
            </w:pPr>
            <w:r>
              <w:rPr>
                <w:rFonts w:hint="eastAsia" w:ascii="宋体" w:hAnsi="宋体" w:cs="宋体"/>
                <w:color w:val="auto"/>
                <w:szCs w:val="21"/>
                <w:lang w:val="en-US" w:eastAsia="zh-CN"/>
              </w:rPr>
              <w:t>15</w:t>
            </w:r>
            <w:r>
              <w:rPr>
                <w:rFonts w:hint="eastAsia" w:ascii="宋体" w:hAnsi="宋体" w:cs="宋体"/>
                <w:color w:val="auto"/>
                <w:szCs w:val="21"/>
                <w:lang w:eastAsia="zh-CN"/>
              </w:rPr>
              <w:t>条</w:t>
            </w:r>
          </w:p>
        </w:tc>
        <w:tc>
          <w:tcPr>
            <w:tcW w:w="5538" w:type="dxa"/>
            <w:vAlign w:val="center"/>
          </w:tcPr>
          <w:p w14:paraId="32B8257D">
            <w:pPr>
              <w:spacing w:line="360" w:lineRule="exact"/>
              <w:rPr>
                <w:rFonts w:ascii="宋体" w:hAnsi="宋体" w:cs="宋体"/>
                <w:color w:val="auto"/>
                <w:szCs w:val="21"/>
              </w:rPr>
            </w:pPr>
            <w:r>
              <w:rPr>
                <w:rFonts w:hint="eastAsia" w:ascii="宋体" w:hAnsi="宋体" w:cs="宋体"/>
                <w:color w:val="auto"/>
                <w:szCs w:val="21"/>
              </w:rPr>
              <w:t>1.速率：上、下行不低于</w:t>
            </w:r>
            <w:r>
              <w:rPr>
                <w:rFonts w:hint="eastAsia" w:ascii="宋体" w:hAnsi="宋体" w:cs="宋体"/>
                <w:color w:val="auto"/>
                <w:szCs w:val="21"/>
                <w:lang w:val="en-US" w:eastAsia="zh-CN"/>
              </w:rPr>
              <w:t>500</w:t>
            </w:r>
            <w:r>
              <w:rPr>
                <w:rFonts w:hint="eastAsia" w:ascii="宋体" w:hAnsi="宋体" w:cs="宋体"/>
                <w:color w:val="auto"/>
                <w:szCs w:val="21"/>
              </w:rPr>
              <w:t>Mbps；</w:t>
            </w:r>
          </w:p>
          <w:p w14:paraId="70F679BD">
            <w:pPr>
              <w:spacing w:line="360" w:lineRule="exact"/>
              <w:rPr>
                <w:rFonts w:ascii="宋体" w:hAnsi="宋体" w:cs="宋体"/>
                <w:color w:val="auto"/>
                <w:szCs w:val="21"/>
              </w:rPr>
            </w:pPr>
            <w:r>
              <w:rPr>
                <w:rFonts w:hint="eastAsia" w:ascii="宋体" w:hAnsi="宋体" w:cs="宋体"/>
                <w:color w:val="auto"/>
                <w:szCs w:val="21"/>
              </w:rPr>
              <w:t>2.线路连接方式：IPRAN/PTN点对点光纤专线线路或更先进的专用专线；</w:t>
            </w:r>
          </w:p>
          <w:p w14:paraId="12D530A7">
            <w:pPr>
              <w:spacing w:line="360" w:lineRule="exact"/>
              <w:rPr>
                <w:rFonts w:ascii="宋体" w:hAnsi="宋体" w:cs="宋体"/>
                <w:color w:val="auto"/>
                <w:szCs w:val="21"/>
              </w:rPr>
            </w:pPr>
            <w:r>
              <w:rPr>
                <w:rFonts w:hint="eastAsia" w:ascii="宋体" w:hAnsi="宋体" w:cs="宋体"/>
                <w:color w:val="auto"/>
                <w:szCs w:val="21"/>
              </w:rPr>
              <w:t>3.线路技术指标：</w:t>
            </w:r>
          </w:p>
          <w:p w14:paraId="16724801">
            <w:pPr>
              <w:spacing w:line="360" w:lineRule="exact"/>
              <w:rPr>
                <w:rFonts w:ascii="宋体" w:hAnsi="宋体" w:cs="宋体"/>
                <w:color w:val="auto"/>
                <w:szCs w:val="21"/>
              </w:rPr>
            </w:pPr>
            <w:r>
              <w:rPr>
                <w:rFonts w:hint="eastAsia" w:ascii="宋体" w:hAnsi="宋体" w:cs="宋体"/>
                <w:color w:val="auto"/>
                <w:szCs w:val="21"/>
              </w:rPr>
              <w:t>（1）线路可用率≥99.50%;</w:t>
            </w:r>
          </w:p>
          <w:p w14:paraId="6EC0B634">
            <w:pPr>
              <w:spacing w:line="360" w:lineRule="exact"/>
              <w:rPr>
                <w:rFonts w:ascii="宋体" w:hAnsi="宋体" w:cs="宋体"/>
                <w:color w:val="auto"/>
                <w:szCs w:val="21"/>
              </w:rPr>
            </w:pPr>
            <w:r>
              <w:rPr>
                <w:rFonts w:hint="eastAsia" w:ascii="宋体" w:hAnsi="宋体" w:cs="宋体"/>
                <w:color w:val="auto"/>
                <w:szCs w:val="21"/>
              </w:rPr>
              <w:t>（2）系统端到端的时延上限400ms，</w:t>
            </w:r>
          </w:p>
          <w:p w14:paraId="66F70755">
            <w:pPr>
              <w:spacing w:line="360" w:lineRule="exact"/>
              <w:ind w:firstLine="420" w:firstLineChars="200"/>
              <w:rPr>
                <w:rFonts w:ascii="宋体" w:hAnsi="宋体" w:cs="宋体"/>
                <w:color w:val="auto"/>
                <w:szCs w:val="21"/>
              </w:rPr>
            </w:pPr>
            <w:r>
              <w:rPr>
                <w:rFonts w:hint="eastAsia" w:ascii="宋体" w:hAnsi="宋体" w:cs="宋体"/>
                <w:color w:val="auto"/>
                <w:szCs w:val="21"/>
              </w:rPr>
              <w:t>其中网络时延不超过50ms；</w:t>
            </w:r>
          </w:p>
          <w:p w14:paraId="574E5299">
            <w:pPr>
              <w:spacing w:line="360" w:lineRule="exact"/>
              <w:rPr>
                <w:rFonts w:ascii="宋体" w:hAnsi="宋体" w:cs="宋体"/>
                <w:color w:val="auto"/>
                <w:szCs w:val="21"/>
              </w:rPr>
            </w:pPr>
            <w:r>
              <w:rPr>
                <w:rFonts w:hint="eastAsia" w:ascii="宋体" w:hAnsi="宋体" w:cs="宋体"/>
                <w:color w:val="auto"/>
                <w:szCs w:val="21"/>
              </w:rPr>
              <w:t>（3）网络丢包率上限值为 1×10</w:t>
            </w:r>
            <w:r>
              <w:rPr>
                <w:rFonts w:hint="eastAsia" w:ascii="宋体" w:hAnsi="宋体" w:cs="宋体"/>
                <w:color w:val="auto"/>
                <w:szCs w:val="21"/>
                <w:vertAlign w:val="superscript"/>
              </w:rPr>
              <w:t>-3</w:t>
            </w:r>
            <w:r>
              <w:rPr>
                <w:rFonts w:hint="eastAsia" w:ascii="宋体" w:hAnsi="宋体" w:cs="宋体"/>
                <w:color w:val="auto"/>
                <w:szCs w:val="21"/>
              </w:rPr>
              <w:t>；</w:t>
            </w:r>
          </w:p>
          <w:p w14:paraId="334861B1">
            <w:pPr>
              <w:spacing w:line="360" w:lineRule="exact"/>
              <w:rPr>
                <w:rFonts w:ascii="宋体" w:hAnsi="宋体" w:cs="宋体"/>
                <w:color w:val="auto"/>
                <w:szCs w:val="21"/>
              </w:rPr>
            </w:pPr>
            <w:r>
              <w:rPr>
                <w:rFonts w:hint="eastAsia" w:ascii="宋体" w:hAnsi="宋体" w:cs="宋体"/>
                <w:color w:val="auto"/>
                <w:szCs w:val="21"/>
              </w:rPr>
              <w:t>（4）包误差率上限值为 1×10</w:t>
            </w:r>
            <w:r>
              <w:rPr>
                <w:rFonts w:hint="eastAsia" w:ascii="宋体" w:hAnsi="宋体" w:cs="宋体"/>
                <w:color w:val="auto"/>
                <w:szCs w:val="21"/>
                <w:vertAlign w:val="superscript"/>
              </w:rPr>
              <w:t>-4</w:t>
            </w:r>
            <w:r>
              <w:rPr>
                <w:rFonts w:hint="eastAsia" w:ascii="宋体" w:hAnsi="宋体" w:cs="宋体"/>
                <w:color w:val="auto"/>
                <w:szCs w:val="21"/>
              </w:rPr>
              <w:t>；</w:t>
            </w:r>
          </w:p>
          <w:p w14:paraId="09DA27CC">
            <w:pPr>
              <w:spacing w:line="360" w:lineRule="exact"/>
              <w:rPr>
                <w:rFonts w:hint="eastAsia" w:ascii="宋体" w:hAnsi="宋体" w:cs="宋体"/>
                <w:color w:val="auto"/>
                <w:szCs w:val="21"/>
              </w:rPr>
            </w:pPr>
            <w:r>
              <w:rPr>
                <w:rFonts w:hint="eastAsia" w:ascii="宋体" w:hAnsi="宋体" w:cs="宋体"/>
                <w:color w:val="auto"/>
                <w:szCs w:val="21"/>
              </w:rPr>
              <w:t>4.具备自愈保护功能接入段节点业务恢复时间小于50ms。</w:t>
            </w:r>
          </w:p>
          <w:p w14:paraId="0E90EE99">
            <w:pPr>
              <w:spacing w:line="360" w:lineRule="exact"/>
              <w:rPr>
                <w:rFonts w:hint="default" w:ascii="宋体" w:hAnsi="宋体" w:eastAsia="宋体" w:cs="宋体"/>
                <w:color w:val="auto"/>
                <w:szCs w:val="21"/>
                <w:lang w:val="en-US" w:eastAsia="zh-CN"/>
              </w:rPr>
            </w:pPr>
            <w:r>
              <w:rPr>
                <w:rFonts w:hint="eastAsia" w:ascii="宋体" w:hAnsi="宋体" w:cs="宋体"/>
                <w:color w:val="auto"/>
                <w:szCs w:val="21"/>
                <w:lang w:val="en-US" w:eastAsia="zh-CN"/>
              </w:rPr>
              <w:t>5.</w:t>
            </w:r>
            <w:r>
              <w:rPr>
                <w:rFonts w:hint="eastAsia" w:ascii="宋体" w:hAnsi="宋体" w:cs="宋体"/>
                <w:b w:val="0"/>
                <w:bCs w:val="0"/>
                <w:color w:val="auto"/>
                <w:kern w:val="0"/>
                <w:szCs w:val="21"/>
                <w:lang w:bidi="ar"/>
              </w:rPr>
              <w:t>租赁周期3年</w:t>
            </w:r>
          </w:p>
        </w:tc>
      </w:tr>
      <w:tr w14:paraId="5584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7" w:type="dxa"/>
            <w:vAlign w:val="center"/>
          </w:tcPr>
          <w:p w14:paraId="4E2677D7">
            <w:pPr>
              <w:keepNext w:val="0"/>
              <w:keepLines w:val="0"/>
              <w:pageBreakBefore w:val="0"/>
              <w:kinsoku/>
              <w:wordWrap/>
              <w:overflowPunct/>
              <w:topLinePunct w:val="0"/>
              <w:autoSpaceDE/>
              <w:autoSpaceDN/>
              <w:bidi w:val="0"/>
              <w:adjustRightInd/>
              <w:snapToGrid/>
              <w:ind w:firstLine="0" w:firstLineChars="0"/>
              <w:jc w:val="center"/>
              <w:textAlignment w:val="auto"/>
              <w:rPr>
                <w:rFonts w:ascii="宋体" w:hAnsi="宋体" w:cs="宋体"/>
                <w:color w:val="auto"/>
                <w:szCs w:val="21"/>
              </w:rPr>
            </w:pPr>
            <w:r>
              <w:rPr>
                <w:rFonts w:hint="eastAsia" w:ascii="宋体" w:hAnsi="宋体" w:cs="宋体"/>
                <w:color w:val="auto"/>
                <w:szCs w:val="21"/>
              </w:rPr>
              <w:t>3</w:t>
            </w:r>
          </w:p>
        </w:tc>
        <w:tc>
          <w:tcPr>
            <w:tcW w:w="965" w:type="dxa"/>
            <w:vAlign w:val="center"/>
          </w:tcPr>
          <w:p w14:paraId="286E83F5">
            <w:pPr>
              <w:keepNext w:val="0"/>
              <w:keepLines w:val="0"/>
              <w:pageBreakBefore w:val="0"/>
              <w:kinsoku/>
              <w:wordWrap/>
              <w:overflowPunct/>
              <w:topLinePunct w:val="0"/>
              <w:autoSpaceDE/>
              <w:autoSpaceDN/>
              <w:bidi w:val="0"/>
              <w:adjustRightInd/>
              <w:snapToGrid/>
              <w:ind w:firstLine="0" w:firstLineChars="0"/>
              <w:textAlignment w:val="auto"/>
              <w:rPr>
                <w:rFonts w:ascii="宋体" w:hAnsi="宋体"/>
                <w:color w:val="auto"/>
                <w:szCs w:val="21"/>
              </w:rPr>
            </w:pPr>
            <w:r>
              <w:rPr>
                <w:rFonts w:hint="eastAsia" w:ascii="宋体" w:hAnsi="宋体" w:cs="宋体"/>
                <w:color w:val="auto"/>
                <w:szCs w:val="21"/>
              </w:rPr>
              <w:t>互联网出口线路服务</w:t>
            </w:r>
          </w:p>
        </w:tc>
        <w:tc>
          <w:tcPr>
            <w:tcW w:w="779" w:type="dxa"/>
            <w:vAlign w:val="center"/>
          </w:tcPr>
          <w:p w14:paraId="2443C27D">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宋体" w:hAnsi="宋体" w:cs="宋体"/>
                <w:color w:val="auto"/>
                <w:szCs w:val="21"/>
              </w:rPr>
            </w:pPr>
            <w:r>
              <w:rPr>
                <w:rFonts w:hint="eastAsia"/>
                <w:color w:val="auto"/>
                <w:szCs w:val="21"/>
                <w:lang w:val="en-US" w:eastAsia="zh-CN"/>
              </w:rPr>
              <w:t>租赁和商务服务业</w:t>
            </w:r>
          </w:p>
        </w:tc>
        <w:tc>
          <w:tcPr>
            <w:tcW w:w="898" w:type="dxa"/>
            <w:vAlign w:val="center"/>
          </w:tcPr>
          <w:p w14:paraId="3A6FDCDD">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宋体" w:hAnsi="宋体" w:cs="宋体"/>
                <w:color w:val="auto"/>
                <w:szCs w:val="21"/>
              </w:rPr>
            </w:pPr>
            <w:r>
              <w:rPr>
                <w:rFonts w:hint="eastAsia" w:ascii="宋体" w:hAnsi="宋体" w:cs="宋体"/>
                <w:color w:val="auto"/>
                <w:szCs w:val="21"/>
              </w:rPr>
              <w:t>1条</w:t>
            </w:r>
          </w:p>
        </w:tc>
        <w:tc>
          <w:tcPr>
            <w:tcW w:w="5538" w:type="dxa"/>
            <w:vAlign w:val="center"/>
          </w:tcPr>
          <w:p w14:paraId="5F0CB153">
            <w:pPr>
              <w:numPr>
                <w:ilvl w:val="0"/>
                <w:numId w:val="1"/>
              </w:numPr>
              <w:spacing w:line="360" w:lineRule="exact"/>
              <w:ind w:left="0" w:leftChars="0" w:firstLine="0" w:firstLineChars="0"/>
              <w:rPr>
                <w:rFonts w:hint="eastAsia" w:ascii="宋体" w:hAnsi="宋体" w:cs="宋体"/>
                <w:color w:val="auto"/>
                <w:kern w:val="0"/>
                <w:szCs w:val="21"/>
                <w:lang w:bidi="ar"/>
              </w:rPr>
            </w:pPr>
            <w:r>
              <w:rPr>
                <w:rFonts w:hint="eastAsia" w:ascii="宋体" w:hAnsi="宋体" w:cs="宋体"/>
                <w:color w:val="auto"/>
                <w:kern w:val="0"/>
                <w:szCs w:val="21"/>
                <w:lang w:bidi="ar"/>
              </w:rPr>
              <w:t>提供</w:t>
            </w:r>
            <w:r>
              <w:rPr>
                <w:rFonts w:ascii="宋体" w:hAnsi="宋体" w:cs="Arial"/>
                <w:color w:val="auto"/>
                <w:kern w:val="0"/>
                <w:szCs w:val="21"/>
                <w:lang w:bidi="ar"/>
              </w:rPr>
              <w:t>≥</w:t>
            </w:r>
            <w:r>
              <w:rPr>
                <w:rFonts w:hint="eastAsia" w:ascii="宋体" w:hAnsi="宋体" w:cs="宋体"/>
                <w:color w:val="auto"/>
                <w:kern w:val="0"/>
                <w:szCs w:val="21"/>
                <w:lang w:bidi="ar"/>
              </w:rPr>
              <w:t>4G互联网出口带宽速率上、下行不低于4Gbps;</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2.线路技术指标:</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(1)线路可用率</w:t>
            </w:r>
            <w:r>
              <w:rPr>
                <w:rFonts w:ascii="宋体" w:hAnsi="宋体" w:cs="Arial"/>
                <w:color w:val="auto"/>
                <w:kern w:val="0"/>
                <w:szCs w:val="21"/>
                <w:lang w:bidi="ar"/>
              </w:rPr>
              <w:t>≥</w:t>
            </w:r>
            <w:r>
              <w:rPr>
                <w:rFonts w:hint="eastAsia" w:ascii="宋体" w:hAnsi="宋体" w:cs="宋体"/>
                <w:color w:val="auto"/>
                <w:kern w:val="0"/>
                <w:szCs w:val="21"/>
                <w:lang w:bidi="ar"/>
              </w:rPr>
              <w:t>99.50%;</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(2)系统端到端的时延上限400ms,</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其中网络时延不超过50ms;</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(3)网络丢包率上限值为1x</w:t>
            </w:r>
            <w:r>
              <w:rPr>
                <w:rFonts w:hint="eastAsia" w:ascii="宋体" w:hAnsi="宋体"/>
                <w:color w:val="auto"/>
                <w:szCs w:val="21"/>
              </w:rPr>
              <w:t>10</w:t>
            </w:r>
            <w:r>
              <w:rPr>
                <w:rFonts w:hint="eastAsia" w:ascii="宋体" w:hAnsi="宋体"/>
                <w:color w:val="auto"/>
                <w:szCs w:val="21"/>
                <w:vertAlign w:val="superscript"/>
              </w:rPr>
              <w:t>-3</w:t>
            </w:r>
            <w:r>
              <w:rPr>
                <w:rFonts w:hint="eastAsia" w:ascii="宋体" w:hAnsi="宋体" w:cs="宋体"/>
                <w:color w:val="auto"/>
                <w:kern w:val="0"/>
                <w:szCs w:val="21"/>
                <w:lang w:bidi="ar"/>
              </w:rPr>
              <w:t>;</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(4)包误差率上限值为1x</w:t>
            </w:r>
            <w:r>
              <w:rPr>
                <w:rFonts w:hint="eastAsia" w:ascii="宋体" w:hAnsi="宋体"/>
                <w:color w:val="auto"/>
                <w:szCs w:val="21"/>
              </w:rPr>
              <w:t>10</w:t>
            </w:r>
            <w:r>
              <w:rPr>
                <w:rFonts w:hint="eastAsia" w:ascii="宋体" w:hAnsi="宋体"/>
                <w:color w:val="auto"/>
                <w:szCs w:val="21"/>
                <w:vertAlign w:val="superscript"/>
              </w:rPr>
              <w:t>-4</w:t>
            </w:r>
            <w:r>
              <w:rPr>
                <w:rFonts w:hint="eastAsia" w:ascii="宋体" w:hAnsi="宋体" w:cs="宋体"/>
                <w:color w:val="auto"/>
                <w:kern w:val="0"/>
                <w:szCs w:val="21"/>
                <w:lang w:bidi="ar"/>
              </w:rPr>
              <w:t>;</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3.采用双环路接入设计，具备自愈保护功能接入段节点业务恢复时间小于50ms.</w:t>
            </w:r>
          </w:p>
          <w:p w14:paraId="650852A1">
            <w:pPr>
              <w:numPr>
                <w:ilvl w:val="0"/>
                <w:numId w:val="0"/>
              </w:numPr>
              <w:spacing w:line="360" w:lineRule="exact"/>
              <w:ind w:leftChars="0"/>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4.</w:t>
            </w:r>
            <w:r>
              <w:rPr>
                <w:rFonts w:hint="eastAsia" w:ascii="宋体" w:hAnsi="宋体" w:cs="宋体"/>
                <w:b w:val="0"/>
                <w:bCs w:val="0"/>
                <w:color w:val="auto"/>
                <w:kern w:val="0"/>
                <w:szCs w:val="21"/>
                <w:lang w:bidi="ar"/>
              </w:rPr>
              <w:t>租赁周期3年</w:t>
            </w:r>
          </w:p>
        </w:tc>
      </w:tr>
      <w:tr w14:paraId="4003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907" w:type="dxa"/>
            <w:gridSpan w:val="5"/>
            <w:vAlign w:val="center"/>
          </w:tcPr>
          <w:p w14:paraId="19A201AC">
            <w:pPr>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cs="宋体"/>
                <w:color w:val="auto"/>
                <w:kern w:val="0"/>
                <w:szCs w:val="21"/>
                <w:lang w:bidi="ar"/>
              </w:rPr>
            </w:pPr>
            <w:r>
              <w:rPr>
                <w:rFonts w:hint="eastAsia" w:ascii="宋体" w:hAnsi="宋体" w:cs="宋体"/>
                <w:b/>
                <w:color w:val="auto"/>
                <w:szCs w:val="21"/>
              </w:rPr>
              <w:t>二、电子政务机房整改建设部分</w:t>
            </w:r>
          </w:p>
        </w:tc>
      </w:tr>
      <w:tr w14:paraId="5CD5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907" w:type="dxa"/>
            <w:gridSpan w:val="5"/>
            <w:vAlign w:val="center"/>
          </w:tcPr>
          <w:p w14:paraId="69DBFBED">
            <w:pPr>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cs="宋体"/>
                <w:color w:val="auto"/>
                <w:kern w:val="0"/>
                <w:szCs w:val="21"/>
                <w:lang w:bidi="ar"/>
              </w:rPr>
            </w:pPr>
            <w:r>
              <w:rPr>
                <w:rFonts w:hint="eastAsia" w:ascii="宋体" w:hAnsi="宋体" w:cs="宋体"/>
                <w:b/>
                <w:color w:val="auto"/>
                <w:szCs w:val="21"/>
              </w:rPr>
              <w:t>（二）机房网络整改部分</w:t>
            </w:r>
          </w:p>
        </w:tc>
      </w:tr>
      <w:tr w14:paraId="5F5B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7" w:type="dxa"/>
            <w:vAlign w:val="center"/>
          </w:tcPr>
          <w:p w14:paraId="338D1BEE">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bCs w:val="0"/>
                <w:color w:val="auto"/>
                <w:szCs w:val="21"/>
                <w:lang w:val="en-US" w:eastAsia="zh-CN"/>
              </w:rPr>
            </w:pPr>
            <w:r>
              <w:rPr>
                <w:rFonts w:hint="eastAsia" w:ascii="宋体" w:hAnsi="宋体" w:cs="宋体"/>
                <w:b w:val="0"/>
                <w:bCs w:val="0"/>
                <w:color w:val="auto"/>
                <w:szCs w:val="21"/>
                <w:lang w:val="en-US" w:eastAsia="zh-CN"/>
              </w:rPr>
              <w:t>4</w:t>
            </w:r>
          </w:p>
        </w:tc>
        <w:tc>
          <w:tcPr>
            <w:tcW w:w="965" w:type="dxa"/>
            <w:vAlign w:val="center"/>
          </w:tcPr>
          <w:p w14:paraId="732861AE">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cs="宋体"/>
                <w:b w:val="0"/>
                <w:bCs w:val="0"/>
                <w:color w:val="auto"/>
                <w:szCs w:val="21"/>
              </w:rPr>
            </w:pPr>
            <w:r>
              <w:rPr>
                <w:rFonts w:hint="eastAsia" w:ascii="宋体" w:hAnsi="宋体" w:cs="宋体"/>
                <w:b w:val="0"/>
                <w:bCs w:val="0"/>
                <w:color w:val="auto"/>
                <w:szCs w:val="21"/>
              </w:rPr>
              <w:t>机房网络配套设施租赁服务</w:t>
            </w:r>
          </w:p>
        </w:tc>
        <w:tc>
          <w:tcPr>
            <w:tcW w:w="779" w:type="dxa"/>
            <w:vAlign w:val="center"/>
          </w:tcPr>
          <w:p w14:paraId="5D26D8BA">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b w:val="0"/>
                <w:bCs w:val="0"/>
                <w:color w:val="auto"/>
                <w:szCs w:val="21"/>
                <w:lang w:val="en-US" w:eastAsia="zh-CN"/>
              </w:rPr>
            </w:pPr>
            <w:r>
              <w:rPr>
                <w:rFonts w:hint="eastAsia"/>
                <w:b w:val="0"/>
                <w:bCs w:val="0"/>
                <w:color w:val="auto"/>
                <w:szCs w:val="21"/>
                <w:lang w:val="en-US" w:eastAsia="zh-CN"/>
              </w:rPr>
              <w:t>租赁和商务服务业</w:t>
            </w:r>
          </w:p>
        </w:tc>
        <w:tc>
          <w:tcPr>
            <w:tcW w:w="898" w:type="dxa"/>
            <w:vAlign w:val="center"/>
          </w:tcPr>
          <w:p w14:paraId="51D7DB6F">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cs="宋体"/>
                <w:b w:val="0"/>
                <w:bCs w:val="0"/>
                <w:color w:val="auto"/>
                <w:szCs w:val="21"/>
              </w:rPr>
            </w:pPr>
            <w:r>
              <w:rPr>
                <w:rFonts w:hint="eastAsia" w:ascii="宋体" w:hAnsi="宋体" w:cs="宋体"/>
                <w:b w:val="0"/>
                <w:bCs w:val="0"/>
                <w:color w:val="auto"/>
                <w:szCs w:val="21"/>
              </w:rPr>
              <w:t>1项</w:t>
            </w:r>
          </w:p>
        </w:tc>
        <w:tc>
          <w:tcPr>
            <w:tcW w:w="5538" w:type="dxa"/>
            <w:vAlign w:val="center"/>
          </w:tcPr>
          <w:p w14:paraId="572C8B81">
            <w:pPr>
              <w:keepNext w:val="0"/>
              <w:keepLines w:val="0"/>
              <w:pageBreakBefore w:val="0"/>
              <w:kinsoku/>
              <w:wordWrap/>
              <w:overflowPunct/>
              <w:topLinePunct w:val="0"/>
              <w:autoSpaceDE/>
              <w:autoSpaceDN/>
              <w:bidi w:val="0"/>
              <w:adjustRightInd/>
              <w:snapToGrid/>
              <w:ind w:firstLine="0" w:firstLineChars="0"/>
              <w:textAlignment w:val="auto"/>
              <w:rPr>
                <w:rFonts w:ascii="宋体" w:hAnsi="宋体" w:cs="宋体"/>
                <w:b w:val="0"/>
                <w:bCs w:val="0"/>
                <w:color w:val="auto"/>
                <w:szCs w:val="21"/>
              </w:rPr>
            </w:pPr>
            <w:r>
              <w:rPr>
                <w:rFonts w:hint="eastAsia" w:ascii="宋体" w:hAnsi="宋体" w:cs="宋体"/>
                <w:b w:val="0"/>
                <w:bCs w:val="0"/>
                <w:color w:val="auto"/>
                <w:szCs w:val="21"/>
              </w:rPr>
              <w:t>1.租赁周期</w:t>
            </w:r>
            <w:r>
              <w:rPr>
                <w:rFonts w:ascii="宋体" w:hAnsi="宋体" w:cs="宋体"/>
                <w:b w:val="0"/>
                <w:bCs w:val="0"/>
                <w:color w:val="auto"/>
                <w:szCs w:val="21"/>
              </w:rPr>
              <w:t>：自合同生效之日起三年。</w:t>
            </w:r>
          </w:p>
          <w:p w14:paraId="2218DF24">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cs="宋体"/>
                <w:b w:val="0"/>
                <w:bCs w:val="0"/>
                <w:color w:val="auto"/>
                <w:szCs w:val="21"/>
              </w:rPr>
            </w:pPr>
            <w:r>
              <w:rPr>
                <w:rFonts w:hint="eastAsia" w:ascii="宋体" w:hAnsi="宋体" w:cs="宋体"/>
                <w:b w:val="0"/>
                <w:bCs w:val="0"/>
                <w:color w:val="auto"/>
                <w:szCs w:val="21"/>
              </w:rPr>
              <w:t>2.</w:t>
            </w:r>
            <w:r>
              <w:rPr>
                <w:rFonts w:ascii="宋体" w:hAnsi="宋体" w:cs="宋体"/>
                <w:b w:val="0"/>
                <w:bCs w:val="0"/>
                <w:color w:val="auto"/>
                <w:szCs w:val="21"/>
              </w:rPr>
              <w:t>租赁设备清单</w:t>
            </w:r>
            <w:r>
              <w:rPr>
                <w:rFonts w:hint="eastAsia" w:ascii="宋体" w:hAnsi="宋体" w:cs="宋体"/>
                <w:b w:val="0"/>
                <w:bCs w:val="0"/>
                <w:color w:val="auto"/>
                <w:szCs w:val="21"/>
              </w:rPr>
              <w:t>详见以下《机房网络配套设施租赁服务租赁设备清单及设备技术要求一览表》</w:t>
            </w:r>
          </w:p>
        </w:tc>
      </w:tr>
      <w:tr w14:paraId="31DA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907" w:type="dxa"/>
            <w:gridSpan w:val="5"/>
            <w:vAlign w:val="center"/>
          </w:tcPr>
          <w:p w14:paraId="361615F2">
            <w:pPr>
              <w:keepNext w:val="0"/>
              <w:keepLines w:val="0"/>
              <w:pageBreakBefore w:val="0"/>
              <w:kinsoku/>
              <w:wordWrap/>
              <w:overflowPunct/>
              <w:topLinePunct w:val="0"/>
              <w:autoSpaceDE/>
              <w:autoSpaceDN/>
              <w:bidi w:val="0"/>
              <w:adjustRightInd/>
              <w:snapToGrid/>
              <w:ind w:firstLine="1260" w:firstLineChars="600"/>
              <w:textAlignment w:val="auto"/>
              <w:rPr>
                <w:rFonts w:hint="eastAsia" w:ascii="宋体" w:hAnsi="宋体" w:cs="宋体"/>
                <w:b w:val="0"/>
                <w:bCs w:val="0"/>
                <w:color w:val="auto"/>
                <w:szCs w:val="21"/>
              </w:rPr>
            </w:pPr>
            <w:r>
              <w:rPr>
                <w:rFonts w:hint="eastAsia" w:ascii="宋体" w:hAnsi="宋体" w:cs="宋体"/>
                <w:b w:val="0"/>
                <w:bCs w:val="0"/>
                <w:color w:val="auto"/>
                <w:szCs w:val="21"/>
              </w:rPr>
              <w:t>机房网络配套设施租赁服务租赁设备清单及设备技术要求一览表</w:t>
            </w:r>
          </w:p>
        </w:tc>
      </w:tr>
      <w:tr w14:paraId="49C4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7" w:type="dxa"/>
            <w:vAlign w:val="center"/>
          </w:tcPr>
          <w:p w14:paraId="3BE342D4">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宋体" w:hAnsi="宋体" w:cs="宋体"/>
                <w:b w:val="0"/>
                <w:bCs w:val="0"/>
                <w:color w:val="auto"/>
                <w:szCs w:val="21"/>
                <w:lang w:val="en-US" w:eastAsia="zh-CN"/>
              </w:rPr>
            </w:pPr>
            <w:r>
              <w:rPr>
                <w:rFonts w:hint="eastAsia" w:ascii="宋体" w:hAnsi="宋体" w:cs="宋体"/>
                <w:b w:val="0"/>
                <w:bCs w:val="0"/>
                <w:color w:val="auto"/>
                <w:szCs w:val="21"/>
                <w:lang w:val="en-US" w:eastAsia="zh-CN"/>
              </w:rPr>
              <w:t>序号</w:t>
            </w:r>
          </w:p>
        </w:tc>
        <w:tc>
          <w:tcPr>
            <w:tcW w:w="1744" w:type="dxa"/>
            <w:gridSpan w:val="2"/>
            <w:vAlign w:val="center"/>
          </w:tcPr>
          <w:p w14:paraId="2A3BCD95">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b w:val="0"/>
                <w:bCs w:val="0"/>
                <w:color w:val="auto"/>
                <w:szCs w:val="21"/>
                <w:lang w:val="en-US" w:eastAsia="zh-CN"/>
              </w:rPr>
            </w:pPr>
            <w:r>
              <w:rPr>
                <w:rFonts w:hint="eastAsia" w:ascii="宋体" w:hAnsi="宋体" w:cs="宋体"/>
                <w:b w:val="0"/>
                <w:bCs w:val="0"/>
                <w:color w:val="auto"/>
                <w:szCs w:val="21"/>
                <w:lang w:val="en-US" w:eastAsia="zh-CN"/>
              </w:rPr>
              <w:t>设备名称</w:t>
            </w:r>
          </w:p>
        </w:tc>
        <w:tc>
          <w:tcPr>
            <w:tcW w:w="898" w:type="dxa"/>
            <w:vAlign w:val="center"/>
          </w:tcPr>
          <w:p w14:paraId="653C1F59">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宋体" w:hAnsi="宋体" w:eastAsia="宋体" w:cs="宋体"/>
                <w:b w:val="0"/>
                <w:bCs w:val="0"/>
                <w:color w:val="auto"/>
                <w:szCs w:val="21"/>
                <w:lang w:val="en-US" w:eastAsia="zh-CN"/>
              </w:rPr>
            </w:pPr>
            <w:r>
              <w:rPr>
                <w:rFonts w:hint="eastAsia" w:ascii="宋体" w:hAnsi="宋体" w:cs="宋体"/>
                <w:b w:val="0"/>
                <w:bCs w:val="0"/>
                <w:color w:val="auto"/>
                <w:szCs w:val="21"/>
                <w:lang w:val="en-US" w:eastAsia="zh-CN"/>
              </w:rPr>
              <w:t>数量及单位</w:t>
            </w:r>
          </w:p>
        </w:tc>
        <w:tc>
          <w:tcPr>
            <w:tcW w:w="5538" w:type="dxa"/>
            <w:vAlign w:val="center"/>
          </w:tcPr>
          <w:p w14:paraId="4E0DADCC">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宋体" w:hAnsi="宋体" w:eastAsia="宋体" w:cs="宋体"/>
                <w:b w:val="0"/>
                <w:bCs w:val="0"/>
                <w:color w:val="auto"/>
                <w:szCs w:val="21"/>
                <w:lang w:val="en-US" w:eastAsia="zh-CN"/>
              </w:rPr>
            </w:pPr>
            <w:r>
              <w:rPr>
                <w:rFonts w:hint="eastAsia" w:ascii="宋体" w:hAnsi="宋体" w:cs="宋体"/>
                <w:b w:val="0"/>
                <w:bCs w:val="0"/>
                <w:color w:val="auto"/>
                <w:szCs w:val="21"/>
                <w:lang w:val="en-US" w:eastAsia="zh-CN"/>
              </w:rPr>
              <w:t>技术要求</w:t>
            </w:r>
          </w:p>
        </w:tc>
      </w:tr>
      <w:tr w14:paraId="21E6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7" w:type="dxa"/>
            <w:vAlign w:val="center"/>
          </w:tcPr>
          <w:p w14:paraId="1615E999">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1</w:t>
            </w:r>
            <w:r>
              <w:rPr>
                <w:rFonts w:hint="eastAsia" w:ascii="宋体" w:hAnsi="宋体" w:cs="宋体"/>
                <w:color w:val="auto"/>
                <w:szCs w:val="21"/>
                <w:lang w:eastAsia="zh-CN"/>
              </w:rPr>
              <w:t>）</w:t>
            </w:r>
          </w:p>
        </w:tc>
        <w:tc>
          <w:tcPr>
            <w:tcW w:w="1744" w:type="dxa"/>
            <w:gridSpan w:val="2"/>
            <w:vAlign w:val="center"/>
          </w:tcPr>
          <w:p w14:paraId="6FBAC632">
            <w:pPr>
              <w:keepNext w:val="0"/>
              <w:keepLines w:val="0"/>
              <w:pageBreakBefore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szCs w:val="21"/>
                <w:lang w:val="en-US" w:eastAsia="zh-CN"/>
              </w:rPr>
            </w:pPr>
            <w:r>
              <w:rPr>
                <w:rFonts w:hint="eastAsia" w:ascii="宋体" w:hAnsi="宋体" w:cs="宋体"/>
                <w:color w:val="auto"/>
                <w:szCs w:val="21"/>
              </w:rPr>
              <w:t>核心路由器</w:t>
            </w:r>
          </w:p>
        </w:tc>
        <w:tc>
          <w:tcPr>
            <w:tcW w:w="898" w:type="dxa"/>
            <w:vAlign w:val="center"/>
          </w:tcPr>
          <w:p w14:paraId="5DCEF416">
            <w:pPr>
              <w:pStyle w:val="29"/>
              <w:keepNext w:val="0"/>
              <w:keepLines w:val="0"/>
              <w:pageBreakBefore w:val="0"/>
              <w:kinsoku/>
              <w:wordWrap/>
              <w:overflowPunct/>
              <w:topLinePunct w:val="0"/>
              <w:autoSpaceDE/>
              <w:autoSpaceDN/>
              <w:bidi w:val="0"/>
              <w:adjustRightInd/>
              <w:snapToGrid/>
              <w:spacing w:line="300" w:lineRule="exact"/>
              <w:ind w:firstLine="0" w:firstLineChars="0"/>
              <w:textAlignment w:val="auto"/>
              <w:outlineLvl w:val="0"/>
              <w:rPr>
                <w:rFonts w:hAnsi="宋体" w:cs="宋体"/>
                <w:color w:val="auto"/>
              </w:rPr>
            </w:pPr>
            <w:r>
              <w:rPr>
                <w:rFonts w:ascii="宋体" w:hAnsi="宋体" w:cs="宋体"/>
                <w:color w:val="auto"/>
                <w:szCs w:val="21"/>
              </w:rPr>
              <w:t>2</w:t>
            </w:r>
            <w:r>
              <w:rPr>
                <w:rFonts w:hint="eastAsia" w:hAnsi="宋体" w:cs="宋体"/>
                <w:color w:val="auto"/>
              </w:rPr>
              <w:t>台</w:t>
            </w:r>
          </w:p>
        </w:tc>
        <w:tc>
          <w:tcPr>
            <w:tcW w:w="5538" w:type="dxa"/>
            <w:vAlign w:val="center"/>
          </w:tcPr>
          <w:p w14:paraId="0D48F8A3">
            <w:pPr>
              <w:spacing w:line="360" w:lineRule="exact"/>
              <w:rPr>
                <w:rFonts w:ascii="宋体" w:hAnsi="宋体" w:cs="宋体"/>
                <w:color w:val="auto"/>
                <w:szCs w:val="21"/>
              </w:rPr>
            </w:pPr>
            <w:r>
              <w:rPr>
                <w:rFonts w:hint="eastAsia" w:ascii="宋体" w:hAnsi="宋体" w:cs="宋体"/>
                <w:color w:val="auto"/>
                <w:szCs w:val="21"/>
              </w:rPr>
              <w:t>1.</w:t>
            </w:r>
            <w:r>
              <w:rPr>
                <w:rFonts w:hint="eastAsia" w:ascii="宋体" w:hAnsi="宋体" w:eastAsia="宋体" w:cs="宋体"/>
                <w:b/>
                <w:color w:val="auto"/>
                <w:sz w:val="21"/>
                <w:szCs w:val="21"/>
              </w:rPr>
              <w:t>★</w:t>
            </w:r>
            <w:r>
              <w:rPr>
                <w:rFonts w:hint="eastAsia" w:ascii="宋体" w:hAnsi="宋体" w:cs="宋体"/>
                <w:color w:val="auto"/>
                <w:szCs w:val="21"/>
              </w:rPr>
              <w:t xml:space="preserve"> 提供路由器主机一台、带风扇、含系统软件；</w:t>
            </w:r>
          </w:p>
          <w:p w14:paraId="00193F0E">
            <w:pPr>
              <w:spacing w:line="360" w:lineRule="exact"/>
              <w:rPr>
                <w:rFonts w:ascii="宋体" w:hAnsi="宋体" w:cs="宋体"/>
                <w:color w:val="auto"/>
                <w:szCs w:val="21"/>
              </w:rPr>
            </w:pPr>
            <w:r>
              <w:rPr>
                <w:rFonts w:hint="eastAsia" w:ascii="宋体" w:hAnsi="宋体" w:cs="宋体"/>
                <w:color w:val="auto"/>
                <w:szCs w:val="21"/>
              </w:rPr>
              <w:t>2.</w:t>
            </w:r>
            <w:r>
              <w:rPr>
                <w:rFonts w:hint="eastAsia" w:ascii="宋体" w:hAnsi="宋体" w:eastAsia="宋体" w:cs="宋体"/>
                <w:b/>
                <w:color w:val="auto"/>
                <w:sz w:val="21"/>
                <w:szCs w:val="21"/>
              </w:rPr>
              <w:t>★</w:t>
            </w:r>
            <w:r>
              <w:rPr>
                <w:rFonts w:hint="eastAsia" w:ascii="宋体" w:hAnsi="宋体" w:cs="宋体"/>
                <w:color w:val="auto"/>
                <w:szCs w:val="21"/>
              </w:rPr>
              <w:t>整机业务插槽数量≥8个（不含路由引擎、交换网板、业务子卡插槽，为全高全宽尺寸），业务槽位支持子母卡配置；单业务槽位支持4个业务子卡；</w:t>
            </w:r>
          </w:p>
          <w:p w14:paraId="6E785C21">
            <w:pPr>
              <w:spacing w:line="360" w:lineRule="exact"/>
              <w:rPr>
                <w:rFonts w:ascii="宋体" w:hAnsi="宋体" w:cs="宋体"/>
                <w:color w:val="auto"/>
                <w:szCs w:val="21"/>
              </w:rPr>
            </w:pPr>
            <w:r>
              <w:rPr>
                <w:rFonts w:hint="eastAsia" w:ascii="宋体" w:hAnsi="宋体" w:cs="宋体"/>
                <w:color w:val="auto"/>
                <w:szCs w:val="21"/>
              </w:rPr>
              <w:t xml:space="preserve">3. </w:t>
            </w:r>
            <w:r>
              <w:rPr>
                <w:rFonts w:hint="eastAsia" w:ascii="宋体" w:hAnsi="宋体" w:eastAsia="宋体" w:cs="宋体"/>
                <w:b/>
                <w:color w:val="auto"/>
                <w:sz w:val="21"/>
                <w:szCs w:val="21"/>
              </w:rPr>
              <w:t>★</w:t>
            </w:r>
            <w:r>
              <w:rPr>
                <w:rFonts w:hint="eastAsia" w:ascii="宋体" w:hAnsi="宋体" w:cs="宋体"/>
                <w:color w:val="auto"/>
                <w:szCs w:val="21"/>
              </w:rPr>
              <w:t>路由器配置双引擎，双交换网板，冗余电源；</w:t>
            </w:r>
          </w:p>
          <w:p w14:paraId="03C9B57C">
            <w:pPr>
              <w:spacing w:line="360" w:lineRule="exact"/>
              <w:rPr>
                <w:rFonts w:ascii="宋体" w:hAnsi="宋体" w:cs="宋体"/>
                <w:color w:val="auto"/>
                <w:szCs w:val="21"/>
              </w:rPr>
            </w:pPr>
            <w:r>
              <w:rPr>
                <w:rFonts w:hint="eastAsia" w:ascii="宋体" w:hAnsi="宋体" w:cs="宋体"/>
                <w:color w:val="auto"/>
                <w:szCs w:val="21"/>
              </w:rPr>
              <w:t xml:space="preserve">4. </w:t>
            </w:r>
            <w:r>
              <w:rPr>
                <w:rFonts w:hint="eastAsia" w:ascii="宋体" w:hAnsi="宋体" w:eastAsia="宋体" w:cs="宋体"/>
                <w:b/>
                <w:color w:val="auto"/>
                <w:sz w:val="21"/>
                <w:szCs w:val="21"/>
              </w:rPr>
              <w:t>★</w:t>
            </w:r>
            <w:r>
              <w:rPr>
                <w:rFonts w:hint="eastAsia" w:ascii="宋体" w:hAnsi="宋体" w:cs="宋体"/>
                <w:color w:val="auto"/>
                <w:szCs w:val="21"/>
              </w:rPr>
              <w:t>路由器配置千兆电口≥8个，万兆光口≥12个，配置4个万兆多模光模块；</w:t>
            </w:r>
          </w:p>
          <w:p w14:paraId="21F9E4A8">
            <w:pPr>
              <w:spacing w:line="360" w:lineRule="exact"/>
              <w:rPr>
                <w:rFonts w:ascii="宋体" w:hAnsi="宋体" w:cs="宋体"/>
                <w:color w:val="auto"/>
                <w:szCs w:val="21"/>
              </w:rPr>
            </w:pPr>
            <w:r>
              <w:rPr>
                <w:rFonts w:hint="eastAsia" w:ascii="宋体" w:hAnsi="宋体" w:cs="宋体"/>
                <w:color w:val="auto"/>
                <w:szCs w:val="21"/>
              </w:rPr>
              <w:t xml:space="preserve">5. </w:t>
            </w:r>
            <w:r>
              <w:rPr>
                <w:rFonts w:hint="eastAsia" w:ascii="宋体" w:hAnsi="宋体" w:eastAsia="宋体" w:cs="宋体"/>
                <w:b/>
                <w:color w:val="auto"/>
                <w:sz w:val="21"/>
                <w:szCs w:val="21"/>
              </w:rPr>
              <w:t>★</w:t>
            </w:r>
            <w:r>
              <w:rPr>
                <w:rFonts w:hint="eastAsia" w:ascii="宋体" w:hAnsi="宋体" w:cs="宋体"/>
                <w:color w:val="auto"/>
                <w:szCs w:val="21"/>
              </w:rPr>
              <w:t>交换容量≥150Tbps，包转发率≥30000Mpps；</w:t>
            </w:r>
          </w:p>
          <w:p w14:paraId="75EBD407">
            <w:pPr>
              <w:spacing w:line="360" w:lineRule="exact"/>
              <w:rPr>
                <w:rFonts w:ascii="宋体" w:hAnsi="宋体" w:cs="宋体"/>
                <w:color w:val="auto"/>
                <w:szCs w:val="21"/>
              </w:rPr>
            </w:pPr>
            <w:r>
              <w:rPr>
                <w:rFonts w:hint="eastAsia" w:ascii="宋体" w:hAnsi="宋体" w:cs="宋体"/>
                <w:color w:val="auto"/>
                <w:szCs w:val="21"/>
              </w:rPr>
              <w:t xml:space="preserve">6. </w:t>
            </w:r>
            <w:r>
              <w:rPr>
                <w:rFonts w:hint="eastAsia" w:ascii="宋体" w:hAnsi="宋体" w:eastAsia="宋体" w:cs="宋体"/>
                <w:b/>
                <w:color w:val="auto"/>
                <w:sz w:val="21"/>
                <w:szCs w:val="21"/>
              </w:rPr>
              <w:t>★</w:t>
            </w:r>
            <w:r>
              <w:rPr>
                <w:rFonts w:hint="eastAsia" w:ascii="宋体" w:hAnsi="宋体" w:cs="宋体"/>
                <w:color w:val="auto"/>
                <w:szCs w:val="21"/>
              </w:rPr>
              <w:t>支持双主控、独立4交换网板；（交换网板不得与路由引擎、业务线卡板集成提供，并且不得与业务线卡槽位复用；</w:t>
            </w:r>
          </w:p>
          <w:p w14:paraId="1AD90D20">
            <w:pPr>
              <w:spacing w:line="360" w:lineRule="exact"/>
              <w:rPr>
                <w:rFonts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 支持L3路由国际标准协议：RIP/RIPv2，OSPF，BGP4、IPv4,IPv6；</w:t>
            </w:r>
          </w:p>
          <w:p w14:paraId="7501F05D">
            <w:pPr>
              <w:spacing w:line="360" w:lineRule="exact"/>
              <w:rPr>
                <w:rFonts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 支持MPLS VPN功能；</w:t>
            </w:r>
          </w:p>
          <w:p w14:paraId="61530DD7">
            <w:pPr>
              <w:spacing w:line="360" w:lineRule="exact"/>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lang w:eastAsia="zh-CN"/>
              </w:rPr>
              <w:t>.</w:t>
            </w:r>
            <w:r>
              <w:rPr>
                <w:rFonts w:hint="eastAsia" w:ascii="宋体" w:hAnsi="宋体" w:eastAsia="宋体" w:cs="宋体"/>
                <w:b/>
                <w:color w:val="auto"/>
                <w:sz w:val="21"/>
                <w:szCs w:val="21"/>
              </w:rPr>
              <w:t>▲</w:t>
            </w:r>
            <w:r>
              <w:rPr>
                <w:rFonts w:hint="eastAsia" w:ascii="宋体" w:hAnsi="宋体" w:cs="宋体"/>
                <w:color w:val="auto"/>
                <w:szCs w:val="21"/>
              </w:rPr>
              <w:t>设备CPU/交换芯片/内存/FLASH/CPLD/FPGA/PHY/时钟芯片等关键器件均为国产；</w:t>
            </w:r>
          </w:p>
          <w:p w14:paraId="232CFE1A">
            <w:pPr>
              <w:spacing w:line="360" w:lineRule="exac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.为提高整机可靠性，需支持双系统备份功能；</w:t>
            </w:r>
          </w:p>
          <w:p w14:paraId="60D2D58F">
            <w:pPr>
              <w:spacing w:line="360" w:lineRule="exac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rPr>
              <w:t>.▲支持国密局商密算法SM1/SM2/SM3/SM4；</w:t>
            </w:r>
          </w:p>
          <w:p w14:paraId="18B6F012">
            <w:pPr>
              <w:spacing w:line="360" w:lineRule="exac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2</w:t>
            </w:r>
            <w:r>
              <w:rPr>
                <w:rFonts w:hint="eastAsia" w:ascii="宋体" w:hAnsi="宋体" w:cs="宋体"/>
                <w:color w:val="auto"/>
                <w:szCs w:val="21"/>
              </w:rPr>
              <w:t>.支持CPU保护功能，限制非法报文对CPU的攻击，保护路由器在各种环境下稳定工作；；</w:t>
            </w:r>
          </w:p>
          <w:p w14:paraId="1D71C494">
            <w:pPr>
              <w:spacing w:line="360" w:lineRule="exac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3</w:t>
            </w:r>
            <w:r>
              <w:rPr>
                <w:rFonts w:hint="eastAsia" w:ascii="宋体" w:hAnsi="宋体" w:cs="宋体"/>
                <w:color w:val="auto"/>
                <w:szCs w:val="21"/>
              </w:rPr>
              <w:t>.支持NFPP基础网络保护策略，对有攻击行为的用户进行隔离，保证网络安全稳定；</w:t>
            </w:r>
          </w:p>
          <w:p w14:paraId="7D963A0A">
            <w:pPr>
              <w:spacing w:line="360" w:lineRule="exac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eastAsia="宋体" w:cs="宋体"/>
                <w:b/>
                <w:color w:val="auto"/>
                <w:sz w:val="21"/>
                <w:szCs w:val="21"/>
              </w:rPr>
              <w:t>▲</w:t>
            </w:r>
            <w:r>
              <w:rPr>
                <w:rFonts w:hint="eastAsia" w:ascii="宋体" w:hAnsi="宋体" w:cs="宋体"/>
                <w:color w:val="auto"/>
                <w:szCs w:val="21"/>
              </w:rPr>
              <w:t>设备应全面支持IPv6，支持标准SRv6相关功能，SRv6  Policy、EVPN、信道化子接口切片技术、IFIT等；须支持Netconf、YANG、Telemetry等SDN控制协议；</w:t>
            </w:r>
          </w:p>
          <w:p w14:paraId="2978695E">
            <w:pPr>
              <w:spacing w:line="360" w:lineRule="exac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5</w:t>
            </w:r>
            <w:r>
              <w:rPr>
                <w:rFonts w:hint="eastAsia" w:ascii="宋体" w:hAnsi="宋体" w:cs="宋体"/>
                <w:color w:val="auto"/>
                <w:szCs w:val="21"/>
              </w:rPr>
              <w:t>.支持应用识别(自定义/预定义)，FPI首包识别，DPI深度识别，DNS关联识别</w:t>
            </w:r>
          </w:p>
          <w:p w14:paraId="03D618FA">
            <w:pPr>
              <w:spacing w:line="360" w:lineRule="exac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6</w:t>
            </w:r>
            <w:r>
              <w:rPr>
                <w:rFonts w:hint="eastAsia" w:ascii="宋体" w:hAnsi="宋体" w:cs="宋体"/>
                <w:color w:val="auto"/>
                <w:szCs w:val="21"/>
              </w:rPr>
              <w:t>.支持智能选路/负载均衡/调度随行/灾备逃生；</w:t>
            </w:r>
          </w:p>
          <w:p w14:paraId="34E26E46">
            <w:pPr>
              <w:spacing w:line="360" w:lineRule="exac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7</w:t>
            </w:r>
            <w:r>
              <w:rPr>
                <w:rFonts w:hint="eastAsia" w:ascii="宋体" w:hAnsi="宋体" w:cs="宋体"/>
                <w:color w:val="auto"/>
                <w:szCs w:val="21"/>
              </w:rPr>
              <w:t>.支持广域网传输前向纠错(A-FEC)。</w:t>
            </w:r>
          </w:p>
        </w:tc>
      </w:tr>
      <w:tr w14:paraId="495A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7" w:type="dxa"/>
            <w:vAlign w:val="center"/>
          </w:tcPr>
          <w:p w14:paraId="25AA2A85">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2</w:t>
            </w:r>
            <w:r>
              <w:rPr>
                <w:rFonts w:hint="eastAsia" w:ascii="宋体" w:hAnsi="宋体" w:cs="宋体"/>
                <w:color w:val="auto"/>
                <w:szCs w:val="21"/>
                <w:lang w:eastAsia="zh-CN"/>
              </w:rPr>
              <w:t>）</w:t>
            </w:r>
          </w:p>
        </w:tc>
        <w:tc>
          <w:tcPr>
            <w:tcW w:w="1744" w:type="dxa"/>
            <w:gridSpan w:val="2"/>
            <w:vAlign w:val="center"/>
          </w:tcPr>
          <w:p w14:paraId="684BE77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auto"/>
                <w:szCs w:val="21"/>
              </w:rPr>
            </w:pPr>
            <w:r>
              <w:rPr>
                <w:rFonts w:hint="eastAsia" w:ascii="宋体" w:hAnsi="宋体" w:cs="宋体"/>
                <w:color w:val="auto"/>
                <w:szCs w:val="21"/>
              </w:rPr>
              <w:t>核心交换机</w:t>
            </w:r>
          </w:p>
        </w:tc>
        <w:tc>
          <w:tcPr>
            <w:tcW w:w="898" w:type="dxa"/>
            <w:vAlign w:val="center"/>
          </w:tcPr>
          <w:p w14:paraId="3799065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auto"/>
                <w:szCs w:val="21"/>
              </w:rPr>
            </w:pPr>
            <w:r>
              <w:rPr>
                <w:rFonts w:hint="eastAsia" w:ascii="宋体" w:hAnsi="宋体" w:cs="宋体"/>
                <w:color w:val="auto"/>
                <w:kern w:val="0"/>
                <w:sz w:val="22"/>
              </w:rPr>
              <w:t>2台</w:t>
            </w:r>
          </w:p>
        </w:tc>
        <w:tc>
          <w:tcPr>
            <w:tcW w:w="5538" w:type="dxa"/>
            <w:vAlign w:val="center"/>
          </w:tcPr>
          <w:p w14:paraId="21F462A2">
            <w:pPr>
              <w:spacing w:line="360" w:lineRule="exact"/>
              <w:rPr>
                <w:rFonts w:ascii="宋体" w:hAnsi="宋体" w:cs="宋体"/>
                <w:color w:val="auto"/>
                <w:szCs w:val="21"/>
              </w:rPr>
            </w:pPr>
            <w:r>
              <w:rPr>
                <w:rFonts w:hint="eastAsia" w:ascii="宋体" w:hAnsi="宋体" w:cs="宋体"/>
                <w:color w:val="auto"/>
                <w:szCs w:val="21"/>
              </w:rPr>
              <w:t>1.</w:t>
            </w:r>
            <w:r>
              <w:rPr>
                <w:rFonts w:hint="eastAsia" w:ascii="宋体" w:hAnsi="宋体" w:eastAsia="宋体" w:cs="宋体"/>
                <w:b/>
                <w:color w:val="auto"/>
                <w:sz w:val="21"/>
                <w:szCs w:val="21"/>
              </w:rPr>
              <w:t>★</w:t>
            </w:r>
            <w:r>
              <w:rPr>
                <w:rFonts w:hint="eastAsia" w:ascii="宋体" w:hAnsi="宋体" w:cs="宋体"/>
                <w:color w:val="auto"/>
                <w:szCs w:val="21"/>
              </w:rPr>
              <w:t>主控引擎与业务板卡完全物理分离, 采用全分布式转发处理架构，独立主控引擎插槽≥2个，独立业务插槽数≥6个；</w:t>
            </w:r>
          </w:p>
          <w:p w14:paraId="0D4D1D6F">
            <w:pPr>
              <w:spacing w:line="360" w:lineRule="exact"/>
              <w:rPr>
                <w:rFonts w:ascii="宋体" w:hAnsi="宋体" w:cs="宋体"/>
                <w:color w:val="auto"/>
                <w:szCs w:val="21"/>
              </w:rPr>
            </w:pPr>
            <w:r>
              <w:rPr>
                <w:rFonts w:hint="eastAsia" w:ascii="宋体" w:hAnsi="宋体" w:cs="宋体"/>
                <w:color w:val="auto"/>
                <w:szCs w:val="21"/>
              </w:rPr>
              <w:t>2.</w:t>
            </w:r>
            <w:r>
              <w:rPr>
                <w:rFonts w:hint="eastAsia" w:ascii="宋体" w:hAnsi="宋体" w:eastAsia="宋体" w:cs="宋体"/>
                <w:b/>
                <w:color w:val="auto"/>
                <w:sz w:val="21"/>
                <w:szCs w:val="21"/>
              </w:rPr>
              <w:t>★</w:t>
            </w:r>
            <w:r>
              <w:rPr>
                <w:rFonts w:hint="eastAsia" w:ascii="宋体" w:hAnsi="宋体" w:cs="宋体"/>
                <w:color w:val="auto"/>
                <w:szCs w:val="21"/>
              </w:rPr>
              <w:t>配置2个主控引擎、2个电源；</w:t>
            </w:r>
          </w:p>
          <w:p w14:paraId="090A9F8A">
            <w:pPr>
              <w:spacing w:line="360" w:lineRule="exact"/>
              <w:rPr>
                <w:rFonts w:ascii="宋体" w:hAnsi="宋体" w:cs="宋体"/>
                <w:color w:val="auto"/>
                <w:szCs w:val="21"/>
              </w:rPr>
            </w:pPr>
            <w:r>
              <w:rPr>
                <w:rFonts w:hint="eastAsia" w:ascii="宋体" w:hAnsi="宋体" w:cs="宋体"/>
                <w:color w:val="auto"/>
                <w:szCs w:val="21"/>
              </w:rPr>
              <w:t>3.</w:t>
            </w:r>
            <w:r>
              <w:rPr>
                <w:rFonts w:hint="eastAsia" w:ascii="宋体" w:hAnsi="宋体" w:eastAsia="宋体" w:cs="宋体"/>
                <w:b/>
                <w:color w:val="auto"/>
                <w:sz w:val="21"/>
                <w:szCs w:val="21"/>
              </w:rPr>
              <w:t>★</w:t>
            </w:r>
            <w:r>
              <w:rPr>
                <w:rFonts w:hint="eastAsia" w:ascii="宋体" w:hAnsi="宋体" w:cs="宋体"/>
                <w:color w:val="auto"/>
                <w:szCs w:val="21"/>
              </w:rPr>
              <w:t>配置≥24个千兆电口、≥8个千兆光口、≥60个万兆光口；</w:t>
            </w:r>
          </w:p>
          <w:p w14:paraId="1C3304DC">
            <w:pPr>
              <w:spacing w:line="360" w:lineRule="exact"/>
              <w:rPr>
                <w:rFonts w:ascii="宋体" w:hAnsi="宋体" w:cs="宋体"/>
                <w:color w:val="auto"/>
                <w:szCs w:val="21"/>
              </w:rPr>
            </w:pPr>
            <w:r>
              <w:rPr>
                <w:rFonts w:hint="eastAsia" w:ascii="宋体" w:hAnsi="宋体" w:cs="宋体"/>
                <w:color w:val="auto"/>
                <w:szCs w:val="21"/>
              </w:rPr>
              <w:t>4.</w:t>
            </w:r>
            <w:r>
              <w:rPr>
                <w:rFonts w:hint="eastAsia" w:ascii="宋体" w:hAnsi="宋体" w:eastAsia="宋体" w:cs="宋体"/>
                <w:b/>
                <w:color w:val="auto"/>
                <w:sz w:val="21"/>
                <w:szCs w:val="21"/>
              </w:rPr>
              <w:t>★</w:t>
            </w:r>
            <w:r>
              <w:rPr>
                <w:rFonts w:hint="eastAsia" w:ascii="宋体" w:hAnsi="宋体" w:cs="宋体"/>
                <w:color w:val="auto"/>
                <w:szCs w:val="21"/>
              </w:rPr>
              <w:t>配置8个万兆单模光模块、20个万兆多模光模块；</w:t>
            </w:r>
          </w:p>
          <w:p w14:paraId="23F738F8">
            <w:pPr>
              <w:spacing w:line="360" w:lineRule="exact"/>
              <w:rPr>
                <w:rFonts w:ascii="宋体" w:hAnsi="宋体" w:cs="宋体"/>
                <w:color w:val="auto"/>
                <w:szCs w:val="21"/>
              </w:rPr>
            </w:pPr>
            <w:r>
              <w:rPr>
                <w:rFonts w:hint="eastAsia" w:ascii="宋体" w:hAnsi="宋体" w:cs="宋体"/>
                <w:color w:val="auto"/>
                <w:szCs w:val="21"/>
              </w:rPr>
              <w:t>5.</w:t>
            </w:r>
            <w:r>
              <w:rPr>
                <w:rFonts w:hint="eastAsia" w:ascii="宋体" w:hAnsi="宋体" w:eastAsia="宋体" w:cs="宋体"/>
                <w:b/>
                <w:color w:val="auto"/>
                <w:sz w:val="21"/>
                <w:szCs w:val="21"/>
              </w:rPr>
              <w:t>★</w:t>
            </w:r>
            <w:r>
              <w:rPr>
                <w:rFonts w:hint="eastAsia" w:ascii="宋体" w:hAnsi="宋体" w:cs="宋体"/>
                <w:color w:val="auto"/>
                <w:szCs w:val="21"/>
              </w:rPr>
              <w:t>交换容量≥300Tbps，包转发性能≥50000Mpps；</w:t>
            </w:r>
          </w:p>
          <w:p w14:paraId="05AE3B0C">
            <w:pPr>
              <w:spacing w:line="360" w:lineRule="exact"/>
              <w:rPr>
                <w:rFonts w:ascii="宋体" w:hAnsi="宋体" w:cs="宋体"/>
                <w:color w:val="auto"/>
                <w:szCs w:val="21"/>
              </w:rPr>
            </w:pPr>
            <w:r>
              <w:rPr>
                <w:rFonts w:hint="eastAsia" w:ascii="宋体" w:hAnsi="宋体" w:cs="宋体"/>
                <w:color w:val="auto"/>
                <w:szCs w:val="21"/>
              </w:rPr>
              <w:t>6.风扇框冗余设计， 且为保证设备散热效果和可靠性，要求设备支持模块化风扇框，可热插拔，当单个风扇框发生故障时，有其他风扇正常运行，保证设备散热，要求独立风扇框个数≥2个；</w:t>
            </w:r>
          </w:p>
          <w:p w14:paraId="6901913F">
            <w:pPr>
              <w:spacing w:line="360" w:lineRule="exact"/>
              <w:rPr>
                <w:rFonts w:ascii="宋体" w:hAnsi="宋体" w:cs="宋体"/>
                <w:color w:val="auto"/>
                <w:szCs w:val="21"/>
              </w:rPr>
            </w:pPr>
            <w:r>
              <w:rPr>
                <w:rFonts w:hint="eastAsia" w:ascii="宋体" w:hAnsi="宋体" w:cs="宋体"/>
                <w:color w:val="auto"/>
                <w:szCs w:val="21"/>
              </w:rPr>
              <w:t>7.设备支持硬件健康状态可视化，可以对风扇状态、电源、温度、板载电压进行监控，尤其是在日常巡查中发现电压异常前兆，可及时处理，避免出现电压异常宕机；</w:t>
            </w:r>
          </w:p>
          <w:p w14:paraId="3F9CD740">
            <w:pPr>
              <w:spacing w:line="360" w:lineRule="exact"/>
              <w:rPr>
                <w:rFonts w:ascii="宋体" w:hAnsi="宋体" w:cs="宋体"/>
                <w:color w:val="auto"/>
                <w:szCs w:val="21"/>
              </w:rPr>
            </w:pPr>
            <w:r>
              <w:rPr>
                <w:rFonts w:hint="eastAsia" w:ascii="宋体" w:hAnsi="宋体" w:cs="宋体"/>
                <w:color w:val="auto"/>
                <w:szCs w:val="21"/>
              </w:rPr>
              <w:t>8.为提高设备面板空间利用率，要求采用高密度端口设计，所投产品单张业务卡最大可用物理端口≥52个，整机转发业务物理端口≥312个；</w:t>
            </w:r>
          </w:p>
          <w:p w14:paraId="3646E7E1">
            <w:pPr>
              <w:spacing w:line="360" w:lineRule="exact"/>
              <w:rPr>
                <w:rFonts w:ascii="宋体" w:hAnsi="宋体" w:cs="宋体"/>
                <w:color w:val="auto"/>
                <w:szCs w:val="21"/>
              </w:rPr>
            </w:pPr>
            <w:r>
              <w:rPr>
                <w:rFonts w:hint="eastAsia" w:ascii="宋体" w:hAnsi="宋体" w:cs="宋体"/>
                <w:color w:val="auto"/>
                <w:szCs w:val="21"/>
              </w:rPr>
              <w:t>9.支持N:1虚拟化：可将多台物理设备虚拟化为1台逻辑设备，虚拟组内设备具备统一的二层及三层转发表项，统一的管理界面，并可实现跨设备链路聚合；</w:t>
            </w:r>
          </w:p>
          <w:p w14:paraId="5F9BA842">
            <w:pPr>
              <w:spacing w:line="360" w:lineRule="exact"/>
              <w:rPr>
                <w:rFonts w:ascii="宋体" w:hAnsi="宋体" w:cs="宋体"/>
                <w:color w:val="auto"/>
                <w:szCs w:val="21"/>
              </w:rPr>
            </w:pPr>
            <w:r>
              <w:rPr>
                <w:rFonts w:hint="eastAsia" w:ascii="宋体" w:hAnsi="宋体" w:cs="宋体"/>
                <w:color w:val="auto"/>
                <w:szCs w:val="21"/>
              </w:rPr>
              <w:t>10.支持VXLAN二三层分布式网关，支持EVPN，支持VXLAN双活；</w:t>
            </w:r>
          </w:p>
          <w:p w14:paraId="5B4EA1B7">
            <w:pPr>
              <w:spacing w:line="360" w:lineRule="exact"/>
              <w:rPr>
                <w:rFonts w:ascii="宋体" w:hAnsi="宋体" w:cs="宋体"/>
                <w:color w:val="auto"/>
                <w:szCs w:val="21"/>
                <w:highlight w:val="none"/>
              </w:rPr>
            </w:pPr>
            <w:r>
              <w:rPr>
                <w:rFonts w:hint="eastAsia" w:ascii="宋体" w:hAnsi="宋体" w:cs="宋体"/>
                <w:color w:val="auto"/>
                <w:szCs w:val="21"/>
              </w:rPr>
              <w:t>11.支持静态路由、RIP、RIPng、OSPF、OSPFv3、BGP、BGP4+、ISIS、ISISv6，支持路由协议多实例，支持GR for OS</w:t>
            </w:r>
            <w:r>
              <w:rPr>
                <w:rFonts w:hint="eastAsia" w:ascii="宋体" w:hAnsi="宋体" w:cs="宋体"/>
                <w:color w:val="auto"/>
                <w:szCs w:val="21"/>
                <w:highlight w:val="none"/>
              </w:rPr>
              <w:t>PF/IS-IS/BGP，支持策略路由；</w:t>
            </w:r>
          </w:p>
          <w:p w14:paraId="49252CC5">
            <w:pPr>
              <w:spacing w:line="360" w:lineRule="exact"/>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eastAsia="宋体" w:cs="宋体"/>
                <w:b/>
                <w:color w:val="auto"/>
                <w:sz w:val="21"/>
                <w:szCs w:val="21"/>
                <w:highlight w:val="none"/>
              </w:rPr>
              <w:t>▲</w:t>
            </w:r>
            <w:r>
              <w:rPr>
                <w:rFonts w:hint="eastAsia" w:ascii="宋体" w:hAnsi="宋体" w:cs="宋体"/>
                <w:color w:val="auto"/>
                <w:szCs w:val="21"/>
                <w:highlight w:val="none"/>
              </w:rPr>
              <w:t>为保证IPv6的可部署性和应用性，所投交换机需具备IPv6 Ready Phase2认证证书，要求投标产品型号与获证产品型号一致；</w:t>
            </w:r>
          </w:p>
          <w:p w14:paraId="35B30E8E">
            <w:pPr>
              <w:spacing w:line="360" w:lineRule="exact"/>
              <w:rPr>
                <w:rFonts w:ascii="宋体" w:hAnsi="宋体" w:cs="宋体"/>
                <w:color w:val="auto"/>
                <w:szCs w:val="21"/>
              </w:rPr>
            </w:pPr>
            <w:r>
              <w:rPr>
                <w:rFonts w:hint="eastAsia" w:ascii="宋体" w:hAnsi="宋体" w:cs="宋体"/>
                <w:color w:val="auto"/>
                <w:szCs w:val="21"/>
              </w:rPr>
              <w:t>13.</w:t>
            </w:r>
            <w:r>
              <w:rPr>
                <w:rFonts w:hint="eastAsia" w:ascii="宋体" w:hAnsi="宋体" w:eastAsia="宋体" w:cs="宋体"/>
                <w:b/>
                <w:color w:val="auto"/>
                <w:sz w:val="21"/>
                <w:szCs w:val="21"/>
              </w:rPr>
              <w:t>▲</w:t>
            </w:r>
            <w:r>
              <w:rPr>
                <w:rFonts w:hint="eastAsia" w:ascii="宋体" w:hAnsi="宋体" w:cs="宋体"/>
                <w:color w:val="auto"/>
                <w:szCs w:val="21"/>
              </w:rPr>
              <w:t>支持光口保护电路设计，用于监测光模块状态，一旦出现故障，可将故障模块隔离，确保不影响其它端口和整机的正常运行，更换模块后该端口也可马上恢复正常工作；</w:t>
            </w:r>
          </w:p>
          <w:p w14:paraId="0DAE2DD3">
            <w:pPr>
              <w:spacing w:line="360" w:lineRule="exact"/>
              <w:rPr>
                <w:rFonts w:ascii="宋体" w:hAnsi="宋体" w:cs="宋体"/>
                <w:color w:val="auto"/>
                <w:szCs w:val="21"/>
              </w:rPr>
            </w:pPr>
            <w:r>
              <w:rPr>
                <w:rFonts w:hint="eastAsia" w:ascii="宋体" w:hAnsi="宋体" w:cs="宋体"/>
                <w:color w:val="auto"/>
                <w:szCs w:val="21"/>
              </w:rPr>
              <w:t>14.</w:t>
            </w:r>
            <w:r>
              <w:rPr>
                <w:rFonts w:hint="eastAsia" w:ascii="宋体" w:hAnsi="宋体" w:eastAsia="宋体" w:cs="宋体"/>
                <w:b/>
                <w:color w:val="auto"/>
                <w:sz w:val="21"/>
                <w:szCs w:val="21"/>
              </w:rPr>
              <w:t>▲</w:t>
            </w:r>
            <w:r>
              <w:rPr>
                <w:rFonts w:hint="eastAsia" w:ascii="宋体" w:hAnsi="宋体" w:cs="宋体"/>
                <w:color w:val="auto"/>
                <w:szCs w:val="21"/>
              </w:rPr>
              <w:t>支持硬件层级双boot，采用两个FLASH芯片存储boot软件（系统引导程序），实现硬件级boot冗余备份，避免因FLASH芯片故障导致交换机无法启动。</w:t>
            </w:r>
          </w:p>
        </w:tc>
      </w:tr>
      <w:tr w14:paraId="419E6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7" w:type="dxa"/>
            <w:vAlign w:val="center"/>
          </w:tcPr>
          <w:p w14:paraId="19CA7AC9">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3</w:t>
            </w:r>
            <w:r>
              <w:rPr>
                <w:rFonts w:hint="eastAsia" w:ascii="宋体" w:hAnsi="宋体" w:cs="宋体"/>
                <w:color w:val="auto"/>
                <w:szCs w:val="21"/>
                <w:lang w:eastAsia="zh-CN"/>
              </w:rPr>
              <w:t>）</w:t>
            </w:r>
          </w:p>
        </w:tc>
        <w:tc>
          <w:tcPr>
            <w:tcW w:w="1744" w:type="dxa"/>
            <w:gridSpan w:val="2"/>
            <w:vAlign w:val="center"/>
          </w:tcPr>
          <w:p w14:paraId="0D0EBFD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auto"/>
                <w:szCs w:val="21"/>
              </w:rPr>
            </w:pPr>
            <w:r>
              <w:rPr>
                <w:rFonts w:hint="eastAsia" w:ascii="宋体" w:hAnsi="宋体" w:cs="宋体"/>
                <w:color w:val="auto"/>
                <w:szCs w:val="21"/>
              </w:rPr>
              <w:t>核心防火墙</w:t>
            </w:r>
          </w:p>
        </w:tc>
        <w:tc>
          <w:tcPr>
            <w:tcW w:w="898" w:type="dxa"/>
            <w:vAlign w:val="center"/>
          </w:tcPr>
          <w:p w14:paraId="06E9DBD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auto"/>
                <w:szCs w:val="21"/>
              </w:rPr>
            </w:pPr>
            <w:r>
              <w:rPr>
                <w:rFonts w:hint="eastAsia" w:ascii="宋体" w:hAnsi="宋体" w:cs="宋体"/>
                <w:color w:val="auto"/>
                <w:kern w:val="0"/>
                <w:sz w:val="22"/>
              </w:rPr>
              <w:t>1台</w:t>
            </w:r>
          </w:p>
        </w:tc>
        <w:tc>
          <w:tcPr>
            <w:tcW w:w="5538" w:type="dxa"/>
            <w:vAlign w:val="center"/>
          </w:tcPr>
          <w:p w14:paraId="362406CC">
            <w:pPr>
              <w:spacing w:line="360" w:lineRule="exact"/>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w:t>
            </w:r>
            <w:r>
              <w:rPr>
                <w:rFonts w:hint="eastAsia" w:ascii="宋体" w:hAnsi="宋体" w:eastAsia="宋体" w:cs="宋体"/>
                <w:b/>
                <w:color w:val="auto"/>
                <w:sz w:val="21"/>
                <w:szCs w:val="21"/>
              </w:rPr>
              <w:t>★</w:t>
            </w:r>
            <w:r>
              <w:rPr>
                <w:rFonts w:hint="eastAsia" w:ascii="宋体" w:hAnsi="宋体" w:cs="宋体"/>
                <w:color w:val="auto"/>
                <w:szCs w:val="21"/>
              </w:rPr>
              <w:t>提供千兆电口数量≥16个、万兆光口数量≥10个；，配置≥可插拔480G企业级固态硬盘，配置热插拔冗余电源，提供≥3年侵防御、防病毒、应用识别、威胁情报、URL分类特征库特征库授权；</w:t>
            </w:r>
          </w:p>
          <w:p w14:paraId="2B63EA55">
            <w:pPr>
              <w:spacing w:line="360" w:lineRule="exact"/>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w:t>
            </w:r>
            <w:r>
              <w:rPr>
                <w:rFonts w:hint="eastAsia" w:ascii="宋体" w:hAnsi="宋体" w:eastAsia="宋体" w:cs="宋体"/>
                <w:b/>
                <w:color w:val="auto"/>
                <w:sz w:val="21"/>
                <w:szCs w:val="21"/>
              </w:rPr>
              <w:t>▲</w:t>
            </w:r>
            <w:r>
              <w:rPr>
                <w:rFonts w:hint="eastAsia" w:ascii="宋体" w:hAnsi="宋体" w:cs="宋体"/>
                <w:color w:val="auto"/>
                <w:szCs w:val="21"/>
              </w:rPr>
              <w:t>提供2个扩展槽，可扩展40G接口</w:t>
            </w:r>
          </w:p>
          <w:p w14:paraId="4DF6E742">
            <w:pPr>
              <w:spacing w:line="360" w:lineRule="exac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w:t>
            </w:r>
            <w:r>
              <w:rPr>
                <w:rFonts w:hint="eastAsia" w:ascii="宋体" w:hAnsi="宋体" w:eastAsia="宋体" w:cs="宋体"/>
                <w:b/>
                <w:color w:val="auto"/>
                <w:sz w:val="21"/>
                <w:szCs w:val="21"/>
              </w:rPr>
              <w:t>▲</w:t>
            </w:r>
            <w:r>
              <w:rPr>
                <w:rFonts w:hint="eastAsia" w:ascii="宋体" w:hAnsi="宋体" w:cs="宋体"/>
                <w:color w:val="auto"/>
                <w:szCs w:val="21"/>
              </w:rPr>
              <w:t>采用国产芯片(CPU、交换芯片等)、兼容麒麟操作系统；</w:t>
            </w:r>
          </w:p>
          <w:p w14:paraId="7D76EBBA">
            <w:pPr>
              <w:spacing w:line="360" w:lineRule="exact"/>
              <w:rPr>
                <w:rFonts w:ascii="宋体" w:hAnsi="宋体" w:cs="宋体"/>
                <w:color w:val="auto"/>
                <w:szCs w:val="21"/>
              </w:rPr>
            </w:pPr>
            <w:r>
              <w:rPr>
                <w:rFonts w:ascii="宋体" w:hAnsi="宋体" w:cs="宋体"/>
                <w:color w:val="auto"/>
                <w:szCs w:val="21"/>
              </w:rPr>
              <w:t>4</w:t>
            </w:r>
            <w:r>
              <w:rPr>
                <w:rFonts w:hint="eastAsia" w:ascii="宋体" w:hAnsi="宋体" w:cs="宋体"/>
                <w:color w:val="auto"/>
                <w:szCs w:val="21"/>
              </w:rPr>
              <w:t>.</w:t>
            </w:r>
            <w:r>
              <w:rPr>
                <w:rFonts w:hint="eastAsia" w:ascii="宋体" w:hAnsi="宋体" w:eastAsia="宋体" w:cs="宋体"/>
                <w:b/>
                <w:color w:val="auto"/>
                <w:sz w:val="21"/>
                <w:szCs w:val="21"/>
              </w:rPr>
              <w:t>★</w:t>
            </w:r>
            <w:r>
              <w:rPr>
                <w:rFonts w:hint="eastAsia" w:ascii="宋体" w:hAnsi="宋体" w:cs="宋体"/>
                <w:color w:val="auto"/>
                <w:szCs w:val="21"/>
              </w:rPr>
              <w:t>最大整机吞吐≥30Gbps ，IPS吞吐量≥9Gbps，最大并发连接≥800万；每秒新建连接≥20万；；</w:t>
            </w:r>
          </w:p>
          <w:p w14:paraId="4830CEEC">
            <w:pPr>
              <w:spacing w:line="360" w:lineRule="exact"/>
              <w:rPr>
                <w:rFonts w:ascii="宋体" w:hAnsi="宋体" w:cs="宋体"/>
                <w:color w:val="auto"/>
                <w:szCs w:val="21"/>
              </w:rPr>
            </w:pPr>
            <w:r>
              <w:rPr>
                <w:rFonts w:ascii="宋体" w:hAnsi="宋体" w:cs="宋体"/>
                <w:color w:val="auto"/>
                <w:szCs w:val="21"/>
              </w:rPr>
              <w:t>5</w:t>
            </w:r>
            <w:r>
              <w:rPr>
                <w:rFonts w:hint="eastAsia" w:ascii="宋体" w:hAnsi="宋体" w:cs="宋体"/>
                <w:color w:val="auto"/>
                <w:szCs w:val="21"/>
              </w:rPr>
              <w:t>.</w:t>
            </w:r>
            <w:r>
              <w:rPr>
                <w:rFonts w:hint="eastAsia" w:ascii="宋体" w:hAnsi="宋体" w:eastAsia="宋体" w:cs="宋体"/>
                <w:b/>
                <w:color w:val="auto"/>
                <w:sz w:val="21"/>
                <w:szCs w:val="21"/>
              </w:rPr>
              <w:t>▲</w:t>
            </w:r>
            <w:r>
              <w:rPr>
                <w:rFonts w:hint="eastAsia" w:ascii="宋体" w:hAnsi="宋体" w:cs="宋体"/>
                <w:color w:val="auto"/>
                <w:szCs w:val="21"/>
              </w:rPr>
              <w:t xml:space="preserve">支持策略模拟功能，可提供一个虚拟的策略空间来对运行创建的模拟策略，模拟策略不会对真实业务流量产生影响 ，但可以把模拟策略的执行结果与现有的真实策略的不同的处置动作进行对比展现，方便用户判断模拟策略是否会对重要业务产生不良影响，如模拟策略符合用户需求，可一键转化为真实策略； </w:t>
            </w:r>
          </w:p>
          <w:p w14:paraId="21D689ED">
            <w:pPr>
              <w:spacing w:line="360" w:lineRule="exact"/>
              <w:rPr>
                <w:rFonts w:ascii="宋体" w:hAnsi="宋体" w:cs="宋体"/>
                <w:color w:val="auto"/>
                <w:szCs w:val="21"/>
              </w:rPr>
            </w:pPr>
            <w:r>
              <w:rPr>
                <w:rFonts w:ascii="宋体" w:hAnsi="宋体" w:cs="宋体"/>
                <w:color w:val="auto"/>
                <w:szCs w:val="21"/>
              </w:rPr>
              <w:t>6</w:t>
            </w:r>
            <w:r>
              <w:rPr>
                <w:rFonts w:hint="eastAsia" w:ascii="宋体" w:hAnsi="宋体" w:cs="宋体"/>
                <w:color w:val="auto"/>
                <w:szCs w:val="21"/>
              </w:rPr>
              <w:t>.</w:t>
            </w:r>
            <w:r>
              <w:rPr>
                <w:rFonts w:hint="eastAsia" w:ascii="宋体" w:hAnsi="宋体" w:eastAsia="宋体" w:cs="宋体"/>
                <w:b/>
                <w:color w:val="auto"/>
                <w:sz w:val="21"/>
                <w:szCs w:val="21"/>
              </w:rPr>
              <w:t>▲</w:t>
            </w:r>
            <w:r>
              <w:rPr>
                <w:rFonts w:hint="eastAsia" w:ascii="宋体" w:hAnsi="宋体" w:cs="宋体"/>
                <w:color w:val="auto"/>
                <w:szCs w:val="21"/>
              </w:rPr>
              <w:t xml:space="preserve">支持基于流量学习的方式对网内资产的互访关系进行梳理，可视化展示目标资产的端口的访问关系，包括：访问源IP、命中策略、阻断次数、最近一次阻断时间等信息； </w:t>
            </w:r>
          </w:p>
          <w:p w14:paraId="382BF307">
            <w:pPr>
              <w:spacing w:line="360" w:lineRule="exact"/>
              <w:rPr>
                <w:rFonts w:ascii="宋体" w:hAnsi="宋体" w:cs="宋体"/>
                <w:color w:val="auto"/>
                <w:szCs w:val="21"/>
              </w:rPr>
            </w:pPr>
            <w:r>
              <w:rPr>
                <w:rFonts w:ascii="宋体" w:hAnsi="宋体" w:cs="宋体"/>
                <w:color w:val="auto"/>
                <w:szCs w:val="21"/>
              </w:rPr>
              <w:t>7.</w:t>
            </w:r>
            <w:r>
              <w:rPr>
                <w:rFonts w:hint="eastAsia" w:ascii="宋体" w:hAnsi="宋体" w:cs="宋体"/>
                <w:color w:val="auto"/>
                <w:szCs w:val="21"/>
              </w:rPr>
              <w:t>支持策略配置向导功能，运维人员可通过向导流程完成地址对象创建、策略创建、策略模拟运行、策略执行等必要配置步骤；</w:t>
            </w:r>
          </w:p>
          <w:p w14:paraId="6A070A22">
            <w:pPr>
              <w:spacing w:line="360" w:lineRule="exact"/>
              <w:rPr>
                <w:rFonts w:ascii="宋体" w:hAnsi="宋体" w:cs="宋体"/>
                <w:color w:val="auto"/>
                <w:szCs w:val="21"/>
              </w:rPr>
            </w:pPr>
            <w:r>
              <w:rPr>
                <w:rFonts w:hint="eastAsia" w:ascii="宋体" w:hAnsi="宋体" w:cs="宋体"/>
                <w:color w:val="auto"/>
                <w:szCs w:val="21"/>
              </w:rPr>
              <w:t>8. 应具备策略优化能力，支持对配置的策略进行梳理，能够识别策略问题，问题类型包括但不限于一般问题、严重问题、建议优化等；分析维度包括但不限于从未匹配、7天未匹配、30天未匹配、90天未匹配、冗余策略、冲突策略、组合策略、归纳策略、过期策略等；对问题策略支持列表展示，并提供优化建议；</w:t>
            </w:r>
          </w:p>
          <w:p w14:paraId="6264D3A2">
            <w:pPr>
              <w:spacing w:line="360" w:lineRule="exact"/>
              <w:rPr>
                <w:rFonts w:ascii="宋体" w:hAnsi="宋体" w:cs="宋体"/>
                <w:color w:val="auto"/>
                <w:szCs w:val="21"/>
              </w:rPr>
            </w:pPr>
            <w:r>
              <w:rPr>
                <w:rFonts w:hint="eastAsia" w:ascii="宋体" w:hAnsi="宋体" w:cs="宋体"/>
                <w:color w:val="auto"/>
                <w:szCs w:val="21"/>
              </w:rPr>
              <w:t xml:space="preserve">9. 应支持策略的全生命周期展现，包括策略的变更时间、变更类型、变更账号、变更策略、变更内容等；支持通过颜色区分策略的变更项、删除、新增等；支持策略项变更前后的对比展示； </w:t>
            </w:r>
          </w:p>
          <w:p w14:paraId="1707F381">
            <w:pPr>
              <w:spacing w:line="360" w:lineRule="exact"/>
              <w:rPr>
                <w:rFonts w:ascii="宋体" w:hAnsi="宋体" w:cs="宋体"/>
                <w:color w:val="auto"/>
                <w:szCs w:val="21"/>
              </w:rPr>
            </w:pPr>
            <w:r>
              <w:rPr>
                <w:rFonts w:hint="eastAsia" w:ascii="宋体" w:hAnsi="宋体" w:cs="宋体"/>
                <w:color w:val="auto"/>
                <w:szCs w:val="21"/>
              </w:rPr>
              <w:t>10. 设备支持一键开启/关闭威胁情报的功能；</w:t>
            </w:r>
          </w:p>
          <w:p w14:paraId="71883152">
            <w:pPr>
              <w:spacing w:line="360" w:lineRule="exact"/>
              <w:rPr>
                <w:rFonts w:ascii="宋体" w:hAnsi="宋体" w:cs="宋体"/>
                <w:color w:val="auto"/>
                <w:szCs w:val="21"/>
              </w:rPr>
            </w:pPr>
            <w:r>
              <w:rPr>
                <w:rFonts w:hint="eastAsia" w:ascii="宋体" w:hAnsi="宋体" w:cs="宋体"/>
                <w:color w:val="auto"/>
                <w:szCs w:val="21"/>
              </w:rPr>
              <w:t>11. 为了满足上级监管单位要求阻断自定义恶意情报（域名/IP等）的需求，要求设备支持自定义情报功能，允许用户导入收集到的恶意情报信息，自定义情报在未取得威胁情报特征库更新授权的状态下依然可以生效；支持导入自定义情报的条目不少于8W条；当自定义情报中个别对象的风险消失时，可一键将自定义的威胁对象设置为例外，设置例外后不再对该例外对象拦截阻断；</w:t>
            </w:r>
          </w:p>
          <w:p w14:paraId="6F64830F">
            <w:pPr>
              <w:spacing w:line="360" w:lineRule="exact"/>
              <w:rPr>
                <w:rFonts w:ascii="宋体" w:hAnsi="宋体" w:cs="宋体"/>
                <w:color w:val="auto"/>
                <w:szCs w:val="21"/>
              </w:rPr>
            </w:pPr>
            <w:r>
              <w:rPr>
                <w:rFonts w:hint="eastAsia" w:ascii="宋体" w:hAnsi="宋体" w:cs="宋体"/>
                <w:color w:val="auto"/>
                <w:szCs w:val="21"/>
              </w:rPr>
              <w:t xml:space="preserve">12. 支持创建IP地址对象、IP地址对象组，同时支持查看IP地址对象或IP地址对象组被策略引用的情况； </w:t>
            </w:r>
          </w:p>
          <w:p w14:paraId="7CDB9166">
            <w:pPr>
              <w:spacing w:line="360" w:lineRule="exact"/>
              <w:rPr>
                <w:rFonts w:ascii="宋体" w:hAnsi="宋体" w:cs="宋体"/>
                <w:color w:val="auto"/>
                <w:szCs w:val="21"/>
              </w:rPr>
            </w:pPr>
            <w:r>
              <w:rPr>
                <w:rFonts w:hint="eastAsia" w:ascii="宋体" w:hAnsi="宋体" w:cs="宋体"/>
                <w:color w:val="auto"/>
                <w:szCs w:val="21"/>
              </w:rPr>
              <w:t>13. 支持自定义设置登录端口、登录超时时间、登录错误允许次数、锁定时间；开启、关闭验证码功能，支持恢复默认配置；支持一键收集本机上所有信息，并提供打包下载，用于故障定位；</w:t>
            </w:r>
          </w:p>
          <w:p w14:paraId="71304EB0">
            <w:pPr>
              <w:spacing w:line="360" w:lineRule="exact"/>
              <w:rPr>
                <w:rFonts w:ascii="宋体" w:hAnsi="宋体" w:cs="宋体"/>
                <w:color w:val="auto"/>
                <w:szCs w:val="21"/>
              </w:rPr>
            </w:pPr>
            <w:r>
              <w:rPr>
                <w:rFonts w:hint="eastAsia" w:ascii="宋体" w:hAnsi="宋体" w:cs="宋体"/>
                <w:color w:val="auto"/>
                <w:szCs w:val="21"/>
              </w:rPr>
              <w:t>14. 基于首页设备图示，实现鼠标移动到相应接口，即可显示接口的加电状态、接口类型、接口IP和上下行速率等；</w:t>
            </w:r>
          </w:p>
          <w:p w14:paraId="3DC15F64">
            <w:pPr>
              <w:spacing w:line="360" w:lineRule="exact"/>
              <w:rPr>
                <w:rFonts w:ascii="宋体" w:hAnsi="宋体" w:cs="宋体"/>
                <w:color w:val="auto"/>
                <w:szCs w:val="21"/>
              </w:rPr>
            </w:pPr>
            <w:r>
              <w:rPr>
                <w:rFonts w:hint="eastAsia" w:ascii="宋体" w:hAnsi="宋体" w:cs="宋体"/>
                <w:color w:val="auto"/>
                <w:szCs w:val="21"/>
              </w:rPr>
              <w:t>15. 支持一站式故障排查向导，按照客户端访问目标资源的路径，自动化执行排查动作，定位因防火墙自身故障、网络配置、功能模块、策略模板、流量是否到达等配置面与转发面造成的网络故障问题；</w:t>
            </w:r>
          </w:p>
          <w:p w14:paraId="5ACD4F00">
            <w:pPr>
              <w:spacing w:line="360" w:lineRule="exact"/>
              <w:rPr>
                <w:rFonts w:ascii="宋体" w:hAnsi="宋体" w:cs="宋体"/>
                <w:color w:val="auto"/>
                <w:szCs w:val="21"/>
              </w:rPr>
            </w:pPr>
            <w:r>
              <w:rPr>
                <w:rFonts w:hint="eastAsia" w:ascii="宋体" w:hAnsi="宋体" w:cs="宋体"/>
                <w:color w:val="auto"/>
                <w:szCs w:val="21"/>
              </w:rPr>
              <w:t>16. 支持防火墙故障排查后可一键跳转到对应的功能配置界面进行问题处置；</w:t>
            </w:r>
          </w:p>
          <w:p w14:paraId="442431C1">
            <w:pPr>
              <w:spacing w:line="360" w:lineRule="exact"/>
              <w:rPr>
                <w:rFonts w:ascii="宋体" w:hAnsi="宋体" w:cs="宋体"/>
                <w:color w:val="auto"/>
                <w:szCs w:val="21"/>
              </w:rPr>
            </w:pPr>
            <w:r>
              <w:rPr>
                <w:rFonts w:hint="eastAsia" w:ascii="宋体" w:hAnsi="宋体" w:cs="宋体"/>
                <w:color w:val="auto"/>
                <w:szCs w:val="21"/>
              </w:rPr>
              <w:t>17. 支持将设备添加到云平台进行管理，可实现把防火墙的系统状态在云平台进行监控和展示，用户可通过登录各自的云平台账号后对纳管的防火墙进行远程管理；</w:t>
            </w:r>
          </w:p>
          <w:p w14:paraId="369F431C">
            <w:pPr>
              <w:spacing w:line="360" w:lineRule="exact"/>
              <w:rPr>
                <w:rFonts w:ascii="宋体" w:hAnsi="宋体" w:cs="宋体"/>
                <w:color w:val="auto"/>
                <w:szCs w:val="21"/>
              </w:rPr>
            </w:pPr>
            <w:r>
              <w:rPr>
                <w:rFonts w:hint="eastAsia" w:ascii="宋体" w:hAnsi="宋体" w:cs="宋体"/>
                <w:color w:val="auto"/>
                <w:szCs w:val="21"/>
              </w:rPr>
              <w:t>18. 支持报文示踪，分析和追踪设备中各个安全业务模块对报文的处理过程，通过查看报文示踪记录的详细信息，有利于管理员对网络故障的快速排查和定位；</w:t>
            </w:r>
          </w:p>
          <w:p w14:paraId="78370308">
            <w:pPr>
              <w:spacing w:line="360" w:lineRule="exact"/>
              <w:rPr>
                <w:rFonts w:ascii="宋体" w:hAnsi="宋体" w:cs="宋体"/>
                <w:color w:val="auto"/>
                <w:szCs w:val="21"/>
              </w:rPr>
            </w:pPr>
            <w:r>
              <w:rPr>
                <w:rFonts w:hint="eastAsia" w:ascii="宋体" w:hAnsi="宋体" w:cs="宋体"/>
                <w:color w:val="auto"/>
                <w:szCs w:val="21"/>
              </w:rPr>
              <w:t>19. 支持路由模式、透明模式、混合模式；</w:t>
            </w:r>
          </w:p>
          <w:p w14:paraId="152DE632">
            <w:pPr>
              <w:spacing w:line="360" w:lineRule="exact"/>
              <w:rPr>
                <w:rFonts w:ascii="宋体" w:hAnsi="宋体" w:cs="宋体"/>
                <w:color w:val="auto"/>
                <w:szCs w:val="21"/>
              </w:rPr>
            </w:pPr>
            <w:r>
              <w:rPr>
                <w:rFonts w:hint="eastAsia" w:ascii="宋体" w:hAnsi="宋体" w:cs="宋体"/>
                <w:color w:val="auto"/>
                <w:szCs w:val="21"/>
              </w:rPr>
              <w:t>20. 支持快速上线向导功能，指导配置人员完成快速入网、模式选择、网络配置、连通性检查、授权导入等必要上线步骤；</w:t>
            </w:r>
          </w:p>
          <w:p w14:paraId="73624F74">
            <w:pPr>
              <w:spacing w:line="360" w:lineRule="exact"/>
              <w:rPr>
                <w:rFonts w:ascii="宋体" w:hAnsi="宋体" w:cs="宋体"/>
                <w:color w:val="auto"/>
                <w:szCs w:val="21"/>
              </w:rPr>
            </w:pPr>
            <w:r>
              <w:rPr>
                <w:rFonts w:hint="eastAsia" w:ascii="宋体" w:hAnsi="宋体" w:cs="宋体"/>
                <w:color w:val="auto"/>
                <w:szCs w:val="21"/>
              </w:rPr>
              <w:t>21. 支持静态地址、DHCP、PPPoE等网络连接类型；支持静态路由、子接口、安全域、NAT等基础网络功能；</w:t>
            </w:r>
          </w:p>
          <w:p w14:paraId="3D5BD74C">
            <w:pPr>
              <w:spacing w:line="360" w:lineRule="exact"/>
              <w:rPr>
                <w:rFonts w:ascii="宋体" w:hAnsi="宋体" w:cs="宋体"/>
                <w:color w:val="auto"/>
                <w:szCs w:val="21"/>
              </w:rPr>
            </w:pPr>
            <w:r>
              <w:rPr>
                <w:rFonts w:hint="eastAsia" w:ascii="宋体" w:hAnsi="宋体" w:cs="宋体"/>
                <w:color w:val="auto"/>
                <w:szCs w:val="21"/>
              </w:rPr>
              <w:t>22. 支持对HTTP、TCP、UDP、DNS、TLS等常用协议及应用的攻击检测和防御；</w:t>
            </w:r>
          </w:p>
          <w:p w14:paraId="5681D423">
            <w:pPr>
              <w:spacing w:line="360" w:lineRule="exact"/>
              <w:rPr>
                <w:rFonts w:ascii="宋体" w:hAnsi="宋体" w:cs="宋体"/>
                <w:color w:val="auto"/>
                <w:szCs w:val="21"/>
              </w:rPr>
            </w:pPr>
            <w:r>
              <w:rPr>
                <w:rFonts w:hint="eastAsia" w:ascii="宋体" w:hAnsi="宋体" w:cs="宋体"/>
                <w:color w:val="auto"/>
                <w:szCs w:val="21"/>
              </w:rPr>
              <w:t>23. 支持对欺骗攻击、注入攻击、跨站请求伪造、跨站脚本攻击、代码执行、释放重利用等多种类别的威胁进行检测和防御；</w:t>
            </w:r>
          </w:p>
          <w:p w14:paraId="7CB04EA6">
            <w:pPr>
              <w:spacing w:line="360" w:lineRule="exact"/>
              <w:rPr>
                <w:rFonts w:ascii="宋体" w:hAnsi="宋体" w:cs="宋体"/>
                <w:color w:val="auto"/>
                <w:szCs w:val="21"/>
              </w:rPr>
            </w:pPr>
            <w:r>
              <w:rPr>
                <w:rFonts w:hint="eastAsia" w:ascii="宋体" w:hAnsi="宋体" w:cs="宋体"/>
                <w:color w:val="auto"/>
                <w:szCs w:val="21"/>
              </w:rPr>
              <w:t>24. 支持扩展防病毒功能，病毒库特征超过1000万；</w:t>
            </w:r>
          </w:p>
          <w:p w14:paraId="0A633B0D">
            <w:pPr>
              <w:spacing w:line="360" w:lineRule="exact"/>
              <w:rPr>
                <w:rFonts w:ascii="宋体" w:hAnsi="宋体" w:cs="宋体"/>
                <w:color w:val="auto"/>
                <w:szCs w:val="21"/>
              </w:rPr>
            </w:pPr>
            <w:r>
              <w:rPr>
                <w:rFonts w:hint="eastAsia" w:ascii="宋体" w:hAnsi="宋体" w:cs="宋体"/>
                <w:color w:val="auto"/>
                <w:szCs w:val="21"/>
              </w:rPr>
              <w:t>25. 支持HTTP、FTP、POP3、SMTP协议病毒过滤，支持2层以上的文件压缩；</w:t>
            </w:r>
          </w:p>
          <w:p w14:paraId="3D618C6D">
            <w:pPr>
              <w:spacing w:line="360" w:lineRule="exact"/>
              <w:rPr>
                <w:rFonts w:ascii="宋体" w:hAnsi="宋体" w:cs="宋体"/>
                <w:color w:val="auto"/>
                <w:szCs w:val="21"/>
              </w:rPr>
            </w:pPr>
            <w:r>
              <w:rPr>
                <w:rFonts w:hint="eastAsia" w:ascii="宋体" w:hAnsi="宋体" w:cs="宋体"/>
                <w:color w:val="auto"/>
                <w:szCs w:val="21"/>
              </w:rPr>
              <w:t>26. IPS规则数量≥15000条，可针对具体的规则条目设置启用和禁用；要求系统自带IPS入侵检测预定义模板，用户可设置新的签名过滤器，来自定义新的IPS入侵检测防御模板；</w:t>
            </w:r>
          </w:p>
          <w:p w14:paraId="00C9CF74">
            <w:pPr>
              <w:spacing w:line="360" w:lineRule="exact"/>
              <w:rPr>
                <w:rFonts w:ascii="宋体" w:hAnsi="宋体" w:cs="宋体"/>
                <w:color w:val="auto"/>
                <w:szCs w:val="21"/>
              </w:rPr>
            </w:pPr>
            <w:r>
              <w:rPr>
                <w:rFonts w:hint="eastAsia" w:ascii="宋体" w:hAnsi="宋体" w:cs="宋体"/>
                <w:color w:val="auto"/>
                <w:szCs w:val="21"/>
              </w:rPr>
              <w:t>27. 要求支持SYN、UDP、ICMP等洪水型DoS/DDoS攻击防护；支持TearDrop、Smurf、LAND、Winnuke、Fraggle等基于数据包的攻击防护；支持带源路由选项IP报文控制功能、支持带路由选项IP报文控制功能；支持ARP欺骗防御功能，支持自定义设置网关MAC广播间隔时间；</w:t>
            </w:r>
          </w:p>
          <w:p w14:paraId="0DB5127C">
            <w:pPr>
              <w:spacing w:line="360" w:lineRule="exact"/>
              <w:rPr>
                <w:rFonts w:ascii="宋体" w:hAnsi="宋体" w:cs="宋体"/>
                <w:color w:val="auto"/>
                <w:szCs w:val="21"/>
              </w:rPr>
            </w:pPr>
            <w:r>
              <w:rPr>
                <w:rFonts w:hint="eastAsia" w:ascii="宋体" w:hAnsi="宋体" w:cs="宋体"/>
                <w:color w:val="auto"/>
                <w:szCs w:val="21"/>
              </w:rPr>
              <w:t>28. 支持新增、导入、删除、查看、下载SSL代理证书，支持设置一个全局SSL代理证书，支持导入、删除、查看、下载服务器证书；</w:t>
            </w:r>
          </w:p>
          <w:p w14:paraId="0D66E468">
            <w:pPr>
              <w:spacing w:line="360" w:lineRule="exact"/>
              <w:rPr>
                <w:rFonts w:ascii="宋体" w:hAnsi="宋体" w:cs="宋体"/>
                <w:color w:val="auto"/>
                <w:szCs w:val="21"/>
              </w:rPr>
            </w:pPr>
            <w:r>
              <w:rPr>
                <w:rFonts w:hint="eastAsia" w:ascii="宋体" w:hAnsi="宋体" w:cs="宋体"/>
                <w:color w:val="auto"/>
                <w:szCs w:val="21"/>
              </w:rPr>
              <w:t>29. 能够精确识别网络应用，包括但不限于HTTP协议、IP网络电话、网络游戏软件、网络购物、P2P应用软件、互联网金融、即时通讯、远程控制等，具备完善的应用库，应用数量≥5000种；</w:t>
            </w:r>
          </w:p>
          <w:p w14:paraId="1EEEC93E">
            <w:pPr>
              <w:spacing w:line="360" w:lineRule="exact"/>
              <w:rPr>
                <w:rFonts w:ascii="宋体" w:hAnsi="宋体" w:cs="宋体"/>
                <w:color w:val="auto"/>
                <w:szCs w:val="21"/>
              </w:rPr>
            </w:pPr>
            <w:r>
              <w:rPr>
                <w:rFonts w:hint="eastAsia" w:ascii="宋体" w:hAnsi="宋体" w:cs="宋体"/>
                <w:color w:val="auto"/>
                <w:szCs w:val="21"/>
              </w:rPr>
              <w:t>30. 支持在同一个页面完成常用策略项的配置，包括但不限于源安全区域、源地址、目的安全区域、目的地址、服务、应用、生效时间段、动作设置、内容安全等；</w:t>
            </w:r>
          </w:p>
          <w:p w14:paraId="0669E47E">
            <w:pPr>
              <w:spacing w:line="360" w:lineRule="exact"/>
              <w:rPr>
                <w:rFonts w:ascii="宋体" w:hAnsi="宋体" w:cs="宋体"/>
                <w:color w:val="auto"/>
                <w:szCs w:val="21"/>
              </w:rPr>
            </w:pPr>
            <w:r>
              <w:rPr>
                <w:rFonts w:hint="eastAsia" w:ascii="宋体" w:hAnsi="宋体" w:cs="宋体"/>
                <w:color w:val="auto"/>
                <w:szCs w:val="21"/>
              </w:rPr>
              <w:t>31. 支持自定义安全区域，支持支持自定义应用分组，方便用户基于不用的应用组配置安全策略，支持查看应用和应用组被策略引用的情况；基于安全区域的访问控制策略，同时支持查看安全区域被安全策略的引用情况；提供预定义服务端口、支持配置自定义服务端口，支持服务组，支持查看被策略引用的情况；</w:t>
            </w:r>
          </w:p>
          <w:p w14:paraId="47401C22">
            <w:pPr>
              <w:spacing w:line="360" w:lineRule="exact"/>
              <w:rPr>
                <w:rFonts w:ascii="宋体" w:hAnsi="宋体" w:cs="宋体"/>
                <w:color w:val="auto"/>
                <w:szCs w:val="21"/>
              </w:rPr>
            </w:pPr>
            <w:r>
              <w:rPr>
                <w:rFonts w:hint="eastAsia" w:ascii="宋体" w:hAnsi="宋体" w:cs="宋体"/>
                <w:color w:val="auto"/>
                <w:szCs w:val="21"/>
              </w:rPr>
              <w:t>32. 支持整体呈现内对内、内对外、外对内的攻击统计，图示化呈现攻击的方向和区域；可选级别、刷新频率、周期、攻击类型；TOP攻击源、被攻击主机、新增攻击源、新增攻击端口、攻击趋势图等；</w:t>
            </w:r>
          </w:p>
          <w:p w14:paraId="0F9C76C8">
            <w:pPr>
              <w:spacing w:line="360" w:lineRule="exact"/>
              <w:rPr>
                <w:rFonts w:ascii="宋体" w:hAnsi="宋体" w:cs="宋体"/>
                <w:color w:val="auto"/>
                <w:szCs w:val="21"/>
              </w:rPr>
            </w:pPr>
            <w:r>
              <w:rPr>
                <w:rFonts w:hint="eastAsia" w:ascii="宋体" w:hAnsi="宋体" w:cs="宋体"/>
                <w:color w:val="auto"/>
                <w:szCs w:val="21"/>
              </w:rPr>
              <w:t>33. 支持系统日志、安全日志（攻击防护日志）、操作日志（登录、策略变更等）等不同分类日志的留存，可查询和导出日志；支持根据源地址、目的地址、源端口、目的端口、日志类型、严重性、动作等条件进行日志查询；；</w:t>
            </w:r>
          </w:p>
          <w:p w14:paraId="57E69280">
            <w:pPr>
              <w:spacing w:line="360" w:lineRule="exact"/>
              <w:rPr>
                <w:rFonts w:ascii="宋体" w:hAnsi="宋体" w:cs="宋体"/>
                <w:color w:val="auto"/>
                <w:szCs w:val="21"/>
              </w:rPr>
            </w:pPr>
            <w:r>
              <w:rPr>
                <w:rFonts w:hint="eastAsia" w:ascii="宋体" w:hAnsi="宋体" w:cs="宋体"/>
                <w:color w:val="auto"/>
                <w:szCs w:val="21"/>
              </w:rPr>
              <w:t>34. 对一般漏洞可以做到无需重启进行补丁升级修复漏洞，实现热补丁升级，不中断业务，不影响业务正常进行；</w:t>
            </w:r>
          </w:p>
        </w:tc>
      </w:tr>
      <w:tr w14:paraId="0CE8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7" w:type="dxa"/>
            <w:vAlign w:val="center"/>
          </w:tcPr>
          <w:p w14:paraId="0150E993">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4</w:t>
            </w:r>
            <w:r>
              <w:rPr>
                <w:rFonts w:hint="eastAsia" w:ascii="宋体" w:hAnsi="宋体" w:cs="宋体"/>
                <w:color w:val="auto"/>
                <w:szCs w:val="21"/>
                <w:lang w:eastAsia="zh-CN"/>
              </w:rPr>
              <w:t>）</w:t>
            </w:r>
          </w:p>
        </w:tc>
        <w:tc>
          <w:tcPr>
            <w:tcW w:w="1744" w:type="dxa"/>
            <w:gridSpan w:val="2"/>
            <w:vAlign w:val="center"/>
          </w:tcPr>
          <w:p w14:paraId="3E2CAAC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auto"/>
                <w:szCs w:val="21"/>
              </w:rPr>
            </w:pPr>
            <w:r>
              <w:rPr>
                <w:rFonts w:hint="eastAsia" w:ascii="宋体" w:hAnsi="宋体" w:cs="宋体"/>
                <w:color w:val="auto"/>
                <w:szCs w:val="21"/>
              </w:rPr>
              <w:t>边界防火墙</w:t>
            </w:r>
          </w:p>
        </w:tc>
        <w:tc>
          <w:tcPr>
            <w:tcW w:w="898" w:type="dxa"/>
            <w:vAlign w:val="center"/>
          </w:tcPr>
          <w:p w14:paraId="3AFE34F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auto"/>
                <w:szCs w:val="21"/>
              </w:rPr>
            </w:pPr>
            <w:r>
              <w:rPr>
                <w:rFonts w:hint="eastAsia" w:ascii="宋体" w:hAnsi="宋体" w:cs="宋体"/>
                <w:color w:val="auto"/>
                <w:kern w:val="0"/>
                <w:sz w:val="22"/>
              </w:rPr>
              <w:t>1台</w:t>
            </w:r>
          </w:p>
        </w:tc>
        <w:tc>
          <w:tcPr>
            <w:tcW w:w="5538" w:type="dxa"/>
            <w:vAlign w:val="center"/>
          </w:tcPr>
          <w:p w14:paraId="6D3D8A55">
            <w:pPr>
              <w:widowControl/>
              <w:jc w:val="left"/>
              <w:rPr>
                <w:rFonts w:ascii="宋体" w:hAnsi="宋体" w:cs="宋体"/>
                <w:color w:val="auto"/>
                <w:szCs w:val="21"/>
              </w:rPr>
            </w:pPr>
            <w:r>
              <w:rPr>
                <w:rFonts w:hint="eastAsia" w:ascii="宋体" w:hAnsi="宋体" w:cs="宋体"/>
                <w:color w:val="auto"/>
                <w:szCs w:val="21"/>
              </w:rPr>
              <w:t>1.</w:t>
            </w:r>
            <w:r>
              <w:rPr>
                <w:rFonts w:hint="eastAsia" w:ascii="宋体" w:hAnsi="宋体" w:eastAsia="宋体" w:cs="宋体"/>
                <w:b/>
                <w:color w:val="auto"/>
                <w:sz w:val="21"/>
                <w:szCs w:val="21"/>
              </w:rPr>
              <w:t>★</w:t>
            </w:r>
            <w:r>
              <w:rPr>
                <w:rFonts w:hint="eastAsia" w:ascii="宋体" w:hAnsi="宋体" w:cs="宋体"/>
                <w:color w:val="auto"/>
                <w:szCs w:val="21"/>
              </w:rPr>
              <w:t>提供千兆电口数量≥16个、万兆光口数量≥12个；提供1个业务扩展槽，配置≥可插拔480G企业级固态硬盘，提供≥3年侵防御、防病毒、应用识别、威胁情报、URL分类特征库特征库授权；</w:t>
            </w:r>
          </w:p>
          <w:p w14:paraId="4CE276A7">
            <w:pPr>
              <w:widowControl/>
              <w:jc w:val="left"/>
              <w:rPr>
                <w:rFonts w:ascii="宋体" w:hAnsi="宋体" w:cs="宋体"/>
                <w:color w:val="auto"/>
                <w:szCs w:val="21"/>
              </w:rPr>
            </w:pPr>
            <w:r>
              <w:rPr>
                <w:rFonts w:hint="eastAsia" w:ascii="宋体" w:hAnsi="宋体" w:cs="宋体"/>
                <w:color w:val="auto"/>
                <w:szCs w:val="21"/>
              </w:rPr>
              <w:t>2.</w:t>
            </w:r>
            <w:r>
              <w:rPr>
                <w:rFonts w:hint="eastAsia" w:ascii="宋体" w:hAnsi="宋体" w:eastAsia="宋体" w:cs="宋体"/>
                <w:b/>
                <w:color w:val="auto"/>
                <w:sz w:val="21"/>
                <w:szCs w:val="21"/>
              </w:rPr>
              <w:t>▲</w:t>
            </w:r>
            <w:r>
              <w:rPr>
                <w:rFonts w:hint="eastAsia" w:ascii="宋体" w:hAnsi="宋体" w:cs="宋体"/>
                <w:color w:val="auto"/>
                <w:szCs w:val="21"/>
              </w:rPr>
              <w:t>采用国产芯片(CPU、交换芯片等)、兼容麒麟操作系统；</w:t>
            </w:r>
          </w:p>
          <w:p w14:paraId="112CCF23">
            <w:pPr>
              <w:widowControl/>
              <w:jc w:val="left"/>
              <w:rPr>
                <w:rFonts w:ascii="宋体" w:hAnsi="宋体" w:cs="宋体"/>
                <w:color w:val="auto"/>
                <w:szCs w:val="21"/>
              </w:rPr>
            </w:pPr>
            <w:r>
              <w:rPr>
                <w:rFonts w:hint="eastAsia" w:ascii="宋体" w:hAnsi="宋体" w:cs="宋体"/>
                <w:color w:val="auto"/>
                <w:szCs w:val="21"/>
              </w:rPr>
              <w:t>3.</w:t>
            </w:r>
            <w:r>
              <w:rPr>
                <w:rFonts w:hint="eastAsia" w:ascii="宋体" w:hAnsi="宋体" w:eastAsia="宋体" w:cs="宋体"/>
                <w:b/>
                <w:color w:val="auto"/>
                <w:sz w:val="21"/>
                <w:szCs w:val="21"/>
              </w:rPr>
              <w:t>★</w:t>
            </w:r>
            <w:r>
              <w:rPr>
                <w:rFonts w:hint="eastAsia" w:ascii="宋体" w:hAnsi="宋体" w:cs="宋体"/>
                <w:color w:val="auto"/>
                <w:szCs w:val="21"/>
              </w:rPr>
              <w:t>最大整机吞吐≥10Gbps ，IPS吞吐量≥5Gbps，最大并发连接≥100万；每秒新建连接≥13万；</w:t>
            </w:r>
          </w:p>
          <w:p w14:paraId="5A1B75B6">
            <w:pPr>
              <w:widowControl/>
              <w:jc w:val="left"/>
              <w:rPr>
                <w:rFonts w:ascii="宋体" w:hAnsi="宋体" w:cs="宋体"/>
                <w:color w:val="auto"/>
                <w:szCs w:val="21"/>
              </w:rPr>
            </w:pPr>
            <w:r>
              <w:rPr>
                <w:rFonts w:hint="eastAsia" w:ascii="宋体" w:hAnsi="宋体" w:cs="宋体"/>
                <w:color w:val="auto"/>
                <w:szCs w:val="21"/>
              </w:rPr>
              <w:t xml:space="preserve">4. 支持策略模拟功能，可提供一个虚拟的策略空间来对运行创建的模拟策略，模拟策略不会对真实业务流量产生影响 ，但可以把模拟策略的执行结果与现有的真实策略的不同的处置动作进行对比展现，方便用户判断模拟策略是否会对重要业务产生不良影响，如模拟策略符合用户需求，可一键转化为真实策略； </w:t>
            </w:r>
          </w:p>
          <w:p w14:paraId="45AEAEA2">
            <w:pPr>
              <w:widowControl/>
              <w:jc w:val="left"/>
              <w:rPr>
                <w:rFonts w:ascii="宋体" w:hAnsi="宋体" w:cs="宋体"/>
                <w:color w:val="auto"/>
                <w:szCs w:val="21"/>
              </w:rPr>
            </w:pPr>
            <w:r>
              <w:rPr>
                <w:rFonts w:hint="eastAsia" w:ascii="宋体" w:hAnsi="宋体" w:cs="宋体"/>
                <w:color w:val="auto"/>
                <w:szCs w:val="21"/>
              </w:rPr>
              <w:t xml:space="preserve">5. 支持基于流量学习的方式对网内资产的互访关系进行梳理，可视化展示目标资产的端口的访问关系，包括：访问源IP、命中策略、阻断次数、最近一次阻断时间等信息； </w:t>
            </w:r>
          </w:p>
          <w:p w14:paraId="3A3D5B3B">
            <w:pPr>
              <w:widowControl/>
              <w:jc w:val="left"/>
              <w:rPr>
                <w:rFonts w:ascii="宋体" w:hAnsi="宋体" w:cs="宋体"/>
                <w:color w:val="auto"/>
                <w:szCs w:val="21"/>
              </w:rPr>
            </w:pPr>
            <w:r>
              <w:rPr>
                <w:rFonts w:hint="eastAsia" w:ascii="宋体" w:hAnsi="宋体" w:cs="宋体"/>
                <w:color w:val="auto"/>
                <w:szCs w:val="21"/>
              </w:rPr>
              <w:t>6. 支持策略配置向导功能，运维人员可通过向导流程完成地址对象创建、策略创建、策略模拟运行、策略执行等必要配置步骤；</w:t>
            </w:r>
          </w:p>
          <w:p w14:paraId="3B20907B">
            <w:pPr>
              <w:widowControl/>
              <w:jc w:val="left"/>
              <w:rPr>
                <w:rFonts w:ascii="宋体" w:hAnsi="宋体" w:cs="宋体"/>
                <w:color w:val="auto"/>
                <w:szCs w:val="21"/>
              </w:rPr>
            </w:pPr>
            <w:r>
              <w:rPr>
                <w:rFonts w:hint="eastAsia" w:ascii="宋体" w:hAnsi="宋体" w:cs="宋体"/>
                <w:color w:val="auto"/>
                <w:szCs w:val="21"/>
              </w:rPr>
              <w:t xml:space="preserve">7. 要求支持显示策略来源、首次创建时间、源安全区域、源地址、目的安全区域、目的地址、服务、应用、首次匹配时间、命中次数统计； </w:t>
            </w:r>
          </w:p>
          <w:p w14:paraId="04271530">
            <w:pPr>
              <w:widowControl/>
              <w:jc w:val="left"/>
              <w:rPr>
                <w:rFonts w:ascii="宋体" w:hAnsi="宋体" w:cs="宋体"/>
                <w:color w:val="auto"/>
                <w:szCs w:val="21"/>
              </w:rPr>
            </w:pPr>
            <w:r>
              <w:rPr>
                <w:rFonts w:hint="eastAsia" w:ascii="宋体" w:hAnsi="宋体" w:cs="宋体"/>
                <w:color w:val="auto"/>
                <w:szCs w:val="21"/>
              </w:rPr>
              <w:t>8. 应具备策略优化能力，支持对配置的策略进行梳理，能够识别策略问题，问题类型包括但不限于一般问题、严重问题、建议优化等；分析维度包括但不限于从未匹配、7天未匹配、30天未匹配、90天未匹配、冗余策略、冲突策略、组合策略、归纳策略、过期策略等；对问题策略支持列表展示，并提供优化建议；</w:t>
            </w:r>
          </w:p>
          <w:p w14:paraId="03302144">
            <w:pPr>
              <w:widowControl/>
              <w:jc w:val="left"/>
              <w:rPr>
                <w:rFonts w:ascii="宋体" w:hAnsi="宋体" w:cs="宋体"/>
                <w:color w:val="auto"/>
                <w:szCs w:val="21"/>
              </w:rPr>
            </w:pPr>
            <w:r>
              <w:rPr>
                <w:rFonts w:hint="eastAsia" w:ascii="宋体" w:hAnsi="宋体" w:cs="宋体"/>
                <w:color w:val="auto"/>
                <w:szCs w:val="21"/>
              </w:rPr>
              <w:t>9.</w:t>
            </w:r>
            <w:r>
              <w:rPr>
                <w:rFonts w:hint="eastAsia" w:ascii="宋体" w:hAnsi="宋体" w:eastAsia="宋体" w:cs="宋体"/>
                <w:b/>
                <w:color w:val="auto"/>
                <w:sz w:val="21"/>
                <w:szCs w:val="21"/>
              </w:rPr>
              <w:t>▲</w:t>
            </w:r>
            <w:r>
              <w:rPr>
                <w:rFonts w:hint="eastAsia" w:ascii="宋体" w:hAnsi="宋体" w:cs="宋体"/>
                <w:color w:val="auto"/>
                <w:szCs w:val="21"/>
              </w:rPr>
              <w:t xml:space="preserve">应支持策略的全生命周期展现，包括策略的变更时间、变更类型、变更账号、变更策略、变更内容等；支持通过颜色区分策略的变更项、删除、新增等；支持策略项变更前后的对比展示； </w:t>
            </w:r>
          </w:p>
          <w:p w14:paraId="7AD7DEE8">
            <w:pPr>
              <w:widowControl/>
              <w:jc w:val="left"/>
              <w:rPr>
                <w:rFonts w:ascii="宋体" w:hAnsi="宋体" w:cs="宋体"/>
                <w:color w:val="auto"/>
                <w:szCs w:val="21"/>
              </w:rPr>
            </w:pPr>
            <w:r>
              <w:rPr>
                <w:rFonts w:hint="eastAsia" w:ascii="宋体" w:hAnsi="宋体" w:cs="宋体"/>
                <w:color w:val="auto"/>
                <w:szCs w:val="21"/>
              </w:rPr>
              <w:t>10. 设备支持一键开启/关闭威胁情报的功能；</w:t>
            </w:r>
          </w:p>
          <w:p w14:paraId="6174EF0B">
            <w:pPr>
              <w:widowControl/>
              <w:jc w:val="left"/>
              <w:rPr>
                <w:rFonts w:ascii="宋体" w:hAnsi="宋体" w:cs="宋体"/>
                <w:color w:val="auto"/>
                <w:szCs w:val="21"/>
              </w:rPr>
            </w:pPr>
            <w:r>
              <w:rPr>
                <w:rFonts w:hint="eastAsia" w:ascii="宋体" w:hAnsi="宋体" w:cs="宋体"/>
                <w:color w:val="auto"/>
                <w:szCs w:val="21"/>
              </w:rPr>
              <w:t>11. 为了满足上级监管单位要求阻断自定义恶意情报（域名/IP等）的需求，要求设备支持自定义情报功能，允许用户导入收集到的恶意情报信息，自定义情报在未取得威胁情报特征库更新授权的状态下依然可以生效；支持导入自定义情报的条目不少于8W条；当自定义情报中个别对象的风险消失时，可一键将自定义的威胁对象设置为例外，设置例外后不再对该例外对象拦截阻断；</w:t>
            </w:r>
          </w:p>
          <w:p w14:paraId="260BA206">
            <w:pPr>
              <w:widowControl/>
              <w:jc w:val="left"/>
              <w:rPr>
                <w:rFonts w:ascii="宋体" w:hAnsi="宋体" w:cs="宋体"/>
                <w:color w:val="auto"/>
                <w:szCs w:val="21"/>
              </w:rPr>
            </w:pPr>
            <w:r>
              <w:rPr>
                <w:rFonts w:hint="eastAsia" w:ascii="宋体" w:hAnsi="宋体" w:cs="宋体"/>
                <w:color w:val="auto"/>
                <w:szCs w:val="21"/>
              </w:rPr>
              <w:t xml:space="preserve">12. 支持创建IP地址对象、IP地址对象组，同时支持查看IP地址对象或IP地址对象组被策略引用的情况； </w:t>
            </w:r>
          </w:p>
          <w:p w14:paraId="6299852A">
            <w:pPr>
              <w:widowControl/>
              <w:jc w:val="left"/>
              <w:rPr>
                <w:rFonts w:ascii="宋体" w:hAnsi="宋体" w:cs="宋体"/>
                <w:color w:val="auto"/>
                <w:szCs w:val="21"/>
              </w:rPr>
            </w:pPr>
            <w:r>
              <w:rPr>
                <w:rFonts w:hint="eastAsia" w:ascii="宋体" w:hAnsi="宋体" w:cs="宋体"/>
                <w:color w:val="auto"/>
                <w:szCs w:val="21"/>
              </w:rPr>
              <w:t>13. 支持自定义设置登录端口、登录超时时间、登录错误允许次数、锁定时间；开启、关闭验证码功能，支持恢复默认配置；支持一键收集本机上所有信息，并提供打包下载，用于故障定位；</w:t>
            </w:r>
          </w:p>
          <w:p w14:paraId="128609A4">
            <w:pPr>
              <w:widowControl/>
              <w:jc w:val="left"/>
              <w:rPr>
                <w:rFonts w:ascii="宋体" w:hAnsi="宋体" w:cs="宋体"/>
                <w:color w:val="auto"/>
                <w:szCs w:val="21"/>
              </w:rPr>
            </w:pPr>
            <w:r>
              <w:rPr>
                <w:rFonts w:hint="eastAsia" w:ascii="宋体" w:hAnsi="宋体" w:cs="宋体"/>
                <w:color w:val="auto"/>
                <w:szCs w:val="21"/>
              </w:rPr>
              <w:t>14. 基于首页设备图示，实现鼠标移动到相应接口，即可显示接口的加电状态、接口类型、接口IP和上下行速率等；</w:t>
            </w:r>
          </w:p>
          <w:p w14:paraId="1874E464">
            <w:pPr>
              <w:widowControl/>
              <w:jc w:val="left"/>
              <w:rPr>
                <w:rFonts w:ascii="宋体" w:hAnsi="宋体" w:cs="宋体"/>
                <w:color w:val="auto"/>
                <w:szCs w:val="21"/>
              </w:rPr>
            </w:pPr>
            <w:r>
              <w:rPr>
                <w:rFonts w:hint="eastAsia" w:ascii="宋体" w:hAnsi="宋体" w:cs="宋体"/>
                <w:color w:val="auto"/>
                <w:szCs w:val="21"/>
              </w:rPr>
              <w:t>15. 支持一站式故障排查向导，按照客户端访问目标资源的路径，自动化执行排查动作，定位因防火墙自身故障、网络配置、功能模块、策略模板、流量是否到达等配置面与转发面造成的网络故障问题；</w:t>
            </w:r>
          </w:p>
          <w:p w14:paraId="746C264E">
            <w:pPr>
              <w:widowControl/>
              <w:jc w:val="left"/>
              <w:rPr>
                <w:rFonts w:ascii="宋体" w:hAnsi="宋体" w:cs="宋体"/>
                <w:color w:val="auto"/>
                <w:szCs w:val="21"/>
              </w:rPr>
            </w:pPr>
            <w:r>
              <w:rPr>
                <w:rFonts w:hint="eastAsia" w:ascii="宋体" w:hAnsi="宋体" w:cs="宋体"/>
                <w:color w:val="auto"/>
                <w:szCs w:val="21"/>
              </w:rPr>
              <w:t>16. 支持防火墙故障排查后可一键跳转到对应的功能配置界面进行问题处置；</w:t>
            </w:r>
          </w:p>
          <w:p w14:paraId="1389C2BD">
            <w:pPr>
              <w:widowControl/>
              <w:jc w:val="left"/>
              <w:rPr>
                <w:rFonts w:ascii="宋体" w:hAnsi="宋体" w:cs="宋体"/>
                <w:color w:val="auto"/>
                <w:szCs w:val="21"/>
              </w:rPr>
            </w:pPr>
            <w:r>
              <w:rPr>
                <w:rFonts w:hint="eastAsia" w:ascii="宋体" w:hAnsi="宋体" w:cs="宋体"/>
                <w:color w:val="auto"/>
                <w:szCs w:val="21"/>
              </w:rPr>
              <w:t>17. 支持将设备添加到云平台进行管理，可实现把防火墙的系统状态在云平台进行监控和展示，用户可通过登录各自的云平台账号后对纳管的防火墙进行远程管理；</w:t>
            </w:r>
          </w:p>
          <w:p w14:paraId="4437B17F">
            <w:pPr>
              <w:widowControl/>
              <w:jc w:val="left"/>
              <w:rPr>
                <w:rFonts w:ascii="宋体" w:hAnsi="宋体" w:cs="宋体"/>
                <w:color w:val="auto"/>
                <w:szCs w:val="21"/>
              </w:rPr>
            </w:pPr>
            <w:r>
              <w:rPr>
                <w:rFonts w:hint="eastAsia" w:ascii="宋体" w:hAnsi="宋体" w:cs="宋体"/>
                <w:color w:val="auto"/>
                <w:szCs w:val="21"/>
              </w:rPr>
              <w:t>18. 支持报文示踪，分析和追踪设备中各个安全业务模块对报文的处理过程，通过查看报文示踪记录的详细信息，有利于管理员对网络故障的快速排查和定位；</w:t>
            </w:r>
          </w:p>
          <w:p w14:paraId="7C6BFD75">
            <w:pPr>
              <w:widowControl/>
              <w:jc w:val="left"/>
              <w:rPr>
                <w:rFonts w:ascii="宋体" w:hAnsi="宋体" w:cs="宋体"/>
                <w:color w:val="auto"/>
                <w:szCs w:val="21"/>
              </w:rPr>
            </w:pPr>
            <w:r>
              <w:rPr>
                <w:rFonts w:hint="eastAsia" w:ascii="宋体" w:hAnsi="宋体" w:cs="宋体"/>
                <w:color w:val="auto"/>
                <w:szCs w:val="21"/>
              </w:rPr>
              <w:t>19. 支持路由模式、透明模式、混合模式；</w:t>
            </w:r>
          </w:p>
          <w:p w14:paraId="6A58476B">
            <w:pPr>
              <w:widowControl/>
              <w:jc w:val="left"/>
              <w:rPr>
                <w:rFonts w:ascii="宋体" w:hAnsi="宋体" w:cs="宋体"/>
                <w:color w:val="auto"/>
                <w:szCs w:val="21"/>
              </w:rPr>
            </w:pPr>
            <w:r>
              <w:rPr>
                <w:rFonts w:hint="eastAsia" w:ascii="宋体" w:hAnsi="宋体" w:cs="宋体"/>
                <w:color w:val="auto"/>
                <w:szCs w:val="21"/>
              </w:rPr>
              <w:t>20. 支持快速上线向导功能，指导配置人员完成快速入网、模式选择、网络配置、连通性检查、授权导入等必要上线步骤；</w:t>
            </w:r>
          </w:p>
          <w:p w14:paraId="4AD03C13">
            <w:pPr>
              <w:widowControl/>
              <w:jc w:val="left"/>
              <w:rPr>
                <w:rFonts w:ascii="宋体" w:hAnsi="宋体" w:cs="宋体"/>
                <w:color w:val="auto"/>
                <w:szCs w:val="21"/>
              </w:rPr>
            </w:pPr>
            <w:r>
              <w:rPr>
                <w:rFonts w:hint="eastAsia" w:ascii="宋体" w:hAnsi="宋体" w:cs="宋体"/>
                <w:color w:val="auto"/>
                <w:szCs w:val="21"/>
              </w:rPr>
              <w:t>21. 支持静态地址、DHCP、PPPoE等网络连接类型；支持静态路由、子接口、安全域、NAT等基础网络功能；</w:t>
            </w:r>
          </w:p>
          <w:p w14:paraId="58F2147D">
            <w:pPr>
              <w:widowControl/>
              <w:jc w:val="left"/>
              <w:rPr>
                <w:rFonts w:ascii="宋体" w:hAnsi="宋体" w:cs="宋体"/>
                <w:color w:val="auto"/>
                <w:szCs w:val="21"/>
              </w:rPr>
            </w:pPr>
            <w:r>
              <w:rPr>
                <w:rFonts w:hint="eastAsia" w:ascii="宋体" w:hAnsi="宋体" w:cs="宋体"/>
                <w:color w:val="auto"/>
                <w:szCs w:val="21"/>
              </w:rPr>
              <w:t>22. 支持对HTTP、TCP、UDP、DNS、TLS等常用协议及应用的攻击检测和防御；</w:t>
            </w:r>
          </w:p>
          <w:p w14:paraId="031F0D4D">
            <w:pPr>
              <w:widowControl/>
              <w:jc w:val="left"/>
              <w:rPr>
                <w:rFonts w:ascii="宋体" w:hAnsi="宋体" w:cs="宋体"/>
                <w:color w:val="auto"/>
                <w:szCs w:val="21"/>
              </w:rPr>
            </w:pPr>
            <w:r>
              <w:rPr>
                <w:rFonts w:hint="eastAsia" w:ascii="宋体" w:hAnsi="宋体" w:cs="宋体"/>
                <w:color w:val="auto"/>
                <w:szCs w:val="21"/>
              </w:rPr>
              <w:t>23. 支持对欺骗攻击、注入攻击、跨站请求伪造、跨站脚本攻击、代码执行、释放重利用等多种类别的威胁进行检测和防御；</w:t>
            </w:r>
          </w:p>
          <w:p w14:paraId="66F0AFD2">
            <w:pPr>
              <w:widowControl/>
              <w:jc w:val="left"/>
              <w:rPr>
                <w:rFonts w:ascii="宋体" w:hAnsi="宋体" w:cs="宋体"/>
                <w:color w:val="auto"/>
                <w:szCs w:val="21"/>
              </w:rPr>
            </w:pPr>
            <w:r>
              <w:rPr>
                <w:rFonts w:hint="eastAsia" w:ascii="宋体" w:hAnsi="宋体" w:cs="宋体"/>
                <w:color w:val="auto"/>
                <w:szCs w:val="21"/>
              </w:rPr>
              <w:t>24. 支持扩展防病毒功能，病毒库特征超过1000万；</w:t>
            </w:r>
          </w:p>
          <w:p w14:paraId="69CE8FCD">
            <w:pPr>
              <w:widowControl/>
              <w:jc w:val="left"/>
              <w:rPr>
                <w:rFonts w:ascii="宋体" w:hAnsi="宋体" w:cs="宋体"/>
                <w:color w:val="auto"/>
                <w:szCs w:val="21"/>
              </w:rPr>
            </w:pPr>
            <w:r>
              <w:rPr>
                <w:rFonts w:hint="eastAsia" w:ascii="宋体" w:hAnsi="宋体" w:cs="宋体"/>
                <w:color w:val="auto"/>
                <w:szCs w:val="21"/>
              </w:rPr>
              <w:t>25. 支持HTTP、FTP、POP3、SMTP协议病毒过滤，支持2层以上的文件压缩；</w:t>
            </w:r>
          </w:p>
          <w:p w14:paraId="137060A6">
            <w:pPr>
              <w:widowControl/>
              <w:jc w:val="left"/>
              <w:rPr>
                <w:rFonts w:ascii="宋体" w:hAnsi="宋体" w:cs="宋体"/>
                <w:color w:val="auto"/>
                <w:szCs w:val="21"/>
              </w:rPr>
            </w:pPr>
            <w:r>
              <w:rPr>
                <w:rFonts w:hint="eastAsia" w:ascii="宋体" w:hAnsi="宋体" w:cs="宋体"/>
                <w:color w:val="auto"/>
                <w:szCs w:val="21"/>
              </w:rPr>
              <w:t>26. IPS规则数量≥15000条，可针对具体的规则条目设置启用和禁用；要求系统自带IPS入侵检测预定义模板，用户可设置新的签名过滤器，来自定义新的IPS入侵检测防御模板；</w:t>
            </w:r>
          </w:p>
          <w:p w14:paraId="3CF06073">
            <w:pPr>
              <w:widowControl/>
              <w:jc w:val="left"/>
              <w:rPr>
                <w:rFonts w:ascii="宋体" w:hAnsi="宋体" w:cs="宋体"/>
                <w:color w:val="auto"/>
                <w:szCs w:val="21"/>
              </w:rPr>
            </w:pPr>
            <w:r>
              <w:rPr>
                <w:rFonts w:hint="eastAsia" w:ascii="宋体" w:hAnsi="宋体" w:cs="宋体"/>
                <w:color w:val="auto"/>
                <w:szCs w:val="21"/>
              </w:rPr>
              <w:t>27. 要求支持SYN、UDP、ICMP等洪水型DoS/DDoS攻击防护；支持TearDrop、Smurf、LAND、Winnuke、Fraggle等基于数据包的攻击防护；支持带源路由选项IP报文控制功能、支持带路由选项IP报文控制功能；支持ARP欺骗防御功能，支持自定义设置网关MAC广播间隔时间；</w:t>
            </w:r>
          </w:p>
          <w:p w14:paraId="30191F05">
            <w:pPr>
              <w:widowControl/>
              <w:jc w:val="left"/>
              <w:rPr>
                <w:rFonts w:ascii="宋体" w:hAnsi="宋体" w:cs="宋体"/>
                <w:color w:val="auto"/>
                <w:szCs w:val="21"/>
              </w:rPr>
            </w:pPr>
            <w:r>
              <w:rPr>
                <w:rFonts w:hint="eastAsia" w:ascii="宋体" w:hAnsi="宋体" w:cs="宋体"/>
                <w:color w:val="auto"/>
                <w:szCs w:val="21"/>
              </w:rPr>
              <w:t>28. 支持新增、导入、删除、查看、下载SSL代理证书，支持设置一个全局SSL代理证书，支持导入、删除、查看、下载服务器证书；</w:t>
            </w:r>
          </w:p>
          <w:p w14:paraId="147B7217">
            <w:pPr>
              <w:widowControl/>
              <w:jc w:val="left"/>
              <w:rPr>
                <w:rFonts w:ascii="宋体" w:hAnsi="宋体" w:cs="宋体"/>
                <w:color w:val="auto"/>
                <w:szCs w:val="21"/>
              </w:rPr>
            </w:pPr>
            <w:r>
              <w:rPr>
                <w:rFonts w:hint="eastAsia" w:ascii="宋体" w:hAnsi="宋体" w:cs="宋体"/>
                <w:color w:val="auto"/>
                <w:szCs w:val="21"/>
              </w:rPr>
              <w:t>29. 能够精确识别网络应用，包括但不限于HTTP协议、IP网络电话、网络游戏软件、网络购物、P2P应用软件、互联网金融、即时通讯、远程控制等，具备完善的应用库，应用数量≥5000种；</w:t>
            </w:r>
          </w:p>
          <w:p w14:paraId="7062C840">
            <w:pPr>
              <w:widowControl/>
              <w:jc w:val="left"/>
              <w:rPr>
                <w:rFonts w:ascii="宋体" w:hAnsi="宋体" w:cs="宋体"/>
                <w:color w:val="auto"/>
                <w:szCs w:val="21"/>
              </w:rPr>
            </w:pPr>
            <w:r>
              <w:rPr>
                <w:rFonts w:hint="eastAsia" w:ascii="宋体" w:hAnsi="宋体" w:cs="宋体"/>
                <w:color w:val="auto"/>
                <w:szCs w:val="21"/>
              </w:rPr>
              <w:t>30. 支持在同一个页面完成常用策略项的配置，包括但不限于源安全区域、源地址、目的安全区域、目的地址、服务、应用、生效时间段、动作设置、内容安全等；</w:t>
            </w:r>
          </w:p>
          <w:p w14:paraId="54BC3919">
            <w:pPr>
              <w:widowControl/>
              <w:jc w:val="left"/>
              <w:rPr>
                <w:rFonts w:ascii="宋体" w:hAnsi="宋体" w:cs="宋体"/>
                <w:color w:val="auto"/>
                <w:szCs w:val="21"/>
              </w:rPr>
            </w:pPr>
            <w:r>
              <w:rPr>
                <w:rFonts w:hint="eastAsia" w:ascii="宋体" w:hAnsi="宋体" w:cs="宋体"/>
                <w:color w:val="auto"/>
                <w:szCs w:val="21"/>
              </w:rPr>
              <w:t>31. 支持自定义安全区域，支持支持自定义应用分组，方便用户基于不用的应用组配置安全策略，支持查看应用和应用组被策略引用的情况；基于安全区域的访问控制策略，同时支持查看安全区域被安全策略的引用情况；提供预定义服务端口、支持配置自定义服务端口，支持服务组，支持查看被策略引用的情况；</w:t>
            </w:r>
          </w:p>
          <w:p w14:paraId="23C7B692">
            <w:pPr>
              <w:widowControl/>
              <w:jc w:val="left"/>
              <w:rPr>
                <w:rFonts w:ascii="宋体" w:hAnsi="宋体" w:cs="宋体"/>
                <w:color w:val="auto"/>
                <w:szCs w:val="21"/>
              </w:rPr>
            </w:pPr>
            <w:r>
              <w:rPr>
                <w:rFonts w:hint="eastAsia" w:ascii="宋体" w:hAnsi="宋体" w:cs="宋体"/>
                <w:color w:val="auto"/>
                <w:szCs w:val="21"/>
              </w:rPr>
              <w:t>32. 支持整体呈现内对内、内对外、外对内的攻击统计，图示化呈现攻击的方向和区域；可选级别、刷新频率、周期、攻击类型；TOP攻击源、被攻击主机、新增攻击源、新增攻击端口、攻击趋势图等；</w:t>
            </w:r>
          </w:p>
          <w:p w14:paraId="54E81220">
            <w:pPr>
              <w:widowControl/>
              <w:jc w:val="left"/>
              <w:rPr>
                <w:rFonts w:ascii="宋体" w:hAnsi="宋体" w:cs="宋体"/>
                <w:color w:val="auto"/>
                <w:szCs w:val="21"/>
              </w:rPr>
            </w:pPr>
            <w:r>
              <w:rPr>
                <w:rFonts w:hint="eastAsia" w:ascii="宋体" w:hAnsi="宋体" w:cs="宋体"/>
                <w:color w:val="auto"/>
                <w:szCs w:val="21"/>
              </w:rPr>
              <w:t>33. 支持系统日志、安全日志（攻击防护日志）、操作日志（登录、策略变更等）等不同分类日志的留存，可查询和导出日志；支持根据源地址、目的地址、源端口、目的端口、日志类型、严重性、动作等条件进行日志查询；；</w:t>
            </w:r>
          </w:p>
          <w:p w14:paraId="2EFEA873">
            <w:pPr>
              <w:widowControl/>
              <w:jc w:val="left"/>
              <w:rPr>
                <w:rFonts w:ascii="宋体" w:hAnsi="宋体" w:cs="宋体"/>
                <w:color w:val="auto"/>
                <w:szCs w:val="21"/>
              </w:rPr>
            </w:pPr>
            <w:r>
              <w:rPr>
                <w:rFonts w:hint="eastAsia" w:ascii="宋体" w:hAnsi="宋体" w:cs="宋体"/>
                <w:color w:val="auto"/>
                <w:szCs w:val="21"/>
              </w:rPr>
              <w:t>34. 对一般漏洞可以做到无需重启进行补丁升级修复漏洞，实现热补丁升级，不中断业务，不影响业务正常进行；</w:t>
            </w:r>
          </w:p>
        </w:tc>
      </w:tr>
      <w:tr w14:paraId="11A4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7" w:type="dxa"/>
            <w:vAlign w:val="center"/>
          </w:tcPr>
          <w:p w14:paraId="15D10E72">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5</w:t>
            </w:r>
            <w:r>
              <w:rPr>
                <w:rFonts w:hint="eastAsia" w:ascii="宋体" w:hAnsi="宋体" w:cs="宋体"/>
                <w:color w:val="auto"/>
                <w:szCs w:val="21"/>
                <w:lang w:eastAsia="zh-CN"/>
              </w:rPr>
              <w:t>）</w:t>
            </w:r>
          </w:p>
        </w:tc>
        <w:tc>
          <w:tcPr>
            <w:tcW w:w="1744" w:type="dxa"/>
            <w:gridSpan w:val="2"/>
            <w:vAlign w:val="center"/>
          </w:tcPr>
          <w:p w14:paraId="68FDA95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auto"/>
                <w:szCs w:val="21"/>
              </w:rPr>
            </w:pPr>
            <w:r>
              <w:rPr>
                <w:rFonts w:hint="eastAsia" w:ascii="宋体" w:hAnsi="宋体" w:cs="宋体"/>
                <w:color w:val="auto"/>
                <w:szCs w:val="21"/>
              </w:rPr>
              <w:t>汇聚交换机</w:t>
            </w:r>
          </w:p>
        </w:tc>
        <w:tc>
          <w:tcPr>
            <w:tcW w:w="898" w:type="dxa"/>
            <w:vAlign w:val="center"/>
          </w:tcPr>
          <w:p w14:paraId="40ADF4D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auto"/>
                <w:szCs w:val="21"/>
              </w:rPr>
            </w:pPr>
            <w:r>
              <w:rPr>
                <w:rFonts w:ascii="宋体" w:hAnsi="宋体" w:cs="宋体"/>
                <w:color w:val="auto"/>
                <w:kern w:val="0"/>
                <w:sz w:val="22"/>
              </w:rPr>
              <w:t>2</w:t>
            </w:r>
            <w:r>
              <w:rPr>
                <w:rFonts w:hint="eastAsia" w:ascii="宋体" w:hAnsi="宋体" w:cs="宋体"/>
                <w:color w:val="auto"/>
                <w:kern w:val="0"/>
                <w:sz w:val="22"/>
              </w:rPr>
              <w:t>台</w:t>
            </w:r>
          </w:p>
        </w:tc>
        <w:tc>
          <w:tcPr>
            <w:tcW w:w="5538" w:type="dxa"/>
          </w:tcPr>
          <w:p w14:paraId="508C7111">
            <w:pPr>
              <w:widowControl/>
              <w:jc w:val="left"/>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w:t>
            </w:r>
            <w:r>
              <w:rPr>
                <w:rFonts w:hint="eastAsia" w:ascii="宋体" w:hAnsi="宋体" w:eastAsia="宋体" w:cs="宋体"/>
                <w:b/>
                <w:color w:val="auto"/>
                <w:sz w:val="21"/>
                <w:szCs w:val="21"/>
              </w:rPr>
              <w:t>★</w:t>
            </w:r>
            <w:r>
              <w:rPr>
                <w:rFonts w:hint="eastAsia" w:ascii="宋体" w:hAnsi="宋体" w:cs="宋体"/>
                <w:color w:val="auto"/>
                <w:szCs w:val="21"/>
              </w:rPr>
              <w:t>提供独立业务插槽≥8个；</w:t>
            </w:r>
          </w:p>
          <w:p w14:paraId="346A6293">
            <w:pPr>
              <w:widowControl/>
              <w:jc w:val="left"/>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w:t>
            </w:r>
            <w:r>
              <w:rPr>
                <w:rFonts w:hint="eastAsia" w:ascii="宋体" w:hAnsi="宋体" w:eastAsia="宋体" w:cs="宋体"/>
                <w:b/>
                <w:color w:val="auto"/>
                <w:sz w:val="21"/>
                <w:szCs w:val="21"/>
              </w:rPr>
              <w:t>★</w:t>
            </w:r>
            <w:r>
              <w:rPr>
                <w:rFonts w:hint="eastAsia" w:ascii="宋体" w:hAnsi="宋体" w:cs="宋体"/>
                <w:color w:val="auto"/>
                <w:szCs w:val="21"/>
              </w:rPr>
              <w:t>满配主控引擎及交换网板，配置万兆光口≥</w:t>
            </w:r>
            <w:r>
              <w:rPr>
                <w:rFonts w:ascii="宋体" w:hAnsi="宋体" w:cs="宋体"/>
                <w:color w:val="auto"/>
                <w:szCs w:val="21"/>
              </w:rPr>
              <w:t>18</w:t>
            </w:r>
            <w:r>
              <w:rPr>
                <w:rFonts w:hint="eastAsia" w:ascii="宋体" w:hAnsi="宋体" w:cs="宋体"/>
                <w:color w:val="auto"/>
                <w:szCs w:val="21"/>
              </w:rPr>
              <w:t>个、千兆光口数量≥8个、千兆电口数量≥8个，配置模块化双电源，实现1+1冗余，可支持热插拔；</w:t>
            </w:r>
          </w:p>
          <w:p w14:paraId="4CA5B656">
            <w:pPr>
              <w:widowControl/>
              <w:jc w:val="left"/>
              <w:rPr>
                <w:rFonts w:ascii="宋体" w:hAnsi="宋体" w:cs="宋体"/>
                <w:color w:val="auto"/>
                <w:szCs w:val="21"/>
              </w:rPr>
            </w:pPr>
            <w:r>
              <w:rPr>
                <w:rFonts w:ascii="宋体" w:hAnsi="宋体" w:cs="宋体"/>
                <w:color w:val="auto"/>
                <w:szCs w:val="21"/>
              </w:rPr>
              <w:t>3.</w:t>
            </w:r>
            <w:r>
              <w:rPr>
                <w:rFonts w:hint="eastAsia" w:ascii="宋体" w:hAnsi="宋体" w:eastAsia="宋体" w:cs="宋体"/>
                <w:b/>
                <w:color w:val="auto"/>
                <w:sz w:val="21"/>
                <w:szCs w:val="21"/>
              </w:rPr>
              <w:t>★</w:t>
            </w:r>
            <w:r>
              <w:rPr>
                <w:rFonts w:hint="eastAsia" w:ascii="宋体" w:hAnsi="宋体" w:cs="宋体"/>
                <w:color w:val="auto"/>
                <w:szCs w:val="21"/>
              </w:rPr>
              <w:t>交换容量≥35Tbps，转发性能≥6000Mpps</w:t>
            </w:r>
          </w:p>
          <w:p w14:paraId="5A6802EA">
            <w:pPr>
              <w:widowControl/>
              <w:jc w:val="left"/>
              <w:rPr>
                <w:rFonts w:ascii="宋体" w:hAnsi="宋体" w:cs="宋体"/>
                <w:color w:val="auto"/>
                <w:szCs w:val="21"/>
              </w:rPr>
            </w:pPr>
            <w:r>
              <w:rPr>
                <w:rFonts w:ascii="宋体" w:hAnsi="宋体" w:cs="宋体"/>
                <w:color w:val="auto"/>
                <w:szCs w:val="21"/>
              </w:rPr>
              <w:t>4</w:t>
            </w:r>
            <w:r>
              <w:rPr>
                <w:rFonts w:hint="eastAsia" w:ascii="宋体" w:hAnsi="宋体" w:cs="宋体"/>
                <w:color w:val="auto"/>
                <w:szCs w:val="21"/>
              </w:rPr>
              <w:t>.采取严格前后风道散热设计，确保与机房散热风道保持一致，提升散热效率；</w:t>
            </w:r>
          </w:p>
          <w:p w14:paraId="729312AA">
            <w:pPr>
              <w:widowControl/>
              <w:jc w:val="left"/>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w:t>
            </w:r>
            <w:r>
              <w:rPr>
                <w:rFonts w:hint="eastAsia" w:ascii="宋体" w:hAnsi="宋体" w:cs="宋体"/>
                <w:color w:val="auto"/>
                <w:szCs w:val="21"/>
              </w:rPr>
              <w:t>可将多台物理设备虚拟化为1台逻辑设备，虚拟化成员设备之间支持多条链路互联，且多条链路为负载均衡模式，断开一条链路后，流量可自动切换到其他链路，通过丢包数量计算出收敛时间≤100ms</w:t>
            </w:r>
          </w:p>
          <w:p w14:paraId="1DD9F7EC">
            <w:pPr>
              <w:widowControl/>
              <w:jc w:val="left"/>
              <w:rPr>
                <w:rFonts w:ascii="宋体" w:hAnsi="宋体" w:cs="宋体"/>
                <w:color w:val="auto"/>
                <w:szCs w:val="21"/>
              </w:rPr>
            </w:pPr>
            <w:r>
              <w:rPr>
                <w:rFonts w:ascii="宋体" w:hAnsi="宋体" w:cs="宋体"/>
                <w:color w:val="auto"/>
                <w:szCs w:val="21"/>
              </w:rPr>
              <w:t>6</w:t>
            </w:r>
            <w:r>
              <w:rPr>
                <w:rFonts w:hint="eastAsia" w:ascii="宋体" w:hAnsi="宋体" w:cs="宋体"/>
                <w:color w:val="auto"/>
                <w:szCs w:val="21"/>
              </w:rPr>
              <w:t>.采用正交交换架构，交换网板与线卡成垂直90°正交连接且与主控引擎、业务板硬件分离；</w:t>
            </w:r>
          </w:p>
          <w:p w14:paraId="388BAA90">
            <w:pPr>
              <w:widowControl/>
              <w:jc w:val="left"/>
              <w:rPr>
                <w:rFonts w:ascii="宋体" w:hAnsi="宋体" w:cs="宋体"/>
                <w:color w:val="auto"/>
                <w:szCs w:val="21"/>
              </w:rPr>
            </w:pPr>
            <w:r>
              <w:rPr>
                <w:rFonts w:ascii="宋体" w:hAnsi="宋体" w:cs="宋体"/>
                <w:color w:val="auto"/>
                <w:szCs w:val="21"/>
              </w:rPr>
              <w:t>7.</w:t>
            </w:r>
            <w:r>
              <w:rPr>
                <w:rFonts w:hint="eastAsia" w:ascii="宋体" w:hAnsi="宋体" w:cs="宋体"/>
                <w:color w:val="auto"/>
                <w:szCs w:val="21"/>
              </w:rPr>
              <w:t>具备OSPFv3、IS-IS、IS-Isv6、BGP、BGP4+、策略路由等路由功能；</w:t>
            </w:r>
          </w:p>
          <w:p w14:paraId="30F17B7E">
            <w:pPr>
              <w:widowControl/>
              <w:jc w:val="left"/>
              <w:rPr>
                <w:rFonts w:ascii="宋体" w:hAnsi="宋体" w:cs="宋体"/>
                <w:color w:val="auto"/>
                <w:szCs w:val="21"/>
              </w:rPr>
            </w:pPr>
            <w:r>
              <w:rPr>
                <w:rFonts w:ascii="宋体" w:hAnsi="宋体" w:cs="宋体"/>
                <w:color w:val="auto"/>
                <w:szCs w:val="21"/>
              </w:rPr>
              <w:t>8.</w:t>
            </w:r>
            <w:r>
              <w:rPr>
                <w:rFonts w:hint="eastAsia" w:ascii="宋体" w:hAnsi="宋体" w:cs="宋体"/>
                <w:color w:val="auto"/>
                <w:szCs w:val="21"/>
              </w:rPr>
              <w:t>具备安全特性，支持一般性防攻击、AAA、RADIUS、ARP安全等，保障业务安全；</w:t>
            </w:r>
          </w:p>
          <w:p w14:paraId="740D4D80">
            <w:pPr>
              <w:widowControl/>
              <w:jc w:val="left"/>
              <w:rPr>
                <w:rFonts w:ascii="宋体" w:hAnsi="宋体" w:cs="宋体"/>
                <w:color w:val="auto"/>
                <w:szCs w:val="21"/>
              </w:rPr>
            </w:pPr>
            <w:r>
              <w:rPr>
                <w:rFonts w:ascii="宋体" w:hAnsi="宋体" w:cs="宋体"/>
                <w:color w:val="auto"/>
                <w:szCs w:val="21"/>
              </w:rPr>
              <w:t>9.</w:t>
            </w:r>
            <w:r>
              <w:rPr>
                <w:rFonts w:hint="eastAsia" w:ascii="宋体" w:hAnsi="宋体" w:cs="宋体"/>
                <w:color w:val="auto"/>
                <w:szCs w:val="21"/>
              </w:rPr>
              <w:t>支持静态路由、等价路由、策略路由；支持OSPF v2/v3、RIPv1/v2、RIPng、BGPv4、BGP4+、IS-ISv4/v6等路由协议；</w:t>
            </w:r>
          </w:p>
          <w:p w14:paraId="030D5664">
            <w:pPr>
              <w:widowControl/>
              <w:jc w:val="left"/>
              <w:rPr>
                <w:rFonts w:ascii="宋体" w:hAnsi="宋体" w:cs="宋体"/>
                <w:color w:val="auto"/>
                <w:szCs w:val="21"/>
              </w:rPr>
            </w:pPr>
            <w:r>
              <w:rPr>
                <w:rFonts w:ascii="宋体" w:hAnsi="宋体" w:cs="宋体"/>
                <w:color w:val="auto"/>
                <w:szCs w:val="21"/>
              </w:rPr>
              <w:t>10.</w:t>
            </w:r>
            <w:r>
              <w:rPr>
                <w:rFonts w:hint="eastAsia" w:ascii="宋体" w:hAnsi="宋体" w:cs="宋体"/>
                <w:color w:val="auto"/>
                <w:szCs w:val="21"/>
              </w:rPr>
              <w:t>支持SNMP V1/V2/V3、Telnet、SSHv2.0；支持通过命令行或中文图形化配置软件等方式进行配置和管理；</w:t>
            </w:r>
          </w:p>
          <w:p w14:paraId="7B09D302">
            <w:pPr>
              <w:widowControl/>
              <w:jc w:val="left"/>
              <w:rPr>
                <w:rFonts w:ascii="宋体" w:hAnsi="宋体" w:cs="宋体"/>
                <w:color w:val="auto"/>
                <w:szCs w:val="21"/>
              </w:rPr>
            </w:pPr>
            <w:r>
              <w:rPr>
                <w:rFonts w:ascii="宋体" w:hAnsi="宋体" w:cs="宋体"/>
                <w:color w:val="auto"/>
                <w:szCs w:val="21"/>
              </w:rPr>
              <w:t>11.</w:t>
            </w:r>
            <w:r>
              <w:rPr>
                <w:rFonts w:hint="eastAsia" w:ascii="宋体" w:hAnsi="宋体" w:cs="宋体"/>
                <w:color w:val="auto"/>
                <w:szCs w:val="21"/>
              </w:rPr>
              <w:t xml:space="preserve">提供MPLS VPN功能：支持MPLS L3VPN、MPLS QoS； </w:t>
            </w:r>
          </w:p>
          <w:p w14:paraId="62E58A3B">
            <w:pPr>
              <w:widowControl/>
              <w:jc w:val="left"/>
              <w:rPr>
                <w:rFonts w:ascii="宋体" w:hAnsi="宋体" w:cs="宋体"/>
                <w:color w:val="auto"/>
                <w:szCs w:val="21"/>
              </w:rPr>
            </w:pPr>
            <w:r>
              <w:rPr>
                <w:rFonts w:ascii="宋体" w:hAnsi="宋体" w:cs="宋体"/>
                <w:color w:val="auto"/>
                <w:szCs w:val="21"/>
              </w:rPr>
              <w:t>12.</w:t>
            </w:r>
            <w:r>
              <w:rPr>
                <w:rFonts w:hint="eastAsia" w:ascii="宋体" w:hAnsi="宋体" w:cs="宋体"/>
                <w:color w:val="auto"/>
                <w:szCs w:val="21"/>
              </w:rPr>
              <w:t>支持IGMP，支持PIM-DM、PIM-SM、PIM-SSM等组播路由协议、支持组播静态路由；</w:t>
            </w:r>
          </w:p>
          <w:p w14:paraId="77F62949">
            <w:pPr>
              <w:widowControl/>
              <w:jc w:val="left"/>
              <w:rPr>
                <w:rFonts w:ascii="宋体" w:hAnsi="宋体" w:cs="宋体"/>
                <w:color w:val="auto"/>
                <w:szCs w:val="21"/>
              </w:rPr>
            </w:pPr>
            <w:r>
              <w:rPr>
                <w:rFonts w:ascii="宋体" w:hAnsi="宋体" w:cs="宋体"/>
                <w:color w:val="auto"/>
                <w:szCs w:val="21"/>
              </w:rPr>
              <w:t>13.</w:t>
            </w:r>
            <w:r>
              <w:rPr>
                <w:rFonts w:hint="eastAsia" w:ascii="宋体" w:hAnsi="宋体" w:cs="宋体"/>
                <w:color w:val="auto"/>
                <w:szCs w:val="21"/>
              </w:rPr>
              <w:t>绿色节能：符合IEEE 802.3az（EEE）节能标准；</w:t>
            </w:r>
          </w:p>
        </w:tc>
      </w:tr>
      <w:tr w14:paraId="0DED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7" w:type="dxa"/>
            <w:vAlign w:val="center"/>
          </w:tcPr>
          <w:p w14:paraId="107087FB">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6</w:t>
            </w:r>
            <w:r>
              <w:rPr>
                <w:rFonts w:hint="eastAsia" w:ascii="宋体" w:hAnsi="宋体" w:cs="宋体"/>
                <w:color w:val="auto"/>
                <w:szCs w:val="21"/>
                <w:lang w:eastAsia="zh-CN"/>
              </w:rPr>
              <w:t>）</w:t>
            </w:r>
          </w:p>
        </w:tc>
        <w:tc>
          <w:tcPr>
            <w:tcW w:w="1744" w:type="dxa"/>
            <w:gridSpan w:val="2"/>
            <w:vAlign w:val="center"/>
          </w:tcPr>
          <w:p w14:paraId="7F5A61E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auto"/>
                <w:szCs w:val="21"/>
              </w:rPr>
            </w:pPr>
            <w:r>
              <w:rPr>
                <w:rFonts w:hint="eastAsia" w:ascii="宋体" w:hAnsi="宋体" w:cs="宋体"/>
                <w:color w:val="auto"/>
                <w:szCs w:val="21"/>
              </w:rPr>
              <w:t>核心路由器扩容板卡</w:t>
            </w:r>
          </w:p>
        </w:tc>
        <w:tc>
          <w:tcPr>
            <w:tcW w:w="898" w:type="dxa"/>
            <w:vAlign w:val="center"/>
          </w:tcPr>
          <w:p w14:paraId="399628F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auto"/>
                <w:szCs w:val="21"/>
              </w:rPr>
            </w:pPr>
            <w:r>
              <w:rPr>
                <w:rFonts w:hint="eastAsia" w:ascii="宋体" w:hAnsi="宋体" w:cs="宋体"/>
                <w:color w:val="auto"/>
                <w:kern w:val="0"/>
                <w:sz w:val="22"/>
              </w:rPr>
              <w:t>1</w:t>
            </w:r>
            <w:r>
              <w:rPr>
                <w:rFonts w:hint="eastAsia" w:ascii="宋体" w:hAnsi="宋体" w:cs="宋体"/>
                <w:color w:val="auto"/>
                <w:szCs w:val="21"/>
              </w:rPr>
              <w:t>套</w:t>
            </w:r>
          </w:p>
        </w:tc>
        <w:tc>
          <w:tcPr>
            <w:tcW w:w="5538" w:type="dxa"/>
            <w:vAlign w:val="center"/>
          </w:tcPr>
          <w:p w14:paraId="140B9043">
            <w:pPr>
              <w:widowControl/>
              <w:jc w:val="left"/>
              <w:rPr>
                <w:rFonts w:ascii="宋体" w:hAnsi="宋体" w:cs="宋体"/>
                <w:color w:val="auto"/>
                <w:szCs w:val="21"/>
              </w:rPr>
            </w:pPr>
            <w:r>
              <w:rPr>
                <w:rFonts w:hint="eastAsia" w:ascii="宋体" w:hAnsi="宋体" w:cs="宋体"/>
                <w:color w:val="auto"/>
                <w:szCs w:val="21"/>
              </w:rPr>
              <w:t>1.</w:t>
            </w:r>
            <w:r>
              <w:rPr>
                <w:rFonts w:hint="eastAsia" w:ascii="宋体" w:hAnsi="宋体" w:eastAsia="宋体" w:cs="宋体"/>
                <w:b/>
                <w:color w:val="auto"/>
                <w:sz w:val="21"/>
                <w:szCs w:val="21"/>
              </w:rPr>
              <w:t>★</w:t>
            </w:r>
            <w:r>
              <w:rPr>
                <w:rFonts w:hint="eastAsia" w:ascii="宋体" w:hAnsi="宋体" w:cs="宋体"/>
                <w:color w:val="auto"/>
                <w:szCs w:val="21"/>
              </w:rPr>
              <w:t>提供≥</w:t>
            </w:r>
            <w:r>
              <w:rPr>
                <w:rFonts w:ascii="宋体" w:hAnsi="宋体" w:cs="宋体"/>
                <w:color w:val="auto"/>
                <w:szCs w:val="21"/>
              </w:rPr>
              <w:t>24</w:t>
            </w:r>
            <w:r>
              <w:rPr>
                <w:rFonts w:hint="eastAsia" w:ascii="宋体" w:hAnsi="宋体" w:cs="宋体"/>
                <w:color w:val="auto"/>
                <w:szCs w:val="21"/>
              </w:rPr>
              <w:t>个万兆以太网光口；</w:t>
            </w:r>
          </w:p>
          <w:p w14:paraId="095F6EB6">
            <w:pPr>
              <w:widowControl/>
              <w:jc w:val="left"/>
              <w:rPr>
                <w:rFonts w:ascii="宋体" w:hAnsi="宋体" w:cs="宋体"/>
                <w:color w:val="auto"/>
                <w:szCs w:val="21"/>
              </w:rPr>
            </w:pPr>
            <w:r>
              <w:rPr>
                <w:rFonts w:hint="eastAsia" w:ascii="宋体" w:hAnsi="宋体" w:cs="宋体"/>
                <w:color w:val="auto"/>
                <w:szCs w:val="21"/>
              </w:rPr>
              <w:t>2.支持与灵山电子政务外网原有核心路由器（品牌：锐捷、型号：RG-RSR7708</w:t>
            </w:r>
            <w:r>
              <w:rPr>
                <w:rFonts w:ascii="宋体" w:hAnsi="宋体" w:cs="宋体"/>
                <w:color w:val="auto"/>
                <w:szCs w:val="21"/>
              </w:rPr>
              <w:t>-X</w:t>
            </w:r>
            <w:r>
              <w:rPr>
                <w:rFonts w:hint="eastAsia" w:ascii="宋体" w:hAnsi="宋体" w:cs="宋体"/>
                <w:color w:val="auto"/>
                <w:szCs w:val="21"/>
              </w:rPr>
              <w:t>）配套使用；</w:t>
            </w:r>
          </w:p>
        </w:tc>
      </w:tr>
      <w:tr w14:paraId="28F1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727" w:type="dxa"/>
            <w:vAlign w:val="center"/>
          </w:tcPr>
          <w:p w14:paraId="19258A0A">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7</w:t>
            </w:r>
            <w:r>
              <w:rPr>
                <w:rFonts w:hint="eastAsia" w:ascii="宋体" w:hAnsi="宋体" w:cs="宋体"/>
                <w:color w:val="auto"/>
                <w:szCs w:val="21"/>
                <w:lang w:eastAsia="zh-CN"/>
              </w:rPr>
              <w:t>）</w:t>
            </w:r>
          </w:p>
        </w:tc>
        <w:tc>
          <w:tcPr>
            <w:tcW w:w="1744" w:type="dxa"/>
            <w:gridSpan w:val="2"/>
            <w:vAlign w:val="center"/>
          </w:tcPr>
          <w:p w14:paraId="7D58642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auto"/>
                <w:szCs w:val="21"/>
              </w:rPr>
            </w:pPr>
            <w:r>
              <w:rPr>
                <w:rFonts w:hint="eastAsia" w:ascii="宋体" w:hAnsi="宋体" w:cs="宋体"/>
                <w:color w:val="auto"/>
                <w:szCs w:val="21"/>
              </w:rPr>
              <w:t>核心交换机扩容板卡</w:t>
            </w:r>
          </w:p>
        </w:tc>
        <w:tc>
          <w:tcPr>
            <w:tcW w:w="898" w:type="dxa"/>
            <w:vAlign w:val="center"/>
          </w:tcPr>
          <w:p w14:paraId="45C4F58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auto"/>
                <w:szCs w:val="21"/>
              </w:rPr>
            </w:pPr>
            <w:r>
              <w:rPr>
                <w:rFonts w:ascii="宋体" w:hAnsi="宋体" w:cs="宋体"/>
                <w:color w:val="auto"/>
                <w:kern w:val="0"/>
                <w:sz w:val="22"/>
              </w:rPr>
              <w:t>1</w:t>
            </w:r>
            <w:r>
              <w:rPr>
                <w:rFonts w:hint="eastAsia" w:ascii="宋体" w:hAnsi="宋体" w:cs="宋体"/>
                <w:color w:val="auto"/>
                <w:szCs w:val="21"/>
              </w:rPr>
              <w:t>套</w:t>
            </w:r>
          </w:p>
        </w:tc>
        <w:tc>
          <w:tcPr>
            <w:tcW w:w="5538" w:type="dxa"/>
            <w:vAlign w:val="center"/>
          </w:tcPr>
          <w:p w14:paraId="6C0AC384">
            <w:pPr>
              <w:widowControl/>
              <w:jc w:val="left"/>
              <w:rPr>
                <w:rFonts w:ascii="宋体" w:hAnsi="宋体" w:cs="宋体"/>
                <w:color w:val="auto"/>
                <w:szCs w:val="21"/>
              </w:rPr>
            </w:pPr>
            <w:r>
              <w:rPr>
                <w:rFonts w:hint="eastAsia" w:ascii="宋体" w:hAnsi="宋体" w:cs="宋体"/>
                <w:color w:val="auto"/>
                <w:szCs w:val="21"/>
              </w:rPr>
              <w:t>1.</w:t>
            </w:r>
            <w:r>
              <w:rPr>
                <w:rFonts w:hint="eastAsia" w:ascii="宋体" w:hAnsi="宋体" w:eastAsia="宋体" w:cs="宋体"/>
                <w:b/>
                <w:color w:val="auto"/>
                <w:sz w:val="21"/>
                <w:szCs w:val="21"/>
              </w:rPr>
              <w:t>★</w:t>
            </w:r>
            <w:r>
              <w:rPr>
                <w:rFonts w:hint="eastAsia" w:ascii="宋体" w:hAnsi="宋体" w:cs="宋体"/>
                <w:color w:val="auto"/>
                <w:szCs w:val="21"/>
              </w:rPr>
              <w:t>提供≥52个万兆以太网光口，48个千兆以太网光口；</w:t>
            </w:r>
          </w:p>
          <w:p w14:paraId="5CE33BE1">
            <w:pPr>
              <w:widowControl/>
              <w:jc w:val="left"/>
              <w:rPr>
                <w:rFonts w:hint="eastAsia" w:ascii="宋体" w:hAnsi="宋体" w:cs="宋体"/>
                <w:color w:val="auto"/>
                <w:szCs w:val="21"/>
              </w:rPr>
            </w:pPr>
            <w:r>
              <w:rPr>
                <w:rFonts w:hint="eastAsia" w:ascii="宋体" w:hAnsi="宋体" w:cs="宋体"/>
                <w:color w:val="auto"/>
                <w:szCs w:val="21"/>
              </w:rPr>
              <w:t>2.支持与灵山电子政务外网原有核心交换机（品牌：锐捷、型号：RG-S</w:t>
            </w:r>
            <w:r>
              <w:rPr>
                <w:rFonts w:ascii="宋体" w:hAnsi="宋体" w:cs="宋体"/>
                <w:color w:val="auto"/>
                <w:szCs w:val="21"/>
              </w:rPr>
              <w:t>8605E</w:t>
            </w:r>
            <w:r>
              <w:rPr>
                <w:rFonts w:hint="eastAsia" w:ascii="宋体" w:hAnsi="宋体" w:cs="宋体"/>
                <w:color w:val="auto"/>
                <w:szCs w:val="21"/>
              </w:rPr>
              <w:t>）配套使用；</w:t>
            </w:r>
          </w:p>
        </w:tc>
      </w:tr>
      <w:tr w14:paraId="5453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07" w:type="dxa"/>
            <w:gridSpan w:val="5"/>
            <w:vAlign w:val="center"/>
          </w:tcPr>
          <w:p w14:paraId="1FE82645">
            <w:pPr>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Cs w:val="21"/>
                <w:lang w:val="en-US" w:eastAsia="zh-CN"/>
              </w:rPr>
            </w:pPr>
            <w:r>
              <w:rPr>
                <w:rFonts w:hint="eastAsia" w:ascii="宋体" w:hAnsi="宋体" w:cs="宋体"/>
                <w:b/>
                <w:color w:val="auto"/>
                <w:szCs w:val="21"/>
                <w:lang w:val="en-US" w:eastAsia="zh-CN"/>
              </w:rPr>
              <w:t>三、政务外网运维管理系统软件采购和对接服务</w:t>
            </w:r>
          </w:p>
        </w:tc>
      </w:tr>
      <w:tr w14:paraId="2E73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7" w:type="dxa"/>
            <w:vAlign w:val="center"/>
          </w:tcPr>
          <w:p w14:paraId="08D1E7DF">
            <w:pPr>
              <w:keepNext w:val="0"/>
              <w:keepLines w:val="0"/>
              <w:pageBreakBefore w:val="0"/>
              <w:kinsoku/>
              <w:wordWrap/>
              <w:overflowPunct/>
              <w:topLinePunct w:val="0"/>
              <w:autoSpaceDE/>
              <w:autoSpaceDN/>
              <w:bidi w:val="0"/>
              <w:adjustRightInd/>
              <w:snapToGrid/>
              <w:ind w:firstLine="210" w:firstLineChars="100"/>
              <w:jc w:val="left"/>
              <w:textAlignment w:val="auto"/>
              <w:rPr>
                <w:rFonts w:hint="eastAsia" w:ascii="宋体" w:hAnsi="宋体" w:eastAsia="宋体" w:cs="宋体"/>
                <w:color w:val="auto"/>
                <w:szCs w:val="21"/>
                <w:lang w:eastAsia="zh-CN"/>
              </w:rPr>
            </w:pPr>
            <w:r>
              <w:rPr>
                <w:rFonts w:hint="eastAsia" w:ascii="宋体" w:hAnsi="宋体" w:cs="宋体"/>
                <w:color w:val="auto"/>
                <w:szCs w:val="21"/>
                <w:lang w:val="en-US" w:eastAsia="zh-CN"/>
              </w:rPr>
              <w:t>5</w:t>
            </w:r>
          </w:p>
        </w:tc>
        <w:tc>
          <w:tcPr>
            <w:tcW w:w="965" w:type="dxa"/>
            <w:vAlign w:val="center"/>
          </w:tcPr>
          <w:p w14:paraId="20586D8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auto"/>
                <w:kern w:val="0"/>
                <w:sz w:val="22"/>
              </w:rPr>
            </w:pPr>
            <w:r>
              <w:rPr>
                <w:rFonts w:hint="eastAsia" w:ascii="宋体" w:hAnsi="宋体" w:cs="宋体"/>
                <w:color w:val="auto"/>
                <w:kern w:val="0"/>
                <w:sz w:val="22"/>
              </w:rPr>
              <w:t>运维管理系统</w:t>
            </w:r>
          </w:p>
        </w:tc>
        <w:tc>
          <w:tcPr>
            <w:tcW w:w="779" w:type="dxa"/>
            <w:vAlign w:val="center"/>
          </w:tcPr>
          <w:p w14:paraId="2CDA7BF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软件和信息技术服务业</w:t>
            </w:r>
          </w:p>
        </w:tc>
        <w:tc>
          <w:tcPr>
            <w:tcW w:w="898" w:type="dxa"/>
            <w:vAlign w:val="center"/>
          </w:tcPr>
          <w:p w14:paraId="03268CA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auto"/>
                <w:kern w:val="0"/>
                <w:sz w:val="22"/>
              </w:rPr>
            </w:pPr>
            <w:r>
              <w:rPr>
                <w:rFonts w:hint="eastAsia" w:ascii="宋体" w:hAnsi="宋体" w:cs="宋体"/>
                <w:color w:val="auto"/>
                <w:kern w:val="0"/>
                <w:sz w:val="22"/>
              </w:rPr>
              <w:t>1套</w:t>
            </w:r>
          </w:p>
        </w:tc>
        <w:tc>
          <w:tcPr>
            <w:tcW w:w="5538" w:type="dxa"/>
            <w:vAlign w:val="center"/>
          </w:tcPr>
          <w:p w14:paraId="7F43DA4E">
            <w:pPr>
              <w:widowControl/>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eastAsia="宋体" w:cs="宋体"/>
                <w:b/>
                <w:color w:val="auto"/>
                <w:sz w:val="21"/>
                <w:szCs w:val="21"/>
              </w:rPr>
              <w:t>★</w:t>
            </w:r>
            <w:r>
              <w:rPr>
                <w:rFonts w:hint="eastAsia" w:ascii="宋体" w:hAnsi="宋体" w:cs="宋体"/>
                <w:color w:val="auto"/>
                <w:szCs w:val="21"/>
              </w:rPr>
              <w:t>运维管理平台需包括但不限于功能如下：提供资源管理、统一网络管理、服务器、数据库管理、虚拟化平台管理、存储管理、拓扑管理功能，告警管理、数据仓库、发现管理、策略管理、模型管理、采控管理、通知管理、权限认证管理报表管理等功能。</w:t>
            </w:r>
          </w:p>
          <w:p w14:paraId="5A5CADC1">
            <w:pPr>
              <w:widowControl/>
              <w:jc w:val="lef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eastAsia="宋体" w:cs="宋体"/>
                <w:b/>
                <w:color w:val="auto"/>
                <w:sz w:val="21"/>
                <w:szCs w:val="21"/>
              </w:rPr>
              <w:t>★</w:t>
            </w:r>
            <w:r>
              <w:rPr>
                <w:rFonts w:hint="eastAsia" w:ascii="宋体" w:hAnsi="宋体" w:cs="宋体"/>
                <w:color w:val="auto"/>
                <w:szCs w:val="21"/>
              </w:rPr>
              <w:t>配置资源授权：网络、安全设备授权≥50个，云/虚拟化主机、存储、操作系统、中间件、数据库、web服务、IPMI服务器管理授权≥50个，配置分级管理分支节点组件。</w:t>
            </w:r>
          </w:p>
          <w:p w14:paraId="4AD355EF">
            <w:pPr>
              <w:widowControl/>
              <w:jc w:val="left"/>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w:t>
            </w:r>
            <w:r>
              <w:rPr>
                <w:rFonts w:hint="eastAsia" w:ascii="宋体" w:hAnsi="宋体" w:cs="宋体"/>
                <w:color w:val="auto"/>
                <w:szCs w:val="21"/>
              </w:rPr>
              <w:t>支持对常用中间件的性能指标监控和异常检测告警，包括但不限于Tomcat、IIS、Nginx、APache等。监控能力包括：中间件版本、当前会话数、最大会话数、当前连接数、最大连接数、每秒请求数。</w:t>
            </w:r>
          </w:p>
          <w:p w14:paraId="6E06BE34">
            <w:pPr>
              <w:widowControl/>
              <w:jc w:val="left"/>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val="en-US" w:eastAsia="zh-CN"/>
              </w:rPr>
              <w:t>.</w:t>
            </w:r>
            <w:r>
              <w:rPr>
                <w:rFonts w:hint="eastAsia" w:ascii="宋体" w:hAnsi="宋体" w:cs="宋体"/>
                <w:color w:val="auto"/>
                <w:szCs w:val="21"/>
              </w:rPr>
              <w:t>为了方便查看网络设备的运行数据，系统应支持实时查看路由器、交换机的逻辑面板图，同时支持包括但不限于查看IP表、Vlan表、ARP表、MAC转发表、Vlan接口表、路由表等。应支持通过逻辑面板的可视化操作，完成对接口的启停操作，当出现设备故障时，以方便运维人员快速操作，协助排查问题。</w:t>
            </w:r>
          </w:p>
          <w:p w14:paraId="497845F6">
            <w:pPr>
              <w:widowControl/>
              <w:jc w:val="left"/>
              <w:rPr>
                <w:rFonts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val="en-US" w:eastAsia="zh-CN"/>
              </w:rPr>
              <w:t>.</w:t>
            </w:r>
            <w:r>
              <w:rPr>
                <w:rFonts w:hint="eastAsia" w:ascii="宋体" w:hAnsi="宋体" w:eastAsia="宋体" w:cs="宋体"/>
                <w:b/>
                <w:color w:val="auto"/>
                <w:sz w:val="21"/>
                <w:szCs w:val="21"/>
              </w:rPr>
              <w:t>▲</w:t>
            </w:r>
            <w:r>
              <w:rPr>
                <w:rFonts w:hint="eastAsia" w:ascii="宋体" w:hAnsi="宋体" w:cs="宋体"/>
                <w:color w:val="auto"/>
                <w:szCs w:val="21"/>
              </w:rPr>
              <w:t>能够查看当前资源的所有相关详细信息，包括但不限于资源的告警、拓扑、组件及指标：</w:t>
            </w:r>
          </w:p>
          <w:p w14:paraId="7E38C368">
            <w:pPr>
              <w:widowControl/>
              <w:jc w:val="left"/>
              <w:rPr>
                <w:rFonts w:hint="eastAsia" w:ascii="宋体" w:hAnsi="宋体" w:cs="宋体"/>
                <w:color w:val="auto"/>
                <w:szCs w:val="21"/>
              </w:rPr>
            </w:pPr>
            <w:r>
              <w:rPr>
                <w:rFonts w:hint="eastAsia" w:ascii="宋体" w:hAnsi="宋体" w:cs="宋体"/>
                <w:color w:val="auto"/>
                <w:szCs w:val="21"/>
              </w:rPr>
              <w:t>1）支持查看当前监控资源的所有告警信息，并能够按不同类型或处理状态进行分类查询，并能够下钻打开告警详情信息。</w:t>
            </w:r>
          </w:p>
          <w:p w14:paraId="441EDD5C">
            <w:pPr>
              <w:widowControl/>
              <w:jc w:val="left"/>
              <w:rPr>
                <w:rFonts w:ascii="宋体" w:hAnsi="宋体" w:cs="宋体"/>
                <w:color w:val="auto"/>
                <w:szCs w:val="21"/>
              </w:rPr>
            </w:pPr>
            <w:r>
              <w:rPr>
                <w:rFonts w:hint="eastAsia" w:ascii="宋体" w:hAnsi="宋体" w:cs="宋体"/>
                <w:color w:val="auto"/>
                <w:szCs w:val="21"/>
              </w:rPr>
              <w:t>2）支持以拓扑图的方式查看监控资源的关系数据，当有告警产生时，可以在拓扑图是有明显的提示。3）、支持查看资源及组件的所有指标数据，并能够实时取值，查看趋势数据，能够设定趋势数据时间周期。</w:t>
            </w:r>
          </w:p>
          <w:p w14:paraId="02DB51AB">
            <w:pPr>
              <w:widowControl/>
              <w:jc w:val="left"/>
              <w:rPr>
                <w:rFonts w:ascii="宋体" w:hAnsi="宋体" w:cs="宋体"/>
                <w:color w:val="auto"/>
                <w:szCs w:val="21"/>
              </w:rPr>
            </w:pPr>
            <w:r>
              <w:rPr>
                <w:rFonts w:hint="eastAsia" w:ascii="宋体" w:hAnsi="宋体" w:cs="宋体"/>
                <w:color w:val="auto"/>
                <w:szCs w:val="21"/>
              </w:rPr>
              <w:t>6</w:t>
            </w:r>
            <w:r>
              <w:rPr>
                <w:rFonts w:hint="eastAsia" w:ascii="宋体" w:hAnsi="宋体" w:cs="宋体"/>
                <w:color w:val="auto"/>
                <w:szCs w:val="21"/>
                <w:lang w:val="en-US" w:eastAsia="zh-CN"/>
              </w:rPr>
              <w:t>.</w:t>
            </w:r>
            <w:r>
              <w:rPr>
                <w:rFonts w:hint="eastAsia" w:ascii="宋体" w:hAnsi="宋体" w:cs="宋体"/>
                <w:color w:val="auto"/>
                <w:szCs w:val="21"/>
              </w:rPr>
              <w:t>为了更高效的使用日志发现深层问题，提升日志告警可读性，系统需支持提取Syslog日志文本中的部分内容，提取方式应至少包括但不限于支持正则匹配等，支持在页面上用鼠标划选Syslog日志片段，自动生成正则表达式的提取规则，降低运维人员学习成本。</w:t>
            </w:r>
          </w:p>
          <w:p w14:paraId="20CD850A">
            <w:pPr>
              <w:widowControl/>
              <w:jc w:val="left"/>
              <w:rPr>
                <w:rFonts w:ascii="宋体" w:hAnsi="宋体" w:cs="宋体"/>
                <w:color w:val="auto"/>
                <w:szCs w:val="21"/>
              </w:rPr>
            </w:pPr>
            <w:r>
              <w:rPr>
                <w:rFonts w:hint="eastAsia" w:ascii="宋体" w:hAnsi="宋体" w:cs="宋体"/>
                <w:color w:val="auto"/>
                <w:szCs w:val="21"/>
              </w:rPr>
              <w:t>7</w:t>
            </w:r>
            <w:r>
              <w:rPr>
                <w:rFonts w:hint="eastAsia" w:ascii="宋体" w:hAnsi="宋体" w:cs="宋体"/>
                <w:color w:val="auto"/>
                <w:szCs w:val="21"/>
                <w:lang w:val="en-US" w:eastAsia="zh-CN"/>
              </w:rPr>
              <w:t>.</w:t>
            </w:r>
            <w:r>
              <w:rPr>
                <w:rFonts w:hint="eastAsia" w:ascii="宋体" w:hAnsi="宋体" w:cs="宋体"/>
                <w:color w:val="auto"/>
                <w:szCs w:val="21"/>
              </w:rPr>
              <w:t>为了方便网络管理人员选择最合适的拓扑图风格和展示样式，满足拓扑图的多种展示效果，需要支持所有拓扑的全套默认图标的一键切换、拓扑图整体样式风格一键切换。</w:t>
            </w:r>
          </w:p>
          <w:p w14:paraId="10A92D08">
            <w:pPr>
              <w:widowControl/>
              <w:jc w:val="left"/>
              <w:rPr>
                <w:rFonts w:ascii="宋体" w:hAnsi="宋体" w:cs="宋体"/>
                <w:color w:val="auto"/>
                <w:szCs w:val="21"/>
              </w:rPr>
            </w:pPr>
            <w:r>
              <w:rPr>
                <w:rFonts w:hint="eastAsia" w:ascii="宋体" w:hAnsi="宋体" w:cs="宋体"/>
                <w:color w:val="auto"/>
                <w:szCs w:val="21"/>
              </w:rPr>
              <w:t>8</w:t>
            </w:r>
            <w:r>
              <w:rPr>
                <w:rFonts w:hint="eastAsia" w:ascii="宋体" w:hAnsi="宋体" w:cs="宋体"/>
                <w:color w:val="auto"/>
                <w:szCs w:val="21"/>
                <w:lang w:val="en-US" w:eastAsia="zh-CN"/>
              </w:rPr>
              <w:t>.</w:t>
            </w:r>
            <w:r>
              <w:rPr>
                <w:rFonts w:hint="eastAsia" w:ascii="宋体" w:hAnsi="宋体" w:cs="宋体"/>
                <w:color w:val="auto"/>
                <w:szCs w:val="21"/>
              </w:rPr>
              <w:t>▲</w:t>
            </w:r>
            <w:r>
              <w:rPr>
                <w:rFonts w:hint="eastAsia" w:ascii="宋体" w:hAnsi="宋体" w:cs="宋体"/>
                <w:color w:val="auto"/>
                <w:szCs w:val="21"/>
                <w:lang w:val="en-US" w:eastAsia="zh-CN"/>
              </w:rPr>
              <w:t>系统</w:t>
            </w:r>
            <w:r>
              <w:rPr>
                <w:rFonts w:hint="eastAsia" w:ascii="宋体" w:hAnsi="宋体" w:cs="宋体"/>
                <w:color w:val="auto"/>
                <w:szCs w:val="21"/>
              </w:rPr>
              <w:t>具备全数据统计分析能力，应能内置数据分析能力，数据统计分析对象必须包括但不限于资源、告警、流量、链路等。支持基于模板或组件一键生成报表。同时应能对系统可监控的资源、组件进行全类型、全属性、全指标的统计分析。指标需要支持按平均值、最大值、最小值等不同方式计算和统计。</w:t>
            </w:r>
          </w:p>
          <w:p w14:paraId="09514D8C">
            <w:pPr>
              <w:widowControl/>
              <w:jc w:val="left"/>
              <w:rPr>
                <w:rFonts w:ascii="宋体" w:hAnsi="宋体" w:cs="宋体"/>
                <w:color w:val="auto"/>
                <w:szCs w:val="21"/>
              </w:rPr>
            </w:pPr>
            <w:r>
              <w:rPr>
                <w:rFonts w:hint="eastAsia" w:ascii="宋体" w:hAnsi="宋体" w:cs="宋体"/>
                <w:color w:val="auto"/>
                <w:szCs w:val="21"/>
              </w:rPr>
              <w:t>9</w:t>
            </w:r>
            <w:r>
              <w:rPr>
                <w:rFonts w:hint="eastAsia" w:ascii="宋体" w:hAnsi="宋体" w:cs="宋体"/>
                <w:color w:val="auto"/>
                <w:szCs w:val="21"/>
                <w:lang w:val="en-US" w:eastAsia="zh-CN"/>
              </w:rPr>
              <w:t>.</w:t>
            </w:r>
            <w:r>
              <w:rPr>
                <w:rFonts w:hint="eastAsia" w:ascii="宋体" w:hAnsi="宋体" w:cs="宋体"/>
                <w:color w:val="auto"/>
                <w:szCs w:val="21"/>
              </w:rPr>
              <w:t>为了方便设备在一张拓扑图中统一管理，查看拓扑图时，需支持将不常关注的资源合并展示：</w:t>
            </w:r>
          </w:p>
          <w:p w14:paraId="5CE4DCB3">
            <w:pPr>
              <w:widowControl/>
              <w:jc w:val="left"/>
              <w:rPr>
                <w:rFonts w:hint="eastAsia" w:ascii="宋体" w:hAnsi="宋体" w:cs="宋体"/>
                <w:color w:val="auto"/>
                <w:szCs w:val="21"/>
              </w:rPr>
            </w:pPr>
            <w:r>
              <w:rPr>
                <w:rFonts w:hint="eastAsia" w:ascii="宋体" w:hAnsi="宋体" w:cs="宋体"/>
                <w:color w:val="auto"/>
                <w:szCs w:val="21"/>
              </w:rPr>
              <w:t>1）支持将资源节点放于区域中展示</w:t>
            </w:r>
          </w:p>
          <w:p w14:paraId="6A431728">
            <w:pPr>
              <w:widowControl/>
              <w:jc w:val="left"/>
              <w:rPr>
                <w:rFonts w:hint="eastAsia" w:ascii="宋体" w:hAnsi="宋体" w:cs="宋体"/>
                <w:color w:val="auto"/>
                <w:szCs w:val="21"/>
              </w:rPr>
            </w:pPr>
            <w:r>
              <w:rPr>
                <w:rFonts w:hint="eastAsia" w:ascii="宋体" w:hAnsi="宋体" w:cs="宋体"/>
                <w:color w:val="auto"/>
                <w:szCs w:val="21"/>
              </w:rPr>
              <w:t>2） 支持将区域收起展示，支持区域的节点一并收起展示</w:t>
            </w:r>
          </w:p>
          <w:p w14:paraId="0FBD97CB">
            <w:pPr>
              <w:widowControl/>
              <w:jc w:val="left"/>
              <w:rPr>
                <w:rFonts w:hint="eastAsia" w:ascii="宋体" w:hAnsi="宋体" w:cs="宋体"/>
                <w:color w:val="auto"/>
                <w:szCs w:val="21"/>
              </w:rPr>
            </w:pPr>
            <w:r>
              <w:rPr>
                <w:rFonts w:hint="eastAsia" w:ascii="宋体" w:hAnsi="宋体" w:cs="宋体"/>
                <w:color w:val="auto"/>
                <w:szCs w:val="21"/>
              </w:rPr>
              <w:t>3）区域收起展开时，需支持区域外资源节点在拓扑图上的展示位置不变</w:t>
            </w:r>
          </w:p>
          <w:p w14:paraId="3AA52B22">
            <w:pPr>
              <w:widowControl/>
              <w:jc w:val="left"/>
              <w:rPr>
                <w:rFonts w:ascii="宋体" w:hAnsi="宋体" w:cs="宋体"/>
                <w:color w:val="auto"/>
                <w:szCs w:val="21"/>
              </w:rPr>
            </w:pPr>
            <w:r>
              <w:rPr>
                <w:rFonts w:hint="eastAsia" w:ascii="宋体" w:hAnsi="宋体" w:cs="宋体"/>
                <w:color w:val="auto"/>
                <w:szCs w:val="21"/>
              </w:rPr>
              <w:t>4） 区域内的资源/链路的告警和风险提示展示于收起区域;</w:t>
            </w:r>
          </w:p>
          <w:p w14:paraId="62B6D01B">
            <w:pPr>
              <w:widowControl/>
              <w:jc w:val="left"/>
              <w:rPr>
                <w:rFonts w:ascii="宋体" w:hAnsi="宋体" w:cs="宋体"/>
                <w:color w:val="auto"/>
                <w:szCs w:val="21"/>
              </w:rPr>
            </w:pPr>
            <w:r>
              <w:rPr>
                <w:rFonts w:hint="eastAsia" w:ascii="宋体" w:hAnsi="宋体" w:cs="宋体"/>
                <w:color w:val="auto"/>
                <w:szCs w:val="21"/>
              </w:rPr>
              <w:t>10</w:t>
            </w:r>
            <w:r>
              <w:rPr>
                <w:rFonts w:hint="eastAsia" w:ascii="宋体" w:hAnsi="宋体" w:cs="宋体"/>
                <w:color w:val="auto"/>
                <w:szCs w:val="21"/>
                <w:lang w:val="en-US" w:eastAsia="zh-CN"/>
              </w:rPr>
              <w:t>.</w:t>
            </w:r>
            <w:r>
              <w:rPr>
                <w:rFonts w:hint="eastAsia" w:ascii="宋体" w:hAnsi="宋体" w:cs="宋体"/>
                <w:color w:val="auto"/>
                <w:szCs w:val="21"/>
              </w:rPr>
              <w:t>当系统异常需要人工处理时，需能够快速导出厂商分析需要的故障信息：</w:t>
            </w:r>
          </w:p>
          <w:p w14:paraId="0E8F2308">
            <w:pPr>
              <w:widowControl/>
              <w:jc w:val="left"/>
              <w:rPr>
                <w:rFonts w:hint="eastAsia" w:ascii="宋体" w:hAnsi="宋体" w:cs="宋体"/>
                <w:color w:val="auto"/>
                <w:szCs w:val="21"/>
              </w:rPr>
            </w:pPr>
            <w:r>
              <w:rPr>
                <w:rFonts w:hint="eastAsia" w:ascii="宋体" w:hAnsi="宋体" w:cs="宋体"/>
                <w:color w:val="auto"/>
                <w:szCs w:val="21"/>
              </w:rPr>
              <w:t>1）应在系统中展示自监控信息，并支持系统的自监控信息的一键导出。</w:t>
            </w:r>
          </w:p>
          <w:p w14:paraId="1DFC2BF4">
            <w:pPr>
              <w:widowControl/>
              <w:jc w:val="left"/>
              <w:rPr>
                <w:rFonts w:hint="eastAsia" w:ascii="宋体" w:hAnsi="宋体" w:cs="宋体"/>
                <w:color w:val="auto"/>
                <w:szCs w:val="21"/>
              </w:rPr>
            </w:pPr>
            <w:r>
              <w:rPr>
                <w:rFonts w:hint="eastAsia" w:ascii="宋体" w:hAnsi="宋体" w:cs="宋体"/>
                <w:color w:val="auto"/>
                <w:szCs w:val="21"/>
              </w:rPr>
              <w:t>2）应支持单个或多个服务按照不同级别、不同时间范围导出日志。</w:t>
            </w:r>
          </w:p>
          <w:p w14:paraId="73D9C8AE">
            <w:pPr>
              <w:widowControl/>
              <w:jc w:val="left"/>
              <w:rPr>
                <w:rFonts w:ascii="宋体" w:hAnsi="宋体" w:cs="宋体"/>
                <w:color w:val="auto"/>
                <w:szCs w:val="21"/>
              </w:rPr>
            </w:pPr>
            <w:r>
              <w:rPr>
                <w:rFonts w:hint="eastAsia" w:ascii="宋体" w:hAnsi="宋体" w:cs="宋体"/>
                <w:color w:val="auto"/>
                <w:szCs w:val="21"/>
              </w:rPr>
              <w:t>3）应支持页面导出debug日志。</w:t>
            </w:r>
          </w:p>
          <w:p w14:paraId="5E5EF22D">
            <w:pPr>
              <w:widowControl/>
              <w:jc w:val="left"/>
              <w:rPr>
                <w:rFonts w:hint="eastAsia" w:ascii="宋体" w:hAnsi="宋体" w:cs="宋体"/>
                <w:color w:val="auto"/>
                <w:szCs w:val="21"/>
              </w:rPr>
            </w:pPr>
            <w:r>
              <w:rPr>
                <w:rFonts w:hint="eastAsia" w:ascii="宋体" w:hAnsi="宋体" w:cs="宋体"/>
                <w:color w:val="auto"/>
                <w:szCs w:val="21"/>
              </w:rPr>
              <w:t>11</w:t>
            </w:r>
            <w:r>
              <w:rPr>
                <w:rFonts w:hint="eastAsia" w:ascii="宋体" w:hAnsi="宋体" w:cs="宋体"/>
                <w:color w:val="auto"/>
                <w:szCs w:val="21"/>
                <w:lang w:val="en-US" w:eastAsia="zh-CN"/>
              </w:rPr>
              <w:t>.</w:t>
            </w:r>
            <w:r>
              <w:rPr>
                <w:rFonts w:hint="eastAsia" w:ascii="宋体" w:hAnsi="宋体" w:eastAsia="宋体" w:cs="宋体"/>
                <w:b/>
                <w:color w:val="auto"/>
                <w:sz w:val="21"/>
                <w:szCs w:val="21"/>
              </w:rPr>
              <w:t>★</w:t>
            </w:r>
            <w:r>
              <w:rPr>
                <w:rFonts w:hint="eastAsia" w:ascii="宋体" w:hAnsi="宋体" w:cs="宋体"/>
                <w:color w:val="auto"/>
                <w:szCs w:val="21"/>
              </w:rPr>
              <w:t>支持与广西壮族自治区大数据局现有运维管理系统（品牌：锐捷、型号：RG-Enjoy）进行数据对接，实现资源监控指标、设备告警、网络拓扑等数据对接上传等功能，如涉及到接口对接费用包含在投标报价中，要求投标人投标文件中提供对现有运维管理系统兼容性承诺函（格式自拟），并加盖投标人公章。</w:t>
            </w:r>
          </w:p>
          <w:p w14:paraId="6FDA80AE">
            <w:pPr>
              <w:widowControl/>
              <w:jc w:val="lef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12.</w:t>
            </w:r>
            <w:r>
              <w:rPr>
                <w:rFonts w:hint="eastAsia" w:ascii="宋体" w:hAnsi="宋体" w:eastAsia="宋体" w:cs="宋体"/>
                <w:b/>
                <w:color w:val="auto"/>
                <w:sz w:val="21"/>
                <w:szCs w:val="21"/>
              </w:rPr>
              <w:t>★</w:t>
            </w:r>
            <w:r>
              <w:rPr>
                <w:rFonts w:hint="eastAsia" w:ascii="宋体" w:hAnsi="宋体" w:cs="宋体"/>
                <w:color w:val="auto"/>
                <w:szCs w:val="21"/>
              </w:rPr>
              <w:t>要求提供咨询、梳理、培训以及</w:t>
            </w:r>
            <w:r>
              <w:rPr>
                <w:rFonts w:hint="eastAsia" w:ascii="宋体" w:hAnsi="宋体" w:cs="宋体"/>
                <w:color w:val="auto"/>
                <w:szCs w:val="21"/>
                <w:lang w:val="en-US" w:eastAsia="zh-CN"/>
              </w:rPr>
              <w:t>3</w:t>
            </w:r>
            <w:r>
              <w:rPr>
                <w:rFonts w:hint="eastAsia" w:ascii="宋体" w:hAnsi="宋体" w:cs="宋体"/>
                <w:color w:val="auto"/>
                <w:szCs w:val="21"/>
              </w:rPr>
              <w:t>年维保服务</w:t>
            </w:r>
            <w:r>
              <w:rPr>
                <w:rFonts w:hint="eastAsia" w:ascii="宋体" w:hAnsi="宋体" w:cs="宋体"/>
                <w:color w:val="auto"/>
                <w:szCs w:val="21"/>
                <w:lang w:eastAsia="zh-CN"/>
              </w:rPr>
              <w:t>。</w:t>
            </w:r>
          </w:p>
        </w:tc>
      </w:tr>
    </w:tbl>
    <w:p w14:paraId="04A13B8A">
      <w:pPr>
        <w:keepNext w:val="0"/>
        <w:keepLines w:val="0"/>
        <w:pageBreakBefore w:val="0"/>
        <w:kinsoku/>
        <w:wordWrap/>
        <w:overflowPunct/>
        <w:topLinePunct w:val="0"/>
        <w:autoSpaceDE/>
        <w:autoSpaceDN/>
        <w:bidi w:val="0"/>
        <w:adjustRightInd/>
        <w:ind w:firstLine="0" w:firstLineChars="0"/>
        <w:rPr>
          <w:rFonts w:hint="eastAsia"/>
          <w:color w:val="auto"/>
          <w:highlight w:val="none"/>
        </w:rPr>
      </w:pPr>
    </w:p>
    <w:tbl>
      <w:tblPr>
        <w:tblStyle w:val="51"/>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7256"/>
      </w:tblGrid>
      <w:tr w14:paraId="64C0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907" w:type="dxa"/>
            <w:gridSpan w:val="2"/>
            <w:noWrap w:val="0"/>
            <w:vAlign w:val="center"/>
          </w:tcPr>
          <w:p w14:paraId="53AEDE27">
            <w:pPr>
              <w:spacing w:line="36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一、</w:t>
            </w:r>
            <w:r>
              <w:rPr>
                <w:rFonts w:hint="eastAsia" w:ascii="宋体" w:hAnsi="宋体" w:cs="宋体"/>
                <w:b/>
                <w:color w:val="auto"/>
                <w:szCs w:val="21"/>
                <w:highlight w:val="none"/>
              </w:rPr>
              <w:t>商务要求</w:t>
            </w:r>
          </w:p>
        </w:tc>
      </w:tr>
      <w:tr w14:paraId="4093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noWrap w:val="0"/>
            <w:vAlign w:val="center"/>
          </w:tcPr>
          <w:p w14:paraId="238DD50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b/>
                <w:color w:val="auto"/>
                <w:szCs w:val="21"/>
                <w:highlight w:val="none"/>
              </w:rPr>
            </w:pPr>
            <w:r>
              <w:rPr>
                <w:rFonts w:hint="eastAsia" w:ascii="宋体" w:hAnsi="宋体" w:cs="宋体"/>
                <w:b/>
                <w:color w:val="auto"/>
                <w:szCs w:val="21"/>
                <w:highlight w:val="none"/>
              </w:rPr>
              <w:t>项目概述</w:t>
            </w:r>
          </w:p>
          <w:p w14:paraId="18D14A1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投标</w:t>
            </w:r>
            <w:r>
              <w:rPr>
                <w:rFonts w:hint="eastAsia" w:ascii="宋体" w:hAnsi="宋体" w:cs="宋体"/>
                <w:b/>
                <w:color w:val="auto"/>
                <w:szCs w:val="21"/>
                <w:highlight w:val="none"/>
              </w:rPr>
              <w:t>要求</w:t>
            </w:r>
          </w:p>
        </w:tc>
        <w:tc>
          <w:tcPr>
            <w:tcW w:w="7256" w:type="dxa"/>
            <w:noWrap w:val="0"/>
            <w:vAlign w:val="center"/>
          </w:tcPr>
          <w:p w14:paraId="235446DB">
            <w:pPr>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一、项目概述：</w:t>
            </w:r>
          </w:p>
          <w:p w14:paraId="589A6474">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1.采购中共灵山县委员会办公室等单位</w:t>
            </w:r>
            <w:r>
              <w:rPr>
                <w:rFonts w:hint="eastAsia" w:ascii="宋体" w:hAnsi="宋体" w:cs="宋体"/>
                <w:color w:val="auto"/>
                <w:szCs w:val="21"/>
                <w:highlight w:val="none"/>
                <w:lang w:val="en-US" w:eastAsia="zh-CN"/>
              </w:rPr>
              <w:t>560</w:t>
            </w:r>
            <w:r>
              <w:rPr>
                <w:rFonts w:hint="eastAsia" w:ascii="宋体" w:hAnsi="宋体" w:cs="宋体"/>
                <w:color w:val="auto"/>
                <w:szCs w:val="21"/>
                <w:highlight w:val="none"/>
              </w:rPr>
              <w:t>条点对点专用光纤线路服务，每条光纤线路配置一台路由器（带防火墙功能），</w:t>
            </w:r>
            <w:r>
              <w:rPr>
                <w:rFonts w:hint="eastAsia" w:ascii="宋体" w:hAnsi="宋体" w:cs="宋体"/>
                <w:color w:val="auto"/>
                <w:szCs w:val="21"/>
                <w:highlight w:val="none"/>
                <w:lang w:val="en-US" w:eastAsia="zh-CN"/>
              </w:rPr>
              <w:t>实现</w:t>
            </w:r>
            <w:r>
              <w:rPr>
                <w:rFonts w:hint="eastAsia" w:ascii="宋体" w:hAnsi="宋体" w:cs="宋体"/>
                <w:color w:val="auto"/>
                <w:szCs w:val="21"/>
                <w:highlight w:val="none"/>
              </w:rPr>
              <w:t>灵山县政府大楼3楼电子政务外机房</w:t>
            </w:r>
            <w:r>
              <w:rPr>
                <w:rFonts w:hint="eastAsia" w:ascii="宋体" w:hAnsi="宋体" w:cs="宋体"/>
                <w:color w:val="auto"/>
                <w:szCs w:val="21"/>
                <w:highlight w:val="none"/>
                <w:lang w:val="en-US" w:eastAsia="zh-CN"/>
              </w:rPr>
              <w:t>与</w:t>
            </w:r>
            <w:r>
              <w:rPr>
                <w:rFonts w:hint="eastAsia" w:ascii="宋体" w:hAnsi="宋体" w:cs="宋体"/>
                <w:color w:val="auto"/>
                <w:szCs w:val="21"/>
                <w:highlight w:val="none"/>
              </w:rPr>
              <w:t>中共灵山县委员会办公室等各单位</w:t>
            </w:r>
            <w:r>
              <w:rPr>
                <w:rFonts w:hint="eastAsia" w:ascii="宋体" w:hAnsi="宋体" w:cs="宋体"/>
                <w:color w:val="auto"/>
                <w:szCs w:val="21"/>
                <w:highlight w:val="none"/>
                <w:lang w:val="en-US" w:eastAsia="zh-CN"/>
              </w:rPr>
              <w:t>的互联</w:t>
            </w:r>
            <w:r>
              <w:rPr>
                <w:rFonts w:hint="eastAsia" w:ascii="宋体" w:hAnsi="宋体" w:cs="宋体"/>
                <w:color w:val="auto"/>
                <w:szCs w:val="21"/>
                <w:highlight w:val="none"/>
              </w:rPr>
              <w:t>，各接入单位清单详见</w:t>
            </w:r>
            <w:r>
              <w:rPr>
                <w:rFonts w:hint="eastAsia" w:ascii="宋体" w:hAnsi="宋体" w:cs="宋体"/>
                <w:b/>
                <w:color w:val="auto"/>
                <w:szCs w:val="21"/>
                <w:highlight w:val="none"/>
              </w:rPr>
              <w:t>本章附件1</w:t>
            </w:r>
            <w:r>
              <w:rPr>
                <w:rFonts w:hint="eastAsia" w:ascii="宋体" w:hAnsi="宋体" w:cs="宋体"/>
                <w:color w:val="auto"/>
                <w:szCs w:val="21"/>
                <w:highlight w:val="none"/>
              </w:rPr>
              <w:t>。</w:t>
            </w:r>
          </w:p>
          <w:p w14:paraId="24AC9E76">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2.按照广西电子政务外网有关规范做好专网IP地址规划，并配置好各网络设备，含各单位局域网对接、核心路由器配置、末端电脑数据配置，确保各单位终端办公电脑可正常接入电子政务外网办公。</w:t>
            </w:r>
          </w:p>
          <w:p w14:paraId="70BF8CEF">
            <w:pPr>
              <w:pStyle w:val="324"/>
              <w:ind w:left="0" w:leftChars="0" w:firstLine="0" w:firstLineChars="0"/>
              <w:rPr>
                <w:color w:val="auto"/>
                <w:highlight w:val="none"/>
                <w:lang w:val="en-US"/>
              </w:rPr>
            </w:pPr>
            <w:r>
              <w:rPr>
                <w:rFonts w:hint="eastAsia" w:ascii="宋体" w:hAnsi="宋体" w:cs="宋体"/>
                <w:color w:val="auto"/>
                <w:szCs w:val="21"/>
                <w:highlight w:val="none"/>
                <w:lang w:val="en-US"/>
              </w:rPr>
              <w:t>3.完成电子政务机房整改，包含机房环境整改和机房网络整改。</w:t>
            </w:r>
          </w:p>
          <w:p w14:paraId="219A2993">
            <w:pPr>
              <w:spacing w:line="360" w:lineRule="exact"/>
              <w:rPr>
                <w:rFonts w:hint="eastAsia" w:ascii="宋体" w:hAnsi="宋体" w:cs="宋体"/>
                <w:b/>
                <w:color w:val="auto"/>
                <w:szCs w:val="21"/>
                <w:highlight w:val="none"/>
              </w:rPr>
            </w:pPr>
            <w:r>
              <w:rPr>
                <w:rFonts w:hint="eastAsia" w:ascii="宋体" w:hAnsi="宋体" w:eastAsia="宋体" w:cs="宋体"/>
                <w:b/>
                <w:color w:val="auto"/>
                <w:sz w:val="21"/>
                <w:szCs w:val="21"/>
              </w:rPr>
              <w:t>★</w:t>
            </w:r>
            <w:r>
              <w:rPr>
                <w:rFonts w:hint="eastAsia" w:ascii="宋体" w:hAnsi="宋体" w:cs="宋体"/>
                <w:b/>
                <w:color w:val="auto"/>
                <w:szCs w:val="21"/>
                <w:highlight w:val="none"/>
              </w:rPr>
              <w:t>二、投标要求</w:t>
            </w:r>
          </w:p>
          <w:p w14:paraId="08A7DD5E">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1.为保证本项目实施可行性，</w:t>
            </w:r>
            <w:r>
              <w:rPr>
                <w:rFonts w:hint="eastAsia" w:ascii="宋体" w:hAnsi="宋体" w:cs="宋体"/>
                <w:color w:val="auto"/>
                <w:szCs w:val="21"/>
                <w:highlight w:val="none"/>
                <w:lang w:eastAsia="zh-CN"/>
              </w:rPr>
              <w:t>投标人</w:t>
            </w:r>
            <w:r>
              <w:rPr>
                <w:rFonts w:hint="eastAsia" w:ascii="宋体" w:hAnsi="宋体" w:cs="宋体"/>
                <w:b/>
                <w:color w:val="auto"/>
                <w:szCs w:val="21"/>
                <w:highlight w:val="none"/>
              </w:rPr>
              <w:t>必须</w:t>
            </w:r>
            <w:r>
              <w:rPr>
                <w:rFonts w:hint="eastAsia" w:ascii="宋体" w:hAnsi="宋体" w:cs="宋体"/>
                <w:color w:val="auto"/>
                <w:szCs w:val="21"/>
                <w:highlight w:val="none"/>
              </w:rPr>
              <w:t>在</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内提供</w:t>
            </w:r>
            <w:r>
              <w:rPr>
                <w:rFonts w:hint="eastAsia" w:ascii="宋体" w:hAnsi="宋体" w:cs="宋体"/>
                <w:b/>
                <w:color w:val="auto"/>
                <w:szCs w:val="21"/>
                <w:highlight w:val="none"/>
              </w:rPr>
              <w:t>技术方案</w:t>
            </w:r>
            <w:r>
              <w:rPr>
                <w:rFonts w:hint="eastAsia" w:ascii="宋体" w:hAnsi="宋体" w:cs="宋体"/>
                <w:color w:val="auto"/>
                <w:szCs w:val="21"/>
                <w:highlight w:val="none"/>
              </w:rPr>
              <w:t>，内容应包含方案描述、系统设计、网络架构等基本内容。</w:t>
            </w:r>
          </w:p>
          <w:p w14:paraId="000B586D">
            <w:pPr>
              <w:spacing w:line="360" w:lineRule="exact"/>
              <w:rPr>
                <w:rFonts w:hint="eastAsia" w:ascii="宋体" w:hAnsi="宋体" w:cs="宋体"/>
                <w:strike/>
                <w:dstrike w:val="0"/>
                <w:color w:val="auto"/>
                <w:sz w:val="21"/>
                <w:szCs w:val="21"/>
                <w:highlight w:val="none"/>
              </w:rPr>
            </w:pP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本项目</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机房网络整改部分</w:t>
            </w:r>
            <w:r>
              <w:rPr>
                <w:rFonts w:hint="eastAsia" w:ascii="宋体" w:hAnsi="宋体" w:cs="宋体"/>
                <w:b/>
                <w:color w:val="auto"/>
                <w:szCs w:val="21"/>
                <w:highlight w:val="none"/>
                <w:lang w:eastAsia="zh-CN"/>
              </w:rPr>
              <w:t>”的</w:t>
            </w:r>
            <w:r>
              <w:rPr>
                <w:rFonts w:hint="eastAsia" w:ascii="宋体" w:hAnsi="宋体" w:cs="宋体"/>
                <w:b/>
                <w:color w:val="auto"/>
                <w:szCs w:val="21"/>
                <w:highlight w:val="none"/>
                <w:lang w:val="en-US" w:eastAsia="zh-CN"/>
              </w:rPr>
              <w:t>货物序号1-4</w:t>
            </w:r>
            <w:r>
              <w:rPr>
                <w:rFonts w:hint="eastAsia" w:ascii="宋体" w:hAnsi="宋体" w:cs="宋体"/>
                <w:b/>
                <w:color w:val="auto"/>
                <w:szCs w:val="21"/>
                <w:highlight w:val="none"/>
              </w:rPr>
              <w:t>涉及《网络关键设备和网络安全专用产品目录》的网络安全专用产品，投标人须</w:t>
            </w:r>
            <w:r>
              <w:rPr>
                <w:rFonts w:hint="eastAsia" w:ascii="宋体" w:hAnsi="宋体" w:cs="宋体"/>
                <w:b/>
                <w:color w:val="auto"/>
                <w:szCs w:val="21"/>
                <w:highlight w:val="none"/>
                <w:lang w:val="en-US" w:eastAsia="zh-CN"/>
              </w:rPr>
              <w:t>按“项目需求”说明中的要求</w:t>
            </w:r>
            <w:r>
              <w:rPr>
                <w:rFonts w:hint="eastAsia" w:ascii="宋体" w:hAnsi="宋体" w:cs="宋体"/>
                <w:b/>
                <w:color w:val="auto"/>
                <w:szCs w:val="21"/>
                <w:highlight w:val="none"/>
              </w:rPr>
              <w:t>提供相关证明材料</w:t>
            </w:r>
            <w:r>
              <w:rPr>
                <w:rFonts w:hint="eastAsia" w:ascii="宋体" w:hAnsi="宋体" w:cs="宋体"/>
                <w:b/>
                <w:color w:val="auto"/>
                <w:szCs w:val="21"/>
                <w:highlight w:val="none"/>
                <w:lang w:val="en-US" w:eastAsia="zh-CN"/>
              </w:rPr>
              <w:t>。</w:t>
            </w:r>
          </w:p>
        </w:tc>
      </w:tr>
      <w:tr w14:paraId="0566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1" w:type="dxa"/>
            <w:noWrap w:val="0"/>
            <w:vAlign w:val="center"/>
          </w:tcPr>
          <w:p w14:paraId="6DE1536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b/>
                <w:color w:val="auto"/>
                <w:szCs w:val="21"/>
                <w:highlight w:val="none"/>
              </w:rPr>
            </w:pPr>
            <w:r>
              <w:rPr>
                <w:rFonts w:hint="eastAsia" w:ascii="宋体" w:hAnsi="宋体" w:cs="宋体"/>
                <w:b/>
                <w:color w:val="auto"/>
                <w:szCs w:val="21"/>
                <w:highlight w:val="none"/>
              </w:rPr>
              <w:t>合同期限</w:t>
            </w:r>
          </w:p>
        </w:tc>
        <w:tc>
          <w:tcPr>
            <w:tcW w:w="7256" w:type="dxa"/>
            <w:noWrap w:val="0"/>
            <w:vAlign w:val="center"/>
          </w:tcPr>
          <w:p w14:paraId="3643325A">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服务期限：</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年（自最终验收合格之日起）。</w:t>
            </w:r>
          </w:p>
        </w:tc>
      </w:tr>
      <w:tr w14:paraId="5E5D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noWrap w:val="0"/>
            <w:vAlign w:val="center"/>
          </w:tcPr>
          <w:p w14:paraId="094B189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b/>
                <w:color w:val="auto"/>
                <w:szCs w:val="21"/>
                <w:highlight w:val="none"/>
              </w:rPr>
            </w:pPr>
            <w:r>
              <w:rPr>
                <w:rFonts w:hint="eastAsia" w:ascii="宋体" w:hAnsi="宋体" w:cs="宋体"/>
                <w:b/>
                <w:color w:val="auto"/>
                <w:szCs w:val="21"/>
                <w:highlight w:val="none"/>
              </w:rPr>
              <w:t>交付期限</w:t>
            </w:r>
          </w:p>
        </w:tc>
        <w:tc>
          <w:tcPr>
            <w:tcW w:w="7256" w:type="dxa"/>
            <w:noWrap w:val="0"/>
            <w:vAlign w:val="center"/>
          </w:tcPr>
          <w:p w14:paraId="49DC87A1">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合同签订后</w:t>
            </w:r>
            <w:r>
              <w:rPr>
                <w:rFonts w:hint="eastAsia" w:ascii="宋体" w:hAnsi="宋体" w:cs="宋体"/>
                <w:color w:val="auto"/>
                <w:szCs w:val="21"/>
                <w:highlight w:val="none"/>
                <w:lang w:val="en-US" w:eastAsia="zh-CN"/>
              </w:rPr>
              <w:t>90</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日历</w:t>
            </w:r>
            <w:r>
              <w:rPr>
                <w:rFonts w:hint="eastAsia" w:ascii="宋体" w:hAnsi="宋体" w:cs="宋体"/>
                <w:color w:val="auto"/>
                <w:szCs w:val="21"/>
                <w:highlight w:val="none"/>
              </w:rPr>
              <w:t>日）内交付使用。</w:t>
            </w:r>
          </w:p>
        </w:tc>
      </w:tr>
      <w:tr w14:paraId="5129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noWrap w:val="0"/>
            <w:vAlign w:val="center"/>
          </w:tcPr>
          <w:p w14:paraId="12330F4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b/>
                <w:color w:val="auto"/>
                <w:szCs w:val="21"/>
                <w:highlight w:val="none"/>
              </w:rPr>
            </w:pPr>
            <w:r>
              <w:rPr>
                <w:rFonts w:hint="eastAsia" w:ascii="宋体" w:hAnsi="宋体" w:cs="宋体"/>
                <w:b/>
                <w:color w:val="auto"/>
                <w:szCs w:val="21"/>
                <w:highlight w:val="none"/>
              </w:rPr>
              <w:t>报价须知及付款方式</w:t>
            </w:r>
          </w:p>
        </w:tc>
        <w:tc>
          <w:tcPr>
            <w:tcW w:w="7256" w:type="dxa"/>
            <w:noWrap w:val="0"/>
            <w:vAlign w:val="center"/>
          </w:tcPr>
          <w:p w14:paraId="789D1C0B">
            <w:pPr>
              <w:spacing w:line="36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.投标人报价应包含以下内容：服务期限内（</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年）所提供服务的费用，以及为提供服务所包括的备件、专用工具、安装、调试、检验、技术培训等全部费用。</w:t>
            </w:r>
          </w:p>
          <w:p w14:paraId="18CFC58B">
            <w:pPr>
              <w:spacing w:line="36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.付款方式：</w:t>
            </w:r>
            <w:r>
              <w:rPr>
                <w:rFonts w:hint="eastAsia" w:ascii="宋体" w:hAnsi="宋体" w:cs="宋体"/>
                <w:color w:val="auto"/>
                <w:szCs w:val="21"/>
                <w:highlight w:val="none"/>
                <w:lang w:val="en-US" w:eastAsia="zh-CN"/>
              </w:rPr>
              <w:t>分三年平均支付，项目验收合格收到发票后10个工作日内支付第一年服务费用，项目验收合格之日起1年后收到发票后10个工作日内支付第二年服务费用，项目验收合格之日起2年后收到发票后10个工作日内支付第三年服务费用</w:t>
            </w:r>
            <w:r>
              <w:rPr>
                <w:rFonts w:hint="eastAsia" w:ascii="宋体" w:hAnsi="宋体" w:cs="宋体"/>
                <w:color w:val="auto"/>
                <w:szCs w:val="21"/>
                <w:highlight w:val="none"/>
              </w:rPr>
              <w:t>。</w:t>
            </w:r>
          </w:p>
        </w:tc>
      </w:tr>
      <w:tr w14:paraId="32F1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noWrap w:val="0"/>
            <w:vAlign w:val="center"/>
          </w:tcPr>
          <w:p w14:paraId="58C2A48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b/>
                <w:color w:val="auto"/>
                <w:szCs w:val="21"/>
                <w:highlight w:val="none"/>
              </w:rPr>
            </w:pPr>
            <w:r>
              <w:rPr>
                <w:rFonts w:hint="eastAsia" w:ascii="宋体" w:hAnsi="宋体" w:cs="宋体"/>
                <w:b/>
                <w:color w:val="auto"/>
                <w:szCs w:val="21"/>
                <w:highlight w:val="none"/>
              </w:rPr>
              <w:t>实施要求及运营维护要求</w:t>
            </w:r>
          </w:p>
        </w:tc>
        <w:tc>
          <w:tcPr>
            <w:tcW w:w="7256" w:type="dxa"/>
            <w:noWrap w:val="0"/>
            <w:vAlign w:val="center"/>
          </w:tcPr>
          <w:p w14:paraId="1480AE21">
            <w:pPr>
              <w:numPr>
                <w:ilvl w:val="-1"/>
                <w:numId w:val="0"/>
              </w:num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本项目要求一次性安装完毕。</w:t>
            </w:r>
          </w:p>
          <w:p w14:paraId="628E1765">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2.提供巡检维护服务，在服务期内，每2月提供1次巡视服务，检测系统运行情况，并做好系统运行记录，每年至少提供6次巡检。提供7×24小时客服电话服务，故障响应时间小于10分钟，一小时内到达现场。按照故障程度，一般故障2小时内修复；重大故障8小时内修复；如遇特殊情况，故障修复时间最长不超过12小时。如需更换备件，备件更换时间不能超过4小时。由于不可抗力的原因（如重大自然灾害等）造成的损坏不受此时限限制。制定应急保障预案，安排专人负责核心设备和易发生故障设备的现场维护和技术保障。突发事件期间，做好重要部位的安全保障，增加巡检次数。除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应制定“不定期回访 ＋ 故障响应”的售后服务工作模式，建立日常监控制度，将通过电话、远程指导等方式实现随时处理各种故障，当发生重大故障无法解决时，投标人应在故障发生后4小时内派工程师到达现场进行解决。</w:t>
            </w:r>
          </w:p>
          <w:p w14:paraId="5F5ECE7C">
            <w:pPr>
              <w:spacing w:line="360" w:lineRule="exact"/>
              <w:rPr>
                <w:rFonts w:hint="eastAsia" w:ascii="宋体" w:hAnsi="宋体" w:cs="宋体"/>
                <w:b/>
                <w:bCs w:val="0"/>
                <w:color w:val="auto"/>
                <w:szCs w:val="21"/>
                <w:highlight w:val="none"/>
              </w:rPr>
            </w:pPr>
            <w:r>
              <w:rPr>
                <w:rFonts w:hint="eastAsia" w:ascii="宋体" w:hAnsi="宋体" w:eastAsia="宋体" w:cs="宋体"/>
                <w:b/>
                <w:bCs w:val="0"/>
                <w:color w:val="auto"/>
                <w:sz w:val="21"/>
                <w:szCs w:val="21"/>
              </w:rPr>
              <w:t>★</w:t>
            </w:r>
            <w:r>
              <w:rPr>
                <w:rFonts w:hint="eastAsia" w:ascii="宋体" w:hAnsi="宋体" w:cs="宋体"/>
                <w:b/>
                <w:bCs w:val="0"/>
                <w:color w:val="auto"/>
                <w:szCs w:val="21"/>
                <w:highlight w:val="none"/>
              </w:rPr>
              <w:t>3.维护要求：为了满足本项目的运营服务要求，</w:t>
            </w:r>
            <w:r>
              <w:rPr>
                <w:rFonts w:hint="eastAsia" w:ascii="宋体" w:hAnsi="宋体" w:cs="宋体"/>
                <w:b/>
                <w:bCs w:val="0"/>
                <w:color w:val="auto"/>
                <w:szCs w:val="21"/>
                <w:highlight w:val="none"/>
                <w:lang w:val="en-US" w:eastAsia="zh-CN"/>
              </w:rPr>
              <w:t>要求</w:t>
            </w:r>
            <w:r>
              <w:rPr>
                <w:rFonts w:hint="eastAsia" w:ascii="宋体" w:hAnsi="宋体" w:cs="宋体"/>
                <w:b/>
                <w:bCs w:val="0"/>
                <w:color w:val="auto"/>
                <w:szCs w:val="21"/>
                <w:highlight w:val="none"/>
              </w:rPr>
              <w:t>投入1名</w:t>
            </w:r>
            <w:r>
              <w:rPr>
                <w:rFonts w:hint="eastAsia" w:ascii="宋体" w:hAnsi="宋体" w:cs="宋体"/>
                <w:b/>
                <w:bCs w:val="0"/>
                <w:color w:val="auto"/>
                <w:szCs w:val="21"/>
                <w:highlight w:val="none"/>
                <w:lang w:val="en-US" w:eastAsia="zh-CN"/>
              </w:rPr>
              <w:t>项目负责人</w:t>
            </w:r>
            <w:r>
              <w:rPr>
                <w:rFonts w:hint="eastAsia" w:ascii="宋体" w:hAnsi="宋体" w:cs="宋体"/>
                <w:b/>
                <w:bCs w:val="0"/>
                <w:color w:val="auto"/>
                <w:szCs w:val="21"/>
                <w:highlight w:val="none"/>
              </w:rPr>
              <w:t>，1名</w:t>
            </w:r>
            <w:r>
              <w:rPr>
                <w:rFonts w:hint="eastAsia" w:ascii="宋体" w:hAnsi="宋体" w:cs="宋体"/>
                <w:b/>
                <w:bCs w:val="0"/>
                <w:color w:val="auto"/>
                <w:szCs w:val="21"/>
                <w:highlight w:val="none"/>
                <w:lang w:val="en-US" w:eastAsia="zh-CN"/>
              </w:rPr>
              <w:t>项目经理</w:t>
            </w:r>
            <w:r>
              <w:rPr>
                <w:rFonts w:hint="eastAsia" w:ascii="宋体" w:hAnsi="宋体" w:cs="宋体"/>
                <w:b/>
                <w:bCs w:val="0"/>
                <w:color w:val="auto"/>
                <w:szCs w:val="21"/>
                <w:highlight w:val="none"/>
              </w:rPr>
              <w:t>，1名</w:t>
            </w:r>
            <w:r>
              <w:rPr>
                <w:rFonts w:hint="eastAsia" w:ascii="宋体" w:hAnsi="宋体" w:cs="宋体"/>
                <w:b/>
                <w:bCs w:val="0"/>
                <w:color w:val="auto"/>
                <w:szCs w:val="21"/>
                <w:highlight w:val="none"/>
                <w:lang w:val="en-US" w:eastAsia="zh-CN"/>
              </w:rPr>
              <w:t>技术负责人</w:t>
            </w:r>
            <w:r>
              <w:rPr>
                <w:rFonts w:hint="eastAsia" w:ascii="宋体" w:hAnsi="宋体" w:cs="宋体"/>
                <w:b/>
                <w:bCs w:val="0"/>
                <w:color w:val="auto"/>
                <w:szCs w:val="21"/>
                <w:highlight w:val="none"/>
              </w:rPr>
              <w:t>，</w:t>
            </w:r>
            <w:r>
              <w:rPr>
                <w:rFonts w:hint="eastAsia" w:ascii="宋体" w:hAnsi="宋体" w:cs="宋体"/>
                <w:b/>
                <w:bCs w:val="0"/>
                <w:color w:val="auto"/>
                <w:szCs w:val="21"/>
                <w:highlight w:val="none"/>
                <w:lang w:val="en-US" w:eastAsia="zh-CN"/>
              </w:rPr>
              <w:t>1</w:t>
            </w:r>
            <w:r>
              <w:rPr>
                <w:rFonts w:hint="eastAsia" w:ascii="宋体" w:hAnsi="宋体" w:cs="宋体"/>
                <w:b/>
                <w:bCs w:val="0"/>
                <w:color w:val="auto"/>
                <w:szCs w:val="21"/>
                <w:highlight w:val="none"/>
              </w:rPr>
              <w:t>名</w:t>
            </w:r>
            <w:r>
              <w:rPr>
                <w:rFonts w:hint="eastAsia" w:ascii="宋体" w:hAnsi="宋体" w:cs="宋体"/>
                <w:b/>
                <w:bCs w:val="0"/>
                <w:color w:val="auto"/>
                <w:szCs w:val="21"/>
                <w:highlight w:val="none"/>
                <w:lang w:val="en-US" w:eastAsia="zh-CN"/>
              </w:rPr>
              <w:t>售后服务经理，售后服务人员</w:t>
            </w:r>
            <w:r>
              <w:rPr>
                <w:rFonts w:hint="eastAsia" w:ascii="宋体" w:hAnsi="宋体" w:cs="宋体"/>
                <w:b/>
                <w:bCs w:val="0"/>
                <w:color w:val="auto"/>
                <w:szCs w:val="21"/>
                <w:highlight w:val="none"/>
              </w:rPr>
              <w:t>不少于10人，售后维护服务车辆不少于5辆。</w:t>
            </w:r>
          </w:p>
          <w:p w14:paraId="18851913">
            <w:pPr>
              <w:spacing w:line="360" w:lineRule="exact"/>
              <w:rPr>
                <w:rFonts w:hint="eastAsia" w:ascii="宋体" w:hAnsi="宋体" w:cs="宋体"/>
                <w:b/>
                <w:bCs w:val="0"/>
                <w:strike w:val="0"/>
                <w:color w:val="auto"/>
                <w:sz w:val="21"/>
                <w:szCs w:val="21"/>
                <w:highlight w:val="none"/>
              </w:rPr>
            </w:pPr>
            <w:r>
              <w:rPr>
                <w:rFonts w:hint="eastAsia" w:ascii="宋体" w:hAnsi="宋体" w:eastAsia="宋体" w:cs="宋体"/>
                <w:b/>
                <w:bCs w:val="0"/>
                <w:color w:val="auto"/>
                <w:sz w:val="21"/>
                <w:szCs w:val="21"/>
              </w:rPr>
              <w:t>★</w:t>
            </w:r>
            <w:r>
              <w:rPr>
                <w:rFonts w:hint="default" w:ascii="宋体" w:hAnsi="宋体" w:cs="宋体"/>
                <w:b/>
                <w:bCs w:val="0"/>
                <w:strike w:val="0"/>
                <w:dstrike w:val="0"/>
                <w:color w:val="auto"/>
                <w:sz w:val="21"/>
                <w:szCs w:val="21"/>
                <w:highlight w:val="none"/>
                <w:lang w:val="en-US"/>
              </w:rPr>
              <w:t>4</w:t>
            </w:r>
            <w:r>
              <w:rPr>
                <w:rFonts w:hint="eastAsia" w:ascii="宋体" w:hAnsi="宋体" w:cs="宋体"/>
                <w:b/>
                <w:bCs w:val="0"/>
                <w:strike w:val="0"/>
                <w:dstrike w:val="0"/>
                <w:color w:val="auto"/>
                <w:sz w:val="21"/>
                <w:szCs w:val="21"/>
                <w:highlight w:val="none"/>
              </w:rPr>
              <w:t>.为保证本项目实施可行性，投标人必须在</w:t>
            </w:r>
            <w:r>
              <w:rPr>
                <w:rFonts w:hint="eastAsia" w:ascii="宋体" w:hAnsi="宋体" w:cs="宋体"/>
                <w:b/>
                <w:bCs w:val="0"/>
                <w:strike w:val="0"/>
                <w:dstrike w:val="0"/>
                <w:color w:val="auto"/>
                <w:sz w:val="21"/>
                <w:szCs w:val="21"/>
                <w:highlight w:val="none"/>
                <w:lang w:eastAsia="zh-CN"/>
              </w:rPr>
              <w:t>投标</w:t>
            </w:r>
            <w:r>
              <w:rPr>
                <w:rFonts w:hint="eastAsia" w:ascii="宋体" w:hAnsi="宋体" w:cs="宋体"/>
                <w:b/>
                <w:bCs w:val="0"/>
                <w:strike w:val="0"/>
                <w:dstrike w:val="0"/>
                <w:color w:val="auto"/>
                <w:sz w:val="21"/>
                <w:szCs w:val="21"/>
                <w:highlight w:val="none"/>
              </w:rPr>
              <w:t>文件内提供运维服务方案，内容应包含实施能力配备、运维服务承诺及人员车辆配置等</w:t>
            </w:r>
            <w:r>
              <w:rPr>
                <w:rFonts w:hint="eastAsia" w:ascii="宋体" w:hAnsi="宋体" w:cs="宋体"/>
                <w:b/>
                <w:bCs w:val="0"/>
                <w:strike w:val="0"/>
                <w:color w:val="auto"/>
                <w:sz w:val="21"/>
                <w:szCs w:val="21"/>
                <w:highlight w:val="none"/>
              </w:rPr>
              <w:t>。</w:t>
            </w:r>
          </w:p>
          <w:p w14:paraId="7CA9FDA7">
            <w:pPr>
              <w:spacing w:line="360" w:lineRule="exact"/>
              <w:rPr>
                <w:rFonts w:hint="eastAsia" w:ascii="宋体" w:hAnsi="宋体" w:eastAsia="宋体" w:cs="宋体"/>
                <w:b/>
                <w:bCs/>
                <w:strike w:val="0"/>
                <w:color w:val="auto"/>
                <w:sz w:val="21"/>
                <w:szCs w:val="21"/>
                <w:highlight w:val="none"/>
                <w:lang w:eastAsia="zh-CN"/>
              </w:rPr>
            </w:pPr>
            <w:r>
              <w:rPr>
                <w:rFonts w:hint="eastAsia" w:ascii="宋体" w:hAnsi="宋体" w:eastAsia="宋体" w:cs="宋体"/>
                <w:b/>
                <w:bCs w:val="0"/>
                <w:color w:val="auto"/>
                <w:sz w:val="21"/>
                <w:szCs w:val="21"/>
              </w:rPr>
              <w:t>★</w:t>
            </w:r>
            <w:r>
              <w:rPr>
                <w:rFonts w:hint="default" w:ascii="宋体" w:hAnsi="宋体" w:cs="宋体"/>
                <w:b/>
                <w:bCs w:val="0"/>
                <w:color w:val="auto"/>
                <w:sz w:val="21"/>
                <w:szCs w:val="21"/>
                <w:lang w:val="en-US"/>
              </w:rPr>
              <w:t>5.</w:t>
            </w:r>
            <w:r>
              <w:rPr>
                <w:rFonts w:hint="eastAsia" w:ascii="宋体" w:hAnsi="宋体" w:cs="宋体"/>
                <w:b/>
                <w:bCs w:val="0"/>
                <w:strike w:val="0"/>
                <w:dstrike w:val="0"/>
                <w:color w:val="auto"/>
                <w:sz w:val="21"/>
                <w:szCs w:val="21"/>
                <w:highlight w:val="none"/>
              </w:rPr>
              <w:t>为保证本项目</w:t>
            </w:r>
            <w:r>
              <w:rPr>
                <w:rFonts w:hint="eastAsia" w:ascii="宋体" w:hAnsi="宋体" w:cs="宋体"/>
                <w:b/>
                <w:bCs w:val="0"/>
                <w:strike w:val="0"/>
                <w:dstrike w:val="0"/>
                <w:color w:val="auto"/>
                <w:sz w:val="21"/>
                <w:szCs w:val="21"/>
                <w:highlight w:val="none"/>
                <w:lang w:eastAsia="zh-CN"/>
              </w:rPr>
              <w:t>的质量，</w:t>
            </w:r>
            <w:r>
              <w:rPr>
                <w:rFonts w:hint="eastAsia" w:ascii="宋体" w:hAnsi="宋体" w:cs="宋体"/>
                <w:b/>
                <w:bCs w:val="0"/>
                <w:strike w:val="0"/>
                <w:color w:val="auto"/>
                <w:sz w:val="21"/>
                <w:szCs w:val="21"/>
                <w:highlight w:val="none"/>
                <w:lang w:eastAsia="zh-CN"/>
              </w:rPr>
              <w:t>本项目租赁的</w:t>
            </w:r>
            <w:r>
              <w:rPr>
                <w:rFonts w:hint="eastAsia" w:ascii="宋体" w:hAnsi="宋体" w:cs="宋体"/>
                <w:b/>
                <w:bCs w:val="0"/>
                <w:strike w:val="0"/>
                <w:color w:val="auto"/>
                <w:sz w:val="21"/>
                <w:szCs w:val="21"/>
                <w:highlight w:val="none"/>
              </w:rPr>
              <w:t>接入路由器、核心路由器、核心交换机、核心防火墙、边界防火墙、汇聚交换机、核心路由器扩容板卡、核心交换机扩容板卡</w:t>
            </w:r>
            <w:r>
              <w:rPr>
                <w:rFonts w:hint="eastAsia" w:ascii="宋体" w:hAnsi="宋体" w:cs="宋体"/>
                <w:b/>
                <w:bCs w:val="0"/>
                <w:strike w:val="0"/>
                <w:color w:val="auto"/>
                <w:sz w:val="21"/>
                <w:szCs w:val="21"/>
                <w:highlight w:val="none"/>
                <w:lang w:eastAsia="zh-CN"/>
              </w:rPr>
              <w:t>要求为全新设备。</w:t>
            </w:r>
          </w:p>
        </w:tc>
      </w:tr>
      <w:tr w14:paraId="27FB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noWrap w:val="0"/>
            <w:vAlign w:val="center"/>
          </w:tcPr>
          <w:p w14:paraId="3281396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b/>
                <w:color w:val="auto"/>
                <w:szCs w:val="21"/>
                <w:highlight w:val="none"/>
              </w:rPr>
            </w:pPr>
            <w:r>
              <w:rPr>
                <w:rFonts w:hint="eastAsia" w:ascii="宋体" w:hAnsi="宋体" w:cs="宋体"/>
                <w:b/>
                <w:color w:val="auto"/>
                <w:szCs w:val="21"/>
                <w:highlight w:val="none"/>
              </w:rPr>
              <w:t>考核制度</w:t>
            </w:r>
          </w:p>
        </w:tc>
        <w:tc>
          <w:tcPr>
            <w:tcW w:w="7256" w:type="dxa"/>
            <w:noWrap w:val="0"/>
            <w:vAlign w:val="center"/>
          </w:tcPr>
          <w:p w14:paraId="0AEA94AD">
            <w:pPr>
              <w:spacing w:line="36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需同建设方签订运维服务考核方案,制定各项考核指标,做好考核记录,共同保障灵山县电子政务外网安全稳定运行。</w:t>
            </w:r>
          </w:p>
        </w:tc>
      </w:tr>
      <w:tr w14:paraId="797E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7" w:type="dxa"/>
            <w:gridSpan w:val="2"/>
            <w:noWrap w:val="0"/>
            <w:vAlign w:val="center"/>
          </w:tcPr>
          <w:p w14:paraId="0222D3AA">
            <w:pPr>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hAnsi="宋体" w:cs="宋体"/>
                <w:color w:val="auto"/>
                <w:kern w:val="0"/>
                <w:szCs w:val="21"/>
                <w:lang w:bidi="ar"/>
              </w:rPr>
            </w:pPr>
            <w:r>
              <w:rPr>
                <w:rFonts w:hint="eastAsia" w:ascii="宋体" w:hAnsi="宋体" w:cs="宋体"/>
                <w:b/>
                <w:bCs/>
                <w:color w:val="auto"/>
                <w:kern w:val="0"/>
                <w:szCs w:val="21"/>
                <w:lang w:bidi="ar"/>
              </w:rPr>
              <w:t>二、与实现项目目标相关的其他要求</w:t>
            </w:r>
          </w:p>
        </w:tc>
      </w:tr>
      <w:tr w14:paraId="2D7E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7" w:type="dxa"/>
            <w:gridSpan w:val="2"/>
            <w:noWrap w:val="0"/>
            <w:vAlign w:val="center"/>
          </w:tcPr>
          <w:p w14:paraId="7201F86D">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center"/>
              <w:rPr>
                <w:rFonts w:hint="eastAsia" w:ascii="宋体" w:hAnsi="宋体" w:cs="宋体"/>
                <w:color w:val="auto"/>
                <w:kern w:val="0"/>
                <w:szCs w:val="21"/>
                <w:lang w:bidi="ar"/>
              </w:rPr>
            </w:pPr>
            <w:r>
              <w:rPr>
                <w:rFonts w:hint="eastAsia" w:ascii="宋体" w:hAnsi="宋体" w:cs="宋体"/>
                <w:b/>
                <w:bCs/>
                <w:color w:val="auto"/>
                <w:kern w:val="0"/>
                <w:szCs w:val="21"/>
                <w:lang w:bidi="ar"/>
              </w:rPr>
              <w:t>（</w:t>
            </w:r>
            <w:r>
              <w:rPr>
                <w:rFonts w:hint="eastAsia" w:ascii="宋体" w:hAnsi="宋体" w:cs="宋体"/>
                <w:b/>
                <w:bCs/>
                <w:color w:val="auto"/>
                <w:kern w:val="0"/>
                <w:szCs w:val="21"/>
                <w:lang w:val="en-US" w:eastAsia="zh-CN" w:bidi="ar"/>
              </w:rPr>
              <w:t>一</w:t>
            </w:r>
            <w:r>
              <w:rPr>
                <w:rFonts w:hint="eastAsia" w:ascii="宋体" w:hAnsi="宋体" w:cs="宋体"/>
                <w:b/>
                <w:bCs/>
                <w:color w:val="auto"/>
                <w:kern w:val="0"/>
                <w:szCs w:val="21"/>
                <w:lang w:bidi="ar"/>
              </w:rPr>
              <w:t>）投标人的履约能力要求</w:t>
            </w:r>
          </w:p>
        </w:tc>
      </w:tr>
      <w:tr w14:paraId="5201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noWrap w:val="0"/>
            <w:vAlign w:val="center"/>
          </w:tcPr>
          <w:p w14:paraId="372CAEE4">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center"/>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人员能力配备</w:t>
            </w:r>
          </w:p>
        </w:tc>
        <w:tc>
          <w:tcPr>
            <w:tcW w:w="7256" w:type="dxa"/>
            <w:noWrap w:val="0"/>
            <w:vAlign w:val="center"/>
          </w:tcPr>
          <w:p w14:paraId="26A91C01">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详见《第四章  评标方法及评标标准》</w:t>
            </w:r>
          </w:p>
        </w:tc>
      </w:tr>
      <w:tr w14:paraId="0C0A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noWrap w:val="0"/>
            <w:vAlign w:val="center"/>
          </w:tcPr>
          <w:p w14:paraId="7387EDEB">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资质能力</w:t>
            </w:r>
            <w:r>
              <w:rPr>
                <w:rFonts w:hint="eastAsia" w:ascii="宋体" w:hAnsi="宋体" w:cs="宋体"/>
                <w:color w:val="auto"/>
                <w:kern w:val="0"/>
                <w:szCs w:val="21"/>
                <w:lang w:bidi="ar"/>
              </w:rPr>
              <w:t>要求</w:t>
            </w:r>
          </w:p>
        </w:tc>
        <w:tc>
          <w:tcPr>
            <w:tcW w:w="7256" w:type="dxa"/>
            <w:noWrap w:val="0"/>
            <w:vAlign w:val="center"/>
          </w:tcPr>
          <w:p w14:paraId="0D4BD15C">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投标人应具备质量管理、信息技术服务管理等方面的能力:投标人应具备良好的履约服务能力，符合国家关于企业品牌服务</w:t>
            </w:r>
            <w:r>
              <w:rPr>
                <w:rFonts w:hint="eastAsia" w:ascii="宋体" w:hAnsi="宋体" w:cs="宋体"/>
                <w:color w:val="auto"/>
                <w:kern w:val="0"/>
                <w:szCs w:val="21"/>
                <w:lang w:eastAsia="zh-CN" w:bidi="ar"/>
              </w:rPr>
              <w:t>的</w:t>
            </w:r>
            <w:r>
              <w:rPr>
                <w:rFonts w:hint="eastAsia" w:ascii="宋体" w:hAnsi="宋体" w:cs="宋体"/>
                <w:color w:val="auto"/>
                <w:kern w:val="0"/>
                <w:szCs w:val="21"/>
                <w:lang w:bidi="ar"/>
              </w:rPr>
              <w:t>要求;具备与本项目相关的信息安全服务能力。详见《第四章  评标方法及评标标准》</w:t>
            </w:r>
          </w:p>
        </w:tc>
      </w:tr>
      <w:tr w14:paraId="5420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noWrap w:val="0"/>
            <w:vAlign w:val="center"/>
          </w:tcPr>
          <w:p w14:paraId="23B406AB">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center"/>
              <w:rPr>
                <w:rFonts w:hint="eastAsia" w:ascii="宋体" w:hAnsi="宋体" w:cs="宋体"/>
                <w:b/>
                <w:bCs/>
                <w:color w:val="auto"/>
                <w:kern w:val="0"/>
                <w:szCs w:val="21"/>
                <w:lang w:bidi="ar"/>
              </w:rPr>
            </w:pPr>
            <w:r>
              <w:rPr>
                <w:rFonts w:hint="eastAsia" w:ascii="宋体" w:hAnsi="宋体" w:cs="宋体"/>
                <w:color w:val="auto"/>
                <w:kern w:val="0"/>
                <w:szCs w:val="21"/>
                <w:lang w:bidi="ar"/>
              </w:rPr>
              <w:t>业绩</w:t>
            </w:r>
            <w:r>
              <w:rPr>
                <w:rFonts w:hint="eastAsia" w:ascii="宋体" w:hAnsi="宋体" w:cs="宋体"/>
                <w:color w:val="auto"/>
                <w:kern w:val="0"/>
                <w:szCs w:val="21"/>
                <w:lang w:eastAsia="zh-CN" w:bidi="ar"/>
              </w:rPr>
              <w:t>、</w:t>
            </w:r>
            <w:r>
              <w:rPr>
                <w:rFonts w:hint="eastAsia" w:ascii="宋体" w:hAnsi="宋体" w:cs="宋体"/>
                <w:color w:val="auto"/>
                <w:kern w:val="0"/>
                <w:szCs w:val="21"/>
                <w:lang w:val="en-US" w:eastAsia="zh-CN" w:bidi="ar"/>
              </w:rPr>
              <w:t>奖项</w:t>
            </w:r>
            <w:r>
              <w:rPr>
                <w:rFonts w:hint="eastAsia" w:ascii="宋体" w:hAnsi="宋体" w:cs="宋体"/>
                <w:color w:val="auto"/>
                <w:kern w:val="0"/>
                <w:szCs w:val="21"/>
                <w:lang w:bidi="ar"/>
              </w:rPr>
              <w:t>要求</w:t>
            </w:r>
          </w:p>
        </w:tc>
        <w:tc>
          <w:tcPr>
            <w:tcW w:w="7256" w:type="dxa"/>
            <w:noWrap w:val="0"/>
            <w:vAlign w:val="center"/>
          </w:tcPr>
          <w:p w14:paraId="6E7F3E93">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详见《第四章  评标方法及评标标准》</w:t>
            </w:r>
          </w:p>
        </w:tc>
      </w:tr>
      <w:tr w14:paraId="2E0C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7" w:type="dxa"/>
            <w:gridSpan w:val="2"/>
            <w:noWrap w:val="0"/>
            <w:vAlign w:val="center"/>
          </w:tcPr>
          <w:p w14:paraId="25931DD9">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center"/>
              <w:rPr>
                <w:rFonts w:hint="eastAsia" w:ascii="宋体" w:hAnsi="宋体" w:cs="宋体"/>
                <w:color w:val="auto"/>
                <w:kern w:val="0"/>
                <w:szCs w:val="21"/>
                <w:lang w:bidi="ar"/>
              </w:rPr>
            </w:pPr>
            <w:r>
              <w:rPr>
                <w:rFonts w:hint="eastAsia" w:ascii="宋体" w:hAnsi="宋体" w:cs="宋体"/>
                <w:b/>
                <w:bCs/>
                <w:color w:val="auto"/>
                <w:kern w:val="0"/>
                <w:szCs w:val="21"/>
                <w:lang w:bidi="ar"/>
              </w:rPr>
              <w:t>（二）验收标准</w:t>
            </w:r>
          </w:p>
        </w:tc>
      </w:tr>
      <w:tr w14:paraId="43F2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7" w:type="dxa"/>
            <w:gridSpan w:val="2"/>
            <w:noWrap w:val="0"/>
            <w:vAlign w:val="center"/>
          </w:tcPr>
          <w:p w14:paraId="5D603AE6">
            <w:pPr>
              <w:widowControl/>
              <w:spacing w:line="360" w:lineRule="auto"/>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1.质量要求：符合现行国家相关标准、行业标准、地方标准或者其他标准、规范。</w:t>
            </w:r>
          </w:p>
          <w:p w14:paraId="2ED3826A">
            <w:pPr>
              <w:widowControl/>
              <w:spacing w:line="360" w:lineRule="auto"/>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2.验收过程中所产生的一切费用均由中标人承担。报价时应考虑相关费用。</w:t>
            </w:r>
          </w:p>
          <w:p w14:paraId="74AE8E98">
            <w:pPr>
              <w:widowControl/>
              <w:spacing w:line="360" w:lineRule="auto"/>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中标人在服务、货物工程交付验收时，由采购单位对照招标文件的项目要求及技术需求，全面核对检验。如不符合招标文件的技术需求及要求以及提供虚假承诺的，按相关规定做违约处理，中标人承担所有责任和费用，采购人保留进一步追究责任的权利。</w:t>
            </w:r>
          </w:p>
          <w:p w14:paraId="74322AE8">
            <w:pPr>
              <w:widowControl/>
              <w:spacing w:line="360" w:lineRule="auto"/>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4.验收方式：</w:t>
            </w:r>
          </w:p>
          <w:p w14:paraId="4B867F33">
            <w:pPr>
              <w:widowControl/>
              <w:spacing w:line="360" w:lineRule="auto"/>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1）货物验收：货物交付完毕后接到中标人的验收申请后5个工作日内进行验收；</w:t>
            </w:r>
          </w:p>
          <w:p w14:paraId="5FA96AF1">
            <w:pPr>
              <w:widowControl/>
              <w:spacing w:line="360" w:lineRule="auto"/>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2）完成合同约定的全部事项，并满足使用要求；</w:t>
            </w:r>
          </w:p>
          <w:p w14:paraId="21A323FE">
            <w:pPr>
              <w:widowControl/>
              <w:spacing w:line="360" w:lineRule="auto"/>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3）验收材料齐全；</w:t>
            </w:r>
          </w:p>
          <w:p w14:paraId="2EF6F1B0">
            <w:pPr>
              <w:widowControl/>
              <w:spacing w:line="360" w:lineRule="auto"/>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4）满足合同或合同附件规定的其他验收条件。</w:t>
            </w:r>
          </w:p>
          <w:p w14:paraId="68B15C39">
            <w:pPr>
              <w:widowControl/>
              <w:spacing w:line="360" w:lineRule="auto"/>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5.验收依据：招标文件、投标文件、国家有关的质量标准规定均为验收依据。</w:t>
            </w:r>
          </w:p>
          <w:p w14:paraId="2205E4BA">
            <w:pPr>
              <w:widowControl/>
              <w:spacing w:line="360" w:lineRule="auto"/>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6.采购人有权委托相关具部门、单位、机构针对交付成果、进行检验。其检查结果将作为验收标准的组成部分之一。</w:t>
            </w:r>
          </w:p>
          <w:p w14:paraId="5553AC2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7.验收时中标人必须派代表参加。</w:t>
            </w:r>
          </w:p>
        </w:tc>
      </w:tr>
      <w:tr w14:paraId="72C6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7" w:type="dxa"/>
            <w:gridSpan w:val="2"/>
            <w:noWrap w:val="0"/>
            <w:vAlign w:val="center"/>
          </w:tcPr>
          <w:p w14:paraId="17AC93F6">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center"/>
              <w:rPr>
                <w:rFonts w:hint="eastAsia" w:ascii="宋体" w:hAnsi="宋体" w:cs="宋体"/>
                <w:color w:val="auto"/>
                <w:kern w:val="0"/>
                <w:szCs w:val="21"/>
                <w:lang w:bidi="ar"/>
              </w:rPr>
            </w:pPr>
            <w:r>
              <w:rPr>
                <w:rFonts w:hint="eastAsia" w:ascii="宋体" w:hAnsi="宋体" w:cs="宋体"/>
                <w:b/>
                <w:bCs/>
                <w:color w:val="auto"/>
                <w:kern w:val="0"/>
                <w:szCs w:val="21"/>
                <w:lang w:bidi="ar"/>
              </w:rPr>
              <w:t>（</w:t>
            </w:r>
            <w:r>
              <w:rPr>
                <w:rFonts w:hint="eastAsia" w:ascii="宋体" w:hAnsi="宋体" w:cs="宋体"/>
                <w:b/>
                <w:bCs/>
                <w:color w:val="auto"/>
                <w:kern w:val="0"/>
                <w:szCs w:val="21"/>
                <w:lang w:val="en-US" w:eastAsia="zh-CN" w:bidi="ar"/>
              </w:rPr>
              <w:t>三</w:t>
            </w:r>
            <w:r>
              <w:rPr>
                <w:rFonts w:hint="eastAsia" w:ascii="宋体" w:hAnsi="宋体" w:cs="宋体"/>
                <w:b/>
                <w:bCs/>
                <w:color w:val="auto"/>
                <w:kern w:val="0"/>
                <w:szCs w:val="21"/>
                <w:lang w:bidi="ar"/>
              </w:rPr>
              <w:t>）核心产品</w:t>
            </w:r>
          </w:p>
        </w:tc>
      </w:tr>
      <w:tr w14:paraId="0083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7" w:type="dxa"/>
            <w:gridSpan w:val="2"/>
            <w:noWrap w:val="0"/>
            <w:vAlign w:val="center"/>
          </w:tcPr>
          <w:p w14:paraId="73E7C2FB">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本项目属性为服务类项目，无核心产品。</w:t>
            </w:r>
          </w:p>
        </w:tc>
      </w:tr>
    </w:tbl>
    <w:p w14:paraId="5AB108CC">
      <w:pPr>
        <w:rPr>
          <w:rFonts w:hint="eastAsia" w:hAnsi="宋体"/>
          <w:b/>
          <w:color w:val="auto"/>
          <w:sz w:val="32"/>
          <w:szCs w:val="32"/>
          <w:highlight w:val="none"/>
          <w:lang w:val="en-US" w:eastAsia="zh-CN"/>
        </w:rPr>
      </w:pPr>
    </w:p>
    <w:p w14:paraId="3A4571F0">
      <w:pPr>
        <w:rPr>
          <w:rFonts w:hint="eastAsia" w:hAnsi="宋体"/>
          <w:b/>
          <w:color w:val="auto"/>
          <w:sz w:val="32"/>
          <w:szCs w:val="32"/>
          <w:highlight w:val="none"/>
          <w:lang w:val="en-US" w:eastAsia="zh-CN"/>
        </w:rPr>
      </w:pPr>
    </w:p>
    <w:p w14:paraId="2918C9F1">
      <w:pPr>
        <w:rPr>
          <w:rFonts w:hint="eastAsia" w:hAnsi="宋体"/>
          <w:b/>
          <w:color w:val="auto"/>
          <w:sz w:val="32"/>
          <w:szCs w:val="32"/>
          <w:highlight w:val="none"/>
          <w:lang w:val="en-US" w:eastAsia="zh-CN"/>
        </w:rPr>
      </w:pPr>
    </w:p>
    <w:p w14:paraId="5E1A389F">
      <w:pPr>
        <w:rPr>
          <w:rFonts w:hint="eastAsia" w:hAnsi="宋体"/>
          <w:b/>
          <w:color w:val="auto"/>
          <w:sz w:val="32"/>
          <w:szCs w:val="32"/>
          <w:highlight w:val="none"/>
          <w:lang w:val="en-US" w:eastAsia="zh-CN"/>
        </w:rPr>
      </w:pPr>
    </w:p>
    <w:p w14:paraId="6B6B97FA">
      <w:pPr>
        <w:rPr>
          <w:rFonts w:hint="eastAsia" w:hAnsi="宋体"/>
          <w:b/>
          <w:color w:val="auto"/>
          <w:sz w:val="32"/>
          <w:szCs w:val="32"/>
          <w:highlight w:val="none"/>
          <w:lang w:val="en-US" w:eastAsia="zh-CN"/>
        </w:rPr>
      </w:pPr>
    </w:p>
    <w:p w14:paraId="04947E18">
      <w:pPr>
        <w:rPr>
          <w:rFonts w:hint="eastAsia" w:hAnsi="宋体"/>
          <w:b/>
          <w:color w:val="auto"/>
          <w:sz w:val="32"/>
          <w:szCs w:val="32"/>
          <w:highlight w:val="none"/>
          <w:lang w:val="en-US" w:eastAsia="zh-CN"/>
        </w:rPr>
      </w:pPr>
    </w:p>
    <w:p w14:paraId="3D5C4092">
      <w:pPr>
        <w:rPr>
          <w:rFonts w:hint="eastAsia" w:hAnsi="宋体"/>
          <w:b/>
          <w:color w:val="auto"/>
          <w:sz w:val="32"/>
          <w:szCs w:val="32"/>
          <w:highlight w:val="none"/>
          <w:lang w:val="en-US" w:eastAsia="zh-CN"/>
        </w:rPr>
      </w:pPr>
    </w:p>
    <w:p w14:paraId="0487668C">
      <w:pPr>
        <w:rPr>
          <w:rFonts w:hint="eastAsia" w:hAnsi="宋体"/>
          <w:b/>
          <w:color w:val="auto"/>
          <w:sz w:val="32"/>
          <w:szCs w:val="32"/>
          <w:highlight w:val="none"/>
          <w:lang w:val="en-US" w:eastAsia="zh-CN"/>
        </w:rPr>
      </w:pPr>
    </w:p>
    <w:p w14:paraId="1263E426">
      <w:pPr>
        <w:rPr>
          <w:rFonts w:hint="eastAsia" w:hAnsi="宋体"/>
          <w:b/>
          <w:color w:val="auto"/>
          <w:sz w:val="32"/>
          <w:szCs w:val="32"/>
          <w:highlight w:val="none"/>
          <w:lang w:val="en-US" w:eastAsia="zh-CN"/>
        </w:rPr>
      </w:pPr>
      <w:r>
        <w:rPr>
          <w:rFonts w:hint="eastAsia" w:hAnsi="宋体"/>
          <w:b/>
          <w:color w:val="auto"/>
          <w:sz w:val="32"/>
          <w:szCs w:val="32"/>
          <w:highlight w:val="none"/>
          <w:lang w:val="en-US" w:eastAsia="zh-CN"/>
        </w:rPr>
        <w:t>附件1：</w:t>
      </w:r>
    </w:p>
    <w:tbl>
      <w:tblPr>
        <w:tblStyle w:val="51"/>
        <w:tblpPr w:leftFromText="180" w:rightFromText="180" w:vertAnchor="text" w:horzAnchor="page" w:tblpX="1684" w:tblpY="904"/>
        <w:tblOverlap w:val="never"/>
        <w:tblW w:w="85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7"/>
        <w:gridCol w:w="7770"/>
      </w:tblGrid>
      <w:tr w14:paraId="26982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E12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b w:val="0"/>
                <w:bCs w:val="0"/>
                <w:i w:val="0"/>
                <w:iCs w:val="0"/>
                <w:color w:val="auto"/>
                <w:sz w:val="21"/>
                <w:szCs w:val="21"/>
                <w:u w:val="none"/>
                <w:lang w:eastAsia="zh-CN"/>
              </w:rPr>
            </w:pPr>
            <w:r>
              <w:rPr>
                <w:rFonts w:hint="eastAsia" w:ascii="宋体" w:hAnsi="宋体" w:cs="宋体"/>
                <w:b w:val="0"/>
                <w:bCs w:val="0"/>
                <w:i w:val="0"/>
                <w:iCs w:val="0"/>
                <w:color w:val="auto"/>
                <w:sz w:val="21"/>
                <w:szCs w:val="21"/>
                <w:u w:val="none"/>
                <w:lang w:eastAsia="zh-CN"/>
              </w:rPr>
              <w:t>序号</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0AB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安装单位</w:t>
            </w:r>
          </w:p>
        </w:tc>
      </w:tr>
      <w:tr w14:paraId="159F3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B5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i w:val="0"/>
                <w:iCs w:val="0"/>
                <w:color w:val="auto"/>
                <w:kern w:val="0"/>
                <w:sz w:val="22"/>
                <w:szCs w:val="22"/>
                <w:u w:val="none"/>
                <w:lang w:val="en-US" w:eastAsia="zh-CN" w:bidi="ar"/>
              </w:rPr>
              <w:t>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A88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灵山县伯劳镇伯凤村委</w:t>
            </w:r>
          </w:p>
        </w:tc>
      </w:tr>
      <w:tr w14:paraId="0AD4A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93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570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灵山县伯劳镇伯劳社区</w:t>
            </w:r>
          </w:p>
        </w:tc>
      </w:tr>
      <w:tr w14:paraId="483D5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70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6E1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灵山县伯劳镇伯隆社区</w:t>
            </w:r>
          </w:p>
        </w:tc>
      </w:tr>
      <w:tr w14:paraId="184D0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19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438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灵山县伯劳镇箔竹村委</w:t>
            </w:r>
          </w:p>
        </w:tc>
      </w:tr>
      <w:tr w14:paraId="5A4A3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87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5D8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灵山县伯劳镇财政所</w:t>
            </w:r>
          </w:p>
        </w:tc>
      </w:tr>
      <w:tr w14:paraId="314AE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AB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77B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灵山县伯劳镇大路村委</w:t>
            </w:r>
          </w:p>
        </w:tc>
      </w:tr>
      <w:tr w14:paraId="350A0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42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42B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灵山县伯劳镇淡屋村委</w:t>
            </w:r>
          </w:p>
        </w:tc>
      </w:tr>
      <w:tr w14:paraId="27903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D1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743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灵山县伯劳镇邓阳村委</w:t>
            </w:r>
          </w:p>
        </w:tc>
      </w:tr>
      <w:tr w14:paraId="0231B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FB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EE9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灵山县伯劳镇国土规建环保安监站</w:t>
            </w:r>
          </w:p>
        </w:tc>
      </w:tr>
      <w:tr w14:paraId="1D20E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4B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2EC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灵山县伯劳镇红坎村委</w:t>
            </w:r>
          </w:p>
        </w:tc>
      </w:tr>
      <w:tr w14:paraId="032FF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72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B4C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灵山县伯劳镇宦楼村委</w:t>
            </w:r>
          </w:p>
        </w:tc>
      </w:tr>
      <w:tr w14:paraId="0B1F9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CF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6CD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灵山县伯劳镇就业社保服务中心</w:t>
            </w:r>
          </w:p>
        </w:tc>
      </w:tr>
      <w:tr w14:paraId="03972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21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931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灵山县伯劳镇良坪村委</w:t>
            </w:r>
          </w:p>
        </w:tc>
      </w:tr>
      <w:tr w14:paraId="1B3C1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13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2DF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灵山县伯劳镇灵塘村委</w:t>
            </w:r>
          </w:p>
        </w:tc>
      </w:tr>
      <w:tr w14:paraId="51DF5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FC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63D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灵山县伯劳镇六槛村委</w:t>
            </w:r>
          </w:p>
        </w:tc>
      </w:tr>
      <w:tr w14:paraId="254BB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F8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F74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灵山县伯劳镇木棉村委</w:t>
            </w:r>
          </w:p>
        </w:tc>
      </w:tr>
      <w:tr w14:paraId="787CC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57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030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灵山县伯劳镇农业农村服务中心（伯劳镇农产品质量安全检测站）</w:t>
            </w:r>
          </w:p>
        </w:tc>
      </w:tr>
      <w:tr w14:paraId="707A3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6D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30A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灵山县伯劳镇盆山村委</w:t>
            </w:r>
          </w:p>
        </w:tc>
      </w:tr>
      <w:tr w14:paraId="46D3F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02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4A3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灵山县伯劳镇彭屋村委</w:t>
            </w:r>
          </w:p>
        </w:tc>
      </w:tr>
      <w:tr w14:paraId="47B79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F5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8C8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灵山县伯劳镇埤肚村委</w:t>
            </w:r>
          </w:p>
        </w:tc>
      </w:tr>
      <w:tr w14:paraId="713B6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25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C29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灵山县伯劳镇平心村委</w:t>
            </w:r>
          </w:p>
        </w:tc>
      </w:tr>
      <w:tr w14:paraId="63F4A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05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565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灵山县伯劳镇山塘村委</w:t>
            </w:r>
          </w:p>
        </w:tc>
      </w:tr>
      <w:tr w14:paraId="76CDD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F3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B18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灵山县伯劳镇市场监督管理所</w:t>
            </w:r>
          </w:p>
        </w:tc>
      </w:tr>
      <w:tr w14:paraId="73F71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66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A8F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灵山县伯劳镇万利村委</w:t>
            </w:r>
          </w:p>
        </w:tc>
      </w:tr>
      <w:tr w14:paraId="22433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04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2FB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平山卫健所</w:t>
            </w:r>
          </w:p>
        </w:tc>
      </w:tr>
      <w:tr w14:paraId="7FC4F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1F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7D4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灵山县伯劳镇文化体育和广播电视站</w:t>
            </w:r>
          </w:p>
        </w:tc>
      </w:tr>
      <w:tr w14:paraId="2F5C9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88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774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灵山县伯劳镇新禾村委</w:t>
            </w:r>
          </w:p>
        </w:tc>
      </w:tr>
      <w:tr w14:paraId="04F0B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C9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018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灵山县伯劳镇新民村委</w:t>
            </w:r>
          </w:p>
        </w:tc>
      </w:tr>
      <w:tr w14:paraId="3E256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B0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C72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灵山县伯劳镇燕坪村委</w:t>
            </w:r>
          </w:p>
        </w:tc>
      </w:tr>
      <w:tr w14:paraId="069C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8B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C2E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灵山县丰塘镇陂塘村委</w:t>
            </w:r>
          </w:p>
        </w:tc>
      </w:tr>
      <w:tr w14:paraId="62B41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74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20D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灵山县丰塘镇财政所</w:t>
            </w:r>
          </w:p>
        </w:tc>
      </w:tr>
      <w:tr w14:paraId="1575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3E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86D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灵山县丰塘镇川心村委</w:t>
            </w:r>
          </w:p>
        </w:tc>
      </w:tr>
      <w:tr w14:paraId="45ADD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61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FD0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灵山县丰塘镇大湴村委</w:t>
            </w:r>
          </w:p>
        </w:tc>
      </w:tr>
      <w:tr w14:paraId="1A795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2E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A9E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灵山县丰塘镇大丰村委</w:t>
            </w:r>
          </w:p>
        </w:tc>
      </w:tr>
      <w:tr w14:paraId="21ED0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54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7EF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灵山县丰塘镇董永村委</w:t>
            </w:r>
          </w:p>
        </w:tc>
      </w:tr>
      <w:tr w14:paraId="539CB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86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286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灵山县丰塘镇丰塘村委</w:t>
            </w:r>
          </w:p>
        </w:tc>
      </w:tr>
      <w:tr w14:paraId="5F0C4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8E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3C5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灵山县丰塘镇丰塘社区</w:t>
            </w:r>
          </w:p>
        </w:tc>
      </w:tr>
      <w:tr w14:paraId="0B177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03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9C9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灵山县丰塘镇高华村委</w:t>
            </w:r>
          </w:p>
        </w:tc>
      </w:tr>
      <w:tr w14:paraId="22721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07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B7D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灵山县工人文化宫</w:t>
            </w:r>
          </w:p>
        </w:tc>
      </w:tr>
      <w:tr w14:paraId="0B5D0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D3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B37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灵山县丰塘镇国土规建环保安监站</w:t>
            </w:r>
          </w:p>
        </w:tc>
      </w:tr>
      <w:tr w14:paraId="7831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E7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A79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灵山县丰塘镇就业社保服务中心</w:t>
            </w:r>
          </w:p>
        </w:tc>
      </w:tr>
      <w:tr w14:paraId="7FC57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DC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50A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灵山县丰塘镇礼回村委</w:t>
            </w:r>
          </w:p>
        </w:tc>
      </w:tr>
      <w:tr w14:paraId="0973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3E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188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灵山县丰塘镇六颜村委</w:t>
            </w:r>
          </w:p>
        </w:tc>
      </w:tr>
      <w:tr w14:paraId="263A8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AA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8CC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灵山县丰塘镇睦村村委</w:t>
            </w:r>
          </w:p>
        </w:tc>
      </w:tr>
      <w:tr w14:paraId="3FD99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08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456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灵山县丰塘镇农业农村服务中心（丰塘镇农产品质量安全检测站）</w:t>
            </w:r>
          </w:p>
        </w:tc>
      </w:tr>
      <w:tr w14:paraId="25BD9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F3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B8B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灵山县丰塘镇平岭村委</w:t>
            </w:r>
          </w:p>
        </w:tc>
      </w:tr>
      <w:tr w14:paraId="5937F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F6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FE6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灵山县丰塘镇桥笪村委</w:t>
            </w:r>
          </w:p>
        </w:tc>
      </w:tr>
      <w:tr w14:paraId="7297D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11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631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灵山县丰塘镇沙塘村委</w:t>
            </w:r>
          </w:p>
        </w:tc>
      </w:tr>
      <w:tr w14:paraId="5743F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71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0B7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灵山县丰塘镇石陂村委</w:t>
            </w:r>
          </w:p>
        </w:tc>
      </w:tr>
      <w:tr w14:paraId="13EC9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26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54A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灵山县丰塘镇市场监督管理所</w:t>
            </w:r>
          </w:p>
        </w:tc>
      </w:tr>
      <w:tr w14:paraId="3D9D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45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1B7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灵山县丰塘镇榃朴村委</w:t>
            </w:r>
          </w:p>
        </w:tc>
      </w:tr>
      <w:tr w14:paraId="02916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90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F56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灵山县丰塘镇潭龙村委</w:t>
            </w:r>
          </w:p>
        </w:tc>
      </w:tr>
      <w:tr w14:paraId="69E12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54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D2A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灵山县丰塘镇文化体育和广播电视站</w:t>
            </w:r>
          </w:p>
        </w:tc>
      </w:tr>
      <w:tr w14:paraId="62FFA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93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93D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灵山县丰塘镇修竹村委</w:t>
            </w:r>
          </w:p>
        </w:tc>
      </w:tr>
      <w:tr w14:paraId="278CC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42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951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灵山县丰塘镇友僚村委</w:t>
            </w:r>
          </w:p>
        </w:tc>
      </w:tr>
      <w:tr w14:paraId="25A1C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90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696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灵山县佛子镇财政所</w:t>
            </w:r>
          </w:p>
        </w:tc>
      </w:tr>
      <w:tr w14:paraId="319F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44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E9A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灵山县佛子镇大芦村委</w:t>
            </w:r>
          </w:p>
        </w:tc>
      </w:tr>
      <w:tr w14:paraId="53482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12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C3D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灵山县佛子镇大坡村委</w:t>
            </w:r>
          </w:p>
        </w:tc>
      </w:tr>
      <w:tr w14:paraId="615E4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74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52F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灵山县佛子镇芳兰村委</w:t>
            </w:r>
          </w:p>
        </w:tc>
      </w:tr>
      <w:tr w14:paraId="6DD53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3B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60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D69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灵山县佛子镇佛子社区</w:t>
            </w:r>
          </w:p>
        </w:tc>
      </w:tr>
      <w:tr w14:paraId="1C7DD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F9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61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B81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灵山县佛子镇府灵村委</w:t>
            </w:r>
          </w:p>
        </w:tc>
      </w:tr>
      <w:tr w14:paraId="3B507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3F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62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7EE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灵山县佛子镇桂山村委</w:t>
            </w:r>
          </w:p>
        </w:tc>
      </w:tr>
      <w:tr w14:paraId="17921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A3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63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3AB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灵山县佛子镇国土规建环保安监站</w:t>
            </w:r>
          </w:p>
        </w:tc>
      </w:tr>
      <w:tr w14:paraId="1C1B1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4D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64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0EF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灵山县佛子镇将加村委</w:t>
            </w:r>
          </w:p>
        </w:tc>
      </w:tr>
      <w:tr w14:paraId="0CF0E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5E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65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A99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灵山县佛子镇就业社保服务中心</w:t>
            </w:r>
          </w:p>
        </w:tc>
      </w:tr>
      <w:tr w14:paraId="26557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B5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66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174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灵山县佛子镇辣了村委</w:t>
            </w:r>
          </w:p>
        </w:tc>
      </w:tr>
      <w:tr w14:paraId="74102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C1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67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607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灵山县佛子镇龙渊村委</w:t>
            </w:r>
          </w:p>
        </w:tc>
      </w:tr>
      <w:tr w14:paraId="6D598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7A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68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A61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灵山县佛子镇睦象村委</w:t>
            </w:r>
          </w:p>
        </w:tc>
      </w:tr>
      <w:tr w14:paraId="2E682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41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69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D15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灵山县佛子镇农业农村服务中心（佛子镇农产品质量安全检测站）</w:t>
            </w:r>
          </w:p>
        </w:tc>
      </w:tr>
      <w:tr w14:paraId="466CF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1E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70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C5B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灵山县佛子镇清湖村委</w:t>
            </w:r>
          </w:p>
        </w:tc>
      </w:tr>
      <w:tr w14:paraId="35B69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10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71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418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灵山县佛子镇市场监督管理所</w:t>
            </w:r>
          </w:p>
        </w:tc>
      </w:tr>
      <w:tr w14:paraId="762B0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2C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72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88F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灵山县佛子镇泗洲村委</w:t>
            </w:r>
          </w:p>
        </w:tc>
      </w:tr>
      <w:tr w14:paraId="058A6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27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73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560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灵山县佛子镇文化体育和广播电视站</w:t>
            </w:r>
          </w:p>
        </w:tc>
      </w:tr>
      <w:tr w14:paraId="5CD97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09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74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968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灵山县佛子镇五一村委</w:t>
            </w:r>
          </w:p>
        </w:tc>
      </w:tr>
      <w:tr w14:paraId="6F208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D7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75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08B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灵山县佛子镇象山村委</w:t>
            </w:r>
          </w:p>
        </w:tc>
      </w:tr>
      <w:tr w14:paraId="19CBA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D7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76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DF3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灵山县佛子镇新村村委</w:t>
            </w:r>
          </w:p>
        </w:tc>
      </w:tr>
      <w:tr w14:paraId="4EE55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84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77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EA3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灵山县佛子镇新塘村委</w:t>
            </w:r>
          </w:p>
        </w:tc>
      </w:tr>
      <w:tr w14:paraId="09346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4B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78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3C0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灵山县佛子镇元眼村委</w:t>
            </w:r>
          </w:p>
        </w:tc>
      </w:tr>
      <w:tr w14:paraId="65B98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DD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79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DB7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灵山县旧州镇北龙村委</w:t>
            </w:r>
          </w:p>
        </w:tc>
      </w:tr>
      <w:tr w14:paraId="406F3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AE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80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0D3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灵山县旧州镇兵马村委</w:t>
            </w:r>
          </w:p>
        </w:tc>
      </w:tr>
      <w:tr w14:paraId="69CD7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AF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81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8EE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灵山县旧州镇财政所</w:t>
            </w:r>
          </w:p>
        </w:tc>
      </w:tr>
      <w:tr w14:paraId="56760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A6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82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E56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灵山县旧州镇长安村委</w:t>
            </w:r>
          </w:p>
        </w:tc>
      </w:tr>
      <w:tr w14:paraId="1368E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89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83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066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灵山县长安水库管理所</w:t>
            </w:r>
          </w:p>
        </w:tc>
      </w:tr>
      <w:tr w14:paraId="3D46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F8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84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C1D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灵山县旧州镇长基村委</w:t>
            </w:r>
          </w:p>
        </w:tc>
      </w:tr>
      <w:tr w14:paraId="5CD6E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55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85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582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灵山县旧州镇沉木村委</w:t>
            </w:r>
          </w:p>
        </w:tc>
      </w:tr>
      <w:tr w14:paraId="4AFE3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4C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86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ABB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灵山县旧州镇大岭村委</w:t>
            </w:r>
          </w:p>
        </w:tc>
      </w:tr>
      <w:tr w14:paraId="03364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1A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87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033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灵山县旧州镇古城社区</w:t>
            </w:r>
          </w:p>
        </w:tc>
      </w:tr>
      <w:tr w14:paraId="455E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7C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88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615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灵山县旧州镇古修村委</w:t>
            </w:r>
          </w:p>
        </w:tc>
      </w:tr>
      <w:tr w14:paraId="5D2C4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4F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89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BB0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灵山县旧州镇国土规建环保安监站</w:t>
            </w:r>
          </w:p>
        </w:tc>
      </w:tr>
      <w:tr w14:paraId="5B024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55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90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54C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灵山县旧州镇横塘村委</w:t>
            </w:r>
          </w:p>
        </w:tc>
      </w:tr>
      <w:tr w14:paraId="4A3D6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B0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91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76A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灵山县旧州镇教马村委</w:t>
            </w:r>
          </w:p>
        </w:tc>
      </w:tr>
      <w:tr w14:paraId="2EC54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7E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92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8C0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灵山县旧州镇旧州社区</w:t>
            </w:r>
          </w:p>
        </w:tc>
      </w:tr>
      <w:tr w14:paraId="52D08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C6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93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2AB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灵山县旧州镇就业社保服务中心</w:t>
            </w:r>
          </w:p>
        </w:tc>
      </w:tr>
      <w:tr w14:paraId="38971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5E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94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FB6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灵山县旧州镇六额村委</w:t>
            </w:r>
          </w:p>
        </w:tc>
      </w:tr>
      <w:tr w14:paraId="7F850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9D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95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15A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灵山县旧州镇六华村委</w:t>
            </w:r>
          </w:p>
        </w:tc>
      </w:tr>
      <w:tr w14:paraId="5FB47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0D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96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B99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灵山县旧州镇民主村委</w:t>
            </w:r>
          </w:p>
        </w:tc>
      </w:tr>
      <w:tr w14:paraId="050CD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97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97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49E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灵山县旧州镇那良村委</w:t>
            </w:r>
          </w:p>
        </w:tc>
      </w:tr>
      <w:tr w14:paraId="47D97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DB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98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B42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灵山县旧州镇农业农村服务中心(旧州镇农产品质量安全检测站）</w:t>
            </w:r>
          </w:p>
        </w:tc>
      </w:tr>
      <w:tr w14:paraId="5B499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31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99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4BF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灵山县旧州镇青松村委</w:t>
            </w:r>
          </w:p>
        </w:tc>
      </w:tr>
      <w:tr w14:paraId="7BB4B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0F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100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3CD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灵山县旧州镇上耕村委</w:t>
            </w:r>
          </w:p>
        </w:tc>
      </w:tr>
      <w:tr w14:paraId="53947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DB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101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C76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灵山县旧州镇上井村委</w:t>
            </w:r>
          </w:p>
        </w:tc>
      </w:tr>
      <w:tr w14:paraId="007A1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FD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102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685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灵山县旧州镇师岭村委</w:t>
            </w:r>
          </w:p>
        </w:tc>
      </w:tr>
      <w:tr w14:paraId="71552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A7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103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D7A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灵山县旧州镇石桥村委</w:t>
            </w:r>
          </w:p>
        </w:tc>
      </w:tr>
      <w:tr w14:paraId="57578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AB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104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634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灵山县旧州镇石柱村委</w:t>
            </w:r>
          </w:p>
        </w:tc>
      </w:tr>
      <w:tr w14:paraId="398EE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C0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105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284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灵山县旧州镇市场监督管理所</w:t>
            </w:r>
          </w:p>
        </w:tc>
      </w:tr>
      <w:tr w14:paraId="59A8E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C7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106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F97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灵山县旧州镇双凤村委</w:t>
            </w:r>
          </w:p>
        </w:tc>
      </w:tr>
      <w:tr w14:paraId="0041C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1C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107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A20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灵山县旧州镇双金村委</w:t>
            </w:r>
          </w:p>
        </w:tc>
      </w:tr>
      <w:tr w14:paraId="1ED3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37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108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C45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灵山县旧州镇塘寮村委</w:t>
            </w:r>
          </w:p>
        </w:tc>
      </w:tr>
      <w:tr w14:paraId="60EF8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D0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109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174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灵山县旧州镇围屋村委</w:t>
            </w:r>
          </w:p>
        </w:tc>
      </w:tr>
      <w:tr w14:paraId="5C970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37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110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318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灵山县旧州镇文化体育和广播电视站</w:t>
            </w:r>
          </w:p>
        </w:tc>
      </w:tr>
      <w:tr w14:paraId="44CB7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51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111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CA5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灵山县旧州镇西屯村委</w:t>
            </w:r>
          </w:p>
        </w:tc>
      </w:tr>
      <w:tr w14:paraId="05A21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3C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112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382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灵山县旧州镇下浪村委</w:t>
            </w:r>
          </w:p>
        </w:tc>
      </w:tr>
      <w:tr w14:paraId="542D4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CD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113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3DA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灵山县旧州镇新湾村委</w:t>
            </w:r>
          </w:p>
        </w:tc>
      </w:tr>
      <w:tr w14:paraId="1A938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FD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114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0F6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灵山县旧州镇张高村委</w:t>
            </w:r>
          </w:p>
        </w:tc>
      </w:tr>
      <w:tr w14:paraId="0DDC4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BF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115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9F8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灵山县旧州镇樟木村委</w:t>
            </w:r>
          </w:p>
        </w:tc>
      </w:tr>
      <w:tr w14:paraId="60398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4A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116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B3D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灵山县灵城街道白木村委</w:t>
            </w:r>
          </w:p>
        </w:tc>
      </w:tr>
      <w:tr w14:paraId="1B8A9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7B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117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9D4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灵山县灵城街道财政所</w:t>
            </w:r>
          </w:p>
        </w:tc>
      </w:tr>
      <w:tr w14:paraId="28C85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8D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118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E95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广西壮族自治区灵山县图书馆</w:t>
            </w:r>
          </w:p>
        </w:tc>
      </w:tr>
      <w:tr w14:paraId="3F171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4A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119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7AF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中国共产党灵山县纪律检查委员会</w:t>
            </w:r>
          </w:p>
        </w:tc>
      </w:tr>
      <w:tr w14:paraId="77F18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36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120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C4C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灵山县灵城街道附城社区</w:t>
            </w:r>
          </w:p>
        </w:tc>
      </w:tr>
      <w:tr w14:paraId="1A1EB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52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121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BAB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灵山县灵城街道国土规建环保安监站</w:t>
            </w:r>
          </w:p>
        </w:tc>
      </w:tr>
      <w:tr w14:paraId="2C187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D4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122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B18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灵山县灵城街道就业社保服务中心</w:t>
            </w:r>
          </w:p>
        </w:tc>
      </w:tr>
      <w:tr w14:paraId="3927D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05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123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9F3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灵山县灵城街道六峰社区</w:t>
            </w:r>
          </w:p>
        </w:tc>
      </w:tr>
      <w:tr w14:paraId="4576C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5F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124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43C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灵山县灵城街道农业农村服务中心（灵城街道农产品质量安全检测站）</w:t>
            </w:r>
          </w:p>
        </w:tc>
      </w:tr>
      <w:tr w14:paraId="4DE73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04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125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D4E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灵山县灵城街道前进村委</w:t>
            </w:r>
          </w:p>
        </w:tc>
      </w:tr>
      <w:tr w14:paraId="6C97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1A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126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600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灵山县灵城街道市场监督管理所</w:t>
            </w:r>
          </w:p>
        </w:tc>
      </w:tr>
      <w:tr w14:paraId="589F9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03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127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41E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灵山县灵城街道司法所</w:t>
            </w:r>
          </w:p>
        </w:tc>
      </w:tr>
      <w:tr w14:paraId="49EDF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C4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128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A3F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灵山县灵城街道谭礼村委</w:t>
            </w:r>
          </w:p>
        </w:tc>
      </w:tr>
      <w:tr w14:paraId="1EC83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3C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129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875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灵山县灵城街道棠梨村委</w:t>
            </w:r>
          </w:p>
        </w:tc>
      </w:tr>
      <w:tr w14:paraId="65779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6B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130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B30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灵山县灵城街道文化体育和广播电视站</w:t>
            </w:r>
          </w:p>
        </w:tc>
      </w:tr>
      <w:tr w14:paraId="6C919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32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131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26F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灵山县灵城街道梓崇村委</w:t>
            </w:r>
          </w:p>
        </w:tc>
      </w:tr>
      <w:tr w14:paraId="0D21E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47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132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550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灵山县灵城镇白水村委</w:t>
            </w:r>
          </w:p>
        </w:tc>
      </w:tr>
      <w:tr w14:paraId="4580B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7F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133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AA7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灵山县殡葬管理所</w:t>
            </w:r>
          </w:p>
        </w:tc>
      </w:tr>
      <w:tr w14:paraId="244AA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AD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134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07A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灵山县博物馆</w:t>
            </w:r>
          </w:p>
        </w:tc>
      </w:tr>
      <w:tr w14:paraId="6DC07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73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135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166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灵山县档案馆</w:t>
            </w:r>
          </w:p>
        </w:tc>
      </w:tr>
      <w:tr w14:paraId="7658F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26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136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4F5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灵山县动物疫病预防控制中心（灵山县水产畜牧产品质量安全检测中心）</w:t>
            </w:r>
          </w:p>
        </w:tc>
      </w:tr>
      <w:tr w14:paraId="16CB8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55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137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4F6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灵山县工人文化宫</w:t>
            </w:r>
          </w:p>
        </w:tc>
      </w:tr>
      <w:tr w14:paraId="0B28B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C8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138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CD3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灵山县光荣院（灵山县社会福利院）（灵山县儿童福利院）</w:t>
            </w:r>
          </w:p>
        </w:tc>
      </w:tr>
      <w:tr w14:paraId="59A00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15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139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1A9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灵山县疾病预防控制中心</w:t>
            </w:r>
          </w:p>
        </w:tc>
      </w:tr>
      <w:tr w14:paraId="36213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2E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140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4BD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灵山县建设工程质量安全监督站</w:t>
            </w:r>
          </w:p>
        </w:tc>
      </w:tr>
      <w:tr w14:paraId="7026F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58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141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C72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灵山县救助管理站（灵山县流浪未成年人救助保护中心）</w:t>
            </w:r>
          </w:p>
        </w:tc>
      </w:tr>
      <w:tr w14:paraId="4AC3D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A5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142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6EC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灵山县粮油收储有限责任公司</w:t>
            </w:r>
          </w:p>
        </w:tc>
      </w:tr>
      <w:tr w14:paraId="4F098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A5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143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39A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灵山县林业局</w:t>
            </w:r>
          </w:p>
        </w:tc>
      </w:tr>
      <w:tr w14:paraId="7FF9F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37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144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475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灵山县民政局婚姻登记处</w:t>
            </w:r>
          </w:p>
        </w:tc>
      </w:tr>
      <w:tr w14:paraId="2628D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08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145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6F0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灵山县农业机械化管理中心</w:t>
            </w:r>
          </w:p>
        </w:tc>
      </w:tr>
      <w:tr w14:paraId="247C7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61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146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A27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灵山县青少年学生校外活动中心</w:t>
            </w:r>
          </w:p>
        </w:tc>
      </w:tr>
      <w:tr w14:paraId="5134A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CE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147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11E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灵山县人武部</w:t>
            </w:r>
          </w:p>
        </w:tc>
      </w:tr>
      <w:tr w14:paraId="2C4E5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53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148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29F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灵山县森林公安局</w:t>
            </w:r>
          </w:p>
        </w:tc>
      </w:tr>
      <w:tr w14:paraId="33E0C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40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149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82E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灵山县老年大学</w:t>
            </w:r>
          </w:p>
        </w:tc>
      </w:tr>
      <w:tr w14:paraId="682F3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C7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150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B4A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灵山县社区戒毒康复中心</w:t>
            </w:r>
          </w:p>
        </w:tc>
      </w:tr>
      <w:tr w14:paraId="6EE61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41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151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130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灵山县卫生计生监督所</w:t>
            </w:r>
          </w:p>
        </w:tc>
      </w:tr>
      <w:tr w14:paraId="27918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85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152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06E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灵山县文化馆</w:t>
            </w:r>
          </w:p>
        </w:tc>
      </w:tr>
      <w:tr w14:paraId="4E2AB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9F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153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D26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灵山县县城街灯管理所</w:t>
            </w:r>
          </w:p>
        </w:tc>
      </w:tr>
      <w:tr w14:paraId="58E86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47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154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767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灵山县乡村振兴局</w:t>
            </w:r>
          </w:p>
        </w:tc>
      </w:tr>
      <w:tr w14:paraId="6AC92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3E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155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10C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灵山县畜牧技术服务站</w:t>
            </w:r>
          </w:p>
        </w:tc>
      </w:tr>
      <w:tr w14:paraId="4B7FB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2A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156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EAB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灵山县陆屋镇坝基村委</w:t>
            </w:r>
          </w:p>
        </w:tc>
      </w:tr>
      <w:tr w14:paraId="13CA3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20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157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3A4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灵山县新婚姻登记处</w:t>
            </w:r>
          </w:p>
        </w:tc>
      </w:tr>
      <w:tr w14:paraId="6B375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4A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158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550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灵山县陆屋镇福星村委</w:t>
            </w:r>
          </w:p>
        </w:tc>
      </w:tr>
      <w:tr w14:paraId="09F70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1B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159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21E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灵山县陆屋镇富久村委</w:t>
            </w:r>
          </w:p>
        </w:tc>
      </w:tr>
      <w:tr w14:paraId="4941B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55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160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1A1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灵山县陆屋镇古城村委</w:t>
            </w:r>
          </w:p>
        </w:tc>
      </w:tr>
      <w:tr w14:paraId="618C0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30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161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01B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灵山县交警大队</w:t>
            </w:r>
          </w:p>
        </w:tc>
      </w:tr>
      <w:tr w14:paraId="06CEB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6C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162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1DA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灵山县陆屋镇广江村委</w:t>
            </w:r>
          </w:p>
        </w:tc>
      </w:tr>
      <w:tr w14:paraId="7FC58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B2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163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C58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灵山县陆屋镇广隆村委</w:t>
            </w:r>
          </w:p>
        </w:tc>
      </w:tr>
      <w:tr w14:paraId="5FCF9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1C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164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2F0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灵山县陆屋镇国土规建环保安监站</w:t>
            </w:r>
          </w:p>
        </w:tc>
      </w:tr>
      <w:tr w14:paraId="52576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86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165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8CB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灵山县陆屋镇华麓村委</w:t>
            </w:r>
          </w:p>
        </w:tc>
      </w:tr>
      <w:tr w14:paraId="57953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FE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166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819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灵山县陆屋镇教坪村委</w:t>
            </w:r>
          </w:p>
        </w:tc>
      </w:tr>
      <w:tr w14:paraId="5DE29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C4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167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166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灵山县陆屋镇就业社保服务中心</w:t>
            </w:r>
          </w:p>
        </w:tc>
      </w:tr>
      <w:tr w14:paraId="22C1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E4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168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A12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灵山县陆屋镇连塘村委</w:t>
            </w:r>
          </w:p>
        </w:tc>
      </w:tr>
      <w:tr w14:paraId="03BE0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04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169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30A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灵山县陆屋镇卢屋村委</w:t>
            </w:r>
          </w:p>
        </w:tc>
      </w:tr>
      <w:tr w14:paraId="06ABE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79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170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799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灵山县陆屋镇陆东村委</w:t>
            </w:r>
          </w:p>
        </w:tc>
      </w:tr>
      <w:tr w14:paraId="723FC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2A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171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2AE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灵山县陆屋镇陆屋村委</w:t>
            </w:r>
          </w:p>
        </w:tc>
      </w:tr>
      <w:tr w14:paraId="57814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D8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172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986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灵山县陆屋镇陆屋社区</w:t>
            </w:r>
          </w:p>
        </w:tc>
      </w:tr>
      <w:tr w14:paraId="3BF03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60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173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8A2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灵山县陆屋镇罗屋坪村委</w:t>
            </w:r>
          </w:p>
        </w:tc>
      </w:tr>
      <w:tr w14:paraId="453D5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B2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174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3AB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灵山县陆屋镇马鞍村委</w:t>
            </w:r>
          </w:p>
        </w:tc>
      </w:tr>
      <w:tr w14:paraId="4D547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10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175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44F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灵山县陆屋镇那檀村委</w:t>
            </w:r>
          </w:p>
        </w:tc>
      </w:tr>
      <w:tr w14:paraId="5FFA6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85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176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266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灵山县陆屋镇南湖村委</w:t>
            </w:r>
          </w:p>
        </w:tc>
      </w:tr>
      <w:tr w14:paraId="2A9E6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C2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177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3EA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灵山县陆屋镇农业农村服务中心（陆屋镇农产品质量安全检测站）</w:t>
            </w:r>
          </w:p>
        </w:tc>
      </w:tr>
      <w:tr w14:paraId="61E1D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A3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178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309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灵山县陆屋镇企石村委</w:t>
            </w:r>
          </w:p>
        </w:tc>
      </w:tr>
      <w:tr w14:paraId="54AAC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D1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179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027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灵山县陆屋镇沙塘村委</w:t>
            </w:r>
          </w:p>
        </w:tc>
      </w:tr>
      <w:tr w14:paraId="64B9E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FC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180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BBE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灵山县陆屋镇沙田村委</w:t>
            </w:r>
          </w:p>
        </w:tc>
      </w:tr>
      <w:tr w14:paraId="5D244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79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181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9CD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灵山县陆屋镇申安村委</w:t>
            </w:r>
          </w:p>
        </w:tc>
      </w:tr>
      <w:tr w14:paraId="6314F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29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182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631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灵山县陆屋镇石子岭村委</w:t>
            </w:r>
          </w:p>
        </w:tc>
      </w:tr>
      <w:tr w14:paraId="6F4CD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D0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183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6E1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灵山县陆屋镇市场监督管理所</w:t>
            </w:r>
          </w:p>
        </w:tc>
      </w:tr>
      <w:tr w14:paraId="10DBA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13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184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484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灵山县陆屋镇水茫村委</w:t>
            </w:r>
          </w:p>
        </w:tc>
      </w:tr>
      <w:tr w14:paraId="48A93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76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185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F52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灵山县陆屋镇松木山村委</w:t>
            </w:r>
          </w:p>
        </w:tc>
      </w:tr>
      <w:tr w14:paraId="5339B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63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186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76C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灵山县陆屋镇王猛村委</w:t>
            </w:r>
          </w:p>
        </w:tc>
      </w:tr>
      <w:tr w14:paraId="2D8B3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FF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187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564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灵山县陆屋镇文化体育和广播电视站</w:t>
            </w:r>
          </w:p>
        </w:tc>
      </w:tr>
      <w:tr w14:paraId="6976B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F6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188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E54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灵山县陆屋镇新村村委</w:t>
            </w:r>
          </w:p>
        </w:tc>
      </w:tr>
      <w:tr w14:paraId="03F40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27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189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34E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灵山县陆屋镇新光村委</w:t>
            </w:r>
          </w:p>
        </w:tc>
      </w:tr>
      <w:tr w14:paraId="64591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3D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190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7F8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灵山县陆屋镇新坪村委</w:t>
            </w:r>
          </w:p>
        </w:tc>
      </w:tr>
      <w:tr w14:paraId="0D50E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E1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191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9A2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灵山县陆屋镇新营村委</w:t>
            </w:r>
          </w:p>
        </w:tc>
      </w:tr>
      <w:tr w14:paraId="15E7D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FE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192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B11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灵山县陆屋镇杨屋村委</w:t>
            </w:r>
          </w:p>
        </w:tc>
      </w:tr>
      <w:tr w14:paraId="205DE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63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193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DF1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灵山县陆屋镇政府第二办公点新工业园区</w:t>
            </w:r>
          </w:p>
        </w:tc>
      </w:tr>
      <w:tr w14:paraId="7D1F5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F0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194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CB8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灵山县那隆镇斌屋村委</w:t>
            </w:r>
          </w:p>
        </w:tc>
      </w:tr>
      <w:tr w14:paraId="1DE1F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89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195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9C3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灵山县那隆镇财政所</w:t>
            </w:r>
          </w:p>
        </w:tc>
      </w:tr>
      <w:tr w14:paraId="0EF1C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5E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196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069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灵山县那隆镇茶子村委</w:t>
            </w:r>
          </w:p>
        </w:tc>
      </w:tr>
      <w:tr w14:paraId="1F42D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F5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197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DF9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灵山县那隆镇长福村委</w:t>
            </w:r>
          </w:p>
        </w:tc>
      </w:tr>
      <w:tr w14:paraId="1AE7B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6F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198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311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灵山县那隆镇陈垌村委</w:t>
            </w:r>
          </w:p>
        </w:tc>
      </w:tr>
      <w:tr w14:paraId="5E033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26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199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00F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灵山县那隆镇充头村委</w:t>
            </w:r>
          </w:p>
        </w:tc>
      </w:tr>
      <w:tr w14:paraId="01A4E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E1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200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3F8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灵山县那隆镇大平村委</w:t>
            </w:r>
          </w:p>
        </w:tc>
      </w:tr>
      <w:tr w14:paraId="2735E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23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201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7BF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灵山县那隆镇大山村委</w:t>
            </w:r>
          </w:p>
        </w:tc>
      </w:tr>
      <w:tr w14:paraId="6AC39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B3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202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887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灵山县那隆镇芳塘村委</w:t>
            </w:r>
          </w:p>
        </w:tc>
      </w:tr>
      <w:tr w14:paraId="2E90B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7E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203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A3D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灵山县那隆镇枫木村委</w:t>
            </w:r>
          </w:p>
        </w:tc>
      </w:tr>
      <w:tr w14:paraId="2AE99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2C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204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9E0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灵山县那隆镇高埠村委</w:t>
            </w:r>
          </w:p>
        </w:tc>
      </w:tr>
      <w:tr w14:paraId="5DAD3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68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205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381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灵山县那隆镇高兰村委</w:t>
            </w:r>
          </w:p>
        </w:tc>
      </w:tr>
      <w:tr w14:paraId="77900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74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206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83F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灵山县那隆镇国土规建环保安监站</w:t>
            </w:r>
          </w:p>
        </w:tc>
      </w:tr>
      <w:tr w14:paraId="2A3BB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B3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207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562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灵山县那隆镇江东村委</w:t>
            </w:r>
          </w:p>
        </w:tc>
      </w:tr>
      <w:tr w14:paraId="071E6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96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208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79B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灵山县那隆镇就业社保服务中心</w:t>
            </w:r>
          </w:p>
        </w:tc>
      </w:tr>
      <w:tr w14:paraId="75768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95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209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76D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灵山县那隆镇灵二村委</w:t>
            </w:r>
          </w:p>
        </w:tc>
      </w:tr>
      <w:tr w14:paraId="090F2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71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210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3C1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灵山县那隆镇灵一村委</w:t>
            </w:r>
          </w:p>
        </w:tc>
      </w:tr>
      <w:tr w14:paraId="21188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97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211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FE2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灵山县那隆镇六安村委</w:t>
            </w:r>
          </w:p>
        </w:tc>
      </w:tr>
      <w:tr w14:paraId="15ECB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AF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212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B5A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灵山县那隆镇龙窟唐村委</w:t>
            </w:r>
          </w:p>
        </w:tc>
      </w:tr>
      <w:tr w14:paraId="0629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56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213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E28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灵山县那隆镇路司村委</w:t>
            </w:r>
          </w:p>
        </w:tc>
      </w:tr>
      <w:tr w14:paraId="0C0A0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D6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214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851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灵山县那隆镇马槽村委</w:t>
            </w:r>
          </w:p>
        </w:tc>
      </w:tr>
      <w:tr w14:paraId="20070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A9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215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C0D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灵山县那隆镇那垌村委</w:t>
            </w:r>
          </w:p>
        </w:tc>
      </w:tr>
      <w:tr w14:paraId="6A592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A2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216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390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灵山县那隆镇那隆社区</w:t>
            </w:r>
          </w:p>
        </w:tc>
      </w:tr>
      <w:tr w14:paraId="19CD8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BC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217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DA9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灵山县那隆镇坭桥村委</w:t>
            </w:r>
          </w:p>
        </w:tc>
      </w:tr>
      <w:tr w14:paraId="6B97A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94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218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A93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灵山县那隆镇农业农村服务中心（那隆镇农产品质量安全检测站）</w:t>
            </w:r>
          </w:p>
        </w:tc>
      </w:tr>
      <w:tr w14:paraId="55E6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BF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219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1EA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灵山县那隆镇清水降村委</w:t>
            </w:r>
          </w:p>
        </w:tc>
      </w:tr>
      <w:tr w14:paraId="6D7A8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0B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220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14F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灵山县那隆镇上江村委</w:t>
            </w:r>
          </w:p>
        </w:tc>
      </w:tr>
      <w:tr w14:paraId="1711D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CD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221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D5E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灵山县那隆镇市场监督管理所</w:t>
            </w:r>
          </w:p>
        </w:tc>
      </w:tr>
      <w:tr w14:paraId="1917C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17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222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3B5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灵山县那隆镇水埇村委</w:t>
            </w:r>
          </w:p>
        </w:tc>
      </w:tr>
      <w:tr w14:paraId="32300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B7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223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D54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灵山县那隆镇司法所</w:t>
            </w:r>
          </w:p>
        </w:tc>
      </w:tr>
      <w:tr w14:paraId="319C0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02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224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6D8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灵山县那隆镇思法村委</w:t>
            </w:r>
          </w:p>
        </w:tc>
      </w:tr>
      <w:tr w14:paraId="1A2A8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3E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225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122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灵山县那隆镇塘表村委</w:t>
            </w:r>
          </w:p>
        </w:tc>
      </w:tr>
      <w:tr w14:paraId="5397D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34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226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3C5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灵山县那隆镇文化体育和广播电视站</w:t>
            </w:r>
          </w:p>
        </w:tc>
      </w:tr>
      <w:tr w14:paraId="160DE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6B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227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199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灵山县那隆镇西岸村委</w:t>
            </w:r>
          </w:p>
        </w:tc>
      </w:tr>
      <w:tr w14:paraId="2D44E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86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228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074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灵山县那隆镇峡岭村委</w:t>
            </w:r>
          </w:p>
        </w:tc>
      </w:tr>
      <w:tr w14:paraId="43EE5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E3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229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A6F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灵山县那隆镇新田村委</w:t>
            </w:r>
          </w:p>
        </w:tc>
      </w:tr>
      <w:tr w14:paraId="53EC9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FF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230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EE1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灵山县那隆镇尤甘村委</w:t>
            </w:r>
          </w:p>
        </w:tc>
      </w:tr>
      <w:tr w14:paraId="009EA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6F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231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BD7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灵山县那隆镇中安村委</w:t>
            </w:r>
          </w:p>
        </w:tc>
      </w:tr>
      <w:tr w14:paraId="64F4B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58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232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443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灵山县平南镇白花村委</w:t>
            </w:r>
          </w:p>
        </w:tc>
      </w:tr>
      <w:tr w14:paraId="5A5D5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B0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233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FE4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灵山县平南镇北峡村委</w:t>
            </w:r>
          </w:p>
        </w:tc>
      </w:tr>
      <w:tr w14:paraId="503A3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89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234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0FE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灵山县平南镇财政所</w:t>
            </w:r>
          </w:p>
        </w:tc>
      </w:tr>
      <w:tr w14:paraId="4D04E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7F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235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942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灵山县平南镇大宾村委</w:t>
            </w:r>
          </w:p>
        </w:tc>
      </w:tr>
      <w:tr w14:paraId="5388E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49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236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0FF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灵山县平南镇大山塘村委</w:t>
            </w:r>
          </w:p>
        </w:tc>
      </w:tr>
      <w:tr w14:paraId="30ECD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E9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237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61F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灵山县平南镇大洋村委</w:t>
            </w:r>
          </w:p>
        </w:tc>
      </w:tr>
      <w:tr w14:paraId="105E4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96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238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958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灵山县平南镇古僚村委</w:t>
            </w:r>
          </w:p>
        </w:tc>
      </w:tr>
      <w:tr w14:paraId="65EE5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DD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239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88F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灵山县平南镇贵南社区</w:t>
            </w:r>
          </w:p>
        </w:tc>
      </w:tr>
      <w:tr w14:paraId="064A1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09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240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6A7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灵山县平南镇国土规建环保安监站</w:t>
            </w:r>
          </w:p>
        </w:tc>
      </w:tr>
      <w:tr w14:paraId="7F600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4C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241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1C3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灵山县平南镇驾马村委</w:t>
            </w:r>
          </w:p>
        </w:tc>
      </w:tr>
      <w:tr w14:paraId="493A2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00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242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223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灵山县平南镇金银村委</w:t>
            </w:r>
          </w:p>
        </w:tc>
      </w:tr>
      <w:tr w14:paraId="1D624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01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243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DB0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灵山县平南镇就业社保服务中心</w:t>
            </w:r>
          </w:p>
        </w:tc>
      </w:tr>
      <w:tr w14:paraId="456E2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E9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244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CFC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灵山县平南镇勒菜村委</w:t>
            </w:r>
          </w:p>
        </w:tc>
      </w:tr>
      <w:tr w14:paraId="1C1D3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C8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245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CB7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灵山县平南镇岭平村委</w:t>
            </w:r>
          </w:p>
        </w:tc>
      </w:tr>
      <w:tr w14:paraId="75D01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EC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246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3F1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灵山县平南镇鲁塘村委</w:t>
            </w:r>
          </w:p>
        </w:tc>
      </w:tr>
      <w:tr w14:paraId="3C8B3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6D9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247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0DA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灵山县平南镇农业农村服务中心（平南镇农产品质量安全检测站）</w:t>
            </w:r>
          </w:p>
        </w:tc>
      </w:tr>
      <w:tr w14:paraId="0A7AE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BA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248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2FF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灵山县平南镇平南社区</w:t>
            </w:r>
          </w:p>
        </w:tc>
      </w:tr>
      <w:tr w14:paraId="58139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E4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249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195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灵山县平南镇三里村委</w:t>
            </w:r>
          </w:p>
        </w:tc>
      </w:tr>
      <w:tr w14:paraId="48397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BC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250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15A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灵山县平南镇石基村委</w:t>
            </w:r>
          </w:p>
        </w:tc>
      </w:tr>
      <w:tr w14:paraId="6A5F6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73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251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1EE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灵山县平南镇市场监督管理所</w:t>
            </w:r>
          </w:p>
        </w:tc>
      </w:tr>
      <w:tr w14:paraId="6E5B5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C9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252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FB1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灵山县平南镇塘肚村委</w:t>
            </w:r>
          </w:p>
        </w:tc>
      </w:tr>
      <w:tr w14:paraId="3957B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27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253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666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灵山县平南镇桃禾村委</w:t>
            </w:r>
          </w:p>
        </w:tc>
      </w:tr>
      <w:tr w14:paraId="11F61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18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254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82B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灵山县平南镇文化体育和广播电视站</w:t>
            </w:r>
          </w:p>
        </w:tc>
      </w:tr>
      <w:tr w14:paraId="3E96A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82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255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B2C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灵山县平南镇硖木村委</w:t>
            </w:r>
          </w:p>
        </w:tc>
      </w:tr>
      <w:tr w14:paraId="3973B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95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256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91D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灵山县平南镇新魁村</w:t>
            </w:r>
          </w:p>
        </w:tc>
      </w:tr>
      <w:tr w14:paraId="72355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D7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257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4D1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灵山县平南镇新魁村委</w:t>
            </w:r>
          </w:p>
        </w:tc>
      </w:tr>
      <w:tr w14:paraId="2A7EF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F0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258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97A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灵山县平南镇杨梅村委</w:t>
            </w:r>
          </w:p>
        </w:tc>
      </w:tr>
      <w:tr w14:paraId="0E094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E3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259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9D5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灵山县平山镇财政所</w:t>
            </w:r>
          </w:p>
        </w:tc>
      </w:tr>
      <w:tr w14:paraId="34D53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02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260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F3E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灵山县平山镇插花村委</w:t>
            </w:r>
          </w:p>
        </w:tc>
      </w:tr>
      <w:tr w14:paraId="78175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A0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261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1F2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灵山县平山镇大路败村委</w:t>
            </w:r>
          </w:p>
        </w:tc>
      </w:tr>
      <w:tr w14:paraId="5647D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E1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262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487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灵山县平山镇高塘村委</w:t>
            </w:r>
          </w:p>
        </w:tc>
      </w:tr>
      <w:tr w14:paraId="4B53D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52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263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443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灵山县平山镇古朴村委</w:t>
            </w:r>
          </w:p>
        </w:tc>
      </w:tr>
      <w:tr w14:paraId="33DFB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47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264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047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灵山县平山镇国土规建环保安监站</w:t>
            </w:r>
          </w:p>
        </w:tc>
      </w:tr>
      <w:tr w14:paraId="353F5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B8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265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AB5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灵山县平山镇汉垌村委</w:t>
            </w:r>
          </w:p>
        </w:tc>
      </w:tr>
      <w:tr w14:paraId="34A13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21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266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04A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灵山县平山镇贾村村委</w:t>
            </w:r>
          </w:p>
        </w:tc>
      </w:tr>
      <w:tr w14:paraId="5DD97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7A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267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649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灵山县平山镇就业社保服务中心</w:t>
            </w:r>
          </w:p>
        </w:tc>
      </w:tr>
      <w:tr w14:paraId="27B09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C4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268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43E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灵山县平山镇里村村委</w:t>
            </w:r>
          </w:p>
        </w:tc>
      </w:tr>
      <w:tr w14:paraId="6C4AB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94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269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C9E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灵山县平山镇灵家村委</w:t>
            </w:r>
          </w:p>
        </w:tc>
      </w:tr>
      <w:tr w14:paraId="32364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A1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270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7D3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灵山县平山镇龙垌村委</w:t>
            </w:r>
          </w:p>
        </w:tc>
      </w:tr>
      <w:tr w14:paraId="174F8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06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271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C5D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灵山县平山镇农业农村服务中心（平山镇农产品质量安全检测站）</w:t>
            </w:r>
          </w:p>
        </w:tc>
      </w:tr>
      <w:tr w14:paraId="1B8FB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4E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272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468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灵山县平山镇平坡村委</w:t>
            </w:r>
          </w:p>
        </w:tc>
      </w:tr>
      <w:tr w14:paraId="11831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F8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273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667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灵山县平山镇平山村村委</w:t>
            </w:r>
          </w:p>
        </w:tc>
      </w:tr>
      <w:tr w14:paraId="0957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84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274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652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灵山县平山镇山村村委</w:t>
            </w:r>
          </w:p>
        </w:tc>
      </w:tr>
      <w:tr w14:paraId="5B10F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AA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275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6AF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灵山县平山镇山秀村委</w:t>
            </w:r>
          </w:p>
        </w:tc>
      </w:tr>
      <w:tr w14:paraId="15601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2B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276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20F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灵山县平山镇市场监督管理所</w:t>
            </w:r>
          </w:p>
        </w:tc>
      </w:tr>
      <w:tr w14:paraId="35EF7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D0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277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096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灵山县平山镇思林村委</w:t>
            </w:r>
          </w:p>
        </w:tc>
      </w:tr>
      <w:tr w14:paraId="1473B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39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278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520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灵山县平山镇同古村委</w:t>
            </w:r>
          </w:p>
        </w:tc>
      </w:tr>
      <w:tr w14:paraId="45515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FB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279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961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灵山县平山镇文化体育和广播电视站</w:t>
            </w:r>
          </w:p>
        </w:tc>
      </w:tr>
      <w:tr w14:paraId="0B7D0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BB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280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39A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灵山县平山镇夏塘村委</w:t>
            </w:r>
          </w:p>
        </w:tc>
      </w:tr>
      <w:tr w14:paraId="1ED26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89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281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ED4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灵山县平山镇新庄村委</w:t>
            </w:r>
          </w:p>
        </w:tc>
      </w:tr>
      <w:tr w14:paraId="5F067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B6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282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F3B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灵山县三海街道财政所</w:t>
            </w:r>
          </w:p>
        </w:tc>
      </w:tr>
      <w:tr w14:paraId="36050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35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283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B80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灵山县三海街道大塘村委</w:t>
            </w:r>
          </w:p>
        </w:tc>
      </w:tr>
      <w:tr w14:paraId="0F886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B4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284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3E9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灵山县三海街道独岭村委</w:t>
            </w:r>
          </w:p>
        </w:tc>
      </w:tr>
      <w:tr w14:paraId="4E248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75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285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499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灵山县三海街道国土规建环保安监站</w:t>
            </w:r>
          </w:p>
        </w:tc>
      </w:tr>
      <w:tr w14:paraId="22B9E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8E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286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BB6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灵山县三海街道黄膳村委</w:t>
            </w:r>
          </w:p>
        </w:tc>
      </w:tr>
      <w:tr w14:paraId="7D2FB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BB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287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170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灵山县三海街道就业社保服务中心</w:t>
            </w:r>
          </w:p>
        </w:tc>
      </w:tr>
      <w:tr w14:paraId="536D8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68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288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E06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灵山县三海街道流屋埠村委</w:t>
            </w:r>
          </w:p>
        </w:tc>
      </w:tr>
      <w:tr w14:paraId="43EE3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EB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289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B76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灵山县三海街道枚埠村委</w:t>
            </w:r>
          </w:p>
        </w:tc>
      </w:tr>
      <w:tr w14:paraId="0D5A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88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290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FB6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灵山县三海街道那银村委</w:t>
            </w:r>
          </w:p>
        </w:tc>
      </w:tr>
      <w:tr w14:paraId="7DF98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BA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291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585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灵山县三海街道农业农村服务中心（三海街道农产品质量安全检测站）</w:t>
            </w:r>
          </w:p>
        </w:tc>
      </w:tr>
      <w:tr w14:paraId="2417D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56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292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683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灵山县三海街道三多社区</w:t>
            </w:r>
          </w:p>
        </w:tc>
      </w:tr>
      <w:tr w14:paraId="1097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3C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293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4A0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灵山县三海街道三海村委</w:t>
            </w:r>
          </w:p>
        </w:tc>
      </w:tr>
      <w:tr w14:paraId="78270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6C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294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268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灵山县三海街道三勤村委</w:t>
            </w:r>
          </w:p>
        </w:tc>
      </w:tr>
      <w:tr w14:paraId="3AA6A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05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295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FFA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灵山县三海街道十里村委</w:t>
            </w:r>
          </w:p>
        </w:tc>
      </w:tr>
      <w:tr w14:paraId="7DC35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93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296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C1C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灵山县三海街道石龙村委</w:t>
            </w:r>
          </w:p>
        </w:tc>
      </w:tr>
      <w:tr w14:paraId="7B622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3A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297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F63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灵山县三海街道市场监督管理所</w:t>
            </w:r>
          </w:p>
        </w:tc>
      </w:tr>
      <w:tr w14:paraId="2C371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32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298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9B8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灵山县三海街道双鹤社区</w:t>
            </w:r>
          </w:p>
        </w:tc>
      </w:tr>
      <w:tr w14:paraId="3D0B0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18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299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83C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灵山县三海街道司法所</w:t>
            </w:r>
          </w:p>
        </w:tc>
      </w:tr>
      <w:tr w14:paraId="2BC3D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3C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300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1B9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灵山县三海街道苏屋村委</w:t>
            </w:r>
          </w:p>
        </w:tc>
      </w:tr>
      <w:tr w14:paraId="32D9F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8F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301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FA2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灵山县三海街道旺圩村委</w:t>
            </w:r>
          </w:p>
        </w:tc>
      </w:tr>
      <w:tr w14:paraId="4B48F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4F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302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651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灵山县三海街道文化体育和广播电视站</w:t>
            </w:r>
          </w:p>
        </w:tc>
      </w:tr>
      <w:tr w14:paraId="41A9C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9D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303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4A0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灵山县三海街道新大村委</w:t>
            </w:r>
          </w:p>
        </w:tc>
      </w:tr>
      <w:tr w14:paraId="0A2DD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74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304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017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灵山县三海街道新垌村委</w:t>
            </w:r>
          </w:p>
        </w:tc>
      </w:tr>
      <w:tr w14:paraId="05CC9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8C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305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5FD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灵山县三海街道英爪村委</w:t>
            </w:r>
          </w:p>
        </w:tc>
      </w:tr>
      <w:tr w14:paraId="5A8D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A5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306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D9B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灵山县三海街道梓木村委</w:t>
            </w:r>
          </w:p>
        </w:tc>
      </w:tr>
      <w:tr w14:paraId="0DF2E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42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307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79F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灵山县三隆镇蚌降村委</w:t>
            </w:r>
          </w:p>
        </w:tc>
      </w:tr>
      <w:tr w14:paraId="36902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CD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308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D06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灵山县三隆镇财政所</w:t>
            </w:r>
          </w:p>
        </w:tc>
      </w:tr>
      <w:tr w14:paraId="084F3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10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309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CE7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灵山县三隆镇陈屋山村委</w:t>
            </w:r>
          </w:p>
        </w:tc>
      </w:tr>
      <w:tr w14:paraId="1C0BD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43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310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1B6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灵山县三隆镇大马村委</w:t>
            </w:r>
          </w:p>
        </w:tc>
      </w:tr>
      <w:tr w14:paraId="68C54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D9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311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16C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灵山县三隆镇大田江村委</w:t>
            </w:r>
          </w:p>
        </w:tc>
      </w:tr>
      <w:tr w14:paraId="2E611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FC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312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66E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灵山县三隆镇关塘村委</w:t>
            </w:r>
          </w:p>
        </w:tc>
      </w:tr>
      <w:tr w14:paraId="49AD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9F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313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8D1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灵山县三隆镇国土规建环保安监站</w:t>
            </w:r>
          </w:p>
        </w:tc>
      </w:tr>
      <w:tr w14:paraId="3DF6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D3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314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BBA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灵山县三隆镇横岗村委</w:t>
            </w:r>
          </w:p>
        </w:tc>
      </w:tr>
      <w:tr w14:paraId="016F0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C9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315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83A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灵山县三隆镇金东村委</w:t>
            </w:r>
          </w:p>
        </w:tc>
      </w:tr>
      <w:tr w14:paraId="343B9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DE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316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799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灵山县三隆镇金西村委</w:t>
            </w:r>
          </w:p>
        </w:tc>
      </w:tr>
      <w:tr w14:paraId="264B2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80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317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806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灵山县三隆镇就业社保服务中心</w:t>
            </w:r>
          </w:p>
        </w:tc>
      </w:tr>
      <w:tr w14:paraId="28332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FC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318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06F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灵山县三隆镇龙楼村委</w:t>
            </w:r>
          </w:p>
        </w:tc>
      </w:tr>
      <w:tr w14:paraId="1A5CE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9B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319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577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灵山县三隆镇龙山村委</w:t>
            </w:r>
          </w:p>
        </w:tc>
      </w:tr>
      <w:tr w14:paraId="336F5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A4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320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8A7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灵山县三隆镇鲁塘村委</w:t>
            </w:r>
          </w:p>
        </w:tc>
      </w:tr>
      <w:tr w14:paraId="4304D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E2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321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148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灵山县三隆镇农业农村服务中心（三隆镇农产品质量安全检测站）</w:t>
            </w:r>
          </w:p>
        </w:tc>
      </w:tr>
      <w:tr w14:paraId="2F6D2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A5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322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ED0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灵山县三隆镇三隆村委</w:t>
            </w:r>
          </w:p>
        </w:tc>
      </w:tr>
      <w:tr w14:paraId="7B464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EE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323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5E0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灵山县三隆镇上楼村委</w:t>
            </w:r>
          </w:p>
        </w:tc>
      </w:tr>
      <w:tr w14:paraId="54086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04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324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BBC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灵山县三隆镇石碑村委</w:t>
            </w:r>
          </w:p>
        </w:tc>
      </w:tr>
      <w:tr w14:paraId="5B2E4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53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325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E89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灵山县三隆镇石梯村委</w:t>
            </w:r>
          </w:p>
        </w:tc>
      </w:tr>
      <w:tr w14:paraId="4192C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AE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326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686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灵山县三隆镇市场监督管理所</w:t>
            </w:r>
          </w:p>
        </w:tc>
      </w:tr>
      <w:tr w14:paraId="6D5E3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8B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327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442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灵山县三隆镇文化体育和广播电视站</w:t>
            </w:r>
          </w:p>
        </w:tc>
      </w:tr>
      <w:tr w14:paraId="4C186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41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328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492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灵山县三隆镇下埠村委</w:t>
            </w:r>
          </w:p>
        </w:tc>
      </w:tr>
      <w:tr w14:paraId="248C2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38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329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A95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灵山县三隆镇兴隆社区</w:t>
            </w:r>
          </w:p>
        </w:tc>
      </w:tr>
      <w:tr w14:paraId="250BB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4C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330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CC1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灵山县三隆镇罩云村委</w:t>
            </w:r>
          </w:p>
        </w:tc>
      </w:tr>
      <w:tr w14:paraId="44A64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71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331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4E2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灵山县沙坪镇财政所</w:t>
            </w:r>
          </w:p>
        </w:tc>
      </w:tr>
      <w:tr w14:paraId="61639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84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332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82B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灵山县沙坪镇古天村委</w:t>
            </w:r>
          </w:p>
        </w:tc>
      </w:tr>
      <w:tr w14:paraId="1CB3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6F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333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18C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灵山县沙坪镇桂塘村委</w:t>
            </w:r>
          </w:p>
        </w:tc>
      </w:tr>
      <w:tr w14:paraId="05952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81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334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275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灵山县沙坪镇国土规建环保安监站</w:t>
            </w:r>
          </w:p>
        </w:tc>
      </w:tr>
      <w:tr w14:paraId="15B96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94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335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371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灵山县沙坪镇金科村委</w:t>
            </w:r>
          </w:p>
        </w:tc>
      </w:tr>
      <w:tr w14:paraId="7DAD0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C1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336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AF0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灵山县沙坪镇井冲村委</w:t>
            </w:r>
          </w:p>
        </w:tc>
      </w:tr>
      <w:tr w14:paraId="5B275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2B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337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8DC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灵山县沙坪镇旧圩村委</w:t>
            </w:r>
          </w:p>
        </w:tc>
      </w:tr>
      <w:tr w14:paraId="02FDB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F1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338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1A2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灵山县沙坪镇就业社保服务中心</w:t>
            </w:r>
          </w:p>
        </w:tc>
      </w:tr>
      <w:tr w14:paraId="14732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69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339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62D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灵山县沙坪镇龙门村委</w:t>
            </w:r>
          </w:p>
        </w:tc>
      </w:tr>
      <w:tr w14:paraId="1E05D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F3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340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AF4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灵山县沙坪镇苗实村委</w:t>
            </w:r>
          </w:p>
        </w:tc>
      </w:tr>
      <w:tr w14:paraId="4780F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38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341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03A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灵山县沙坪镇那琅村委</w:t>
            </w:r>
          </w:p>
        </w:tc>
      </w:tr>
      <w:tr w14:paraId="058B7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D8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342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C5B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灵山县沙坪镇农业农村服务中心（沙坪镇农产品质量安全检测站）</w:t>
            </w:r>
          </w:p>
        </w:tc>
      </w:tr>
      <w:tr w14:paraId="12962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6C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343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6F0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灵山县沙坪镇七里村委</w:t>
            </w:r>
          </w:p>
        </w:tc>
      </w:tr>
      <w:tr w14:paraId="1639F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4E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344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E7F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灵山县沙坪镇沙坪村委</w:t>
            </w:r>
          </w:p>
        </w:tc>
      </w:tr>
      <w:tr w14:paraId="004D6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D1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345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C66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灵山县沙坪镇市场监督管理所</w:t>
            </w:r>
          </w:p>
        </w:tc>
      </w:tr>
      <w:tr w14:paraId="34A61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F0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346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483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灵山县沙坪镇双六村委</w:t>
            </w:r>
          </w:p>
        </w:tc>
      </w:tr>
      <w:tr w14:paraId="1A8DB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A4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347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688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灵山县沙坪镇思榜村委</w:t>
            </w:r>
          </w:p>
        </w:tc>
      </w:tr>
      <w:tr w14:paraId="0C03D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6A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348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6B6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灵山县沙坪镇榃璞村委</w:t>
            </w:r>
          </w:p>
        </w:tc>
      </w:tr>
      <w:tr w14:paraId="4D1CC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91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349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E58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灵山县沙坪镇旺屋村委</w:t>
            </w:r>
          </w:p>
        </w:tc>
      </w:tr>
      <w:tr w14:paraId="476DF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FA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350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77C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灵山县沙坪镇文化体育和广播电视站</w:t>
            </w:r>
          </w:p>
        </w:tc>
      </w:tr>
      <w:tr w14:paraId="2A377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FD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351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086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灵山县石塘镇白花村委</w:t>
            </w:r>
          </w:p>
        </w:tc>
      </w:tr>
      <w:tr w14:paraId="1507C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3E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352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B3F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灵山县石塘镇财政所</w:t>
            </w:r>
          </w:p>
        </w:tc>
      </w:tr>
      <w:tr w14:paraId="2AAB2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DE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353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A28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灵山县石塘镇大化村委</w:t>
            </w:r>
          </w:p>
        </w:tc>
      </w:tr>
      <w:tr w14:paraId="6A18B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B2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354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18A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灵山县石塘镇东安村委</w:t>
            </w:r>
          </w:p>
        </w:tc>
      </w:tr>
      <w:tr w14:paraId="6953A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11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355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6BC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灵山县石塘镇洞心村委</w:t>
            </w:r>
          </w:p>
        </w:tc>
      </w:tr>
      <w:tr w14:paraId="6FD48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E4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356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6E4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灵山县石塘镇俄境村委</w:t>
            </w:r>
          </w:p>
        </w:tc>
      </w:tr>
      <w:tr w14:paraId="4A30F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8C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357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4F3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灵山县石塘镇国土规建环保安监站</w:t>
            </w:r>
          </w:p>
        </w:tc>
      </w:tr>
      <w:tr w14:paraId="7B914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49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358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E69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灵山县石塘镇红星村委</w:t>
            </w:r>
          </w:p>
        </w:tc>
      </w:tr>
      <w:tr w14:paraId="71BAA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EF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359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3D1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灵山县石塘镇吉安村委</w:t>
            </w:r>
          </w:p>
        </w:tc>
      </w:tr>
      <w:tr w14:paraId="4FBEC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C8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360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BDE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灵山县石塘镇就业社保服务中心</w:t>
            </w:r>
          </w:p>
        </w:tc>
      </w:tr>
      <w:tr w14:paraId="5D10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A4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361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C95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灵山县石塘镇木山村委</w:t>
            </w:r>
          </w:p>
        </w:tc>
      </w:tr>
      <w:tr w14:paraId="6F72F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24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362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288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灵山县石塘镇农业农村服务中心（石塘镇农产品质量安全检测站）</w:t>
            </w:r>
          </w:p>
        </w:tc>
      </w:tr>
      <w:tr w14:paraId="521F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F7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363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2A0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灵山县石塘镇平历村委</w:t>
            </w:r>
          </w:p>
        </w:tc>
      </w:tr>
      <w:tr w14:paraId="7FE44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AD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364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781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灵山县石塘镇上流村委</w:t>
            </w:r>
          </w:p>
        </w:tc>
      </w:tr>
      <w:tr w14:paraId="574B7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1F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365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F2D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灵山县石塘镇深水村委</w:t>
            </w:r>
          </w:p>
        </w:tc>
      </w:tr>
      <w:tr w14:paraId="64202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6E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366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16E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灵山县石塘镇石塘村委</w:t>
            </w:r>
          </w:p>
        </w:tc>
      </w:tr>
      <w:tr w14:paraId="0FD73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1F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367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0FA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灵山县石塘镇石塘社区</w:t>
            </w:r>
          </w:p>
        </w:tc>
      </w:tr>
      <w:tr w14:paraId="42070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50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368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1C4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灵山县石塘镇市场监督管理所</w:t>
            </w:r>
          </w:p>
        </w:tc>
      </w:tr>
      <w:tr w14:paraId="78D45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6D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369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317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灵山县石塘镇苏村委</w:t>
            </w:r>
          </w:p>
        </w:tc>
      </w:tr>
      <w:tr w14:paraId="08BCA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D9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370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C16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灵山县石塘镇文化体育和广播电视站</w:t>
            </w:r>
          </w:p>
        </w:tc>
      </w:tr>
      <w:tr w14:paraId="3F237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2E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371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AF6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灵山县石塘镇兆庄村委</w:t>
            </w:r>
          </w:p>
        </w:tc>
      </w:tr>
      <w:tr w14:paraId="0C80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41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372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065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灵山县石塘镇镇安村委</w:t>
            </w:r>
          </w:p>
        </w:tc>
      </w:tr>
      <w:tr w14:paraId="06DC6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80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373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EE1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灵山县太平镇财政所</w:t>
            </w:r>
          </w:p>
        </w:tc>
      </w:tr>
      <w:tr w14:paraId="6CBD2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77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374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18A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灵山县太平镇池塘村委</w:t>
            </w:r>
          </w:p>
        </w:tc>
      </w:tr>
      <w:tr w14:paraId="16157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3C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375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177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灵山县太平镇大塘村委</w:t>
            </w:r>
          </w:p>
        </w:tc>
      </w:tr>
      <w:tr w14:paraId="1595A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2A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376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704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灵山县太平镇枫木村委</w:t>
            </w:r>
          </w:p>
        </w:tc>
      </w:tr>
      <w:tr w14:paraId="334D7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CF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377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819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灵山县太平镇公家村委</w:t>
            </w:r>
          </w:p>
        </w:tc>
      </w:tr>
      <w:tr w14:paraId="36EE5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ED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378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54B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灵山县太平镇国土规建环保安监站</w:t>
            </w:r>
          </w:p>
        </w:tc>
      </w:tr>
      <w:tr w14:paraId="29C90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61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379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F1C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灵山县太平镇华楠村委</w:t>
            </w:r>
          </w:p>
        </w:tc>
      </w:tr>
      <w:tr w14:paraId="6362F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4E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380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08D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灵山县太平镇佳芝村委</w:t>
            </w:r>
          </w:p>
        </w:tc>
      </w:tr>
      <w:tr w14:paraId="4E5FE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5F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381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4E3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灵山县太平镇九冬村委</w:t>
            </w:r>
          </w:p>
        </w:tc>
      </w:tr>
      <w:tr w14:paraId="13BBA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F1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382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4F7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灵山县太平镇就业社保服务中心</w:t>
            </w:r>
          </w:p>
        </w:tc>
      </w:tr>
      <w:tr w14:paraId="5423A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F7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383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4FD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灵山县太平镇立石村委</w:t>
            </w:r>
          </w:p>
        </w:tc>
      </w:tr>
      <w:tr w14:paraId="3E344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2D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384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8AE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灵山县太平镇六谭村委</w:t>
            </w:r>
          </w:p>
        </w:tc>
      </w:tr>
      <w:tr w14:paraId="1A836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92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385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DFC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灵山县太平镇茂萱村委</w:t>
            </w:r>
          </w:p>
        </w:tc>
      </w:tr>
      <w:tr w14:paraId="500F8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B8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386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424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灵山县太平镇那案村委</w:t>
            </w:r>
          </w:p>
        </w:tc>
      </w:tr>
      <w:tr w14:paraId="2CEE7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47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387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520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灵山县太平镇那廉村委</w:t>
            </w:r>
          </w:p>
        </w:tc>
      </w:tr>
      <w:tr w14:paraId="1C1C2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8E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388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12A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灵山县太平镇那隆村委</w:t>
            </w:r>
          </w:p>
        </w:tc>
      </w:tr>
      <w:tr w14:paraId="416B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1B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389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284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灵山县太平镇那马村委</w:t>
            </w:r>
          </w:p>
        </w:tc>
      </w:tr>
      <w:tr w14:paraId="487A8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1A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390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63A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灵山县太平镇那璞村委</w:t>
            </w:r>
          </w:p>
        </w:tc>
      </w:tr>
      <w:tr w14:paraId="59C60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E3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391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485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灵山县太平镇那沙村委</w:t>
            </w:r>
          </w:p>
        </w:tc>
      </w:tr>
      <w:tr w14:paraId="11313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78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392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065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灵山县太平镇那驮村委</w:t>
            </w:r>
          </w:p>
        </w:tc>
      </w:tr>
      <w:tr w14:paraId="3B72A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F8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393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365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灵山县太平镇那线村委</w:t>
            </w:r>
          </w:p>
        </w:tc>
      </w:tr>
      <w:tr w14:paraId="6D73E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14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394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C08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灵山县太平镇那谐村委</w:t>
            </w:r>
          </w:p>
        </w:tc>
      </w:tr>
      <w:tr w14:paraId="3D61C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C6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395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CB5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灵山县太平镇农业农村服务中心（太平镇农产品质量安全检测站）</w:t>
            </w:r>
          </w:p>
        </w:tc>
      </w:tr>
      <w:tr w14:paraId="04AAD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09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396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B91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灵山县太平镇千里村委</w:t>
            </w:r>
          </w:p>
        </w:tc>
      </w:tr>
      <w:tr w14:paraId="032FF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1D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397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165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灵山县太平镇清水村委</w:t>
            </w:r>
          </w:p>
        </w:tc>
      </w:tr>
      <w:tr w14:paraId="24CC0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17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398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397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灵山县太平镇稔荖村委</w:t>
            </w:r>
          </w:p>
        </w:tc>
      </w:tr>
      <w:tr w14:paraId="4D562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17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399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260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灵山县太平镇市场监督管理所</w:t>
            </w:r>
          </w:p>
        </w:tc>
      </w:tr>
      <w:tr w14:paraId="081EA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A1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400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E7F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灵山县太平镇思明村委</w:t>
            </w:r>
          </w:p>
        </w:tc>
      </w:tr>
      <w:tr w14:paraId="64B01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F4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401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942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灵山县思明水库管理处</w:t>
            </w:r>
          </w:p>
        </w:tc>
      </w:tr>
      <w:tr w14:paraId="45EF2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D6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402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57F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灵山县太平镇太平村委</w:t>
            </w:r>
          </w:p>
        </w:tc>
      </w:tr>
      <w:tr w14:paraId="0056A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F5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403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331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灵山县太平镇太平社区</w:t>
            </w:r>
          </w:p>
        </w:tc>
      </w:tr>
      <w:tr w14:paraId="671F6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E8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404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768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灵山县太平镇谭有村委</w:t>
            </w:r>
          </w:p>
        </w:tc>
      </w:tr>
      <w:tr w14:paraId="25AE8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ED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405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16C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灵山县太平镇屯仁村委</w:t>
            </w:r>
          </w:p>
        </w:tc>
      </w:tr>
      <w:tr w14:paraId="3AB44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9C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406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06D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灵山县太平镇文化体育和广播电视站</w:t>
            </w:r>
          </w:p>
        </w:tc>
      </w:tr>
      <w:tr w14:paraId="2C495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C0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407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450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灵山县太平镇西华村委</w:t>
            </w:r>
          </w:p>
        </w:tc>
      </w:tr>
      <w:tr w14:paraId="4552D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CE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408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EDC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灵山县太平镇永安村委</w:t>
            </w:r>
          </w:p>
        </w:tc>
      </w:tr>
      <w:tr w14:paraId="7E045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92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409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F0C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灵山县太平镇镇南村委</w:t>
            </w:r>
          </w:p>
        </w:tc>
      </w:tr>
      <w:tr w14:paraId="24C3D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5B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410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4E0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灵山县檀圩镇保子村委</w:t>
            </w:r>
          </w:p>
        </w:tc>
      </w:tr>
      <w:tr w14:paraId="76C33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76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411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748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灵山县檀圩镇财政所</w:t>
            </w:r>
          </w:p>
        </w:tc>
      </w:tr>
      <w:tr w14:paraId="67F4D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D7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412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869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灵山县檀圩镇茶亭村委</w:t>
            </w:r>
          </w:p>
        </w:tc>
      </w:tr>
      <w:tr w14:paraId="14244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64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413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78E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灵山县檀圩镇村心村委</w:t>
            </w:r>
          </w:p>
        </w:tc>
      </w:tr>
      <w:tr w14:paraId="151DD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AA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414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23D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灵山县檀圩镇大垌田村委</w:t>
            </w:r>
          </w:p>
        </w:tc>
      </w:tr>
      <w:tr w14:paraId="27CF0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BA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415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6AD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灵山县檀圩镇大水垌村委</w:t>
            </w:r>
          </w:p>
        </w:tc>
      </w:tr>
      <w:tr w14:paraId="5C5B9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CF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416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C6F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灵山县檀圩镇东岸村委</w:t>
            </w:r>
          </w:p>
        </w:tc>
      </w:tr>
      <w:tr w14:paraId="3B7D1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7F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417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95D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灵山县檀圩镇甘村委</w:t>
            </w:r>
          </w:p>
        </w:tc>
      </w:tr>
      <w:tr w14:paraId="26E4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95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418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7B9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灵山县檀圩镇国土规建环保安监站</w:t>
            </w:r>
          </w:p>
        </w:tc>
      </w:tr>
      <w:tr w14:paraId="5998A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3A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419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935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灵山县檀圩镇华屏村委</w:t>
            </w:r>
          </w:p>
        </w:tc>
      </w:tr>
      <w:tr w14:paraId="18B88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9C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420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85F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灵山县檀圩镇华山社区</w:t>
            </w:r>
          </w:p>
        </w:tc>
      </w:tr>
      <w:tr w14:paraId="6293A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D0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421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206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灵山县檀圩镇黄楼村委</w:t>
            </w:r>
          </w:p>
        </w:tc>
      </w:tr>
      <w:tr w14:paraId="2808D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A5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422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C9E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灵山县檀圩镇见田村委</w:t>
            </w:r>
          </w:p>
        </w:tc>
      </w:tr>
      <w:tr w14:paraId="4E3DD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C6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423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254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灵山县檀圩镇就业社保服务中心</w:t>
            </w:r>
          </w:p>
        </w:tc>
      </w:tr>
      <w:tr w14:paraId="69D9C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A0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424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A7B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灵山县檀圩镇龙窟唐村委</w:t>
            </w:r>
          </w:p>
        </w:tc>
      </w:tr>
      <w:tr w14:paraId="2A96B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69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425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59A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灵山县檀圩镇牛路村委</w:t>
            </w:r>
          </w:p>
        </w:tc>
      </w:tr>
      <w:tr w14:paraId="0A3EC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BD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426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CC7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灵山县檀圩镇农业农村服务中心（檀圩镇农产品质量安全检测站）</w:t>
            </w:r>
          </w:p>
        </w:tc>
      </w:tr>
      <w:tr w14:paraId="342D1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87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427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6BE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灵山县檀圩镇桥梓村委</w:t>
            </w:r>
          </w:p>
        </w:tc>
      </w:tr>
      <w:tr w14:paraId="6DF38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FD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428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B44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灵山县檀圩镇三合村委</w:t>
            </w:r>
          </w:p>
        </w:tc>
      </w:tr>
      <w:tr w14:paraId="2B445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4E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429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672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灵山县檀圩镇沙井村委</w:t>
            </w:r>
          </w:p>
        </w:tc>
      </w:tr>
      <w:tr w14:paraId="21076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32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430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1EC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灵山县檀圩镇社岭村委</w:t>
            </w:r>
          </w:p>
        </w:tc>
      </w:tr>
      <w:tr w14:paraId="1F94E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3C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431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5E0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灵山县檀圩镇石球湖村委</w:t>
            </w:r>
          </w:p>
        </w:tc>
      </w:tr>
      <w:tr w14:paraId="2AD3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80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432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E74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灵山县檀圩镇市场监督管理所</w:t>
            </w:r>
          </w:p>
        </w:tc>
      </w:tr>
      <w:tr w14:paraId="1B14D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BA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433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C18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灵山县檀圩镇四联村委</w:t>
            </w:r>
          </w:p>
        </w:tc>
      </w:tr>
      <w:tr w14:paraId="483D9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13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434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41E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灵山县檀圩镇檀圩村村委</w:t>
            </w:r>
          </w:p>
        </w:tc>
      </w:tr>
      <w:tr w14:paraId="4FE53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DB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435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CAB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灵山县檀圩镇塘坡村委</w:t>
            </w:r>
          </w:p>
        </w:tc>
      </w:tr>
      <w:tr w14:paraId="48030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5A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436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C65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灵山县檀圩镇文化体育和广播电视站</w:t>
            </w:r>
          </w:p>
        </w:tc>
      </w:tr>
      <w:tr w14:paraId="5AC85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77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437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0A0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灵山县檀圩镇谢赖村委</w:t>
            </w:r>
          </w:p>
        </w:tc>
      </w:tr>
      <w:tr w14:paraId="342C2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FF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438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2CB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灵山县那隆粮食储备中心（路司粮仓）</w:t>
            </w:r>
          </w:p>
        </w:tc>
      </w:tr>
      <w:tr w14:paraId="6F9ED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53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439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EDC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灵山县新胜塘水库管理所</w:t>
            </w:r>
          </w:p>
        </w:tc>
      </w:tr>
      <w:tr w14:paraId="36303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5E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440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F8A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灵山县檀圩镇垭山村委</w:t>
            </w:r>
          </w:p>
        </w:tc>
      </w:tr>
      <w:tr w14:paraId="71B61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80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441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D60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灵山县檀圩镇竹围村委</w:t>
            </w:r>
          </w:p>
        </w:tc>
      </w:tr>
      <w:tr w14:paraId="7BEDD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A9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442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B94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灵山县文利镇财政所</w:t>
            </w:r>
          </w:p>
        </w:tc>
      </w:tr>
      <w:tr w14:paraId="2416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62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443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685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灵山县文利镇搭简村委</w:t>
            </w:r>
          </w:p>
        </w:tc>
      </w:tr>
      <w:tr w14:paraId="482EC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BC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444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F8D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灵山县文利镇东冲村委</w:t>
            </w:r>
          </w:p>
        </w:tc>
      </w:tr>
      <w:tr w14:paraId="0D28C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DA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445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3A8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灵山县文利镇公服村委</w:t>
            </w:r>
          </w:p>
        </w:tc>
      </w:tr>
      <w:tr w14:paraId="4FB88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08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446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FF1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灵山县文利镇谷埠村委</w:t>
            </w:r>
          </w:p>
        </w:tc>
      </w:tr>
      <w:tr w14:paraId="15B4B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4A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447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D55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灵山县文利镇国土规建环保安监站</w:t>
            </w:r>
          </w:p>
        </w:tc>
      </w:tr>
      <w:tr w14:paraId="23FB0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8D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448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B51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灵山县文利镇横山村委</w:t>
            </w:r>
          </w:p>
        </w:tc>
      </w:tr>
      <w:tr w14:paraId="508D4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50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449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744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灵山县文利镇甲叉村委</w:t>
            </w:r>
          </w:p>
        </w:tc>
      </w:tr>
      <w:tr w14:paraId="3759F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48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450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FF5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灵山县文利镇就业社保服务中心</w:t>
            </w:r>
          </w:p>
        </w:tc>
      </w:tr>
      <w:tr w14:paraId="372FC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F8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451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85F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灵山县文利镇黎头村委</w:t>
            </w:r>
          </w:p>
        </w:tc>
      </w:tr>
      <w:tr w14:paraId="0B405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C2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452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65D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灵山县文利镇马达村委</w:t>
            </w:r>
          </w:p>
        </w:tc>
      </w:tr>
      <w:tr w14:paraId="2A71C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F7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453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9A9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灵山县文利镇南城村委</w:t>
            </w:r>
          </w:p>
        </w:tc>
      </w:tr>
      <w:tr w14:paraId="481CD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E5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454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236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灵山县文利镇农业农村服务中心（文利镇农产品质量安全检测站）</w:t>
            </w:r>
          </w:p>
        </w:tc>
      </w:tr>
      <w:tr w14:paraId="79822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61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455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BFA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灵山县文利镇驲面村委</w:t>
            </w:r>
          </w:p>
        </w:tc>
      </w:tr>
      <w:tr w14:paraId="039D9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31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456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33C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灵山县文利镇升安村委</w:t>
            </w:r>
          </w:p>
        </w:tc>
      </w:tr>
      <w:tr w14:paraId="7ADBB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AE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457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14A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灵山县文利镇升和村委</w:t>
            </w:r>
          </w:p>
        </w:tc>
      </w:tr>
      <w:tr w14:paraId="05C21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5F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458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EC6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灵山县文利镇升平村委</w:t>
            </w:r>
          </w:p>
        </w:tc>
      </w:tr>
      <w:tr w14:paraId="1B6FE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91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459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796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灵山县文利镇市场监督管理所</w:t>
            </w:r>
          </w:p>
        </w:tc>
      </w:tr>
      <w:tr w14:paraId="3B12C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FD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460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AA5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佛子卫健所</w:t>
            </w:r>
          </w:p>
        </w:tc>
      </w:tr>
      <w:tr w14:paraId="58BF6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17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461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E34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灵山县文利镇文化体育和广播电视站</w:t>
            </w:r>
          </w:p>
        </w:tc>
      </w:tr>
      <w:tr w14:paraId="61F2D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0D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462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413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灵山县文利镇文利村委</w:t>
            </w:r>
          </w:p>
        </w:tc>
      </w:tr>
      <w:tr w14:paraId="4E0F2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15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463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FF1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灵山县文利镇文利社区</w:t>
            </w:r>
          </w:p>
        </w:tc>
      </w:tr>
      <w:tr w14:paraId="70BD0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8D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464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C5F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灵山县文利镇香山村委</w:t>
            </w:r>
          </w:p>
        </w:tc>
      </w:tr>
      <w:tr w14:paraId="4367A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0B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465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843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灵山县武利镇安金村委</w:t>
            </w:r>
          </w:p>
        </w:tc>
      </w:tr>
      <w:tr w14:paraId="590F2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2D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466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6A1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灵山县武利镇财政所</w:t>
            </w:r>
          </w:p>
        </w:tc>
      </w:tr>
      <w:tr w14:paraId="47A9C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76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467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8B0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灵山县武利镇叉口村委</w:t>
            </w:r>
          </w:p>
        </w:tc>
      </w:tr>
      <w:tr w14:paraId="42A8D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26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468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E0D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灵山县武利镇长岗村委</w:t>
            </w:r>
          </w:p>
        </w:tc>
      </w:tr>
      <w:tr w14:paraId="3AA0C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4D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469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E95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灵山县武利镇大黎村委</w:t>
            </w:r>
          </w:p>
        </w:tc>
      </w:tr>
      <w:tr w14:paraId="4BAAF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29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470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06E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灵山县武利镇大沙村委</w:t>
            </w:r>
          </w:p>
        </w:tc>
      </w:tr>
      <w:tr w14:paraId="38E91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61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471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8D5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灵山县武利镇高李村委</w:t>
            </w:r>
          </w:p>
        </w:tc>
      </w:tr>
      <w:tr w14:paraId="0A2D7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DF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472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27F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灵山县武利镇国土规建环保安监站</w:t>
            </w:r>
          </w:p>
        </w:tc>
      </w:tr>
      <w:tr w14:paraId="7FEE8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8F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473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E70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灵山县武利镇汉塘村委</w:t>
            </w:r>
          </w:p>
        </w:tc>
      </w:tr>
      <w:tr w14:paraId="18BCD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97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474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3AC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灵山县武利镇后背村委</w:t>
            </w:r>
          </w:p>
        </w:tc>
      </w:tr>
      <w:tr w14:paraId="63586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2B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475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B82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灵山县武利镇教塘村委</w:t>
            </w:r>
          </w:p>
        </w:tc>
      </w:tr>
      <w:tr w14:paraId="19DE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5D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476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884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灵山县武利镇就业社保服务中心</w:t>
            </w:r>
          </w:p>
        </w:tc>
      </w:tr>
      <w:tr w14:paraId="71244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E8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477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A01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灵山县武利镇龙塘村委</w:t>
            </w:r>
          </w:p>
        </w:tc>
      </w:tr>
      <w:tr w14:paraId="255D2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B3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478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0B1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灵山县武利镇龙舞村委</w:t>
            </w:r>
          </w:p>
        </w:tc>
      </w:tr>
      <w:tr w14:paraId="4EEC5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39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479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F62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灵山县武利镇明山村委</w:t>
            </w:r>
          </w:p>
        </w:tc>
      </w:tr>
      <w:tr w14:paraId="5426B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C3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480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ECD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灵山县武利镇农业农村服务中心（武利镇农产品质量安全检测站）</w:t>
            </w:r>
          </w:p>
        </w:tc>
      </w:tr>
      <w:tr w14:paraId="0775D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2D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481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BC5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灵山县武利镇桥山村委</w:t>
            </w:r>
          </w:p>
        </w:tc>
      </w:tr>
      <w:tr w14:paraId="5AD8B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3E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482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7E3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灵山县武利镇三角村委</w:t>
            </w:r>
          </w:p>
        </w:tc>
      </w:tr>
      <w:tr w14:paraId="31221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64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483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F51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灵山县武利镇市场监督管理所</w:t>
            </w:r>
          </w:p>
        </w:tc>
      </w:tr>
      <w:tr w14:paraId="56930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C7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484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947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灵山县武利镇望坪村委</w:t>
            </w:r>
          </w:p>
        </w:tc>
      </w:tr>
      <w:tr w14:paraId="17669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51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485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C04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灵山县武利镇文化体育和广播电视站</w:t>
            </w:r>
          </w:p>
        </w:tc>
      </w:tr>
      <w:tr w14:paraId="19DDA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21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486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A67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灵山县武利镇武利社区</w:t>
            </w:r>
          </w:p>
        </w:tc>
      </w:tr>
      <w:tr w14:paraId="015E7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F4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487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985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灵山县武利镇新亮村委</w:t>
            </w:r>
          </w:p>
        </w:tc>
      </w:tr>
      <w:tr w14:paraId="58D26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D4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488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892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灵山县武利镇鱼良村委</w:t>
            </w:r>
          </w:p>
        </w:tc>
      </w:tr>
      <w:tr w14:paraId="7029A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AF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489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8CB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新圩卫健所</w:t>
            </w:r>
          </w:p>
        </w:tc>
      </w:tr>
      <w:tr w14:paraId="171BD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D2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490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583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灵山县武利镇珠理村委</w:t>
            </w:r>
          </w:p>
        </w:tc>
      </w:tr>
      <w:tr w14:paraId="2355A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87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491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DBE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灵山县武利镇竹坡村委</w:t>
            </w:r>
          </w:p>
        </w:tc>
      </w:tr>
      <w:tr w14:paraId="2C116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C3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492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A12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灵山县新圩镇白坭岭村委</w:t>
            </w:r>
          </w:p>
        </w:tc>
      </w:tr>
      <w:tr w14:paraId="30F14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30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493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47A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灵山县新圩镇财政所</w:t>
            </w:r>
          </w:p>
        </w:tc>
      </w:tr>
      <w:tr w14:paraId="3F166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C3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494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266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灵山县新圩镇茶田村委</w:t>
            </w:r>
          </w:p>
        </w:tc>
      </w:tr>
      <w:tr w14:paraId="699A7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C3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495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164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灵山县新圩镇大里村委</w:t>
            </w:r>
          </w:p>
        </w:tc>
      </w:tr>
      <w:tr w14:paraId="67D40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5F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496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ACB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灵山县新圩镇邓家村委</w:t>
            </w:r>
          </w:p>
        </w:tc>
      </w:tr>
      <w:tr w14:paraId="697FF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BF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497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FB2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灵山县产品质量检验中心（灵山大道739号（浙商城对面））张安佳13877768696</w:t>
            </w:r>
          </w:p>
        </w:tc>
      </w:tr>
      <w:tr w14:paraId="740FE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0C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498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21D8">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灵山县新圩镇独树村委</w:t>
            </w:r>
          </w:p>
        </w:tc>
      </w:tr>
      <w:tr w14:paraId="473AE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7B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499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6AC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灵山县新圩镇佛垌村委</w:t>
            </w:r>
          </w:p>
        </w:tc>
      </w:tr>
      <w:tr w14:paraId="4F279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94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500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41B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灵山县新圩镇古文村委</w:t>
            </w:r>
          </w:p>
        </w:tc>
      </w:tr>
      <w:tr w14:paraId="342E7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FF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501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414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灵山县新圩镇官屯村委</w:t>
            </w:r>
          </w:p>
        </w:tc>
      </w:tr>
      <w:tr w14:paraId="2E000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2F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502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5AB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灵山县新圩镇国土规建环保安监站</w:t>
            </w:r>
          </w:p>
        </w:tc>
      </w:tr>
      <w:tr w14:paraId="496E2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28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503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B99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灵山县新圩镇急水村委</w:t>
            </w:r>
          </w:p>
        </w:tc>
      </w:tr>
      <w:tr w14:paraId="4AC1D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91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504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E56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灵山县新圩镇就业社保服务中心</w:t>
            </w:r>
          </w:p>
        </w:tc>
      </w:tr>
      <w:tr w14:paraId="708D5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20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505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E13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灵山县新圩镇六峰村委</w:t>
            </w:r>
          </w:p>
        </w:tc>
      </w:tr>
      <w:tr w14:paraId="47379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D2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506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7C6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灵山县新圩镇渌一村委</w:t>
            </w:r>
          </w:p>
        </w:tc>
      </w:tr>
      <w:tr w14:paraId="056CF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8F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507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C81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灵山县新圩镇蒙塘村委</w:t>
            </w:r>
          </w:p>
        </w:tc>
      </w:tr>
      <w:tr w14:paraId="5B088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18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508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8F1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灵山县新圩镇那东村委</w:t>
            </w:r>
          </w:p>
        </w:tc>
      </w:tr>
      <w:tr w14:paraId="5CFD5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A2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509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D92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灵山县新圩镇农业农村服务中心（新圩镇农产品质量安全检测站）</w:t>
            </w:r>
          </w:p>
        </w:tc>
      </w:tr>
      <w:tr w14:paraId="19DC6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CE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510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317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灵山县新圩镇漂塘村委</w:t>
            </w:r>
          </w:p>
        </w:tc>
      </w:tr>
      <w:tr w14:paraId="7FB7F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E8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511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562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灵山县新圩镇平王村委</w:t>
            </w:r>
          </w:p>
        </w:tc>
      </w:tr>
      <w:tr w14:paraId="0F86D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D3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512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CCE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灵山县新圩镇萍塘村委</w:t>
            </w:r>
          </w:p>
        </w:tc>
      </w:tr>
      <w:tr w14:paraId="1B69C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A3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513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387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灵山县新圩镇秦屋山村委</w:t>
            </w:r>
          </w:p>
        </w:tc>
      </w:tr>
      <w:tr w14:paraId="2A698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50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514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ED7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灵山县新圩镇稔坡村委</w:t>
            </w:r>
          </w:p>
        </w:tc>
      </w:tr>
      <w:tr w14:paraId="379A1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33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515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B6A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灵山县新圩镇容家村委</w:t>
            </w:r>
          </w:p>
        </w:tc>
      </w:tr>
      <w:tr w14:paraId="3EBAA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DA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516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B642">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灵山县新圩镇沙路村</w:t>
            </w:r>
          </w:p>
        </w:tc>
      </w:tr>
      <w:tr w14:paraId="448DC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0D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517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310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灵山县新圩镇沙路村委</w:t>
            </w:r>
          </w:p>
        </w:tc>
      </w:tr>
      <w:tr w14:paraId="25A5A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90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518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970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灵山县新圩镇上塘村委</w:t>
            </w:r>
          </w:p>
        </w:tc>
      </w:tr>
      <w:tr w14:paraId="7F009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15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519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924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灵山县新圩镇市场监督管理所</w:t>
            </w:r>
          </w:p>
        </w:tc>
      </w:tr>
      <w:tr w14:paraId="174F1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8A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520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773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灵山县新圩镇塘排村委</w:t>
            </w:r>
          </w:p>
        </w:tc>
      </w:tr>
      <w:tr w14:paraId="03A4A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FC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521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CBD7">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灵山县新圩镇梯始村委</w:t>
            </w:r>
          </w:p>
        </w:tc>
      </w:tr>
      <w:tr w14:paraId="51426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E5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522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33A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灵山县新圩镇文化体育和广播电视站</w:t>
            </w:r>
          </w:p>
        </w:tc>
      </w:tr>
      <w:tr w14:paraId="34DC5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E4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523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A54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灵山县新圩镇夏村村委</w:t>
            </w:r>
          </w:p>
        </w:tc>
      </w:tr>
      <w:tr w14:paraId="1A4BC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C3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524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209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灵山县新圩镇新圩社区</w:t>
            </w:r>
          </w:p>
        </w:tc>
      </w:tr>
      <w:tr w14:paraId="5EF34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8F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525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C6F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灵山县新圩镇新院村委</w:t>
            </w:r>
          </w:p>
        </w:tc>
      </w:tr>
      <w:tr w14:paraId="2BD00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82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526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6BB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灵山县新圩镇晏村村委</w:t>
            </w:r>
          </w:p>
        </w:tc>
      </w:tr>
      <w:tr w14:paraId="78118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F57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527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D96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灵山县新圩镇秧地塘村委</w:t>
            </w:r>
          </w:p>
        </w:tc>
      </w:tr>
      <w:tr w14:paraId="33715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CE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528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1FC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灵山县新圩镇尧家村委</w:t>
            </w:r>
          </w:p>
        </w:tc>
      </w:tr>
      <w:tr w14:paraId="3DBA4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4B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529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244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灵山县新圩镇元屋岭村村委</w:t>
            </w:r>
          </w:p>
        </w:tc>
      </w:tr>
      <w:tr w14:paraId="4B00B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93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530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152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灵山县新圩镇洲塘村委</w:t>
            </w:r>
          </w:p>
        </w:tc>
      </w:tr>
      <w:tr w14:paraId="6D0ED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8C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531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E78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灵山县烟墩镇财政所</w:t>
            </w:r>
          </w:p>
        </w:tc>
      </w:tr>
      <w:tr w14:paraId="560FA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AE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532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C11B">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灵山县烟墩镇长麓村委</w:t>
            </w:r>
          </w:p>
        </w:tc>
      </w:tr>
      <w:tr w14:paraId="0DA06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99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533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1FD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灵山县烟墩镇大远村委</w:t>
            </w:r>
          </w:p>
        </w:tc>
      </w:tr>
      <w:tr w14:paraId="4ABC6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D9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534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F33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灵山县烟墩镇邓塘村委</w:t>
            </w:r>
          </w:p>
        </w:tc>
      </w:tr>
      <w:tr w14:paraId="17B68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C0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535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EA3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灵山县烟墩镇凤山村委</w:t>
            </w:r>
          </w:p>
        </w:tc>
      </w:tr>
      <w:tr w14:paraId="1D98F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39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536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646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灵山县烟墩镇古榕村委</w:t>
            </w:r>
          </w:p>
        </w:tc>
      </w:tr>
      <w:tr w14:paraId="2DF6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46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537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0DF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灵山县烟墩镇国土规建环保安监站</w:t>
            </w:r>
          </w:p>
        </w:tc>
      </w:tr>
      <w:tr w14:paraId="24760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C3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538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5E61">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灵山县烟墩镇佳平村委</w:t>
            </w:r>
          </w:p>
        </w:tc>
      </w:tr>
      <w:tr w14:paraId="7AAE1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89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539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945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灵山县烟墩镇就业社保服务中心</w:t>
            </w:r>
          </w:p>
        </w:tc>
      </w:tr>
      <w:tr w14:paraId="3BAF2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7F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540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C52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灵山县烟墩镇莲塘村委</w:t>
            </w:r>
          </w:p>
        </w:tc>
      </w:tr>
      <w:tr w14:paraId="5B7C7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4C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541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8384">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灵山县烟墩镇六凤村委</w:t>
            </w:r>
          </w:p>
        </w:tc>
      </w:tr>
      <w:tr w14:paraId="05DE9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6B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542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877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灵山县烟墩镇六加村委</w:t>
            </w:r>
          </w:p>
        </w:tc>
      </w:tr>
      <w:tr w14:paraId="0D6BA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DB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543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57A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灵山县烟墩镇六局村委</w:t>
            </w:r>
          </w:p>
        </w:tc>
      </w:tr>
      <w:tr w14:paraId="13AED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4F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544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774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灵山县烟墩镇茅针村委</w:t>
            </w:r>
          </w:p>
        </w:tc>
      </w:tr>
      <w:tr w14:paraId="2B50E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A0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545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FA7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灵山县烟墩镇妙庄村委</w:t>
            </w:r>
          </w:p>
        </w:tc>
      </w:tr>
      <w:tr w14:paraId="3AEDD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03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546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FBA3">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灵山县烟墩镇那合村委</w:t>
            </w:r>
          </w:p>
        </w:tc>
      </w:tr>
      <w:tr w14:paraId="6ABE6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27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547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B80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灵山县烟墩镇农业农村服务中心（烟墩镇农产品质量安全检测站）</w:t>
            </w:r>
          </w:p>
        </w:tc>
      </w:tr>
      <w:tr w14:paraId="10241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88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548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C3CE">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灵山县烟墩镇三岔村委</w:t>
            </w:r>
          </w:p>
        </w:tc>
      </w:tr>
      <w:tr w14:paraId="49FFD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8F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549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731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灵山县烟墩镇三联村委</w:t>
            </w:r>
          </w:p>
        </w:tc>
      </w:tr>
      <w:tr w14:paraId="535AC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F5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550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925A">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灵山县烟墩镇石堆村委</w:t>
            </w:r>
          </w:p>
        </w:tc>
      </w:tr>
      <w:tr w14:paraId="5EB6B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57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551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DAC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灵山县烟墩镇市场监督管理所</w:t>
            </w:r>
          </w:p>
        </w:tc>
      </w:tr>
      <w:tr w14:paraId="0B89D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2C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552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3D45">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灵山县烟墩镇司练村委</w:t>
            </w:r>
          </w:p>
        </w:tc>
      </w:tr>
      <w:tr w14:paraId="16C4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7B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553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55A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灵山县烟墩镇文化体育和广播电视站</w:t>
            </w:r>
          </w:p>
        </w:tc>
      </w:tr>
      <w:tr w14:paraId="69032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6B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554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8B1D">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灵山县烟墩镇西埇村委</w:t>
            </w:r>
          </w:p>
        </w:tc>
      </w:tr>
      <w:tr w14:paraId="6EDAE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C0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555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10B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灵山县烟墩镇峡口村委</w:t>
            </w:r>
          </w:p>
        </w:tc>
      </w:tr>
      <w:tr w14:paraId="13EF4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80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556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ED70">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灵山县烟墩镇烟城社区</w:t>
            </w:r>
          </w:p>
        </w:tc>
      </w:tr>
      <w:tr w14:paraId="3AA68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79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557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E07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灵山县烟墩镇烟墩社区</w:t>
            </w:r>
          </w:p>
        </w:tc>
      </w:tr>
      <w:tr w14:paraId="4F8C3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DA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558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5CA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灵山县公安局刑侦大队</w:t>
            </w:r>
          </w:p>
        </w:tc>
      </w:tr>
      <w:tr w14:paraId="1056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DA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559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4419">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预留</w:t>
            </w:r>
          </w:p>
        </w:tc>
      </w:tr>
      <w:tr w14:paraId="37E67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2C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560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0047">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预留</w:t>
            </w:r>
          </w:p>
        </w:tc>
      </w:tr>
    </w:tbl>
    <w:p w14:paraId="1915ABD0">
      <w:pPr>
        <w:pStyle w:val="4"/>
        <w:rPr>
          <w:rFonts w:hint="eastAsia" w:ascii="宋体" w:hAnsi="宋体"/>
          <w:color w:val="auto"/>
          <w:highlight w:val="none"/>
        </w:rPr>
      </w:pPr>
    </w:p>
    <w:p w14:paraId="74DCA72C">
      <w:pPr>
        <w:rPr>
          <w:rFonts w:hint="eastAsia" w:ascii="宋体" w:hAnsi="宋体"/>
          <w:color w:val="auto"/>
          <w:highlight w:val="none"/>
        </w:rPr>
      </w:pPr>
    </w:p>
    <w:p w14:paraId="17F389F5">
      <w:pPr>
        <w:pStyle w:val="4"/>
        <w:rPr>
          <w:rFonts w:hint="eastAsia" w:ascii="宋体" w:hAnsi="宋体"/>
          <w:color w:val="auto"/>
          <w:highlight w:val="none"/>
        </w:rPr>
      </w:pPr>
    </w:p>
    <w:p w14:paraId="30424680">
      <w:pPr>
        <w:rPr>
          <w:rFonts w:hint="eastAsia"/>
          <w:color w:val="auto"/>
        </w:rPr>
      </w:pPr>
    </w:p>
    <w:p w14:paraId="560FB763">
      <w:pPr>
        <w:ind w:firstLine="0" w:firstLineChars="0"/>
        <w:rPr>
          <w:rFonts w:ascii="宋体" w:hAnsi="宋体"/>
          <w:color w:val="auto"/>
          <w:highlight w:val="none"/>
        </w:rPr>
      </w:pPr>
    </w:p>
    <w:p w14:paraId="5D82516E">
      <w:pPr>
        <w:ind w:firstLine="0" w:firstLineChars="0"/>
        <w:rPr>
          <w:rFonts w:ascii="宋体" w:hAnsi="宋体"/>
          <w:color w:val="auto"/>
          <w:highlight w:val="none"/>
        </w:rPr>
      </w:pPr>
    </w:p>
    <w:p w14:paraId="3BE4EA63">
      <w:pPr>
        <w:ind w:firstLine="0" w:firstLineChars="0"/>
        <w:rPr>
          <w:rFonts w:ascii="宋体" w:hAnsi="宋体"/>
          <w:color w:val="auto"/>
          <w:highlight w:val="none"/>
        </w:rPr>
      </w:pPr>
    </w:p>
    <w:p w14:paraId="442571B3">
      <w:pPr>
        <w:ind w:firstLine="0" w:firstLineChars="0"/>
        <w:rPr>
          <w:rFonts w:ascii="宋体" w:hAnsi="宋体"/>
          <w:color w:val="auto"/>
          <w:highlight w:val="none"/>
        </w:rPr>
      </w:pPr>
    </w:p>
    <w:p w14:paraId="17E14034">
      <w:pPr>
        <w:ind w:firstLine="0" w:firstLineChars="0"/>
        <w:rPr>
          <w:rFonts w:ascii="宋体" w:hAnsi="宋体"/>
          <w:color w:val="auto"/>
          <w:highlight w:val="none"/>
        </w:rPr>
      </w:pPr>
    </w:p>
    <w:p w14:paraId="4D1B54F3">
      <w:pPr>
        <w:ind w:firstLine="0" w:firstLineChars="0"/>
        <w:rPr>
          <w:rFonts w:ascii="宋体" w:hAnsi="宋体"/>
          <w:color w:val="auto"/>
          <w:highlight w:val="none"/>
        </w:rPr>
      </w:pPr>
    </w:p>
    <w:p w14:paraId="4B2B2785">
      <w:pPr>
        <w:ind w:firstLine="0" w:firstLineChars="0"/>
        <w:rPr>
          <w:rFonts w:ascii="宋体" w:hAnsi="宋体"/>
          <w:color w:val="auto"/>
          <w:highlight w:val="none"/>
        </w:rPr>
      </w:pPr>
    </w:p>
    <w:p w14:paraId="103F139B">
      <w:pPr>
        <w:ind w:firstLine="0" w:firstLineChars="0"/>
        <w:rPr>
          <w:rFonts w:ascii="宋体" w:hAnsi="宋体"/>
          <w:color w:val="auto"/>
          <w:highlight w:val="none"/>
        </w:rPr>
      </w:pPr>
    </w:p>
    <w:p w14:paraId="5DF0F0B5">
      <w:pPr>
        <w:ind w:firstLine="0" w:firstLineChars="0"/>
        <w:rPr>
          <w:rFonts w:ascii="宋体" w:hAnsi="宋体"/>
          <w:color w:val="auto"/>
          <w:highlight w:val="none"/>
        </w:rPr>
      </w:pPr>
    </w:p>
    <w:p w14:paraId="17CB2479">
      <w:pPr>
        <w:ind w:firstLine="0" w:firstLineChars="0"/>
        <w:rPr>
          <w:rFonts w:ascii="宋体" w:hAnsi="宋体"/>
          <w:color w:val="auto"/>
          <w:highlight w:val="none"/>
        </w:rPr>
      </w:pPr>
    </w:p>
    <w:p w14:paraId="34F29FAA">
      <w:pPr>
        <w:ind w:firstLine="0" w:firstLineChars="0"/>
        <w:rPr>
          <w:rFonts w:ascii="宋体" w:hAnsi="宋体"/>
          <w:color w:val="auto"/>
          <w:highlight w:val="none"/>
        </w:rPr>
      </w:pPr>
    </w:p>
    <w:p w14:paraId="56D57268">
      <w:pPr>
        <w:ind w:firstLine="0" w:firstLineChars="0"/>
        <w:rPr>
          <w:rFonts w:ascii="宋体" w:hAnsi="宋体"/>
          <w:color w:val="auto"/>
          <w:highlight w:val="none"/>
        </w:rPr>
      </w:pPr>
    </w:p>
    <w:p w14:paraId="13904C21">
      <w:pPr>
        <w:ind w:firstLine="0" w:firstLineChars="0"/>
        <w:rPr>
          <w:rFonts w:ascii="宋体" w:hAnsi="宋体"/>
          <w:color w:val="auto"/>
          <w:highlight w:val="none"/>
        </w:rPr>
      </w:pPr>
    </w:p>
    <w:p w14:paraId="49353760">
      <w:pPr>
        <w:ind w:firstLine="0" w:firstLineChars="0"/>
        <w:rPr>
          <w:rFonts w:ascii="宋体" w:hAnsi="宋体"/>
          <w:color w:val="auto"/>
          <w:highlight w:val="none"/>
        </w:rPr>
      </w:pPr>
    </w:p>
    <w:p w14:paraId="661D54C8">
      <w:pPr>
        <w:ind w:firstLine="0" w:firstLineChars="0"/>
        <w:rPr>
          <w:rFonts w:ascii="宋体" w:hAnsi="宋体"/>
          <w:color w:val="auto"/>
          <w:highlight w:val="none"/>
        </w:rPr>
      </w:pPr>
    </w:p>
    <w:p w14:paraId="2F217972">
      <w:pPr>
        <w:ind w:firstLine="0" w:firstLineChars="0"/>
        <w:rPr>
          <w:rFonts w:ascii="宋体" w:hAnsi="宋体"/>
          <w:color w:val="auto"/>
          <w:highlight w:val="none"/>
        </w:rPr>
      </w:pPr>
    </w:p>
    <w:p w14:paraId="3CA0513F">
      <w:pPr>
        <w:ind w:firstLine="0" w:firstLineChars="0"/>
        <w:rPr>
          <w:rFonts w:ascii="宋体" w:hAnsi="宋体"/>
          <w:color w:val="auto"/>
          <w:highlight w:val="none"/>
        </w:rPr>
      </w:pPr>
    </w:p>
    <w:p w14:paraId="4EAB7F1D">
      <w:pPr>
        <w:ind w:firstLine="0" w:firstLineChars="0"/>
        <w:rPr>
          <w:rFonts w:ascii="宋体" w:hAnsi="宋体"/>
          <w:color w:val="auto"/>
          <w:highlight w:val="none"/>
        </w:rPr>
      </w:pPr>
    </w:p>
    <w:p w14:paraId="6FD2DDEC">
      <w:pPr>
        <w:ind w:firstLine="0" w:firstLineChars="0"/>
        <w:rPr>
          <w:rFonts w:ascii="宋体" w:hAnsi="宋体"/>
          <w:color w:val="auto"/>
          <w:highlight w:val="none"/>
        </w:rPr>
      </w:pPr>
    </w:p>
    <w:p w14:paraId="1251E90D">
      <w:pPr>
        <w:ind w:firstLine="0" w:firstLineChars="0"/>
        <w:rPr>
          <w:rFonts w:ascii="宋体" w:hAnsi="宋体"/>
          <w:color w:val="auto"/>
          <w:highlight w:val="none"/>
        </w:rPr>
      </w:pPr>
    </w:p>
    <w:p w14:paraId="67C496AD">
      <w:pPr>
        <w:ind w:firstLine="0" w:firstLineChars="0"/>
        <w:rPr>
          <w:rFonts w:ascii="宋体" w:hAnsi="宋体"/>
          <w:color w:val="auto"/>
          <w:highlight w:val="none"/>
        </w:rPr>
      </w:pPr>
    </w:p>
    <w:p w14:paraId="21BF7022">
      <w:pPr>
        <w:ind w:firstLine="0" w:firstLineChars="0"/>
        <w:rPr>
          <w:rFonts w:ascii="宋体" w:hAnsi="宋体"/>
          <w:color w:val="auto"/>
          <w:highlight w:val="none"/>
        </w:rPr>
      </w:pPr>
    </w:p>
    <w:p w14:paraId="2C829AF0">
      <w:pPr>
        <w:ind w:firstLine="0" w:firstLineChars="0"/>
        <w:rPr>
          <w:rFonts w:ascii="宋体" w:hAnsi="宋体"/>
          <w:color w:val="auto"/>
          <w:highlight w:val="none"/>
        </w:rPr>
      </w:pPr>
    </w:p>
    <w:p w14:paraId="055E1319">
      <w:pPr>
        <w:ind w:firstLine="0" w:firstLineChars="0"/>
        <w:rPr>
          <w:rFonts w:ascii="宋体" w:hAnsi="宋体"/>
          <w:color w:val="auto"/>
          <w:highlight w:val="none"/>
        </w:rPr>
      </w:pPr>
    </w:p>
    <w:p w14:paraId="34EE5A25">
      <w:pPr>
        <w:ind w:firstLine="0" w:firstLineChars="0"/>
        <w:rPr>
          <w:rFonts w:ascii="宋体" w:hAnsi="宋体"/>
          <w:color w:val="auto"/>
          <w:highlight w:val="none"/>
        </w:rPr>
      </w:pPr>
    </w:p>
    <w:p w14:paraId="1112C7F3">
      <w:pPr>
        <w:ind w:firstLine="0" w:firstLineChars="0"/>
        <w:rPr>
          <w:rFonts w:ascii="宋体" w:hAnsi="宋体"/>
          <w:color w:val="auto"/>
          <w:highlight w:val="none"/>
        </w:rPr>
      </w:pPr>
    </w:p>
    <w:p w14:paraId="4C20AA9D">
      <w:pPr>
        <w:ind w:firstLine="0" w:firstLineChars="0"/>
        <w:rPr>
          <w:rFonts w:ascii="宋体" w:hAnsi="宋体"/>
          <w:color w:val="auto"/>
          <w:highlight w:val="none"/>
        </w:rPr>
      </w:pPr>
    </w:p>
    <w:p w14:paraId="6D50EAD5">
      <w:pPr>
        <w:ind w:firstLine="0" w:firstLineChars="0"/>
        <w:rPr>
          <w:rFonts w:ascii="宋体" w:hAnsi="宋体"/>
          <w:color w:val="auto"/>
          <w:highlight w:val="none"/>
        </w:rPr>
      </w:pPr>
    </w:p>
    <w:p w14:paraId="20119715">
      <w:pPr>
        <w:ind w:firstLine="0" w:firstLineChars="0"/>
        <w:rPr>
          <w:rFonts w:ascii="宋体" w:hAnsi="宋体"/>
          <w:color w:val="auto"/>
          <w:highlight w:val="none"/>
        </w:rPr>
      </w:pPr>
    </w:p>
    <w:p w14:paraId="557C29A4">
      <w:pPr>
        <w:ind w:firstLine="0" w:firstLineChars="0"/>
        <w:rPr>
          <w:rFonts w:ascii="宋体" w:hAnsi="宋体"/>
          <w:color w:val="auto"/>
          <w:highlight w:val="none"/>
        </w:rPr>
      </w:pPr>
    </w:p>
    <w:p w14:paraId="62B9FD53">
      <w:pPr>
        <w:ind w:firstLine="0" w:firstLineChars="0"/>
        <w:rPr>
          <w:rFonts w:ascii="宋体" w:hAnsi="宋体"/>
          <w:color w:val="auto"/>
          <w:highlight w:val="none"/>
        </w:rPr>
      </w:pPr>
    </w:p>
    <w:p w14:paraId="2F1C2C33">
      <w:pPr>
        <w:ind w:firstLine="0" w:firstLineChars="0"/>
        <w:rPr>
          <w:rFonts w:ascii="宋体" w:hAnsi="宋体"/>
          <w:color w:val="auto"/>
          <w:highlight w:val="none"/>
        </w:rPr>
      </w:pPr>
    </w:p>
    <w:p w14:paraId="32F89472">
      <w:pPr>
        <w:ind w:firstLine="0" w:firstLineChars="0"/>
        <w:rPr>
          <w:rFonts w:ascii="宋体" w:hAnsi="宋体"/>
          <w:color w:val="auto"/>
          <w:highlight w:val="none"/>
        </w:rPr>
      </w:pPr>
    </w:p>
    <w:p w14:paraId="1B32F02D">
      <w:pPr>
        <w:ind w:firstLine="0" w:firstLineChars="0"/>
        <w:rPr>
          <w:rFonts w:ascii="宋体" w:hAnsi="宋体"/>
          <w:color w:val="auto"/>
          <w:highlight w:val="none"/>
        </w:rPr>
      </w:pPr>
    </w:p>
    <w:p w14:paraId="494E8A3F">
      <w:pPr>
        <w:ind w:firstLine="0" w:firstLineChars="0"/>
        <w:rPr>
          <w:rFonts w:hint="eastAsia" w:ascii="宋体" w:hAnsi="宋体"/>
          <w:color w:val="auto"/>
          <w:highlight w:val="none"/>
        </w:rPr>
      </w:pPr>
    </w:p>
    <w:p w14:paraId="6A2AE5D6">
      <w:pPr>
        <w:pStyle w:val="49"/>
        <w:ind w:left="0" w:leftChars="0" w:right="0" w:rightChars="0" w:firstLine="0" w:firstLineChars="0"/>
        <w:jc w:val="center"/>
        <w:rPr>
          <w:rFonts w:ascii="宋体" w:hAnsi="宋体" w:eastAsia="宋体"/>
          <w:color w:val="auto"/>
          <w:highlight w:val="none"/>
        </w:rPr>
      </w:pPr>
      <w:bookmarkStart w:id="54" w:name="_Toc91512285"/>
      <w:r>
        <w:rPr>
          <w:rFonts w:hint="eastAsia" w:ascii="宋体" w:hAnsi="宋体" w:eastAsia="宋体"/>
          <w:color w:val="auto"/>
          <w:highlight w:val="none"/>
        </w:rPr>
        <w:t>第三章  投标人须知及前附表</w:t>
      </w:r>
      <w:bookmarkEnd w:id="50"/>
      <w:bookmarkEnd w:id="54"/>
    </w:p>
    <w:p w14:paraId="072A24D0">
      <w:pPr>
        <w:pStyle w:val="3"/>
        <w:ind w:firstLine="0" w:firstLineChars="0"/>
        <w:jc w:val="center"/>
        <w:rPr>
          <w:rFonts w:ascii="宋体" w:hAnsi="宋体" w:eastAsia="宋体"/>
          <w:color w:val="auto"/>
          <w:kern w:val="44"/>
          <w:sz w:val="44"/>
          <w:szCs w:val="44"/>
          <w:highlight w:val="none"/>
        </w:rPr>
      </w:pPr>
      <w:r>
        <w:rPr>
          <w:rFonts w:ascii="宋体" w:hAnsi="宋体" w:eastAsia="宋体"/>
          <w:color w:val="auto"/>
          <w:highlight w:val="none"/>
        </w:rPr>
        <w:br w:type="page"/>
      </w:r>
      <w:r>
        <w:rPr>
          <w:rFonts w:hint="eastAsia" w:ascii="宋体" w:hAnsi="宋体" w:eastAsia="宋体"/>
          <w:color w:val="auto"/>
          <w:kern w:val="44"/>
          <w:sz w:val="44"/>
          <w:szCs w:val="44"/>
          <w:highlight w:val="none"/>
        </w:rPr>
        <w:t>投标人须知前附表</w:t>
      </w:r>
    </w:p>
    <w:tbl>
      <w:tblPr>
        <w:tblStyle w:val="51"/>
        <w:tblpPr w:leftFromText="180" w:rightFromText="180" w:vertAnchor="text" w:horzAnchor="margin" w:tblpX="108" w:tblpY="39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9214"/>
      </w:tblGrid>
      <w:tr w14:paraId="7E0814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1BE7BC21">
            <w:pPr>
              <w:snapToGrid w:val="0"/>
              <w:spacing w:line="360" w:lineRule="exact"/>
              <w:ind w:firstLine="0" w:firstLineChars="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4C1B9BAD">
            <w:pPr>
              <w:snapToGrid w:val="0"/>
              <w:spacing w:line="360" w:lineRule="exact"/>
              <w:ind w:firstLine="0" w:firstLineChars="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内容、要求</w:t>
            </w:r>
          </w:p>
        </w:tc>
      </w:tr>
      <w:tr w14:paraId="4EA3CF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1F5BAAF6">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1</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1BE657CF">
            <w:pPr>
              <w:snapToGrid w:val="0"/>
              <w:spacing w:line="340" w:lineRule="exact"/>
              <w:ind w:firstLine="8" w:firstLineChars="4"/>
              <w:rPr>
                <w:rStyle w:val="60"/>
                <w:rFonts w:hint="eastAsia" w:ascii="宋体" w:hAnsi="宋体" w:eastAsia="宋体" w:cs="Arial"/>
                <w:bCs/>
                <w:color w:val="auto"/>
                <w:szCs w:val="21"/>
                <w:highlight w:val="none"/>
                <w:u w:val="none"/>
                <w:lang w:eastAsia="zh-CN"/>
              </w:rPr>
            </w:pP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w:instrText>
            </w:r>
            <w:r>
              <w:rPr>
                <w:rFonts w:hint="eastAsia" w:ascii="宋体" w:hAnsi="宋体" w:eastAsia="宋体" w:cs="Times New Roman"/>
                <w:color w:val="auto"/>
                <w:highlight w:val="none"/>
              </w:rPr>
              <w:instrText xml:space="preserve">HYPERLINK </w:instrText>
            </w:r>
            <w:r>
              <w:rPr>
                <w:rFonts w:ascii="宋体" w:hAnsi="宋体" w:eastAsia="宋体" w:cs="Times New Roman"/>
                <w:color w:val="auto"/>
                <w:highlight w:val="none"/>
              </w:rPr>
              <w:instrText xml:space="preserve"> \l "_一、总__则" </w:instrText>
            </w:r>
            <w:r>
              <w:rPr>
                <w:rFonts w:ascii="宋体" w:hAnsi="宋体" w:eastAsia="宋体" w:cs="Times New Roman"/>
                <w:color w:val="auto"/>
                <w:highlight w:val="none"/>
              </w:rPr>
              <w:fldChar w:fldCharType="separate"/>
            </w:r>
            <w:r>
              <w:rPr>
                <w:rStyle w:val="60"/>
                <w:rFonts w:hint="eastAsia" w:ascii="宋体" w:hAnsi="宋体"/>
                <w:color w:val="auto"/>
                <w:highlight w:val="none"/>
                <w:u w:val="none"/>
              </w:rPr>
              <w:t>项目名称：</w:t>
            </w:r>
            <w:r>
              <w:rPr>
                <w:rFonts w:hint="eastAsia" w:ascii="宋体" w:hAnsi="宋体" w:cs="Times New Roman"/>
                <w:color w:val="auto"/>
                <w:highlight w:val="none"/>
                <w:lang w:eastAsia="zh-CN"/>
              </w:rPr>
              <w:t>灵山县发展和改革局灵山县电子政务外网服务</w:t>
            </w:r>
          </w:p>
          <w:p w14:paraId="504250CC">
            <w:pPr>
              <w:snapToGrid w:val="0"/>
              <w:spacing w:line="340" w:lineRule="exact"/>
              <w:ind w:firstLine="8" w:firstLineChars="4"/>
              <w:rPr>
                <w:rFonts w:hint="eastAsia" w:ascii="宋体" w:hAnsi="宋体" w:eastAsia="宋体" w:cs="Times New Roman"/>
                <w:color w:val="auto"/>
                <w:highlight w:val="none"/>
                <w:lang w:eastAsia="zh-CN"/>
              </w:rPr>
            </w:pPr>
            <w:r>
              <w:rPr>
                <w:rStyle w:val="60"/>
                <w:rFonts w:hint="eastAsia" w:ascii="宋体" w:hAnsi="宋体"/>
                <w:color w:val="auto"/>
                <w:highlight w:val="none"/>
                <w:u w:val="none"/>
              </w:rPr>
              <w:t>项目编号：</w:t>
            </w:r>
            <w:r>
              <w:rPr>
                <w:rFonts w:ascii="宋体" w:hAnsi="宋体" w:eastAsia="宋体" w:cs="Times New Roman"/>
                <w:color w:val="auto"/>
                <w:highlight w:val="none"/>
              </w:rPr>
              <w:fldChar w:fldCharType="end"/>
            </w:r>
            <w:r>
              <w:rPr>
                <w:rFonts w:hint="eastAsia" w:ascii="宋体" w:hAnsi="宋体" w:cs="Times New Roman"/>
                <w:color w:val="auto"/>
                <w:highlight w:val="none"/>
                <w:lang w:eastAsia="zh-CN"/>
              </w:rPr>
              <w:t>QZZC2025-G3-210251-QZSZ</w:t>
            </w:r>
          </w:p>
        </w:tc>
      </w:tr>
      <w:tr w14:paraId="234192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48"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153180BA">
            <w:pPr>
              <w:ind w:left="-424" w:leftChars="-202" w:firstLine="420"/>
              <w:jc w:val="center"/>
              <w:rPr>
                <w:rFonts w:hint="eastAsia" w:ascii="宋体" w:hAnsi="宋体" w:eastAsia="宋体" w:cs="Times New Roman"/>
                <w:color w:val="auto"/>
                <w:highlight w:val="none"/>
              </w:rPr>
            </w:pPr>
            <w:r>
              <w:rPr>
                <w:rFonts w:ascii="宋体" w:hAnsi="宋体" w:eastAsia="宋体" w:cs="Times New Roman"/>
                <w:color w:val="auto"/>
                <w:highlight w:val="none"/>
              </w:rPr>
              <w:t>2</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1B1EDF91">
            <w:pPr>
              <w:spacing w:line="340" w:lineRule="exact"/>
              <w:ind w:firstLine="8" w:firstLineChars="4"/>
              <w:rPr>
                <w:rStyle w:val="60"/>
                <w:rFonts w:ascii="宋体" w:hAnsi="宋体"/>
                <w:color w:val="auto"/>
                <w:highlight w:val="none"/>
                <w:u w:val="none"/>
              </w:rPr>
            </w:pPr>
            <w:r>
              <w:rPr>
                <w:rStyle w:val="60"/>
                <w:rFonts w:ascii="宋体" w:hAnsi="宋体"/>
                <w:color w:val="auto"/>
                <w:highlight w:val="none"/>
                <w:u w:val="none"/>
              </w:rPr>
              <w:fldChar w:fldCharType="begin"/>
            </w:r>
            <w:r>
              <w:rPr>
                <w:rStyle w:val="60"/>
                <w:rFonts w:ascii="宋体" w:hAnsi="宋体"/>
                <w:color w:val="auto"/>
                <w:highlight w:val="none"/>
                <w:u w:val="none"/>
              </w:rPr>
              <w:instrText xml:space="preserve"> </w:instrText>
            </w:r>
            <w:r>
              <w:rPr>
                <w:rStyle w:val="60"/>
                <w:rFonts w:hint="eastAsia" w:ascii="宋体" w:hAnsi="宋体"/>
                <w:color w:val="auto"/>
                <w:highlight w:val="none"/>
                <w:u w:val="none"/>
              </w:rPr>
              <w:instrText xml:space="preserve">HYPERLINK </w:instrText>
            </w:r>
            <w:r>
              <w:rPr>
                <w:rStyle w:val="60"/>
                <w:rFonts w:ascii="宋体" w:hAnsi="宋体"/>
                <w:color w:val="auto"/>
                <w:highlight w:val="none"/>
                <w:u w:val="none"/>
              </w:rPr>
              <w:instrText xml:space="preserve"> \l "_一、总__则" </w:instrText>
            </w:r>
            <w:r>
              <w:rPr>
                <w:rStyle w:val="60"/>
                <w:rFonts w:ascii="宋体" w:hAnsi="宋体"/>
                <w:color w:val="auto"/>
                <w:highlight w:val="none"/>
                <w:u w:val="none"/>
              </w:rPr>
              <w:fldChar w:fldCharType="separate"/>
            </w:r>
            <w:r>
              <w:rPr>
                <w:rStyle w:val="60"/>
                <w:rFonts w:hint="eastAsia" w:ascii="宋体" w:hAnsi="宋体"/>
                <w:color w:val="auto"/>
                <w:highlight w:val="none"/>
                <w:u w:val="none"/>
              </w:rPr>
              <w:t>投标人资格：</w:t>
            </w:r>
          </w:p>
          <w:p w14:paraId="1A20DFCA">
            <w:pPr>
              <w:spacing w:line="418" w:lineRule="exact"/>
              <w:ind w:left="-283" w:leftChars="-135" w:firstLine="283" w:firstLineChars="0"/>
              <w:rPr>
                <w:rFonts w:ascii="宋体" w:hAnsi="宋体" w:eastAsia="宋体" w:cs="Times New Roman"/>
                <w:b/>
                <w:color w:val="auto"/>
                <w:highlight w:val="none"/>
              </w:rPr>
            </w:pPr>
            <w:bookmarkStart w:id="55" w:name="_Hlt154044978"/>
            <w:bookmarkEnd w:id="55"/>
            <w:bookmarkStart w:id="56" w:name="_Hlt154044977"/>
            <w:bookmarkEnd w:id="56"/>
            <w:r>
              <w:rPr>
                <w:rFonts w:hint="eastAsia" w:ascii="宋体" w:hAnsi="宋体" w:eastAsia="宋体" w:cs="Times New Roman"/>
                <w:color w:val="auto"/>
                <w:highlight w:val="none"/>
              </w:rPr>
              <w:t>1.满足《中华人民共和国政府采购法》第二十二条规定；</w:t>
            </w:r>
          </w:p>
          <w:p w14:paraId="4D182EB1">
            <w:pPr>
              <w:spacing w:line="418" w:lineRule="exact"/>
              <w:ind w:left="-283" w:leftChars="-135" w:firstLine="283" w:firstLineChars="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rPr>
              <w:t>2.落实政府采购政策需满足的资格要求：</w:t>
            </w:r>
            <w:r>
              <w:rPr>
                <w:rFonts w:hint="eastAsia" w:ascii="宋体" w:hAnsi="宋体" w:cs="Times New Roman"/>
                <w:color w:val="auto"/>
                <w:highlight w:val="none"/>
                <w:lang w:val="en-US" w:eastAsia="zh-CN"/>
              </w:rPr>
              <w:t>无；</w:t>
            </w:r>
          </w:p>
          <w:p w14:paraId="5A30F0AB">
            <w:pPr>
              <w:spacing w:line="418" w:lineRule="exact"/>
              <w:ind w:left="-283" w:leftChars="-135" w:firstLine="283" w:firstLineChars="0"/>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3.</w:t>
            </w:r>
            <w:r>
              <w:rPr>
                <w:rFonts w:hint="eastAsia" w:ascii="宋体" w:hAnsi="宋体" w:eastAsia="宋体" w:cs="Times New Roman"/>
                <w:color w:val="auto"/>
                <w:highlight w:val="none"/>
              </w:rPr>
              <w:t>本项目的特定资格要求：</w:t>
            </w:r>
            <w:r>
              <w:rPr>
                <w:rFonts w:hint="eastAsia" w:ascii="宋体" w:hAnsi="宋体" w:eastAsia="宋体" w:cs="Times New Roman"/>
                <w:color w:val="auto"/>
                <w:szCs w:val="21"/>
                <w:highlight w:val="none"/>
              </w:rPr>
              <w:t>本项目允许分支机构或分公司参加</w:t>
            </w:r>
            <w:r>
              <w:rPr>
                <w:rFonts w:hint="eastAsia" w:ascii="宋体" w:hAnsi="宋体" w:eastAsia="宋体" w:cs="Times New Roman"/>
                <w:color w:val="auto"/>
                <w:szCs w:val="21"/>
                <w:highlight w:val="none"/>
                <w:lang w:val="en-US" w:eastAsia="zh-CN"/>
              </w:rPr>
              <w:t>投标</w:t>
            </w:r>
            <w:r>
              <w:rPr>
                <w:rFonts w:hint="eastAsia" w:ascii="宋体" w:hAnsi="宋体" w:eastAsia="宋体" w:cs="Times New Roman"/>
                <w:color w:val="auto"/>
                <w:szCs w:val="21"/>
                <w:highlight w:val="none"/>
              </w:rPr>
              <w:t>，分支机构或分公司参加</w:t>
            </w:r>
            <w:r>
              <w:rPr>
                <w:rFonts w:hint="eastAsia" w:ascii="宋体" w:hAnsi="宋体" w:eastAsia="宋体" w:cs="Times New Roman"/>
                <w:color w:val="auto"/>
                <w:szCs w:val="21"/>
                <w:highlight w:val="none"/>
                <w:lang w:val="en-US" w:eastAsia="zh-CN"/>
              </w:rPr>
              <w:t>投标</w:t>
            </w:r>
            <w:r>
              <w:rPr>
                <w:rFonts w:hint="eastAsia" w:ascii="宋体" w:hAnsi="宋体" w:eastAsia="宋体" w:cs="Times New Roman"/>
                <w:color w:val="auto"/>
                <w:szCs w:val="21"/>
                <w:highlight w:val="none"/>
              </w:rPr>
              <w:t>的，</w:t>
            </w:r>
            <w:r>
              <w:rPr>
                <w:rFonts w:hint="eastAsia" w:ascii="宋体" w:hAnsi="宋体" w:eastAsia="宋体" w:cs="Times New Roman"/>
                <w:color w:val="auto"/>
                <w:szCs w:val="21"/>
                <w:highlight w:val="none"/>
                <w:lang w:val="en-US" w:eastAsia="zh-CN"/>
              </w:rPr>
              <w:t>须</w:t>
            </w:r>
            <w:r>
              <w:rPr>
                <w:rFonts w:hint="eastAsia" w:ascii="宋体" w:hAnsi="宋体" w:eastAsia="宋体" w:cs="Times New Roman"/>
                <w:color w:val="auto"/>
                <w:szCs w:val="21"/>
                <w:highlight w:val="none"/>
              </w:rPr>
              <w:t>提供总公司的有关文件或者制度等能证明总公司授权其独立开展业务或提供总公司出具的授权其参与本项目采购的授权文件。</w:t>
            </w:r>
          </w:p>
          <w:p w14:paraId="60A355CC">
            <w:pPr>
              <w:spacing w:line="440" w:lineRule="exact"/>
              <w:ind w:firstLine="0" w:firstLineChars="0"/>
              <w:rPr>
                <w:rFonts w:hint="eastAsia" w:ascii="宋体" w:hAnsi="宋体" w:eastAsia="宋体" w:cs="Times New Roman"/>
                <w:color w:val="auto"/>
                <w:highlight w:val="none"/>
              </w:rPr>
            </w:pPr>
            <w:r>
              <w:rPr>
                <w:rStyle w:val="60"/>
                <w:rFonts w:ascii="宋体" w:hAnsi="宋体"/>
                <w:color w:val="auto"/>
                <w:highlight w:val="none"/>
                <w:u w:val="none"/>
              </w:rPr>
              <w:fldChar w:fldCharType="end"/>
            </w:r>
          </w:p>
        </w:tc>
      </w:tr>
      <w:tr w14:paraId="6651EC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1F48A61A">
            <w:pPr>
              <w:ind w:left="-424" w:leftChars="-202" w:firstLine="420"/>
              <w:jc w:val="center"/>
              <w:rPr>
                <w:rFonts w:hint="eastAsia" w:ascii="宋体" w:hAnsi="宋体" w:eastAsia="宋体" w:cs="Times New Roman"/>
                <w:color w:val="auto"/>
                <w:highlight w:val="none"/>
                <w:lang w:val="en-US" w:eastAsia="zh-CN"/>
              </w:rPr>
            </w:pPr>
            <w:r>
              <w:rPr>
                <w:rFonts w:hint="eastAsia" w:ascii="宋体" w:hAnsi="宋体" w:cs="Times New Roman"/>
                <w:color w:val="auto"/>
                <w:highlight w:val="none"/>
                <w:lang w:val="en-US" w:eastAsia="zh-CN"/>
              </w:rPr>
              <w:t>3</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65858176">
            <w:pPr>
              <w:snapToGrid w:val="0"/>
              <w:spacing w:line="340" w:lineRule="exact"/>
              <w:ind w:firstLine="8" w:firstLineChars="4"/>
              <w:rPr>
                <w:rStyle w:val="60"/>
                <w:rFonts w:ascii="宋体" w:hAnsi="宋体"/>
                <w:color w:val="auto"/>
                <w:highlight w:val="none"/>
                <w:u w:val="none"/>
              </w:rPr>
            </w:pPr>
            <w:r>
              <w:rPr>
                <w:rStyle w:val="60"/>
                <w:rFonts w:hint="eastAsia" w:ascii="宋体" w:hAnsi="宋体"/>
                <w:b/>
                <w:bCs/>
                <w:color w:val="auto"/>
                <w:highlight w:val="none"/>
                <w:u w:val="none"/>
              </w:rPr>
              <w:t>质疑联系部门及联系方式：</w:t>
            </w:r>
            <w:r>
              <w:rPr>
                <w:rFonts w:hint="eastAsia" w:ascii="宋体" w:hAnsi="宋体"/>
                <w:b/>
                <w:bCs/>
                <w:color w:val="auto"/>
                <w:highlight w:val="none"/>
                <w:lang w:val="en-US" w:eastAsia="zh-CN"/>
              </w:rPr>
              <w:t>灵山县发展和改革局</w:t>
            </w:r>
            <w:r>
              <w:rPr>
                <w:rFonts w:hint="eastAsia" w:ascii="宋体" w:hAnsi="宋体"/>
                <w:b/>
                <w:bCs/>
                <w:color w:val="auto"/>
                <w:highlight w:val="none"/>
                <w:lang w:eastAsia="zh-CN"/>
              </w:rPr>
              <w:t>，</w:t>
            </w:r>
            <w:r>
              <w:rPr>
                <w:rFonts w:hint="eastAsia" w:ascii="宋体" w:hAnsi="宋体"/>
                <w:b/>
                <w:bCs/>
                <w:color w:val="auto"/>
                <w:highlight w:val="none"/>
                <w:lang w:val="en-US" w:eastAsia="zh-CN"/>
              </w:rPr>
              <w:t>联系电话：0777-6521516</w:t>
            </w:r>
            <w:r>
              <w:rPr>
                <w:rStyle w:val="60"/>
                <w:rFonts w:hint="eastAsia" w:ascii="宋体" w:hAnsi="宋体"/>
                <w:b/>
                <w:bCs/>
                <w:color w:val="auto"/>
                <w:highlight w:val="none"/>
                <w:u w:val="none"/>
              </w:rPr>
              <w:t>，通讯地址</w:t>
            </w:r>
            <w:r>
              <w:rPr>
                <w:rFonts w:hint="eastAsia" w:ascii="宋体" w:hAnsi="宋体"/>
                <w:b/>
                <w:bCs/>
                <w:color w:val="auto"/>
                <w:highlight w:val="none"/>
                <w:lang w:val="en-US" w:eastAsia="zh-CN"/>
              </w:rPr>
              <w:t>：广西钦州市灵山县灵城街道广场路31号</w:t>
            </w:r>
          </w:p>
        </w:tc>
      </w:tr>
      <w:tr w14:paraId="7F9DC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110373FC">
            <w:pPr>
              <w:ind w:left="-424" w:leftChars="-202" w:firstLine="420"/>
              <w:jc w:val="center"/>
              <w:rPr>
                <w:rFonts w:hint="eastAsia" w:ascii="宋体" w:hAnsi="宋体" w:eastAsia="宋体" w:cs="Times New Roman"/>
                <w:color w:val="auto"/>
                <w:highlight w:val="none"/>
                <w:lang w:eastAsia="zh-CN"/>
              </w:rPr>
            </w:pPr>
            <w:r>
              <w:rPr>
                <w:rFonts w:hint="eastAsia" w:ascii="宋体" w:hAnsi="宋体" w:cs="Times New Roman"/>
                <w:color w:val="auto"/>
                <w:highlight w:val="none"/>
                <w:lang w:val="en-US" w:eastAsia="zh-CN"/>
              </w:rPr>
              <w:t>4</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6B8D0464">
            <w:pPr>
              <w:snapToGrid w:val="0"/>
              <w:spacing w:line="340" w:lineRule="exact"/>
              <w:ind w:firstLine="8" w:firstLineChars="4"/>
              <w:rPr>
                <w:rFonts w:ascii="宋体" w:hAnsi="宋体" w:eastAsia="宋体" w:cs="Times New Roman"/>
                <w:color w:val="auto"/>
                <w:szCs w:val="21"/>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w:instrText>
            </w:r>
            <w:r>
              <w:rPr>
                <w:rFonts w:hint="eastAsia" w:ascii="宋体" w:hAnsi="宋体" w:eastAsia="宋体" w:cs="Times New Roman"/>
                <w:color w:val="auto"/>
                <w:szCs w:val="21"/>
                <w:highlight w:val="none"/>
              </w:rPr>
              <w:instrText xml:space="preserve">HYPERLINK </w:instrText>
            </w:r>
            <w:r>
              <w:rPr>
                <w:rFonts w:ascii="宋体" w:hAnsi="宋体" w:eastAsia="宋体" w:cs="Times New Roman"/>
                <w:color w:val="auto"/>
                <w:szCs w:val="21"/>
                <w:highlight w:val="none"/>
              </w:rPr>
              <w:instrText xml:space="preserve"> \l "_三、投标文件" </w:instrText>
            </w:r>
            <w:r>
              <w:rPr>
                <w:rFonts w:ascii="宋体" w:hAnsi="宋体" w:eastAsia="宋体" w:cs="Times New Roman"/>
                <w:color w:val="auto"/>
                <w:szCs w:val="21"/>
                <w:highlight w:val="none"/>
              </w:rPr>
              <w:fldChar w:fldCharType="separate"/>
            </w:r>
            <w:r>
              <w:rPr>
                <w:rStyle w:val="60"/>
                <w:rFonts w:hint="eastAsia" w:ascii="宋体" w:hAnsi="宋体"/>
                <w:color w:val="auto"/>
                <w:szCs w:val="21"/>
                <w:highlight w:val="none"/>
                <w:u w:val="none"/>
              </w:rPr>
              <w:t>投标文件组成</w:t>
            </w:r>
            <w:bookmarkStart w:id="57" w:name="_Hlt92979199"/>
            <w:r>
              <w:rPr>
                <w:rStyle w:val="60"/>
                <w:rFonts w:hint="eastAsia" w:ascii="宋体" w:hAnsi="宋体"/>
                <w:color w:val="auto"/>
                <w:szCs w:val="21"/>
                <w:highlight w:val="none"/>
                <w:u w:val="none"/>
              </w:rPr>
              <w:t>：</w:t>
            </w:r>
            <w:bookmarkEnd w:id="57"/>
            <w:r>
              <w:rPr>
                <w:rStyle w:val="60"/>
                <w:rFonts w:hint="eastAsia" w:ascii="宋体" w:hAnsi="宋体" w:cs="Arial"/>
                <w:color w:val="auto"/>
                <w:szCs w:val="21"/>
                <w:highlight w:val="none"/>
                <w:u w:val="none"/>
              </w:rPr>
              <w:t>资格</w:t>
            </w:r>
            <w:bookmarkStart w:id="58" w:name="_Hlt92979142"/>
            <w:r>
              <w:rPr>
                <w:rStyle w:val="60"/>
                <w:rFonts w:hint="eastAsia" w:ascii="宋体" w:hAnsi="宋体" w:cs="Arial"/>
                <w:color w:val="auto"/>
                <w:szCs w:val="21"/>
                <w:highlight w:val="none"/>
                <w:u w:val="none"/>
              </w:rPr>
              <w:t>文</w:t>
            </w:r>
            <w:bookmarkEnd w:id="58"/>
            <w:r>
              <w:rPr>
                <w:rStyle w:val="60"/>
                <w:rFonts w:hint="eastAsia" w:ascii="宋体" w:hAnsi="宋体" w:cs="Arial"/>
                <w:color w:val="auto"/>
                <w:szCs w:val="21"/>
                <w:highlight w:val="none"/>
                <w:u w:val="none"/>
              </w:rPr>
              <w:t>件、商务技术文件、</w:t>
            </w:r>
            <w:r>
              <w:rPr>
                <w:rStyle w:val="60"/>
                <w:rFonts w:hint="eastAsia" w:ascii="宋体" w:hAnsi="宋体"/>
                <w:color w:val="auto"/>
                <w:szCs w:val="21"/>
                <w:highlight w:val="none"/>
                <w:u w:val="none"/>
              </w:rPr>
              <w:t>报价文件。</w:t>
            </w:r>
            <w:r>
              <w:rPr>
                <w:rFonts w:ascii="宋体" w:hAnsi="宋体" w:eastAsia="宋体" w:cs="Times New Roman"/>
                <w:color w:val="auto"/>
                <w:szCs w:val="21"/>
                <w:highlight w:val="none"/>
              </w:rPr>
              <w:fldChar w:fldCharType="end"/>
            </w:r>
          </w:p>
        </w:tc>
      </w:tr>
      <w:tr w14:paraId="06B2A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09F63F60">
            <w:pPr>
              <w:ind w:left="-424" w:leftChars="-202" w:firstLine="420"/>
              <w:jc w:val="center"/>
              <w:rPr>
                <w:rFonts w:hint="eastAsia" w:ascii="宋体" w:hAnsi="宋体" w:eastAsia="宋体" w:cs="Times New Roman"/>
                <w:color w:val="auto"/>
                <w:highlight w:val="none"/>
                <w:lang w:eastAsia="zh-CN"/>
              </w:rPr>
            </w:pPr>
            <w:r>
              <w:rPr>
                <w:rFonts w:hint="eastAsia" w:ascii="宋体" w:hAnsi="宋体" w:cs="Times New Roman"/>
                <w:color w:val="auto"/>
                <w:highlight w:val="none"/>
                <w:lang w:val="en-US" w:eastAsia="zh-CN"/>
              </w:rPr>
              <w:t>5</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0C6B1D20">
            <w:pPr>
              <w:snapToGrid w:val="0"/>
              <w:spacing w:line="340" w:lineRule="exact"/>
              <w:ind w:firstLine="8" w:firstLineChars="4"/>
              <w:rPr>
                <w:rFonts w:ascii="宋体" w:hAnsi="宋体" w:eastAsia="宋体" w:cs="Times New Roman"/>
                <w:color w:val="auto"/>
                <w:highlight w:val="none"/>
              </w:rPr>
            </w:pP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w:instrText>
            </w:r>
            <w:r>
              <w:rPr>
                <w:rFonts w:hint="eastAsia" w:ascii="宋体" w:hAnsi="宋体" w:eastAsia="宋体" w:cs="Times New Roman"/>
                <w:color w:val="auto"/>
                <w:highlight w:val="none"/>
              </w:rPr>
              <w:instrText xml:space="preserve">HYPERLINK </w:instrText>
            </w:r>
            <w:r>
              <w:rPr>
                <w:rFonts w:ascii="宋体" w:hAnsi="宋体" w:eastAsia="宋体" w:cs="Times New Roman"/>
                <w:color w:val="auto"/>
                <w:highlight w:val="none"/>
              </w:rPr>
              <w:instrText xml:space="preserve"> \l "_（五）投标报价" </w:instrText>
            </w:r>
            <w:r>
              <w:rPr>
                <w:rFonts w:ascii="宋体" w:hAnsi="宋体" w:eastAsia="宋体" w:cs="Times New Roman"/>
                <w:color w:val="auto"/>
                <w:highlight w:val="none"/>
              </w:rPr>
              <w:fldChar w:fldCharType="separate"/>
            </w:r>
            <w:r>
              <w:rPr>
                <w:rStyle w:val="60"/>
                <w:rFonts w:hint="eastAsia" w:ascii="宋体" w:hAnsi="宋体"/>
                <w:color w:val="auto"/>
                <w:highlight w:val="none"/>
                <w:u w:val="none"/>
              </w:rPr>
              <w:t>投标报价：投标人必须就本项目/标项货物及服务内容作完整唯一报价，否则投标无效。</w:t>
            </w:r>
            <w:r>
              <w:rPr>
                <w:rFonts w:ascii="宋体" w:hAnsi="宋体" w:eastAsia="宋体" w:cs="Times New Roman"/>
                <w:color w:val="auto"/>
                <w:highlight w:val="none"/>
              </w:rPr>
              <w:fldChar w:fldCharType="end"/>
            </w:r>
          </w:p>
        </w:tc>
      </w:tr>
      <w:tr w14:paraId="191EC4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5055C115">
            <w:pPr>
              <w:ind w:left="-424" w:leftChars="-202" w:firstLine="420"/>
              <w:jc w:val="center"/>
              <w:rPr>
                <w:rFonts w:hint="eastAsia" w:ascii="宋体" w:hAnsi="宋体" w:eastAsia="宋体" w:cs="Times New Roman"/>
                <w:color w:val="auto"/>
                <w:highlight w:val="none"/>
                <w:lang w:eastAsia="zh-CN"/>
              </w:rPr>
            </w:pPr>
            <w:r>
              <w:rPr>
                <w:rFonts w:hint="eastAsia" w:ascii="宋体" w:hAnsi="宋体" w:cs="Times New Roman"/>
                <w:color w:val="auto"/>
                <w:highlight w:val="none"/>
                <w:lang w:val="en-US" w:eastAsia="zh-CN"/>
              </w:rPr>
              <w:t>6</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521C1FED">
            <w:pPr>
              <w:snapToGrid w:val="0"/>
              <w:spacing w:line="340" w:lineRule="exact"/>
              <w:ind w:firstLine="8" w:firstLineChars="4"/>
              <w:rPr>
                <w:rFonts w:ascii="宋体" w:hAnsi="宋体" w:eastAsia="宋体" w:cs="Times New Roman"/>
                <w:color w:val="auto"/>
                <w:highlight w:val="none"/>
              </w:rPr>
            </w:pP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w:instrText>
            </w:r>
            <w:r>
              <w:rPr>
                <w:rFonts w:hint="eastAsia" w:ascii="宋体" w:hAnsi="宋体" w:eastAsia="宋体" w:cs="Times New Roman"/>
                <w:color w:val="auto"/>
                <w:highlight w:val="none"/>
              </w:rPr>
              <w:instrText xml:space="preserve">HYPERLINK </w:instrText>
            </w:r>
            <w:r>
              <w:rPr>
                <w:rFonts w:ascii="宋体" w:hAnsi="宋体" w:eastAsia="宋体" w:cs="Times New Roman"/>
                <w:color w:val="auto"/>
                <w:highlight w:val="none"/>
              </w:rPr>
              <w:instrText xml:space="preserve"> \l "_（六）投标文件有效期" </w:instrText>
            </w:r>
            <w:r>
              <w:rPr>
                <w:rFonts w:ascii="宋体" w:hAnsi="宋体" w:eastAsia="宋体" w:cs="Times New Roman"/>
                <w:color w:val="auto"/>
                <w:highlight w:val="none"/>
              </w:rPr>
              <w:fldChar w:fldCharType="separate"/>
            </w:r>
            <w:r>
              <w:rPr>
                <w:rStyle w:val="60"/>
                <w:rFonts w:hint="eastAsia" w:ascii="宋体" w:hAnsi="宋体"/>
                <w:color w:val="auto"/>
                <w:highlight w:val="none"/>
                <w:u w:val="none"/>
              </w:rPr>
              <w:t>投标有效</w:t>
            </w:r>
            <w:bookmarkStart w:id="59" w:name="_Hlt113541149"/>
            <w:bookmarkStart w:id="60" w:name="_Hlt113541150"/>
            <w:r>
              <w:rPr>
                <w:rStyle w:val="60"/>
                <w:rFonts w:hint="eastAsia" w:ascii="宋体" w:hAnsi="宋体"/>
                <w:color w:val="auto"/>
                <w:highlight w:val="none"/>
                <w:u w:val="none"/>
              </w:rPr>
              <w:t>期</w:t>
            </w:r>
            <w:bookmarkEnd w:id="59"/>
            <w:bookmarkEnd w:id="60"/>
            <w:r>
              <w:rPr>
                <w:rStyle w:val="60"/>
                <w:rFonts w:hint="eastAsia" w:ascii="宋体" w:hAnsi="宋体"/>
                <w:color w:val="auto"/>
                <w:highlight w:val="none"/>
                <w:u w:val="none"/>
              </w:rPr>
              <w:t>：9</w:t>
            </w:r>
            <w:r>
              <w:rPr>
                <w:rStyle w:val="60"/>
                <w:rFonts w:ascii="宋体" w:hAnsi="宋体"/>
                <w:color w:val="auto"/>
                <w:highlight w:val="none"/>
                <w:u w:val="none"/>
              </w:rPr>
              <w:t>0</w:t>
            </w:r>
            <w:bookmarkStart w:id="61" w:name="_Hlt113541412"/>
            <w:r>
              <w:rPr>
                <w:rStyle w:val="60"/>
                <w:rFonts w:hint="eastAsia" w:ascii="宋体" w:hAnsi="宋体"/>
                <w:color w:val="auto"/>
                <w:highlight w:val="none"/>
                <w:u w:val="none"/>
              </w:rPr>
              <w:t>天</w:t>
            </w:r>
            <w:bookmarkEnd w:id="61"/>
            <w:r>
              <w:rPr>
                <w:rFonts w:ascii="宋体" w:hAnsi="宋体" w:eastAsia="宋体" w:cs="Times New Roman"/>
                <w:color w:val="auto"/>
                <w:highlight w:val="none"/>
              </w:rPr>
              <w:fldChar w:fldCharType="end"/>
            </w:r>
          </w:p>
        </w:tc>
      </w:tr>
      <w:tr w14:paraId="5E873A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13E28FB8">
            <w:pPr>
              <w:ind w:left="-424" w:leftChars="-202" w:firstLine="420"/>
              <w:jc w:val="center"/>
              <w:rPr>
                <w:rFonts w:hint="eastAsia" w:ascii="宋体" w:hAnsi="宋体" w:eastAsia="宋体" w:cs="Times New Roman"/>
                <w:color w:val="auto"/>
                <w:highlight w:val="none"/>
                <w:lang w:eastAsia="zh-CN"/>
              </w:rPr>
            </w:pPr>
            <w:r>
              <w:rPr>
                <w:rFonts w:hint="eastAsia" w:ascii="宋体" w:hAnsi="宋体" w:cs="Times New Roman"/>
                <w:color w:val="auto"/>
                <w:highlight w:val="none"/>
                <w:lang w:val="en-US" w:eastAsia="zh-CN"/>
              </w:rPr>
              <w:t>7</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67489061">
            <w:pPr>
              <w:spacing w:line="418" w:lineRule="exact"/>
              <w:ind w:left="-283" w:leftChars="-135" w:firstLine="283" w:firstLineChars="0"/>
              <w:rPr>
                <w:rStyle w:val="60"/>
                <w:rFonts w:hint="eastAsia" w:ascii="宋体" w:hAnsi="宋体" w:eastAsia="宋体"/>
                <w:b/>
                <w:color w:val="auto"/>
                <w:highlight w:val="none"/>
                <w:u w:val="none"/>
                <w:lang w:eastAsia="zh-CN"/>
              </w:rPr>
            </w:pPr>
            <w:r>
              <w:rPr>
                <w:rFonts w:ascii="宋体" w:hAnsi="宋体" w:eastAsia="宋体" w:cs="宋体"/>
                <w:color w:val="auto"/>
                <w:kern w:val="0"/>
                <w:szCs w:val="21"/>
                <w:highlight w:val="none"/>
              </w:rPr>
              <w:fldChar w:fldCharType="begin"/>
            </w:r>
            <w:r>
              <w:rPr>
                <w:rFonts w:ascii="宋体" w:hAnsi="宋体" w:eastAsia="宋体" w:cs="宋体"/>
                <w:color w:val="auto"/>
                <w:kern w:val="0"/>
                <w:szCs w:val="21"/>
                <w:highlight w:val="none"/>
              </w:rPr>
              <w:instrText xml:space="preserve"> </w:instrText>
            </w:r>
            <w:r>
              <w:rPr>
                <w:rFonts w:hint="eastAsia" w:ascii="宋体" w:hAnsi="宋体" w:eastAsia="宋体" w:cs="宋体"/>
                <w:color w:val="auto"/>
                <w:kern w:val="0"/>
                <w:szCs w:val="21"/>
                <w:highlight w:val="none"/>
              </w:rPr>
              <w:instrText xml:space="preserve">HYPERLINK </w:instrText>
            </w:r>
            <w:r>
              <w:rPr>
                <w:rFonts w:ascii="宋体" w:hAnsi="宋体" w:eastAsia="宋体" w:cs="宋体"/>
                <w:color w:val="auto"/>
                <w:kern w:val="0"/>
                <w:szCs w:val="21"/>
                <w:highlight w:val="none"/>
              </w:rPr>
              <w:instrText xml:space="preserve"> \l "_（七）投标保证金" </w:instrText>
            </w:r>
            <w:r>
              <w:rPr>
                <w:rFonts w:ascii="宋体" w:hAnsi="宋体" w:eastAsia="宋体" w:cs="宋体"/>
                <w:color w:val="auto"/>
                <w:kern w:val="0"/>
                <w:szCs w:val="21"/>
                <w:highlight w:val="none"/>
              </w:rPr>
              <w:fldChar w:fldCharType="separate"/>
            </w:r>
            <w:r>
              <w:rPr>
                <w:rStyle w:val="60"/>
                <w:rFonts w:hint="eastAsia" w:ascii="宋体" w:hAnsi="宋体" w:cs="宋体"/>
                <w:color w:val="auto"/>
                <w:kern w:val="0"/>
                <w:szCs w:val="21"/>
                <w:highlight w:val="none"/>
                <w:u w:val="none"/>
              </w:rPr>
              <w:t>投标保证金：</w:t>
            </w:r>
            <w:bookmarkStart w:id="62" w:name="_Hlt118880213"/>
            <w:bookmarkEnd w:id="62"/>
            <w:r>
              <w:rPr>
                <w:rFonts w:hint="eastAsia" w:ascii="宋体" w:hAnsi="宋体" w:cs="Times New Roman"/>
                <w:color w:val="auto"/>
                <w:highlight w:val="none"/>
                <w:lang w:val="en-US" w:eastAsia="zh-CN"/>
              </w:rPr>
              <w:t>拾</w:t>
            </w:r>
            <w:r>
              <w:rPr>
                <w:rFonts w:hint="eastAsia" w:ascii="宋体" w:hAnsi="宋体" w:eastAsia="宋体" w:cs="Times New Roman"/>
                <w:color w:val="auto"/>
                <w:highlight w:val="none"/>
                <w:lang w:eastAsia="zh-CN"/>
              </w:rPr>
              <w:t>万元整(￥</w:t>
            </w:r>
            <w:r>
              <w:rPr>
                <w:rFonts w:hint="eastAsia" w:ascii="宋体" w:hAnsi="宋体" w:cs="Times New Roman"/>
                <w:color w:val="auto"/>
                <w:highlight w:val="none"/>
                <w:lang w:val="en-US" w:eastAsia="zh-CN"/>
              </w:rPr>
              <w:t>100000</w:t>
            </w:r>
            <w:r>
              <w:rPr>
                <w:rFonts w:hint="eastAsia" w:ascii="宋体" w:hAnsi="宋体" w:eastAsia="宋体" w:cs="Times New Roman"/>
                <w:color w:val="auto"/>
                <w:highlight w:val="none"/>
                <w:lang w:eastAsia="zh-CN"/>
              </w:rPr>
              <w:t>.00)</w:t>
            </w:r>
          </w:p>
          <w:p w14:paraId="13236A9D">
            <w:pPr>
              <w:widowControl/>
              <w:ind w:firstLine="0" w:firstLineChars="0"/>
              <w:rPr>
                <w:rStyle w:val="60"/>
                <w:rFonts w:hint="eastAsia" w:ascii="宋体" w:hAnsi="宋体"/>
                <w:color w:val="auto"/>
                <w:szCs w:val="21"/>
                <w:highlight w:val="none"/>
                <w:u w:val="none"/>
              </w:rPr>
            </w:pPr>
            <w:r>
              <w:rPr>
                <w:rStyle w:val="60"/>
                <w:rFonts w:hint="eastAsia" w:ascii="宋体" w:hAnsi="宋体"/>
                <w:color w:val="auto"/>
                <w:szCs w:val="21"/>
                <w:highlight w:val="none"/>
                <w:u w:val="none"/>
              </w:rPr>
              <w:t>注：1.</w:t>
            </w:r>
            <w:r>
              <w:rPr>
                <w:rStyle w:val="60"/>
                <w:rFonts w:hint="eastAsia" w:ascii="宋体" w:hAnsi="宋体"/>
                <w:color w:val="auto"/>
                <w:highlight w:val="none"/>
                <w:u w:val="none"/>
              </w:rPr>
              <w:t>以支票、汇票、本票或者金融机构、担保机构出具的保函等形式提交保证金的，</w:t>
            </w:r>
            <w:r>
              <w:rPr>
                <w:rStyle w:val="60"/>
                <w:rFonts w:hint="eastAsia" w:ascii="宋体" w:hAnsi="宋体"/>
                <w:b/>
                <w:bCs/>
                <w:color w:val="auto"/>
                <w:highlight w:val="none"/>
                <w:u w:val="none"/>
              </w:rPr>
              <w:t>投标人必须将</w:t>
            </w:r>
            <w:bookmarkStart w:id="63" w:name="_Hlk94188895"/>
            <w:r>
              <w:rPr>
                <w:rStyle w:val="60"/>
                <w:rFonts w:hint="eastAsia" w:ascii="宋体" w:hAnsi="宋体"/>
                <w:b/>
                <w:bCs/>
                <w:color w:val="auto"/>
                <w:highlight w:val="none"/>
                <w:u w:val="none"/>
              </w:rPr>
              <w:t>票据、保函</w:t>
            </w:r>
            <w:bookmarkEnd w:id="63"/>
            <w:r>
              <w:rPr>
                <w:rStyle w:val="60"/>
                <w:rFonts w:hint="eastAsia" w:ascii="宋体" w:hAnsi="宋体"/>
                <w:b/>
                <w:bCs/>
                <w:color w:val="auto"/>
                <w:highlight w:val="none"/>
                <w:u w:val="none"/>
              </w:rPr>
              <w:t>等原件于投标文件提交截止时间前递交至本中心财务室</w:t>
            </w:r>
            <w:r>
              <w:rPr>
                <w:rStyle w:val="60"/>
                <w:rFonts w:hint="eastAsia" w:ascii="宋体" w:hAnsi="宋体"/>
                <w:color w:val="auto"/>
                <w:highlight w:val="none"/>
                <w:u w:val="none"/>
              </w:rPr>
              <w:t>。</w:t>
            </w:r>
          </w:p>
          <w:p w14:paraId="37B0E7E4">
            <w:pPr>
              <w:autoSpaceDE w:val="0"/>
              <w:autoSpaceDN w:val="0"/>
              <w:snapToGrid w:val="0"/>
              <w:ind w:firstLine="8" w:firstLineChars="4"/>
              <w:textAlignment w:val="bottom"/>
              <w:rPr>
                <w:rFonts w:ascii="宋体" w:hAnsi="宋体" w:eastAsia="宋体" w:cs="Times New Roman"/>
                <w:color w:val="auto"/>
                <w:szCs w:val="21"/>
                <w:highlight w:val="none"/>
              </w:rPr>
            </w:pPr>
            <w:r>
              <w:rPr>
                <w:rStyle w:val="60"/>
                <w:rFonts w:hint="eastAsia" w:ascii="宋体" w:hAnsi="宋体"/>
                <w:color w:val="auto"/>
                <w:highlight w:val="none"/>
                <w:u w:val="none"/>
              </w:rPr>
              <w:t>2.</w:t>
            </w:r>
            <w:r>
              <w:rPr>
                <w:rStyle w:val="60"/>
                <w:rFonts w:hint="eastAsia" w:ascii="宋体" w:hAnsi="宋体"/>
                <w:color w:val="auto"/>
                <w:szCs w:val="21"/>
                <w:highlight w:val="none"/>
                <w:u w:val="none"/>
              </w:rPr>
              <w:t>以网上银行形式提交保证金的，投标人必须于投标文件提交截止时间前从投标人账户缴存至本中心银行账户(以到账时间为准)。</w:t>
            </w:r>
            <w:r>
              <w:rPr>
                <w:rFonts w:ascii="宋体" w:hAnsi="宋体" w:eastAsia="宋体" w:cs="宋体"/>
                <w:color w:val="auto"/>
                <w:kern w:val="0"/>
                <w:szCs w:val="21"/>
                <w:highlight w:val="none"/>
              </w:rPr>
              <w:fldChar w:fldCharType="end"/>
            </w:r>
          </w:p>
        </w:tc>
      </w:tr>
      <w:tr w14:paraId="2D2166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41787312">
            <w:pPr>
              <w:ind w:left="-424" w:leftChars="-202" w:firstLine="420"/>
              <w:jc w:val="center"/>
              <w:rPr>
                <w:rFonts w:hint="eastAsia" w:ascii="宋体" w:hAnsi="宋体" w:eastAsia="宋体" w:cs="Times New Roman"/>
                <w:color w:val="auto"/>
                <w:highlight w:val="none"/>
                <w:lang w:eastAsia="zh-CN"/>
              </w:rPr>
            </w:pPr>
            <w:r>
              <w:rPr>
                <w:rFonts w:hint="eastAsia" w:ascii="宋体" w:hAnsi="宋体" w:cs="Times New Roman"/>
                <w:color w:val="auto"/>
                <w:highlight w:val="none"/>
                <w:lang w:val="en-US" w:eastAsia="zh-CN"/>
              </w:rPr>
              <w:t>8</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15700680">
            <w:pPr>
              <w:pStyle w:val="29"/>
              <w:ind w:firstLine="8" w:firstLineChars="4"/>
              <w:rPr>
                <w:rStyle w:val="60"/>
                <w:rFonts w:hAnsi="宋体"/>
                <w:color w:val="auto"/>
                <w:highlight w:val="none"/>
                <w:u w:val="none"/>
              </w:rPr>
            </w:pPr>
            <w:r>
              <w:rPr>
                <w:rFonts w:hAnsi="宋体"/>
                <w:b/>
                <w:color w:val="auto"/>
                <w:highlight w:val="none"/>
              </w:rPr>
              <w:fldChar w:fldCharType="begin"/>
            </w:r>
            <w:r>
              <w:rPr>
                <w:rFonts w:hAnsi="宋体"/>
                <w:b/>
                <w:color w:val="auto"/>
                <w:highlight w:val="none"/>
              </w:rPr>
              <w:instrText xml:space="preserve"> </w:instrText>
            </w:r>
            <w:r>
              <w:rPr>
                <w:rFonts w:hint="eastAsia" w:hAnsi="宋体"/>
                <w:b/>
                <w:color w:val="auto"/>
                <w:highlight w:val="none"/>
              </w:rPr>
              <w:instrText xml:space="preserve">HYPERLINK </w:instrText>
            </w:r>
            <w:r>
              <w:rPr>
                <w:rFonts w:hAnsi="宋体"/>
                <w:b/>
                <w:color w:val="auto"/>
                <w:highlight w:val="none"/>
              </w:rPr>
              <w:instrText xml:space="preserve"> \l "</w:instrText>
            </w:r>
            <w:r>
              <w:rPr>
                <w:rFonts w:hint="eastAsia" w:hAnsi="宋体"/>
                <w:b/>
                <w:color w:val="auto"/>
                <w:highlight w:val="none"/>
              </w:rPr>
              <w:instrText xml:space="preserve">_四、开标</w:instrText>
            </w:r>
            <w:r>
              <w:rPr>
                <w:rFonts w:hAnsi="宋体"/>
                <w:b/>
                <w:color w:val="auto"/>
                <w:highlight w:val="none"/>
              </w:rPr>
              <w:instrText xml:space="preserve">" </w:instrText>
            </w:r>
            <w:r>
              <w:rPr>
                <w:rFonts w:hAnsi="宋体"/>
                <w:b/>
                <w:color w:val="auto"/>
                <w:highlight w:val="none"/>
              </w:rPr>
              <w:fldChar w:fldCharType="separate"/>
            </w:r>
            <w:r>
              <w:rPr>
                <w:rStyle w:val="60"/>
                <w:rFonts w:hint="eastAsia" w:hAnsi="宋体"/>
                <w:b/>
                <w:color w:val="auto"/>
                <w:highlight w:val="none"/>
                <w:u w:val="none"/>
              </w:rPr>
              <w:t>投标文件提交截止时间及开标时间：</w:t>
            </w:r>
            <w:r>
              <w:rPr>
                <w:rFonts w:hint="eastAsia" w:ascii="宋体" w:hAnsi="宋体"/>
                <w:color w:val="auto"/>
                <w:szCs w:val="21"/>
                <w:highlight w:val="none"/>
                <w:lang w:eastAsia="zh-CN"/>
              </w:rPr>
              <w:t>2025年</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10:00</w:t>
            </w:r>
            <w:r>
              <w:rPr>
                <w:rFonts w:hint="eastAsia" w:ascii="宋体" w:hAnsi="宋体"/>
                <w:color w:val="auto"/>
                <w:highlight w:val="none"/>
              </w:rPr>
              <w:t>(北京时间)</w:t>
            </w:r>
          </w:p>
          <w:p w14:paraId="5C80A811">
            <w:pPr>
              <w:ind w:firstLine="8" w:firstLineChars="4"/>
              <w:rPr>
                <w:rStyle w:val="60"/>
                <w:rFonts w:hint="eastAsia" w:ascii="宋体" w:hAnsi="宋体"/>
                <w:color w:val="auto"/>
                <w:szCs w:val="21"/>
                <w:highlight w:val="none"/>
                <w:u w:val="none"/>
              </w:rPr>
            </w:pPr>
            <w:r>
              <w:rPr>
                <w:rStyle w:val="60"/>
                <w:rFonts w:hint="eastAsia" w:ascii="宋体" w:hAnsi="宋体"/>
                <w:color w:val="auto"/>
                <w:szCs w:val="21"/>
                <w:highlight w:val="none"/>
                <w:u w:val="none"/>
              </w:rPr>
              <w:t>投标地点(网址)：</w:t>
            </w:r>
            <w:r>
              <w:rPr>
                <w:rFonts w:hint="eastAsia" w:ascii="宋体" w:hAnsi="宋体" w:eastAsia="宋体" w:cs="Times New Roman"/>
                <w:color w:val="auto"/>
                <w:szCs w:val="21"/>
                <w:highlight w:val="none"/>
              </w:rPr>
              <w:t>广西政府采购云平台（https://www.gcy.zfcg.gxzf.gov.cn/）</w:t>
            </w:r>
          </w:p>
          <w:p w14:paraId="01D3C2F6">
            <w:pPr>
              <w:ind w:firstLine="8" w:firstLineChars="4"/>
              <w:rPr>
                <w:rStyle w:val="60"/>
                <w:rFonts w:ascii="宋体" w:hAnsi="宋体"/>
                <w:color w:val="auto"/>
                <w:szCs w:val="21"/>
                <w:highlight w:val="none"/>
                <w:u w:val="none"/>
              </w:rPr>
            </w:pPr>
            <w:r>
              <w:rPr>
                <w:rStyle w:val="60"/>
                <w:rFonts w:hint="eastAsia" w:ascii="宋体" w:hAnsi="宋体"/>
                <w:color w:val="auto"/>
                <w:szCs w:val="21"/>
                <w:highlight w:val="none"/>
                <w:u w:val="none"/>
              </w:rPr>
              <w:t>开标地点(网址)：广西钦州市金海湾东大街8号市政务服务中心三楼开标室</w:t>
            </w:r>
          </w:p>
          <w:p w14:paraId="7FB593D2">
            <w:pPr>
              <w:ind w:firstLine="8" w:firstLineChars="4"/>
              <w:rPr>
                <w:rFonts w:hint="eastAsia" w:ascii="宋体" w:hAnsi="宋体" w:eastAsia="宋体" w:cs="Times New Roman"/>
                <w:b/>
                <w:bCs/>
                <w:color w:val="auto"/>
                <w:highlight w:val="none"/>
              </w:rPr>
            </w:pPr>
            <w:r>
              <w:rPr>
                <w:rStyle w:val="60"/>
                <w:rFonts w:hint="eastAsia" w:ascii="宋体" w:hAnsi="宋体"/>
                <w:b/>
                <w:bCs/>
                <w:color w:val="auto"/>
                <w:highlight w:val="none"/>
                <w:u w:val="none"/>
              </w:rPr>
              <w:t>注：</w:t>
            </w:r>
            <w:bookmarkStart w:id="64" w:name="_Hlk90299755"/>
            <w:r>
              <w:rPr>
                <w:rStyle w:val="60"/>
                <w:rFonts w:hint="eastAsia" w:ascii="宋体" w:hAnsi="宋体"/>
                <w:b/>
                <w:bCs/>
                <w:color w:val="auto"/>
                <w:highlight w:val="none"/>
                <w:u w:val="none"/>
              </w:rPr>
              <w:t>投标人法定代表人</w:t>
            </w:r>
            <w:r>
              <w:rPr>
                <w:rStyle w:val="60"/>
                <w:rFonts w:hint="eastAsia" w:ascii="宋体" w:hAnsi="宋体"/>
                <w:b/>
                <w:bCs/>
                <w:color w:val="auto"/>
                <w:highlight w:val="none"/>
                <w:u w:val="none"/>
                <w:lang w:eastAsia="zh-CN"/>
              </w:rPr>
              <w:t>（</w:t>
            </w:r>
            <w:r>
              <w:rPr>
                <w:rStyle w:val="60"/>
                <w:rFonts w:hint="eastAsia" w:ascii="宋体" w:hAnsi="宋体"/>
                <w:b/>
                <w:bCs/>
                <w:color w:val="auto"/>
                <w:highlight w:val="none"/>
                <w:u w:val="none"/>
                <w:lang w:val="en-US" w:eastAsia="zh-CN"/>
              </w:rPr>
              <w:t>负责人</w:t>
            </w:r>
            <w:r>
              <w:rPr>
                <w:rStyle w:val="60"/>
                <w:rFonts w:hint="eastAsia" w:ascii="宋体" w:hAnsi="宋体"/>
                <w:b/>
                <w:bCs/>
                <w:color w:val="auto"/>
                <w:highlight w:val="none"/>
                <w:u w:val="none"/>
                <w:lang w:eastAsia="zh-CN"/>
              </w:rPr>
              <w:t>）</w:t>
            </w:r>
            <w:r>
              <w:rPr>
                <w:rStyle w:val="60"/>
                <w:rFonts w:hint="eastAsia" w:ascii="宋体" w:hAnsi="宋体"/>
                <w:b/>
                <w:bCs/>
                <w:color w:val="auto"/>
                <w:highlight w:val="none"/>
                <w:u w:val="none"/>
              </w:rPr>
              <w:t>或委托代理人须按时</w:t>
            </w:r>
            <w:r>
              <w:rPr>
                <w:rStyle w:val="60"/>
                <w:rFonts w:hint="eastAsia" w:ascii="宋体" w:hAnsi="宋体" w:eastAsia="宋体"/>
                <w:b/>
                <w:bCs/>
                <w:color w:val="auto"/>
                <w:highlight w:val="none"/>
                <w:u w:val="none"/>
                <w:lang w:val="en-US" w:eastAsia="zh-CN"/>
              </w:rPr>
              <w:t>登入政采云</w:t>
            </w:r>
            <w:r>
              <w:rPr>
                <w:rStyle w:val="60"/>
                <w:rFonts w:hint="eastAsia" w:ascii="宋体" w:hAnsi="宋体" w:cs="Courier New"/>
                <w:b/>
                <w:bCs/>
                <w:color w:val="auto"/>
                <w:szCs w:val="21"/>
                <w:highlight w:val="none"/>
                <w:u w:val="none"/>
              </w:rPr>
              <w:t>远程开标大厅</w:t>
            </w:r>
            <w:r>
              <w:rPr>
                <w:rStyle w:val="60"/>
                <w:rFonts w:hint="eastAsia" w:ascii="宋体" w:hAnsi="宋体"/>
                <w:b/>
                <w:bCs/>
                <w:color w:val="auto"/>
                <w:highlight w:val="none"/>
                <w:u w:val="none"/>
              </w:rPr>
              <w:t>，保持全程在线并关注开标评标进度，评标期间评标委员会提出澄清等要求时，投标人须在规定时间内进行在线应答，否则按招标文件或政采云平台的相关规定执行。</w:t>
            </w:r>
            <w:bookmarkEnd w:id="64"/>
            <w:r>
              <w:rPr>
                <w:rFonts w:ascii="宋体" w:hAnsi="宋体" w:eastAsia="宋体" w:cs="Courier New"/>
                <w:b/>
                <w:color w:val="auto"/>
                <w:szCs w:val="21"/>
                <w:highlight w:val="none"/>
              </w:rPr>
              <w:fldChar w:fldCharType="end"/>
            </w:r>
          </w:p>
        </w:tc>
      </w:tr>
      <w:tr w14:paraId="2AA733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54559AE7">
            <w:pPr>
              <w:ind w:left="-424" w:leftChars="-202" w:firstLine="420"/>
              <w:jc w:val="center"/>
              <w:rPr>
                <w:rFonts w:hint="eastAsia" w:ascii="宋体" w:hAnsi="宋体" w:eastAsia="宋体" w:cs="Times New Roman"/>
                <w:color w:val="auto"/>
                <w:highlight w:val="none"/>
                <w:lang w:eastAsia="zh-CN"/>
              </w:rPr>
            </w:pPr>
            <w:r>
              <w:rPr>
                <w:rFonts w:hint="eastAsia" w:ascii="宋体" w:hAnsi="宋体" w:cs="Times New Roman"/>
                <w:color w:val="auto"/>
                <w:highlight w:val="none"/>
                <w:lang w:val="en-US" w:eastAsia="zh-CN"/>
              </w:rPr>
              <w:t>9</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199859D5">
            <w:pPr>
              <w:autoSpaceDE w:val="0"/>
              <w:autoSpaceDN w:val="0"/>
              <w:snapToGrid w:val="0"/>
              <w:spacing w:line="340" w:lineRule="exact"/>
              <w:ind w:firstLine="0" w:firstLineChars="0"/>
              <w:textAlignment w:val="bottom"/>
              <w:rPr>
                <w:rFonts w:ascii="宋体" w:hAnsi="宋体" w:eastAsia="宋体" w:cs="Times New Roman"/>
                <w:color w:val="auto"/>
                <w:szCs w:val="21"/>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w:instrText>
            </w:r>
            <w:r>
              <w:rPr>
                <w:rFonts w:hint="eastAsia" w:ascii="宋体" w:hAnsi="宋体" w:eastAsia="宋体" w:cs="Times New Roman"/>
                <w:color w:val="auto"/>
                <w:szCs w:val="21"/>
                <w:highlight w:val="none"/>
              </w:rPr>
              <w:instrText xml:space="preserve">HYPERLINK </w:instrText>
            </w:r>
            <w:r>
              <w:rPr>
                <w:rFonts w:ascii="宋体" w:hAnsi="宋体" w:eastAsia="宋体" w:cs="Times New Roman"/>
                <w:color w:val="auto"/>
                <w:szCs w:val="21"/>
                <w:highlight w:val="none"/>
              </w:rPr>
              <w:instrText xml:space="preserve"> \l "_五、评标" </w:instrText>
            </w:r>
            <w:r>
              <w:rPr>
                <w:rFonts w:ascii="宋体" w:hAnsi="宋体" w:eastAsia="宋体" w:cs="Times New Roman"/>
                <w:color w:val="auto"/>
                <w:szCs w:val="21"/>
                <w:highlight w:val="none"/>
              </w:rPr>
              <w:fldChar w:fldCharType="separate"/>
            </w:r>
            <w:r>
              <w:rPr>
                <w:rStyle w:val="60"/>
                <w:rFonts w:hint="eastAsia" w:ascii="宋体" w:hAnsi="宋体"/>
                <w:color w:val="auto"/>
                <w:szCs w:val="21"/>
                <w:highlight w:val="none"/>
                <w:u w:val="none"/>
              </w:rPr>
              <w:t>评标</w:t>
            </w:r>
            <w:bookmarkStart w:id="65" w:name="_Hlt111715137"/>
            <w:bookmarkStart w:id="66" w:name="_Hlt111715136"/>
            <w:r>
              <w:rPr>
                <w:rStyle w:val="60"/>
                <w:rFonts w:hint="eastAsia" w:ascii="宋体" w:hAnsi="宋体"/>
                <w:color w:val="auto"/>
                <w:szCs w:val="21"/>
                <w:highlight w:val="none"/>
                <w:u w:val="none"/>
              </w:rPr>
              <w:t>方</w:t>
            </w:r>
            <w:bookmarkEnd w:id="65"/>
            <w:bookmarkEnd w:id="66"/>
            <w:r>
              <w:rPr>
                <w:rStyle w:val="60"/>
                <w:rFonts w:hint="eastAsia" w:ascii="宋体" w:hAnsi="宋体"/>
                <w:color w:val="auto"/>
                <w:szCs w:val="21"/>
                <w:highlight w:val="none"/>
                <w:u w:val="none"/>
              </w:rPr>
              <w:t>法：</w:t>
            </w:r>
            <w:r>
              <w:rPr>
                <w:rStyle w:val="60"/>
                <w:rFonts w:hint="eastAsia" w:ascii="宋体" w:hAnsi="宋体"/>
                <w:color w:val="auto"/>
                <w:highlight w:val="none"/>
                <w:u w:val="none"/>
              </w:rPr>
              <w:t>综合评分法</w:t>
            </w:r>
            <w:r>
              <w:rPr>
                <w:rFonts w:ascii="宋体" w:hAnsi="宋体" w:eastAsia="宋体" w:cs="Times New Roman"/>
                <w:color w:val="auto"/>
                <w:szCs w:val="21"/>
                <w:highlight w:val="none"/>
              </w:rPr>
              <w:fldChar w:fldCharType="end"/>
            </w:r>
          </w:p>
        </w:tc>
      </w:tr>
      <w:tr w14:paraId="00FF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noWrap w:val="0"/>
            <w:vAlign w:val="center"/>
          </w:tcPr>
          <w:p w14:paraId="26561A9C">
            <w:pPr>
              <w:ind w:left="-424" w:leftChars="-202" w:firstLine="420"/>
              <w:jc w:val="center"/>
              <w:rPr>
                <w:rFonts w:hint="default" w:ascii="宋体" w:hAnsi="宋体" w:eastAsia="宋体" w:cs="Times New Roman"/>
                <w:color w:val="auto"/>
                <w:highlight w:val="none"/>
                <w:lang w:val="en-US" w:eastAsia="zh-CN"/>
              </w:rPr>
            </w:pPr>
            <w:r>
              <w:rPr>
                <w:rFonts w:hint="eastAsia" w:ascii="宋体" w:hAnsi="宋体" w:cs="Times New Roman"/>
                <w:color w:val="auto"/>
                <w:highlight w:val="none"/>
                <w:lang w:val="en-US" w:eastAsia="zh-CN"/>
              </w:rPr>
              <w:t>10</w:t>
            </w:r>
          </w:p>
        </w:tc>
        <w:tc>
          <w:tcPr>
            <w:tcW w:w="9214" w:type="dxa"/>
            <w:noWrap w:val="0"/>
            <w:vAlign w:val="center"/>
          </w:tcPr>
          <w:p w14:paraId="0148EC4E">
            <w:pPr>
              <w:pStyle w:val="29"/>
              <w:spacing w:line="340" w:lineRule="exact"/>
              <w:ind w:firstLine="8" w:firstLineChars="4"/>
              <w:rPr>
                <w:rFonts w:hAnsi="宋体"/>
                <w:color w:val="auto"/>
                <w:highlight w:val="none"/>
              </w:rPr>
            </w:pPr>
            <w:r>
              <w:rPr>
                <w:rFonts w:hAnsi="宋体"/>
                <w:color w:val="auto"/>
                <w:highlight w:val="none"/>
              </w:rPr>
              <w:fldChar w:fldCharType="begin"/>
            </w:r>
            <w:r>
              <w:rPr>
                <w:rFonts w:hAnsi="宋体"/>
                <w:color w:val="auto"/>
                <w:highlight w:val="none"/>
              </w:rPr>
              <w:instrText xml:space="preserve"> </w:instrText>
            </w:r>
            <w:r>
              <w:rPr>
                <w:rFonts w:hint="eastAsia" w:hAnsi="宋体"/>
                <w:color w:val="auto"/>
                <w:highlight w:val="none"/>
              </w:rPr>
              <w:instrText xml:space="preserve">HYPERLINK </w:instrText>
            </w:r>
            <w:r>
              <w:rPr>
                <w:rFonts w:hAnsi="宋体"/>
                <w:color w:val="auto"/>
                <w:highlight w:val="none"/>
              </w:rPr>
              <w:instrText xml:space="preserve"> \l "_九、其他事项" </w:instrText>
            </w:r>
            <w:r>
              <w:rPr>
                <w:rFonts w:hAnsi="宋体"/>
                <w:color w:val="auto"/>
                <w:highlight w:val="none"/>
              </w:rPr>
              <w:fldChar w:fldCharType="separate"/>
            </w:r>
            <w:r>
              <w:rPr>
                <w:rStyle w:val="60"/>
                <w:rFonts w:hint="eastAsia" w:hAnsi="宋体"/>
                <w:color w:val="auto"/>
                <w:highlight w:val="none"/>
                <w:u w:val="none"/>
              </w:rPr>
              <w:t>代理服务费：本中心按钦州市物价局“钦市价费〔2013〕4号”文件规定向中标人收取代理服务费。中标人应向本中心一次性付清代理服务费。</w:t>
            </w:r>
            <w:r>
              <w:rPr>
                <w:rFonts w:hAnsi="宋体"/>
                <w:color w:val="auto"/>
                <w:highlight w:val="none"/>
              </w:rPr>
              <w:fldChar w:fldCharType="end"/>
            </w:r>
          </w:p>
        </w:tc>
      </w:tr>
    </w:tbl>
    <w:p w14:paraId="221BEA75">
      <w:pPr>
        <w:ind w:firstLine="0" w:firstLineChars="0"/>
        <w:jc w:val="left"/>
        <w:rPr>
          <w:rFonts w:ascii="宋体" w:hAnsi="宋体"/>
          <w:color w:val="auto"/>
          <w:highlight w:val="none"/>
        </w:rPr>
      </w:pPr>
      <w:r>
        <w:rPr>
          <w:rFonts w:ascii="宋体" w:hAnsi="宋体"/>
          <w:color w:val="auto"/>
          <w:highlight w:val="none"/>
        </w:rPr>
        <w:br w:type="page"/>
      </w:r>
      <w:bookmarkStart w:id="67" w:name="_Toc352578861"/>
      <w:bookmarkStart w:id="68" w:name="_Toc352578843"/>
      <w:bookmarkStart w:id="69" w:name="_Toc352578891"/>
      <w:bookmarkStart w:id="70" w:name="_Toc353785275"/>
      <w:bookmarkStart w:id="71" w:name="_Toc352700405"/>
    </w:p>
    <w:p w14:paraId="03D9F9A4">
      <w:pPr>
        <w:spacing w:line="520" w:lineRule="exact"/>
        <w:ind w:firstLine="0" w:firstLineChars="0"/>
        <w:jc w:val="center"/>
        <w:rPr>
          <w:rFonts w:ascii="宋体" w:hAnsi="宋体"/>
          <w:b/>
          <w:color w:val="auto"/>
          <w:sz w:val="44"/>
          <w:szCs w:val="44"/>
          <w:highlight w:val="none"/>
        </w:rPr>
      </w:pPr>
      <w:bookmarkStart w:id="72" w:name="_Hlk92374740"/>
      <w:r>
        <w:rPr>
          <w:rFonts w:hint="eastAsia" w:ascii="宋体" w:hAnsi="宋体"/>
          <w:b/>
          <w:color w:val="auto"/>
          <w:sz w:val="44"/>
          <w:szCs w:val="44"/>
          <w:highlight w:val="none"/>
        </w:rPr>
        <w:t>投标人须知</w:t>
      </w:r>
      <w:bookmarkEnd w:id="67"/>
      <w:bookmarkEnd w:id="68"/>
      <w:bookmarkEnd w:id="69"/>
      <w:bookmarkEnd w:id="70"/>
      <w:bookmarkEnd w:id="71"/>
    </w:p>
    <w:p w14:paraId="273A92DF">
      <w:pPr>
        <w:pStyle w:val="3"/>
        <w:spacing w:before="0" w:after="0" w:line="400" w:lineRule="exact"/>
        <w:ind w:firstLine="0" w:firstLineChars="0"/>
        <w:rPr>
          <w:rFonts w:hint="eastAsia" w:ascii="宋体" w:hAnsi="宋体" w:eastAsia="宋体"/>
          <w:color w:val="auto"/>
          <w:sz w:val="24"/>
          <w:szCs w:val="24"/>
          <w:highlight w:val="none"/>
        </w:rPr>
      </w:pPr>
      <w:bookmarkStart w:id="73" w:name="_一、总__则"/>
      <w:bookmarkEnd w:id="73"/>
      <w:bookmarkStart w:id="74" w:name="_Toc352700406"/>
      <w:bookmarkStart w:id="75" w:name="_Toc353785276"/>
      <w:r>
        <w:rPr>
          <w:rFonts w:hint="eastAsia" w:ascii="宋体" w:hAnsi="宋体" w:eastAsia="宋体"/>
          <w:color w:val="auto"/>
          <w:sz w:val="24"/>
          <w:szCs w:val="24"/>
          <w:highlight w:val="none"/>
        </w:rPr>
        <w:t>一、总  则</w:t>
      </w:r>
      <w:bookmarkEnd w:id="74"/>
      <w:bookmarkEnd w:id="75"/>
    </w:p>
    <w:p w14:paraId="695D7301">
      <w:pPr>
        <w:ind w:firstLine="211" w:firstLineChars="100"/>
        <w:rPr>
          <w:rFonts w:ascii="宋体" w:hAnsi="宋体"/>
          <w:b/>
          <w:bCs/>
          <w:color w:val="auto"/>
          <w:highlight w:val="none"/>
        </w:rPr>
      </w:pPr>
      <w:r>
        <w:rPr>
          <w:rFonts w:hint="eastAsia" w:ascii="宋体" w:hAnsi="宋体"/>
          <w:b/>
          <w:bCs/>
          <w:color w:val="auto"/>
          <w:highlight w:val="none"/>
        </w:rPr>
        <w:t>(一)适用范围</w:t>
      </w:r>
    </w:p>
    <w:p w14:paraId="03B59BE5">
      <w:pPr>
        <w:ind w:firstLine="420"/>
        <w:rPr>
          <w:rFonts w:hint="eastAsia" w:ascii="宋体" w:hAnsi="宋体" w:eastAsia="宋体"/>
          <w:color w:val="auto"/>
          <w:highlight w:val="none"/>
          <w:lang w:eastAsia="zh-CN"/>
        </w:rPr>
      </w:pPr>
      <w:bookmarkStart w:id="76" w:name="_Toc352700408"/>
      <w:bookmarkStart w:id="77" w:name="_Toc254970669"/>
      <w:bookmarkStart w:id="78" w:name="_Toc353785278"/>
      <w:bookmarkStart w:id="79" w:name="_Toc254970528"/>
      <w:r>
        <w:rPr>
          <w:rFonts w:hint="eastAsia" w:ascii="宋体" w:hAnsi="宋体"/>
          <w:color w:val="auto"/>
          <w:highlight w:val="none"/>
        </w:rPr>
        <w:t>1</w:t>
      </w:r>
      <w:r>
        <w:rPr>
          <w:rFonts w:ascii="宋体" w:hAnsi="宋体"/>
          <w:color w:val="auto"/>
          <w:highlight w:val="none"/>
        </w:rPr>
        <w:t>.</w:t>
      </w:r>
      <w:r>
        <w:rPr>
          <w:rFonts w:hint="eastAsia" w:ascii="宋体" w:hAnsi="宋体"/>
          <w:color w:val="auto"/>
          <w:highlight w:val="none"/>
        </w:rPr>
        <w:t>项目名称：</w:t>
      </w:r>
      <w:r>
        <w:rPr>
          <w:rFonts w:hint="eastAsia" w:ascii="宋体" w:hAnsi="宋体"/>
          <w:color w:val="auto"/>
          <w:highlight w:val="none"/>
          <w:lang w:eastAsia="zh-CN"/>
        </w:rPr>
        <w:t>灵山县发展和改革局灵山县电子政务外网服务</w:t>
      </w:r>
    </w:p>
    <w:p w14:paraId="306E38E8">
      <w:pPr>
        <w:ind w:firstLine="420"/>
        <w:rPr>
          <w:rFonts w:hint="eastAsia" w:ascii="宋体" w:hAnsi="宋体" w:eastAsia="宋体"/>
          <w:color w:val="auto"/>
          <w:highlight w:val="none"/>
          <w:lang w:eastAsia="zh-CN"/>
        </w:rPr>
      </w:pPr>
      <w:r>
        <w:rPr>
          <w:rFonts w:ascii="宋体" w:hAnsi="宋体"/>
          <w:color w:val="auto"/>
          <w:highlight w:val="none"/>
        </w:rPr>
        <w:t>2.</w:t>
      </w:r>
      <w:r>
        <w:rPr>
          <w:rFonts w:hint="eastAsia" w:ascii="宋体" w:hAnsi="宋体"/>
          <w:color w:val="auto"/>
          <w:highlight w:val="none"/>
        </w:rPr>
        <w:t>项目编号：</w:t>
      </w:r>
      <w:r>
        <w:rPr>
          <w:rFonts w:hint="eastAsia" w:ascii="宋体" w:hAnsi="宋体"/>
          <w:color w:val="auto"/>
          <w:highlight w:val="none"/>
          <w:lang w:eastAsia="zh-CN"/>
        </w:rPr>
        <w:t>QZZC2025-G3-210251-QZSZ</w:t>
      </w:r>
    </w:p>
    <w:p w14:paraId="62B32A67">
      <w:pPr>
        <w:ind w:firstLine="420"/>
        <w:rPr>
          <w:rFonts w:ascii="宋体" w:hAnsi="宋体"/>
          <w:color w:val="auto"/>
          <w:highlight w:val="none"/>
        </w:rPr>
      </w:pPr>
      <w:r>
        <w:rPr>
          <w:rFonts w:hint="eastAsia" w:ascii="宋体" w:hAnsi="宋体"/>
          <w:color w:val="auto"/>
          <w:highlight w:val="none"/>
        </w:rPr>
        <w:t>本招标文件仅适用于上述项目的招标、投标、评标、定标、验收、合同履约、付款等行为(法律、法规另有规定的，从其规定)。</w:t>
      </w:r>
    </w:p>
    <w:p w14:paraId="1BD014D8">
      <w:pPr>
        <w:ind w:firstLine="211" w:firstLineChars="100"/>
        <w:rPr>
          <w:rFonts w:ascii="宋体" w:hAnsi="宋体"/>
          <w:b/>
          <w:bCs/>
          <w:color w:val="auto"/>
          <w:highlight w:val="none"/>
        </w:rPr>
      </w:pPr>
      <w:r>
        <w:rPr>
          <w:rFonts w:hint="eastAsia" w:ascii="宋体" w:hAnsi="宋体"/>
          <w:b/>
          <w:bCs/>
          <w:color w:val="auto"/>
          <w:highlight w:val="none"/>
        </w:rPr>
        <w:t>(二)定义</w:t>
      </w:r>
      <w:bookmarkEnd w:id="76"/>
      <w:bookmarkEnd w:id="77"/>
      <w:bookmarkEnd w:id="78"/>
      <w:bookmarkEnd w:id="79"/>
    </w:p>
    <w:p w14:paraId="25C38A56">
      <w:pPr>
        <w:pStyle w:val="29"/>
        <w:snapToGrid w:val="0"/>
        <w:ind w:firstLine="420"/>
        <w:rPr>
          <w:rFonts w:hAnsi="宋体"/>
          <w:color w:val="auto"/>
          <w:highlight w:val="none"/>
        </w:rPr>
      </w:pPr>
      <w:bookmarkStart w:id="80" w:name="_Hlk92374304"/>
      <w:r>
        <w:rPr>
          <w:rFonts w:hAnsi="宋体"/>
          <w:bCs/>
          <w:color w:val="auto"/>
          <w:highlight w:val="none"/>
        </w:rPr>
        <w:t>1.</w:t>
      </w:r>
      <w:r>
        <w:rPr>
          <w:rFonts w:hint="eastAsia" w:hAnsi="宋体"/>
          <w:bCs/>
          <w:color w:val="auto"/>
          <w:highlight w:val="none"/>
        </w:rPr>
        <w:t>“采购人”系指</w:t>
      </w:r>
      <w:r>
        <w:rPr>
          <w:rFonts w:hAnsi="宋体"/>
          <w:color w:val="auto"/>
          <w:highlight w:val="none"/>
        </w:rPr>
        <w:t>依法进行政府采购的国家机关、事业单位、团体组织</w:t>
      </w:r>
    </w:p>
    <w:p w14:paraId="70944B2D">
      <w:pPr>
        <w:pStyle w:val="29"/>
        <w:snapToGrid w:val="0"/>
        <w:ind w:firstLine="420"/>
        <w:rPr>
          <w:rFonts w:hAnsi="宋体"/>
          <w:bCs/>
          <w:color w:val="auto"/>
          <w:highlight w:val="none"/>
        </w:rPr>
      </w:pPr>
      <w:r>
        <w:rPr>
          <w:rFonts w:hAnsi="宋体"/>
          <w:bCs/>
          <w:color w:val="auto"/>
          <w:highlight w:val="none"/>
        </w:rPr>
        <w:t>2.</w:t>
      </w:r>
      <w:r>
        <w:rPr>
          <w:rFonts w:hint="eastAsia" w:hAnsi="宋体"/>
          <w:bCs/>
          <w:color w:val="auto"/>
          <w:highlight w:val="none"/>
        </w:rPr>
        <w:t>“投标人”系指向招标方提交投标文件的单位或自然人。</w:t>
      </w:r>
    </w:p>
    <w:p w14:paraId="59340CDC">
      <w:pPr>
        <w:pStyle w:val="29"/>
        <w:snapToGrid w:val="0"/>
        <w:ind w:firstLine="420"/>
        <w:rPr>
          <w:rFonts w:hAnsi="宋体"/>
          <w:bCs/>
          <w:color w:val="auto"/>
          <w:highlight w:val="none"/>
        </w:rPr>
      </w:pPr>
      <w:r>
        <w:rPr>
          <w:rFonts w:hAnsi="宋体"/>
          <w:bCs/>
          <w:color w:val="auto"/>
          <w:highlight w:val="none"/>
        </w:rPr>
        <w:t>3.</w:t>
      </w:r>
      <w:r>
        <w:rPr>
          <w:rFonts w:hint="eastAsia" w:hAnsi="宋体"/>
          <w:bCs/>
          <w:color w:val="auto"/>
          <w:highlight w:val="none"/>
        </w:rPr>
        <w:t>“采购代理机构”系指组织本次招标的钦州市政府采购中心(以下简称“本中心)。</w:t>
      </w:r>
    </w:p>
    <w:p w14:paraId="4160B63C">
      <w:pPr>
        <w:pStyle w:val="29"/>
        <w:snapToGrid w:val="0"/>
        <w:ind w:firstLine="420"/>
        <w:rPr>
          <w:rFonts w:hAnsi="宋体"/>
          <w:bCs/>
          <w:color w:val="auto"/>
          <w:highlight w:val="none"/>
        </w:rPr>
      </w:pPr>
      <w:r>
        <w:rPr>
          <w:rFonts w:hAnsi="宋体"/>
          <w:bCs/>
          <w:color w:val="auto"/>
          <w:highlight w:val="none"/>
        </w:rPr>
        <w:t>4.</w:t>
      </w:r>
      <w:r>
        <w:rPr>
          <w:rFonts w:hint="eastAsia" w:hAnsi="宋体"/>
          <w:bCs/>
          <w:color w:val="auto"/>
          <w:highlight w:val="none"/>
        </w:rPr>
        <w:t>“货物”系指各种形态和种类的物品，包括原材料、燃料、设备、产品等。</w:t>
      </w:r>
    </w:p>
    <w:p w14:paraId="1B897EA7">
      <w:pPr>
        <w:pStyle w:val="29"/>
        <w:snapToGrid w:val="0"/>
        <w:ind w:firstLine="420"/>
        <w:rPr>
          <w:rFonts w:hAnsi="宋体"/>
          <w:bCs/>
          <w:color w:val="auto"/>
          <w:highlight w:val="none"/>
        </w:rPr>
      </w:pPr>
      <w:r>
        <w:rPr>
          <w:rFonts w:hAnsi="宋体"/>
          <w:bCs/>
          <w:color w:val="auto"/>
          <w:highlight w:val="none"/>
        </w:rPr>
        <w:t>5.</w:t>
      </w:r>
      <w:r>
        <w:rPr>
          <w:rFonts w:hint="eastAsia" w:hAnsi="宋体"/>
          <w:bCs/>
          <w:color w:val="auto"/>
          <w:highlight w:val="none"/>
        </w:rPr>
        <w:t>“服务”系指除货物和工程以外的其他政府采购对象。</w:t>
      </w:r>
    </w:p>
    <w:p w14:paraId="2F55D010">
      <w:pPr>
        <w:pStyle w:val="29"/>
        <w:snapToGrid w:val="0"/>
        <w:ind w:firstLine="420"/>
        <w:rPr>
          <w:rFonts w:hAnsi="宋体"/>
          <w:bCs/>
          <w:color w:val="auto"/>
          <w:highlight w:val="none"/>
        </w:rPr>
      </w:pPr>
      <w:r>
        <w:rPr>
          <w:rFonts w:hAnsi="宋体"/>
          <w:bCs/>
          <w:color w:val="auto"/>
          <w:highlight w:val="none"/>
        </w:rPr>
        <w:t>6.</w:t>
      </w:r>
      <w:r>
        <w:rPr>
          <w:rFonts w:hint="eastAsia" w:hAnsi="宋体"/>
          <w:bCs/>
          <w:color w:val="auto"/>
          <w:highlight w:val="none"/>
        </w:rPr>
        <w:t>“项目”系指投标人按招标文件规定向采购人提供的产品和服务。</w:t>
      </w:r>
    </w:p>
    <w:p w14:paraId="2A52D67F">
      <w:pPr>
        <w:pStyle w:val="29"/>
        <w:snapToGrid w:val="0"/>
        <w:ind w:firstLine="420"/>
        <w:rPr>
          <w:rFonts w:hAnsi="宋体"/>
          <w:bCs/>
          <w:color w:val="auto"/>
          <w:highlight w:val="none"/>
        </w:rPr>
      </w:pPr>
      <w:r>
        <w:rPr>
          <w:rFonts w:hAnsi="宋体"/>
          <w:bCs/>
          <w:color w:val="auto"/>
          <w:highlight w:val="none"/>
        </w:rPr>
        <w:t>7.</w:t>
      </w:r>
      <w:r>
        <w:rPr>
          <w:rFonts w:hint="eastAsia" w:hAnsi="宋体"/>
          <w:bCs/>
          <w:color w:val="auto"/>
          <w:highlight w:val="none"/>
        </w:rPr>
        <w:t>“书面形式”</w:t>
      </w:r>
      <w:bookmarkEnd w:id="80"/>
      <w:r>
        <w:rPr>
          <w:rFonts w:hint="eastAsia" w:hAnsi="宋体"/>
          <w:bCs/>
          <w:color w:val="auto"/>
          <w:highlight w:val="none"/>
        </w:rPr>
        <w:t>是合同书、信件、电报、电传、传真等可以有形地表现所载内容的形式。</w:t>
      </w:r>
    </w:p>
    <w:p w14:paraId="6C4AFD62">
      <w:pPr>
        <w:ind w:firstLine="211" w:firstLineChars="100"/>
        <w:rPr>
          <w:rFonts w:ascii="宋体" w:hAnsi="宋体"/>
          <w:b/>
          <w:bCs/>
          <w:color w:val="auto"/>
          <w:highlight w:val="none"/>
        </w:rPr>
      </w:pPr>
      <w:bookmarkStart w:id="81" w:name="_Toc353785279"/>
      <w:r>
        <w:rPr>
          <w:rFonts w:hint="eastAsia" w:ascii="宋体" w:hAnsi="宋体"/>
          <w:b/>
          <w:bCs/>
          <w:color w:val="auto"/>
          <w:highlight w:val="none"/>
        </w:rPr>
        <w:t>(三)投标人资格</w:t>
      </w:r>
      <w:bookmarkEnd w:id="81"/>
    </w:p>
    <w:p w14:paraId="0C4A0003">
      <w:pPr>
        <w:ind w:firstLine="420"/>
        <w:rPr>
          <w:rFonts w:hint="eastAsia" w:ascii="宋体" w:hAnsi="宋体"/>
          <w:color w:val="auto"/>
        </w:rPr>
      </w:pPr>
      <w:bookmarkStart w:id="82" w:name="_Toc254970529"/>
      <w:bookmarkStart w:id="83" w:name="_Toc352700409"/>
      <w:bookmarkStart w:id="84" w:name="_Toc353785280"/>
      <w:bookmarkStart w:id="85" w:name="_Toc254970670"/>
      <w:bookmarkStart w:id="86" w:name="_Hlk92444465"/>
      <w:r>
        <w:rPr>
          <w:rFonts w:hint="eastAsia" w:ascii="宋体" w:hAnsi="宋体" w:cs="Courier New"/>
          <w:bCs/>
          <w:color w:val="auto"/>
          <w:szCs w:val="21"/>
        </w:rPr>
        <w:t>投标人的资格要求详见“投标人须知前附表”。</w:t>
      </w:r>
    </w:p>
    <w:p w14:paraId="319391CE">
      <w:pPr>
        <w:ind w:firstLine="211" w:firstLineChars="100"/>
        <w:rPr>
          <w:rFonts w:ascii="宋体" w:hAnsi="宋体"/>
          <w:b/>
          <w:bCs/>
          <w:color w:val="auto"/>
          <w:highlight w:val="none"/>
        </w:rPr>
      </w:pPr>
      <w:r>
        <w:rPr>
          <w:rFonts w:hint="eastAsia" w:ascii="宋体" w:hAnsi="宋体"/>
          <w:b/>
          <w:bCs/>
          <w:color w:val="auto"/>
          <w:highlight w:val="none"/>
        </w:rPr>
        <w:t>(四)采购方式</w:t>
      </w:r>
      <w:bookmarkEnd w:id="82"/>
      <w:bookmarkEnd w:id="83"/>
      <w:bookmarkEnd w:id="84"/>
      <w:bookmarkEnd w:id="85"/>
    </w:p>
    <w:p w14:paraId="082451E6">
      <w:pPr>
        <w:snapToGrid w:val="0"/>
        <w:ind w:firstLine="420"/>
        <w:rPr>
          <w:rFonts w:ascii="宋体" w:hAnsi="宋体"/>
          <w:color w:val="auto"/>
          <w:szCs w:val="21"/>
          <w:highlight w:val="none"/>
        </w:rPr>
      </w:pPr>
      <w:r>
        <w:rPr>
          <w:rFonts w:hint="eastAsia" w:ascii="宋体" w:hAnsi="宋体"/>
          <w:color w:val="auto"/>
          <w:szCs w:val="21"/>
          <w:highlight w:val="none"/>
        </w:rPr>
        <w:t>公开招标方式。</w:t>
      </w:r>
    </w:p>
    <w:p w14:paraId="66277109">
      <w:pPr>
        <w:ind w:firstLine="211" w:firstLineChars="100"/>
        <w:rPr>
          <w:rFonts w:ascii="宋体" w:hAnsi="宋体"/>
          <w:b/>
          <w:bCs/>
          <w:color w:val="auto"/>
          <w:highlight w:val="none"/>
        </w:rPr>
      </w:pPr>
      <w:bookmarkStart w:id="87" w:name="_Toc254970530"/>
      <w:bookmarkStart w:id="88" w:name="_Toc353785281"/>
      <w:bookmarkStart w:id="89" w:name="_Toc352700410"/>
      <w:bookmarkStart w:id="90" w:name="_Toc254970671"/>
      <w:r>
        <w:rPr>
          <w:rFonts w:hint="eastAsia" w:ascii="宋体" w:hAnsi="宋体"/>
          <w:b/>
          <w:bCs/>
          <w:color w:val="auto"/>
          <w:highlight w:val="none"/>
        </w:rPr>
        <w:t>(五)投标委托</w:t>
      </w:r>
      <w:bookmarkEnd w:id="87"/>
      <w:bookmarkEnd w:id="88"/>
      <w:bookmarkEnd w:id="89"/>
      <w:bookmarkEnd w:id="90"/>
    </w:p>
    <w:p w14:paraId="3240045B">
      <w:pPr>
        <w:pStyle w:val="29"/>
        <w:snapToGrid w:val="0"/>
        <w:ind w:firstLine="420"/>
        <w:rPr>
          <w:rFonts w:hAnsi="宋体"/>
          <w:bCs/>
          <w:color w:val="auto"/>
          <w:highlight w:val="none"/>
        </w:rPr>
      </w:pPr>
      <w:r>
        <w:rPr>
          <w:rFonts w:hint="eastAsia" w:hAnsi="宋体"/>
          <w:bCs/>
          <w:color w:val="auto"/>
          <w:highlight w:val="none"/>
        </w:rPr>
        <w:t>委托投标的投标人须提供授权委托书(格式见第六章)。</w:t>
      </w:r>
    </w:p>
    <w:p w14:paraId="25A1152B">
      <w:pPr>
        <w:ind w:firstLine="211" w:firstLineChars="100"/>
        <w:rPr>
          <w:rFonts w:ascii="宋体" w:hAnsi="宋体"/>
          <w:b/>
          <w:bCs/>
          <w:color w:val="auto"/>
          <w:highlight w:val="none"/>
        </w:rPr>
      </w:pPr>
      <w:bookmarkStart w:id="91" w:name="_Toc353785282"/>
      <w:bookmarkStart w:id="92" w:name="_Toc254970531"/>
      <w:bookmarkStart w:id="93" w:name="_Toc352700411"/>
      <w:bookmarkStart w:id="94" w:name="_Toc254970672"/>
      <w:r>
        <w:rPr>
          <w:rFonts w:hint="eastAsia" w:ascii="宋体" w:hAnsi="宋体"/>
          <w:b/>
          <w:bCs/>
          <w:color w:val="auto"/>
          <w:highlight w:val="none"/>
        </w:rPr>
        <w:t>(六)投标费用</w:t>
      </w:r>
      <w:bookmarkEnd w:id="91"/>
      <w:bookmarkEnd w:id="92"/>
      <w:bookmarkEnd w:id="93"/>
      <w:bookmarkEnd w:id="94"/>
    </w:p>
    <w:p w14:paraId="769472DF">
      <w:pPr>
        <w:snapToGrid w:val="0"/>
        <w:ind w:firstLine="420"/>
        <w:rPr>
          <w:rFonts w:ascii="宋体" w:hAnsi="宋体"/>
          <w:color w:val="auto"/>
          <w:szCs w:val="21"/>
          <w:highlight w:val="none"/>
        </w:rPr>
      </w:pPr>
      <w:r>
        <w:rPr>
          <w:rFonts w:hint="eastAsia" w:ascii="宋体" w:hAnsi="宋体"/>
          <w:color w:val="auto"/>
          <w:szCs w:val="21"/>
          <w:highlight w:val="none"/>
        </w:rPr>
        <w:t>投标人自行承担所有与投标有关的全部费用。</w:t>
      </w:r>
    </w:p>
    <w:p w14:paraId="563E98B1">
      <w:pPr>
        <w:ind w:firstLine="211" w:firstLineChars="100"/>
        <w:rPr>
          <w:rFonts w:ascii="宋体" w:hAnsi="宋体"/>
          <w:b/>
          <w:bCs/>
          <w:color w:val="auto"/>
          <w:highlight w:val="none"/>
        </w:rPr>
      </w:pPr>
      <w:bookmarkStart w:id="95" w:name="_Toc352700413"/>
      <w:bookmarkStart w:id="96" w:name="_Toc353785283"/>
      <w:r>
        <w:rPr>
          <w:rFonts w:hint="eastAsia" w:ascii="宋体" w:hAnsi="宋体"/>
          <w:b/>
          <w:bCs/>
          <w:color w:val="auto"/>
          <w:highlight w:val="none"/>
        </w:rPr>
        <w:t>(七)转包与分包</w:t>
      </w:r>
      <w:bookmarkEnd w:id="95"/>
      <w:bookmarkEnd w:id="96"/>
    </w:p>
    <w:p w14:paraId="12FD7E5B">
      <w:pPr>
        <w:snapToGrid w:val="0"/>
        <w:ind w:firstLine="420"/>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本项目不允许转包。</w:t>
      </w:r>
    </w:p>
    <w:p w14:paraId="2CC3F776">
      <w:pPr>
        <w:snapToGrid w:val="0"/>
        <w:ind w:firstLine="420"/>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采购人允许采用分包方式履行合同的，应当在采购文件中明确可以分包履行的具体内容、金额或者比例。</w:t>
      </w:r>
    </w:p>
    <w:p w14:paraId="3A330A99">
      <w:pPr>
        <w:snapToGrid w:val="0"/>
        <w:ind w:firstLine="42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依据《政府采购促进中小企业发展管理办法》规定享受扶持政策获得政府采购合同的，小微企业不得将合同分包给大中型企业，中型企业不得将合同分包给大型企业。</w:t>
      </w:r>
    </w:p>
    <w:bookmarkEnd w:id="86"/>
    <w:p w14:paraId="1C57DE8A">
      <w:pPr>
        <w:ind w:firstLine="211" w:firstLineChars="100"/>
        <w:rPr>
          <w:rFonts w:ascii="宋体" w:hAnsi="宋体"/>
          <w:b/>
          <w:bCs/>
          <w:color w:val="auto"/>
          <w:highlight w:val="none"/>
        </w:rPr>
      </w:pPr>
      <w:bookmarkStart w:id="97" w:name="_Toc254970673"/>
      <w:bookmarkStart w:id="98" w:name="_Toc352700414"/>
      <w:bookmarkStart w:id="99" w:name="_Toc254970532"/>
      <w:bookmarkStart w:id="100" w:name="_Toc353785284"/>
      <w:bookmarkStart w:id="101" w:name="_Hlk92444771"/>
      <w:r>
        <w:rPr>
          <w:rFonts w:hint="eastAsia" w:ascii="宋体" w:hAnsi="宋体"/>
          <w:b/>
          <w:bCs/>
          <w:color w:val="auto"/>
          <w:highlight w:val="none"/>
        </w:rPr>
        <w:t>(八)特别说明：</w:t>
      </w:r>
      <w:bookmarkEnd w:id="97"/>
      <w:bookmarkEnd w:id="98"/>
      <w:bookmarkEnd w:id="99"/>
      <w:bookmarkEnd w:id="100"/>
    </w:p>
    <w:p w14:paraId="1DFD5EBA">
      <w:pPr>
        <w:ind w:firstLine="420"/>
        <w:rPr>
          <w:rFonts w:ascii="宋体" w:hAnsi="宋体"/>
          <w:color w:val="auto"/>
          <w:highlight w:val="none"/>
        </w:rPr>
      </w:pPr>
      <w:r>
        <w:rPr>
          <w:rFonts w:hint="eastAsia" w:ascii="宋体" w:hAnsi="宋体"/>
          <w:color w:val="auto"/>
          <w:highlight w:val="none"/>
        </w:rPr>
        <w:t>关联供应商不得参加同一合同项下政府采购活动，否则投标文件将被视为无效：</w:t>
      </w:r>
    </w:p>
    <w:p w14:paraId="626D4467">
      <w:pPr>
        <w:pStyle w:val="29"/>
        <w:snapToGrid w:val="0"/>
        <w:ind w:firstLine="420"/>
        <w:rPr>
          <w:rFonts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单位负责人为同一人或者存在直接控股、管理关系的不同的投标人，不得参加同一合同项下的政府采购活动。为采购项目提供整体设计、规范编制或者项目管理、监理、检测等服务的投标人，不得再参加该采购项目的其他采购活动。</w:t>
      </w:r>
    </w:p>
    <w:p w14:paraId="0534260D">
      <w:pPr>
        <w:pStyle w:val="29"/>
        <w:snapToGrid w:val="0"/>
        <w:ind w:firstLine="420"/>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color w:val="auto"/>
          <w:highlight w:val="none"/>
        </w:rPr>
        <w:t>为采购项目提供整体设计、规范编制或者项目管理、监理、检测等服务的投标人，不得再参加该采购项目的其他采购活动。</w:t>
      </w:r>
    </w:p>
    <w:p w14:paraId="7520F18D">
      <w:pPr>
        <w:ind w:firstLine="211" w:firstLineChars="100"/>
        <w:rPr>
          <w:rFonts w:ascii="宋体" w:hAnsi="宋体"/>
          <w:b/>
          <w:bCs/>
          <w:color w:val="auto"/>
          <w:highlight w:val="none"/>
        </w:rPr>
      </w:pPr>
      <w:bookmarkStart w:id="102" w:name="_Toc353785285"/>
      <w:bookmarkStart w:id="103" w:name="_Toc352700415"/>
      <w:bookmarkStart w:id="104" w:name="_Toc254970533"/>
      <w:bookmarkStart w:id="105" w:name="_Toc254970674"/>
      <w:r>
        <w:rPr>
          <w:rFonts w:hint="eastAsia" w:ascii="宋体" w:hAnsi="宋体"/>
          <w:b/>
          <w:bCs/>
          <w:color w:val="auto"/>
          <w:highlight w:val="none"/>
        </w:rPr>
        <w:t>(九)询问、质疑和投诉</w:t>
      </w:r>
      <w:bookmarkEnd w:id="102"/>
      <w:bookmarkEnd w:id="103"/>
      <w:bookmarkEnd w:id="104"/>
      <w:bookmarkEnd w:id="105"/>
    </w:p>
    <w:p w14:paraId="16E85E6D">
      <w:pPr>
        <w:pStyle w:val="29"/>
        <w:snapToGrid w:val="0"/>
        <w:ind w:firstLine="420"/>
        <w:rPr>
          <w:rFonts w:hAnsi="宋体"/>
          <w:bCs/>
          <w:color w:val="auto"/>
          <w:highlight w:val="none"/>
        </w:rPr>
      </w:pPr>
      <w:r>
        <w:rPr>
          <w:rFonts w:hAnsi="宋体"/>
          <w:bCs/>
          <w:color w:val="auto"/>
          <w:highlight w:val="none"/>
        </w:rPr>
        <w:t>1.</w:t>
      </w:r>
      <w:r>
        <w:rPr>
          <w:rFonts w:hint="eastAsia" w:hAnsi="宋体" w:cs="Arial"/>
          <w:color w:val="auto"/>
          <w:kern w:val="0"/>
          <w:highlight w:val="none"/>
        </w:rPr>
        <w:t>投标人</w:t>
      </w:r>
      <w:r>
        <w:rPr>
          <w:rFonts w:hAnsi="宋体" w:cs="Arial"/>
          <w:color w:val="auto"/>
          <w:kern w:val="0"/>
          <w:highlight w:val="none"/>
        </w:rPr>
        <w:t>对政府采购活动事项有疑问的，可以向采购人提出询问，采购人</w:t>
      </w:r>
      <w:r>
        <w:rPr>
          <w:rFonts w:hint="eastAsia" w:hAnsi="宋体" w:cs="Arial"/>
          <w:color w:val="auto"/>
          <w:kern w:val="0"/>
          <w:highlight w:val="none"/>
          <w:lang w:val="en-US" w:eastAsia="zh-CN"/>
        </w:rPr>
        <w:t>应</w:t>
      </w:r>
      <w:r>
        <w:rPr>
          <w:rFonts w:hint="eastAsia" w:hAnsi="宋体" w:cs="Arial"/>
          <w:color w:val="auto"/>
          <w:kern w:val="0"/>
          <w:highlight w:val="none"/>
        </w:rPr>
        <w:t>当在3个工作日内对投标人依法提出的询问作出答复</w:t>
      </w:r>
      <w:r>
        <w:rPr>
          <w:rFonts w:hAnsi="宋体" w:cs="Arial"/>
          <w:color w:val="auto"/>
          <w:kern w:val="0"/>
          <w:highlight w:val="none"/>
        </w:rPr>
        <w:t>，但答复的内容不得涉及商业秘密。</w:t>
      </w:r>
    </w:p>
    <w:p w14:paraId="349F939E">
      <w:pPr>
        <w:pStyle w:val="29"/>
        <w:snapToGrid w:val="0"/>
        <w:ind w:firstLine="420"/>
        <w:rPr>
          <w:rFonts w:hAnsi="宋体"/>
          <w:bCs/>
          <w:color w:val="auto"/>
          <w:highlight w:val="none"/>
        </w:rPr>
      </w:pPr>
      <w:r>
        <w:rPr>
          <w:rFonts w:hAnsi="宋体"/>
          <w:bCs/>
          <w:color w:val="auto"/>
          <w:highlight w:val="none"/>
        </w:rPr>
        <w:t>2.</w:t>
      </w:r>
      <w:r>
        <w:rPr>
          <w:rFonts w:hint="eastAsia" w:hAnsi="宋体"/>
          <w:bCs/>
          <w:color w:val="auto"/>
          <w:highlight w:val="none"/>
        </w:rPr>
        <w:t>投标人认为招标文件、招标过程或中标结果使自己的合法权益受到损害的，</w:t>
      </w:r>
      <w:r>
        <w:rPr>
          <w:rFonts w:hAnsi="宋体"/>
          <w:bCs/>
          <w:color w:val="auto"/>
          <w:highlight w:val="none"/>
        </w:rPr>
        <w:t>可以在知道或者应知其权益受到损害之日起7个工作日内</w:t>
      </w:r>
      <w:r>
        <w:rPr>
          <w:rFonts w:hint="eastAsia" w:hAnsi="宋体"/>
          <w:bCs/>
          <w:color w:val="auto"/>
          <w:highlight w:val="none"/>
        </w:rPr>
        <w:t>，</w:t>
      </w:r>
      <w:r>
        <w:rPr>
          <w:rFonts w:hAnsi="宋体" w:cs="Arial"/>
          <w:color w:val="auto"/>
          <w:highlight w:val="none"/>
        </w:rPr>
        <w:t>以书面形式</w:t>
      </w:r>
      <w:r>
        <w:rPr>
          <w:rFonts w:hint="eastAsia" w:hAnsi="宋体" w:cs="Arial"/>
          <w:color w:val="auto"/>
          <w:highlight w:val="none"/>
        </w:rPr>
        <w:t>(政采云平台)</w:t>
      </w:r>
      <w:r>
        <w:rPr>
          <w:rFonts w:hAnsi="宋体" w:cs="Arial"/>
          <w:color w:val="auto"/>
          <w:highlight w:val="none"/>
        </w:rPr>
        <w:t>向采购人提出质疑。</w:t>
      </w:r>
      <w:r>
        <w:rPr>
          <w:rFonts w:hint="eastAsia" w:hAnsi="宋体"/>
          <w:bCs/>
          <w:color w:val="auto"/>
          <w:highlight w:val="none"/>
        </w:rPr>
        <w:t>投标人必须在法定质疑期内一次性提出针对同一采购程序环节的质疑。</w:t>
      </w:r>
      <w:r>
        <w:rPr>
          <w:rFonts w:hint="eastAsia" w:hAnsi="宋体" w:cs="宋体"/>
          <w:color w:val="auto"/>
          <w:highlight w:val="none"/>
        </w:rPr>
        <w:t>投标人应知其权益受到损害之日，是指：</w:t>
      </w:r>
    </w:p>
    <w:p w14:paraId="7F440A48">
      <w:pPr>
        <w:pStyle w:val="29"/>
        <w:adjustRightInd w:val="0"/>
        <w:snapToGrid w:val="0"/>
        <w:ind w:firstLine="308" w:firstLineChars="147"/>
        <w:rPr>
          <w:rFonts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对招标文件提出质疑的，为获取招标文件之日；</w:t>
      </w:r>
    </w:p>
    <w:p w14:paraId="3BD03604">
      <w:pPr>
        <w:pStyle w:val="29"/>
        <w:adjustRightInd w:val="0"/>
        <w:snapToGrid w:val="0"/>
        <w:ind w:firstLine="308" w:firstLineChars="147"/>
        <w:rPr>
          <w:rFonts w:hint="eastAsia"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对招标过程提出质疑的，为各采购程序环节结束之日；</w:t>
      </w:r>
    </w:p>
    <w:p w14:paraId="1DCD45CA">
      <w:pPr>
        <w:widowControl/>
        <w:adjustRightInd w:val="0"/>
        <w:snapToGrid w:val="0"/>
        <w:ind w:firstLine="102" w:firstLineChars="49"/>
        <w:jc w:val="left"/>
        <w:rPr>
          <w:rFonts w:ascii="宋体" w:hAnsi="宋体" w:cs="Courier New"/>
          <w:bCs/>
          <w:color w:val="auto"/>
          <w:szCs w:val="21"/>
          <w:highlight w:val="none"/>
        </w:rPr>
      </w:pPr>
      <w:r>
        <w:rPr>
          <w:rFonts w:hint="eastAsia" w:ascii="宋体" w:hAnsi="宋体" w:cs="Courier New"/>
          <w:bCs/>
          <w:color w:val="auto"/>
          <w:szCs w:val="21"/>
          <w:highlight w:val="none"/>
        </w:rPr>
        <w:t xml:space="preserve">  (</w:t>
      </w:r>
      <w:r>
        <w:rPr>
          <w:rFonts w:ascii="宋体" w:hAnsi="宋体" w:cs="Courier New"/>
          <w:bCs/>
          <w:color w:val="auto"/>
          <w:szCs w:val="21"/>
          <w:highlight w:val="none"/>
        </w:rPr>
        <w:t>3)</w:t>
      </w:r>
      <w:r>
        <w:rPr>
          <w:rFonts w:hint="eastAsia" w:ascii="宋体" w:hAnsi="宋体" w:cs="Courier New"/>
          <w:bCs/>
          <w:color w:val="auto"/>
          <w:szCs w:val="21"/>
          <w:highlight w:val="none"/>
        </w:rPr>
        <w:t>对中标结果提出质疑的，为中标结果公告期限届满之日。</w:t>
      </w:r>
    </w:p>
    <w:p w14:paraId="0D134565">
      <w:pPr>
        <w:widowControl/>
        <w:adjustRightInd w:val="0"/>
        <w:snapToGrid w:val="0"/>
        <w:ind w:firstLine="420"/>
        <w:jc w:val="left"/>
        <w:rPr>
          <w:rFonts w:ascii="宋体" w:hAnsi="宋体" w:cs="Courier New"/>
          <w:bCs/>
          <w:color w:val="auto"/>
          <w:szCs w:val="21"/>
          <w:highlight w:val="none"/>
        </w:rPr>
      </w:pPr>
      <w:r>
        <w:rPr>
          <w:rFonts w:ascii="宋体" w:hAnsi="宋体" w:cs="Courier New"/>
          <w:bCs/>
          <w:color w:val="auto"/>
          <w:szCs w:val="21"/>
          <w:highlight w:val="none"/>
        </w:rPr>
        <w:t>3.</w:t>
      </w:r>
      <w:r>
        <w:rPr>
          <w:rFonts w:hint="eastAsia" w:ascii="宋体" w:hAnsi="宋体"/>
          <w:color w:val="auto"/>
          <w:highlight w:val="none"/>
        </w:rPr>
        <w:t>投标人对采购人质疑答复不满意或者采购人心未在规定时间内作出答复的，可以在答复期满后十五个工作日内向同级采购监管部门投诉。</w:t>
      </w:r>
    </w:p>
    <w:p w14:paraId="3D921A75">
      <w:pPr>
        <w:pStyle w:val="29"/>
        <w:snapToGrid w:val="0"/>
        <w:ind w:firstLine="420"/>
        <w:rPr>
          <w:rFonts w:hAnsi="宋体"/>
          <w:bCs/>
          <w:color w:val="auto"/>
          <w:highlight w:val="none"/>
        </w:rPr>
      </w:pPr>
      <w:r>
        <w:rPr>
          <w:rFonts w:hAnsi="宋体"/>
          <w:bCs/>
          <w:color w:val="auto"/>
          <w:highlight w:val="none"/>
        </w:rPr>
        <w:t>4.</w:t>
      </w:r>
      <w:r>
        <w:rPr>
          <w:rFonts w:hint="eastAsia" w:hAnsi="宋体"/>
          <w:bCs/>
          <w:color w:val="auto"/>
          <w:highlight w:val="none"/>
        </w:rPr>
        <w:t>质疑、投诉应当采用书面形式，质疑书、投诉书均应明确阐述招标文件、招标过程或中标结果中使自己合法权益受到损害的实质性内容，提供相关事实、依据和证据及其来源或线索，便于有关单位调查、答复和处理。(质疑、投诉不接受传真形式)</w:t>
      </w:r>
    </w:p>
    <w:p w14:paraId="62BEFCDF">
      <w:pPr>
        <w:ind w:firstLine="420"/>
        <w:rPr>
          <w:rFonts w:hint="eastAsia" w:ascii="宋体" w:hAnsi="宋体"/>
          <w:color w:val="auto"/>
          <w:highlight w:val="none"/>
          <w:lang w:val="en-US" w:eastAsia="zh-CN"/>
        </w:rPr>
      </w:pPr>
      <w:r>
        <w:rPr>
          <w:rFonts w:hint="eastAsia" w:ascii="宋体" w:hAnsi="宋体"/>
          <w:color w:val="auto"/>
          <w:highlight w:val="none"/>
        </w:rPr>
        <w:t>质疑部门联系方式：</w:t>
      </w:r>
      <w:r>
        <w:rPr>
          <w:rFonts w:hint="eastAsia" w:ascii="宋体" w:hAnsi="宋体"/>
          <w:color w:val="auto"/>
          <w:highlight w:val="none"/>
          <w:lang w:val="en-US" w:eastAsia="zh-CN"/>
        </w:rPr>
        <w:t>灵山县发展和改革局</w:t>
      </w:r>
      <w:r>
        <w:rPr>
          <w:rFonts w:hint="eastAsia" w:ascii="宋体" w:hAnsi="宋体"/>
          <w:color w:val="auto"/>
          <w:highlight w:val="none"/>
        </w:rPr>
        <w:t xml:space="preserve">   </w:t>
      </w:r>
      <w:r>
        <w:rPr>
          <w:rFonts w:hint="eastAsia" w:ascii="宋体" w:hAnsi="宋体"/>
          <w:color w:val="auto"/>
          <w:highlight w:val="none"/>
          <w:lang w:val="en-US" w:eastAsia="zh-CN"/>
        </w:rPr>
        <w:t>0777-6522032</w:t>
      </w:r>
    </w:p>
    <w:p w14:paraId="661A7B2D">
      <w:pPr>
        <w:ind w:firstLine="420"/>
        <w:rPr>
          <w:rFonts w:hint="default" w:ascii="宋体" w:hAnsi="宋体"/>
          <w:color w:val="auto"/>
          <w:highlight w:val="none"/>
          <w:lang w:val="en-US"/>
        </w:rPr>
      </w:pPr>
      <w:r>
        <w:rPr>
          <w:rFonts w:hint="eastAsia" w:ascii="宋体" w:hAnsi="宋体"/>
          <w:color w:val="auto"/>
          <w:highlight w:val="none"/>
        </w:rPr>
        <w:t>通讯地址</w:t>
      </w:r>
      <w:r>
        <w:rPr>
          <w:rFonts w:hint="eastAsia" w:ascii="宋体" w:hAnsi="宋体"/>
          <w:color w:val="auto"/>
          <w:highlight w:val="none"/>
          <w:lang w:val="en-US" w:eastAsia="zh-CN"/>
        </w:rPr>
        <w:t>：广西钦州市灵山县灵城街道广场路31号</w:t>
      </w:r>
    </w:p>
    <w:p w14:paraId="1B604510">
      <w:pPr>
        <w:pStyle w:val="19"/>
        <w:rPr>
          <w:rFonts w:ascii="宋体" w:hAnsi="宋体"/>
          <w:color w:val="auto"/>
          <w:highlight w:val="none"/>
        </w:rPr>
      </w:pPr>
      <w:r>
        <w:rPr>
          <w:rFonts w:hint="eastAsia" w:ascii="宋体" w:hAnsi="宋体"/>
          <w:color w:val="auto"/>
          <w:highlight w:val="none"/>
        </w:rPr>
        <w:t>采购监管部门联</w:t>
      </w:r>
      <w:r>
        <w:rPr>
          <w:rFonts w:hint="eastAsia" w:ascii="宋体" w:hAnsi="宋体" w:eastAsia="宋体" w:cs="Times New Roman"/>
          <w:color w:val="auto"/>
          <w:kern w:val="2"/>
          <w:sz w:val="21"/>
          <w:szCs w:val="24"/>
          <w:highlight w:val="none"/>
          <w:lang w:val="en-US" w:eastAsia="zh-CN" w:bidi="ar-SA"/>
        </w:rPr>
        <w:t>系</w:t>
      </w:r>
      <w:r>
        <w:rPr>
          <w:rFonts w:hint="eastAsia" w:ascii="宋体" w:hAnsi="宋体"/>
          <w:color w:val="auto"/>
          <w:highlight w:val="none"/>
        </w:rPr>
        <w:t>方式：</w:t>
      </w:r>
      <w:r>
        <w:rPr>
          <w:rFonts w:hint="eastAsia" w:hAnsi="宋体"/>
          <w:bCs/>
          <w:color w:val="auto"/>
          <w:lang w:val="en-US" w:eastAsia="zh-CN"/>
        </w:rPr>
        <w:t>灵山县</w:t>
      </w:r>
      <w:r>
        <w:rPr>
          <w:rFonts w:hint="eastAsia" w:hAnsi="宋体"/>
          <w:bCs/>
          <w:color w:val="auto"/>
        </w:rPr>
        <w:t xml:space="preserve">财政局   </w:t>
      </w:r>
      <w:r>
        <w:rPr>
          <w:rFonts w:hint="eastAsia" w:ascii="宋体" w:hAnsi="宋体"/>
          <w:color w:val="auto"/>
          <w:szCs w:val="21"/>
          <w:highlight w:val="none"/>
        </w:rPr>
        <w:t>0777-</w:t>
      </w:r>
      <w:r>
        <w:rPr>
          <w:rFonts w:hint="eastAsia" w:ascii="宋体" w:hAnsi="宋体"/>
          <w:color w:val="auto"/>
          <w:szCs w:val="21"/>
          <w:highlight w:val="none"/>
          <w:lang w:val="en-US" w:eastAsia="zh-CN"/>
        </w:rPr>
        <w:t>6428581</w:t>
      </w:r>
    </w:p>
    <w:p w14:paraId="0F659F51">
      <w:pPr>
        <w:ind w:firstLine="211" w:firstLineChars="100"/>
        <w:rPr>
          <w:rFonts w:ascii="宋体" w:hAnsi="宋体"/>
          <w:color w:val="auto"/>
          <w:highlight w:val="none"/>
        </w:rPr>
      </w:pPr>
      <w:bookmarkStart w:id="106" w:name="_Hlk92793564"/>
      <w:r>
        <w:rPr>
          <w:rFonts w:hint="eastAsia" w:ascii="宋体" w:hAnsi="宋体"/>
          <w:b/>
          <w:bCs/>
          <w:color w:val="auto"/>
          <w:highlight w:val="none"/>
        </w:rPr>
        <w:t>(十)查询媒体</w:t>
      </w:r>
      <w:bookmarkEnd w:id="101"/>
      <w:bookmarkEnd w:id="106"/>
      <w:r>
        <w:rPr>
          <w:rFonts w:hint="eastAsia" w:ascii="宋体" w:hAnsi="宋体"/>
          <w:b/>
          <w:bCs/>
          <w:color w:val="auto"/>
          <w:highlight w:val="none"/>
        </w:rPr>
        <w:t>:</w:t>
      </w:r>
      <w:r>
        <w:rPr>
          <w:rFonts w:ascii="宋体" w:hAnsi="宋体"/>
          <w:color w:val="auto"/>
          <w:highlight w:val="none"/>
        </w:rPr>
        <w:t xml:space="preserve"> </w:t>
      </w:r>
      <w:r>
        <w:rPr>
          <w:rFonts w:ascii="宋体" w:hAnsi="宋体"/>
          <w:color w:val="auto"/>
          <w:highlight w:val="none"/>
        </w:rPr>
        <w:fldChar w:fldCharType="begin"/>
      </w:r>
      <w:r>
        <w:rPr>
          <w:rFonts w:hint="eastAsia" w:ascii="宋体" w:hAnsi="宋体"/>
          <w:color w:val="auto"/>
          <w:highlight w:val="none"/>
        </w:rPr>
        <w:instrText xml:space="preserve">HYPERLINK "http://www.ccgp.gov.cn/"</w:instrText>
      </w:r>
      <w:r>
        <w:rPr>
          <w:rFonts w:ascii="宋体" w:hAnsi="宋体"/>
          <w:color w:val="auto"/>
          <w:highlight w:val="none"/>
        </w:rPr>
        <w:fldChar w:fldCharType="separate"/>
      </w:r>
      <w:r>
        <w:rPr>
          <w:rStyle w:val="60"/>
          <w:rFonts w:hint="eastAsia" w:ascii="宋体" w:hAnsi="宋体"/>
          <w:color w:val="auto"/>
          <w:highlight w:val="none"/>
          <w:u w:val="none"/>
        </w:rPr>
        <w:t>中国政府采购网</w:t>
      </w:r>
      <w:r>
        <w:rPr>
          <w:rFonts w:ascii="宋体" w:hAnsi="宋体"/>
          <w:color w:val="auto"/>
          <w:highlight w:val="none"/>
        </w:rPr>
        <w:fldChar w:fldCharType="end"/>
      </w:r>
      <w:r>
        <w:rPr>
          <w:rFonts w:hint="eastAsia" w:ascii="宋体" w:hAnsi="宋体"/>
          <w:color w:val="auto"/>
          <w:highlight w:val="none"/>
        </w:rPr>
        <w:t>、</w:t>
      </w:r>
      <w:r>
        <w:rPr>
          <w:rFonts w:ascii="宋体" w:hAnsi="宋体"/>
          <w:color w:val="auto"/>
          <w:highlight w:val="none"/>
        </w:rPr>
        <w:fldChar w:fldCharType="begin"/>
      </w:r>
      <w:r>
        <w:rPr>
          <w:rFonts w:ascii="宋体" w:hAnsi="宋体"/>
          <w:color w:val="auto"/>
          <w:highlight w:val="none"/>
        </w:rPr>
        <w:instrText xml:space="preserve"> HYPERLINK "http://zfcg.gxzf.gov.cn/" </w:instrText>
      </w:r>
      <w:r>
        <w:rPr>
          <w:rFonts w:ascii="宋体" w:hAnsi="宋体"/>
          <w:color w:val="auto"/>
          <w:highlight w:val="none"/>
        </w:rPr>
        <w:fldChar w:fldCharType="separate"/>
      </w:r>
      <w:r>
        <w:rPr>
          <w:rFonts w:hint="eastAsia" w:ascii="宋体" w:hAnsi="宋体"/>
          <w:color w:val="auto"/>
          <w:highlight w:val="none"/>
        </w:rPr>
        <w:t>广西政府采购网</w:t>
      </w:r>
      <w:r>
        <w:rPr>
          <w:rFonts w:ascii="宋体" w:hAnsi="宋体"/>
          <w:color w:val="auto"/>
          <w:highlight w:val="none"/>
        </w:rPr>
        <w:fldChar w:fldCharType="end"/>
      </w:r>
      <w:r>
        <w:rPr>
          <w:rFonts w:hint="eastAsia" w:ascii="宋体" w:hAnsi="宋体"/>
          <w:color w:val="auto"/>
          <w:highlight w:val="none"/>
        </w:rPr>
        <w:t>。</w:t>
      </w:r>
    </w:p>
    <w:p w14:paraId="4C10CE98">
      <w:pPr>
        <w:ind w:firstLine="211" w:firstLineChars="100"/>
        <w:rPr>
          <w:rFonts w:hint="eastAsia" w:ascii="宋体" w:hAnsi="宋体"/>
          <w:b/>
          <w:bCs/>
          <w:color w:val="auto"/>
          <w:highlight w:val="none"/>
        </w:rPr>
      </w:pPr>
    </w:p>
    <w:p w14:paraId="49B59836">
      <w:pPr>
        <w:pStyle w:val="3"/>
        <w:spacing w:before="0" w:after="0" w:line="400" w:lineRule="exact"/>
        <w:ind w:firstLine="0" w:firstLineChars="0"/>
        <w:rPr>
          <w:rFonts w:ascii="宋体" w:hAnsi="宋体" w:eastAsia="宋体"/>
          <w:color w:val="auto"/>
          <w:sz w:val="24"/>
          <w:szCs w:val="24"/>
          <w:highlight w:val="none"/>
        </w:rPr>
      </w:pPr>
      <w:bookmarkStart w:id="107" w:name="_Toc352700416"/>
      <w:bookmarkStart w:id="108" w:name="_Toc353785286"/>
      <w:r>
        <w:rPr>
          <w:rFonts w:hint="eastAsia" w:ascii="宋体" w:hAnsi="宋体" w:eastAsia="宋体"/>
          <w:color w:val="auto"/>
          <w:sz w:val="24"/>
          <w:szCs w:val="24"/>
          <w:highlight w:val="none"/>
        </w:rPr>
        <w:t>二、招标文件</w:t>
      </w:r>
      <w:bookmarkEnd w:id="107"/>
      <w:bookmarkEnd w:id="108"/>
    </w:p>
    <w:p w14:paraId="412E72C7">
      <w:pPr>
        <w:ind w:firstLine="211" w:firstLineChars="100"/>
        <w:rPr>
          <w:rFonts w:ascii="宋体" w:hAnsi="宋体"/>
          <w:b/>
          <w:bCs/>
          <w:color w:val="auto"/>
          <w:highlight w:val="none"/>
        </w:rPr>
      </w:pPr>
      <w:bookmarkStart w:id="109" w:name="_Toc352700417"/>
      <w:bookmarkStart w:id="110" w:name="_Toc353785287"/>
      <w:r>
        <w:rPr>
          <w:rFonts w:hint="eastAsia" w:ascii="宋体" w:hAnsi="宋体"/>
          <w:b/>
          <w:bCs/>
          <w:color w:val="auto"/>
          <w:highlight w:val="none"/>
        </w:rPr>
        <w:t>(一)招标文件的组成</w:t>
      </w:r>
      <w:bookmarkEnd w:id="109"/>
      <w:bookmarkEnd w:id="110"/>
    </w:p>
    <w:p w14:paraId="0B3E5478">
      <w:pPr>
        <w:pStyle w:val="29"/>
        <w:snapToGrid w:val="0"/>
        <w:ind w:firstLine="420"/>
        <w:rPr>
          <w:rFonts w:hAnsi="宋体"/>
          <w:color w:val="auto"/>
          <w:highlight w:val="none"/>
        </w:rPr>
      </w:pPr>
      <w:r>
        <w:rPr>
          <w:rFonts w:hint="eastAsia" w:hAnsi="宋体"/>
          <w:color w:val="auto"/>
          <w:highlight w:val="none"/>
        </w:rPr>
        <w:t>第一章 招标公告</w:t>
      </w:r>
    </w:p>
    <w:p w14:paraId="5E5640A5">
      <w:pPr>
        <w:pStyle w:val="29"/>
        <w:snapToGrid w:val="0"/>
        <w:ind w:firstLine="420"/>
        <w:rPr>
          <w:rFonts w:hAnsi="宋体"/>
          <w:color w:val="auto"/>
          <w:highlight w:val="none"/>
        </w:rPr>
      </w:pPr>
      <w:r>
        <w:rPr>
          <w:rFonts w:hint="eastAsia" w:hAnsi="宋体"/>
          <w:color w:val="auto"/>
          <w:highlight w:val="none"/>
        </w:rPr>
        <w:t>第二章 项目需求</w:t>
      </w:r>
    </w:p>
    <w:p w14:paraId="49FF31FB">
      <w:pPr>
        <w:pStyle w:val="29"/>
        <w:snapToGrid w:val="0"/>
        <w:ind w:firstLine="420"/>
        <w:rPr>
          <w:rFonts w:hAnsi="宋体"/>
          <w:color w:val="auto"/>
          <w:highlight w:val="none"/>
        </w:rPr>
      </w:pPr>
      <w:r>
        <w:rPr>
          <w:rFonts w:hint="eastAsia" w:hAnsi="宋体"/>
          <w:color w:val="auto"/>
          <w:highlight w:val="none"/>
        </w:rPr>
        <w:t>第三章 投标人须知及前附表</w:t>
      </w:r>
    </w:p>
    <w:p w14:paraId="076A7573">
      <w:pPr>
        <w:pStyle w:val="29"/>
        <w:snapToGrid w:val="0"/>
        <w:ind w:firstLine="420"/>
        <w:rPr>
          <w:rFonts w:hAnsi="宋体"/>
          <w:color w:val="auto"/>
          <w:highlight w:val="none"/>
        </w:rPr>
      </w:pPr>
      <w:r>
        <w:rPr>
          <w:rFonts w:hint="eastAsia" w:hAnsi="宋体"/>
          <w:color w:val="auto"/>
          <w:highlight w:val="none"/>
        </w:rPr>
        <w:t>第四章 评定标准及推荐原则</w:t>
      </w:r>
    </w:p>
    <w:p w14:paraId="2F466927">
      <w:pPr>
        <w:pStyle w:val="29"/>
        <w:snapToGrid w:val="0"/>
        <w:ind w:firstLine="420"/>
        <w:rPr>
          <w:rFonts w:hAnsi="宋体"/>
          <w:color w:val="auto"/>
          <w:highlight w:val="none"/>
        </w:rPr>
      </w:pPr>
      <w:r>
        <w:rPr>
          <w:rFonts w:hint="eastAsia" w:hAnsi="宋体"/>
          <w:color w:val="auto"/>
          <w:highlight w:val="none"/>
        </w:rPr>
        <w:t>第五章 政府采购合同主要条款</w:t>
      </w:r>
    </w:p>
    <w:p w14:paraId="31CC5EAC">
      <w:pPr>
        <w:pStyle w:val="29"/>
        <w:snapToGrid w:val="0"/>
        <w:ind w:firstLine="420"/>
        <w:rPr>
          <w:rFonts w:hAnsi="宋体"/>
          <w:color w:val="auto"/>
          <w:highlight w:val="none"/>
        </w:rPr>
      </w:pPr>
      <w:r>
        <w:rPr>
          <w:rFonts w:hint="eastAsia" w:hAnsi="宋体"/>
          <w:color w:val="auto"/>
          <w:highlight w:val="none"/>
        </w:rPr>
        <w:t>第六章 投标文件格式</w:t>
      </w:r>
    </w:p>
    <w:p w14:paraId="0D500699">
      <w:pPr>
        <w:ind w:firstLine="211" w:firstLineChars="100"/>
        <w:rPr>
          <w:rFonts w:ascii="宋体" w:hAnsi="宋体"/>
          <w:b/>
          <w:bCs/>
          <w:color w:val="auto"/>
          <w:highlight w:val="none"/>
        </w:rPr>
      </w:pPr>
      <w:bookmarkStart w:id="111" w:name="_Toc353785289"/>
      <w:bookmarkStart w:id="112" w:name="_Toc352700419"/>
      <w:r>
        <w:rPr>
          <w:rFonts w:hint="eastAsia" w:ascii="宋体" w:hAnsi="宋体"/>
          <w:b/>
          <w:bCs/>
          <w:color w:val="auto"/>
          <w:highlight w:val="none"/>
        </w:rPr>
        <w:t>(二)招标文件的澄清与修改</w:t>
      </w:r>
      <w:bookmarkEnd w:id="111"/>
      <w:bookmarkEnd w:id="112"/>
    </w:p>
    <w:p w14:paraId="6DA5AC3D">
      <w:pPr>
        <w:pStyle w:val="29"/>
        <w:snapToGrid w:val="0"/>
        <w:ind w:firstLine="420"/>
        <w:jc w:val="left"/>
        <w:rPr>
          <w:rFonts w:hAnsi="宋体"/>
          <w:color w:val="auto"/>
          <w:highlight w:val="none"/>
        </w:rPr>
      </w:pPr>
      <w:r>
        <w:rPr>
          <w:rFonts w:hAnsi="宋体"/>
          <w:color w:val="auto"/>
          <w:highlight w:val="none"/>
        </w:rPr>
        <w:t>1.采购人</w:t>
      </w:r>
      <w:r>
        <w:rPr>
          <w:rFonts w:hint="eastAsia" w:hAnsi="宋体"/>
          <w:color w:val="auto"/>
          <w:highlight w:val="none"/>
        </w:rPr>
        <w:t>或者本中心</w:t>
      </w:r>
      <w:r>
        <w:rPr>
          <w:rFonts w:hAnsi="宋体"/>
          <w:color w:val="auto"/>
          <w:highlight w:val="none"/>
        </w:rPr>
        <w:t>可以对已发出的招标文件进行必要的</w:t>
      </w:r>
      <w:bookmarkStart w:id="113" w:name="_Hlk92287343"/>
      <w:r>
        <w:rPr>
          <w:rFonts w:hAnsi="宋体"/>
          <w:color w:val="auto"/>
          <w:highlight w:val="none"/>
        </w:rPr>
        <w:t>澄清或者修改</w:t>
      </w:r>
      <w:bookmarkEnd w:id="113"/>
      <w:r>
        <w:rPr>
          <w:rFonts w:hAnsi="宋体"/>
          <w:color w:val="auto"/>
          <w:highlight w:val="none"/>
        </w:rPr>
        <w:t>，但不得改变采购标的和资格条件。澄清或者修改应当在原公告发布媒体上发布澄清公告。澄清或者修改的内容为招标文件的组成部分。</w:t>
      </w:r>
    </w:p>
    <w:p w14:paraId="49AC7B2C">
      <w:pPr>
        <w:pStyle w:val="29"/>
        <w:snapToGrid w:val="0"/>
        <w:ind w:firstLine="420"/>
        <w:jc w:val="left"/>
        <w:rPr>
          <w:rFonts w:hAnsi="宋体"/>
          <w:color w:val="auto"/>
          <w:highlight w:val="none"/>
        </w:rPr>
      </w:pPr>
      <w:r>
        <w:rPr>
          <w:rFonts w:hAnsi="宋体"/>
          <w:color w:val="auto"/>
          <w:highlight w:val="none"/>
        </w:rPr>
        <w:t>2.澄清或者修改的内容可能影响投标文件编制的，采购人或者采购代理机构应当在投标截止时间至少15日前，以</w:t>
      </w:r>
      <w:r>
        <w:rPr>
          <w:rFonts w:hint="eastAsia" w:hAnsi="宋体"/>
          <w:color w:val="auto"/>
          <w:highlight w:val="none"/>
        </w:rPr>
        <w:t>书面形式</w:t>
      </w:r>
      <w:r>
        <w:rPr>
          <w:rFonts w:hAnsi="宋体"/>
          <w:color w:val="auto"/>
          <w:highlight w:val="none"/>
        </w:rPr>
        <w:t>通知所有</w:t>
      </w:r>
      <w:r>
        <w:rPr>
          <w:rFonts w:hint="eastAsia" w:hAnsi="宋体"/>
          <w:color w:val="auto"/>
          <w:highlight w:val="none"/>
        </w:rPr>
        <w:t>依法</w:t>
      </w:r>
      <w:r>
        <w:rPr>
          <w:rFonts w:hAnsi="宋体"/>
          <w:color w:val="auto"/>
          <w:highlight w:val="none"/>
        </w:rPr>
        <w:t>获取招标文件的潜在投标人；不足15日的，采购人或者采购代理机构应当顺延提交投标文件的截止时间。</w:t>
      </w:r>
    </w:p>
    <w:p w14:paraId="5285BB3C">
      <w:pPr>
        <w:pStyle w:val="29"/>
        <w:snapToGrid w:val="0"/>
        <w:ind w:firstLine="420"/>
        <w:jc w:val="left"/>
        <w:rPr>
          <w:rFonts w:hint="eastAsia" w:hAnsi="宋体" w:cs="Arial"/>
          <w:color w:val="auto"/>
          <w:highlight w:val="none"/>
        </w:rPr>
      </w:pPr>
      <w:bookmarkStart w:id="114" w:name="_Hlk92446337"/>
      <w:r>
        <w:rPr>
          <w:rFonts w:hAnsi="宋体"/>
          <w:color w:val="auto"/>
          <w:highlight w:val="none"/>
        </w:rPr>
        <w:t>3.</w:t>
      </w:r>
      <w:r>
        <w:rPr>
          <w:rFonts w:hAnsi="宋体" w:cs="Arial"/>
          <w:color w:val="auto"/>
          <w:highlight w:val="none"/>
        </w:rPr>
        <w:t>提供期限届满后，获取招标文件的潜在投标人不足3家的，</w:t>
      </w:r>
      <w:r>
        <w:rPr>
          <w:rFonts w:hint="eastAsia" w:hAnsi="宋体" w:cs="Arial"/>
          <w:color w:val="auto"/>
          <w:highlight w:val="none"/>
        </w:rPr>
        <w:t>本中心</w:t>
      </w:r>
      <w:r>
        <w:rPr>
          <w:rFonts w:hAnsi="宋体" w:cs="Arial"/>
          <w:color w:val="auto"/>
          <w:highlight w:val="none"/>
        </w:rPr>
        <w:t>可以顺延提供期限，并予公告。</w:t>
      </w:r>
    </w:p>
    <w:bookmarkEnd w:id="114"/>
    <w:p w14:paraId="1FEFA739">
      <w:pPr>
        <w:pStyle w:val="3"/>
        <w:spacing w:before="0" w:after="0" w:line="400" w:lineRule="exact"/>
        <w:ind w:firstLine="0" w:firstLineChars="0"/>
        <w:rPr>
          <w:rFonts w:ascii="宋体" w:hAnsi="宋体" w:eastAsia="宋体"/>
          <w:b w:val="0"/>
          <w:color w:val="auto"/>
          <w:sz w:val="24"/>
          <w:szCs w:val="24"/>
          <w:highlight w:val="none"/>
        </w:rPr>
      </w:pPr>
      <w:bookmarkStart w:id="115" w:name="_三、投标文件"/>
      <w:bookmarkEnd w:id="115"/>
      <w:bookmarkStart w:id="116" w:name="_Toc254970535"/>
      <w:bookmarkStart w:id="117" w:name="_Toc353785290"/>
      <w:bookmarkStart w:id="118" w:name="_Toc352700420"/>
      <w:bookmarkStart w:id="119" w:name="_Toc254970676"/>
      <w:r>
        <w:rPr>
          <w:rFonts w:hint="eastAsia" w:ascii="宋体" w:hAnsi="宋体" w:eastAsia="宋体"/>
          <w:b w:val="0"/>
          <w:color w:val="auto"/>
          <w:sz w:val="24"/>
          <w:szCs w:val="24"/>
          <w:highlight w:val="none"/>
        </w:rPr>
        <w:t>三、</w:t>
      </w:r>
      <w:bookmarkStart w:id="120" w:name="_Hlk92446512"/>
      <w:r>
        <w:rPr>
          <w:rFonts w:hint="eastAsia" w:ascii="宋体" w:hAnsi="宋体" w:eastAsia="宋体"/>
          <w:b w:val="0"/>
          <w:color w:val="auto"/>
          <w:sz w:val="24"/>
          <w:szCs w:val="24"/>
          <w:highlight w:val="none"/>
        </w:rPr>
        <w:t>投标文件</w:t>
      </w:r>
      <w:bookmarkEnd w:id="116"/>
      <w:bookmarkEnd w:id="117"/>
      <w:bookmarkEnd w:id="118"/>
      <w:bookmarkEnd w:id="119"/>
    </w:p>
    <w:p w14:paraId="71CC8DA4">
      <w:pPr>
        <w:ind w:firstLine="211" w:firstLineChars="100"/>
        <w:rPr>
          <w:rFonts w:hint="eastAsia" w:ascii="宋体" w:hAnsi="宋体"/>
          <w:b/>
          <w:bCs/>
          <w:color w:val="auto"/>
          <w:highlight w:val="none"/>
        </w:rPr>
      </w:pPr>
      <w:bookmarkStart w:id="121" w:name="_Toc254970536"/>
      <w:bookmarkStart w:id="122" w:name="_Toc353785291"/>
      <w:bookmarkStart w:id="123" w:name="_Toc352700421"/>
      <w:bookmarkStart w:id="124" w:name="_Toc254970677"/>
      <w:r>
        <w:rPr>
          <w:rFonts w:hint="eastAsia" w:ascii="宋体" w:hAnsi="宋体"/>
          <w:b/>
          <w:bCs/>
          <w:color w:val="auto"/>
          <w:highlight w:val="none"/>
        </w:rPr>
        <w:t>(一)投标人的风险</w:t>
      </w:r>
    </w:p>
    <w:p w14:paraId="162F2B41">
      <w:pPr>
        <w:ind w:firstLine="420"/>
        <w:rPr>
          <w:rFonts w:ascii="宋体" w:hAnsi="宋体"/>
          <w:color w:val="auto"/>
          <w:highlight w:val="none"/>
        </w:rPr>
      </w:pPr>
      <w:r>
        <w:rPr>
          <w:rFonts w:ascii="宋体" w:hAnsi="宋体"/>
          <w:color w:val="auto"/>
          <w:highlight w:val="none"/>
        </w:rPr>
        <w:t>1.</w:t>
      </w:r>
      <w:r>
        <w:rPr>
          <w:rFonts w:hint="eastAsia" w:ascii="宋体" w:hAnsi="宋体"/>
          <w:color w:val="auto"/>
          <w:highlight w:val="none"/>
        </w:rPr>
        <w:t>投标人应仔细阅读招标文件的全部内容，按照招标文件的要求提交投标文件，并对所提供的全部资料的真实性承担法律责任。</w:t>
      </w:r>
    </w:p>
    <w:p w14:paraId="15ECDF4A">
      <w:pPr>
        <w:ind w:firstLine="420"/>
        <w:rPr>
          <w:rFonts w:hint="eastAsia" w:ascii="宋体" w:hAnsi="宋体"/>
          <w:color w:val="auto"/>
          <w:highlight w:val="none"/>
        </w:rPr>
      </w:pPr>
      <w:r>
        <w:rPr>
          <w:rFonts w:ascii="宋体" w:hAnsi="宋体"/>
          <w:color w:val="auto"/>
          <w:highlight w:val="none"/>
        </w:rPr>
        <w:t>2.</w:t>
      </w:r>
      <w:r>
        <w:rPr>
          <w:rFonts w:hint="eastAsia" w:ascii="宋体" w:hAnsi="宋体"/>
          <w:color w:val="auto"/>
          <w:highlight w:val="none"/>
        </w:rPr>
        <w:t>投标人在投标活动中提供任何虚假材料的，评标委员会将报财政部门查处。</w:t>
      </w:r>
    </w:p>
    <w:bookmarkEnd w:id="120"/>
    <w:p w14:paraId="1EA3C33A">
      <w:pPr>
        <w:snapToGrid w:val="0"/>
        <w:ind w:firstLine="211" w:firstLineChars="100"/>
        <w:rPr>
          <w:rFonts w:ascii="宋体" w:hAnsi="宋体"/>
          <w:b/>
          <w:color w:val="auto"/>
          <w:szCs w:val="21"/>
          <w:highlight w:val="none"/>
        </w:rPr>
      </w:pPr>
      <w:bookmarkStart w:id="125" w:name="_Hlk92446638"/>
      <w:r>
        <w:rPr>
          <w:rFonts w:hint="eastAsia" w:ascii="宋体" w:hAnsi="宋体"/>
          <w:b/>
          <w:bCs/>
          <w:color w:val="auto"/>
          <w:highlight w:val="none"/>
        </w:rPr>
        <w:t>(二)</w:t>
      </w:r>
      <w:r>
        <w:rPr>
          <w:rFonts w:hint="eastAsia" w:ascii="宋体" w:hAnsi="宋体"/>
          <w:b/>
          <w:color w:val="auto"/>
          <w:szCs w:val="21"/>
          <w:highlight w:val="none"/>
        </w:rPr>
        <w:t>投标文件的组成</w:t>
      </w:r>
    </w:p>
    <w:p w14:paraId="69308B78">
      <w:pPr>
        <w:snapToGrid w:val="0"/>
        <w:ind w:firstLine="422"/>
        <w:rPr>
          <w:rFonts w:hint="eastAsia" w:ascii="宋体" w:hAnsi="宋体"/>
          <w:b/>
          <w:color w:val="auto"/>
          <w:szCs w:val="21"/>
          <w:highlight w:val="none"/>
        </w:rPr>
      </w:pPr>
      <w:bookmarkStart w:id="126" w:name="_Hlk92285760"/>
      <w:r>
        <w:rPr>
          <w:rFonts w:ascii="宋体" w:hAnsi="宋体"/>
          <w:b/>
          <w:color w:val="auto"/>
          <w:szCs w:val="21"/>
          <w:highlight w:val="none"/>
        </w:rPr>
        <w:t>1.</w:t>
      </w:r>
      <w:r>
        <w:rPr>
          <w:rFonts w:hint="eastAsia" w:ascii="宋体" w:hAnsi="宋体"/>
          <w:b/>
          <w:color w:val="auto"/>
          <w:szCs w:val="21"/>
          <w:highlight w:val="none"/>
        </w:rPr>
        <w:t>资格文件：</w:t>
      </w:r>
    </w:p>
    <w:p w14:paraId="4A6E62AE">
      <w:pPr>
        <w:tabs>
          <w:tab w:val="left" w:pos="3870"/>
          <w:tab w:val="left" w:pos="4085"/>
        </w:tabs>
        <w:snapToGrid w:val="0"/>
        <w:ind w:firstLine="420"/>
        <w:rPr>
          <w:rFonts w:hint="eastAsia" w:ascii="宋体" w:hAnsi="宋体"/>
          <w:color w:val="auto"/>
          <w:szCs w:val="21"/>
          <w:highlight w:val="none"/>
        </w:rPr>
      </w:pPr>
      <w:r>
        <w:rPr>
          <w:rFonts w:hint="eastAsia" w:ascii="宋体" w:hAnsi="宋体" w:cs="宋体"/>
          <w:bCs/>
          <w:color w:val="auto"/>
          <w:kern w:val="0"/>
          <w:szCs w:val="21"/>
          <w:highlight w:val="none"/>
        </w:rPr>
        <w:t>★</w:t>
      </w:r>
      <w:bookmarkStart w:id="127" w:name="_Hlk90369149"/>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法人或者其他组织的营业执照等证明文件；</w:t>
      </w:r>
    </w:p>
    <w:bookmarkEnd w:id="127"/>
    <w:p w14:paraId="3D71761F">
      <w:pPr>
        <w:tabs>
          <w:tab w:val="left" w:pos="3870"/>
          <w:tab w:val="left" w:pos="4085"/>
        </w:tabs>
        <w:snapToGrid w:val="0"/>
        <w:ind w:firstLine="420"/>
        <w:rPr>
          <w:rFonts w:ascii="宋体" w:hAnsi="宋体" w:cs="宋体"/>
          <w:color w:val="auto"/>
          <w:szCs w:val="21"/>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2)</w:t>
      </w:r>
      <w:r>
        <w:rPr>
          <w:rFonts w:hint="eastAsia" w:ascii="宋体" w:hAnsi="宋体" w:cs="宋体"/>
          <w:color w:val="auto"/>
          <w:szCs w:val="21"/>
          <w:highlight w:val="none"/>
        </w:rPr>
        <w:t>投标人具备参加政府采购活动条件的承诺书(格式见第六章）</w:t>
      </w:r>
    </w:p>
    <w:p w14:paraId="66D13D08">
      <w:pPr>
        <w:tabs>
          <w:tab w:val="left" w:pos="3870"/>
          <w:tab w:val="left" w:pos="4085"/>
        </w:tabs>
        <w:snapToGrid w:val="0"/>
        <w:ind w:firstLine="420"/>
        <w:rPr>
          <w:rFonts w:hint="eastAsia" w:ascii="宋体" w:hAnsi="宋体"/>
          <w:color w:val="auto"/>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3)</w:t>
      </w:r>
      <w:r>
        <w:rPr>
          <w:rFonts w:hint="eastAsia" w:ascii="宋体" w:hAnsi="宋体"/>
          <w:color w:val="auto"/>
          <w:highlight w:val="none"/>
        </w:rPr>
        <w:t>参加政府采购活动前3年内在经营活动中没有重大违法记录的书面声明(格式见第六章)</w:t>
      </w:r>
    </w:p>
    <w:p w14:paraId="644EDC54">
      <w:pPr>
        <w:tabs>
          <w:tab w:val="left" w:pos="3870"/>
          <w:tab w:val="left" w:pos="4085"/>
        </w:tabs>
        <w:snapToGrid w:val="0"/>
        <w:ind w:firstLine="420"/>
        <w:rPr>
          <w:rFonts w:hint="eastAsia" w:ascii="宋体" w:hAnsi="宋体" w:eastAsia="宋体" w:cs="Times New Roman"/>
          <w:color w:val="auto"/>
          <w:szCs w:val="21"/>
        </w:rPr>
      </w:pPr>
      <w:r>
        <w:rPr>
          <w:rFonts w:hint="eastAsia" w:ascii="宋体" w:hAnsi="宋体" w:cs="宋体"/>
          <w:bCs/>
          <w:color w:val="auto"/>
          <w:kern w:val="0"/>
          <w:szCs w:val="21"/>
        </w:rPr>
        <w:t>★(</w:t>
      </w:r>
      <w:r>
        <w:rPr>
          <w:rFonts w:hint="eastAsia" w:ascii="宋体" w:hAnsi="宋体" w:cs="宋体"/>
          <w:bCs/>
          <w:color w:val="auto"/>
          <w:kern w:val="0"/>
          <w:szCs w:val="21"/>
          <w:lang w:val="en-US" w:eastAsia="zh-CN"/>
        </w:rPr>
        <w:t>4</w:t>
      </w:r>
      <w:r>
        <w:rPr>
          <w:rFonts w:ascii="宋体" w:hAnsi="宋体" w:cs="宋体"/>
          <w:bCs/>
          <w:color w:val="auto"/>
          <w:kern w:val="0"/>
          <w:szCs w:val="21"/>
        </w:rPr>
        <w:t>)</w:t>
      </w:r>
      <w:r>
        <w:rPr>
          <w:rFonts w:hint="eastAsia" w:ascii="宋体" w:hAnsi="宋体"/>
          <w:color w:val="auto"/>
          <w:szCs w:val="21"/>
        </w:rPr>
        <w:t>投标人如为下属</w:t>
      </w:r>
      <w:r>
        <w:rPr>
          <w:rFonts w:hint="eastAsia" w:ascii="宋体" w:hAnsi="宋体" w:eastAsia="宋体" w:cs="Times New Roman"/>
          <w:color w:val="auto"/>
          <w:szCs w:val="21"/>
          <w:highlight w:val="none"/>
        </w:rPr>
        <w:t>分支机构或分公司</w:t>
      </w:r>
      <w:r>
        <w:rPr>
          <w:rFonts w:hint="eastAsia" w:ascii="宋体" w:hAnsi="宋体"/>
          <w:color w:val="auto"/>
          <w:szCs w:val="21"/>
        </w:rPr>
        <w:t>等的，须按本项目的特定资格要求提供相关授权文</w:t>
      </w:r>
      <w:r>
        <w:rPr>
          <w:rFonts w:hint="eastAsia" w:ascii="宋体" w:hAnsi="宋体" w:eastAsia="宋体" w:cs="Times New Roman"/>
          <w:color w:val="auto"/>
          <w:szCs w:val="21"/>
        </w:rPr>
        <w:t>件（</w:t>
      </w:r>
      <w:r>
        <w:rPr>
          <w:rFonts w:hint="eastAsia" w:ascii="宋体" w:hAnsi="宋体" w:eastAsia="宋体" w:cs="Times New Roman"/>
          <w:color w:val="auto"/>
          <w:szCs w:val="21"/>
          <w:highlight w:val="none"/>
        </w:rPr>
        <w:t>分支机构或分公司参加</w:t>
      </w:r>
      <w:r>
        <w:rPr>
          <w:rFonts w:hint="eastAsia" w:ascii="宋体" w:hAnsi="宋体" w:eastAsia="宋体" w:cs="Times New Roman"/>
          <w:color w:val="auto"/>
          <w:szCs w:val="21"/>
          <w:highlight w:val="none"/>
          <w:lang w:val="en-US" w:eastAsia="zh-CN"/>
        </w:rPr>
        <w:t>投标</w:t>
      </w:r>
      <w:r>
        <w:rPr>
          <w:rFonts w:hint="eastAsia" w:ascii="宋体" w:hAnsi="宋体" w:eastAsia="宋体" w:cs="Times New Roman"/>
          <w:color w:val="auto"/>
          <w:szCs w:val="21"/>
        </w:rPr>
        <w:t>时必须提供）</w:t>
      </w:r>
    </w:p>
    <w:p w14:paraId="2B5C141C">
      <w:pPr>
        <w:snapToGrid w:val="0"/>
        <w:rPr>
          <w:rFonts w:ascii="宋体" w:hAnsi="宋体"/>
          <w:b/>
          <w:color w:val="auto"/>
          <w:szCs w:val="21"/>
          <w:highlight w:val="none"/>
        </w:rPr>
      </w:pPr>
    </w:p>
    <w:p w14:paraId="232BC004">
      <w:pPr>
        <w:snapToGrid w:val="0"/>
        <w:rPr>
          <w:rFonts w:hint="eastAsia"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商务技术文件：</w:t>
      </w:r>
    </w:p>
    <w:p w14:paraId="47DCE5F5">
      <w:pPr>
        <w:snapToGrid w:val="0"/>
        <w:ind w:firstLine="422"/>
        <w:rPr>
          <w:rFonts w:hint="eastAsia" w:ascii="宋体" w:hAnsi="宋体"/>
          <w:color w:val="auto"/>
          <w:szCs w:val="21"/>
          <w:highlight w:val="none"/>
        </w:rPr>
      </w:pPr>
      <w:r>
        <w:rPr>
          <w:rFonts w:ascii="宋体" w:hAnsi="宋体"/>
          <w:b/>
          <w:color w:val="auto"/>
          <w:szCs w:val="21"/>
          <w:highlight w:val="none"/>
        </w:rPr>
        <w:t xml:space="preserve"> </w:t>
      </w:r>
      <w:r>
        <w:rPr>
          <w:rFonts w:ascii="宋体" w:hAnsi="宋体"/>
          <w:color w:val="auto"/>
          <w:szCs w:val="21"/>
          <w:highlight w:val="none"/>
        </w:rPr>
        <w:t xml:space="preserve"> (1)</w:t>
      </w:r>
      <w:bookmarkStart w:id="128" w:name="_Hlk97803518"/>
      <w:r>
        <w:rPr>
          <w:rFonts w:hint="eastAsia" w:ascii="宋体" w:hAnsi="宋体"/>
          <w:color w:val="auto"/>
          <w:szCs w:val="21"/>
          <w:highlight w:val="none"/>
        </w:rPr>
        <w:t>投标保证金票据或转账凭证扫描件(户名、账号及开户行等信息清晰可辨)</w:t>
      </w:r>
      <w:bookmarkEnd w:id="128"/>
    </w:p>
    <w:p w14:paraId="6C27C8AD">
      <w:pPr>
        <w:tabs>
          <w:tab w:val="left" w:pos="3870"/>
          <w:tab w:val="left" w:pos="4085"/>
        </w:tabs>
        <w:snapToGrid w:val="0"/>
        <w:ind w:firstLine="420"/>
        <w:rPr>
          <w:rFonts w:hint="eastAsia"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投标函(格式见第六章)</w:t>
      </w:r>
    </w:p>
    <w:p w14:paraId="092CF19C">
      <w:pPr>
        <w:tabs>
          <w:tab w:val="left" w:pos="3870"/>
          <w:tab w:val="left" w:pos="4085"/>
        </w:tabs>
        <w:snapToGrid w:val="0"/>
        <w:ind w:firstLine="420"/>
        <w:rPr>
          <w:rFonts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身份证</w:t>
      </w:r>
    </w:p>
    <w:p w14:paraId="295CEC72">
      <w:pPr>
        <w:snapToGrid w:val="0"/>
        <w:ind w:firstLine="417" w:firstLineChars="199"/>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授权委托书和代理人身份证(委托代理时必须提供，格式见第六章)</w:t>
      </w:r>
    </w:p>
    <w:p w14:paraId="253466C2">
      <w:pPr>
        <w:snapToGrid w:val="0"/>
        <w:ind w:firstLine="417" w:firstLineChars="199"/>
        <w:rPr>
          <w:rFonts w:hint="eastAsia" w:ascii="宋体" w:hAnsi="宋体"/>
          <w:color w:val="auto"/>
          <w:szCs w:val="21"/>
          <w:highlight w:val="none"/>
        </w:rPr>
      </w:pPr>
      <w:r>
        <w:rPr>
          <w:rFonts w:hint="eastAsia" w:ascii="宋体" w:hAnsi="宋体"/>
          <w:color w:val="auto"/>
          <w:highlight w:val="none"/>
        </w:rPr>
        <w:t>★</w:t>
      </w:r>
      <w:r>
        <w:rPr>
          <w:rFonts w:hint="eastAsia" w:ascii="宋体" w:hAnsi="宋体"/>
          <w:color w:val="auto"/>
          <w:szCs w:val="21"/>
          <w:highlight w:val="none"/>
        </w:rPr>
        <w:t>(5)</w:t>
      </w:r>
      <w:r>
        <w:rPr>
          <w:rFonts w:hint="eastAsia" w:ascii="宋体" w:hAnsi="宋体"/>
          <w:color w:val="auto"/>
          <w:highlight w:val="none"/>
        </w:rPr>
        <w:t>商务响应表</w:t>
      </w:r>
      <w:r>
        <w:rPr>
          <w:rFonts w:ascii="宋体" w:hAnsi="宋体"/>
          <w:color w:val="auto"/>
          <w:highlight w:val="none"/>
        </w:rPr>
        <w:t>(格式见第六章)</w:t>
      </w:r>
    </w:p>
    <w:p w14:paraId="5ABA4D85">
      <w:pPr>
        <w:snapToGrid w:val="0"/>
        <w:ind w:firstLine="420" w:firstLineChars="199"/>
        <w:rPr>
          <w:rFonts w:ascii="宋体" w:hAnsi="宋体"/>
          <w:color w:val="auto"/>
          <w:highlight w:val="none"/>
        </w:rPr>
      </w:pPr>
      <w:bookmarkStart w:id="129" w:name="_Hlk135061454"/>
      <w:r>
        <w:rPr>
          <w:rFonts w:hint="eastAsia" w:ascii="宋体" w:hAnsi="宋体"/>
          <w:b/>
          <w:color w:val="auto"/>
          <w:szCs w:val="21"/>
          <w:highlight w:val="none"/>
        </w:rPr>
        <w:t>★</w:t>
      </w:r>
      <w:r>
        <w:rPr>
          <w:rFonts w:hint="eastAsia" w:ascii="宋体" w:hAnsi="宋体"/>
          <w:color w:val="auto"/>
          <w:highlight w:val="none"/>
        </w:rPr>
        <w:t>(</w:t>
      </w:r>
      <w:r>
        <w:rPr>
          <w:rFonts w:ascii="宋体" w:hAnsi="宋体"/>
          <w:color w:val="auto"/>
          <w:highlight w:val="none"/>
        </w:rPr>
        <w:t>6)</w:t>
      </w:r>
      <w:bookmarkEnd w:id="129"/>
      <w:r>
        <w:rPr>
          <w:rFonts w:hint="eastAsia" w:ascii="宋体" w:hAnsi="宋体"/>
          <w:color w:val="auto"/>
          <w:szCs w:val="21"/>
          <w:highlight w:val="none"/>
        </w:rPr>
        <w:t>技术响应表</w:t>
      </w:r>
      <w:bookmarkStart w:id="130" w:name="_Hlk92285954"/>
      <w:r>
        <w:rPr>
          <w:rFonts w:ascii="宋体" w:hAnsi="宋体"/>
          <w:color w:val="auto"/>
          <w:highlight w:val="none"/>
        </w:rPr>
        <w:t>(格式见第六章)</w:t>
      </w:r>
      <w:bookmarkEnd w:id="130"/>
    </w:p>
    <w:p w14:paraId="0FD34A15">
      <w:pPr>
        <w:snapToGrid w:val="0"/>
        <w:ind w:firstLine="420" w:firstLineChars="199"/>
        <w:rPr>
          <w:rFonts w:ascii="宋体" w:hAnsi="宋体"/>
          <w:color w:val="auto"/>
          <w:highlight w:val="none"/>
        </w:rPr>
      </w:pPr>
      <w:r>
        <w:rPr>
          <w:rFonts w:hint="eastAsia" w:ascii="宋体" w:hAnsi="宋体"/>
          <w:b/>
          <w:color w:val="auto"/>
          <w:szCs w:val="21"/>
          <w:highlight w:val="none"/>
        </w:rPr>
        <w:t>★</w:t>
      </w:r>
      <w:r>
        <w:rPr>
          <w:rFonts w:hint="eastAsia" w:ascii="宋体" w:hAnsi="宋体"/>
          <w:color w:val="auto"/>
          <w:highlight w:val="none"/>
        </w:rPr>
        <w:t>(</w:t>
      </w:r>
      <w:r>
        <w:rPr>
          <w:rFonts w:hint="eastAsia" w:ascii="宋体" w:hAnsi="宋体"/>
          <w:color w:val="auto"/>
          <w:highlight w:val="none"/>
          <w:lang w:val="en-US" w:eastAsia="zh-CN"/>
        </w:rPr>
        <w:t>7</w:t>
      </w:r>
      <w:r>
        <w:rPr>
          <w:rFonts w:ascii="宋体" w:hAnsi="宋体"/>
          <w:color w:val="auto"/>
          <w:highlight w:val="none"/>
        </w:rPr>
        <w:t>)</w:t>
      </w:r>
      <w:r>
        <w:rPr>
          <w:rFonts w:hint="eastAsia" w:ascii="宋体" w:hAnsi="宋体"/>
          <w:color w:val="auto"/>
          <w:szCs w:val="21"/>
        </w:rPr>
        <w:t>项目实施人员一览表</w:t>
      </w:r>
      <w:r>
        <w:rPr>
          <w:rFonts w:ascii="宋体" w:hAnsi="宋体"/>
          <w:color w:val="auto"/>
          <w:highlight w:val="none"/>
        </w:rPr>
        <w:t>(格式见第六章)</w:t>
      </w:r>
    </w:p>
    <w:p w14:paraId="7F57FE21">
      <w:pPr>
        <w:snapToGrid w:val="0"/>
        <w:spacing w:line="406" w:lineRule="exact"/>
        <w:ind w:firstLine="422" w:firstLineChars="200"/>
        <w:rPr>
          <w:rFonts w:hint="eastAsia" w:ascii="宋体" w:hAnsi="宋体"/>
          <w:color w:val="auto"/>
          <w:szCs w:val="21"/>
        </w:rPr>
      </w:pPr>
      <w:r>
        <w:rPr>
          <w:rFonts w:hint="eastAsia" w:ascii="宋体" w:hAnsi="宋体"/>
          <w:b/>
          <w:color w:val="auto"/>
          <w:szCs w:val="21"/>
        </w:rPr>
        <w:t>★</w:t>
      </w:r>
      <w:r>
        <w:rPr>
          <w:rFonts w:hint="eastAsia" w:ascii="宋体" w:hAnsi="宋体"/>
          <w:color w:val="auto"/>
          <w:szCs w:val="21"/>
        </w:rPr>
        <w:t>(</w:t>
      </w:r>
      <w:r>
        <w:rPr>
          <w:rFonts w:hint="eastAsia" w:ascii="宋体" w:hAnsi="宋体"/>
          <w:color w:val="auto"/>
          <w:szCs w:val="21"/>
          <w:lang w:val="en-US" w:eastAsia="zh-CN"/>
        </w:rPr>
        <w:t>8</w:t>
      </w:r>
      <w:r>
        <w:rPr>
          <w:rFonts w:hint="eastAsia" w:ascii="宋体" w:hAnsi="宋体"/>
          <w:color w:val="auto"/>
          <w:szCs w:val="21"/>
        </w:rPr>
        <w:t>)</w:t>
      </w:r>
      <w:r>
        <w:rPr>
          <w:rFonts w:hint="eastAsia" w:ascii="宋体" w:hAnsi="宋体"/>
          <w:color w:val="auto"/>
          <w:szCs w:val="21"/>
          <w:lang w:val="en-US" w:eastAsia="zh-CN"/>
        </w:rPr>
        <w:t>运维服务</w:t>
      </w:r>
      <w:r>
        <w:rPr>
          <w:rFonts w:hint="eastAsia" w:ascii="宋体" w:hAnsi="宋体"/>
          <w:color w:val="auto"/>
          <w:szCs w:val="21"/>
        </w:rPr>
        <w:t>方案</w:t>
      </w:r>
      <w:r>
        <w:rPr>
          <w:rFonts w:hint="eastAsia" w:ascii="宋体" w:hAnsi="宋体"/>
          <w:color w:val="auto"/>
          <w:szCs w:val="21"/>
          <w:lang w:eastAsia="zh-CN"/>
        </w:rPr>
        <w:t>（</w:t>
      </w:r>
      <w:r>
        <w:rPr>
          <w:rFonts w:hint="eastAsia" w:ascii="宋体" w:hAnsi="宋体" w:cs="宋体"/>
          <w:color w:val="auto"/>
          <w:szCs w:val="21"/>
          <w:highlight w:val="none"/>
        </w:rPr>
        <w:t>应包含实施能力配备、运维服务承诺及人员车辆配置等</w:t>
      </w:r>
      <w:r>
        <w:rPr>
          <w:rFonts w:hint="eastAsia" w:ascii="宋体" w:hAnsi="宋体"/>
          <w:color w:val="auto"/>
          <w:szCs w:val="21"/>
          <w:lang w:eastAsia="zh-CN"/>
        </w:rPr>
        <w:t>）</w:t>
      </w:r>
      <w:r>
        <w:rPr>
          <w:rFonts w:hint="eastAsia" w:ascii="宋体" w:hAnsi="宋体"/>
          <w:color w:val="auto"/>
          <w:szCs w:val="21"/>
        </w:rPr>
        <w:t>（格式自拟）</w:t>
      </w:r>
    </w:p>
    <w:p w14:paraId="5961C3F6">
      <w:pPr>
        <w:snapToGrid w:val="0"/>
        <w:spacing w:line="406" w:lineRule="exact"/>
        <w:ind w:firstLine="422" w:firstLineChars="200"/>
        <w:rPr>
          <w:rFonts w:hint="eastAsia" w:ascii="宋体" w:hAnsi="宋体"/>
          <w:color w:val="auto"/>
          <w:szCs w:val="21"/>
        </w:rPr>
      </w:pPr>
      <w:r>
        <w:rPr>
          <w:rFonts w:hint="eastAsia" w:ascii="宋体" w:hAnsi="宋体"/>
          <w:b/>
          <w:color w:val="auto"/>
          <w:szCs w:val="21"/>
        </w:rPr>
        <w:t>★</w:t>
      </w:r>
      <w:r>
        <w:rPr>
          <w:rFonts w:hint="eastAsia" w:ascii="宋体" w:hAnsi="宋体"/>
          <w:color w:val="auto"/>
          <w:szCs w:val="21"/>
        </w:rPr>
        <w:t>(</w:t>
      </w:r>
      <w:r>
        <w:rPr>
          <w:rFonts w:hint="eastAsia" w:ascii="宋体" w:hAnsi="宋体"/>
          <w:color w:val="auto"/>
          <w:szCs w:val="21"/>
          <w:lang w:val="en-US" w:eastAsia="zh-CN"/>
        </w:rPr>
        <w:t>9</w:t>
      </w:r>
      <w:r>
        <w:rPr>
          <w:rFonts w:hint="eastAsia" w:ascii="宋体" w:hAnsi="宋体"/>
          <w:color w:val="auto"/>
          <w:szCs w:val="21"/>
        </w:rPr>
        <w:t>)技术方案</w:t>
      </w:r>
      <w:r>
        <w:rPr>
          <w:rFonts w:hint="eastAsia" w:ascii="宋体" w:hAnsi="宋体"/>
          <w:color w:val="auto"/>
          <w:szCs w:val="21"/>
          <w:lang w:eastAsia="zh-CN"/>
        </w:rPr>
        <w:t>（</w:t>
      </w:r>
      <w:r>
        <w:rPr>
          <w:rFonts w:hint="eastAsia" w:ascii="宋体" w:hAnsi="宋体" w:cs="宋体"/>
          <w:color w:val="auto"/>
          <w:szCs w:val="21"/>
          <w:highlight w:val="none"/>
        </w:rPr>
        <w:t>应包含方案描述、系统设计、网络架构等基本内容</w:t>
      </w:r>
      <w:r>
        <w:rPr>
          <w:rFonts w:hint="eastAsia" w:ascii="宋体" w:hAnsi="宋体"/>
          <w:color w:val="auto"/>
          <w:szCs w:val="21"/>
          <w:lang w:eastAsia="zh-CN"/>
        </w:rPr>
        <w:t>）</w:t>
      </w:r>
      <w:r>
        <w:rPr>
          <w:rFonts w:hint="eastAsia" w:ascii="宋体" w:hAnsi="宋体"/>
          <w:color w:val="auto"/>
          <w:szCs w:val="21"/>
        </w:rPr>
        <w:t>（格式自拟）</w:t>
      </w:r>
    </w:p>
    <w:p w14:paraId="34995E38">
      <w:pPr>
        <w:snapToGrid w:val="0"/>
        <w:spacing w:line="406" w:lineRule="exact"/>
        <w:ind w:firstLine="422" w:firstLineChars="200"/>
        <w:rPr>
          <w:rFonts w:hint="eastAsia" w:ascii="宋体" w:hAnsi="宋体"/>
          <w:color w:val="auto"/>
          <w:szCs w:val="21"/>
        </w:rPr>
      </w:pPr>
      <w:r>
        <w:rPr>
          <w:rFonts w:hint="eastAsia" w:ascii="宋体" w:hAnsi="宋体"/>
          <w:b/>
          <w:color w:val="auto"/>
          <w:szCs w:val="21"/>
        </w:rPr>
        <w:t>★</w:t>
      </w:r>
      <w:r>
        <w:rPr>
          <w:rFonts w:hint="eastAsia" w:ascii="宋体" w:hAnsi="宋体"/>
          <w:color w:val="auto"/>
          <w:szCs w:val="21"/>
        </w:rPr>
        <w:t>(</w:t>
      </w:r>
      <w:r>
        <w:rPr>
          <w:rFonts w:hint="eastAsia" w:ascii="宋体" w:hAnsi="宋体"/>
          <w:color w:val="auto"/>
          <w:szCs w:val="21"/>
          <w:lang w:val="en-US" w:eastAsia="zh-CN"/>
        </w:rPr>
        <w:t>10</w:t>
      </w:r>
      <w:r>
        <w:rPr>
          <w:rFonts w:hint="eastAsia" w:ascii="宋体" w:hAnsi="宋体"/>
          <w:color w:val="auto"/>
          <w:szCs w:val="21"/>
        </w:rPr>
        <w:t>)质量和保密保证措施及承诺（格式自拟）</w:t>
      </w:r>
    </w:p>
    <w:p w14:paraId="4541D681">
      <w:pPr>
        <w:snapToGrid w:val="0"/>
        <w:spacing w:line="406" w:lineRule="exact"/>
        <w:ind w:firstLine="630" w:firstLineChars="300"/>
        <w:rPr>
          <w:color w:val="auto"/>
        </w:rPr>
      </w:pPr>
      <w:r>
        <w:rPr>
          <w:rFonts w:hint="eastAsia" w:ascii="宋体" w:hAnsi="宋体"/>
          <w:color w:val="auto"/>
          <w:szCs w:val="21"/>
        </w:rPr>
        <w:t>(</w:t>
      </w:r>
      <w:r>
        <w:rPr>
          <w:rFonts w:hint="eastAsia" w:ascii="宋体" w:hAnsi="宋体"/>
          <w:color w:val="auto"/>
          <w:szCs w:val="21"/>
          <w:lang w:val="en-US" w:eastAsia="zh-CN"/>
        </w:rPr>
        <w:t>11</w:t>
      </w:r>
      <w:r>
        <w:rPr>
          <w:rFonts w:hint="eastAsia" w:ascii="宋体" w:hAnsi="宋体"/>
          <w:color w:val="auto"/>
          <w:szCs w:val="21"/>
        </w:rPr>
        <w:t>)供应商认为有必要提</w:t>
      </w:r>
      <w:r>
        <w:rPr>
          <w:rFonts w:hint="eastAsia" w:ascii="宋体" w:hAnsi="宋体"/>
          <w:bCs/>
          <w:color w:val="auto"/>
          <w:szCs w:val="21"/>
        </w:rPr>
        <w:t>供的声明或材料</w:t>
      </w:r>
    </w:p>
    <w:p w14:paraId="7DB88E9A">
      <w:pPr>
        <w:snapToGrid w:val="0"/>
        <w:ind w:firstLine="627" w:firstLineChars="299"/>
        <w:rPr>
          <w:rFonts w:hint="eastAsia" w:ascii="宋体" w:hAnsi="宋体"/>
          <w:color w:val="auto"/>
          <w:highlight w:val="none"/>
        </w:rPr>
      </w:pPr>
    </w:p>
    <w:p w14:paraId="727DB34A">
      <w:pPr>
        <w:snapToGrid w:val="0"/>
        <w:ind w:firstLine="422"/>
        <w:rPr>
          <w:rFonts w:hint="eastAsia"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报价文件</w:t>
      </w:r>
    </w:p>
    <w:p w14:paraId="43994DE5">
      <w:pPr>
        <w:snapToGrid w:val="0"/>
        <w:ind w:firstLine="422"/>
        <w:rPr>
          <w:rFonts w:hint="eastAsia" w:ascii="宋体" w:hAnsi="宋体"/>
          <w:b/>
          <w:color w:val="auto"/>
          <w:szCs w:val="21"/>
          <w:highlight w:val="none"/>
        </w:rPr>
      </w:pPr>
      <w:r>
        <w:rPr>
          <w:rFonts w:hint="eastAsia" w:ascii="宋体" w:hAnsi="宋体"/>
          <w:b/>
          <w:color w:val="auto"/>
          <w:szCs w:val="21"/>
          <w:highlight w:val="none"/>
        </w:rPr>
        <w:t>★</w:t>
      </w:r>
      <w:r>
        <w:rPr>
          <w:rFonts w:hint="eastAsia" w:ascii="宋体" w:hAnsi="宋体"/>
          <w:bCs/>
          <w:color w:val="auto"/>
          <w:szCs w:val="21"/>
          <w:highlight w:val="none"/>
        </w:rPr>
        <w:t>(</w:t>
      </w:r>
      <w:r>
        <w:rPr>
          <w:rFonts w:ascii="宋体" w:hAnsi="宋体"/>
          <w:bCs/>
          <w:color w:val="auto"/>
          <w:szCs w:val="21"/>
          <w:highlight w:val="none"/>
        </w:rPr>
        <w:t>1)</w:t>
      </w:r>
      <w:r>
        <w:rPr>
          <w:rFonts w:hint="eastAsia" w:ascii="宋体" w:hAnsi="宋体"/>
          <w:color w:val="auto"/>
          <w:szCs w:val="21"/>
          <w:highlight w:val="none"/>
        </w:rPr>
        <w:t>开标一览表(格式见第六章)</w:t>
      </w:r>
    </w:p>
    <w:bookmarkEnd w:id="126"/>
    <w:p w14:paraId="2336FBC2">
      <w:pPr>
        <w:snapToGrid w:val="0"/>
        <w:ind w:firstLine="420"/>
        <w:rPr>
          <w:rFonts w:ascii="宋体" w:hAnsi="宋体"/>
          <w:color w:val="auto"/>
          <w:szCs w:val="21"/>
          <w:highlight w:val="none"/>
        </w:rPr>
      </w:pPr>
      <w:r>
        <w:rPr>
          <w:rFonts w:hint="eastAsia" w:ascii="宋体" w:hAnsi="宋体"/>
          <w:color w:val="auto"/>
          <w:szCs w:val="21"/>
          <w:highlight w:val="none"/>
        </w:rPr>
        <w:t>注：①标注★号的材料均为必须提供的材料须由投标人并加盖公章，授权委托书必须由法定代表人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签名，开标一览表必须由法定代表人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或授权代表签名，否则视为无效投标文件。</w:t>
      </w:r>
    </w:p>
    <w:p w14:paraId="0AC71C01">
      <w:pPr>
        <w:snapToGrid w:val="0"/>
        <w:ind w:firstLine="420"/>
        <w:rPr>
          <w:rFonts w:hint="eastAsia" w:ascii="宋体" w:hAnsi="宋体"/>
          <w:color w:val="auto"/>
          <w:szCs w:val="21"/>
          <w:highlight w:val="none"/>
        </w:rPr>
      </w:pPr>
      <w:r>
        <w:rPr>
          <w:rFonts w:hint="eastAsia" w:ascii="宋体" w:hAnsi="宋体"/>
          <w:color w:val="auto"/>
          <w:szCs w:val="21"/>
          <w:highlight w:val="none"/>
        </w:rPr>
        <w:t>②授权委托书必须由法定代表人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签名并加盖公章，开标一览表必须由法定代表人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或授权代表签名并加盖公章，否则投标无效。</w:t>
      </w:r>
    </w:p>
    <w:p w14:paraId="1AE60708">
      <w:pPr>
        <w:widowControl/>
        <w:spacing w:line="406" w:lineRule="exact"/>
        <w:ind w:firstLine="420"/>
        <w:jc w:val="left"/>
        <w:rPr>
          <w:rFonts w:hint="eastAsia" w:ascii="宋体" w:hAnsi="宋体" w:cs="Courier New"/>
          <w:color w:val="auto"/>
          <w:szCs w:val="21"/>
          <w:highlight w:val="none"/>
        </w:rPr>
      </w:pPr>
      <w:bookmarkStart w:id="131" w:name="_Hlk141695484"/>
      <w:bookmarkStart w:id="132" w:name="_Hlk111726335"/>
      <w:bookmarkStart w:id="133" w:name="_Hlk112424577"/>
      <w:r>
        <w:rPr>
          <w:rFonts w:hint="eastAsia" w:ascii="宋体" w:hAnsi="宋体" w:cs="Courier New"/>
          <w:color w:val="auto"/>
          <w:szCs w:val="21"/>
          <w:highlight w:val="none"/>
        </w:rPr>
        <w:t>③承接服务的企业</w:t>
      </w:r>
      <w:bookmarkEnd w:id="131"/>
      <w:r>
        <w:rPr>
          <w:rFonts w:hint="eastAsia" w:ascii="宋体" w:hAnsi="宋体" w:cs="Courier New"/>
          <w:color w:val="auto"/>
          <w:szCs w:val="21"/>
          <w:highlight w:val="none"/>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投标人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w:t>
      </w:r>
      <w:bookmarkEnd w:id="132"/>
    </w:p>
    <w:bookmarkEnd w:id="121"/>
    <w:bookmarkEnd w:id="122"/>
    <w:bookmarkEnd w:id="123"/>
    <w:bookmarkEnd w:id="124"/>
    <w:bookmarkEnd w:id="125"/>
    <w:bookmarkEnd w:id="133"/>
    <w:p w14:paraId="0903F243">
      <w:pPr>
        <w:ind w:firstLine="211" w:firstLineChars="100"/>
        <w:rPr>
          <w:rFonts w:ascii="宋体" w:hAnsi="宋体"/>
          <w:b/>
          <w:bCs/>
          <w:color w:val="auto"/>
          <w:szCs w:val="21"/>
          <w:highlight w:val="none"/>
        </w:rPr>
      </w:pPr>
      <w:bookmarkStart w:id="134" w:name="_Hlk90906323"/>
      <w:bookmarkStart w:id="135" w:name="_Hlk92447223"/>
      <w:r>
        <w:rPr>
          <w:rFonts w:hint="eastAsia" w:ascii="宋体" w:hAnsi="宋体"/>
          <w:b/>
          <w:color w:val="auto"/>
          <w:szCs w:val="21"/>
          <w:highlight w:val="none"/>
        </w:rPr>
        <w:t>(三)</w:t>
      </w:r>
      <w:bookmarkStart w:id="136" w:name="_Toc254970678"/>
      <w:bookmarkStart w:id="137" w:name="_Toc254970537"/>
      <w:bookmarkStart w:id="138" w:name="_Toc353785292"/>
      <w:bookmarkStart w:id="139" w:name="_Toc352700422"/>
      <w:r>
        <w:rPr>
          <w:rFonts w:hint="eastAsia" w:ascii="宋体" w:hAnsi="宋体"/>
          <w:b/>
          <w:bCs/>
          <w:color w:val="auto"/>
          <w:szCs w:val="21"/>
          <w:highlight w:val="none"/>
        </w:rPr>
        <w:t>投标文件的编制、签署及加密</w:t>
      </w:r>
    </w:p>
    <w:p w14:paraId="0CB81E3E">
      <w:pPr>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投标人应认真阅读、并充分理解招标文件的全部内容(包括所有的补充、修改内容)，承诺履行其各项条款的规定并按要求编制，投标文件应为电子文件或扫描件(样品除外)。</w:t>
      </w:r>
    </w:p>
    <w:p w14:paraId="61CA99EA">
      <w:pPr>
        <w:ind w:firstLine="42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投标人应通过政采云投标客户端编制加密投标文件。</w:t>
      </w:r>
    </w:p>
    <w:p w14:paraId="37E0D902">
      <w:pPr>
        <w:ind w:firstLine="42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标文件由资格文件、商务技术文件和报价文件组成，投标人应按规定的顺序编制并标注页码、准确设置评审关联点，未设置或未正确设置关联点而导致投标文件被误读、漏读或者查找不到相关响应内容的责任和后果由投标人承担。</w:t>
      </w:r>
    </w:p>
    <w:p w14:paraId="066AC439">
      <w:pPr>
        <w:ind w:firstLine="0" w:firstLineChars="0"/>
        <w:rPr>
          <w:rFonts w:ascii="宋体" w:hAnsi="宋体"/>
          <w:b/>
          <w:bCs/>
          <w:color w:val="auto"/>
          <w:szCs w:val="21"/>
          <w:highlight w:val="none"/>
        </w:rPr>
      </w:pPr>
      <w:r>
        <w:rPr>
          <w:rFonts w:ascii="宋体" w:hAnsi="宋体"/>
          <w:color w:val="auto"/>
          <w:szCs w:val="21"/>
          <w:highlight w:val="none"/>
        </w:rPr>
        <w:tab/>
      </w:r>
      <w:r>
        <w:rPr>
          <w:rFonts w:ascii="宋体" w:hAnsi="宋体"/>
          <w:b/>
          <w:bCs/>
          <w:color w:val="auto"/>
          <w:szCs w:val="21"/>
          <w:highlight w:val="none"/>
        </w:rPr>
        <w:t>4.</w:t>
      </w:r>
      <w:r>
        <w:rPr>
          <w:rFonts w:hint="eastAsia" w:ascii="宋体" w:hAnsi="宋体"/>
          <w:b/>
          <w:bCs/>
          <w:color w:val="auto"/>
          <w:szCs w:val="21"/>
          <w:highlight w:val="none"/>
        </w:rPr>
        <w:t>投标文件由投标人在规定位置由法定代表人</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负责人</w:t>
      </w:r>
      <w:r>
        <w:rPr>
          <w:rFonts w:hint="eastAsia" w:ascii="宋体" w:hAnsi="宋体"/>
          <w:b/>
          <w:bCs/>
          <w:color w:val="auto"/>
          <w:szCs w:val="21"/>
          <w:highlight w:val="none"/>
          <w:lang w:eastAsia="zh-CN"/>
        </w:rPr>
        <w:t>）</w:t>
      </w:r>
      <w:r>
        <w:rPr>
          <w:rFonts w:hint="eastAsia" w:ascii="宋体" w:hAnsi="宋体"/>
          <w:b/>
          <w:bCs/>
          <w:color w:val="auto"/>
          <w:szCs w:val="21"/>
          <w:highlight w:val="none"/>
        </w:rPr>
        <w:t>或授权委托人签名(可为电子签名)、填写投标人名称，并加盖公章(简称“盖章”，可为电子公章)，投标人名称应写全称。</w:t>
      </w:r>
    </w:p>
    <w:p w14:paraId="5B261B60">
      <w:pPr>
        <w:snapToGrid w:val="0"/>
        <w:ind w:firstLine="210" w:firstLineChars="100"/>
        <w:rPr>
          <w:rFonts w:ascii="宋体" w:hAnsi="宋体"/>
          <w:b/>
          <w:bCs/>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投标文件内容不完整、编排混乱、不清晰等原因导致被误读或漏读的责任和后果由投标人承担。</w:t>
      </w:r>
    </w:p>
    <w:bookmarkEnd w:id="134"/>
    <w:p w14:paraId="308C2AA8">
      <w:pPr>
        <w:ind w:firstLine="211" w:firstLineChars="100"/>
        <w:rPr>
          <w:rFonts w:ascii="宋体" w:hAnsi="宋体"/>
          <w:color w:val="auto"/>
          <w:highlight w:val="none"/>
        </w:rPr>
      </w:pPr>
      <w:r>
        <w:rPr>
          <w:rFonts w:hint="eastAsia" w:ascii="宋体" w:hAnsi="宋体"/>
          <w:b/>
          <w:bCs/>
          <w:color w:val="auto"/>
          <w:highlight w:val="none"/>
        </w:rPr>
        <w:t>(四)投标文件的语言及计量</w:t>
      </w:r>
      <w:bookmarkEnd w:id="136"/>
      <w:bookmarkEnd w:id="137"/>
      <w:bookmarkEnd w:id="138"/>
      <w:bookmarkEnd w:id="139"/>
    </w:p>
    <w:p w14:paraId="0C8CD256">
      <w:pPr>
        <w:snapToGrid w:val="0"/>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投标文件以及投标人与采购人、本中心就有关投标事宜的所有来往函电，均应以中文汉语书写。除签名、盖章、专用名称等特殊情形外，以中文汉语以外的文字表述的视为无效文件。</w:t>
      </w:r>
    </w:p>
    <w:p w14:paraId="094BEA6D">
      <w:pPr>
        <w:snapToGrid w:val="0"/>
        <w:ind w:firstLine="42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投标计量单位，招标文件已有明确规定的，使用招标文件规定的计量单位；招标文件没有规定的，应采用中华人民共和国法定计量单位(货币单位：人民币元)，否则视为无效投标文件。</w:t>
      </w:r>
    </w:p>
    <w:bookmarkEnd w:id="135"/>
    <w:p w14:paraId="46C782CD">
      <w:pPr>
        <w:pStyle w:val="3"/>
        <w:spacing w:before="0" w:after="0" w:line="400" w:lineRule="exact"/>
        <w:ind w:firstLine="211" w:firstLineChars="100"/>
        <w:rPr>
          <w:rFonts w:ascii="宋体" w:hAnsi="宋体" w:eastAsia="宋体"/>
          <w:color w:val="auto"/>
          <w:sz w:val="21"/>
          <w:szCs w:val="21"/>
          <w:highlight w:val="none"/>
        </w:rPr>
      </w:pPr>
      <w:bookmarkStart w:id="140" w:name="_（五）投标报价"/>
      <w:bookmarkEnd w:id="140"/>
      <w:bookmarkStart w:id="141" w:name="_Toc254970538"/>
      <w:bookmarkStart w:id="142" w:name="_Toc352700423"/>
      <w:bookmarkStart w:id="143" w:name="_Toc353785293"/>
      <w:bookmarkStart w:id="144" w:name="_Toc254970679"/>
      <w:bookmarkStart w:id="145" w:name="_Hlk92447977"/>
      <w:r>
        <w:rPr>
          <w:rFonts w:hint="eastAsia" w:ascii="宋体" w:hAnsi="宋体" w:eastAsia="宋体"/>
          <w:color w:val="auto"/>
          <w:sz w:val="21"/>
          <w:szCs w:val="21"/>
          <w:highlight w:val="none"/>
        </w:rPr>
        <w:t>(五)投标报价</w:t>
      </w:r>
      <w:bookmarkEnd w:id="141"/>
      <w:bookmarkEnd w:id="142"/>
      <w:bookmarkEnd w:id="143"/>
      <w:bookmarkEnd w:id="144"/>
    </w:p>
    <w:p w14:paraId="3A0913E2">
      <w:pPr>
        <w:pStyle w:val="29"/>
        <w:snapToGrid w:val="0"/>
        <w:ind w:firstLine="420"/>
        <w:rPr>
          <w:rFonts w:hAnsi="宋体"/>
          <w:color w:val="auto"/>
          <w:highlight w:val="none"/>
        </w:rPr>
      </w:pPr>
      <w:r>
        <w:rPr>
          <w:rFonts w:hAnsi="宋体"/>
          <w:color w:val="auto"/>
          <w:highlight w:val="none"/>
        </w:rPr>
        <w:t>1.</w:t>
      </w:r>
      <w:r>
        <w:rPr>
          <w:rFonts w:hint="eastAsia" w:hAnsi="宋体"/>
          <w:color w:val="auto"/>
          <w:highlight w:val="none"/>
        </w:rPr>
        <w:t>招标文件中未列明，而投标人认为必需的费用也须列入总报价。在合同实施时，采购人将不予支付中标人没有列入总报价的费用，并认为此项费用已包含在总报价中。</w:t>
      </w:r>
    </w:p>
    <w:p w14:paraId="09B7F447">
      <w:pPr>
        <w:pStyle w:val="29"/>
        <w:snapToGrid w:val="0"/>
        <w:ind w:firstLine="420"/>
        <w:rPr>
          <w:rFonts w:hAnsi="宋体"/>
          <w:color w:val="auto"/>
          <w:highlight w:val="none"/>
        </w:rPr>
      </w:pPr>
      <w:r>
        <w:rPr>
          <w:rFonts w:hAnsi="宋体"/>
          <w:color w:val="auto"/>
          <w:highlight w:val="none"/>
        </w:rPr>
        <w:t>2.</w:t>
      </w:r>
      <w:r>
        <w:rPr>
          <w:rFonts w:hint="eastAsia" w:hAnsi="宋体"/>
          <w:color w:val="auto"/>
          <w:highlight w:val="none"/>
        </w:rPr>
        <w:t>投标报价应按招标文件中相关附表格式填写。投标人必须就《项目需求》的内容作完整唯一报价。</w:t>
      </w:r>
    </w:p>
    <w:p w14:paraId="22A70767">
      <w:pPr>
        <w:tabs>
          <w:tab w:val="left" w:pos="525"/>
        </w:tabs>
        <w:snapToGrid w:val="0"/>
        <w:ind w:firstLine="42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投标文件每标项只允许有一个总报价，有选择的或有条件的报价视为无效投标文件。</w:t>
      </w:r>
    </w:p>
    <w:p w14:paraId="6C17834D">
      <w:pPr>
        <w:pStyle w:val="3"/>
        <w:spacing w:before="0" w:after="0" w:line="400" w:lineRule="exact"/>
        <w:ind w:firstLine="211" w:firstLineChars="100"/>
        <w:rPr>
          <w:rFonts w:ascii="宋体" w:hAnsi="宋体" w:eastAsia="宋体"/>
          <w:color w:val="auto"/>
          <w:sz w:val="21"/>
          <w:szCs w:val="21"/>
          <w:highlight w:val="none"/>
        </w:rPr>
      </w:pPr>
      <w:bookmarkStart w:id="146" w:name="_（六）投标文件有效期"/>
      <w:bookmarkEnd w:id="146"/>
      <w:bookmarkStart w:id="147" w:name="_Toc352700424"/>
      <w:bookmarkStart w:id="148" w:name="_Toc353785294"/>
      <w:r>
        <w:rPr>
          <w:rFonts w:hint="eastAsia" w:ascii="宋体" w:hAnsi="宋体" w:eastAsia="宋体"/>
          <w:color w:val="auto"/>
          <w:sz w:val="21"/>
          <w:szCs w:val="21"/>
          <w:highlight w:val="none"/>
        </w:rPr>
        <w:t>(六)投标有效期</w:t>
      </w:r>
      <w:bookmarkEnd w:id="145"/>
      <w:bookmarkEnd w:id="147"/>
      <w:bookmarkEnd w:id="148"/>
      <w:bookmarkStart w:id="149" w:name="_（七）投标保证金"/>
      <w:bookmarkEnd w:id="149"/>
      <w:bookmarkStart w:id="150" w:name="_Toc352700425"/>
      <w:bookmarkStart w:id="151" w:name="_Toc353785295"/>
      <w:bookmarkStart w:id="152" w:name="_Toc254970541"/>
      <w:bookmarkStart w:id="153" w:name="_Toc254970682"/>
      <w:bookmarkStart w:id="154" w:name="_Hlk92448848"/>
    </w:p>
    <w:p w14:paraId="0EC0C347">
      <w:pPr>
        <w:ind w:firstLine="420"/>
        <w:rPr>
          <w:rFonts w:ascii="宋体" w:hAnsi="宋体"/>
          <w:color w:val="auto"/>
          <w:highlight w:val="none"/>
        </w:rPr>
      </w:pPr>
      <w:r>
        <w:rPr>
          <w:rFonts w:hint="eastAsia" w:ascii="宋体" w:hAnsi="宋体"/>
          <w:color w:val="auto"/>
          <w:highlight w:val="none"/>
        </w:rPr>
        <w:t>投标有效期从提交投标文件的截止之日起算。投标文件中承诺的投标有效期应当不少于9</w:t>
      </w:r>
      <w:r>
        <w:rPr>
          <w:rFonts w:ascii="宋体" w:hAnsi="宋体"/>
          <w:color w:val="auto"/>
          <w:highlight w:val="none"/>
        </w:rPr>
        <w:t>0</w:t>
      </w:r>
      <w:r>
        <w:rPr>
          <w:rFonts w:hint="eastAsia" w:ascii="宋体" w:hAnsi="宋体"/>
          <w:color w:val="auto"/>
          <w:highlight w:val="none"/>
        </w:rPr>
        <w:t>天。</w:t>
      </w:r>
    </w:p>
    <w:p w14:paraId="4473962E">
      <w:pPr>
        <w:pStyle w:val="3"/>
        <w:spacing w:before="0" w:after="0" w:line="400" w:lineRule="exact"/>
        <w:ind w:firstLine="211" w:firstLineChars="100"/>
        <w:rPr>
          <w:rFonts w:ascii="宋体" w:hAnsi="宋体" w:eastAsia="宋体"/>
          <w:color w:val="auto"/>
          <w:sz w:val="21"/>
          <w:szCs w:val="21"/>
          <w:highlight w:val="none"/>
        </w:rPr>
      </w:pPr>
      <w:r>
        <w:rPr>
          <w:rFonts w:hint="eastAsia" w:ascii="宋体" w:hAnsi="宋体" w:eastAsia="宋体"/>
          <w:color w:val="auto"/>
          <w:sz w:val="21"/>
          <w:szCs w:val="21"/>
          <w:highlight w:val="none"/>
        </w:rPr>
        <w:t>(七)投标保证金</w:t>
      </w:r>
      <w:bookmarkEnd w:id="150"/>
      <w:bookmarkEnd w:id="151"/>
      <w:bookmarkEnd w:id="152"/>
      <w:bookmarkEnd w:id="153"/>
    </w:p>
    <w:p w14:paraId="37A06147">
      <w:pPr>
        <w:snapToGrid w:val="0"/>
        <w:ind w:firstLine="420"/>
        <w:rPr>
          <w:rFonts w:hint="eastAsia" w:ascii="宋体" w:hAnsi="宋体" w:eastAsia="宋体"/>
          <w:color w:val="auto"/>
          <w:highlight w:val="none"/>
          <w:lang w:eastAsia="zh-CN"/>
        </w:rPr>
      </w:pPr>
      <w:bookmarkStart w:id="155" w:name="_Toc353785296"/>
      <w:bookmarkStart w:id="156" w:name="_Toc254970542"/>
      <w:bookmarkStart w:id="157" w:name="_Toc254970683"/>
      <w:bookmarkStart w:id="158" w:name="_Toc352700426"/>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投标保证金金额：投标人须按“投标人须知前附表”的规定提交投标保证金。</w:t>
      </w:r>
    </w:p>
    <w:p w14:paraId="39EF2C1A">
      <w:pPr>
        <w:snapToGrid w:val="0"/>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提交方式：以支票、汇票、本票、网上银行支付</w:t>
      </w:r>
      <w:bookmarkStart w:id="159" w:name="_Hlk91771269"/>
      <w:r>
        <w:rPr>
          <w:rFonts w:hint="eastAsia" w:ascii="宋体" w:hAnsi="宋体"/>
          <w:color w:val="auto"/>
          <w:szCs w:val="21"/>
          <w:highlight w:val="none"/>
        </w:rPr>
        <w:t>或者金融机构、担保机构出具的保函</w:t>
      </w:r>
      <w:bookmarkEnd w:id="159"/>
      <w:r>
        <w:rPr>
          <w:rFonts w:hint="eastAsia" w:ascii="宋体" w:hAnsi="宋体"/>
          <w:color w:val="auto"/>
          <w:szCs w:val="21"/>
          <w:highlight w:val="none"/>
        </w:rPr>
        <w:t>等非现金形式提交。</w:t>
      </w:r>
    </w:p>
    <w:p w14:paraId="58FAC3F9">
      <w:pPr>
        <w:snapToGrid w:val="0"/>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以支票、汇票、本票或者金融机构、担保机构出具的保函等形式提交保证金的，投标人必须将票据、保函等原件于投标文件提交截止时间前递交至本中心财务室(地址:广西钦州市钦南区水东街区金海湾东大街8号市政务服务中心二楼市政府采购中心财务室，联系方式:0777-2886026)。</w:t>
      </w:r>
    </w:p>
    <w:p w14:paraId="7F4757C7">
      <w:pPr>
        <w:snapToGrid w:val="0"/>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以网上银行形式提交保证金的，投标人必须于投标文件提交截止时间前从投标人账户缴存至本中心银行账户并确保到账，否则视为无效保证金。</w:t>
      </w:r>
    </w:p>
    <w:p w14:paraId="19162B85">
      <w:pPr>
        <w:snapToGrid w:val="0"/>
        <w:ind w:firstLine="0" w:firstLineChars="0"/>
        <w:rPr>
          <w:rFonts w:hint="eastAsia"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本中心银行账户：</w:t>
      </w:r>
    </w:p>
    <w:p w14:paraId="1B34AF5B">
      <w:pPr>
        <w:snapToGrid w:val="0"/>
        <w:ind w:firstLine="0" w:firstLineChars="0"/>
        <w:rPr>
          <w:rFonts w:ascii="宋体" w:hAnsi="宋体"/>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开户名称：钦州市政府采购中心</w:t>
      </w:r>
    </w:p>
    <w:p w14:paraId="5237D1ED">
      <w:pPr>
        <w:snapToGrid w:val="0"/>
        <w:ind w:firstLine="0" w:firstLineChars="0"/>
        <w:rPr>
          <w:rFonts w:hint="eastAsia" w:ascii="宋体" w:hAnsi="宋体"/>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开户银行：中国工商银行股份有限公司钦州市永福东支行</w:t>
      </w:r>
    </w:p>
    <w:p w14:paraId="6948A4D6">
      <w:pPr>
        <w:snapToGrid w:val="0"/>
        <w:ind w:firstLine="0" w:firstLineChars="0"/>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银行账号：2115591229100078724</w:t>
      </w:r>
    </w:p>
    <w:p w14:paraId="6A76781D">
      <w:pPr>
        <w:ind w:firstLine="420"/>
        <w:rPr>
          <w:rFonts w:hint="eastAsia"/>
          <w:color w:val="auto"/>
          <w:highlight w:val="none"/>
        </w:rPr>
      </w:pPr>
      <w:r>
        <w:rPr>
          <w:rFonts w:hint="eastAsia"/>
          <w:color w:val="auto"/>
          <w:highlight w:val="none"/>
        </w:rPr>
        <w:t>注：供应商无法选择以上开户银行的，请选择“中国工商银行股份有限公司钦州分行”进行缴存。</w:t>
      </w:r>
    </w:p>
    <w:p w14:paraId="6DF2ECA9">
      <w:pPr>
        <w:snapToGrid w:val="0"/>
        <w:ind w:firstLine="0" w:firstLineChars="0"/>
        <w:rPr>
          <w:rFonts w:hint="eastAsia" w:ascii="宋体" w:hAnsi="宋体"/>
          <w:color w:val="auto"/>
          <w:szCs w:val="21"/>
          <w:highlight w:val="none"/>
        </w:rPr>
      </w:pPr>
      <w:r>
        <w:rPr>
          <w:rFonts w:hint="eastAsia" w:ascii="宋体" w:hAnsi="宋体"/>
          <w:color w:val="auto"/>
          <w:szCs w:val="21"/>
          <w:highlight w:val="none"/>
        </w:rPr>
        <w:tab/>
      </w:r>
      <w:r>
        <w:rPr>
          <w:rFonts w:ascii="宋体" w:hAnsi="宋体"/>
          <w:color w:val="auto"/>
          <w:szCs w:val="21"/>
          <w:highlight w:val="none"/>
        </w:rPr>
        <w:t>3.</w:t>
      </w:r>
      <w:r>
        <w:rPr>
          <w:rFonts w:hint="eastAsia" w:ascii="宋体" w:hAnsi="宋体"/>
          <w:color w:val="auto"/>
          <w:szCs w:val="21"/>
          <w:highlight w:val="none"/>
        </w:rPr>
        <w:t>评标委员会将以投标人递交的支票、汇票、本票、保函原件以及本中心财务室出具的《保证金收缴情况表》作为评审依据，对未按规定提交投标保证金的投标文件作无效处理。</w:t>
      </w:r>
    </w:p>
    <w:p w14:paraId="56B574DD">
      <w:pPr>
        <w:snapToGrid w:val="0"/>
        <w:ind w:firstLine="42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保证金的退付：</w:t>
      </w:r>
    </w:p>
    <w:tbl>
      <w:tblPr>
        <w:tblStyle w:val="51"/>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4394"/>
        <w:gridCol w:w="3260"/>
      </w:tblGrid>
      <w:tr w14:paraId="14A7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l2br w:val="single" w:color="auto" w:sz="4" w:space="0"/>
            </w:tcBorders>
            <w:noWrap w:val="0"/>
            <w:vAlign w:val="center"/>
          </w:tcPr>
          <w:p w14:paraId="06C9AE6D">
            <w:pPr>
              <w:snapToGrid w:val="0"/>
              <w:spacing w:line="370" w:lineRule="exact"/>
              <w:ind w:firstLine="33" w:firstLineChars="1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提交形式</w:t>
            </w:r>
          </w:p>
          <w:p w14:paraId="7603D34D">
            <w:pPr>
              <w:snapToGrid w:val="0"/>
              <w:spacing w:line="37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投标人</w:t>
            </w:r>
          </w:p>
        </w:tc>
        <w:tc>
          <w:tcPr>
            <w:tcW w:w="4394" w:type="dxa"/>
            <w:noWrap w:val="0"/>
            <w:vAlign w:val="center"/>
          </w:tcPr>
          <w:p w14:paraId="2BEECC48">
            <w:pPr>
              <w:snapToGrid w:val="0"/>
              <w:spacing w:line="370" w:lineRule="exact"/>
              <w:ind w:firstLine="0" w:firstLineChars="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网上银行形式</w:t>
            </w:r>
          </w:p>
        </w:tc>
        <w:tc>
          <w:tcPr>
            <w:tcW w:w="3260" w:type="dxa"/>
            <w:noWrap w:val="0"/>
            <w:vAlign w:val="center"/>
          </w:tcPr>
          <w:p w14:paraId="56CCD6F0">
            <w:pPr>
              <w:snapToGrid w:val="0"/>
              <w:spacing w:line="370" w:lineRule="exact"/>
              <w:ind w:firstLine="0" w:firstLineChars="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支票、汇票、本票、保函等形式</w:t>
            </w:r>
          </w:p>
        </w:tc>
      </w:tr>
      <w:tr w14:paraId="137F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center"/>
          </w:tcPr>
          <w:p w14:paraId="13DBF2BA">
            <w:pPr>
              <w:snapToGrid w:val="0"/>
              <w:spacing w:line="440" w:lineRule="exact"/>
              <w:ind w:firstLine="0" w:firstLineChars="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未中标人</w:t>
            </w:r>
          </w:p>
        </w:tc>
        <w:tc>
          <w:tcPr>
            <w:tcW w:w="4394" w:type="dxa"/>
            <w:noWrap w:val="0"/>
            <w:vAlign w:val="center"/>
          </w:tcPr>
          <w:p w14:paraId="362307C6">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中标通知书(结果公告)发出之日起四个工作日内以网上银行形式退回到投标人银行账户。</w:t>
            </w:r>
          </w:p>
        </w:tc>
        <w:tc>
          <w:tcPr>
            <w:tcW w:w="3260" w:type="dxa"/>
            <w:noWrap w:val="0"/>
            <w:vAlign w:val="center"/>
          </w:tcPr>
          <w:p w14:paraId="40C75C85">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中标通知书(结果公告)发出之日起四个工作日内退还。</w:t>
            </w:r>
          </w:p>
        </w:tc>
      </w:tr>
      <w:tr w14:paraId="1A0A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center"/>
          </w:tcPr>
          <w:p w14:paraId="2150EDFC">
            <w:pPr>
              <w:snapToGrid w:val="0"/>
              <w:spacing w:line="440" w:lineRule="exact"/>
              <w:ind w:firstLine="33" w:firstLineChars="16"/>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中标人</w:t>
            </w:r>
          </w:p>
        </w:tc>
        <w:tc>
          <w:tcPr>
            <w:tcW w:w="4394" w:type="dxa"/>
            <w:noWrap w:val="0"/>
            <w:vAlign w:val="center"/>
          </w:tcPr>
          <w:p w14:paraId="2B19DBB6">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在政府采购合同签订之日起四个工作日内以网上银行形式退回到投标人银行账户。</w:t>
            </w:r>
          </w:p>
        </w:tc>
        <w:tc>
          <w:tcPr>
            <w:tcW w:w="3260" w:type="dxa"/>
            <w:noWrap w:val="0"/>
            <w:vAlign w:val="center"/>
          </w:tcPr>
          <w:p w14:paraId="3D282A31">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在政府采购合同签订之日起四个工作日内退还。</w:t>
            </w:r>
          </w:p>
        </w:tc>
      </w:tr>
    </w:tbl>
    <w:p w14:paraId="5022A745">
      <w:pPr>
        <w:widowControl/>
        <w:spacing w:line="42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注：因投标人自身原因导致无法及时退还的除外</w:t>
      </w:r>
    </w:p>
    <w:p w14:paraId="3AE03E9C">
      <w:pPr>
        <w:snapToGrid w:val="0"/>
        <w:spacing w:line="410" w:lineRule="exact"/>
        <w:ind w:firstLine="420"/>
        <w:rPr>
          <w:rFonts w:hint="eastAsia"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投标人有下列情形之一的，投标保证金将不予退还：</w:t>
      </w:r>
    </w:p>
    <w:p w14:paraId="334C837A">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投标人在投标有效期内撤回投标文件的；</w:t>
      </w:r>
    </w:p>
    <w:p w14:paraId="63260E2E">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投标人在投标文件中提供虚假材料的；</w:t>
      </w:r>
    </w:p>
    <w:p w14:paraId="2C09B3F4">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投标人与其他投标人或采购代理机构恶意串通的；</w:t>
      </w:r>
    </w:p>
    <w:p w14:paraId="67050FEE">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中标人无正当理由不与采购人签订采购合同的；</w:t>
      </w:r>
    </w:p>
    <w:p w14:paraId="17D11673">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招标文件规定的其他情形。</w:t>
      </w:r>
    </w:p>
    <w:bookmarkEnd w:id="154"/>
    <w:bookmarkEnd w:id="155"/>
    <w:bookmarkEnd w:id="156"/>
    <w:bookmarkEnd w:id="157"/>
    <w:bookmarkEnd w:id="158"/>
    <w:p w14:paraId="2C09008A">
      <w:pPr>
        <w:spacing w:line="410" w:lineRule="exact"/>
        <w:ind w:firstLine="211" w:firstLineChars="100"/>
        <w:rPr>
          <w:rFonts w:ascii="宋体" w:hAnsi="宋体"/>
          <w:b/>
          <w:bCs/>
          <w:color w:val="auto"/>
          <w:highlight w:val="none"/>
        </w:rPr>
      </w:pPr>
      <w:r>
        <w:rPr>
          <w:rFonts w:hint="eastAsia" w:ascii="宋体" w:hAnsi="宋体"/>
          <w:b/>
          <w:bCs/>
          <w:color w:val="auto"/>
          <w:highlight w:val="none"/>
        </w:rPr>
        <w:t>(八)投标文件的上传、提交、修改、撤回</w:t>
      </w:r>
    </w:p>
    <w:p w14:paraId="6110F62E">
      <w:pPr>
        <w:snapToGrid w:val="0"/>
        <w:spacing w:line="410" w:lineRule="exact"/>
        <w:ind w:firstLine="420"/>
        <w:rPr>
          <w:rFonts w:hint="eastAsia" w:ascii="宋体" w:hAnsi="宋体"/>
          <w:color w:val="auto"/>
          <w:szCs w:val="21"/>
          <w:highlight w:val="none"/>
        </w:rPr>
      </w:pPr>
      <w:bookmarkStart w:id="160" w:name="_Toc353785297"/>
      <w:bookmarkStart w:id="161" w:name="_Toc352700427"/>
      <w:r>
        <w:rPr>
          <w:rFonts w:ascii="宋体" w:hAnsi="宋体"/>
          <w:color w:val="auto"/>
          <w:szCs w:val="21"/>
          <w:highlight w:val="none"/>
        </w:rPr>
        <w:t>1.</w:t>
      </w:r>
      <w:r>
        <w:rPr>
          <w:rFonts w:hint="eastAsia" w:ascii="宋体" w:hAnsi="宋体"/>
          <w:color w:val="auto"/>
          <w:szCs w:val="21"/>
          <w:highlight w:val="none"/>
        </w:rPr>
        <w:t>投标文件的上传和提交:投标人须将编制好的加密投标文件上传至政府采购云平台，并在投标文件提交截止时间前提交，否则</w:t>
      </w:r>
      <w:bookmarkStart w:id="162" w:name="_Hlk91772691"/>
      <w:r>
        <w:rPr>
          <w:rFonts w:hint="eastAsia" w:ascii="宋体" w:hAnsi="宋体"/>
          <w:color w:val="auto"/>
          <w:szCs w:val="21"/>
          <w:highlight w:val="none"/>
        </w:rPr>
        <w:t>政府采购云平台</w:t>
      </w:r>
      <w:bookmarkEnd w:id="162"/>
      <w:r>
        <w:rPr>
          <w:rFonts w:hint="eastAsia" w:ascii="宋体" w:hAnsi="宋体"/>
          <w:color w:val="auto"/>
          <w:szCs w:val="21"/>
          <w:highlight w:val="none"/>
        </w:rPr>
        <w:t>将予以拒收。投标文件提交成功后，投标人可自行打印投标文件接收回执。</w:t>
      </w:r>
    </w:p>
    <w:p w14:paraId="3027D62E">
      <w:pPr>
        <w:snapToGrid w:val="0"/>
        <w:spacing w:line="410" w:lineRule="exact"/>
        <w:ind w:firstLine="42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文件的修改和撤回：投标人在投标文件提交截止时间前可对投标文件进行补充、修改或者撤回。补充或者修改投标文件的，应当先行撤回原投标文件，补充、修改后重新上传、提交。投标文件提交截止时间前未完成重新提交的，视为撤回投标文件，投标文件提交截止时间后提交投标文件的，政府采购云平台将予以拒收。投标文件提交截止时间后，供应商不得撤回、修改投标文件。补充、修改的内容应当按照招标文件要求签署、盖章，作为投标文件的组成部分。</w:t>
      </w:r>
    </w:p>
    <w:p w14:paraId="3B10BA3D">
      <w:pPr>
        <w:snapToGrid w:val="0"/>
        <w:spacing w:line="410" w:lineRule="exact"/>
        <w:ind w:firstLine="420"/>
        <w:rPr>
          <w:rFonts w:hint="eastAsia" w:ascii="宋体" w:hAnsi="宋体"/>
          <w:color w:val="auto"/>
          <w:szCs w:val="21"/>
          <w:highlight w:val="none"/>
        </w:rPr>
      </w:pPr>
    </w:p>
    <w:p w14:paraId="2EC80E6E">
      <w:pPr>
        <w:pStyle w:val="3"/>
        <w:spacing w:before="0" w:after="0" w:line="410" w:lineRule="exact"/>
        <w:ind w:firstLine="0" w:firstLineChars="0"/>
        <w:rPr>
          <w:rFonts w:hint="eastAsia" w:ascii="宋体" w:hAnsi="宋体" w:eastAsia="宋体"/>
          <w:b w:val="0"/>
          <w:bCs w:val="0"/>
          <w:color w:val="auto"/>
          <w:sz w:val="24"/>
          <w:szCs w:val="24"/>
          <w:highlight w:val="none"/>
        </w:rPr>
      </w:pPr>
      <w:bookmarkStart w:id="163" w:name="_四、开标"/>
      <w:bookmarkEnd w:id="163"/>
      <w:r>
        <w:rPr>
          <w:rFonts w:hint="eastAsia" w:ascii="宋体" w:hAnsi="宋体" w:eastAsia="宋体"/>
          <w:b w:val="0"/>
          <w:bCs w:val="0"/>
          <w:color w:val="auto"/>
          <w:sz w:val="24"/>
          <w:szCs w:val="24"/>
          <w:highlight w:val="none"/>
        </w:rPr>
        <w:t>四、开标</w:t>
      </w:r>
      <w:bookmarkStart w:id="164" w:name="_Toc353785300"/>
      <w:bookmarkStart w:id="165" w:name="_Toc352700430"/>
    </w:p>
    <w:bookmarkEnd w:id="164"/>
    <w:bookmarkEnd w:id="165"/>
    <w:p w14:paraId="05174207">
      <w:pPr>
        <w:spacing w:line="410" w:lineRule="exact"/>
        <w:ind w:firstLine="210" w:firstLineChars="100"/>
        <w:rPr>
          <w:rFonts w:ascii="宋体" w:hAnsi="宋体"/>
          <w:bCs/>
          <w:color w:val="auto"/>
          <w:sz w:val="24"/>
          <w:highlight w:val="none"/>
        </w:rPr>
      </w:pPr>
      <w:r>
        <w:rPr>
          <w:rFonts w:hint="eastAsia" w:ascii="宋体" w:hAnsi="宋体"/>
          <w:color w:val="auto"/>
          <w:highlight w:val="none"/>
        </w:rPr>
        <w:t>(一)本中心将在投标文件提交截止时间后在</w:t>
      </w:r>
      <w:bookmarkStart w:id="166" w:name="_Hlk90300735"/>
      <w:r>
        <w:rPr>
          <w:rFonts w:hint="eastAsia" w:ascii="宋体" w:hAnsi="宋体"/>
          <w:color w:val="auto"/>
          <w:highlight w:val="none"/>
        </w:rPr>
        <w:t>政采云远程开标大厅</w:t>
      </w:r>
      <w:bookmarkEnd w:id="166"/>
      <w:r>
        <w:rPr>
          <w:rFonts w:hint="eastAsia" w:ascii="宋体" w:hAnsi="宋体"/>
          <w:color w:val="auto"/>
          <w:highlight w:val="none"/>
        </w:rPr>
        <w:t>进行开标，投标人法定代表人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highlight w:val="none"/>
        </w:rPr>
        <w:t>或委托代理人须按时</w:t>
      </w:r>
      <w:bookmarkStart w:id="167" w:name="_Hlk90300780"/>
      <w:r>
        <w:rPr>
          <w:rFonts w:hint="eastAsia" w:ascii="宋体" w:hAnsi="宋体"/>
          <w:color w:val="auto"/>
          <w:highlight w:val="none"/>
          <w:lang w:eastAsia="zh-CN"/>
        </w:rPr>
        <w:t>登入政采云</w:t>
      </w:r>
      <w:r>
        <w:rPr>
          <w:rFonts w:hint="eastAsia" w:ascii="宋体" w:hAnsi="宋体"/>
          <w:color w:val="auto"/>
          <w:highlight w:val="none"/>
        </w:rPr>
        <w:t>远程开标大厅</w:t>
      </w:r>
      <w:bookmarkEnd w:id="167"/>
      <w:r>
        <w:rPr>
          <w:rFonts w:hint="eastAsia" w:ascii="宋体" w:hAnsi="宋体"/>
          <w:color w:val="auto"/>
          <w:highlight w:val="none"/>
        </w:rPr>
        <w:t>(政府采购云平台-应用中心-项目采购-开标评标)，保持全程在线并关注开标评标进度，评标期间评标委员会提出澄清等要求时，投标人须在规定时间内进行应答，否则按招标文件或政采云平台的相关规定执行。</w:t>
      </w:r>
      <w:bookmarkStart w:id="168" w:name="_Toc352700431"/>
      <w:bookmarkStart w:id="169" w:name="_Toc353785301"/>
    </w:p>
    <w:p w14:paraId="265A1FAD">
      <w:pPr>
        <w:spacing w:line="410" w:lineRule="exact"/>
        <w:ind w:firstLine="210" w:firstLineChars="100"/>
        <w:rPr>
          <w:rFonts w:ascii="宋体" w:hAnsi="宋体"/>
          <w:bCs/>
          <w:color w:val="auto"/>
          <w:sz w:val="24"/>
          <w:highlight w:val="none"/>
        </w:rPr>
      </w:pPr>
      <w:r>
        <w:rPr>
          <w:rFonts w:hint="eastAsia" w:ascii="宋体" w:hAnsi="宋体"/>
          <w:color w:val="auto"/>
          <w:highlight w:val="none"/>
        </w:rPr>
        <w:t>(二)开标程序</w:t>
      </w:r>
      <w:bookmarkEnd w:id="168"/>
      <w:bookmarkEnd w:id="169"/>
    </w:p>
    <w:p w14:paraId="202D6651">
      <w:pPr>
        <w:spacing w:line="410" w:lineRule="exact"/>
        <w:ind w:left="420" w:firstLine="0" w:firstLineChars="0"/>
        <w:rPr>
          <w:rFonts w:ascii="宋体" w:hAnsi="宋体"/>
          <w:color w:val="auto"/>
          <w:highlight w:val="none"/>
        </w:rPr>
      </w:pPr>
      <w:r>
        <w:rPr>
          <w:rFonts w:ascii="宋体" w:hAnsi="宋体"/>
          <w:color w:val="auto"/>
          <w:highlight w:val="none"/>
        </w:rPr>
        <w:t>1.</w:t>
      </w:r>
      <w:r>
        <w:rPr>
          <w:rFonts w:hint="eastAsia" w:ascii="宋体" w:hAnsi="宋体"/>
          <w:color w:val="auto"/>
          <w:highlight w:val="none"/>
        </w:rPr>
        <w:t>开标会由本中心主持；</w:t>
      </w:r>
    </w:p>
    <w:p w14:paraId="10658F1B">
      <w:pPr>
        <w:spacing w:line="410" w:lineRule="exact"/>
        <w:ind w:firstLine="420"/>
        <w:rPr>
          <w:rFonts w:ascii="宋体" w:hAnsi="宋体"/>
          <w:color w:val="auto"/>
          <w:highlight w:val="none"/>
        </w:rPr>
      </w:pPr>
      <w:r>
        <w:rPr>
          <w:rFonts w:ascii="宋体" w:hAnsi="宋体"/>
          <w:color w:val="auto"/>
          <w:highlight w:val="none"/>
        </w:rPr>
        <w:t>2.</w:t>
      </w:r>
      <w:r>
        <w:rPr>
          <w:rFonts w:hint="eastAsia" w:ascii="宋体" w:hAnsi="宋体"/>
          <w:b/>
          <w:bCs/>
          <w:color w:val="auto"/>
          <w:highlight w:val="none"/>
        </w:rPr>
        <w:t>解密：</w:t>
      </w:r>
      <w:r>
        <w:rPr>
          <w:rFonts w:hint="eastAsia" w:ascii="宋体" w:hAnsi="宋体"/>
          <w:color w:val="auto"/>
          <w:highlight w:val="none"/>
        </w:rPr>
        <w:t>投标文件提交时间截止后，我中心将向各提交投标文件的投标人发出电子加密投标文件解密通知，投标人代表应当在接到解密通知后30分钟内对已加密的电子投标文件进行在线解密。投标人未在规定时间内完成解密的，政府采购云平台视为投标人自主放弃投标。</w:t>
      </w:r>
    </w:p>
    <w:p w14:paraId="3B77C9F1">
      <w:pPr>
        <w:spacing w:line="410" w:lineRule="exact"/>
        <w:ind w:firstLine="420"/>
        <w:rPr>
          <w:rFonts w:ascii="宋体" w:hAnsi="宋体"/>
          <w:color w:val="auto"/>
          <w:highlight w:val="none"/>
        </w:rPr>
      </w:pPr>
      <w:r>
        <w:rPr>
          <w:rFonts w:hint="eastAsia" w:ascii="宋体" w:hAnsi="宋体"/>
          <w:color w:val="auto"/>
          <w:highlight w:val="none"/>
        </w:rPr>
        <w:t>注：当招标项目(或分标</w:t>
      </w:r>
      <w:r>
        <w:rPr>
          <w:rFonts w:ascii="宋体" w:hAnsi="宋体"/>
          <w:color w:val="auto"/>
          <w:highlight w:val="none"/>
        </w:rPr>
        <w:t>)</w:t>
      </w:r>
      <w:r>
        <w:rPr>
          <w:rFonts w:hint="eastAsia" w:ascii="宋体" w:hAnsi="宋体"/>
          <w:color w:val="auto"/>
          <w:highlight w:val="none"/>
        </w:rPr>
        <w:t>的投标人不足3家的，不开标。</w:t>
      </w:r>
    </w:p>
    <w:p w14:paraId="55BE18FD">
      <w:pPr>
        <w:spacing w:line="410" w:lineRule="exact"/>
        <w:ind w:firstLine="211" w:firstLineChars="100"/>
        <w:rPr>
          <w:rFonts w:ascii="宋体" w:hAnsi="宋体"/>
          <w:b/>
          <w:bCs/>
          <w:color w:val="auto"/>
          <w:highlight w:val="none"/>
        </w:rPr>
      </w:pPr>
      <w:r>
        <w:rPr>
          <w:rFonts w:hint="eastAsia" w:ascii="宋体" w:hAnsi="宋体"/>
          <w:b/>
          <w:bCs/>
          <w:color w:val="auto"/>
          <w:highlight w:val="none"/>
        </w:rPr>
        <w:t>(三)资格审查</w:t>
      </w:r>
    </w:p>
    <w:p w14:paraId="5E875A93">
      <w:pPr>
        <w:spacing w:line="410" w:lineRule="exact"/>
        <w:ind w:firstLine="42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采购人依法对投标人的资格进行审查，招标项目(或分标)</w:t>
      </w:r>
      <w:r>
        <w:rPr>
          <w:rFonts w:ascii="宋体" w:hAnsi="宋体" w:cs="Arial"/>
          <w:color w:val="auto"/>
          <w:highlight w:val="none"/>
        </w:rPr>
        <w:t>合格投标人不足3家的，不评标</w:t>
      </w:r>
      <w:r>
        <w:rPr>
          <w:rFonts w:hint="eastAsia" w:ascii="宋体" w:hAnsi="宋体"/>
          <w:color w:val="auto"/>
          <w:szCs w:val="21"/>
          <w:highlight w:val="none"/>
        </w:rPr>
        <w:t>。</w:t>
      </w:r>
    </w:p>
    <w:p w14:paraId="65509E02">
      <w:pPr>
        <w:spacing w:line="410" w:lineRule="exact"/>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资格性审查时，如发现下列情形之一的，投标文件将被视为无效：</w:t>
      </w:r>
    </w:p>
    <w:p w14:paraId="3CB59CAA">
      <w:pPr>
        <w:spacing w:line="410" w:lineRule="exact"/>
        <w:ind w:firstLine="420"/>
        <w:rPr>
          <w:rFonts w:hint="eastAsia" w:ascii="宋体" w:hAnsi="宋体"/>
          <w:color w:val="auto"/>
          <w:szCs w:val="21"/>
          <w:highlight w:val="none"/>
        </w:rPr>
      </w:pPr>
      <w:r>
        <w:rPr>
          <w:rFonts w:hint="eastAsia" w:ascii="宋体" w:hAnsi="宋体"/>
          <w:color w:val="auto"/>
          <w:szCs w:val="21"/>
          <w:highlight w:val="none"/>
        </w:rPr>
        <w:t>(1)超越了按照法律法规规定必须获得行政许可或者行政审批的经营范围的；</w:t>
      </w:r>
    </w:p>
    <w:p w14:paraId="669AAAF5">
      <w:pPr>
        <w:spacing w:line="410" w:lineRule="exact"/>
        <w:ind w:firstLine="420"/>
        <w:rPr>
          <w:rFonts w:hint="eastAsia" w:ascii="宋体" w:hAnsi="宋体"/>
          <w:color w:val="auto"/>
          <w:szCs w:val="21"/>
          <w:highlight w:val="none"/>
        </w:rPr>
      </w:pPr>
      <w:r>
        <w:rPr>
          <w:rFonts w:hint="eastAsia" w:ascii="宋体" w:hAnsi="宋体"/>
          <w:color w:val="auto"/>
          <w:szCs w:val="21"/>
          <w:highlight w:val="none"/>
        </w:rPr>
        <w:t>(2)资格证明文件不全的，或者不符合招标文件标明的资格要求的；</w:t>
      </w:r>
    </w:p>
    <w:p w14:paraId="0CC2777C">
      <w:pPr>
        <w:snapToGrid w:val="0"/>
        <w:spacing w:line="410" w:lineRule="exact"/>
        <w:ind w:firstLine="420"/>
        <w:jc w:val="left"/>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投标文件递交截止时间的，将被拒绝参与本项目政府采购活动。</w:t>
      </w:r>
    </w:p>
    <w:p w14:paraId="1A17DCA5">
      <w:pPr>
        <w:pStyle w:val="3"/>
        <w:spacing w:before="0" w:after="0" w:line="410" w:lineRule="exact"/>
        <w:ind w:firstLine="0" w:firstLineChars="0"/>
        <w:rPr>
          <w:rFonts w:hint="eastAsia" w:ascii="宋体" w:hAnsi="宋体" w:eastAsia="宋体"/>
          <w:b w:val="0"/>
          <w:bCs w:val="0"/>
          <w:color w:val="auto"/>
          <w:sz w:val="24"/>
          <w:szCs w:val="24"/>
          <w:highlight w:val="none"/>
        </w:rPr>
      </w:pPr>
      <w:bookmarkStart w:id="170" w:name="_五、评标"/>
      <w:bookmarkEnd w:id="170"/>
      <w:bookmarkStart w:id="171" w:name="_Toc352700432"/>
      <w:bookmarkStart w:id="172" w:name="_Toc254970545"/>
      <w:bookmarkStart w:id="173" w:name="_Toc353785302"/>
      <w:bookmarkStart w:id="174" w:name="_Toc254970686"/>
      <w:r>
        <w:rPr>
          <w:rFonts w:hint="eastAsia" w:ascii="宋体" w:hAnsi="宋体" w:eastAsia="宋体"/>
          <w:b w:val="0"/>
          <w:bCs w:val="0"/>
          <w:color w:val="auto"/>
          <w:sz w:val="24"/>
          <w:szCs w:val="24"/>
          <w:highlight w:val="none"/>
        </w:rPr>
        <w:t>五、评标</w:t>
      </w:r>
      <w:bookmarkEnd w:id="171"/>
      <w:bookmarkEnd w:id="172"/>
      <w:bookmarkEnd w:id="173"/>
      <w:bookmarkEnd w:id="174"/>
    </w:p>
    <w:p w14:paraId="7D55DE34">
      <w:pPr>
        <w:snapToGrid w:val="0"/>
        <w:spacing w:line="410" w:lineRule="exact"/>
        <w:ind w:firstLine="211" w:firstLineChars="100"/>
        <w:rPr>
          <w:rFonts w:ascii="宋体" w:hAnsi="宋体"/>
          <w:b/>
          <w:bCs/>
          <w:color w:val="auto"/>
          <w:szCs w:val="21"/>
          <w:highlight w:val="none"/>
        </w:rPr>
      </w:pPr>
      <w:bookmarkStart w:id="175" w:name="_Toc353785303"/>
      <w:bookmarkStart w:id="176" w:name="_Toc352700433"/>
      <w:r>
        <w:rPr>
          <w:rFonts w:hint="eastAsia" w:ascii="宋体" w:hAnsi="宋体"/>
          <w:b/>
          <w:bCs/>
          <w:color w:val="auto"/>
          <w:szCs w:val="21"/>
          <w:highlight w:val="none"/>
        </w:rPr>
        <w:t>(一)评标原则：</w:t>
      </w:r>
    </w:p>
    <w:p w14:paraId="4F968960">
      <w:pPr>
        <w:snapToGrid w:val="0"/>
        <w:spacing w:line="410" w:lineRule="exact"/>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评标委员会必须公平、公正、客观，不带任何倾向性和启发性；不得向外界透露任何与评标有关的内容；任何单位和个人不得干扰、影响评标的正常进行；评标委员会及有关工作人员不得私下接触投标人。</w:t>
      </w:r>
    </w:p>
    <w:p w14:paraId="22DBDE5A">
      <w:pPr>
        <w:snapToGrid w:val="0"/>
        <w:spacing w:line="410" w:lineRule="exact"/>
        <w:ind w:firstLine="420"/>
        <w:rPr>
          <w:rFonts w:ascii="宋体" w:hAnsi="宋体" w:cs="Courier New"/>
          <w:color w:val="auto"/>
          <w:szCs w:val="21"/>
          <w:highlight w:val="none"/>
        </w:rPr>
      </w:pPr>
      <w:r>
        <w:rPr>
          <w:rFonts w:ascii="宋体" w:hAnsi="宋体"/>
          <w:color w:val="auto"/>
          <w:szCs w:val="21"/>
          <w:highlight w:val="none"/>
        </w:rPr>
        <w:t>2.</w:t>
      </w:r>
      <w:r>
        <w:rPr>
          <w:rFonts w:hint="eastAsia" w:ascii="宋体" w:hAnsi="宋体" w:cs="Courier New"/>
          <w:color w:val="auto"/>
          <w:szCs w:val="21"/>
          <w:highlight w:val="none"/>
        </w:rPr>
        <w:t>本项目采用不公开方式评标，评标的依据为招标文件和投标文件。</w:t>
      </w:r>
    </w:p>
    <w:p w14:paraId="6844048E">
      <w:pPr>
        <w:snapToGrid w:val="0"/>
        <w:spacing w:line="410" w:lineRule="exact"/>
        <w:ind w:firstLine="420"/>
        <w:rPr>
          <w:rFonts w:hint="eastAsia" w:ascii="宋体" w:hAnsi="宋体"/>
          <w:color w:val="auto"/>
          <w:szCs w:val="21"/>
          <w:highlight w:val="none"/>
        </w:rPr>
      </w:pPr>
      <w:r>
        <w:rPr>
          <w:rFonts w:hint="eastAsia" w:ascii="宋体" w:hAnsi="宋体" w:cs="Courier New"/>
          <w:color w:val="auto"/>
          <w:szCs w:val="21"/>
          <w:highlight w:val="none"/>
        </w:rPr>
        <w:t>3</w:t>
      </w:r>
      <w:r>
        <w:rPr>
          <w:rFonts w:ascii="宋体" w:hAnsi="宋体" w:cs="Courier New"/>
          <w:color w:val="auto"/>
          <w:szCs w:val="21"/>
          <w:highlight w:val="none"/>
        </w:rPr>
        <w:t>.</w:t>
      </w:r>
      <w:r>
        <w:rPr>
          <w:rFonts w:hint="eastAsia" w:ascii="宋体" w:hAnsi="宋体" w:cs="宋体"/>
          <w:color w:val="auto"/>
          <w:szCs w:val="21"/>
          <w:highlight w:val="none"/>
        </w:rPr>
        <w:t>评标方法：综合评分法，即满足招标文件全部实质性要求且按照评审因素的量化指标评审得分最高的供应商为中标候选人。</w:t>
      </w:r>
    </w:p>
    <w:p w14:paraId="737243E1">
      <w:pPr>
        <w:snapToGrid w:val="0"/>
        <w:spacing w:line="410" w:lineRule="exact"/>
        <w:ind w:firstLine="211" w:firstLineChars="100"/>
        <w:rPr>
          <w:rFonts w:ascii="宋体" w:hAnsi="宋体"/>
          <w:b/>
          <w:bCs/>
          <w:color w:val="auto"/>
          <w:szCs w:val="21"/>
          <w:highlight w:val="none"/>
        </w:rPr>
      </w:pPr>
      <w:r>
        <w:rPr>
          <w:rFonts w:hint="eastAsia" w:ascii="宋体" w:hAnsi="宋体"/>
          <w:b/>
          <w:bCs/>
          <w:color w:val="auto"/>
          <w:highlight w:val="none"/>
        </w:rPr>
        <w:t>(二)组建评标委员会</w:t>
      </w:r>
    </w:p>
    <w:bookmarkEnd w:id="175"/>
    <w:bookmarkEnd w:id="176"/>
    <w:p w14:paraId="22F52C80">
      <w:pPr>
        <w:spacing w:line="410" w:lineRule="exact"/>
        <w:ind w:firstLine="210" w:firstLineChars="100"/>
        <w:rPr>
          <w:rFonts w:hint="eastAsia" w:ascii="宋体" w:hAnsi="宋体" w:cs="Courier New"/>
          <w:bCs/>
          <w:color w:val="auto"/>
          <w:szCs w:val="21"/>
          <w:highlight w:val="none"/>
          <w:lang w:eastAsia="zh-CN"/>
        </w:rPr>
      </w:pPr>
      <w:r>
        <w:rPr>
          <w:rFonts w:hint="eastAsia" w:ascii="宋体" w:hAnsi="宋体" w:cs="Courier New"/>
          <w:bCs/>
          <w:color w:val="auto"/>
          <w:szCs w:val="21"/>
          <w:highlight w:val="none"/>
          <w:lang w:eastAsia="zh-CN"/>
        </w:rPr>
        <w:t>评标委员会由采购人代表和评审专家组成，成员人数应当为</w:t>
      </w:r>
      <w:r>
        <w:rPr>
          <w:rFonts w:hint="eastAsia" w:ascii="宋体" w:hAnsi="宋体" w:cs="Courier New"/>
          <w:bCs/>
          <w:color w:val="auto"/>
          <w:szCs w:val="21"/>
          <w:highlight w:val="none"/>
          <w:lang w:val="en-US" w:eastAsia="zh-CN"/>
        </w:rPr>
        <w:t>7人</w:t>
      </w:r>
      <w:r>
        <w:rPr>
          <w:rFonts w:hint="eastAsia" w:ascii="宋体" w:hAnsi="宋体" w:cs="Courier New"/>
          <w:bCs/>
          <w:color w:val="auto"/>
          <w:szCs w:val="21"/>
          <w:highlight w:val="none"/>
          <w:lang w:eastAsia="zh-CN"/>
        </w:rPr>
        <w:t>以上单数，其中评审专家不得少于成员总数的三分之二。</w:t>
      </w:r>
    </w:p>
    <w:p w14:paraId="10607B7A">
      <w:pPr>
        <w:spacing w:line="410" w:lineRule="exact"/>
        <w:ind w:firstLine="211" w:firstLineChars="100"/>
        <w:rPr>
          <w:rFonts w:hint="eastAsia" w:ascii="宋体" w:hAnsi="宋体" w:cs="Courier New"/>
          <w:color w:val="auto"/>
          <w:szCs w:val="21"/>
          <w:highlight w:val="none"/>
        </w:rPr>
      </w:pPr>
      <w:r>
        <w:rPr>
          <w:rFonts w:hint="eastAsia" w:ascii="宋体" w:hAnsi="宋体"/>
          <w:b/>
          <w:bCs/>
          <w:color w:val="auto"/>
          <w:szCs w:val="21"/>
          <w:highlight w:val="none"/>
        </w:rPr>
        <w:t>(三)符合性审查</w:t>
      </w:r>
    </w:p>
    <w:p w14:paraId="046E90F8">
      <w:pPr>
        <w:snapToGrid w:val="0"/>
        <w:spacing w:line="410" w:lineRule="exact"/>
        <w:ind w:firstLine="420"/>
        <w:rPr>
          <w:rFonts w:ascii="宋体" w:hAnsi="宋体"/>
          <w:color w:val="auto"/>
          <w:szCs w:val="21"/>
          <w:highlight w:val="none"/>
        </w:rPr>
      </w:pPr>
      <w:r>
        <w:rPr>
          <w:rFonts w:hint="eastAsia" w:ascii="宋体" w:hAnsi="宋体"/>
          <w:color w:val="auto"/>
          <w:szCs w:val="21"/>
          <w:highlight w:val="none"/>
        </w:rPr>
        <w:t>评标委员会对符合资格的投标人投标文件进行符合性审查，以确定其是否满足招标文件的实质性要求。</w:t>
      </w:r>
    </w:p>
    <w:p w14:paraId="78CED8AB">
      <w:pPr>
        <w:snapToGrid w:val="0"/>
        <w:spacing w:line="410" w:lineRule="exact"/>
        <w:ind w:firstLine="422"/>
        <w:rPr>
          <w:rFonts w:hint="eastAsia" w:ascii="宋体" w:hAnsi="宋体"/>
          <w:b/>
          <w:bCs/>
          <w:color w:val="auto"/>
          <w:szCs w:val="21"/>
          <w:highlight w:val="none"/>
        </w:rPr>
      </w:pPr>
      <w:r>
        <w:rPr>
          <w:rFonts w:ascii="宋体" w:hAnsi="宋体"/>
          <w:b/>
          <w:bCs/>
          <w:color w:val="auto"/>
          <w:szCs w:val="21"/>
          <w:highlight w:val="none"/>
        </w:rPr>
        <w:t>1.</w:t>
      </w:r>
      <w:r>
        <w:rPr>
          <w:rFonts w:hint="eastAsia" w:ascii="宋体" w:hAnsi="宋体"/>
          <w:b/>
          <w:bCs/>
          <w:color w:val="auto"/>
          <w:szCs w:val="21"/>
          <w:highlight w:val="none"/>
        </w:rPr>
        <w:t>符合性审查时，如发现下列情形之一的，投标文件将被视为无效：</w:t>
      </w:r>
    </w:p>
    <w:p w14:paraId="4D9375BC">
      <w:pPr>
        <w:snapToGrid w:val="0"/>
        <w:spacing w:line="410" w:lineRule="exact"/>
        <w:ind w:firstLine="422"/>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1)</w:t>
      </w:r>
      <w:r>
        <w:rPr>
          <w:rFonts w:hint="eastAsia" w:ascii="宋体" w:hAnsi="宋体"/>
          <w:b/>
          <w:bCs/>
          <w:color w:val="auto"/>
          <w:szCs w:val="21"/>
          <w:highlight w:val="none"/>
        </w:rPr>
        <w:t>商务评审:</w:t>
      </w:r>
    </w:p>
    <w:p w14:paraId="4067E1FB">
      <w:pPr>
        <w:snapToGrid w:val="0"/>
        <w:spacing w:line="410" w:lineRule="exact"/>
        <w:ind w:firstLine="525" w:firstLineChars="250"/>
        <w:rPr>
          <w:rFonts w:ascii="宋体" w:hAnsi="宋体"/>
          <w:color w:val="auto"/>
          <w:szCs w:val="21"/>
          <w:highlight w:val="none"/>
        </w:rPr>
      </w:pPr>
      <w:r>
        <w:rPr>
          <w:rFonts w:hint="eastAsia" w:ascii="宋体" w:hAnsi="宋体"/>
          <w:color w:val="auto"/>
          <w:szCs w:val="21"/>
          <w:highlight w:val="none"/>
        </w:rPr>
        <w:t>①应交未交投标保证金的；</w:t>
      </w:r>
    </w:p>
    <w:p w14:paraId="1442D4EC">
      <w:pPr>
        <w:snapToGrid w:val="0"/>
        <w:spacing w:line="410" w:lineRule="exact"/>
        <w:ind w:firstLine="525" w:firstLineChars="250"/>
        <w:rPr>
          <w:rFonts w:ascii="宋体" w:hAnsi="宋体"/>
          <w:color w:val="auto"/>
          <w:szCs w:val="21"/>
          <w:highlight w:val="none"/>
        </w:rPr>
      </w:pPr>
      <w:r>
        <w:rPr>
          <w:rFonts w:hint="eastAsia" w:ascii="宋体" w:hAnsi="宋体"/>
          <w:color w:val="auto"/>
          <w:szCs w:val="21"/>
          <w:highlight w:val="none"/>
        </w:rPr>
        <w:t>②投标文件未按投标文件编制要求提供或内容虚假的</w:t>
      </w:r>
    </w:p>
    <w:p w14:paraId="2005D26A">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③投标文件无法定代表人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或其委托代理人签署、未提供授权委托书，或未按规定盖章的；</w:t>
      </w:r>
    </w:p>
    <w:p w14:paraId="18388D00">
      <w:pPr>
        <w:snapToGrid w:val="0"/>
        <w:spacing w:line="410" w:lineRule="exact"/>
        <w:ind w:firstLine="525" w:firstLineChars="250"/>
        <w:rPr>
          <w:rFonts w:ascii="宋体" w:hAnsi="宋体"/>
          <w:color w:val="auto"/>
          <w:szCs w:val="21"/>
          <w:highlight w:val="none"/>
        </w:rPr>
      </w:pPr>
      <w:r>
        <w:rPr>
          <w:rFonts w:hint="eastAsia" w:ascii="宋体" w:hAnsi="宋体"/>
          <w:color w:val="auto"/>
          <w:szCs w:val="21"/>
          <w:highlight w:val="none"/>
        </w:rPr>
        <w:t>④投标人代表未能出具身份证明或与法定代表人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委托代理人身份不符的；</w:t>
      </w:r>
    </w:p>
    <w:p w14:paraId="11A0755A">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⑤投</w:t>
      </w:r>
      <w:bookmarkStart w:id="177" w:name="_Hlk112423038"/>
      <w:r>
        <w:rPr>
          <w:rFonts w:hint="eastAsia" w:ascii="宋体" w:hAnsi="宋体"/>
          <w:color w:val="auto"/>
          <w:szCs w:val="21"/>
          <w:highlight w:val="none"/>
        </w:rPr>
        <w:t>标有效期、交货时间、质保期等不允许偏离的实质性要求和条件不能满足招标文件要求的；</w:t>
      </w:r>
      <w:bookmarkEnd w:id="177"/>
    </w:p>
    <w:p w14:paraId="6F7222CD">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⑥投标文件的实质性内容未使用中文表述、意思表述不明确、前后矛盾或者使用计量单位不符合招标文件要求的；</w:t>
      </w:r>
    </w:p>
    <w:p w14:paraId="2C3B9C81">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⑦未实质性响应招标文件要求或者投标文件有采购人不能接受的附加条件的；</w:t>
      </w:r>
    </w:p>
    <w:p w14:paraId="698C4CEE">
      <w:pPr>
        <w:snapToGrid w:val="0"/>
        <w:spacing w:line="410" w:lineRule="exact"/>
        <w:ind w:firstLine="422"/>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2)</w:t>
      </w:r>
      <w:r>
        <w:rPr>
          <w:rFonts w:hint="eastAsia" w:ascii="宋体" w:hAnsi="宋体"/>
          <w:b/>
          <w:bCs/>
          <w:color w:val="auto"/>
          <w:szCs w:val="21"/>
          <w:highlight w:val="none"/>
        </w:rPr>
        <w:t>技术评审：</w:t>
      </w:r>
    </w:p>
    <w:p w14:paraId="09C9CA58">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①</w:t>
      </w:r>
      <w:r>
        <w:rPr>
          <w:rFonts w:hint="eastAsia" w:ascii="宋体" w:hAnsi="宋体"/>
          <w:color w:val="auto"/>
          <w:szCs w:val="21"/>
          <w:highlight w:val="none"/>
        </w:rPr>
        <w:t>未提供或未如实提供货物技术参数或服务响应，或投标文件标明的响应或偏离与事实不符的；</w:t>
      </w:r>
    </w:p>
    <w:p w14:paraId="49484264">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②明显不符合招标文件要求的质量标准，或者与招标文件中的技术指标、功能、服务事项发生实质性较大偏离，已不符合采购人需求的；</w:t>
      </w:r>
    </w:p>
    <w:p w14:paraId="084960F7">
      <w:pPr>
        <w:snapToGrid w:val="0"/>
        <w:spacing w:line="410" w:lineRule="exact"/>
        <w:ind w:firstLine="505" w:firstLineChars="250"/>
        <w:rPr>
          <w:rFonts w:hint="eastAsia" w:ascii="宋体" w:hAnsi="宋体"/>
          <w:color w:val="auto"/>
          <w:spacing w:val="-4"/>
          <w:szCs w:val="21"/>
          <w:highlight w:val="none"/>
        </w:rPr>
      </w:pPr>
      <w:r>
        <w:rPr>
          <w:rFonts w:hint="eastAsia" w:ascii="宋体" w:hAnsi="宋体"/>
          <w:color w:val="auto"/>
          <w:spacing w:val="-4"/>
          <w:szCs w:val="21"/>
          <w:highlight w:val="none"/>
        </w:rPr>
        <w:t>③投标文件技术方案不明确，存在一个或一个以上备选(替代)投标方案的。</w:t>
      </w:r>
    </w:p>
    <w:p w14:paraId="763D9978">
      <w:pPr>
        <w:snapToGrid w:val="0"/>
        <w:spacing w:line="410" w:lineRule="exact"/>
        <w:ind w:firstLine="422"/>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3)</w:t>
      </w:r>
      <w:r>
        <w:rPr>
          <w:rFonts w:hint="eastAsia" w:ascii="宋体" w:hAnsi="宋体"/>
          <w:b/>
          <w:bCs/>
          <w:color w:val="auto"/>
          <w:szCs w:val="21"/>
          <w:highlight w:val="none"/>
        </w:rPr>
        <w:t>报价评审：</w:t>
      </w:r>
    </w:p>
    <w:p w14:paraId="44B2C426">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①</w:t>
      </w:r>
      <w:r>
        <w:rPr>
          <w:rFonts w:ascii="宋体" w:hAnsi="宋体"/>
          <w:color w:val="auto"/>
          <w:spacing w:val="-4"/>
          <w:szCs w:val="21"/>
          <w:highlight w:val="none"/>
        </w:rPr>
        <w:t>报价超过招标文件中规定的预算金额或者最高限价的</w:t>
      </w:r>
      <w:r>
        <w:rPr>
          <w:rFonts w:hint="eastAsia" w:ascii="宋体" w:hAnsi="宋体"/>
          <w:color w:val="auto"/>
          <w:spacing w:val="-4"/>
          <w:szCs w:val="21"/>
          <w:highlight w:val="none"/>
        </w:rPr>
        <w:t>；</w:t>
      </w:r>
    </w:p>
    <w:p w14:paraId="078D931A">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②未采用人民币报价或者未按照招标文件标明的币种报价的；</w:t>
      </w:r>
    </w:p>
    <w:p w14:paraId="41E67E11">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③投标报价具有选择性；</w:t>
      </w:r>
    </w:p>
    <w:p w14:paraId="23B06D10">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④</w:t>
      </w:r>
      <w:r>
        <w:rPr>
          <w:rFonts w:hint="eastAsia" w:ascii="宋体" w:hAnsi="宋体" w:cs="Courier New"/>
          <w:color w:val="auto"/>
          <w:szCs w:val="21"/>
          <w:highlight w:val="none"/>
        </w:rPr>
        <w:t>评标委员会认为投标人的报价明显低于其他通过符合性审查投标人的报价，有可能影响产品质量或者不能诚信履约的，投标人不能证明其报价合理性的</w:t>
      </w:r>
      <w:r>
        <w:rPr>
          <w:rFonts w:hint="eastAsia" w:ascii="宋体" w:hAnsi="宋体"/>
          <w:color w:val="auto"/>
          <w:spacing w:val="-4"/>
          <w:szCs w:val="21"/>
          <w:highlight w:val="none"/>
        </w:rPr>
        <w:t>；</w:t>
      </w:r>
    </w:p>
    <w:p w14:paraId="28D94A5B">
      <w:pPr>
        <w:snapToGrid w:val="0"/>
        <w:spacing w:line="410" w:lineRule="exact"/>
        <w:ind w:firstLine="505" w:firstLineChars="250"/>
        <w:rPr>
          <w:rFonts w:hint="eastAsia" w:ascii="宋体" w:hAnsi="宋体"/>
          <w:color w:val="auto"/>
          <w:spacing w:val="-4"/>
          <w:szCs w:val="21"/>
          <w:highlight w:val="none"/>
        </w:rPr>
      </w:pPr>
      <w:r>
        <w:rPr>
          <w:rFonts w:hint="eastAsia" w:ascii="宋体" w:hAnsi="宋体"/>
          <w:color w:val="auto"/>
          <w:spacing w:val="-4"/>
          <w:szCs w:val="21"/>
          <w:highlight w:val="none"/>
        </w:rPr>
        <w:t>⑤</w:t>
      </w:r>
      <w:r>
        <w:rPr>
          <w:rFonts w:hint="eastAsia" w:ascii="宋体" w:hAnsi="宋体"/>
          <w:color w:val="auto"/>
          <w:szCs w:val="21"/>
          <w:highlight w:val="none"/>
        </w:rPr>
        <w:t>投标人在政采云平台制作投标文件时填写的报价金额与解密后“电子加密投标文件”中报价金额不一致的，以解密后“电子加密投标文件”中报价金额为准，投标人拒绝接受此调整的，视为无效投标文件。</w:t>
      </w:r>
    </w:p>
    <w:p w14:paraId="7F2D4081">
      <w:pPr>
        <w:snapToGrid w:val="0"/>
        <w:spacing w:line="410" w:lineRule="exact"/>
        <w:ind w:firstLine="211" w:firstLineChars="100"/>
        <w:rPr>
          <w:rFonts w:ascii="宋体" w:hAnsi="宋体"/>
          <w:b/>
          <w:bCs/>
          <w:color w:val="auto"/>
          <w:szCs w:val="21"/>
          <w:highlight w:val="none"/>
        </w:rPr>
      </w:pPr>
      <w:r>
        <w:rPr>
          <w:rFonts w:hint="eastAsia" w:ascii="宋体" w:hAnsi="宋体"/>
          <w:b/>
          <w:bCs/>
          <w:color w:val="auto"/>
          <w:szCs w:val="21"/>
          <w:highlight w:val="none"/>
        </w:rPr>
        <w:t>(四)比较与评价</w:t>
      </w:r>
    </w:p>
    <w:p w14:paraId="3FBCB650">
      <w:pPr>
        <w:snapToGrid w:val="0"/>
        <w:spacing w:line="410" w:lineRule="exact"/>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s="Courier New"/>
          <w:color w:val="auto"/>
          <w:szCs w:val="21"/>
          <w:highlight w:val="none"/>
        </w:rPr>
        <w:t>评分细则：</w:t>
      </w:r>
      <w:bookmarkStart w:id="178" w:name="_Hlk92463857"/>
      <w:r>
        <w:rPr>
          <w:rFonts w:hint="eastAsia" w:ascii="宋体" w:hAnsi="宋体" w:cs="Courier New"/>
          <w:color w:val="auto"/>
          <w:szCs w:val="21"/>
          <w:highlight w:val="none"/>
        </w:rPr>
        <w:t>详见第四章《评定标准及推荐原则》</w:t>
      </w:r>
      <w:bookmarkEnd w:id="178"/>
      <w:r>
        <w:rPr>
          <w:rFonts w:hint="eastAsia" w:ascii="宋体" w:hAnsi="宋体" w:cs="Courier New"/>
          <w:color w:val="auto"/>
          <w:szCs w:val="21"/>
          <w:highlight w:val="none"/>
        </w:rPr>
        <w:t>。</w:t>
      </w:r>
    </w:p>
    <w:p w14:paraId="18A10324">
      <w:pPr>
        <w:snapToGrid w:val="0"/>
        <w:spacing w:line="410" w:lineRule="exact"/>
        <w:ind w:firstLine="42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评标委员会按评分细则对各投标人的投标文件进行评价打分，由政府采购云平台进行计算。</w:t>
      </w:r>
    </w:p>
    <w:p w14:paraId="08F239D2">
      <w:pPr>
        <w:snapToGrid w:val="0"/>
        <w:spacing w:line="410" w:lineRule="exact"/>
        <w:ind w:firstLine="420"/>
        <w:rPr>
          <w:rFonts w:hint="eastAsia" w:ascii="宋体" w:hAnsi="宋体"/>
          <w:color w:val="auto"/>
          <w:szCs w:val="21"/>
          <w:highlight w:val="none"/>
        </w:rPr>
      </w:pPr>
      <w:bookmarkStart w:id="179" w:name="_Hlk90303998"/>
      <w:r>
        <w:rPr>
          <w:rFonts w:ascii="宋体" w:hAnsi="宋体"/>
          <w:color w:val="auto"/>
          <w:szCs w:val="21"/>
          <w:highlight w:val="none"/>
        </w:rPr>
        <w:t>2.</w:t>
      </w:r>
      <w:r>
        <w:rPr>
          <w:rFonts w:hint="eastAsia" w:ascii="宋体" w:hAnsi="宋体"/>
          <w:color w:val="auto"/>
          <w:szCs w:val="21"/>
          <w:highlight w:val="none"/>
        </w:rPr>
        <w:t>评标委员会</w:t>
      </w:r>
      <w:bookmarkEnd w:id="179"/>
      <w:r>
        <w:rPr>
          <w:rFonts w:hint="eastAsia" w:ascii="宋体" w:hAnsi="宋体"/>
          <w:color w:val="auto"/>
          <w:szCs w:val="21"/>
          <w:highlight w:val="none"/>
        </w:rPr>
        <w:t>完成评标后,由政府采购云平台对各投标人各项得分进行汇总，计算各投标人最终得分。评标委员会按推荐原则推荐中标候选人同时形成评标报告。</w:t>
      </w:r>
      <w:bookmarkStart w:id="180" w:name="_Toc353785306"/>
      <w:bookmarkStart w:id="181" w:name="_Toc352700436"/>
    </w:p>
    <w:p w14:paraId="36A4DA3C">
      <w:pPr>
        <w:snapToGrid w:val="0"/>
        <w:spacing w:line="410" w:lineRule="exact"/>
        <w:ind w:firstLine="211" w:firstLineChars="100"/>
        <w:rPr>
          <w:rFonts w:ascii="宋体" w:hAnsi="宋体"/>
          <w:b/>
          <w:bCs/>
          <w:color w:val="auto"/>
          <w:szCs w:val="32"/>
          <w:highlight w:val="none"/>
        </w:rPr>
      </w:pPr>
      <w:r>
        <w:rPr>
          <w:rFonts w:hint="eastAsia" w:ascii="宋体" w:hAnsi="宋体"/>
          <w:b/>
          <w:bCs/>
          <w:color w:val="auto"/>
          <w:szCs w:val="32"/>
          <w:highlight w:val="none"/>
        </w:rPr>
        <w:t>(五)澄清问题的形式</w:t>
      </w:r>
      <w:bookmarkEnd w:id="180"/>
      <w:bookmarkEnd w:id="181"/>
    </w:p>
    <w:p w14:paraId="7EBA8DDC">
      <w:pPr>
        <w:spacing w:line="410" w:lineRule="exact"/>
        <w:ind w:firstLine="420"/>
        <w:rPr>
          <w:rFonts w:ascii="宋体" w:hAnsi="宋体"/>
          <w:color w:val="auto"/>
          <w:highlight w:val="none"/>
        </w:rPr>
      </w:pPr>
      <w:bookmarkStart w:id="182" w:name="_Toc352700437"/>
      <w:bookmarkStart w:id="183" w:name="_Toc353785307"/>
      <w:r>
        <w:rPr>
          <w:rFonts w:hint="eastAsia" w:ascii="宋体" w:hAnsi="宋体"/>
          <w:color w:val="auto"/>
          <w:highlight w:val="none"/>
        </w:rPr>
        <w:t>对于投标文件中含义不明确、同类问题表述不一致或者有明显文字和计算错误的内容，评标委员会应当以书面形式要求投标人作出必要的</w:t>
      </w:r>
      <w:bookmarkStart w:id="184" w:name="_Hlk92457660"/>
      <w:r>
        <w:rPr>
          <w:rFonts w:hint="eastAsia" w:ascii="宋体" w:hAnsi="宋体"/>
          <w:color w:val="auto"/>
          <w:highlight w:val="none"/>
        </w:rPr>
        <w:t>澄清、说明或者补正</w:t>
      </w:r>
      <w:bookmarkEnd w:id="184"/>
      <w:r>
        <w:rPr>
          <w:rFonts w:hint="eastAsia" w:ascii="宋体" w:hAnsi="宋体"/>
          <w:color w:val="auto"/>
          <w:highlight w:val="none"/>
        </w:rPr>
        <w:t>。投标人的澄清、说明或者补正应当采用书面形式，并加盖公章，或者由法定代表人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highlight w:val="none"/>
        </w:rPr>
        <w:t>或其授权的代表签名。投标人的澄清、说明或者补正不得超出投标文件的范围或者改变投标文件的实质性内容。</w:t>
      </w:r>
    </w:p>
    <w:p w14:paraId="5367DD57">
      <w:pPr>
        <w:spacing w:line="410" w:lineRule="exact"/>
        <w:ind w:firstLine="211" w:firstLineChars="100"/>
        <w:rPr>
          <w:rFonts w:ascii="宋体" w:hAnsi="宋体"/>
          <w:b/>
          <w:bCs/>
          <w:color w:val="auto"/>
          <w:highlight w:val="none"/>
        </w:rPr>
      </w:pPr>
      <w:r>
        <w:rPr>
          <w:rFonts w:hint="eastAsia" w:ascii="宋体" w:hAnsi="宋体"/>
          <w:b/>
          <w:bCs/>
          <w:color w:val="auto"/>
          <w:highlight w:val="none"/>
        </w:rPr>
        <w:t>(六)错误修正</w:t>
      </w:r>
      <w:bookmarkEnd w:id="182"/>
      <w:bookmarkEnd w:id="183"/>
    </w:p>
    <w:p w14:paraId="43E1344B">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投标文件报价出现前后不一致的，除招标文件另有规定外，按照下列规定修正：</w:t>
      </w:r>
    </w:p>
    <w:p w14:paraId="67377F79">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1</w:t>
      </w:r>
      <w:r>
        <w:rPr>
          <w:rFonts w:ascii="宋体" w:hAnsi="宋体" w:cs="Courier New"/>
          <w:color w:val="auto"/>
          <w:szCs w:val="21"/>
          <w:highlight w:val="none"/>
        </w:rPr>
        <w:t>.</w:t>
      </w:r>
      <w:r>
        <w:rPr>
          <w:rFonts w:hint="eastAsia" w:ascii="宋体" w:hAnsi="宋体" w:cs="Courier New"/>
          <w:color w:val="auto"/>
          <w:szCs w:val="21"/>
          <w:highlight w:val="none"/>
        </w:rPr>
        <w:t>投标文件中开标一览表内容</w:t>
      </w:r>
      <w:bookmarkStart w:id="185" w:name="_Hlk92464203"/>
      <w:r>
        <w:rPr>
          <w:rFonts w:hint="eastAsia" w:ascii="宋体" w:hAnsi="宋体" w:cs="Courier New"/>
          <w:color w:val="auto"/>
          <w:szCs w:val="21"/>
          <w:highlight w:val="none"/>
        </w:rPr>
        <w:t>与投标文件中相应内容不一致的</w:t>
      </w:r>
      <w:bookmarkEnd w:id="185"/>
      <w:r>
        <w:rPr>
          <w:rFonts w:hint="eastAsia" w:ascii="宋体" w:hAnsi="宋体" w:cs="Courier New"/>
          <w:color w:val="auto"/>
          <w:szCs w:val="21"/>
          <w:highlight w:val="none"/>
        </w:rPr>
        <w:t>，以开标一览表为准；</w:t>
      </w:r>
    </w:p>
    <w:p w14:paraId="0636D64C">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2</w:t>
      </w:r>
      <w:r>
        <w:rPr>
          <w:rFonts w:ascii="宋体" w:hAnsi="宋体" w:cs="Courier New"/>
          <w:color w:val="auto"/>
          <w:szCs w:val="21"/>
          <w:highlight w:val="none"/>
        </w:rPr>
        <w:t>.</w:t>
      </w:r>
      <w:r>
        <w:rPr>
          <w:rFonts w:hint="eastAsia" w:ascii="宋体" w:hAnsi="宋体" w:cs="Courier New"/>
          <w:color w:val="auto"/>
          <w:szCs w:val="21"/>
          <w:highlight w:val="none"/>
        </w:rPr>
        <w:t>大写金额和小写金额不一致的，以大写金额为准；</w:t>
      </w:r>
    </w:p>
    <w:p w14:paraId="577EC625">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3</w:t>
      </w:r>
      <w:r>
        <w:rPr>
          <w:rFonts w:ascii="宋体" w:hAnsi="宋体" w:cs="Courier New"/>
          <w:color w:val="auto"/>
          <w:szCs w:val="21"/>
          <w:highlight w:val="none"/>
        </w:rPr>
        <w:t>.</w:t>
      </w:r>
      <w:r>
        <w:rPr>
          <w:rFonts w:hint="eastAsia" w:ascii="宋体" w:hAnsi="宋体" w:cs="Courier New"/>
          <w:color w:val="auto"/>
          <w:szCs w:val="21"/>
          <w:highlight w:val="none"/>
        </w:rPr>
        <w:t>单价金额小数点或者百分比有明显错位的，以开标一览表的总价为准，并修改单价；</w:t>
      </w:r>
    </w:p>
    <w:p w14:paraId="4F3D70CC">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4</w:t>
      </w:r>
      <w:r>
        <w:rPr>
          <w:rFonts w:ascii="宋体" w:hAnsi="宋体" w:cs="Courier New"/>
          <w:color w:val="auto"/>
          <w:szCs w:val="21"/>
          <w:highlight w:val="none"/>
        </w:rPr>
        <w:t>.</w:t>
      </w:r>
      <w:r>
        <w:rPr>
          <w:rFonts w:hint="eastAsia" w:ascii="宋体" w:hAnsi="宋体" w:cs="Courier New"/>
          <w:color w:val="auto"/>
          <w:szCs w:val="21"/>
          <w:highlight w:val="none"/>
        </w:rPr>
        <w:t>总价金额与按单价汇总金额不一致的，以单价金额计算结果为准。</w:t>
      </w:r>
    </w:p>
    <w:p w14:paraId="62CB5403">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同时出现两种以上不一致的，按照前款规定的顺序修正。修正后的报价按照澄清、说明或者补正的规定经投标人确认后产生约束力，投标人不确认的，其投标无效。</w:t>
      </w:r>
    </w:p>
    <w:bookmarkEnd w:id="160"/>
    <w:bookmarkEnd w:id="161"/>
    <w:p w14:paraId="6B06FB53">
      <w:pPr>
        <w:pStyle w:val="29"/>
        <w:spacing w:line="410" w:lineRule="exact"/>
        <w:ind w:firstLine="211" w:firstLineChars="100"/>
        <w:rPr>
          <w:rFonts w:hint="eastAsia" w:hAnsi="宋体"/>
          <w:b/>
          <w:color w:val="auto"/>
          <w:highlight w:val="none"/>
        </w:rPr>
      </w:pPr>
      <w:bookmarkStart w:id="186" w:name="_Toc254970544"/>
      <w:bookmarkStart w:id="187" w:name="_Toc352700429"/>
      <w:bookmarkStart w:id="188" w:name="_Toc353785299"/>
      <w:bookmarkStart w:id="189" w:name="_Toc254970685"/>
      <w:r>
        <w:rPr>
          <w:rFonts w:hint="eastAsia" w:hAnsi="宋体"/>
          <w:b/>
          <w:color w:val="auto"/>
          <w:highlight w:val="none"/>
        </w:rPr>
        <w:t>(七)串通投标、恶意串通行为的说明：</w:t>
      </w:r>
    </w:p>
    <w:p w14:paraId="11549C22">
      <w:pPr>
        <w:spacing w:line="410" w:lineRule="exact"/>
        <w:ind w:firstLine="420"/>
        <w:rPr>
          <w:rFonts w:hint="eastAsia" w:ascii="宋体" w:hAnsi="宋体"/>
          <w:color w:val="auto"/>
          <w:highlight w:val="none"/>
        </w:rPr>
      </w:pPr>
      <w:r>
        <w:rPr>
          <w:rFonts w:hint="eastAsia" w:ascii="宋体" w:hAnsi="宋体"/>
          <w:color w:val="auto"/>
          <w:highlight w:val="none"/>
          <w:lang w:val="en-US" w:eastAsia="zh-CN"/>
        </w:rPr>
        <w:t>1</w:t>
      </w:r>
      <w:r>
        <w:rPr>
          <w:rFonts w:ascii="宋体" w:hAnsi="宋体"/>
          <w:color w:val="auto"/>
          <w:highlight w:val="none"/>
        </w:rPr>
        <w:t>.</w:t>
      </w:r>
      <w:r>
        <w:rPr>
          <w:rFonts w:hint="eastAsia" w:ascii="宋体" w:hAnsi="宋体"/>
          <w:color w:val="auto"/>
          <w:highlight w:val="none"/>
        </w:rPr>
        <w:t>有下列情形之一的视为供应商相互串通投标，投标文件将被视为无效：</w:t>
      </w:r>
    </w:p>
    <w:p w14:paraId="50B6CDDE">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1)不同投标人的投标文件由同一单位或者个人编制；</w:t>
      </w:r>
    </w:p>
    <w:p w14:paraId="05F02893">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2)不同投标人委托同一单位或者个人办理投标事宜；</w:t>
      </w:r>
    </w:p>
    <w:p w14:paraId="08F9C27C">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3)不同投标人的投标文件载明的项目管理成员或者联系人员为同一人；</w:t>
      </w:r>
    </w:p>
    <w:p w14:paraId="34C3D2BC">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4)不同投标人的投标文件异常一致或者投标报价呈规律性差异；</w:t>
      </w:r>
    </w:p>
    <w:p w14:paraId="340B34DB">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5)不同投标人的投标文件相互混装；</w:t>
      </w:r>
    </w:p>
    <w:p w14:paraId="76546F9C">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6)不同投标人的投标保证金从同一单位或者个人的账户转出。</w:t>
      </w:r>
    </w:p>
    <w:p w14:paraId="3239F81E">
      <w:pPr>
        <w:spacing w:line="410" w:lineRule="exact"/>
        <w:ind w:firstLine="420"/>
        <w:rPr>
          <w:rFonts w:hint="eastAsia" w:ascii="宋体" w:hAnsi="宋体"/>
          <w:color w:val="auto"/>
          <w:highlight w:val="none"/>
        </w:rPr>
      </w:pPr>
      <w:r>
        <w:rPr>
          <w:rFonts w:hint="eastAsia" w:ascii="宋体" w:hAnsi="宋体"/>
          <w:color w:val="auto"/>
          <w:highlight w:val="none"/>
          <w:lang w:val="en-US" w:eastAsia="zh-CN"/>
        </w:rPr>
        <w:t>2</w:t>
      </w:r>
      <w:r>
        <w:rPr>
          <w:rFonts w:ascii="宋体" w:hAnsi="宋体"/>
          <w:color w:val="auto"/>
          <w:highlight w:val="none"/>
        </w:rPr>
        <w:t>.</w:t>
      </w:r>
      <w:r>
        <w:rPr>
          <w:rFonts w:hint="eastAsia" w:ascii="宋体" w:hAnsi="宋体"/>
          <w:color w:val="auto"/>
          <w:highlight w:val="none"/>
        </w:rPr>
        <w:t>供应商有下列情形之一的，属于</w:t>
      </w:r>
      <w:bookmarkStart w:id="190" w:name="_Hlk90304995"/>
      <w:r>
        <w:rPr>
          <w:rFonts w:hint="eastAsia" w:ascii="宋体" w:hAnsi="宋体"/>
          <w:color w:val="auto"/>
          <w:highlight w:val="none"/>
        </w:rPr>
        <w:t>恶意串通</w:t>
      </w:r>
      <w:bookmarkEnd w:id="190"/>
      <w:r>
        <w:rPr>
          <w:rFonts w:hint="eastAsia" w:ascii="宋体" w:hAnsi="宋体"/>
          <w:color w:val="auto"/>
          <w:highlight w:val="none"/>
        </w:rPr>
        <w:t>：</w:t>
      </w:r>
    </w:p>
    <w:p w14:paraId="45E6D894">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供应商直接或者间接从采购人或者采购代理机构处获得其他供应商的相关信息并修改其投标文件：</w:t>
      </w:r>
    </w:p>
    <w:p w14:paraId="53076F6E">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供应商按照采购人或者采购代理机构的授意撤换、修改投标文件；</w:t>
      </w:r>
    </w:p>
    <w:p w14:paraId="0E536301">
      <w:pPr>
        <w:spacing w:line="410" w:lineRule="exact"/>
        <w:ind w:firstLine="0" w:firstLineChars="0"/>
        <w:rPr>
          <w:rFonts w:hint="eastAsia" w:ascii="宋体" w:hAnsi="宋体"/>
          <w:color w:val="auto"/>
          <w:highlight w:val="none"/>
        </w:rPr>
      </w:pPr>
      <w:r>
        <w:rPr>
          <w:rFonts w:ascii="宋体" w:hAnsi="宋体"/>
          <w:color w:val="auto"/>
          <w:highlight w:val="none"/>
        </w:rPr>
        <w:tab/>
      </w: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供应商之间协商报价、技术方案等投标文件的实质性内容；</w:t>
      </w:r>
    </w:p>
    <w:p w14:paraId="2D75F104">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属于同一集团、协会、商会等组织成员的供应商按照该组织要求协同参加政府采购活动；</w:t>
      </w:r>
    </w:p>
    <w:p w14:paraId="62C1268B">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供应商之间事先约定一致抬高或者压低报价，或者在采购项目中事先约定轮流以高价位或者低价位成交，或者事先约定由某一特定供应商成交，然后再参加投标；</w:t>
      </w:r>
    </w:p>
    <w:p w14:paraId="25F8DA4F">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highlight w:val="none"/>
        </w:rPr>
        <w:t>供应商之间商定部分供应商放弃参加政府采购活动或者放弃成交；</w:t>
      </w:r>
    </w:p>
    <w:p w14:paraId="3F33BFBE">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7)</w:t>
      </w:r>
      <w:r>
        <w:rPr>
          <w:rFonts w:hint="eastAsia" w:ascii="宋体" w:hAnsi="宋体"/>
          <w:color w:val="auto"/>
          <w:highlight w:val="none"/>
        </w:rPr>
        <w:t>供应商与采购人或者采购代理机构之间、供应商相互之间，为谋求特定供应商成交或者排斥其他供应商的其他串通行为。</w:t>
      </w:r>
    </w:p>
    <w:p w14:paraId="6D9AD9A0">
      <w:pPr>
        <w:pStyle w:val="29"/>
        <w:spacing w:line="410" w:lineRule="exact"/>
        <w:ind w:firstLine="211" w:firstLineChars="100"/>
        <w:rPr>
          <w:rFonts w:hAnsi="宋体"/>
          <w:b/>
          <w:color w:val="auto"/>
          <w:highlight w:val="none"/>
        </w:rPr>
      </w:pPr>
      <w:r>
        <w:rPr>
          <w:rFonts w:hint="eastAsia" w:hAnsi="宋体"/>
          <w:b/>
          <w:color w:val="auto"/>
          <w:highlight w:val="none"/>
        </w:rPr>
        <w:t>(八)废标</w:t>
      </w:r>
    </w:p>
    <w:p w14:paraId="6DF8A38A">
      <w:pPr>
        <w:pStyle w:val="29"/>
        <w:spacing w:line="410" w:lineRule="exact"/>
        <w:ind w:firstLine="420"/>
        <w:rPr>
          <w:rFonts w:hAnsi="宋体"/>
          <w:color w:val="auto"/>
          <w:highlight w:val="none"/>
        </w:rPr>
      </w:pPr>
      <w:r>
        <w:rPr>
          <w:rFonts w:hAnsi="宋体"/>
          <w:color w:val="auto"/>
          <w:highlight w:val="none"/>
        </w:rPr>
        <w:t>出现下列情形之一的，应予废标：</w:t>
      </w:r>
    </w:p>
    <w:p w14:paraId="5884C591">
      <w:pPr>
        <w:pStyle w:val="29"/>
        <w:spacing w:line="410" w:lineRule="exact"/>
        <w:ind w:firstLine="420"/>
        <w:rPr>
          <w:rFonts w:hAnsi="宋体"/>
          <w:color w:val="auto"/>
          <w:highlight w:val="none"/>
        </w:rPr>
      </w:pPr>
      <w:r>
        <w:rPr>
          <w:rFonts w:hint="eastAsia" w:hAnsi="宋体"/>
          <w:color w:val="auto"/>
          <w:highlight w:val="none"/>
        </w:rPr>
        <w:t>1</w:t>
      </w:r>
      <w:r>
        <w:rPr>
          <w:rFonts w:hAnsi="宋体"/>
          <w:color w:val="auto"/>
          <w:highlight w:val="none"/>
        </w:rPr>
        <w:t>.符合专业条件的供应商或者对招标文件作实质响应的供应商不足三家的；</w:t>
      </w:r>
    </w:p>
    <w:p w14:paraId="2DB83F9F">
      <w:pPr>
        <w:pStyle w:val="29"/>
        <w:spacing w:line="410" w:lineRule="exact"/>
        <w:ind w:firstLine="420"/>
        <w:rPr>
          <w:rFonts w:hAnsi="宋体"/>
          <w:color w:val="auto"/>
          <w:highlight w:val="none"/>
        </w:rPr>
      </w:pPr>
      <w:r>
        <w:rPr>
          <w:rFonts w:hint="eastAsia" w:hAnsi="宋体"/>
          <w:color w:val="auto"/>
          <w:highlight w:val="none"/>
        </w:rPr>
        <w:t>2</w:t>
      </w:r>
      <w:r>
        <w:rPr>
          <w:rFonts w:hAnsi="宋体"/>
          <w:color w:val="auto"/>
          <w:highlight w:val="none"/>
        </w:rPr>
        <w:t>.出现影响采购公正的违法、违规行为的；</w:t>
      </w:r>
    </w:p>
    <w:p w14:paraId="25A4FDB7">
      <w:pPr>
        <w:pStyle w:val="29"/>
        <w:spacing w:line="410" w:lineRule="exact"/>
        <w:ind w:firstLine="420"/>
        <w:rPr>
          <w:rFonts w:hAnsi="宋体"/>
          <w:color w:val="auto"/>
          <w:highlight w:val="none"/>
        </w:rPr>
      </w:pPr>
      <w:r>
        <w:rPr>
          <w:rFonts w:hint="eastAsia" w:hAnsi="宋体"/>
          <w:color w:val="auto"/>
          <w:highlight w:val="none"/>
        </w:rPr>
        <w:t>3</w:t>
      </w:r>
      <w:r>
        <w:rPr>
          <w:rFonts w:hAnsi="宋体"/>
          <w:color w:val="auto"/>
          <w:highlight w:val="none"/>
        </w:rPr>
        <w:t>.投标人的报价均超过了采购预算，采购人不能支付的；</w:t>
      </w:r>
    </w:p>
    <w:p w14:paraId="20A1DCD6">
      <w:pPr>
        <w:pStyle w:val="29"/>
        <w:spacing w:line="410" w:lineRule="exact"/>
        <w:ind w:firstLine="420"/>
        <w:rPr>
          <w:rFonts w:hAnsi="宋体"/>
          <w:color w:val="auto"/>
          <w:highlight w:val="none"/>
        </w:rPr>
      </w:pPr>
      <w:r>
        <w:rPr>
          <w:rFonts w:hint="eastAsia" w:hAnsi="宋体"/>
          <w:color w:val="auto"/>
          <w:highlight w:val="none"/>
        </w:rPr>
        <w:t>4</w:t>
      </w:r>
      <w:r>
        <w:rPr>
          <w:rFonts w:hAnsi="宋体"/>
          <w:color w:val="auto"/>
          <w:highlight w:val="none"/>
        </w:rPr>
        <w:t>.因重大变故，采购任务取消的。</w:t>
      </w:r>
      <w:bookmarkEnd w:id="186"/>
      <w:bookmarkEnd w:id="187"/>
      <w:bookmarkEnd w:id="188"/>
      <w:bookmarkEnd w:id="189"/>
    </w:p>
    <w:p w14:paraId="435460B8">
      <w:pPr>
        <w:spacing w:line="410" w:lineRule="exact"/>
        <w:ind w:firstLine="211" w:firstLineChars="100"/>
        <w:rPr>
          <w:rFonts w:ascii="宋体" w:hAnsi="宋体"/>
          <w:b/>
          <w:bCs/>
          <w:color w:val="auto"/>
          <w:highlight w:val="none"/>
        </w:rPr>
      </w:pPr>
      <w:bookmarkStart w:id="191" w:name="_Toc353785309"/>
      <w:bookmarkStart w:id="192" w:name="_Toc352700439"/>
      <w:r>
        <w:rPr>
          <w:rFonts w:hint="eastAsia" w:ascii="宋体" w:hAnsi="宋体"/>
          <w:b/>
          <w:bCs/>
          <w:color w:val="auto"/>
          <w:highlight w:val="none"/>
        </w:rPr>
        <w:t>(</w:t>
      </w:r>
      <w:r>
        <w:rPr>
          <w:rFonts w:hint="eastAsia" w:ascii="宋体" w:hAnsi="宋体"/>
          <w:b/>
          <w:color w:val="auto"/>
          <w:highlight w:val="none"/>
        </w:rPr>
        <w:t>九</w:t>
      </w:r>
      <w:r>
        <w:rPr>
          <w:rFonts w:hint="eastAsia" w:ascii="宋体" w:hAnsi="宋体"/>
          <w:b/>
          <w:bCs/>
          <w:color w:val="auto"/>
          <w:highlight w:val="none"/>
        </w:rPr>
        <w:t>)评标过程的监控</w:t>
      </w:r>
      <w:bookmarkEnd w:id="191"/>
      <w:bookmarkEnd w:id="192"/>
    </w:p>
    <w:p w14:paraId="7BF8E280">
      <w:pPr>
        <w:snapToGrid w:val="0"/>
        <w:spacing w:line="410" w:lineRule="exact"/>
        <w:ind w:firstLine="420"/>
        <w:rPr>
          <w:rFonts w:ascii="宋体" w:hAnsi="宋体"/>
          <w:color w:val="auto"/>
          <w:highlight w:val="none"/>
        </w:rPr>
      </w:pPr>
      <w:r>
        <w:rPr>
          <w:rFonts w:hint="eastAsia" w:ascii="宋体" w:hAnsi="宋体"/>
          <w:color w:val="auto"/>
          <w:highlight w:val="none"/>
        </w:rPr>
        <w:t>本项目评标过程实行全程录音、录像监控，投标人在评标过程中所进行的试图影响评标结果的不公正活动，可能导致其投标无效。</w:t>
      </w:r>
    </w:p>
    <w:p w14:paraId="003D5232">
      <w:pPr>
        <w:snapToGrid w:val="0"/>
        <w:spacing w:line="410" w:lineRule="exact"/>
        <w:ind w:firstLine="420"/>
        <w:rPr>
          <w:rFonts w:hint="eastAsia" w:ascii="宋体" w:hAnsi="宋体"/>
          <w:color w:val="auto"/>
          <w:szCs w:val="21"/>
          <w:highlight w:val="none"/>
        </w:rPr>
      </w:pPr>
    </w:p>
    <w:p w14:paraId="726A3349">
      <w:pPr>
        <w:pStyle w:val="3"/>
        <w:spacing w:before="0" w:after="0" w:line="410" w:lineRule="exact"/>
        <w:ind w:firstLine="0" w:firstLineChars="0"/>
        <w:rPr>
          <w:rFonts w:ascii="宋体" w:hAnsi="宋体" w:eastAsia="宋体"/>
          <w:b w:val="0"/>
          <w:color w:val="auto"/>
          <w:sz w:val="24"/>
          <w:szCs w:val="24"/>
          <w:highlight w:val="none"/>
        </w:rPr>
      </w:pPr>
      <w:bookmarkStart w:id="193" w:name="_Toc254970546"/>
      <w:bookmarkStart w:id="194" w:name="_Toc352700440"/>
      <w:bookmarkStart w:id="195" w:name="_Toc254970687"/>
      <w:bookmarkStart w:id="196" w:name="_Toc353785310"/>
      <w:r>
        <w:rPr>
          <w:rFonts w:hint="eastAsia" w:ascii="宋体" w:hAnsi="宋体" w:eastAsia="宋体"/>
          <w:b w:val="0"/>
          <w:color w:val="auto"/>
          <w:sz w:val="24"/>
          <w:szCs w:val="24"/>
          <w:highlight w:val="none"/>
        </w:rPr>
        <w:t>六、评标结果</w:t>
      </w:r>
      <w:bookmarkEnd w:id="193"/>
      <w:bookmarkEnd w:id="194"/>
      <w:bookmarkEnd w:id="195"/>
      <w:bookmarkEnd w:id="196"/>
    </w:p>
    <w:p w14:paraId="41D81AB0">
      <w:pPr>
        <w:pStyle w:val="29"/>
        <w:spacing w:line="410" w:lineRule="exact"/>
        <w:ind w:firstLine="210" w:firstLineChars="100"/>
        <w:rPr>
          <w:rFonts w:hAnsi="宋体"/>
          <w:color w:val="auto"/>
          <w:highlight w:val="none"/>
        </w:rPr>
      </w:pPr>
      <w:r>
        <w:rPr>
          <w:rFonts w:hint="eastAsia" w:hAnsi="宋体"/>
          <w:bCs/>
          <w:color w:val="auto"/>
          <w:highlight w:val="none"/>
        </w:rPr>
        <w:t>(一)</w:t>
      </w:r>
      <w:r>
        <w:rPr>
          <w:rFonts w:hint="eastAsia" w:hAnsi="宋体"/>
          <w:color w:val="auto"/>
          <w:highlight w:val="none"/>
        </w:rPr>
        <w:t>本中心将在评标结束后2个工作日内将评标报告送采购人，采购人在5个工作日内按照评标报告中推荐的中标候选供应商顺序确定中标人。中标候选人并列的，由采购人或者采购人委托评标委员会按照招标文件规定的方式确定中标人；招标文件未规定的，采取随机抽取的方式确定。采购人也可以授权评标委员会直接确定中标人。</w:t>
      </w:r>
    </w:p>
    <w:p w14:paraId="4B9EA099">
      <w:pPr>
        <w:snapToGrid w:val="0"/>
        <w:spacing w:line="410" w:lineRule="exact"/>
        <w:ind w:firstLine="210" w:firstLineChars="100"/>
        <w:rPr>
          <w:rFonts w:ascii="宋体" w:hAnsi="宋体"/>
          <w:color w:val="auto"/>
          <w:highlight w:val="none"/>
        </w:rPr>
      </w:pPr>
      <w:r>
        <w:rPr>
          <w:rFonts w:hint="eastAsia" w:ascii="宋体" w:hAnsi="宋体"/>
          <w:color w:val="auto"/>
          <w:highlight w:val="none"/>
        </w:rPr>
        <w:t>(二)中标人确定后，本中心在省级以上财政部门指定的媒体上公告中标结果，同时向中标人发出中标通知书。</w:t>
      </w:r>
    </w:p>
    <w:p w14:paraId="18B5D6DE">
      <w:pPr>
        <w:pStyle w:val="29"/>
        <w:spacing w:line="410" w:lineRule="exact"/>
        <w:ind w:firstLine="210" w:firstLineChars="100"/>
        <w:rPr>
          <w:rFonts w:hint="eastAsia" w:hAnsi="宋体"/>
          <w:color w:val="auto"/>
          <w:highlight w:val="none"/>
        </w:rPr>
      </w:pPr>
      <w:r>
        <w:rPr>
          <w:rFonts w:hint="eastAsia" w:hAnsi="宋体"/>
          <w:color w:val="auto"/>
          <w:highlight w:val="none"/>
        </w:rPr>
        <w:t>(三)</w:t>
      </w:r>
      <w:bookmarkStart w:id="197" w:name="_Toc352700441"/>
      <w:bookmarkStart w:id="198" w:name="_Toc353785311"/>
      <w:r>
        <w:rPr>
          <w:rFonts w:hint="eastAsia" w:hAnsi="宋体"/>
          <w:color w:val="auto"/>
          <w:highlight w:val="none"/>
        </w:rPr>
        <w:t>中标通知书发出后，采购人不得违法改变中标结果，中标人无正当理由不得放弃中标。</w:t>
      </w:r>
    </w:p>
    <w:p w14:paraId="18D6DB40">
      <w:pPr>
        <w:pStyle w:val="29"/>
        <w:spacing w:line="410" w:lineRule="exact"/>
        <w:ind w:firstLine="210" w:firstLineChars="100"/>
        <w:rPr>
          <w:rFonts w:hint="eastAsia" w:hAnsi="宋体"/>
          <w:color w:val="auto"/>
          <w:highlight w:val="none"/>
        </w:rPr>
      </w:pPr>
    </w:p>
    <w:p w14:paraId="5A6DEF0C">
      <w:pPr>
        <w:pStyle w:val="3"/>
        <w:spacing w:before="0" w:after="0" w:line="410" w:lineRule="exact"/>
        <w:ind w:firstLine="0" w:firstLineChars="0"/>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七、签订合同</w:t>
      </w:r>
      <w:bookmarkEnd w:id="197"/>
      <w:bookmarkEnd w:id="198"/>
    </w:p>
    <w:p w14:paraId="5462CA16">
      <w:pPr>
        <w:pStyle w:val="29"/>
        <w:spacing w:line="410" w:lineRule="exact"/>
        <w:ind w:firstLine="210" w:firstLineChars="100"/>
        <w:rPr>
          <w:rFonts w:hAnsi="宋体"/>
          <w:color w:val="auto"/>
          <w:highlight w:val="none"/>
        </w:rPr>
      </w:pPr>
      <w:r>
        <w:rPr>
          <w:rFonts w:hint="eastAsia" w:hAnsi="宋体" w:cs="Times New Roman"/>
          <w:color w:val="auto"/>
          <w:szCs w:val="32"/>
          <w:highlight w:val="none"/>
        </w:rPr>
        <w:t>(一)</w:t>
      </w:r>
      <w:r>
        <w:rPr>
          <w:rFonts w:hint="eastAsia" w:hAnsi="宋体"/>
          <w:color w:val="auto"/>
          <w:highlight w:val="none"/>
        </w:rPr>
        <w:t>采购人应当中标通知书发出之日起15日内，按照招标文件和中标人投标文件的规定，与中标人签订书面合同。所签订的合同不得对招标文件确定的事项和中标人投标文件作实质性修改。</w:t>
      </w:r>
    </w:p>
    <w:p w14:paraId="5A4193BC">
      <w:pPr>
        <w:pStyle w:val="29"/>
        <w:spacing w:line="410" w:lineRule="exact"/>
        <w:ind w:firstLine="210" w:firstLineChars="100"/>
        <w:rPr>
          <w:rFonts w:hAnsi="宋体"/>
          <w:color w:val="auto"/>
          <w:highlight w:val="none"/>
        </w:rPr>
      </w:pPr>
      <w:r>
        <w:rPr>
          <w:rFonts w:hint="eastAsia" w:hAnsi="宋体"/>
          <w:color w:val="auto"/>
          <w:highlight w:val="none"/>
        </w:rPr>
        <w:t>(二)中标通知书对采购人和中标人均具有法律效力。中标通知书发出后，采购人改变中标结果的，或者中标人放弃中标项目的，应当依法承担法律责任。</w:t>
      </w:r>
    </w:p>
    <w:p w14:paraId="7EC9EA7D">
      <w:pPr>
        <w:widowControl/>
        <w:spacing w:line="380" w:lineRule="exact"/>
        <w:ind w:firstLine="210" w:firstLineChars="100"/>
        <w:jc w:val="left"/>
        <w:rPr>
          <w:rFonts w:ascii="宋体" w:hAnsi="宋体" w:cs="宋体"/>
          <w:color w:val="auto"/>
          <w:kern w:val="0"/>
          <w:szCs w:val="21"/>
          <w:highlight w:val="none"/>
        </w:rPr>
      </w:pPr>
      <w:r>
        <w:rPr>
          <w:rFonts w:hint="eastAsia" w:hAnsi="宋体"/>
          <w:color w:val="auto"/>
          <w:highlight w:val="none"/>
        </w:rPr>
        <w:t>(三)</w:t>
      </w:r>
      <w:r>
        <w:rPr>
          <w:rFonts w:hint="eastAsia" w:ascii="宋体" w:hAnsi="宋体" w:cs="宋体"/>
          <w:color w:val="auto"/>
          <w:kern w:val="0"/>
          <w:szCs w:val="21"/>
          <w:highlight w:val="none"/>
        </w:rPr>
        <w:t xml:space="preserve"> 供应商可凭成交通知书或政府采购合同等在内的相关材料、信息，通过中征应收账款融资服务平台向银行业金融机构在线申请</w:t>
      </w:r>
      <w:r>
        <w:rPr>
          <w:rFonts w:ascii="宋体" w:hAnsi="宋体" w:cs="宋体"/>
          <w:color w:val="auto"/>
          <w:kern w:val="0"/>
          <w:szCs w:val="21"/>
          <w:highlight w:val="none"/>
        </w:rPr>
        <w:t>“</w:t>
      </w:r>
      <w:r>
        <w:rPr>
          <w:rFonts w:hint="eastAsia" w:ascii="宋体" w:hAnsi="宋体" w:cs="宋体"/>
          <w:color w:val="auto"/>
          <w:kern w:val="0"/>
          <w:szCs w:val="21"/>
          <w:highlight w:val="none"/>
        </w:rPr>
        <w:t>政采贷”融资。</w:t>
      </w:r>
    </w:p>
    <w:p w14:paraId="35F13E1E">
      <w:pPr>
        <w:pStyle w:val="29"/>
        <w:spacing w:line="410" w:lineRule="exact"/>
        <w:ind w:firstLine="210" w:firstLineChars="100"/>
        <w:rPr>
          <w:rFonts w:hAnsi="宋体"/>
          <w:color w:val="auto"/>
          <w:highlight w:val="none"/>
        </w:rPr>
      </w:pPr>
      <w:r>
        <w:rPr>
          <w:rFonts w:hint="eastAsia" w:hAnsi="宋体"/>
          <w:color w:val="auto"/>
          <w:highlight w:val="none"/>
        </w:rPr>
        <w:t>(四)中标人拒绝与采购人签订合同的，采购人可以按照评标报告推荐的中标候选人名单排序，确定下一候选人为中标人，也可以重新开展政府采购活动。</w:t>
      </w:r>
    </w:p>
    <w:p w14:paraId="72ABB90B">
      <w:pPr>
        <w:pStyle w:val="29"/>
        <w:spacing w:line="410" w:lineRule="exact"/>
        <w:ind w:firstLine="210" w:firstLineChars="100"/>
        <w:rPr>
          <w:rFonts w:hint="eastAsia" w:hAnsi="宋体"/>
          <w:color w:val="auto"/>
          <w:highlight w:val="none"/>
        </w:rPr>
      </w:pPr>
      <w:r>
        <w:rPr>
          <w:rFonts w:hAnsi="宋体"/>
          <w:color w:val="auto"/>
          <w:highlight w:val="none"/>
        </w:rPr>
        <w:t>(</w:t>
      </w:r>
      <w:r>
        <w:rPr>
          <w:rFonts w:hint="eastAsia" w:hAnsi="宋体"/>
          <w:color w:val="auto"/>
          <w:highlight w:val="none"/>
        </w:rPr>
        <w:t>五</w:t>
      </w:r>
      <w:r>
        <w:rPr>
          <w:rFonts w:hAnsi="宋体"/>
          <w:color w:val="auto"/>
          <w:highlight w:val="none"/>
        </w:rPr>
        <w:t>)</w:t>
      </w:r>
      <w:r>
        <w:rPr>
          <w:rFonts w:hint="eastAsia" w:hAnsi="宋体"/>
          <w:color w:val="auto"/>
          <w:highlight w:val="none"/>
        </w:rPr>
        <w:t>采购人与中标人应当根据合同的约定依法履行合同义务。政府采购合同的履行、违约责任和解决争议的方法等适用《中华人民共和国民法典》合同编。</w:t>
      </w:r>
    </w:p>
    <w:p w14:paraId="1402EFD1">
      <w:pPr>
        <w:pStyle w:val="29"/>
        <w:spacing w:line="410" w:lineRule="exact"/>
        <w:ind w:firstLine="0" w:firstLineChars="0"/>
        <w:rPr>
          <w:rFonts w:hint="eastAsia" w:hAnsi="宋体"/>
          <w:color w:val="auto"/>
          <w:highlight w:val="none"/>
        </w:rPr>
      </w:pPr>
    </w:p>
    <w:p w14:paraId="51F61F5E">
      <w:pPr>
        <w:spacing w:line="410" w:lineRule="exact"/>
        <w:ind w:firstLine="0" w:firstLineChars="0"/>
        <w:rPr>
          <w:rFonts w:ascii="宋体" w:hAnsi="宋体"/>
          <w:b/>
          <w:color w:val="auto"/>
          <w:sz w:val="24"/>
          <w:highlight w:val="none"/>
        </w:rPr>
      </w:pPr>
      <w:bookmarkStart w:id="199" w:name="_Toc352700445"/>
      <w:bookmarkStart w:id="200" w:name="_Toc353785315"/>
      <w:bookmarkStart w:id="201" w:name="_Toc352315998"/>
      <w:r>
        <w:rPr>
          <w:rFonts w:hint="eastAsia" w:ascii="宋体" w:hAnsi="宋体"/>
          <w:b/>
          <w:color w:val="auto"/>
          <w:sz w:val="24"/>
          <w:highlight w:val="none"/>
        </w:rPr>
        <w:t>八、适用法律</w:t>
      </w:r>
    </w:p>
    <w:p w14:paraId="52ED0BC7">
      <w:pPr>
        <w:spacing w:line="410" w:lineRule="exact"/>
        <w:ind w:firstLine="210" w:firstLineChars="100"/>
        <w:rPr>
          <w:rFonts w:ascii="宋体" w:hAnsi="宋体"/>
          <w:color w:val="auto"/>
          <w:szCs w:val="21"/>
          <w:highlight w:val="none"/>
        </w:rPr>
      </w:pPr>
      <w:r>
        <w:rPr>
          <w:rFonts w:hint="eastAsia" w:ascii="宋体" w:hAnsi="宋体"/>
          <w:color w:val="auto"/>
          <w:szCs w:val="21"/>
          <w:highlight w:val="none"/>
        </w:rPr>
        <w:t>本项目采购活动适用于《中华人民共和国政府采购法》及其实施条例、《政府采购货物和服务招标投标管理办法》等规定。</w:t>
      </w:r>
    </w:p>
    <w:p w14:paraId="0C3464D8">
      <w:pPr>
        <w:spacing w:line="410" w:lineRule="exact"/>
        <w:ind w:firstLine="0" w:firstLineChars="0"/>
        <w:rPr>
          <w:rFonts w:hint="eastAsia" w:ascii="宋体" w:hAnsi="宋体"/>
          <w:color w:val="auto"/>
          <w:szCs w:val="21"/>
          <w:highlight w:val="none"/>
        </w:rPr>
      </w:pPr>
    </w:p>
    <w:p w14:paraId="722689DB">
      <w:pPr>
        <w:pStyle w:val="3"/>
        <w:spacing w:before="0" w:after="0" w:line="380" w:lineRule="exact"/>
        <w:ind w:firstLine="0" w:firstLineChars="0"/>
        <w:rPr>
          <w:rFonts w:ascii="宋体" w:hAnsi="宋体" w:eastAsia="宋体"/>
          <w:b w:val="0"/>
          <w:color w:val="auto"/>
          <w:sz w:val="24"/>
          <w:szCs w:val="24"/>
          <w:highlight w:val="none"/>
        </w:rPr>
      </w:pPr>
      <w:bookmarkStart w:id="202" w:name="_九、其他事项"/>
      <w:bookmarkEnd w:id="202"/>
      <w:r>
        <w:rPr>
          <w:rFonts w:hint="eastAsia" w:ascii="宋体" w:hAnsi="宋体" w:eastAsia="宋体"/>
          <w:b w:val="0"/>
          <w:color w:val="auto"/>
          <w:sz w:val="24"/>
          <w:szCs w:val="24"/>
          <w:highlight w:val="none"/>
        </w:rPr>
        <w:t>九、其他事项</w:t>
      </w:r>
      <w:bookmarkEnd w:id="199"/>
      <w:bookmarkEnd w:id="200"/>
      <w:bookmarkEnd w:id="201"/>
    </w:p>
    <w:p w14:paraId="2AD3E5C6">
      <w:pPr>
        <w:pStyle w:val="29"/>
        <w:spacing w:line="380" w:lineRule="exact"/>
        <w:ind w:firstLine="210" w:firstLineChars="100"/>
        <w:rPr>
          <w:rFonts w:hAnsi="宋体"/>
          <w:bCs/>
          <w:color w:val="auto"/>
          <w:highlight w:val="none"/>
        </w:rPr>
      </w:pPr>
      <w:r>
        <w:rPr>
          <w:rFonts w:hint="eastAsia" w:hAnsi="宋体"/>
          <w:bCs/>
          <w:color w:val="auto"/>
          <w:highlight w:val="none"/>
        </w:rPr>
        <w:t>(一)代理服务费</w:t>
      </w:r>
    </w:p>
    <w:p w14:paraId="55A306FB">
      <w:pPr>
        <w:pStyle w:val="29"/>
        <w:spacing w:line="380" w:lineRule="exact"/>
        <w:ind w:firstLine="420"/>
        <w:rPr>
          <w:rFonts w:hAnsi="宋体"/>
          <w:color w:val="auto"/>
          <w:highlight w:val="none"/>
        </w:rPr>
      </w:pPr>
      <w:r>
        <w:rPr>
          <w:rFonts w:hAnsi="宋体"/>
          <w:color w:val="auto"/>
          <w:highlight w:val="none"/>
        </w:rPr>
        <w:t>1.</w:t>
      </w:r>
      <w:bookmarkStart w:id="203" w:name="_Hlk92466646"/>
      <w:r>
        <w:rPr>
          <w:rFonts w:hint="eastAsia" w:hAnsi="宋体"/>
          <w:color w:val="auto"/>
          <w:highlight w:val="none"/>
        </w:rPr>
        <w:t>本中心按钦州市物价局“钦市价费〔2013〕4号”文件规定向中标人收取代理服务费，中标人须向本中心一次付清代理服务费。</w:t>
      </w:r>
      <w:bookmarkEnd w:id="203"/>
    </w:p>
    <w:p w14:paraId="1E03BA79">
      <w:pPr>
        <w:pStyle w:val="29"/>
        <w:spacing w:line="380" w:lineRule="exact"/>
        <w:ind w:firstLine="420"/>
        <w:rPr>
          <w:rFonts w:hAnsi="宋体"/>
          <w:bCs/>
          <w:color w:val="auto"/>
          <w:highlight w:val="none"/>
        </w:rPr>
      </w:pPr>
      <w:r>
        <w:rPr>
          <w:rFonts w:hAnsi="宋体"/>
          <w:bCs/>
          <w:color w:val="auto"/>
          <w:highlight w:val="none"/>
        </w:rPr>
        <w:t>2.</w:t>
      </w:r>
      <w:bookmarkStart w:id="204" w:name="_Hlk92466736"/>
      <w:r>
        <w:rPr>
          <w:rFonts w:hint="eastAsia" w:hAnsi="宋体"/>
          <w:bCs/>
          <w:color w:val="auto"/>
          <w:highlight w:val="none"/>
        </w:rPr>
        <w:t>代理服务收费标准：</w:t>
      </w:r>
      <w:bookmarkEnd w:id="204"/>
    </w:p>
    <w:tbl>
      <w:tblPr>
        <w:tblStyle w:val="51"/>
        <w:tblW w:w="0" w:type="auto"/>
        <w:tblInd w:w="534" w:type="dxa"/>
        <w:tblLayout w:type="fixed"/>
        <w:tblCellMar>
          <w:top w:w="0" w:type="dxa"/>
          <w:left w:w="108" w:type="dxa"/>
          <w:bottom w:w="0" w:type="dxa"/>
          <w:right w:w="108" w:type="dxa"/>
        </w:tblCellMar>
      </w:tblPr>
      <w:tblGrid>
        <w:gridCol w:w="3255"/>
        <w:gridCol w:w="1899"/>
        <w:gridCol w:w="1980"/>
        <w:gridCol w:w="1980"/>
      </w:tblGrid>
      <w:tr w14:paraId="3D5F84FE">
        <w:tblPrEx>
          <w:tblCellMar>
            <w:top w:w="0" w:type="dxa"/>
            <w:left w:w="108" w:type="dxa"/>
            <w:bottom w:w="0" w:type="dxa"/>
            <w:right w:w="108" w:type="dxa"/>
          </w:tblCellMar>
        </w:tblPrEx>
        <w:trPr>
          <w:trHeight w:val="1773" w:hRule="atLeast"/>
        </w:trPr>
        <w:tc>
          <w:tcPr>
            <w:tcW w:w="3255" w:type="dxa"/>
            <w:tcBorders>
              <w:top w:val="single" w:color="auto" w:sz="4" w:space="0"/>
              <w:left w:val="single" w:color="000000" w:sz="4" w:space="0"/>
              <w:bottom w:val="single" w:color="000000" w:sz="4" w:space="0"/>
              <w:right w:val="single" w:color="000000" w:sz="4" w:space="0"/>
              <w:tl2br w:val="single" w:color="auto" w:sz="4" w:space="0"/>
            </w:tcBorders>
            <w:noWrap w:val="0"/>
            <w:vAlign w:val="top"/>
          </w:tcPr>
          <w:p w14:paraId="2F94EAB5">
            <w:pPr>
              <w:widowControl/>
              <w:ind w:firstLine="420"/>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mc:AlternateContent>
                <mc:Choice Requires="wps">
                  <w:drawing>
                    <wp:anchor distT="0" distB="0" distL="114300" distR="114300" simplePos="0" relativeHeight="251659264" behindDoc="0" locked="0" layoutInCell="1" allowOverlap="1">
                      <wp:simplePos x="0" y="0"/>
                      <wp:positionH relativeFrom="column">
                        <wp:posOffset>1051560</wp:posOffset>
                      </wp:positionH>
                      <wp:positionV relativeFrom="paragraph">
                        <wp:posOffset>8255</wp:posOffset>
                      </wp:positionV>
                      <wp:extent cx="914400" cy="1118235"/>
                      <wp:effectExtent l="0" t="0" r="0" b="0"/>
                      <wp:wrapNone/>
                      <wp:docPr id="1" name="直线 5"/>
                      <wp:cNvGraphicFramePr/>
                      <a:graphic xmlns:a="http://schemas.openxmlformats.org/drawingml/2006/main">
                        <a:graphicData uri="http://schemas.microsoft.com/office/word/2010/wordprocessingShape">
                          <wps:wsp>
                            <wps:cNvCnPr/>
                            <wps:spPr>
                              <a:xfrm>
                                <a:off x="0" y="0"/>
                                <a:ext cx="914400" cy="11182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82.8pt;margin-top:0.65pt;height:88.05pt;width:72pt;z-index:251659264;mso-width-relative:page;mso-height-relative:page;" filled="f" stroked="t" coordsize="21600,21600" o:gfxdata="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MX&#10;Ce/WAAAACQEAAA8AAAAAAAAAAQAgAAAAIgAAAGRycy9kb3ducmV2LnhtbFBLAQIUABQAAAAIAIdO&#10;4kBrvPH97AEAAOADAAAOAAAAAAAAAAEAIAAAACUBAABkcnMvZTJvRG9jLnhtbFBLBQYAAAAABgAG&#10;AFkBAACDBQAAAAA=&#10;">
                      <v:fill on="f" focussize="0,0"/>
                      <v:stroke color="#000000" joinstyle="round"/>
                      <v:imagedata o:title=""/>
                      <o:lock v:ext="edit" aspectratio="f"/>
                    </v:line>
                  </w:pict>
                </mc:Fallback>
              </mc:AlternateConten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服务类型</w:t>
            </w:r>
          </w:p>
          <w:p w14:paraId="46455E52">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费率</w:t>
            </w:r>
          </w:p>
          <w:p w14:paraId="483B9DBC">
            <w:pPr>
              <w:widowControl/>
              <w:ind w:firstLine="0" w:firstLineChars="0"/>
              <w:jc w:val="left"/>
              <w:rPr>
                <w:rFonts w:hint="eastAsia" w:ascii="宋体" w:hAnsi="宋体" w:eastAsia="宋体" w:cs="Times New Roman"/>
                <w:color w:val="auto"/>
                <w:kern w:val="0"/>
                <w:szCs w:val="21"/>
                <w:highlight w:val="none"/>
              </w:rPr>
            </w:pPr>
          </w:p>
          <w:p w14:paraId="7BE37A74">
            <w:pPr>
              <w:widowControl/>
              <w:ind w:firstLine="0" w:firstLineChars="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中标金额(万元)</w:t>
            </w:r>
          </w:p>
        </w:tc>
        <w:tc>
          <w:tcPr>
            <w:tcW w:w="1899" w:type="dxa"/>
            <w:tcBorders>
              <w:top w:val="single" w:color="000000" w:sz="4" w:space="0"/>
              <w:left w:val="nil"/>
              <w:right w:val="single" w:color="auto" w:sz="4" w:space="0"/>
            </w:tcBorders>
            <w:noWrap w:val="0"/>
            <w:vAlign w:val="center"/>
          </w:tcPr>
          <w:p w14:paraId="50F36B5D">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货物招标</w:t>
            </w:r>
          </w:p>
        </w:tc>
        <w:tc>
          <w:tcPr>
            <w:tcW w:w="1980" w:type="dxa"/>
            <w:tcBorders>
              <w:top w:val="single" w:color="000000" w:sz="4" w:space="0"/>
              <w:left w:val="single" w:color="auto" w:sz="4" w:space="0"/>
              <w:right w:val="single" w:color="auto" w:sz="4" w:space="0"/>
            </w:tcBorders>
            <w:noWrap w:val="0"/>
            <w:vAlign w:val="center"/>
          </w:tcPr>
          <w:p w14:paraId="7090ECAE">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服务招标</w:t>
            </w:r>
          </w:p>
        </w:tc>
        <w:tc>
          <w:tcPr>
            <w:tcW w:w="1980" w:type="dxa"/>
            <w:tcBorders>
              <w:top w:val="single" w:color="000000" w:sz="4" w:space="0"/>
              <w:left w:val="single" w:color="auto" w:sz="4" w:space="0"/>
              <w:right w:val="single" w:color="000000" w:sz="4" w:space="0"/>
            </w:tcBorders>
            <w:noWrap w:val="0"/>
            <w:vAlign w:val="center"/>
          </w:tcPr>
          <w:p w14:paraId="05F53C90">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工程招标</w:t>
            </w:r>
          </w:p>
        </w:tc>
      </w:tr>
      <w:tr w14:paraId="600C8A2D">
        <w:tblPrEx>
          <w:tblCellMar>
            <w:top w:w="0" w:type="dxa"/>
            <w:left w:w="108" w:type="dxa"/>
            <w:bottom w:w="0" w:type="dxa"/>
            <w:right w:w="108" w:type="dxa"/>
          </w:tblCellMar>
        </w:tblPrEx>
        <w:trPr>
          <w:trHeight w:val="397"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14:paraId="482087EC">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100以下</w:t>
            </w:r>
          </w:p>
        </w:tc>
        <w:tc>
          <w:tcPr>
            <w:tcW w:w="1899" w:type="dxa"/>
            <w:tcBorders>
              <w:top w:val="single" w:color="000000" w:sz="4" w:space="0"/>
              <w:left w:val="nil"/>
              <w:bottom w:val="single" w:color="000000" w:sz="4" w:space="0"/>
              <w:right w:val="single" w:color="000000" w:sz="4" w:space="0"/>
            </w:tcBorders>
            <w:noWrap w:val="0"/>
            <w:vAlign w:val="center"/>
          </w:tcPr>
          <w:p w14:paraId="3032A24D">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w:t>
            </w:r>
          </w:p>
        </w:tc>
        <w:tc>
          <w:tcPr>
            <w:tcW w:w="1980" w:type="dxa"/>
            <w:tcBorders>
              <w:top w:val="single" w:color="000000" w:sz="4" w:space="0"/>
              <w:left w:val="nil"/>
              <w:bottom w:val="single" w:color="000000" w:sz="4" w:space="0"/>
              <w:right w:val="single" w:color="000000" w:sz="4" w:space="0"/>
            </w:tcBorders>
            <w:noWrap w:val="0"/>
            <w:vAlign w:val="center"/>
          </w:tcPr>
          <w:p w14:paraId="47C7C0C5">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w:t>
            </w:r>
          </w:p>
        </w:tc>
        <w:tc>
          <w:tcPr>
            <w:tcW w:w="1980" w:type="dxa"/>
            <w:tcBorders>
              <w:top w:val="single" w:color="000000" w:sz="4" w:space="0"/>
              <w:left w:val="nil"/>
              <w:bottom w:val="single" w:color="000000" w:sz="4" w:space="0"/>
              <w:right w:val="single" w:color="000000" w:sz="4" w:space="0"/>
            </w:tcBorders>
            <w:noWrap w:val="0"/>
            <w:vAlign w:val="center"/>
          </w:tcPr>
          <w:p w14:paraId="53CA1861">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0.8%</w:t>
            </w:r>
          </w:p>
        </w:tc>
      </w:tr>
      <w:tr w14:paraId="13908004">
        <w:tblPrEx>
          <w:tblCellMar>
            <w:top w:w="0" w:type="dxa"/>
            <w:left w:w="108" w:type="dxa"/>
            <w:bottom w:w="0" w:type="dxa"/>
            <w:right w:w="108" w:type="dxa"/>
          </w:tblCellMar>
        </w:tblPrEx>
        <w:trPr>
          <w:trHeight w:val="458"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14:paraId="29F04DE9">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100-500</w:t>
            </w:r>
          </w:p>
        </w:tc>
        <w:tc>
          <w:tcPr>
            <w:tcW w:w="1899" w:type="dxa"/>
            <w:tcBorders>
              <w:top w:val="single" w:color="000000" w:sz="4" w:space="0"/>
              <w:left w:val="nil"/>
              <w:bottom w:val="single" w:color="000000" w:sz="4" w:space="0"/>
              <w:right w:val="single" w:color="000000" w:sz="4" w:space="0"/>
            </w:tcBorders>
            <w:noWrap w:val="0"/>
            <w:vAlign w:val="center"/>
          </w:tcPr>
          <w:p w14:paraId="114C2652">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0.88%</w:t>
            </w:r>
          </w:p>
        </w:tc>
        <w:tc>
          <w:tcPr>
            <w:tcW w:w="1980" w:type="dxa"/>
            <w:tcBorders>
              <w:top w:val="single" w:color="000000" w:sz="4" w:space="0"/>
              <w:left w:val="nil"/>
              <w:bottom w:val="single" w:color="000000" w:sz="4" w:space="0"/>
              <w:right w:val="single" w:color="000000" w:sz="4" w:space="0"/>
            </w:tcBorders>
            <w:noWrap w:val="0"/>
            <w:vAlign w:val="center"/>
          </w:tcPr>
          <w:p w14:paraId="1A5308BC">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0.64%</w:t>
            </w:r>
          </w:p>
        </w:tc>
        <w:tc>
          <w:tcPr>
            <w:tcW w:w="1980" w:type="dxa"/>
            <w:tcBorders>
              <w:top w:val="single" w:color="000000" w:sz="4" w:space="0"/>
              <w:left w:val="nil"/>
              <w:bottom w:val="single" w:color="000000" w:sz="4" w:space="0"/>
              <w:right w:val="single" w:color="000000" w:sz="4" w:space="0"/>
            </w:tcBorders>
            <w:noWrap w:val="0"/>
            <w:vAlign w:val="center"/>
          </w:tcPr>
          <w:p w14:paraId="07475918">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0.56%</w:t>
            </w:r>
          </w:p>
        </w:tc>
      </w:tr>
      <w:tr w14:paraId="1F376A3C">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14:paraId="2001688D">
            <w:pPr>
              <w:widowControl/>
              <w:ind w:firstLine="451" w:firstLineChars="215"/>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500-1000</w:t>
            </w:r>
          </w:p>
        </w:tc>
        <w:tc>
          <w:tcPr>
            <w:tcW w:w="1899" w:type="dxa"/>
            <w:tcBorders>
              <w:top w:val="single" w:color="000000" w:sz="4" w:space="0"/>
              <w:left w:val="nil"/>
              <w:bottom w:val="single" w:color="000000" w:sz="4" w:space="0"/>
              <w:right w:val="single" w:color="000000" w:sz="4" w:space="0"/>
            </w:tcBorders>
            <w:noWrap w:val="0"/>
            <w:vAlign w:val="center"/>
          </w:tcPr>
          <w:p w14:paraId="14E90BD2">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0.64%</w:t>
            </w:r>
          </w:p>
        </w:tc>
        <w:tc>
          <w:tcPr>
            <w:tcW w:w="1980" w:type="dxa"/>
            <w:tcBorders>
              <w:top w:val="single" w:color="000000" w:sz="4" w:space="0"/>
              <w:left w:val="nil"/>
              <w:bottom w:val="single" w:color="000000" w:sz="4" w:space="0"/>
              <w:right w:val="single" w:color="000000" w:sz="4" w:space="0"/>
            </w:tcBorders>
            <w:noWrap w:val="0"/>
            <w:vAlign w:val="center"/>
          </w:tcPr>
          <w:p w14:paraId="7A2C9A52">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0.36%</w:t>
            </w:r>
          </w:p>
        </w:tc>
        <w:tc>
          <w:tcPr>
            <w:tcW w:w="1980" w:type="dxa"/>
            <w:tcBorders>
              <w:top w:val="single" w:color="000000" w:sz="4" w:space="0"/>
              <w:left w:val="nil"/>
              <w:bottom w:val="single" w:color="000000" w:sz="4" w:space="0"/>
              <w:right w:val="single" w:color="000000" w:sz="4" w:space="0"/>
            </w:tcBorders>
            <w:noWrap w:val="0"/>
            <w:vAlign w:val="center"/>
          </w:tcPr>
          <w:p w14:paraId="4B855CA6">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0.44%</w:t>
            </w:r>
          </w:p>
        </w:tc>
      </w:tr>
      <w:tr w14:paraId="6A224F9A">
        <w:tblPrEx>
          <w:tblCellMar>
            <w:top w:w="0" w:type="dxa"/>
            <w:left w:w="108" w:type="dxa"/>
            <w:bottom w:w="0" w:type="dxa"/>
            <w:right w:w="108" w:type="dxa"/>
          </w:tblCellMar>
        </w:tblPrEx>
        <w:trPr>
          <w:trHeight w:val="456"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14:paraId="683AA5F7">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1000-5000</w:t>
            </w:r>
          </w:p>
        </w:tc>
        <w:tc>
          <w:tcPr>
            <w:tcW w:w="1899" w:type="dxa"/>
            <w:tcBorders>
              <w:top w:val="single" w:color="000000" w:sz="4" w:space="0"/>
              <w:left w:val="nil"/>
              <w:bottom w:val="single" w:color="000000" w:sz="4" w:space="0"/>
              <w:right w:val="single" w:color="000000" w:sz="4" w:space="0"/>
            </w:tcBorders>
            <w:noWrap w:val="0"/>
            <w:vAlign w:val="center"/>
          </w:tcPr>
          <w:p w14:paraId="21C44333">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0.4%</w:t>
            </w:r>
          </w:p>
        </w:tc>
        <w:tc>
          <w:tcPr>
            <w:tcW w:w="1980" w:type="dxa"/>
            <w:tcBorders>
              <w:top w:val="single" w:color="000000" w:sz="4" w:space="0"/>
              <w:left w:val="nil"/>
              <w:bottom w:val="single" w:color="000000" w:sz="4" w:space="0"/>
              <w:right w:val="single" w:color="000000" w:sz="4" w:space="0"/>
            </w:tcBorders>
            <w:noWrap w:val="0"/>
            <w:vAlign w:val="center"/>
          </w:tcPr>
          <w:p w14:paraId="38EDE735">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w:t>
            </w:r>
          </w:p>
        </w:tc>
        <w:tc>
          <w:tcPr>
            <w:tcW w:w="1980" w:type="dxa"/>
            <w:tcBorders>
              <w:top w:val="single" w:color="000000" w:sz="4" w:space="0"/>
              <w:left w:val="nil"/>
              <w:bottom w:val="single" w:color="000000" w:sz="4" w:space="0"/>
              <w:right w:val="single" w:color="000000" w:sz="4" w:space="0"/>
            </w:tcBorders>
            <w:noWrap w:val="0"/>
            <w:vAlign w:val="center"/>
          </w:tcPr>
          <w:p w14:paraId="441B24A5">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0.28%</w:t>
            </w:r>
          </w:p>
        </w:tc>
      </w:tr>
      <w:tr w14:paraId="20F47382">
        <w:tblPrEx>
          <w:tblCellMar>
            <w:top w:w="0" w:type="dxa"/>
            <w:left w:w="108" w:type="dxa"/>
            <w:bottom w:w="0" w:type="dxa"/>
            <w:right w:w="108" w:type="dxa"/>
          </w:tblCellMar>
        </w:tblPrEx>
        <w:trPr>
          <w:trHeight w:val="448" w:hRule="atLeast"/>
        </w:trPr>
        <w:tc>
          <w:tcPr>
            <w:tcW w:w="3255" w:type="dxa"/>
            <w:tcBorders>
              <w:top w:val="single" w:color="000000" w:sz="4" w:space="0"/>
              <w:left w:val="single" w:color="000000" w:sz="4" w:space="0"/>
              <w:bottom w:val="single" w:color="auto" w:sz="4" w:space="0"/>
              <w:right w:val="single" w:color="000000" w:sz="4" w:space="0"/>
            </w:tcBorders>
            <w:noWrap w:val="0"/>
            <w:vAlign w:val="center"/>
          </w:tcPr>
          <w:p w14:paraId="6C680996">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5000-10000</w:t>
            </w:r>
          </w:p>
        </w:tc>
        <w:tc>
          <w:tcPr>
            <w:tcW w:w="1899" w:type="dxa"/>
            <w:tcBorders>
              <w:top w:val="single" w:color="000000" w:sz="4" w:space="0"/>
              <w:left w:val="nil"/>
              <w:bottom w:val="single" w:color="auto" w:sz="4" w:space="0"/>
              <w:right w:val="single" w:color="000000" w:sz="4" w:space="0"/>
            </w:tcBorders>
            <w:noWrap w:val="0"/>
            <w:vAlign w:val="center"/>
          </w:tcPr>
          <w:p w14:paraId="34DFF767">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w:t>
            </w:r>
          </w:p>
        </w:tc>
        <w:tc>
          <w:tcPr>
            <w:tcW w:w="1980" w:type="dxa"/>
            <w:tcBorders>
              <w:top w:val="single" w:color="000000" w:sz="4" w:space="0"/>
              <w:left w:val="nil"/>
              <w:bottom w:val="single" w:color="auto" w:sz="4" w:space="0"/>
              <w:right w:val="single" w:color="000000" w:sz="4" w:space="0"/>
            </w:tcBorders>
            <w:noWrap w:val="0"/>
            <w:vAlign w:val="center"/>
          </w:tcPr>
          <w:p w14:paraId="7DD4E73A">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0.08%</w:t>
            </w:r>
          </w:p>
        </w:tc>
        <w:tc>
          <w:tcPr>
            <w:tcW w:w="1980" w:type="dxa"/>
            <w:tcBorders>
              <w:top w:val="single" w:color="000000" w:sz="4" w:space="0"/>
              <w:left w:val="nil"/>
              <w:bottom w:val="single" w:color="auto" w:sz="4" w:space="0"/>
              <w:right w:val="single" w:color="000000" w:sz="4" w:space="0"/>
            </w:tcBorders>
            <w:noWrap w:val="0"/>
            <w:vAlign w:val="center"/>
          </w:tcPr>
          <w:p w14:paraId="44963557">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0.16%</w:t>
            </w:r>
          </w:p>
        </w:tc>
      </w:tr>
      <w:tr w14:paraId="1CB9E8F0">
        <w:tblPrEx>
          <w:tblCellMar>
            <w:top w:w="0" w:type="dxa"/>
            <w:left w:w="108" w:type="dxa"/>
            <w:bottom w:w="0" w:type="dxa"/>
            <w:right w:w="108" w:type="dxa"/>
          </w:tblCellMar>
        </w:tblPrEx>
        <w:trPr>
          <w:trHeight w:val="455" w:hRule="atLeast"/>
        </w:trPr>
        <w:tc>
          <w:tcPr>
            <w:tcW w:w="3255" w:type="dxa"/>
            <w:tcBorders>
              <w:top w:val="single" w:color="auto" w:sz="4" w:space="0"/>
              <w:left w:val="single" w:color="000000" w:sz="4" w:space="0"/>
              <w:bottom w:val="single" w:color="000000" w:sz="4" w:space="0"/>
              <w:right w:val="single" w:color="000000" w:sz="4" w:space="0"/>
            </w:tcBorders>
            <w:noWrap w:val="0"/>
            <w:vAlign w:val="center"/>
          </w:tcPr>
          <w:p w14:paraId="0BCF1BC1">
            <w:pPr>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10000-50000</w:t>
            </w:r>
          </w:p>
        </w:tc>
        <w:tc>
          <w:tcPr>
            <w:tcW w:w="1899" w:type="dxa"/>
            <w:tcBorders>
              <w:top w:val="single" w:color="auto" w:sz="4" w:space="0"/>
              <w:left w:val="nil"/>
              <w:bottom w:val="single" w:color="000000" w:sz="4" w:space="0"/>
              <w:right w:val="single" w:color="000000" w:sz="4" w:space="0"/>
            </w:tcBorders>
            <w:noWrap w:val="0"/>
            <w:vAlign w:val="center"/>
          </w:tcPr>
          <w:p w14:paraId="1A7E8123">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c>
          <w:tcPr>
            <w:tcW w:w="1980" w:type="dxa"/>
            <w:tcBorders>
              <w:top w:val="single" w:color="auto" w:sz="4" w:space="0"/>
              <w:left w:val="nil"/>
              <w:bottom w:val="single" w:color="000000" w:sz="4" w:space="0"/>
              <w:right w:val="single" w:color="000000" w:sz="4" w:space="0"/>
            </w:tcBorders>
            <w:noWrap w:val="0"/>
            <w:vAlign w:val="center"/>
          </w:tcPr>
          <w:p w14:paraId="4492632A">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c>
          <w:tcPr>
            <w:tcW w:w="1980" w:type="dxa"/>
            <w:tcBorders>
              <w:top w:val="single" w:color="auto" w:sz="4" w:space="0"/>
              <w:left w:val="nil"/>
              <w:bottom w:val="single" w:color="000000" w:sz="4" w:space="0"/>
              <w:right w:val="single" w:color="000000" w:sz="4" w:space="0"/>
            </w:tcBorders>
            <w:noWrap w:val="0"/>
            <w:vAlign w:val="center"/>
          </w:tcPr>
          <w:p w14:paraId="5F1C9CEA">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r>
      <w:tr w14:paraId="61F0B00B">
        <w:tblPrEx>
          <w:tblCellMar>
            <w:top w:w="0" w:type="dxa"/>
            <w:left w:w="108" w:type="dxa"/>
            <w:bottom w:w="0" w:type="dxa"/>
            <w:right w:w="108" w:type="dxa"/>
          </w:tblCellMar>
        </w:tblPrEx>
        <w:trPr>
          <w:trHeight w:val="460" w:hRule="atLeast"/>
        </w:trPr>
        <w:tc>
          <w:tcPr>
            <w:tcW w:w="3255" w:type="dxa"/>
            <w:tcBorders>
              <w:top w:val="single" w:color="000000" w:sz="4" w:space="0"/>
              <w:left w:val="single" w:color="000000" w:sz="4" w:space="0"/>
              <w:bottom w:val="single" w:color="auto" w:sz="4" w:space="0"/>
              <w:right w:val="single" w:color="000000" w:sz="4" w:space="0"/>
            </w:tcBorders>
            <w:noWrap w:val="0"/>
            <w:vAlign w:val="center"/>
          </w:tcPr>
          <w:p w14:paraId="543C29E9">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50000-100000</w:t>
            </w:r>
          </w:p>
        </w:tc>
        <w:tc>
          <w:tcPr>
            <w:tcW w:w="1899" w:type="dxa"/>
            <w:tcBorders>
              <w:top w:val="single" w:color="000000" w:sz="4" w:space="0"/>
              <w:left w:val="nil"/>
              <w:bottom w:val="single" w:color="auto" w:sz="4" w:space="0"/>
              <w:right w:val="single" w:color="000000" w:sz="4" w:space="0"/>
            </w:tcBorders>
            <w:noWrap w:val="0"/>
            <w:vAlign w:val="center"/>
          </w:tcPr>
          <w:p w14:paraId="3BA9D14D">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c>
          <w:tcPr>
            <w:tcW w:w="1980" w:type="dxa"/>
            <w:tcBorders>
              <w:top w:val="single" w:color="000000" w:sz="4" w:space="0"/>
              <w:left w:val="nil"/>
              <w:bottom w:val="single" w:color="auto" w:sz="4" w:space="0"/>
              <w:right w:val="single" w:color="000000" w:sz="4" w:space="0"/>
            </w:tcBorders>
            <w:noWrap w:val="0"/>
            <w:vAlign w:val="center"/>
          </w:tcPr>
          <w:p w14:paraId="53D68CF4">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c>
          <w:tcPr>
            <w:tcW w:w="1980" w:type="dxa"/>
            <w:tcBorders>
              <w:top w:val="single" w:color="000000" w:sz="4" w:space="0"/>
              <w:left w:val="nil"/>
              <w:bottom w:val="single" w:color="auto" w:sz="4" w:space="0"/>
              <w:right w:val="single" w:color="000000" w:sz="4" w:space="0"/>
            </w:tcBorders>
            <w:noWrap w:val="0"/>
            <w:vAlign w:val="center"/>
          </w:tcPr>
          <w:p w14:paraId="7847F5FC">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r>
      <w:tr w14:paraId="48D7C09C">
        <w:tblPrEx>
          <w:tblCellMar>
            <w:top w:w="0" w:type="dxa"/>
            <w:left w:w="108" w:type="dxa"/>
            <w:bottom w:w="0" w:type="dxa"/>
            <w:right w:w="108" w:type="dxa"/>
          </w:tblCellMar>
        </w:tblPrEx>
        <w:trPr>
          <w:trHeight w:val="466" w:hRule="atLeast"/>
        </w:trPr>
        <w:tc>
          <w:tcPr>
            <w:tcW w:w="3255" w:type="dxa"/>
            <w:tcBorders>
              <w:top w:val="single" w:color="auto" w:sz="4" w:space="0"/>
              <w:left w:val="single" w:color="000000" w:sz="4" w:space="0"/>
              <w:bottom w:val="single" w:color="auto" w:sz="4" w:space="0"/>
              <w:right w:val="single" w:color="000000" w:sz="4" w:space="0"/>
            </w:tcBorders>
            <w:noWrap w:val="0"/>
            <w:vAlign w:val="center"/>
          </w:tcPr>
          <w:p w14:paraId="05EBAD32">
            <w:pPr>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100000-500000</w:t>
            </w:r>
          </w:p>
        </w:tc>
        <w:tc>
          <w:tcPr>
            <w:tcW w:w="1899" w:type="dxa"/>
            <w:tcBorders>
              <w:top w:val="single" w:color="auto" w:sz="4" w:space="0"/>
              <w:left w:val="nil"/>
              <w:bottom w:val="single" w:color="auto" w:sz="4" w:space="0"/>
              <w:right w:val="single" w:color="000000" w:sz="4" w:space="0"/>
            </w:tcBorders>
            <w:noWrap w:val="0"/>
            <w:vAlign w:val="center"/>
          </w:tcPr>
          <w:p w14:paraId="20C9668A">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c>
          <w:tcPr>
            <w:tcW w:w="1980" w:type="dxa"/>
            <w:tcBorders>
              <w:top w:val="single" w:color="auto" w:sz="4" w:space="0"/>
              <w:left w:val="nil"/>
              <w:bottom w:val="single" w:color="auto" w:sz="4" w:space="0"/>
              <w:right w:val="single" w:color="000000" w:sz="4" w:space="0"/>
            </w:tcBorders>
            <w:noWrap w:val="0"/>
            <w:vAlign w:val="center"/>
          </w:tcPr>
          <w:p w14:paraId="601DA888">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c>
          <w:tcPr>
            <w:tcW w:w="1980" w:type="dxa"/>
            <w:tcBorders>
              <w:top w:val="single" w:color="auto" w:sz="4" w:space="0"/>
              <w:left w:val="nil"/>
              <w:bottom w:val="single" w:color="auto" w:sz="4" w:space="0"/>
              <w:right w:val="single" w:color="000000" w:sz="4" w:space="0"/>
            </w:tcBorders>
            <w:noWrap w:val="0"/>
            <w:vAlign w:val="center"/>
          </w:tcPr>
          <w:p w14:paraId="2FED9B81">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r>
      <w:tr w14:paraId="3181E2B1">
        <w:tblPrEx>
          <w:tblCellMar>
            <w:top w:w="0" w:type="dxa"/>
            <w:left w:w="108" w:type="dxa"/>
            <w:bottom w:w="0" w:type="dxa"/>
            <w:right w:w="108" w:type="dxa"/>
          </w:tblCellMar>
        </w:tblPrEx>
        <w:trPr>
          <w:trHeight w:val="444" w:hRule="atLeast"/>
        </w:trPr>
        <w:tc>
          <w:tcPr>
            <w:tcW w:w="3255" w:type="dxa"/>
            <w:tcBorders>
              <w:top w:val="single" w:color="auto" w:sz="4" w:space="0"/>
              <w:left w:val="single" w:color="000000" w:sz="4" w:space="0"/>
              <w:bottom w:val="single" w:color="000000" w:sz="4" w:space="0"/>
              <w:right w:val="single" w:color="000000" w:sz="4" w:space="0"/>
            </w:tcBorders>
            <w:noWrap w:val="0"/>
            <w:vAlign w:val="center"/>
          </w:tcPr>
          <w:p w14:paraId="24B9559B">
            <w:pPr>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500000-1000000</w:t>
            </w:r>
          </w:p>
        </w:tc>
        <w:tc>
          <w:tcPr>
            <w:tcW w:w="1899" w:type="dxa"/>
            <w:tcBorders>
              <w:top w:val="single" w:color="auto" w:sz="4" w:space="0"/>
              <w:left w:val="nil"/>
              <w:bottom w:val="single" w:color="000000" w:sz="4" w:space="0"/>
              <w:right w:val="single" w:color="000000" w:sz="4" w:space="0"/>
            </w:tcBorders>
            <w:noWrap w:val="0"/>
            <w:vAlign w:val="center"/>
          </w:tcPr>
          <w:p w14:paraId="3CCA20F6">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c>
          <w:tcPr>
            <w:tcW w:w="1980" w:type="dxa"/>
            <w:tcBorders>
              <w:top w:val="single" w:color="auto" w:sz="4" w:space="0"/>
              <w:left w:val="nil"/>
              <w:bottom w:val="single" w:color="000000" w:sz="4" w:space="0"/>
              <w:right w:val="single" w:color="000000" w:sz="4" w:space="0"/>
            </w:tcBorders>
            <w:noWrap w:val="0"/>
            <w:vAlign w:val="center"/>
          </w:tcPr>
          <w:p w14:paraId="14A398E2">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c>
          <w:tcPr>
            <w:tcW w:w="1980" w:type="dxa"/>
            <w:tcBorders>
              <w:top w:val="single" w:color="auto" w:sz="4" w:space="0"/>
              <w:left w:val="nil"/>
              <w:bottom w:val="single" w:color="000000" w:sz="4" w:space="0"/>
              <w:right w:val="single" w:color="000000" w:sz="4" w:space="0"/>
            </w:tcBorders>
            <w:noWrap w:val="0"/>
            <w:vAlign w:val="center"/>
          </w:tcPr>
          <w:p w14:paraId="2AF0C651">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r>
      <w:tr w14:paraId="5733622C">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14:paraId="58DCC950">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1000000以上</w:t>
            </w:r>
          </w:p>
        </w:tc>
        <w:tc>
          <w:tcPr>
            <w:tcW w:w="1899" w:type="dxa"/>
            <w:tcBorders>
              <w:top w:val="single" w:color="000000" w:sz="4" w:space="0"/>
              <w:left w:val="nil"/>
              <w:bottom w:val="single" w:color="000000" w:sz="4" w:space="0"/>
              <w:right w:val="single" w:color="000000" w:sz="4" w:space="0"/>
            </w:tcBorders>
            <w:noWrap w:val="0"/>
            <w:vAlign w:val="center"/>
          </w:tcPr>
          <w:p w14:paraId="680D885B">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c>
          <w:tcPr>
            <w:tcW w:w="1980" w:type="dxa"/>
            <w:tcBorders>
              <w:top w:val="single" w:color="000000" w:sz="4" w:space="0"/>
              <w:left w:val="nil"/>
              <w:bottom w:val="single" w:color="000000" w:sz="4" w:space="0"/>
              <w:right w:val="single" w:color="000000" w:sz="4" w:space="0"/>
            </w:tcBorders>
            <w:noWrap w:val="0"/>
            <w:vAlign w:val="center"/>
          </w:tcPr>
          <w:p w14:paraId="1574F994">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c>
          <w:tcPr>
            <w:tcW w:w="1980" w:type="dxa"/>
            <w:tcBorders>
              <w:top w:val="single" w:color="000000" w:sz="4" w:space="0"/>
              <w:left w:val="nil"/>
              <w:bottom w:val="single" w:color="000000" w:sz="4" w:space="0"/>
              <w:right w:val="single" w:color="000000" w:sz="4" w:space="0"/>
            </w:tcBorders>
            <w:noWrap w:val="0"/>
            <w:vAlign w:val="center"/>
          </w:tcPr>
          <w:p w14:paraId="1D03C64E">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r>
    </w:tbl>
    <w:p w14:paraId="2F5C7ACB">
      <w:pPr>
        <w:pStyle w:val="29"/>
        <w:spacing w:line="380" w:lineRule="exact"/>
        <w:ind w:firstLine="315" w:firstLineChars="150"/>
        <w:rPr>
          <w:rFonts w:hint="eastAsia" w:hAnsi="宋体"/>
          <w:color w:val="auto"/>
          <w:highlight w:val="none"/>
        </w:rPr>
      </w:pPr>
      <w:r>
        <w:rPr>
          <w:rFonts w:hAnsi="宋体"/>
          <w:color w:val="auto"/>
          <w:highlight w:val="none"/>
        </w:rPr>
        <w:tab/>
      </w:r>
      <w:bookmarkStart w:id="205" w:name="_Hlk92466755"/>
      <w:r>
        <w:rPr>
          <w:rFonts w:hint="eastAsia" w:hAnsi="宋体"/>
          <w:color w:val="auto"/>
          <w:highlight w:val="none"/>
        </w:rPr>
        <w:t>注：代理服务收费按差额定率累进法计算</w:t>
      </w:r>
      <w:bookmarkEnd w:id="205"/>
    </w:p>
    <w:p w14:paraId="39CF1A59">
      <w:pPr>
        <w:pStyle w:val="29"/>
        <w:spacing w:line="400" w:lineRule="exact"/>
        <w:ind w:firstLine="420" w:firstLineChars="200"/>
        <w:rPr>
          <w:rFonts w:hAnsi="宋体"/>
          <w:bCs/>
          <w:color w:val="auto"/>
        </w:rPr>
      </w:pPr>
      <w:r>
        <w:rPr>
          <w:rFonts w:hint="eastAsia" w:hAnsi="宋体"/>
          <w:bCs/>
          <w:color w:val="auto"/>
        </w:rPr>
        <w:t>3.缴纳代理服务费银行账户信息：</w:t>
      </w:r>
    </w:p>
    <w:p w14:paraId="34E39789">
      <w:pPr>
        <w:pStyle w:val="29"/>
        <w:spacing w:line="400" w:lineRule="exact"/>
        <w:ind w:firstLine="420" w:firstLineChars="200"/>
        <w:rPr>
          <w:rFonts w:hAnsi="宋体"/>
          <w:bCs/>
          <w:color w:val="auto"/>
        </w:rPr>
      </w:pPr>
      <w:r>
        <w:rPr>
          <w:rFonts w:hint="eastAsia" w:hAnsi="宋体"/>
          <w:bCs/>
          <w:color w:val="auto"/>
        </w:rPr>
        <w:t>开户名称:钦州市政府采购中心</w:t>
      </w:r>
    </w:p>
    <w:p w14:paraId="211B920E">
      <w:pPr>
        <w:pStyle w:val="29"/>
        <w:spacing w:line="400" w:lineRule="exact"/>
        <w:ind w:firstLine="420" w:firstLineChars="200"/>
        <w:rPr>
          <w:rFonts w:hAnsi="宋体"/>
          <w:bCs/>
          <w:color w:val="auto"/>
        </w:rPr>
      </w:pPr>
      <w:r>
        <w:rPr>
          <w:rFonts w:hint="eastAsia" w:hAnsi="宋体"/>
          <w:bCs/>
          <w:color w:val="auto"/>
        </w:rPr>
        <w:t>开户银行:兴业银行钦州支行</w:t>
      </w:r>
    </w:p>
    <w:p w14:paraId="0FC37F69">
      <w:pPr>
        <w:pStyle w:val="29"/>
        <w:spacing w:line="400" w:lineRule="exact"/>
        <w:ind w:firstLine="420" w:firstLineChars="200"/>
        <w:rPr>
          <w:color w:val="auto"/>
        </w:rPr>
      </w:pPr>
      <w:r>
        <w:rPr>
          <w:rFonts w:hint="eastAsia" w:hAnsi="宋体"/>
          <w:bCs/>
          <w:color w:val="auto"/>
        </w:rPr>
        <w:t>银行账号:554010100100129709</w:t>
      </w:r>
    </w:p>
    <w:p w14:paraId="6E85C944">
      <w:pPr>
        <w:pStyle w:val="29"/>
        <w:spacing w:line="380" w:lineRule="exact"/>
        <w:ind w:firstLine="210" w:firstLineChars="100"/>
        <w:rPr>
          <w:rFonts w:hAnsi="宋体"/>
          <w:bCs/>
          <w:color w:val="auto"/>
          <w:highlight w:val="none"/>
        </w:rPr>
      </w:pPr>
      <w:r>
        <w:rPr>
          <w:rFonts w:hint="eastAsia" w:hAnsi="宋体"/>
          <w:bCs/>
          <w:color w:val="auto"/>
          <w:highlight w:val="none"/>
        </w:rPr>
        <w:t>(二)解释权：</w:t>
      </w:r>
      <w:bookmarkStart w:id="206" w:name="_Hlk92466777"/>
      <w:r>
        <w:rPr>
          <w:rFonts w:hint="eastAsia" w:hAnsi="宋体"/>
          <w:bCs/>
          <w:color w:val="auto"/>
          <w:spacing w:val="-4"/>
          <w:highlight w:val="none"/>
        </w:rPr>
        <w:t>本招标文件解释权属本中心</w:t>
      </w:r>
      <w:bookmarkEnd w:id="206"/>
      <w:r>
        <w:rPr>
          <w:rFonts w:hint="eastAsia" w:hAnsi="宋体"/>
          <w:bCs/>
          <w:color w:val="auto"/>
          <w:spacing w:val="-4"/>
          <w:highlight w:val="none"/>
        </w:rPr>
        <w:t>。</w:t>
      </w:r>
    </w:p>
    <w:p w14:paraId="39C8FA2A">
      <w:pPr>
        <w:pStyle w:val="29"/>
        <w:spacing w:line="380" w:lineRule="exact"/>
        <w:ind w:firstLine="210" w:firstLineChars="100"/>
        <w:rPr>
          <w:rFonts w:hAnsi="宋体"/>
          <w:bCs/>
          <w:color w:val="auto"/>
          <w:highlight w:val="none"/>
        </w:rPr>
      </w:pPr>
      <w:r>
        <w:rPr>
          <w:rFonts w:hint="eastAsia" w:hAnsi="宋体"/>
          <w:bCs/>
          <w:color w:val="auto"/>
          <w:highlight w:val="none"/>
        </w:rPr>
        <w:t>(三)有关事宜</w:t>
      </w:r>
    </w:p>
    <w:p w14:paraId="3592DF72">
      <w:pPr>
        <w:pStyle w:val="29"/>
        <w:spacing w:line="380" w:lineRule="exact"/>
        <w:ind w:firstLine="0" w:firstLineChars="0"/>
        <w:rPr>
          <w:rFonts w:hAnsi="宋体"/>
          <w:color w:val="auto"/>
          <w:highlight w:val="none"/>
        </w:rPr>
      </w:pPr>
      <w:r>
        <w:rPr>
          <w:rFonts w:hAnsi="宋体"/>
          <w:color w:val="auto"/>
          <w:highlight w:val="none"/>
        </w:rPr>
        <w:tab/>
      </w:r>
      <w:r>
        <w:rPr>
          <w:rFonts w:hint="eastAsia" w:hAnsi="宋体"/>
          <w:color w:val="auto"/>
          <w:highlight w:val="none"/>
        </w:rPr>
        <w:t>所有与本招标文件有关的函件请按下列通讯地址联系：</w:t>
      </w:r>
    </w:p>
    <w:p w14:paraId="052F310D">
      <w:pPr>
        <w:pStyle w:val="29"/>
        <w:spacing w:line="380" w:lineRule="exact"/>
        <w:ind w:firstLine="420"/>
        <w:rPr>
          <w:rFonts w:hAnsi="宋体"/>
          <w:color w:val="auto"/>
          <w:highlight w:val="none"/>
        </w:rPr>
      </w:pPr>
      <w:bookmarkStart w:id="207" w:name="_Hlk92466867"/>
      <w:r>
        <w:rPr>
          <w:rFonts w:hint="eastAsia" w:hAnsi="宋体"/>
          <w:color w:val="auto"/>
          <w:highlight w:val="none"/>
        </w:rPr>
        <w:t>钦州市政府采购中心</w:t>
      </w:r>
    </w:p>
    <w:p w14:paraId="128A296B">
      <w:pPr>
        <w:pStyle w:val="29"/>
        <w:tabs>
          <w:tab w:val="left" w:pos="1990"/>
        </w:tabs>
        <w:spacing w:line="380" w:lineRule="exact"/>
        <w:ind w:firstLine="420"/>
        <w:rPr>
          <w:rFonts w:hAnsi="宋体"/>
          <w:color w:val="auto"/>
          <w:highlight w:val="none"/>
          <w:u w:val="single"/>
        </w:rPr>
      </w:pPr>
      <w:r>
        <w:rPr>
          <w:rFonts w:hint="eastAsia" w:hAnsi="宋体"/>
          <w:color w:val="auto"/>
          <w:highlight w:val="none"/>
        </w:rPr>
        <w:t>邮政编码：535000</w:t>
      </w:r>
    </w:p>
    <w:p w14:paraId="6206DFDF">
      <w:pPr>
        <w:pStyle w:val="29"/>
        <w:tabs>
          <w:tab w:val="left" w:pos="1990"/>
        </w:tabs>
        <w:spacing w:line="380" w:lineRule="exact"/>
        <w:ind w:firstLine="420"/>
        <w:rPr>
          <w:rFonts w:hAnsi="宋体"/>
          <w:color w:val="auto"/>
          <w:spacing w:val="-4"/>
          <w:highlight w:val="none"/>
        </w:rPr>
      </w:pPr>
      <w:r>
        <w:rPr>
          <w:rFonts w:hint="eastAsia" w:hAnsi="宋体"/>
          <w:color w:val="auto"/>
          <w:highlight w:val="none"/>
        </w:rPr>
        <w:t>通讯地址：</w:t>
      </w:r>
      <w:r>
        <w:rPr>
          <w:rFonts w:hint="eastAsia" w:hAnsi="宋体"/>
          <w:color w:val="auto"/>
          <w:spacing w:val="-4"/>
          <w:highlight w:val="none"/>
        </w:rPr>
        <w:t>钦州市金海湾东大街8号</w:t>
      </w:r>
    </w:p>
    <w:bookmarkEnd w:id="72"/>
    <w:bookmarkEnd w:id="207"/>
    <w:p w14:paraId="188A441E">
      <w:pPr>
        <w:widowControl/>
        <w:spacing w:line="380" w:lineRule="exact"/>
        <w:ind w:firstLine="420"/>
        <w:jc w:val="left"/>
        <w:rPr>
          <w:rFonts w:ascii="宋体" w:hAnsi="宋体"/>
          <w:color w:val="auto"/>
          <w:highlight w:val="none"/>
        </w:rPr>
      </w:pPr>
      <w:bookmarkStart w:id="208" w:name="_Hlk108515537"/>
      <w:r>
        <w:rPr>
          <w:rFonts w:hint="eastAsia" w:ascii="宋体" w:hAnsi="宋体"/>
          <w:color w:val="auto"/>
          <w:highlight w:val="none"/>
        </w:rPr>
        <w:t>钦州市政府采购中心联系方式：</w:t>
      </w:r>
    </w:p>
    <w:p w14:paraId="38F3DB75">
      <w:pPr>
        <w:widowControl/>
        <w:spacing w:line="380" w:lineRule="exact"/>
        <w:ind w:firstLine="420"/>
        <w:jc w:val="left"/>
        <w:rPr>
          <w:rFonts w:ascii="宋体" w:hAnsi="宋体"/>
          <w:color w:val="auto"/>
          <w:highlight w:val="none"/>
        </w:rPr>
      </w:pPr>
      <w:r>
        <w:rPr>
          <w:rFonts w:hint="eastAsia" w:ascii="宋体" w:hAnsi="宋体"/>
          <w:color w:val="auto"/>
          <w:highlight w:val="none"/>
        </w:rPr>
        <w:t>(1)采购部(采购文件)</w:t>
      </w:r>
    </w:p>
    <w:p w14:paraId="5DE1B82B">
      <w:pPr>
        <w:widowControl/>
        <w:spacing w:line="380" w:lineRule="exact"/>
        <w:ind w:firstLine="420"/>
        <w:jc w:val="left"/>
        <w:rPr>
          <w:rFonts w:ascii="宋体" w:hAnsi="宋体"/>
          <w:color w:val="auto"/>
          <w:highlight w:val="none"/>
        </w:rPr>
      </w:pPr>
      <w:r>
        <w:rPr>
          <w:rFonts w:hint="eastAsia" w:ascii="宋体" w:hAnsi="宋体"/>
          <w:color w:val="auto"/>
          <w:highlight w:val="none"/>
        </w:rPr>
        <w:t>联系人：</w:t>
      </w:r>
      <w:r>
        <w:rPr>
          <w:rFonts w:hint="eastAsia" w:ascii="宋体" w:hAnsi="宋体"/>
          <w:color w:val="auto"/>
          <w:highlight w:val="none"/>
          <w:lang w:eastAsia="zh-CN"/>
        </w:rPr>
        <w:t>苏晓婷</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 xml:space="preserve"> 联系方式：0777-2886022</w:t>
      </w:r>
    </w:p>
    <w:p w14:paraId="2EEC808B">
      <w:pPr>
        <w:widowControl/>
        <w:spacing w:line="380" w:lineRule="exact"/>
        <w:ind w:firstLine="420"/>
        <w:jc w:val="left"/>
        <w:rPr>
          <w:rFonts w:ascii="宋体" w:hAnsi="宋体"/>
          <w:color w:val="auto"/>
          <w:highlight w:val="none"/>
        </w:rPr>
      </w:pPr>
      <w:r>
        <w:rPr>
          <w:rFonts w:hint="eastAsia" w:ascii="宋体" w:hAnsi="宋体"/>
          <w:color w:val="auto"/>
          <w:highlight w:val="none"/>
        </w:rPr>
        <w:t>(2)综合二部(保证金、开标、评标、中标及合同管理)</w:t>
      </w:r>
    </w:p>
    <w:p w14:paraId="649E5A5A">
      <w:pPr>
        <w:widowControl/>
        <w:spacing w:line="380" w:lineRule="exact"/>
        <w:ind w:firstLine="420"/>
        <w:jc w:val="left"/>
        <w:rPr>
          <w:rFonts w:ascii="宋体" w:hAnsi="宋体"/>
          <w:color w:val="auto"/>
          <w:highlight w:val="none"/>
        </w:rPr>
      </w:pPr>
      <w:r>
        <w:rPr>
          <w:rFonts w:hint="eastAsia" w:ascii="宋体" w:hAnsi="宋体"/>
          <w:color w:val="auto"/>
          <w:highlight w:val="none"/>
        </w:rPr>
        <w:t>联系人：陈侃</w:t>
      </w:r>
      <w:r>
        <w:rPr>
          <w:rFonts w:hint="eastAsia" w:ascii="宋体" w:hAnsi="宋体"/>
          <w:color w:val="auto"/>
          <w:highlight w:val="none"/>
          <w:lang w:eastAsia="zh-CN"/>
        </w:rPr>
        <w:t>、</w:t>
      </w:r>
      <w:r>
        <w:rPr>
          <w:rFonts w:hint="eastAsia" w:ascii="宋体" w:hAnsi="宋体"/>
          <w:color w:val="auto"/>
          <w:highlight w:val="none"/>
        </w:rPr>
        <w:t xml:space="preserve">陈启梅 </w:t>
      </w:r>
      <w:r>
        <w:rPr>
          <w:rFonts w:ascii="宋体" w:hAnsi="宋体"/>
          <w:color w:val="auto"/>
          <w:highlight w:val="none"/>
        </w:rPr>
        <w:t xml:space="preserve">  </w:t>
      </w:r>
      <w:r>
        <w:rPr>
          <w:rFonts w:hint="eastAsia" w:ascii="宋体" w:hAnsi="宋体"/>
          <w:color w:val="auto"/>
          <w:highlight w:val="none"/>
        </w:rPr>
        <w:t>联系方式：0777-2886006</w:t>
      </w:r>
    </w:p>
    <w:p w14:paraId="607CF5CD">
      <w:pPr>
        <w:widowControl/>
        <w:spacing w:line="380" w:lineRule="exact"/>
        <w:ind w:firstLine="420"/>
        <w:jc w:val="left"/>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3</w:t>
      </w:r>
      <w:r>
        <w:rPr>
          <w:rFonts w:ascii="宋体" w:hAnsi="宋体"/>
          <w:color w:val="auto"/>
          <w:highlight w:val="none"/>
        </w:rPr>
        <w:t>)</w:t>
      </w:r>
      <w:r>
        <w:rPr>
          <w:rFonts w:hint="eastAsia" w:ascii="宋体" w:hAnsi="宋体"/>
          <w:color w:val="auto"/>
          <w:highlight w:val="none"/>
        </w:rPr>
        <w:t>政采云技术支持热线：</w:t>
      </w:r>
      <w:r>
        <w:rPr>
          <w:rFonts w:ascii="宋体" w:hAnsi="宋体"/>
          <w:color w:val="auto"/>
          <w:highlight w:val="none"/>
        </w:rPr>
        <w:t>95763</w:t>
      </w:r>
    </w:p>
    <w:bookmarkEnd w:id="208"/>
    <w:p w14:paraId="629570F0">
      <w:pPr>
        <w:ind w:firstLine="420"/>
        <w:rPr>
          <w:rFonts w:ascii="宋体" w:hAnsi="宋体"/>
          <w:color w:val="auto"/>
          <w:highlight w:val="none"/>
        </w:rPr>
      </w:pPr>
      <w:r>
        <w:rPr>
          <w:rFonts w:ascii="宋体" w:hAnsi="宋体"/>
          <w:color w:val="auto"/>
          <w:highlight w:val="none"/>
        </w:rPr>
        <w:br w:type="page"/>
      </w:r>
    </w:p>
    <w:p w14:paraId="6C971183">
      <w:pPr>
        <w:ind w:firstLine="420"/>
        <w:rPr>
          <w:rFonts w:ascii="宋体" w:hAnsi="宋体"/>
          <w:color w:val="auto"/>
          <w:highlight w:val="none"/>
        </w:rPr>
      </w:pPr>
    </w:p>
    <w:p w14:paraId="3A3A346B">
      <w:pPr>
        <w:ind w:firstLine="420"/>
        <w:rPr>
          <w:rFonts w:ascii="宋体" w:hAnsi="宋体"/>
          <w:color w:val="auto"/>
          <w:highlight w:val="none"/>
        </w:rPr>
      </w:pPr>
    </w:p>
    <w:p w14:paraId="2AD841FC">
      <w:pPr>
        <w:ind w:firstLine="420"/>
        <w:rPr>
          <w:rFonts w:hint="eastAsia" w:ascii="宋体" w:hAnsi="宋体"/>
          <w:color w:val="auto"/>
          <w:highlight w:val="none"/>
        </w:rPr>
      </w:pPr>
    </w:p>
    <w:p w14:paraId="4A54A603">
      <w:pPr>
        <w:ind w:firstLine="420"/>
        <w:rPr>
          <w:rFonts w:ascii="宋体" w:hAnsi="宋体"/>
          <w:color w:val="auto"/>
          <w:highlight w:val="none"/>
        </w:rPr>
      </w:pPr>
    </w:p>
    <w:p w14:paraId="3A4C1EF0">
      <w:pPr>
        <w:ind w:firstLine="420"/>
        <w:rPr>
          <w:rFonts w:ascii="宋体" w:hAnsi="宋体"/>
          <w:color w:val="auto"/>
          <w:highlight w:val="none"/>
        </w:rPr>
      </w:pPr>
    </w:p>
    <w:p w14:paraId="789BAE4F">
      <w:pPr>
        <w:ind w:firstLine="420"/>
        <w:rPr>
          <w:rFonts w:ascii="宋体" w:hAnsi="宋体"/>
          <w:color w:val="auto"/>
          <w:highlight w:val="none"/>
        </w:rPr>
      </w:pPr>
    </w:p>
    <w:p w14:paraId="7E7078F8">
      <w:pPr>
        <w:ind w:firstLine="420"/>
        <w:rPr>
          <w:rFonts w:ascii="宋体" w:hAnsi="宋体"/>
          <w:color w:val="auto"/>
          <w:highlight w:val="none"/>
        </w:rPr>
      </w:pPr>
    </w:p>
    <w:p w14:paraId="0FD6528E">
      <w:pPr>
        <w:ind w:firstLine="420"/>
        <w:rPr>
          <w:rFonts w:ascii="宋体" w:hAnsi="宋体"/>
          <w:color w:val="auto"/>
          <w:highlight w:val="none"/>
        </w:rPr>
      </w:pPr>
    </w:p>
    <w:p w14:paraId="6F31B64E">
      <w:pPr>
        <w:ind w:firstLine="420"/>
        <w:rPr>
          <w:rFonts w:ascii="宋体" w:hAnsi="宋体"/>
          <w:color w:val="auto"/>
          <w:highlight w:val="none"/>
        </w:rPr>
      </w:pPr>
    </w:p>
    <w:p w14:paraId="3E8AC07F">
      <w:pPr>
        <w:ind w:firstLine="420"/>
        <w:rPr>
          <w:rFonts w:hint="eastAsia" w:ascii="宋体" w:hAnsi="宋体"/>
          <w:color w:val="auto"/>
          <w:highlight w:val="none"/>
        </w:rPr>
      </w:pPr>
    </w:p>
    <w:p w14:paraId="3E3575AE">
      <w:pPr>
        <w:ind w:firstLine="420"/>
        <w:rPr>
          <w:rFonts w:hint="eastAsia" w:ascii="宋体" w:hAnsi="宋体"/>
          <w:color w:val="auto"/>
          <w:highlight w:val="none"/>
        </w:rPr>
      </w:pPr>
    </w:p>
    <w:p w14:paraId="00E65193">
      <w:pPr>
        <w:pStyle w:val="49"/>
        <w:ind w:left="0" w:leftChars="0" w:right="0" w:rightChars="0" w:firstLine="0" w:firstLineChars="0"/>
        <w:jc w:val="center"/>
        <w:rPr>
          <w:rFonts w:ascii="宋体" w:hAnsi="宋体" w:eastAsia="宋体"/>
          <w:color w:val="auto"/>
          <w:highlight w:val="none"/>
        </w:rPr>
      </w:pPr>
      <w:bookmarkStart w:id="209" w:name="_Toc91512286"/>
      <w:r>
        <w:rPr>
          <w:rFonts w:hint="eastAsia" w:ascii="宋体" w:hAnsi="宋体" w:eastAsia="宋体"/>
          <w:color w:val="auto"/>
          <w:highlight w:val="none"/>
        </w:rPr>
        <w:t xml:space="preserve">第四章  </w:t>
      </w:r>
      <w:bookmarkEnd w:id="209"/>
      <w:r>
        <w:rPr>
          <w:rFonts w:hint="eastAsia" w:ascii="宋体" w:hAnsi="宋体" w:eastAsia="宋体"/>
          <w:color w:val="auto"/>
          <w:highlight w:val="none"/>
        </w:rPr>
        <w:t>评定标准及推荐原则</w:t>
      </w:r>
    </w:p>
    <w:p w14:paraId="52A5E95E">
      <w:pPr>
        <w:ind w:firstLine="0" w:firstLineChars="0"/>
        <w:jc w:val="center"/>
        <w:rPr>
          <w:rFonts w:ascii="宋体" w:hAnsi="宋体"/>
          <w:color w:val="auto"/>
          <w:highlight w:val="none"/>
        </w:rPr>
      </w:pPr>
      <w:r>
        <w:rPr>
          <w:rFonts w:ascii="宋体" w:hAnsi="宋体"/>
          <w:color w:val="auto"/>
          <w:highlight w:val="none"/>
        </w:rPr>
        <w:br w:type="page"/>
      </w:r>
      <w:bookmarkStart w:id="210" w:name="_Hlk92268453"/>
      <w:bookmarkStart w:id="211" w:name="_Hlk118901918"/>
      <w:r>
        <w:rPr>
          <w:rFonts w:hint="eastAsia" w:ascii="宋体" w:hAnsi="宋体"/>
          <w:b/>
          <w:color w:val="auto"/>
          <w:sz w:val="32"/>
          <w:highlight w:val="none"/>
        </w:rPr>
        <w:t>评定标准和推荐原则</w:t>
      </w:r>
      <w:bookmarkEnd w:id="210"/>
    </w:p>
    <w:p w14:paraId="2E3A55C7">
      <w:pPr>
        <w:spacing w:line="460" w:lineRule="exact"/>
        <w:ind w:firstLine="0" w:firstLineChars="0"/>
        <w:rPr>
          <w:rFonts w:hint="eastAsia" w:ascii="宋体" w:hAnsi="宋体"/>
          <w:color w:val="auto"/>
          <w:highlight w:val="none"/>
        </w:rPr>
      </w:pPr>
    </w:p>
    <w:p w14:paraId="55972817">
      <w:pPr>
        <w:pStyle w:val="29"/>
        <w:spacing w:line="460" w:lineRule="exact"/>
        <w:ind w:firstLine="0" w:firstLineChars="0"/>
        <w:jc w:val="left"/>
        <w:rPr>
          <w:rFonts w:hAnsi="宋体"/>
          <w:b/>
          <w:bCs/>
          <w:color w:val="auto"/>
          <w:highlight w:val="none"/>
        </w:rPr>
      </w:pPr>
      <w:r>
        <w:rPr>
          <w:rFonts w:hint="eastAsia" w:hAnsi="宋体"/>
          <w:b/>
          <w:bCs/>
          <w:color w:val="auto"/>
          <w:highlight w:val="none"/>
        </w:rPr>
        <w:t>一、评标原则</w:t>
      </w:r>
    </w:p>
    <w:p w14:paraId="69D6FEA4">
      <w:pPr>
        <w:pStyle w:val="29"/>
        <w:spacing w:line="460" w:lineRule="exact"/>
        <w:ind w:firstLine="210" w:firstLineChars="100"/>
        <w:jc w:val="left"/>
        <w:rPr>
          <w:rFonts w:hAnsi="宋体"/>
          <w:color w:val="auto"/>
          <w:highlight w:val="none"/>
        </w:rPr>
      </w:pPr>
      <w:r>
        <w:rPr>
          <w:rFonts w:hint="eastAsia" w:hAnsi="宋体"/>
          <w:color w:val="auto"/>
          <w:highlight w:val="none"/>
        </w:rPr>
        <w:t>（一）评标依据：评标委员会将以招投标文件为评标依据，</w:t>
      </w:r>
      <w:r>
        <w:rPr>
          <w:rFonts w:hAnsi="宋体"/>
          <w:color w:val="auto"/>
          <w:highlight w:val="none"/>
        </w:rPr>
        <w:t>对投标人的投标报价、</w:t>
      </w:r>
      <w:r>
        <w:rPr>
          <w:rFonts w:hint="eastAsia" w:hAnsi="宋体"/>
          <w:bCs/>
          <w:color w:val="auto"/>
          <w:highlight w:val="none"/>
        </w:rPr>
        <w:t>技术商务资信</w:t>
      </w:r>
      <w:r>
        <w:rPr>
          <w:rFonts w:hAnsi="宋体"/>
          <w:color w:val="auto"/>
          <w:highlight w:val="none"/>
        </w:rPr>
        <w:t>等方面内容</w:t>
      </w:r>
      <w:r>
        <w:rPr>
          <w:rFonts w:hint="eastAsia" w:hAnsi="宋体"/>
          <w:color w:val="auto"/>
          <w:highlight w:val="none"/>
        </w:rPr>
        <w:t>进行评价。</w:t>
      </w:r>
    </w:p>
    <w:p w14:paraId="26A90A80">
      <w:pPr>
        <w:pStyle w:val="29"/>
        <w:spacing w:line="460" w:lineRule="exact"/>
        <w:ind w:firstLine="210" w:firstLineChars="100"/>
        <w:jc w:val="left"/>
        <w:rPr>
          <w:rFonts w:hAnsi="宋体"/>
          <w:color w:val="auto"/>
          <w:highlight w:val="none"/>
        </w:rPr>
      </w:pPr>
      <w:r>
        <w:rPr>
          <w:rFonts w:hint="eastAsia" w:hAnsi="宋体"/>
          <w:color w:val="auto"/>
          <w:highlight w:val="none"/>
        </w:rPr>
        <w:t>（二）评标委员会组成：由采购人代表和评审专家组成，成员人数应当为</w:t>
      </w:r>
      <w:r>
        <w:rPr>
          <w:rFonts w:hint="eastAsia" w:hAnsi="宋体"/>
          <w:color w:val="auto"/>
          <w:highlight w:val="none"/>
          <w:lang w:val="en-US" w:eastAsia="zh-CN"/>
        </w:rPr>
        <w:t>7</w:t>
      </w:r>
      <w:r>
        <w:rPr>
          <w:rFonts w:hint="eastAsia" w:hAnsi="宋体"/>
          <w:color w:val="auto"/>
          <w:highlight w:val="none"/>
        </w:rPr>
        <w:t>人以上单数，其中评审专家的人数不得少于成员总数的三分之二。</w:t>
      </w:r>
    </w:p>
    <w:p w14:paraId="52948C6E">
      <w:pPr>
        <w:pStyle w:val="29"/>
        <w:spacing w:line="460" w:lineRule="exact"/>
        <w:ind w:firstLine="210" w:firstLineChars="100"/>
        <w:jc w:val="left"/>
        <w:rPr>
          <w:rFonts w:hAnsi="宋体"/>
          <w:color w:val="auto"/>
          <w:highlight w:val="none"/>
        </w:rPr>
      </w:pPr>
      <w:r>
        <w:rPr>
          <w:rFonts w:hint="eastAsia" w:hAnsi="宋体"/>
          <w:color w:val="auto"/>
          <w:highlight w:val="none"/>
        </w:rPr>
        <w:t>（三）评分方式：评标委员会各成员独立对每个投标人的投标文件进行评价。</w:t>
      </w:r>
    </w:p>
    <w:p w14:paraId="48A12E6E">
      <w:pPr>
        <w:pStyle w:val="29"/>
        <w:spacing w:line="460" w:lineRule="exact"/>
        <w:ind w:firstLine="0" w:firstLineChars="0"/>
        <w:jc w:val="left"/>
        <w:rPr>
          <w:rFonts w:hAnsi="宋体"/>
          <w:b/>
          <w:bCs/>
          <w:color w:val="auto"/>
          <w:highlight w:val="none"/>
        </w:rPr>
      </w:pPr>
      <w:r>
        <w:rPr>
          <w:rFonts w:hint="eastAsia" w:hAnsi="宋体"/>
          <w:b/>
          <w:bCs/>
          <w:color w:val="auto"/>
          <w:highlight w:val="none"/>
        </w:rPr>
        <w:t>二、评分细则</w:t>
      </w:r>
    </w:p>
    <w:p w14:paraId="07D634DA">
      <w:pPr>
        <w:pStyle w:val="29"/>
        <w:spacing w:line="460" w:lineRule="exact"/>
        <w:ind w:firstLine="210" w:firstLineChars="100"/>
        <w:jc w:val="left"/>
        <w:rPr>
          <w:rFonts w:hint="eastAsia" w:hAnsi="宋体"/>
          <w:color w:val="auto"/>
          <w:highlight w:val="none"/>
        </w:rPr>
      </w:pPr>
      <w:r>
        <w:rPr>
          <w:rFonts w:hint="eastAsia" w:hAnsi="宋体"/>
          <w:color w:val="auto"/>
          <w:highlight w:val="none"/>
        </w:rPr>
        <w:t>综合评分法：对满足招标文件全部实质性要求的投标人投标文件</w:t>
      </w:r>
      <w:r>
        <w:rPr>
          <w:rFonts w:ascii="Arial" w:hAnsi="Arial" w:cs="Arial"/>
          <w:color w:val="auto"/>
          <w:highlight w:val="none"/>
        </w:rPr>
        <w:t>按照评审因素的量化指标评审</w:t>
      </w:r>
      <w:r>
        <w:rPr>
          <w:rFonts w:hint="eastAsia" w:ascii="Arial" w:hAnsi="Arial" w:cs="Arial"/>
          <w:color w:val="auto"/>
          <w:highlight w:val="none"/>
        </w:rPr>
        <w:t>并汇总(</w:t>
      </w:r>
      <w:r>
        <w:rPr>
          <w:rFonts w:hint="eastAsia" w:hAnsi="宋体"/>
          <w:color w:val="auto"/>
          <w:highlight w:val="none"/>
        </w:rPr>
        <w:t>四舍五入取至百分位)。</w:t>
      </w:r>
    </w:p>
    <w:p w14:paraId="3B5E728B">
      <w:pPr>
        <w:spacing w:line="446" w:lineRule="exact"/>
        <w:ind w:firstLine="211" w:firstLineChars="100"/>
        <w:rPr>
          <w:b/>
          <w:bCs/>
          <w:color w:val="auto"/>
        </w:rPr>
      </w:pPr>
      <w:r>
        <w:rPr>
          <w:rFonts w:hint="eastAsia"/>
          <w:b/>
          <w:bCs/>
          <w:color w:val="auto"/>
        </w:rPr>
        <w:t>（一）报价分（</w:t>
      </w:r>
      <w:r>
        <w:rPr>
          <w:b/>
          <w:bCs/>
          <w:color w:val="auto"/>
        </w:rPr>
        <w:t>10</w:t>
      </w:r>
      <w:r>
        <w:rPr>
          <w:rFonts w:hint="eastAsia"/>
          <w:b/>
          <w:bCs/>
          <w:color w:val="auto"/>
        </w:rPr>
        <w:t>分）</w:t>
      </w:r>
    </w:p>
    <w:p w14:paraId="51CCB050">
      <w:pPr>
        <w:pStyle w:val="29"/>
        <w:spacing w:line="446" w:lineRule="exact"/>
        <w:ind w:firstLine="0" w:firstLineChars="0"/>
        <w:jc w:val="left"/>
        <w:rPr>
          <w:rFonts w:hint="eastAsia" w:hAnsi="宋体"/>
          <w:color w:val="auto"/>
        </w:rPr>
      </w:pPr>
      <w:r>
        <w:rPr>
          <w:rFonts w:hAnsi="宋体"/>
          <w:color w:val="auto"/>
        </w:rPr>
        <w:tab/>
      </w:r>
      <w:r>
        <w:rPr>
          <w:rFonts w:hAnsi="宋体"/>
          <w:color w:val="auto"/>
        </w:rPr>
        <w:t>1</w:t>
      </w:r>
      <w:r>
        <w:rPr>
          <w:rFonts w:hint="eastAsia" w:hAnsi="宋体"/>
          <w:color w:val="auto"/>
        </w:rPr>
        <w:t>.</w:t>
      </w:r>
      <w:r>
        <w:rPr>
          <w:rFonts w:hint="eastAsia" w:ascii="Calibri" w:hAnsi="宋体"/>
          <w:color w:val="auto"/>
        </w:rPr>
        <w:t>投标人的价格分统一按照下列公式计算：</w:t>
      </w:r>
    </w:p>
    <w:p w14:paraId="77D9E580">
      <w:pPr>
        <w:pStyle w:val="29"/>
        <w:spacing w:line="446" w:lineRule="exact"/>
        <w:ind w:firstLine="0" w:firstLineChars="0"/>
        <w:jc w:val="left"/>
        <w:rPr>
          <w:rFonts w:hint="eastAsia" w:hAnsi="宋体"/>
          <w:b/>
          <w:color w:val="auto"/>
        </w:rPr>
      </w:pPr>
      <w:r>
        <w:rPr>
          <w:rFonts w:hAnsi="宋体"/>
          <w:b/>
          <w:color w:val="auto"/>
        </w:rPr>
        <w:tab/>
      </w:r>
      <w:r>
        <w:rPr>
          <w:rFonts w:hint="eastAsia" w:hAnsi="宋体"/>
          <w:b/>
          <w:color w:val="auto"/>
        </w:rPr>
        <w:t>某投标人价格分=（评标基准价/某投标人评标价）×</w:t>
      </w:r>
      <w:r>
        <w:rPr>
          <w:rFonts w:hAnsi="宋体"/>
          <w:b/>
          <w:color w:val="auto"/>
        </w:rPr>
        <w:t>10</w:t>
      </w:r>
      <w:r>
        <w:rPr>
          <w:rFonts w:hint="eastAsia" w:hAnsi="宋体"/>
          <w:b/>
          <w:color w:val="auto"/>
        </w:rPr>
        <w:t>分</w:t>
      </w:r>
    </w:p>
    <w:p w14:paraId="701ECF8C">
      <w:pPr>
        <w:widowControl/>
        <w:spacing w:line="446" w:lineRule="exact"/>
        <w:ind w:firstLine="420" w:firstLineChars="0"/>
        <w:jc w:val="left"/>
        <w:rPr>
          <w:rFonts w:hint="eastAsia" w:ascii="宋体" w:hAnsi="宋体" w:cs="Courier New"/>
          <w:color w:val="auto"/>
          <w:szCs w:val="21"/>
        </w:rPr>
      </w:pPr>
      <w:r>
        <w:rPr>
          <w:rFonts w:hint="eastAsia" w:ascii="宋体" w:hAnsi="宋体" w:cs="Courier New"/>
          <w:color w:val="auto"/>
          <w:szCs w:val="21"/>
        </w:rPr>
        <w:t>注：</w:t>
      </w:r>
    </w:p>
    <w:p w14:paraId="75608CBE">
      <w:pPr>
        <w:widowControl/>
        <w:spacing w:line="446" w:lineRule="exact"/>
        <w:ind w:firstLine="0" w:firstLineChars="0"/>
        <w:jc w:val="left"/>
        <w:rPr>
          <w:rFonts w:ascii="宋体" w:hAnsi="宋体" w:cs="Courier New"/>
          <w:color w:val="auto"/>
          <w:szCs w:val="21"/>
        </w:rPr>
      </w:pPr>
      <w:r>
        <w:rPr>
          <w:rFonts w:ascii="宋体" w:hAnsi="宋体" w:cs="Courier New"/>
          <w:color w:val="auto"/>
          <w:szCs w:val="21"/>
        </w:rPr>
        <w:tab/>
      </w:r>
      <w:r>
        <w:rPr>
          <w:rFonts w:hint="eastAsia" w:ascii="宋体" w:hAnsi="宋体" w:cs="Courier New"/>
          <w:color w:val="auto"/>
          <w:szCs w:val="21"/>
        </w:rPr>
        <w:t>按《政府采购促进中小企业发展管理办法》（财库﹝2020﹞46号）规定，承接本项目服务的投标人属于中小企业的，并在投标文件中提供《中小企业声明函》（格式见第六章，投标人须对声明的真实性负责）。评审中将对小微型企业报价给予</w:t>
      </w:r>
      <w:r>
        <w:rPr>
          <w:rFonts w:ascii="宋体" w:hAnsi="宋体" w:cs="Courier New"/>
          <w:color w:val="auto"/>
          <w:szCs w:val="21"/>
        </w:rPr>
        <w:t>2</w:t>
      </w:r>
      <w:r>
        <w:rPr>
          <w:rFonts w:hint="eastAsia" w:ascii="宋体" w:hAnsi="宋体" w:cs="Courier New"/>
          <w:color w:val="auto"/>
          <w:szCs w:val="21"/>
        </w:rPr>
        <w:t>0%的扣除，扣除后的价格为评标价。</w:t>
      </w:r>
    </w:p>
    <w:p w14:paraId="00044E3E">
      <w:pPr>
        <w:widowControl/>
        <w:spacing w:line="446" w:lineRule="exact"/>
        <w:ind w:firstLine="0" w:firstLineChars="0"/>
        <w:jc w:val="left"/>
        <w:rPr>
          <w:rFonts w:hint="eastAsia" w:ascii="宋体" w:hAnsi="宋体" w:cs="Courier New"/>
          <w:color w:val="auto"/>
          <w:szCs w:val="21"/>
        </w:rPr>
      </w:pPr>
      <w:r>
        <w:rPr>
          <w:rFonts w:ascii="宋体" w:hAnsi="宋体" w:cs="Courier New"/>
          <w:color w:val="auto"/>
          <w:szCs w:val="21"/>
        </w:rPr>
        <w:tab/>
      </w:r>
      <w:r>
        <w:rPr>
          <w:rFonts w:hint="eastAsia" w:ascii="宋体" w:hAnsi="宋体" w:cs="Courier New"/>
          <w:color w:val="auto"/>
          <w:szCs w:val="21"/>
        </w:rPr>
        <w:t>投标人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06B3BB2F">
      <w:pPr>
        <w:widowControl/>
        <w:spacing w:line="446" w:lineRule="exact"/>
        <w:ind w:firstLine="0" w:firstLineChars="0"/>
        <w:jc w:val="left"/>
        <w:rPr>
          <w:rFonts w:ascii="宋体" w:hAnsi="宋体" w:cs="Courier New"/>
          <w:color w:val="auto"/>
          <w:szCs w:val="21"/>
        </w:rPr>
      </w:pPr>
      <w:r>
        <w:rPr>
          <w:rFonts w:ascii="宋体" w:hAnsi="宋体" w:cs="Courier New"/>
          <w:color w:val="auto"/>
          <w:szCs w:val="21"/>
        </w:rPr>
        <w:tab/>
      </w:r>
      <w:r>
        <w:rPr>
          <w:rFonts w:hint="eastAsia" w:ascii="宋体" w:hAnsi="宋体" w:cs="Courier New"/>
          <w:color w:val="auto"/>
          <w:szCs w:val="21"/>
        </w:rPr>
        <w:t>投标人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残疾人福利性单位属于小型、微型企业的，不重复享受政策。</w:t>
      </w:r>
    </w:p>
    <w:p w14:paraId="65B7BA31">
      <w:pPr>
        <w:widowControl/>
        <w:spacing w:line="446" w:lineRule="exact"/>
        <w:ind w:firstLine="420"/>
        <w:jc w:val="left"/>
        <w:rPr>
          <w:rFonts w:hint="eastAsia" w:ascii="宋体" w:hAnsi="宋体" w:cs="Courier New"/>
          <w:color w:val="auto"/>
          <w:szCs w:val="21"/>
        </w:rPr>
      </w:pPr>
      <w:r>
        <w:rPr>
          <w:rFonts w:hint="eastAsia" w:ascii="Calibri" w:hAnsi="宋体" w:cs="Courier New"/>
          <w:color w:val="auto"/>
        </w:rPr>
        <w:t>投标人</w:t>
      </w:r>
      <w:r>
        <w:rPr>
          <w:rFonts w:hint="eastAsia" w:hAnsi="宋体" w:cs="Courier New"/>
          <w:color w:val="auto"/>
        </w:rPr>
        <w:t>获得政策性价格扣除的，评标价=投标报价×（1-</w:t>
      </w:r>
      <w:r>
        <w:rPr>
          <w:rFonts w:hAnsi="宋体" w:cs="Courier New"/>
          <w:color w:val="auto"/>
        </w:rPr>
        <w:t>2</w:t>
      </w:r>
      <w:r>
        <w:rPr>
          <w:rFonts w:hint="eastAsia" w:hAnsi="宋体" w:cs="Courier New"/>
          <w:color w:val="auto"/>
        </w:rPr>
        <w:t>0%），否则评标价=投标报价。满足招标文件全部实质性要求的投标人最低评标价为评标基准价。</w:t>
      </w:r>
      <w:r>
        <w:rPr>
          <w:rFonts w:hint="eastAsia" w:ascii="Calibri" w:hAnsi="宋体" w:cs="Courier New"/>
          <w:color w:val="auto"/>
        </w:rPr>
        <w:t>评标价仅作评标时使用，中标金额＝投标报价</w:t>
      </w:r>
      <w:r>
        <w:rPr>
          <w:rFonts w:hint="eastAsia" w:hAnsi="宋体" w:cs="Courier New"/>
          <w:color w:val="auto"/>
        </w:rPr>
        <w:t>。</w:t>
      </w:r>
    </w:p>
    <w:p w14:paraId="3C222F88">
      <w:pPr>
        <w:widowControl/>
        <w:spacing w:line="446" w:lineRule="exact"/>
        <w:ind w:firstLine="0" w:firstLineChars="0"/>
        <w:jc w:val="left"/>
        <w:rPr>
          <w:rFonts w:hint="eastAsia" w:ascii="宋体" w:hAnsi="宋体" w:cs="Courier New"/>
          <w:color w:val="auto"/>
          <w:szCs w:val="21"/>
        </w:rPr>
      </w:pPr>
      <w:r>
        <w:rPr>
          <w:rFonts w:ascii="宋体" w:hAnsi="宋体" w:cs="Courier New"/>
          <w:color w:val="auto"/>
          <w:szCs w:val="21"/>
        </w:rPr>
        <w:tab/>
      </w:r>
      <w:r>
        <w:rPr>
          <w:rFonts w:hint="eastAsia" w:ascii="宋体" w:hAnsi="宋体" w:cs="Courier New"/>
          <w:color w:val="auto"/>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3FEB31A">
      <w:pPr>
        <w:widowControl/>
        <w:spacing w:line="446" w:lineRule="exact"/>
        <w:ind w:firstLine="282" w:firstLineChars="134"/>
        <w:jc w:val="left"/>
        <w:rPr>
          <w:rFonts w:hint="eastAsia" w:hAnsi="宋体"/>
          <w:color w:val="auto"/>
          <w:highlight w:val="none"/>
        </w:rPr>
      </w:pPr>
      <w:r>
        <w:rPr>
          <w:rFonts w:hint="eastAsia" w:ascii="宋体" w:hAnsi="宋体" w:cs="宋体"/>
          <w:b/>
          <w:bCs/>
          <w:color w:val="auto"/>
          <w:kern w:val="0"/>
          <w:szCs w:val="21"/>
        </w:rPr>
        <w:t>（二）技术商务资信分</w:t>
      </w:r>
      <w:r>
        <w:rPr>
          <w:rFonts w:hint="eastAsia" w:ascii="宋体" w:hAnsi="宋体" w:cs="宋体"/>
          <w:b/>
          <w:bCs/>
          <w:color w:val="auto"/>
          <w:spacing w:val="-12"/>
          <w:kern w:val="0"/>
          <w:szCs w:val="21"/>
        </w:rPr>
        <w:t>（</w:t>
      </w:r>
      <w:r>
        <w:rPr>
          <w:rFonts w:ascii="宋体" w:hAnsi="宋体" w:cs="宋体"/>
          <w:b/>
          <w:bCs/>
          <w:color w:val="auto"/>
          <w:spacing w:val="-12"/>
          <w:kern w:val="0"/>
          <w:szCs w:val="21"/>
        </w:rPr>
        <w:t>90</w:t>
      </w:r>
      <w:r>
        <w:rPr>
          <w:rFonts w:hint="eastAsia" w:ascii="宋体" w:hAnsi="宋体" w:cs="宋体"/>
          <w:b/>
          <w:bCs/>
          <w:color w:val="auto"/>
          <w:spacing w:val="-12"/>
          <w:kern w:val="0"/>
          <w:szCs w:val="21"/>
        </w:rPr>
        <w:t>分）</w:t>
      </w:r>
    </w:p>
    <w:p w14:paraId="5AF7FD6F">
      <w:pPr>
        <w:spacing w:line="446" w:lineRule="exact"/>
        <w:ind w:firstLine="284" w:firstLineChars="0"/>
        <w:rPr>
          <w:rFonts w:ascii="宋体" w:hAnsi="宋体" w:cs="宋体"/>
          <w:b/>
          <w:bCs/>
          <w:color w:val="auto"/>
        </w:rPr>
      </w:pPr>
      <w:r>
        <w:rPr>
          <w:rFonts w:hint="eastAsia" w:ascii="宋体" w:hAnsi="宋体" w:cs="宋体"/>
          <w:b/>
          <w:bCs/>
          <w:color w:val="auto"/>
        </w:rPr>
        <w:t>1</w:t>
      </w:r>
      <w:r>
        <w:rPr>
          <w:rFonts w:ascii="宋体" w:hAnsi="宋体" w:cs="宋体"/>
          <w:b/>
          <w:bCs/>
          <w:color w:val="auto"/>
        </w:rPr>
        <w:t>.</w:t>
      </w:r>
      <w:r>
        <w:rPr>
          <w:rFonts w:hint="eastAsia" w:ascii="宋体" w:hAnsi="宋体" w:cs="宋体"/>
          <w:b/>
          <w:bCs/>
          <w:color w:val="auto"/>
        </w:rPr>
        <w:t>技术分(</w:t>
      </w:r>
      <w:r>
        <w:rPr>
          <w:rFonts w:hint="eastAsia" w:ascii="宋体" w:hAnsi="宋体" w:cs="宋体"/>
          <w:b/>
          <w:bCs/>
          <w:color w:val="auto"/>
          <w:lang w:val="en-US" w:eastAsia="zh-CN"/>
        </w:rPr>
        <w:t>69</w:t>
      </w:r>
      <w:r>
        <w:rPr>
          <w:rFonts w:hint="eastAsia" w:ascii="宋体" w:hAnsi="宋体" w:cs="宋体"/>
          <w:b/>
          <w:bCs/>
          <w:color w:val="auto"/>
        </w:rPr>
        <w:t>分)</w:t>
      </w:r>
    </w:p>
    <w:p w14:paraId="6C0A0425">
      <w:pPr>
        <w:spacing w:line="446" w:lineRule="exact"/>
        <w:ind w:firstLine="284" w:firstLineChars="0"/>
        <w:rPr>
          <w:rFonts w:ascii="宋体" w:hAnsi="宋体"/>
          <w:b/>
          <w:bCs/>
          <w:color w:val="auto"/>
        </w:rPr>
      </w:pPr>
      <w:r>
        <w:rPr>
          <w:rFonts w:ascii="宋体" w:hAnsi="宋体" w:cs="宋体"/>
          <w:b/>
          <w:bCs/>
          <w:color w:val="auto"/>
        </w:rPr>
        <w:t>1.1</w:t>
      </w:r>
      <w:r>
        <w:rPr>
          <w:rFonts w:hint="eastAsia" w:ascii="宋体" w:hAnsi="宋体" w:cs="宋体"/>
          <w:b/>
          <w:bCs/>
          <w:color w:val="auto"/>
        </w:rPr>
        <w:t>技术指标分(</w:t>
      </w:r>
      <w:r>
        <w:rPr>
          <w:rFonts w:hint="eastAsia" w:ascii="宋体" w:hAnsi="宋体" w:cs="宋体"/>
          <w:b/>
          <w:bCs/>
          <w:color w:val="auto"/>
          <w:lang w:val="en-US" w:eastAsia="zh-CN"/>
        </w:rPr>
        <w:t>16</w:t>
      </w:r>
      <w:r>
        <w:rPr>
          <w:rFonts w:hint="eastAsia" w:ascii="宋体" w:hAnsi="宋体" w:cs="宋体"/>
          <w:b/>
          <w:bCs/>
          <w:color w:val="auto"/>
        </w:rPr>
        <w:t>分)</w:t>
      </w:r>
    </w:p>
    <w:p w14:paraId="4C9D4231">
      <w:pPr>
        <w:widowControl/>
        <w:spacing w:line="288" w:lineRule="auto"/>
        <w:ind w:firstLine="420" w:firstLineChars="200"/>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评委根据招标文件要求，对满足招标文件全部实质性要求、进入详评的各投标人对《</w:t>
      </w:r>
      <w:r>
        <w:rPr>
          <w:rFonts w:hint="eastAsia" w:ascii="宋体" w:hAnsi="宋体" w:cs="宋体"/>
          <w:color w:val="auto"/>
          <w:kern w:val="0"/>
          <w:szCs w:val="21"/>
          <w:lang w:val="en-US" w:eastAsia="zh-CN" w:bidi="ar"/>
        </w:rPr>
        <w:t>采购</w:t>
      </w:r>
      <w:r>
        <w:rPr>
          <w:rFonts w:hint="eastAsia" w:ascii="宋体" w:hAnsi="宋体" w:cs="宋体"/>
          <w:color w:val="auto"/>
          <w:kern w:val="0"/>
          <w:szCs w:val="21"/>
          <w:lang w:bidi="ar"/>
        </w:rPr>
        <w:t>需求一览表》的响应情况进行独立评审；</w:t>
      </w:r>
    </w:p>
    <w:p w14:paraId="094F96AC">
      <w:pPr>
        <w:spacing w:line="446" w:lineRule="exact"/>
        <w:ind w:firstLine="284" w:firstLineChars="0"/>
        <w:jc w:val="left"/>
        <w:rPr>
          <w:rFonts w:hint="eastAsia" w:ascii="宋体" w:hAnsi="宋体" w:cs="宋体"/>
          <w:color w:val="auto"/>
          <w:kern w:val="0"/>
          <w:szCs w:val="21"/>
          <w:lang w:eastAsia="zh-CN" w:bidi="ar"/>
        </w:rPr>
      </w:pPr>
      <w:r>
        <w:rPr>
          <w:rFonts w:hint="eastAsia" w:ascii="宋体" w:hAnsi="宋体" w:cs="宋体"/>
          <w:color w:val="auto"/>
          <w:kern w:val="0"/>
          <w:szCs w:val="21"/>
          <w:lang w:bidi="ar"/>
        </w:rPr>
        <w:t>《</w:t>
      </w:r>
      <w:r>
        <w:rPr>
          <w:rFonts w:hint="eastAsia" w:ascii="宋体" w:hAnsi="宋体" w:cs="宋体"/>
          <w:color w:val="auto"/>
          <w:kern w:val="0"/>
          <w:szCs w:val="21"/>
          <w:lang w:val="en-US" w:eastAsia="zh-CN" w:bidi="ar"/>
        </w:rPr>
        <w:t>采购</w:t>
      </w:r>
      <w:r>
        <w:rPr>
          <w:rFonts w:hint="eastAsia" w:ascii="宋体" w:hAnsi="宋体" w:cs="宋体"/>
          <w:color w:val="auto"/>
          <w:kern w:val="0"/>
          <w:szCs w:val="21"/>
          <w:lang w:bidi="ar"/>
        </w:rPr>
        <w:t>需求一览表》中带“</w:t>
      </w:r>
      <w:r>
        <w:rPr>
          <w:rFonts w:hint="eastAsia" w:ascii="宋体" w:hAnsi="宋体" w:cs="宋体"/>
          <w:color w:val="auto"/>
          <w:szCs w:val="21"/>
        </w:rPr>
        <w:t>▲</w:t>
      </w:r>
      <w:r>
        <w:rPr>
          <w:rFonts w:hint="eastAsia" w:ascii="宋体" w:hAnsi="宋体" w:cs="宋体"/>
          <w:color w:val="auto"/>
          <w:kern w:val="0"/>
          <w:szCs w:val="21"/>
          <w:lang w:bidi="ar"/>
        </w:rPr>
        <w:t>”参数为重要参数，投标人</w:t>
      </w:r>
      <w:r>
        <w:rPr>
          <w:rFonts w:hint="eastAsia" w:ascii="宋体" w:hAnsi="宋体" w:cs="宋体"/>
          <w:color w:val="auto"/>
          <w:kern w:val="0"/>
          <w:szCs w:val="21"/>
          <w:lang w:val="en-US" w:eastAsia="zh-CN" w:bidi="ar"/>
        </w:rPr>
        <w:t>能</w:t>
      </w:r>
      <w:r>
        <w:rPr>
          <w:rFonts w:hint="eastAsia" w:ascii="宋体" w:hAnsi="宋体" w:cs="宋体"/>
          <w:color w:val="auto"/>
          <w:kern w:val="0"/>
          <w:szCs w:val="21"/>
          <w:lang w:bidi="ar"/>
        </w:rPr>
        <w:t>在投标文件中提供带“</w:t>
      </w:r>
      <w:r>
        <w:rPr>
          <w:rFonts w:hint="eastAsia" w:ascii="宋体" w:hAnsi="宋体" w:cs="宋体"/>
          <w:color w:val="auto"/>
          <w:szCs w:val="21"/>
        </w:rPr>
        <w:t>▲</w:t>
      </w:r>
      <w:r>
        <w:rPr>
          <w:rFonts w:hint="eastAsia" w:ascii="宋体" w:hAnsi="宋体" w:cs="宋体"/>
          <w:color w:val="auto"/>
          <w:kern w:val="0"/>
          <w:szCs w:val="21"/>
          <w:lang w:bidi="ar"/>
        </w:rPr>
        <w:t>”参数</w:t>
      </w:r>
      <w:r>
        <w:rPr>
          <w:rFonts w:hint="eastAsia" w:ascii="宋体" w:hAnsi="宋体" w:cs="宋体"/>
          <w:color w:val="auto"/>
          <w:kern w:val="0"/>
          <w:szCs w:val="21"/>
          <w:lang w:val="en-US" w:eastAsia="zh-CN" w:bidi="ar"/>
        </w:rPr>
        <w:t>的证明材料，每提供1项得1分，本项满分16分。</w:t>
      </w:r>
      <w:r>
        <w:rPr>
          <w:rFonts w:hint="eastAsia" w:ascii="宋体" w:hAnsi="宋体" w:cs="宋体"/>
          <w:color w:val="auto"/>
          <w:kern w:val="0"/>
          <w:szCs w:val="21"/>
          <w:lang w:eastAsia="zh-CN" w:bidi="ar"/>
        </w:rPr>
        <w:t>证明材料包括由国家认可的检验检测机构出具的检测报告复印件、认证证书或产品官网链接及相关内容截图或产品功能配置界面截图并加盖供应商公章。</w:t>
      </w:r>
    </w:p>
    <w:p w14:paraId="59A9A8D3">
      <w:pPr>
        <w:spacing w:line="446" w:lineRule="exact"/>
        <w:ind w:firstLine="284" w:firstLineChars="0"/>
        <w:jc w:val="left"/>
        <w:rPr>
          <w:rFonts w:ascii="宋体" w:hAnsi="宋体"/>
          <w:color w:val="auto"/>
        </w:rPr>
      </w:pPr>
      <w:r>
        <w:rPr>
          <w:rFonts w:hint="eastAsia" w:ascii="宋体" w:cs="Courier New"/>
          <w:b/>
          <w:color w:val="auto"/>
          <w:szCs w:val="21"/>
        </w:rPr>
        <w:t>1</w:t>
      </w:r>
      <w:r>
        <w:rPr>
          <w:rFonts w:ascii="宋体" w:cs="Courier New"/>
          <w:b/>
          <w:color w:val="auto"/>
          <w:szCs w:val="21"/>
        </w:rPr>
        <w:t>.2</w:t>
      </w:r>
      <w:r>
        <w:rPr>
          <w:rFonts w:hint="eastAsia" w:ascii="宋体" w:cs="Courier New"/>
          <w:b/>
          <w:color w:val="auto"/>
          <w:szCs w:val="21"/>
        </w:rPr>
        <w:t>项目实施</w:t>
      </w:r>
      <w:r>
        <w:rPr>
          <w:rFonts w:ascii="宋体" w:cs="Courier New"/>
          <w:b/>
          <w:color w:val="auto"/>
          <w:szCs w:val="21"/>
        </w:rPr>
        <w:t>方案分（</w:t>
      </w:r>
      <w:r>
        <w:rPr>
          <w:rFonts w:hint="eastAsia" w:ascii="宋体" w:cs="Courier New"/>
          <w:b/>
          <w:color w:val="auto"/>
          <w:szCs w:val="21"/>
          <w:lang w:val="en-US" w:eastAsia="zh-CN"/>
        </w:rPr>
        <w:t>23</w:t>
      </w:r>
      <w:r>
        <w:rPr>
          <w:rFonts w:ascii="宋体" w:cs="Courier New"/>
          <w:b/>
          <w:color w:val="auto"/>
          <w:szCs w:val="21"/>
        </w:rPr>
        <w:t>分）</w:t>
      </w:r>
    </w:p>
    <w:p w14:paraId="291B48ED">
      <w:pPr>
        <w:spacing w:line="446" w:lineRule="exact"/>
        <w:ind w:firstLine="284" w:firstLineChars="0"/>
        <w:jc w:val="left"/>
        <w:rPr>
          <w:rFonts w:ascii="宋体" w:hAnsi="宋体"/>
          <w:color w:val="auto"/>
        </w:rPr>
      </w:pPr>
      <w:r>
        <w:rPr>
          <w:rFonts w:hint="eastAsia" w:ascii="宋体" w:hAnsi="宋体" w:cs="宋体"/>
          <w:bCs/>
          <w:color w:val="auto"/>
          <w:kern w:val="0"/>
          <w:szCs w:val="21"/>
        </w:rPr>
        <w:t>由评标委员会各成员根据各供应商提供的项目实施方案进行评定：</w:t>
      </w:r>
    </w:p>
    <w:p w14:paraId="7F6B81BD">
      <w:pPr>
        <w:spacing w:line="446" w:lineRule="exact"/>
        <w:ind w:firstLine="284" w:firstLineChars="0"/>
        <w:jc w:val="left"/>
        <w:rPr>
          <w:rFonts w:hint="default" w:ascii="宋体" w:hAnsi="宋体" w:eastAsia="宋体"/>
          <w:color w:val="auto"/>
          <w:lang w:val="en-US" w:eastAsia="zh-CN"/>
        </w:rPr>
      </w:pPr>
      <w:r>
        <w:rPr>
          <w:rFonts w:hint="eastAsia" w:ascii="宋体" w:hAnsi="宋体" w:cs="宋体"/>
          <w:bCs/>
          <w:color w:val="auto"/>
          <w:kern w:val="0"/>
          <w:szCs w:val="21"/>
        </w:rPr>
        <w:t>1</w:t>
      </w:r>
      <w:r>
        <w:rPr>
          <w:rFonts w:ascii="宋体" w:hAnsi="宋体" w:cs="宋体"/>
          <w:bCs/>
          <w:color w:val="auto"/>
          <w:kern w:val="0"/>
          <w:szCs w:val="21"/>
        </w:rPr>
        <w:t>.2.1</w:t>
      </w:r>
      <w:r>
        <w:rPr>
          <w:rFonts w:hint="eastAsia" w:ascii="宋体" w:hAnsi="宋体" w:cs="宋体"/>
          <w:bCs/>
          <w:color w:val="auto"/>
          <w:kern w:val="0"/>
          <w:szCs w:val="21"/>
        </w:rPr>
        <w:t>投标人的技术方案具有对项目总体要求的准确认识、理解</w:t>
      </w:r>
      <w:r>
        <w:rPr>
          <w:rFonts w:hint="eastAsia"/>
          <w:bCs/>
          <w:color w:val="auto"/>
        </w:rPr>
        <w:t>采购人建设目标</w:t>
      </w:r>
      <w:r>
        <w:rPr>
          <w:rFonts w:hint="eastAsia" w:ascii="宋体" w:hAnsi="宋体" w:cs="宋体"/>
          <w:bCs/>
          <w:color w:val="auto"/>
          <w:kern w:val="0"/>
          <w:szCs w:val="21"/>
        </w:rPr>
        <w:t>的得1分；</w:t>
      </w:r>
      <w:r>
        <w:rPr>
          <w:rFonts w:ascii="宋体" w:hAnsi="宋体" w:cs="宋体"/>
          <w:bCs/>
          <w:color w:val="auto"/>
          <w:kern w:val="0"/>
          <w:szCs w:val="21"/>
        </w:rPr>
        <w:t>具有网络架构拓扑图</w:t>
      </w:r>
      <w:r>
        <w:rPr>
          <w:rFonts w:hint="eastAsia" w:ascii="宋体" w:hAnsi="宋体" w:cs="宋体"/>
          <w:bCs/>
          <w:color w:val="auto"/>
          <w:kern w:val="0"/>
          <w:szCs w:val="21"/>
        </w:rPr>
        <w:t>得</w:t>
      </w:r>
      <w:r>
        <w:rPr>
          <w:rFonts w:ascii="宋体" w:hAnsi="宋体" w:cs="宋体"/>
          <w:bCs/>
          <w:color w:val="auto"/>
          <w:kern w:val="0"/>
          <w:szCs w:val="21"/>
        </w:rPr>
        <w:t>2</w:t>
      </w:r>
      <w:r>
        <w:rPr>
          <w:rFonts w:hint="eastAsia" w:ascii="宋体" w:hAnsi="宋体" w:cs="宋体"/>
          <w:bCs/>
          <w:color w:val="auto"/>
          <w:kern w:val="0"/>
          <w:szCs w:val="21"/>
        </w:rPr>
        <w:t>分；系统体系结构、功能方面符合项目实际情况、</w:t>
      </w:r>
      <w:r>
        <w:rPr>
          <w:bCs/>
          <w:color w:val="auto"/>
        </w:rPr>
        <w:t>技术架构，系统设计思路</w:t>
      </w:r>
      <w:r>
        <w:rPr>
          <w:rFonts w:hint="eastAsia"/>
          <w:bCs/>
          <w:color w:val="auto"/>
        </w:rPr>
        <w:t>清晰</w:t>
      </w:r>
      <w:r>
        <w:rPr>
          <w:bCs/>
          <w:color w:val="auto"/>
        </w:rPr>
        <w:t>，网络架构设计</w:t>
      </w:r>
      <w:r>
        <w:rPr>
          <w:rFonts w:hint="eastAsia"/>
          <w:bCs/>
          <w:color w:val="auto"/>
        </w:rPr>
        <w:t>符合项目需求的得</w:t>
      </w:r>
      <w:r>
        <w:rPr>
          <w:bCs/>
          <w:color w:val="auto"/>
        </w:rPr>
        <w:t>3</w:t>
      </w:r>
      <w:r>
        <w:rPr>
          <w:rFonts w:hint="eastAsia"/>
          <w:bCs/>
          <w:color w:val="auto"/>
        </w:rPr>
        <w:t>分。</w:t>
      </w:r>
      <w:r>
        <w:rPr>
          <w:rFonts w:hint="eastAsia"/>
          <w:bCs/>
          <w:color w:val="auto"/>
          <w:lang w:val="en-US" w:eastAsia="zh-CN"/>
        </w:rPr>
        <w:t>本项满分6分。</w:t>
      </w:r>
    </w:p>
    <w:p w14:paraId="290A9C67">
      <w:pPr>
        <w:spacing w:line="446" w:lineRule="exact"/>
        <w:ind w:firstLine="284" w:firstLineChars="0"/>
        <w:jc w:val="left"/>
        <w:rPr>
          <w:rFonts w:hint="default" w:ascii="宋体" w:hAnsi="宋体" w:eastAsia="宋体"/>
          <w:color w:val="auto"/>
          <w:lang w:val="en-US" w:eastAsia="zh-CN"/>
        </w:rPr>
      </w:pPr>
      <w:r>
        <w:rPr>
          <w:rFonts w:hint="eastAsia" w:ascii="宋体" w:hAnsi="宋体" w:cs="宋体"/>
          <w:bCs/>
          <w:color w:val="auto"/>
          <w:kern w:val="0"/>
          <w:szCs w:val="21"/>
        </w:rPr>
        <w:t>1</w:t>
      </w:r>
      <w:r>
        <w:rPr>
          <w:rFonts w:ascii="宋体" w:hAnsi="宋体" w:cs="宋体"/>
          <w:bCs/>
          <w:color w:val="auto"/>
          <w:kern w:val="0"/>
          <w:szCs w:val="21"/>
        </w:rPr>
        <w:t>.2.2</w:t>
      </w:r>
      <w:r>
        <w:rPr>
          <w:rFonts w:hint="eastAsia" w:ascii="宋体" w:cs="Courier New"/>
          <w:color w:val="auto"/>
          <w:szCs w:val="21"/>
        </w:rPr>
        <w:t>投标人提供为本项目组织的</w:t>
      </w:r>
      <w:r>
        <w:rPr>
          <w:rFonts w:hint="eastAsia" w:ascii="宋体" w:cs="Courier New"/>
          <w:bCs/>
          <w:color w:val="auto"/>
          <w:szCs w:val="21"/>
        </w:rPr>
        <w:t>项目实施管理机构的</w:t>
      </w:r>
      <w:r>
        <w:rPr>
          <w:rFonts w:hint="eastAsia" w:ascii="宋体" w:cs="Courier New"/>
          <w:bCs/>
          <w:color w:val="auto"/>
          <w:szCs w:val="21"/>
          <w:lang w:val="en-US" w:eastAsia="zh-CN"/>
        </w:rPr>
        <w:t>1</w:t>
      </w:r>
      <w:r>
        <w:rPr>
          <w:rFonts w:hint="eastAsia" w:ascii="宋体" w:cs="Courier New"/>
          <w:bCs/>
          <w:color w:val="auto"/>
          <w:szCs w:val="21"/>
        </w:rPr>
        <w:t>分；项目实施管理机构具有明确的架构设置，有明确的管理人员，利于项目实施</w:t>
      </w:r>
      <w:r>
        <w:rPr>
          <w:rFonts w:hint="eastAsia" w:ascii="宋体" w:cs="Courier New"/>
          <w:color w:val="auto"/>
          <w:szCs w:val="21"/>
        </w:rPr>
        <w:t>的得</w:t>
      </w:r>
      <w:r>
        <w:rPr>
          <w:rFonts w:hint="eastAsia" w:ascii="宋体" w:cs="Courier New"/>
          <w:color w:val="auto"/>
          <w:szCs w:val="21"/>
          <w:lang w:val="en-US" w:eastAsia="zh-CN"/>
        </w:rPr>
        <w:t>1</w:t>
      </w:r>
      <w:r>
        <w:rPr>
          <w:rFonts w:hint="eastAsia" w:ascii="宋体" w:cs="Courier New"/>
          <w:color w:val="auto"/>
          <w:szCs w:val="21"/>
        </w:rPr>
        <w:t>分。</w:t>
      </w:r>
      <w:r>
        <w:rPr>
          <w:rFonts w:hint="eastAsia" w:ascii="宋体" w:cs="Courier New"/>
          <w:color w:val="auto"/>
          <w:szCs w:val="21"/>
          <w:lang w:val="en-US" w:eastAsia="zh-CN"/>
        </w:rPr>
        <w:t>本项满分2分。</w:t>
      </w:r>
    </w:p>
    <w:p w14:paraId="146F4715">
      <w:pPr>
        <w:spacing w:line="446" w:lineRule="exact"/>
        <w:ind w:firstLine="284" w:firstLineChars="0"/>
        <w:jc w:val="left"/>
        <w:rPr>
          <w:rFonts w:ascii="宋体" w:hAnsi="宋体"/>
          <w:color w:val="auto"/>
        </w:rPr>
      </w:pPr>
      <w:r>
        <w:rPr>
          <w:rFonts w:hint="eastAsia" w:ascii="宋体" w:hAnsi="宋体" w:cs="宋体"/>
          <w:bCs/>
          <w:color w:val="auto"/>
          <w:kern w:val="0"/>
          <w:szCs w:val="21"/>
        </w:rPr>
        <w:t>1</w:t>
      </w:r>
      <w:r>
        <w:rPr>
          <w:rFonts w:ascii="宋体" w:hAnsi="宋体" w:cs="宋体"/>
          <w:bCs/>
          <w:color w:val="auto"/>
          <w:kern w:val="0"/>
          <w:szCs w:val="21"/>
        </w:rPr>
        <w:t>.2.3</w:t>
      </w:r>
      <w:r>
        <w:rPr>
          <w:rFonts w:hint="eastAsia" w:ascii="宋体" w:hAnsi="宋体" w:cs="宋体"/>
          <w:bCs/>
          <w:color w:val="auto"/>
          <w:kern w:val="0"/>
          <w:szCs w:val="21"/>
        </w:rPr>
        <w:t>投标人的技术方案具有明确的实施日程、</w:t>
      </w:r>
      <w:r>
        <w:rPr>
          <w:rFonts w:hint="eastAsia"/>
          <w:color w:val="auto"/>
        </w:rPr>
        <w:t>进度安排、人员安排职责分工，满足项目需求的得3分。</w:t>
      </w:r>
    </w:p>
    <w:p w14:paraId="015B7A90">
      <w:pPr>
        <w:spacing w:line="446" w:lineRule="exact"/>
        <w:ind w:firstLine="284" w:firstLineChars="0"/>
        <w:jc w:val="left"/>
        <w:rPr>
          <w:rFonts w:ascii="宋体" w:hAnsi="宋体" w:cs="宋体"/>
          <w:bCs/>
          <w:color w:val="auto"/>
          <w:kern w:val="0"/>
          <w:szCs w:val="21"/>
        </w:rPr>
      </w:pPr>
      <w:r>
        <w:rPr>
          <w:rFonts w:hint="eastAsia" w:ascii="宋体" w:cs="Courier New"/>
          <w:color w:val="auto"/>
          <w:szCs w:val="21"/>
        </w:rPr>
        <w:t>1</w:t>
      </w:r>
      <w:r>
        <w:rPr>
          <w:rFonts w:ascii="宋体" w:cs="Courier New"/>
          <w:color w:val="auto"/>
          <w:szCs w:val="21"/>
        </w:rPr>
        <w:t>.2.4</w:t>
      </w:r>
      <w:r>
        <w:rPr>
          <w:rFonts w:hint="eastAsia" w:ascii="宋体" w:hAnsi="宋体" w:cs="Arial"/>
          <w:bCs/>
          <w:color w:val="auto"/>
          <w:szCs w:val="21"/>
        </w:rPr>
        <w:t>投标人提供符合项目需求的服务</w:t>
      </w:r>
      <w:r>
        <w:rPr>
          <w:rFonts w:hint="eastAsia" w:ascii="宋体" w:hAnsi="宋体" w:cs="宋体"/>
          <w:color w:val="auto"/>
          <w:szCs w:val="21"/>
        </w:rPr>
        <w:t>质量保证方案、措施及承诺的得</w:t>
      </w:r>
      <w:r>
        <w:rPr>
          <w:rFonts w:hint="eastAsia" w:ascii="宋体" w:hAnsi="宋体" w:cs="宋体"/>
          <w:color w:val="auto"/>
          <w:szCs w:val="21"/>
          <w:lang w:val="en-US" w:eastAsia="zh-CN"/>
        </w:rPr>
        <w:t>3</w:t>
      </w:r>
      <w:r>
        <w:rPr>
          <w:rFonts w:hint="eastAsia" w:ascii="宋体" w:hAnsi="宋体" w:cs="宋体"/>
          <w:color w:val="auto"/>
          <w:szCs w:val="21"/>
        </w:rPr>
        <w:t>分。</w:t>
      </w:r>
    </w:p>
    <w:p w14:paraId="7E1440B1">
      <w:pPr>
        <w:spacing w:line="446" w:lineRule="exact"/>
        <w:ind w:firstLine="284" w:firstLineChars="0"/>
        <w:jc w:val="left"/>
        <w:rPr>
          <w:rFonts w:ascii="宋体" w:hAnsi="宋体" w:cs="宋体"/>
          <w:bCs/>
          <w:color w:val="auto"/>
          <w:kern w:val="0"/>
          <w:szCs w:val="21"/>
        </w:rPr>
      </w:pPr>
      <w:r>
        <w:rPr>
          <w:rFonts w:hint="eastAsia" w:ascii="宋体" w:cs="Courier New"/>
          <w:color w:val="auto"/>
          <w:szCs w:val="21"/>
        </w:rPr>
        <w:t>1</w:t>
      </w:r>
      <w:r>
        <w:rPr>
          <w:rFonts w:ascii="宋体" w:cs="Courier New"/>
          <w:color w:val="auto"/>
          <w:szCs w:val="21"/>
        </w:rPr>
        <w:t>.2.5</w:t>
      </w:r>
      <w:r>
        <w:rPr>
          <w:rFonts w:hint="eastAsia" w:ascii="宋体" w:cs="Courier New"/>
          <w:color w:val="auto"/>
          <w:szCs w:val="21"/>
        </w:rPr>
        <w:t>投标人为采购人</w:t>
      </w:r>
      <w:r>
        <w:rPr>
          <w:rFonts w:hint="eastAsia" w:ascii="宋体" w:cs="Courier New"/>
          <w:bCs/>
          <w:color w:val="auto"/>
          <w:szCs w:val="21"/>
        </w:rPr>
        <w:t>提供培训计划</w:t>
      </w:r>
      <w:r>
        <w:rPr>
          <w:rFonts w:hint="eastAsia" w:ascii="宋体" w:cs="Courier New"/>
          <w:bCs/>
          <w:color w:val="auto"/>
          <w:szCs w:val="21"/>
          <w:lang w:eastAsia="zh-CN"/>
        </w:rPr>
        <w:t>，</w:t>
      </w:r>
      <w:r>
        <w:rPr>
          <w:rFonts w:hint="eastAsia" w:ascii="宋体" w:cs="Courier New"/>
          <w:bCs/>
          <w:color w:val="auto"/>
          <w:szCs w:val="21"/>
        </w:rPr>
        <w:t>有明确的培训</w:t>
      </w:r>
      <w:r>
        <w:rPr>
          <w:rFonts w:ascii="宋体" w:cs="Courier New"/>
          <w:bCs/>
          <w:color w:val="auto"/>
          <w:szCs w:val="21"/>
        </w:rPr>
        <w:t>时间</w:t>
      </w:r>
      <w:r>
        <w:rPr>
          <w:rFonts w:hint="eastAsia" w:ascii="宋体" w:cs="Courier New"/>
          <w:bCs/>
          <w:color w:val="auto"/>
          <w:szCs w:val="21"/>
        </w:rPr>
        <w:t>表、培训内容的得</w:t>
      </w:r>
      <w:r>
        <w:rPr>
          <w:rFonts w:hint="eastAsia" w:ascii="宋体" w:cs="Courier New"/>
          <w:bCs/>
          <w:color w:val="auto"/>
          <w:szCs w:val="21"/>
          <w:lang w:val="en-US" w:eastAsia="zh-CN"/>
        </w:rPr>
        <w:t>3</w:t>
      </w:r>
      <w:r>
        <w:rPr>
          <w:rFonts w:hint="eastAsia" w:ascii="宋体" w:cs="Courier New"/>
          <w:bCs/>
          <w:color w:val="auto"/>
          <w:szCs w:val="21"/>
        </w:rPr>
        <w:t>分。</w:t>
      </w:r>
    </w:p>
    <w:p w14:paraId="75285DC4">
      <w:pPr>
        <w:spacing w:line="446" w:lineRule="exact"/>
        <w:ind w:firstLine="284" w:firstLineChars="0"/>
        <w:jc w:val="left"/>
        <w:rPr>
          <w:rFonts w:ascii="宋体" w:hAnsi="宋体" w:cs="宋体"/>
          <w:bCs/>
          <w:color w:val="auto"/>
          <w:kern w:val="0"/>
          <w:szCs w:val="21"/>
        </w:rPr>
      </w:pPr>
      <w:r>
        <w:rPr>
          <w:rFonts w:hint="eastAsia" w:ascii="宋体" w:hAnsi="宋体" w:cs="Arial"/>
          <w:bCs/>
          <w:color w:val="auto"/>
          <w:szCs w:val="21"/>
        </w:rPr>
        <w:t>1</w:t>
      </w:r>
      <w:r>
        <w:rPr>
          <w:rFonts w:ascii="宋体" w:hAnsi="宋体" w:cs="Arial"/>
          <w:bCs/>
          <w:color w:val="auto"/>
          <w:szCs w:val="21"/>
        </w:rPr>
        <w:t>.2.6</w:t>
      </w:r>
      <w:r>
        <w:rPr>
          <w:rFonts w:hint="eastAsia" w:ascii="宋体" w:hAnsi="宋体"/>
          <w:color w:val="auto"/>
          <w:szCs w:val="21"/>
        </w:rPr>
        <w:t>投标人</w:t>
      </w:r>
      <w:r>
        <w:rPr>
          <w:rFonts w:hint="eastAsia" w:ascii="宋体" w:hAnsi="宋体" w:cs="宋体"/>
          <w:color w:val="auto"/>
          <w:szCs w:val="21"/>
        </w:rPr>
        <w:t>具有符合本项目情形的突发事件应急预案和处理措施的得</w:t>
      </w:r>
      <w:r>
        <w:rPr>
          <w:rFonts w:hint="eastAsia" w:ascii="宋体" w:hAnsi="宋体" w:cs="宋体"/>
          <w:color w:val="auto"/>
          <w:szCs w:val="21"/>
          <w:lang w:val="en-US" w:eastAsia="zh-CN"/>
        </w:rPr>
        <w:t>3</w:t>
      </w:r>
      <w:r>
        <w:rPr>
          <w:rFonts w:hint="eastAsia" w:ascii="宋体" w:hAnsi="宋体" w:cs="宋体"/>
          <w:color w:val="auto"/>
          <w:szCs w:val="21"/>
        </w:rPr>
        <w:t>分。</w:t>
      </w:r>
    </w:p>
    <w:p w14:paraId="1023DCBA">
      <w:pPr>
        <w:spacing w:line="446" w:lineRule="exact"/>
        <w:ind w:firstLine="284" w:firstLineChars="0"/>
        <w:jc w:val="left"/>
        <w:rPr>
          <w:rFonts w:ascii="宋体" w:hAnsi="宋体" w:cs="宋体"/>
          <w:bCs/>
          <w:color w:val="auto"/>
          <w:kern w:val="0"/>
          <w:szCs w:val="21"/>
        </w:rPr>
      </w:pPr>
      <w:r>
        <w:rPr>
          <w:rFonts w:hint="eastAsia" w:ascii="宋体" w:hAnsi="宋体"/>
          <w:color w:val="auto"/>
          <w:szCs w:val="21"/>
        </w:rPr>
        <w:t>1</w:t>
      </w:r>
      <w:r>
        <w:rPr>
          <w:rFonts w:ascii="宋体" w:hAnsi="宋体"/>
          <w:color w:val="auto"/>
          <w:szCs w:val="21"/>
        </w:rPr>
        <w:t>.2.7</w:t>
      </w:r>
      <w:r>
        <w:rPr>
          <w:rFonts w:hint="eastAsia" w:ascii="宋体" w:hAnsi="宋体" w:cs="Arial"/>
          <w:bCs/>
          <w:color w:val="auto"/>
          <w:szCs w:val="21"/>
        </w:rPr>
        <w:t>投标人提供满足本项目的</w:t>
      </w:r>
      <w:r>
        <w:rPr>
          <w:rFonts w:hint="eastAsia" w:ascii="宋体" w:hAnsi="宋体"/>
          <w:color w:val="auto"/>
          <w:szCs w:val="21"/>
        </w:rPr>
        <w:t>验收方案，包含验收依据、相关的技术标准，验收的组织形式、程序、注意事项及验收内容的</w:t>
      </w:r>
      <w:r>
        <w:rPr>
          <w:rFonts w:hint="eastAsia" w:ascii="宋体" w:hAnsi="宋体" w:cs="宋体"/>
          <w:bCs/>
          <w:color w:val="auto"/>
          <w:kern w:val="0"/>
          <w:szCs w:val="21"/>
        </w:rPr>
        <w:t>得</w:t>
      </w:r>
      <w:r>
        <w:rPr>
          <w:rFonts w:hint="eastAsia" w:ascii="宋体" w:hAnsi="宋体" w:cs="宋体"/>
          <w:bCs/>
          <w:color w:val="auto"/>
          <w:kern w:val="0"/>
          <w:szCs w:val="21"/>
          <w:lang w:val="en-US" w:eastAsia="zh-CN"/>
        </w:rPr>
        <w:t>3</w:t>
      </w:r>
      <w:r>
        <w:rPr>
          <w:rFonts w:hint="eastAsia" w:ascii="宋体" w:hAnsi="宋体" w:cs="宋体"/>
          <w:bCs/>
          <w:color w:val="auto"/>
          <w:kern w:val="0"/>
          <w:szCs w:val="21"/>
        </w:rPr>
        <w:t>分。</w:t>
      </w:r>
    </w:p>
    <w:p w14:paraId="7002D20C">
      <w:pPr>
        <w:spacing w:line="446" w:lineRule="exact"/>
        <w:ind w:firstLine="284" w:firstLineChars="0"/>
        <w:rPr>
          <w:rFonts w:hint="eastAsia" w:ascii="宋体" w:hAnsi="宋体" w:cs="宋体"/>
          <w:b/>
          <w:bCs/>
          <w:color w:val="auto"/>
        </w:rPr>
      </w:pPr>
      <w:r>
        <w:rPr>
          <w:rFonts w:ascii="宋体" w:hAnsi="宋体" w:cs="宋体"/>
          <w:b/>
          <w:bCs/>
          <w:color w:val="auto"/>
        </w:rPr>
        <w:t>1.3</w:t>
      </w:r>
      <w:r>
        <w:rPr>
          <w:rFonts w:hint="eastAsia" w:ascii="宋体" w:hAnsi="宋体" w:cs="宋体"/>
          <w:b/>
          <w:bCs/>
          <w:color w:val="auto"/>
        </w:rPr>
        <w:t>运营维护保障分(</w:t>
      </w:r>
      <w:r>
        <w:rPr>
          <w:rFonts w:hint="eastAsia" w:ascii="宋体" w:hAnsi="宋体" w:cs="宋体"/>
          <w:b/>
          <w:bCs/>
          <w:color w:val="auto"/>
          <w:lang w:val="en-US" w:eastAsia="zh-CN"/>
        </w:rPr>
        <w:t>30</w:t>
      </w:r>
      <w:r>
        <w:rPr>
          <w:rFonts w:hint="eastAsia" w:ascii="宋体" w:hAnsi="宋体" w:cs="宋体"/>
          <w:b/>
          <w:bCs/>
          <w:color w:val="auto"/>
        </w:rPr>
        <w:t>分)</w:t>
      </w:r>
    </w:p>
    <w:p w14:paraId="5DD3BCD0">
      <w:pPr>
        <w:spacing w:line="446" w:lineRule="exact"/>
        <w:ind w:firstLine="284" w:firstLineChars="0"/>
        <w:rPr>
          <w:rFonts w:hint="eastAsia" w:ascii="宋体" w:hAnsi="宋体" w:cs="Arial"/>
          <w:bCs/>
          <w:color w:val="auto"/>
          <w:szCs w:val="21"/>
        </w:rPr>
      </w:pPr>
      <w:r>
        <w:rPr>
          <w:rFonts w:hint="eastAsia" w:ascii="宋体" w:hAnsi="宋体" w:cs="Arial"/>
          <w:bCs/>
          <w:color w:val="auto"/>
          <w:szCs w:val="21"/>
        </w:rPr>
        <w:t>由评标委员会各成员对投标人提供的运营维护保障服务方案按以下规则进行评分：</w:t>
      </w:r>
    </w:p>
    <w:p w14:paraId="58A40C4B">
      <w:pPr>
        <w:spacing w:line="446" w:lineRule="exact"/>
        <w:ind w:firstLine="284" w:firstLineChars="0"/>
        <w:rPr>
          <w:rFonts w:ascii="宋体" w:hAnsi="宋体" w:cs="Arial"/>
          <w:bCs/>
          <w:color w:val="auto"/>
          <w:szCs w:val="21"/>
        </w:rPr>
      </w:pPr>
      <w:r>
        <w:rPr>
          <w:rFonts w:hint="eastAsia" w:ascii="宋体" w:hAnsi="宋体" w:cs="Arial"/>
          <w:bCs/>
          <w:color w:val="auto"/>
          <w:szCs w:val="21"/>
        </w:rPr>
        <w:t>1.</w:t>
      </w:r>
      <w:r>
        <w:rPr>
          <w:rFonts w:ascii="宋体" w:hAnsi="宋体" w:cs="Arial"/>
          <w:bCs/>
          <w:color w:val="auto"/>
          <w:szCs w:val="21"/>
        </w:rPr>
        <w:t>3</w:t>
      </w:r>
      <w:r>
        <w:rPr>
          <w:rFonts w:hint="eastAsia" w:ascii="宋体" w:hAnsi="宋体" w:cs="Arial"/>
          <w:bCs/>
          <w:color w:val="auto"/>
          <w:szCs w:val="21"/>
        </w:rPr>
        <w:t>.1投标人提供明确的服务响应体系（包含但不限于维修人员、应急设备等）和服务响应时间、方式，满足</w:t>
      </w:r>
      <w:r>
        <w:rPr>
          <w:rFonts w:hint="eastAsia" w:ascii="宋体" w:hAnsi="宋体" w:cs="Arial"/>
          <w:bCs/>
          <w:color w:val="auto"/>
          <w:szCs w:val="21"/>
          <w:lang w:val="en-US" w:eastAsia="zh-CN"/>
        </w:rPr>
        <w:t>或优于</w:t>
      </w:r>
      <w:r>
        <w:rPr>
          <w:rFonts w:hint="eastAsia" w:ascii="宋体" w:hAnsi="宋体" w:cs="Arial"/>
          <w:bCs/>
          <w:color w:val="auto"/>
          <w:szCs w:val="21"/>
        </w:rPr>
        <w:t>本项目服务要求的得</w:t>
      </w:r>
      <w:r>
        <w:rPr>
          <w:rFonts w:hint="eastAsia" w:ascii="宋体" w:hAnsi="宋体" w:cs="Arial"/>
          <w:bCs/>
          <w:color w:val="auto"/>
          <w:szCs w:val="21"/>
          <w:lang w:val="en-US" w:eastAsia="zh-CN"/>
        </w:rPr>
        <w:t>5</w:t>
      </w:r>
      <w:r>
        <w:rPr>
          <w:rFonts w:hint="eastAsia" w:ascii="宋体" w:hAnsi="宋体" w:cs="Arial"/>
          <w:bCs/>
          <w:color w:val="auto"/>
          <w:szCs w:val="21"/>
        </w:rPr>
        <w:t>分。</w:t>
      </w:r>
    </w:p>
    <w:p w14:paraId="5EF83E05">
      <w:pPr>
        <w:spacing w:line="446" w:lineRule="exact"/>
        <w:ind w:firstLine="284" w:firstLineChars="0"/>
        <w:rPr>
          <w:rFonts w:hint="eastAsia" w:ascii="宋体" w:hAnsi="宋体" w:eastAsia="宋体" w:cs="Arial"/>
          <w:bCs/>
          <w:color w:val="auto"/>
          <w:szCs w:val="21"/>
          <w:lang w:val="en-US" w:eastAsia="zh-CN"/>
        </w:rPr>
      </w:pPr>
      <w:r>
        <w:rPr>
          <w:rFonts w:hint="eastAsia" w:ascii="宋体" w:hAnsi="宋体" w:cs="Arial"/>
          <w:bCs/>
          <w:color w:val="auto"/>
          <w:szCs w:val="21"/>
        </w:rPr>
        <w:t>1.3.2投标人为本项目投入服务人员满足项目需求基础上，每增加1人得</w:t>
      </w:r>
      <w:r>
        <w:rPr>
          <w:rFonts w:ascii="宋体" w:hAnsi="宋体" w:cs="Arial"/>
          <w:bCs/>
          <w:color w:val="auto"/>
          <w:szCs w:val="21"/>
        </w:rPr>
        <w:t>1</w:t>
      </w:r>
      <w:r>
        <w:rPr>
          <w:rFonts w:hint="eastAsia" w:ascii="宋体" w:hAnsi="宋体" w:cs="Arial"/>
          <w:bCs/>
          <w:color w:val="auto"/>
          <w:szCs w:val="21"/>
        </w:rPr>
        <w:t>分，满分</w:t>
      </w:r>
      <w:r>
        <w:rPr>
          <w:rFonts w:hint="eastAsia" w:ascii="宋体" w:hAnsi="宋体" w:cs="Arial"/>
          <w:bCs/>
          <w:color w:val="auto"/>
          <w:szCs w:val="21"/>
          <w:lang w:val="en-US" w:eastAsia="zh-CN"/>
        </w:rPr>
        <w:t>6</w:t>
      </w:r>
      <w:r>
        <w:rPr>
          <w:rFonts w:hint="eastAsia" w:ascii="宋体" w:hAnsi="宋体" w:cs="Arial"/>
          <w:bCs/>
          <w:color w:val="auto"/>
          <w:szCs w:val="21"/>
        </w:rPr>
        <w:t>分。（须提供服务人员清单）</w:t>
      </w:r>
    </w:p>
    <w:p w14:paraId="675471B7">
      <w:pPr>
        <w:spacing w:line="446" w:lineRule="exact"/>
        <w:ind w:firstLine="284" w:firstLineChars="0"/>
        <w:rPr>
          <w:rFonts w:hint="eastAsia" w:ascii="宋体" w:hAnsi="宋体" w:eastAsia="宋体" w:cs="Arial"/>
          <w:bCs/>
          <w:color w:val="auto"/>
          <w:szCs w:val="21"/>
          <w:lang w:val="en-US" w:eastAsia="zh-CN"/>
        </w:rPr>
      </w:pPr>
      <w:r>
        <w:rPr>
          <w:rFonts w:hint="eastAsia" w:ascii="宋体" w:hAnsi="宋体" w:cs="Arial"/>
          <w:bCs/>
          <w:color w:val="auto"/>
          <w:szCs w:val="21"/>
          <w:lang w:val="en-US" w:eastAsia="zh-CN"/>
        </w:rPr>
        <w:t>1.3.3</w:t>
      </w:r>
      <w:r>
        <w:rPr>
          <w:rFonts w:hint="eastAsia" w:ascii="宋体" w:hAnsi="宋体" w:cs="Arial"/>
          <w:bCs/>
          <w:color w:val="auto"/>
          <w:szCs w:val="21"/>
        </w:rPr>
        <w:t>投标人为本项目投入服务人员</w:t>
      </w:r>
      <w:r>
        <w:rPr>
          <w:rFonts w:hint="eastAsia" w:ascii="宋体" w:hAnsi="宋体" w:cs="Arial"/>
          <w:bCs/>
          <w:color w:val="auto"/>
          <w:szCs w:val="21"/>
          <w:lang w:val="en-US" w:eastAsia="zh-CN"/>
        </w:rPr>
        <w:t>能力</w:t>
      </w:r>
      <w:r>
        <w:rPr>
          <w:rFonts w:hint="eastAsia" w:ascii="宋体" w:hAnsi="宋体" w:cs="宋体"/>
          <w:color w:val="auto"/>
          <w:kern w:val="0"/>
          <w:szCs w:val="21"/>
          <w:highlight w:val="none"/>
          <w:lang w:bidi="ar"/>
        </w:rPr>
        <w:t>配备情况</w:t>
      </w:r>
      <w:r>
        <w:rPr>
          <w:rFonts w:hint="eastAsia" w:ascii="宋体" w:hAnsi="宋体" w:cs="宋体"/>
          <w:color w:val="auto"/>
          <w:kern w:val="0"/>
          <w:szCs w:val="21"/>
          <w:highlight w:val="none"/>
          <w:lang w:val="en-US" w:eastAsia="zh-CN" w:bidi="ar"/>
        </w:rPr>
        <w:t>分，满分10分：</w:t>
      </w:r>
    </w:p>
    <w:p w14:paraId="06F337F5">
      <w:pPr>
        <w:spacing w:line="446" w:lineRule="exact"/>
        <w:ind w:firstLine="284" w:firstLineChars="0"/>
        <w:rPr>
          <w:rFonts w:hint="default" w:ascii="宋体" w:hAnsi="宋体" w:cs="Arial"/>
          <w:bCs/>
          <w:color w:val="auto"/>
          <w:szCs w:val="21"/>
          <w:lang w:val="en-US" w:eastAsia="zh-CN"/>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项目负责人1人（最高4分）</w:t>
      </w:r>
    </w:p>
    <w:p w14:paraId="766D1A40">
      <w:pPr>
        <w:widowControl/>
        <w:spacing w:line="288" w:lineRule="auto"/>
        <w:ind w:firstLine="420" w:firstLineChars="200"/>
        <w:textAlignment w:val="center"/>
        <w:rPr>
          <w:rFonts w:hint="eastAsia"/>
          <w:color w:val="auto"/>
        </w:rPr>
      </w:pPr>
      <w:r>
        <w:rPr>
          <w:rFonts w:hint="eastAsia"/>
          <w:color w:val="auto"/>
          <w:lang w:val="en-US" w:eastAsia="zh-CN"/>
        </w:rPr>
        <w:t>①</w:t>
      </w:r>
      <w:r>
        <w:rPr>
          <w:rFonts w:hint="eastAsia"/>
          <w:color w:val="auto"/>
        </w:rPr>
        <w:t>具备</w:t>
      </w:r>
      <w:r>
        <w:rPr>
          <w:rFonts w:hint="eastAsia"/>
          <w:color w:val="auto"/>
          <w:lang w:val="en-US" w:eastAsia="zh-CN"/>
        </w:rPr>
        <w:t>国家行政部门颁发</w:t>
      </w:r>
      <w:r>
        <w:rPr>
          <w:rFonts w:hint="eastAsia"/>
          <w:color w:val="auto"/>
          <w:lang w:eastAsia="zh-CN"/>
        </w:rPr>
        <w:t>的</w:t>
      </w:r>
      <w:r>
        <w:rPr>
          <w:rFonts w:hint="eastAsia"/>
          <w:color w:val="auto"/>
        </w:rPr>
        <w:t>信息系统项目管理师证书</w:t>
      </w:r>
      <w:r>
        <w:rPr>
          <w:rFonts w:hint="eastAsia"/>
          <w:color w:val="auto"/>
          <w:lang w:val="en-US" w:eastAsia="zh-CN"/>
        </w:rPr>
        <w:t>的</w:t>
      </w:r>
      <w:r>
        <w:rPr>
          <w:rFonts w:hint="eastAsia"/>
          <w:color w:val="auto"/>
        </w:rPr>
        <w:t>，得1分；</w:t>
      </w:r>
    </w:p>
    <w:p w14:paraId="470D2F39">
      <w:pPr>
        <w:widowControl/>
        <w:spacing w:line="288" w:lineRule="auto"/>
        <w:ind w:firstLine="420" w:firstLineChars="200"/>
        <w:textAlignment w:val="center"/>
        <w:rPr>
          <w:rFonts w:hint="eastAsia"/>
          <w:color w:val="auto"/>
        </w:rPr>
      </w:pPr>
      <w:r>
        <w:rPr>
          <w:rFonts w:hint="eastAsia"/>
          <w:color w:val="auto"/>
          <w:lang w:val="en-US" w:eastAsia="zh-CN"/>
        </w:rPr>
        <w:t>②</w:t>
      </w:r>
      <w:r>
        <w:rPr>
          <w:rFonts w:hint="eastAsia"/>
          <w:color w:val="auto"/>
        </w:rPr>
        <w:t>具备</w:t>
      </w:r>
      <w:r>
        <w:rPr>
          <w:rFonts w:hint="eastAsia"/>
          <w:color w:val="auto"/>
          <w:lang w:val="en-US" w:eastAsia="zh-CN"/>
        </w:rPr>
        <w:t>国家行政部门颁发</w:t>
      </w:r>
      <w:r>
        <w:rPr>
          <w:rFonts w:hint="eastAsia"/>
          <w:color w:val="auto"/>
          <w:lang w:eastAsia="zh-CN"/>
        </w:rPr>
        <w:t>的</w:t>
      </w:r>
      <w:r>
        <w:rPr>
          <w:rFonts w:hint="eastAsia"/>
          <w:color w:val="auto"/>
        </w:rPr>
        <w:t>系统架构设计师证书的，</w:t>
      </w:r>
      <w:r>
        <w:rPr>
          <w:rFonts w:hint="eastAsia"/>
          <w:color w:val="auto"/>
          <w:lang w:val="en-US" w:eastAsia="zh-CN"/>
        </w:rPr>
        <w:t>的</w:t>
      </w:r>
      <w:r>
        <w:rPr>
          <w:rFonts w:hint="eastAsia"/>
          <w:color w:val="auto"/>
        </w:rPr>
        <w:t>1分；</w:t>
      </w:r>
    </w:p>
    <w:p w14:paraId="55130A66">
      <w:pPr>
        <w:widowControl/>
        <w:spacing w:line="288" w:lineRule="auto"/>
        <w:ind w:firstLine="420" w:firstLineChars="200"/>
        <w:textAlignment w:val="center"/>
        <w:rPr>
          <w:rFonts w:hint="eastAsia"/>
          <w:color w:val="auto"/>
        </w:rPr>
      </w:pPr>
      <w:r>
        <w:rPr>
          <w:rFonts w:hint="eastAsia"/>
          <w:color w:val="auto"/>
          <w:lang w:val="en-US" w:eastAsia="zh-CN"/>
        </w:rPr>
        <w:t>③</w:t>
      </w:r>
      <w:r>
        <w:rPr>
          <w:rFonts w:hint="eastAsia"/>
          <w:color w:val="auto"/>
        </w:rPr>
        <w:t>具备</w:t>
      </w:r>
      <w:r>
        <w:rPr>
          <w:rFonts w:hint="eastAsia"/>
          <w:color w:val="auto"/>
          <w:lang w:val="en-US" w:eastAsia="zh-CN"/>
        </w:rPr>
        <w:t>国家行政部门</w:t>
      </w:r>
      <w:r>
        <w:rPr>
          <w:rFonts w:hint="eastAsia"/>
          <w:color w:val="auto"/>
        </w:rPr>
        <w:t>颁发</w:t>
      </w:r>
      <w:r>
        <w:rPr>
          <w:rFonts w:hint="eastAsia"/>
          <w:color w:val="auto"/>
          <w:lang w:eastAsia="zh-CN"/>
        </w:rPr>
        <w:t>的</w:t>
      </w:r>
      <w:r>
        <w:rPr>
          <w:rFonts w:hint="eastAsia"/>
          <w:color w:val="auto"/>
        </w:rPr>
        <w:t>系统分析师证书</w:t>
      </w:r>
      <w:r>
        <w:rPr>
          <w:rFonts w:hint="eastAsia"/>
          <w:color w:val="auto"/>
          <w:lang w:eastAsia="zh-CN"/>
        </w:rPr>
        <w:t>的</w:t>
      </w:r>
      <w:r>
        <w:rPr>
          <w:rFonts w:hint="eastAsia"/>
          <w:color w:val="auto"/>
        </w:rPr>
        <w:t>，得1分。</w:t>
      </w:r>
    </w:p>
    <w:p w14:paraId="70BDCA20">
      <w:pPr>
        <w:widowControl/>
        <w:spacing w:line="288" w:lineRule="auto"/>
        <w:ind w:firstLine="420" w:firstLineChars="200"/>
        <w:textAlignment w:val="center"/>
        <w:rPr>
          <w:rFonts w:hint="eastAsia"/>
          <w:color w:val="auto"/>
        </w:rPr>
      </w:pPr>
      <w:r>
        <w:rPr>
          <w:rFonts w:hint="eastAsia"/>
          <w:color w:val="auto"/>
          <w:lang w:val="en-US" w:eastAsia="zh-CN"/>
        </w:rPr>
        <w:t>④</w:t>
      </w:r>
      <w:r>
        <w:rPr>
          <w:rFonts w:hint="eastAsia"/>
          <w:color w:val="auto"/>
        </w:rPr>
        <w:t>具备</w:t>
      </w:r>
      <w:r>
        <w:rPr>
          <w:rFonts w:hint="eastAsia"/>
          <w:color w:val="auto"/>
          <w:lang w:val="en-US" w:eastAsia="zh-CN"/>
        </w:rPr>
        <w:t>国家行政部门</w:t>
      </w:r>
      <w:r>
        <w:rPr>
          <w:rFonts w:hint="eastAsia"/>
          <w:color w:val="auto"/>
        </w:rPr>
        <w:t>颁发的计算机类、通信类专业</w:t>
      </w:r>
      <w:r>
        <w:rPr>
          <w:rFonts w:hint="eastAsia"/>
          <w:color w:val="auto"/>
          <w:lang w:val="en-US" w:eastAsia="zh-CN"/>
        </w:rPr>
        <w:t>初级</w:t>
      </w:r>
      <w:r>
        <w:rPr>
          <w:rFonts w:hint="eastAsia"/>
          <w:color w:val="auto"/>
        </w:rPr>
        <w:t>工程师职称证书的，</w:t>
      </w:r>
      <w:r>
        <w:rPr>
          <w:rFonts w:hint="eastAsia"/>
          <w:color w:val="auto"/>
          <w:lang w:val="en-US" w:eastAsia="zh-CN"/>
        </w:rPr>
        <w:t>得0.2分；</w:t>
      </w:r>
      <w:r>
        <w:rPr>
          <w:rFonts w:hint="eastAsia"/>
          <w:color w:val="auto"/>
        </w:rPr>
        <w:t>具备</w:t>
      </w:r>
      <w:r>
        <w:rPr>
          <w:rFonts w:hint="eastAsia"/>
          <w:color w:val="auto"/>
          <w:lang w:val="en-US" w:eastAsia="zh-CN"/>
        </w:rPr>
        <w:t>国家行政部门</w:t>
      </w:r>
      <w:r>
        <w:rPr>
          <w:rFonts w:hint="eastAsia"/>
          <w:color w:val="auto"/>
        </w:rPr>
        <w:t>颁发的计算机类、通信类专业</w:t>
      </w:r>
      <w:r>
        <w:rPr>
          <w:rFonts w:hint="eastAsia"/>
          <w:color w:val="auto"/>
          <w:lang w:val="en-US" w:eastAsia="zh-CN"/>
        </w:rPr>
        <w:t>中级</w:t>
      </w:r>
      <w:r>
        <w:rPr>
          <w:rFonts w:hint="eastAsia"/>
          <w:color w:val="auto"/>
        </w:rPr>
        <w:t>工程师职称证书的，</w:t>
      </w:r>
      <w:r>
        <w:rPr>
          <w:rFonts w:hint="eastAsia"/>
          <w:color w:val="auto"/>
          <w:lang w:val="en-US" w:eastAsia="zh-CN"/>
        </w:rPr>
        <w:t>得0.5分；</w:t>
      </w:r>
      <w:r>
        <w:rPr>
          <w:rFonts w:hint="eastAsia"/>
          <w:color w:val="auto"/>
        </w:rPr>
        <w:t>具备</w:t>
      </w:r>
      <w:r>
        <w:rPr>
          <w:rFonts w:hint="eastAsia"/>
          <w:color w:val="auto"/>
          <w:lang w:val="en-US" w:eastAsia="zh-CN"/>
        </w:rPr>
        <w:t>国家行政部门</w:t>
      </w:r>
      <w:r>
        <w:rPr>
          <w:rFonts w:hint="eastAsia"/>
          <w:color w:val="auto"/>
        </w:rPr>
        <w:t>颁发的计算机类、通信类专业</w:t>
      </w:r>
      <w:r>
        <w:rPr>
          <w:rFonts w:hint="eastAsia"/>
          <w:color w:val="auto"/>
          <w:lang w:val="en-US" w:eastAsia="zh-CN"/>
        </w:rPr>
        <w:t>高级</w:t>
      </w:r>
      <w:r>
        <w:rPr>
          <w:rFonts w:hint="eastAsia"/>
          <w:color w:val="auto"/>
        </w:rPr>
        <w:t>工程师职称证书的，</w:t>
      </w:r>
      <w:r>
        <w:rPr>
          <w:rFonts w:hint="eastAsia"/>
          <w:color w:val="auto"/>
          <w:lang w:val="en-US" w:eastAsia="zh-CN"/>
        </w:rPr>
        <w:t>得1分。</w:t>
      </w:r>
    </w:p>
    <w:p w14:paraId="56F4D6A2">
      <w:pPr>
        <w:widowControl/>
        <w:spacing w:line="288" w:lineRule="auto"/>
        <w:ind w:firstLine="420" w:firstLineChars="200"/>
        <w:textAlignment w:val="center"/>
        <w:rPr>
          <w:rFonts w:hint="eastAsia"/>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项目经理1人（最高2分）</w:t>
      </w:r>
    </w:p>
    <w:p w14:paraId="3BA78A7E">
      <w:pPr>
        <w:widowControl/>
        <w:spacing w:line="288" w:lineRule="auto"/>
        <w:ind w:firstLine="420" w:firstLineChars="200"/>
        <w:textAlignment w:val="center"/>
        <w:rPr>
          <w:rFonts w:hint="eastAsia"/>
          <w:color w:val="auto"/>
        </w:rPr>
      </w:pPr>
      <w:r>
        <w:rPr>
          <w:rFonts w:hint="eastAsia"/>
          <w:color w:val="auto"/>
          <w:lang w:val="en-US" w:eastAsia="zh-CN"/>
        </w:rPr>
        <w:t>①</w:t>
      </w:r>
      <w:r>
        <w:rPr>
          <w:rFonts w:hint="eastAsia"/>
          <w:color w:val="auto"/>
        </w:rPr>
        <w:t>具备</w:t>
      </w:r>
      <w:r>
        <w:rPr>
          <w:rFonts w:hint="eastAsia"/>
          <w:color w:val="auto"/>
          <w:lang w:val="en-US" w:eastAsia="zh-CN"/>
        </w:rPr>
        <w:t>国家行政部门</w:t>
      </w:r>
      <w:r>
        <w:rPr>
          <w:rFonts w:hint="eastAsia"/>
          <w:color w:val="auto"/>
        </w:rPr>
        <w:t>颁发信息系统项目管理师证书</w:t>
      </w:r>
      <w:r>
        <w:rPr>
          <w:rFonts w:hint="eastAsia"/>
          <w:color w:val="auto"/>
          <w:lang w:val="en-US" w:eastAsia="zh-CN"/>
        </w:rPr>
        <w:t>的</w:t>
      </w:r>
      <w:r>
        <w:rPr>
          <w:rFonts w:hint="eastAsia"/>
          <w:color w:val="auto"/>
        </w:rPr>
        <w:t>，得1分；</w:t>
      </w:r>
    </w:p>
    <w:p w14:paraId="4C9C1D00">
      <w:pPr>
        <w:widowControl/>
        <w:spacing w:line="288" w:lineRule="auto"/>
        <w:ind w:firstLine="420" w:firstLineChars="200"/>
        <w:textAlignment w:val="center"/>
        <w:rPr>
          <w:rFonts w:hint="eastAsia"/>
          <w:color w:val="auto"/>
        </w:rPr>
      </w:pPr>
      <w:r>
        <w:rPr>
          <w:rFonts w:hint="eastAsia"/>
          <w:color w:val="auto"/>
          <w:lang w:val="en-US" w:eastAsia="zh-CN"/>
        </w:rPr>
        <w:t>②</w:t>
      </w:r>
      <w:r>
        <w:rPr>
          <w:rFonts w:hint="eastAsia"/>
          <w:color w:val="auto"/>
        </w:rPr>
        <w:t>具备</w:t>
      </w:r>
      <w:r>
        <w:rPr>
          <w:rFonts w:hint="eastAsia"/>
          <w:color w:val="auto"/>
          <w:lang w:val="en-US" w:eastAsia="zh-CN"/>
        </w:rPr>
        <w:t>国家行政部门</w:t>
      </w:r>
      <w:r>
        <w:rPr>
          <w:rFonts w:hint="eastAsia"/>
          <w:color w:val="auto"/>
        </w:rPr>
        <w:t>颁发的计算机类、通信类专业</w:t>
      </w:r>
      <w:r>
        <w:rPr>
          <w:rFonts w:hint="eastAsia"/>
          <w:color w:val="auto"/>
          <w:lang w:val="en-US" w:eastAsia="zh-CN"/>
        </w:rPr>
        <w:t>初级</w:t>
      </w:r>
      <w:r>
        <w:rPr>
          <w:rFonts w:hint="eastAsia"/>
          <w:color w:val="auto"/>
        </w:rPr>
        <w:t>工程师职称证书的，</w:t>
      </w:r>
      <w:r>
        <w:rPr>
          <w:rFonts w:hint="eastAsia"/>
          <w:color w:val="auto"/>
          <w:lang w:val="en-US" w:eastAsia="zh-CN"/>
        </w:rPr>
        <w:t>得0.2分；</w:t>
      </w:r>
      <w:r>
        <w:rPr>
          <w:rFonts w:hint="eastAsia"/>
          <w:color w:val="auto"/>
        </w:rPr>
        <w:t>具备</w:t>
      </w:r>
      <w:r>
        <w:rPr>
          <w:rFonts w:hint="eastAsia"/>
          <w:color w:val="auto"/>
          <w:lang w:val="en-US" w:eastAsia="zh-CN"/>
        </w:rPr>
        <w:t>国家行政部门</w:t>
      </w:r>
      <w:r>
        <w:rPr>
          <w:rFonts w:hint="eastAsia"/>
          <w:color w:val="auto"/>
        </w:rPr>
        <w:t>颁发的计算机类、通信类专业</w:t>
      </w:r>
      <w:r>
        <w:rPr>
          <w:rFonts w:hint="eastAsia"/>
          <w:color w:val="auto"/>
          <w:lang w:val="en-US" w:eastAsia="zh-CN"/>
        </w:rPr>
        <w:t>中级</w:t>
      </w:r>
      <w:r>
        <w:rPr>
          <w:rFonts w:hint="eastAsia"/>
          <w:color w:val="auto"/>
        </w:rPr>
        <w:t>工程师职称证书的，</w:t>
      </w:r>
      <w:r>
        <w:rPr>
          <w:rFonts w:hint="eastAsia"/>
          <w:color w:val="auto"/>
          <w:lang w:val="en-US" w:eastAsia="zh-CN"/>
        </w:rPr>
        <w:t>得0.5分；</w:t>
      </w:r>
      <w:r>
        <w:rPr>
          <w:rFonts w:hint="eastAsia"/>
          <w:color w:val="auto"/>
        </w:rPr>
        <w:t>具备</w:t>
      </w:r>
      <w:r>
        <w:rPr>
          <w:rFonts w:hint="eastAsia"/>
          <w:color w:val="auto"/>
          <w:lang w:val="en-US" w:eastAsia="zh-CN"/>
        </w:rPr>
        <w:t>国家行政部门</w:t>
      </w:r>
      <w:r>
        <w:rPr>
          <w:rFonts w:hint="eastAsia"/>
          <w:color w:val="auto"/>
        </w:rPr>
        <w:t>颁发的计算机类、通信类专业</w:t>
      </w:r>
      <w:r>
        <w:rPr>
          <w:rFonts w:hint="eastAsia"/>
          <w:color w:val="auto"/>
          <w:lang w:val="en-US" w:eastAsia="zh-CN"/>
        </w:rPr>
        <w:t>高级</w:t>
      </w:r>
      <w:r>
        <w:rPr>
          <w:rFonts w:hint="eastAsia"/>
          <w:color w:val="auto"/>
        </w:rPr>
        <w:t>工程师职称证书的，</w:t>
      </w:r>
      <w:r>
        <w:rPr>
          <w:rFonts w:hint="eastAsia"/>
          <w:color w:val="auto"/>
          <w:lang w:val="en-US" w:eastAsia="zh-CN"/>
        </w:rPr>
        <w:t>得1分。</w:t>
      </w:r>
    </w:p>
    <w:p w14:paraId="710AD928">
      <w:pPr>
        <w:widowControl/>
        <w:spacing w:line="288" w:lineRule="auto"/>
        <w:ind w:firstLine="420" w:firstLineChars="200"/>
        <w:textAlignment w:val="center"/>
        <w:rPr>
          <w:rFonts w:hint="eastAsia"/>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rPr>
        <w:t>技术负责人1人（最高2分）</w:t>
      </w:r>
    </w:p>
    <w:p w14:paraId="34E468B5">
      <w:pPr>
        <w:widowControl/>
        <w:spacing w:line="288" w:lineRule="auto"/>
        <w:ind w:firstLine="420" w:firstLineChars="200"/>
        <w:textAlignment w:val="center"/>
        <w:rPr>
          <w:rFonts w:hint="eastAsia"/>
          <w:color w:val="auto"/>
        </w:rPr>
      </w:pPr>
      <w:r>
        <w:rPr>
          <w:rFonts w:hint="eastAsia"/>
          <w:color w:val="auto"/>
          <w:lang w:val="en-US" w:eastAsia="zh-CN"/>
        </w:rPr>
        <w:t>①</w:t>
      </w:r>
      <w:r>
        <w:rPr>
          <w:rFonts w:hint="eastAsia"/>
          <w:color w:val="auto"/>
        </w:rPr>
        <w:t>具备</w:t>
      </w:r>
      <w:r>
        <w:rPr>
          <w:rFonts w:hint="eastAsia"/>
          <w:color w:val="auto"/>
          <w:lang w:val="en-US" w:eastAsia="zh-CN"/>
        </w:rPr>
        <w:t>国家行政部门颁发的</w:t>
      </w:r>
      <w:r>
        <w:rPr>
          <w:rFonts w:hint="eastAsia"/>
          <w:color w:val="auto"/>
        </w:rPr>
        <w:t>信息系统项目管理师证书</w:t>
      </w:r>
      <w:r>
        <w:rPr>
          <w:rFonts w:hint="eastAsia"/>
          <w:color w:val="auto"/>
          <w:lang w:val="en-US" w:eastAsia="zh-CN"/>
        </w:rPr>
        <w:t>的</w:t>
      </w:r>
      <w:r>
        <w:rPr>
          <w:rFonts w:hint="eastAsia"/>
          <w:color w:val="auto"/>
        </w:rPr>
        <w:t>，得1分；</w:t>
      </w:r>
    </w:p>
    <w:p w14:paraId="67168961">
      <w:pPr>
        <w:widowControl/>
        <w:spacing w:line="288" w:lineRule="auto"/>
        <w:ind w:firstLine="420" w:firstLineChars="200"/>
        <w:textAlignment w:val="center"/>
        <w:rPr>
          <w:rFonts w:hint="eastAsia"/>
          <w:color w:val="auto"/>
        </w:rPr>
      </w:pPr>
      <w:r>
        <w:rPr>
          <w:rFonts w:hint="eastAsia"/>
          <w:color w:val="auto"/>
          <w:lang w:val="en-US" w:eastAsia="zh-CN"/>
        </w:rPr>
        <w:t>②</w:t>
      </w:r>
      <w:r>
        <w:rPr>
          <w:rFonts w:hint="eastAsia"/>
          <w:color w:val="auto"/>
        </w:rPr>
        <w:t>具备中国信息安全测评中心</w:t>
      </w:r>
      <w:r>
        <w:rPr>
          <w:rFonts w:hint="eastAsia"/>
          <w:color w:val="auto"/>
          <w:lang w:val="en-US" w:eastAsia="zh-CN"/>
        </w:rPr>
        <w:t>颁发的</w:t>
      </w:r>
      <w:r>
        <w:rPr>
          <w:rFonts w:hint="eastAsia"/>
          <w:color w:val="auto"/>
        </w:rPr>
        <w:t>注册信息安全工程师证书的，得1分。</w:t>
      </w:r>
    </w:p>
    <w:p w14:paraId="093FE2AD">
      <w:pPr>
        <w:widowControl/>
        <w:spacing w:line="288" w:lineRule="auto"/>
        <w:ind w:firstLine="420" w:firstLineChars="200"/>
        <w:textAlignment w:val="center"/>
        <w:rPr>
          <w:rFonts w:hint="eastAsia"/>
          <w:color w:val="auto"/>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rPr>
        <w:t>售后服务经理1人（最高</w:t>
      </w:r>
      <w:r>
        <w:rPr>
          <w:rFonts w:hint="eastAsia"/>
          <w:color w:val="auto"/>
          <w:lang w:val="en-US" w:eastAsia="zh-CN"/>
        </w:rPr>
        <w:t>2</w:t>
      </w:r>
      <w:r>
        <w:rPr>
          <w:rFonts w:hint="eastAsia"/>
          <w:color w:val="auto"/>
        </w:rPr>
        <w:t>分）</w:t>
      </w:r>
    </w:p>
    <w:p w14:paraId="62C9A737">
      <w:pPr>
        <w:widowControl/>
        <w:spacing w:line="288" w:lineRule="auto"/>
        <w:ind w:firstLine="420" w:firstLineChars="200"/>
        <w:textAlignment w:val="center"/>
        <w:rPr>
          <w:rFonts w:hint="eastAsia"/>
          <w:color w:val="auto"/>
        </w:rPr>
      </w:pPr>
      <w:r>
        <w:rPr>
          <w:rFonts w:hint="eastAsia"/>
          <w:color w:val="auto"/>
          <w:lang w:val="en-US" w:eastAsia="zh-CN"/>
        </w:rPr>
        <w:t>①</w:t>
      </w:r>
      <w:r>
        <w:rPr>
          <w:rFonts w:hint="eastAsia"/>
          <w:color w:val="auto"/>
        </w:rPr>
        <w:t>具备</w:t>
      </w:r>
      <w:r>
        <w:rPr>
          <w:rFonts w:hint="eastAsia"/>
          <w:color w:val="auto"/>
          <w:lang w:val="en-US" w:eastAsia="zh-CN"/>
        </w:rPr>
        <w:t>国家行政部门颁发的</w:t>
      </w:r>
      <w:r>
        <w:rPr>
          <w:rFonts w:hint="eastAsia"/>
          <w:color w:val="auto"/>
        </w:rPr>
        <w:t>信息系统项目管理师证书</w:t>
      </w:r>
      <w:r>
        <w:rPr>
          <w:rFonts w:hint="eastAsia"/>
          <w:color w:val="auto"/>
          <w:lang w:val="en-US" w:eastAsia="zh-CN"/>
        </w:rPr>
        <w:t>的</w:t>
      </w:r>
      <w:r>
        <w:rPr>
          <w:rFonts w:hint="eastAsia"/>
          <w:color w:val="auto"/>
        </w:rPr>
        <w:t>，得1分；</w:t>
      </w:r>
    </w:p>
    <w:p w14:paraId="1159547D">
      <w:pPr>
        <w:widowControl/>
        <w:spacing w:line="288" w:lineRule="auto"/>
        <w:ind w:firstLine="420" w:firstLineChars="200"/>
        <w:textAlignment w:val="center"/>
        <w:rPr>
          <w:rFonts w:hint="eastAsia"/>
          <w:color w:val="auto"/>
        </w:rPr>
      </w:pPr>
      <w:r>
        <w:rPr>
          <w:rFonts w:hint="eastAsia"/>
          <w:color w:val="auto"/>
          <w:lang w:val="en-US" w:eastAsia="zh-CN"/>
        </w:rPr>
        <w:t>②</w:t>
      </w:r>
      <w:r>
        <w:rPr>
          <w:rFonts w:hint="eastAsia"/>
          <w:color w:val="auto"/>
        </w:rPr>
        <w:t>具备</w:t>
      </w:r>
      <w:r>
        <w:rPr>
          <w:rFonts w:hint="eastAsia"/>
          <w:color w:val="auto"/>
          <w:lang w:val="en-US" w:eastAsia="zh-CN"/>
        </w:rPr>
        <w:t>国家行政部门颁发的</w:t>
      </w:r>
      <w:r>
        <w:rPr>
          <w:rFonts w:hint="eastAsia"/>
          <w:color w:val="auto"/>
        </w:rPr>
        <w:t>系统规划与管理证书（高级）的，得1分；</w:t>
      </w:r>
    </w:p>
    <w:p w14:paraId="16A7AB7B">
      <w:pPr>
        <w:spacing w:line="446" w:lineRule="exact"/>
        <w:ind w:firstLine="284" w:firstLineChars="0"/>
        <w:rPr>
          <w:rFonts w:hint="eastAsia" w:ascii="宋体" w:hAnsi="宋体" w:cs="Arial"/>
          <w:bCs/>
          <w:color w:val="auto"/>
          <w:szCs w:val="21"/>
        </w:rPr>
      </w:pPr>
      <w:r>
        <w:rPr>
          <w:rFonts w:hint="eastAsia" w:ascii="宋体" w:hAnsi="宋体" w:cs="Arial"/>
          <w:bCs/>
          <w:color w:val="auto"/>
          <w:szCs w:val="21"/>
        </w:rPr>
        <w:t>1.</w:t>
      </w:r>
      <w:r>
        <w:rPr>
          <w:rFonts w:ascii="宋体" w:hAnsi="宋体" w:cs="Arial"/>
          <w:bCs/>
          <w:color w:val="auto"/>
          <w:szCs w:val="21"/>
        </w:rPr>
        <w:t>3.</w:t>
      </w:r>
      <w:r>
        <w:rPr>
          <w:rFonts w:hint="eastAsia" w:ascii="宋体" w:hAnsi="宋体" w:cs="Arial"/>
          <w:bCs/>
          <w:color w:val="auto"/>
          <w:szCs w:val="21"/>
        </w:rPr>
        <w:t>4投标人为本项目投入运行维护服务车辆在满足项目需求基础上，每增加1辆得</w:t>
      </w:r>
      <w:r>
        <w:rPr>
          <w:rFonts w:ascii="宋体" w:hAnsi="宋体" w:cs="Arial"/>
          <w:bCs/>
          <w:color w:val="auto"/>
          <w:szCs w:val="21"/>
        </w:rPr>
        <w:t>1</w:t>
      </w:r>
      <w:r>
        <w:rPr>
          <w:rFonts w:hint="eastAsia" w:ascii="宋体" w:hAnsi="宋体" w:cs="Arial"/>
          <w:bCs/>
          <w:color w:val="auto"/>
          <w:szCs w:val="21"/>
        </w:rPr>
        <w:t>分，满分</w:t>
      </w:r>
      <w:r>
        <w:rPr>
          <w:rFonts w:hint="eastAsia" w:ascii="宋体" w:hAnsi="宋体" w:cs="Arial"/>
          <w:bCs/>
          <w:color w:val="auto"/>
          <w:szCs w:val="21"/>
          <w:lang w:val="en-US" w:eastAsia="zh-CN"/>
        </w:rPr>
        <w:t>5</w:t>
      </w:r>
      <w:r>
        <w:rPr>
          <w:rFonts w:hint="eastAsia" w:ascii="宋体" w:hAnsi="宋体" w:cs="Arial"/>
          <w:bCs/>
          <w:color w:val="auto"/>
          <w:szCs w:val="21"/>
        </w:rPr>
        <w:t>分。（须提供车辆行驶证扫描件或相关证明）</w:t>
      </w:r>
    </w:p>
    <w:p w14:paraId="262EF2C8">
      <w:pPr>
        <w:spacing w:line="446" w:lineRule="exact"/>
        <w:ind w:firstLine="284" w:firstLineChars="0"/>
        <w:rPr>
          <w:rFonts w:hint="eastAsia" w:ascii="宋体" w:hAnsi="宋体" w:cs="Arial"/>
          <w:bCs/>
          <w:color w:val="auto"/>
          <w:szCs w:val="21"/>
        </w:rPr>
      </w:pPr>
      <w:r>
        <w:rPr>
          <w:rFonts w:hint="eastAsia" w:ascii="宋体" w:hAnsi="宋体" w:cs="Arial"/>
          <w:bCs/>
          <w:color w:val="auto"/>
          <w:szCs w:val="21"/>
        </w:rPr>
        <w:t>1.</w:t>
      </w:r>
      <w:r>
        <w:rPr>
          <w:rFonts w:ascii="宋体" w:hAnsi="宋体" w:cs="Arial"/>
          <w:bCs/>
          <w:color w:val="auto"/>
          <w:szCs w:val="21"/>
        </w:rPr>
        <w:t>3</w:t>
      </w:r>
      <w:r>
        <w:rPr>
          <w:rFonts w:hint="eastAsia" w:ascii="宋体" w:hAnsi="宋体" w:cs="Arial"/>
          <w:bCs/>
          <w:color w:val="auto"/>
          <w:szCs w:val="21"/>
        </w:rPr>
        <w:t>.</w:t>
      </w:r>
      <w:r>
        <w:rPr>
          <w:rFonts w:ascii="宋体" w:hAnsi="宋体" w:cs="Arial"/>
          <w:bCs/>
          <w:color w:val="auto"/>
          <w:szCs w:val="21"/>
        </w:rPr>
        <w:t>5</w:t>
      </w:r>
      <w:r>
        <w:rPr>
          <w:rFonts w:hint="eastAsia" w:ascii="宋体" w:hAnsi="宋体" w:cs="Arial"/>
          <w:bCs/>
          <w:color w:val="auto"/>
          <w:szCs w:val="21"/>
        </w:rPr>
        <w:t>供应商为本项目投</w:t>
      </w:r>
      <w:r>
        <w:rPr>
          <w:rFonts w:hint="eastAsia" w:ascii="宋体" w:hAnsi="宋体" w:cs="Arial"/>
          <w:bCs/>
          <w:color w:val="auto"/>
          <w:szCs w:val="21"/>
          <w:highlight w:val="none"/>
        </w:rPr>
        <w:t>入高空维护作业车1辆、高空作业车驾驶人员1人及高空作业人员1人的得2分；供应商为本项目投入高空维护作业车2辆、高空作业车驾驶人员2人及高空作业人员2人及以上的得4分。（本项满分</w:t>
      </w:r>
      <w:r>
        <w:rPr>
          <w:rFonts w:ascii="宋体" w:hAnsi="宋体" w:cs="Arial"/>
          <w:bCs/>
          <w:color w:val="auto"/>
          <w:szCs w:val="21"/>
          <w:highlight w:val="none"/>
        </w:rPr>
        <w:t>4</w:t>
      </w:r>
      <w:r>
        <w:rPr>
          <w:rFonts w:hint="eastAsia" w:ascii="宋体" w:hAnsi="宋体" w:cs="Arial"/>
          <w:bCs/>
          <w:color w:val="auto"/>
          <w:szCs w:val="21"/>
          <w:highlight w:val="none"/>
        </w:rPr>
        <w:t>分，须提供高空作业车辆</w:t>
      </w:r>
      <w:r>
        <w:rPr>
          <w:rFonts w:hint="eastAsia" w:ascii="宋体" w:hAnsi="宋体" w:cs="Arial"/>
          <w:bCs/>
          <w:color w:val="auto"/>
          <w:szCs w:val="21"/>
          <w:highlight w:val="none"/>
          <w:lang w:eastAsia="zh-CN"/>
        </w:rPr>
        <w:t>的</w:t>
      </w:r>
      <w:r>
        <w:rPr>
          <w:rFonts w:hint="eastAsia" w:ascii="宋体" w:hAnsi="宋体" w:cs="Arial"/>
          <w:bCs/>
          <w:color w:val="auto"/>
          <w:szCs w:val="21"/>
          <w:highlight w:val="none"/>
        </w:rPr>
        <w:t>行驶证、高空作业车驾驶人员</w:t>
      </w:r>
      <w:r>
        <w:rPr>
          <w:rFonts w:hint="eastAsia" w:ascii="宋体" w:hAnsi="宋体" w:cs="Arial"/>
          <w:bCs/>
          <w:color w:val="auto"/>
          <w:szCs w:val="21"/>
          <w:highlight w:val="none"/>
          <w:lang w:eastAsia="zh-CN"/>
        </w:rPr>
        <w:t>的</w:t>
      </w:r>
      <w:r>
        <w:rPr>
          <w:rFonts w:hint="eastAsia" w:ascii="宋体" w:hAnsi="宋体" w:cs="Arial"/>
          <w:bCs/>
          <w:color w:val="auto"/>
          <w:szCs w:val="21"/>
          <w:highlight w:val="none"/>
        </w:rPr>
        <w:t>资质证明复印件及高空</w:t>
      </w:r>
      <w:r>
        <w:rPr>
          <w:rFonts w:hint="eastAsia" w:ascii="宋体" w:hAnsi="宋体" w:cs="Arial"/>
          <w:bCs/>
          <w:color w:val="auto"/>
          <w:szCs w:val="21"/>
        </w:rPr>
        <w:t>作业人员</w:t>
      </w:r>
      <w:r>
        <w:rPr>
          <w:rFonts w:hint="eastAsia" w:ascii="宋体" w:hAnsi="宋体" w:cs="Arial"/>
          <w:bCs/>
          <w:color w:val="auto"/>
          <w:szCs w:val="21"/>
          <w:lang w:eastAsia="zh-CN"/>
        </w:rPr>
        <w:t>的</w:t>
      </w:r>
      <w:r>
        <w:rPr>
          <w:rFonts w:hint="eastAsia" w:ascii="宋体" w:hAnsi="宋体" w:cs="Arial"/>
          <w:bCs/>
          <w:color w:val="auto"/>
          <w:szCs w:val="21"/>
        </w:rPr>
        <w:t>高空作业资质证明扫描件）</w:t>
      </w:r>
    </w:p>
    <w:p w14:paraId="2AC22511">
      <w:pPr>
        <w:spacing w:line="446" w:lineRule="exact"/>
        <w:ind w:firstLine="284" w:firstLineChars="0"/>
        <w:rPr>
          <w:rFonts w:hint="eastAsia"/>
          <w:color w:val="auto"/>
          <w:lang w:eastAsia="zh-CN"/>
        </w:rPr>
      </w:pPr>
      <w:r>
        <w:rPr>
          <w:rFonts w:hint="eastAsia"/>
          <w:color w:val="auto"/>
        </w:rPr>
        <w:t>（项目团队人员不可复用，</w:t>
      </w:r>
      <w:r>
        <w:rPr>
          <w:rFonts w:hint="eastAsia"/>
          <w:color w:val="auto"/>
          <w:lang w:val="en-US" w:eastAsia="zh-CN"/>
        </w:rPr>
        <w:t>若同一岗位提供多人的，只按得分最高的人计算分值，</w:t>
      </w:r>
      <w:r>
        <w:rPr>
          <w:rFonts w:hint="eastAsia"/>
          <w:color w:val="auto"/>
        </w:rPr>
        <w:t>投标文件中提供人员相关证书复印件</w:t>
      </w:r>
      <w:r>
        <w:rPr>
          <w:rFonts w:hint="eastAsia"/>
          <w:color w:val="auto"/>
          <w:lang w:eastAsia="zh-CN"/>
        </w:rPr>
        <w:t>）</w:t>
      </w:r>
    </w:p>
    <w:p w14:paraId="28447B38">
      <w:pPr>
        <w:spacing w:line="446" w:lineRule="exact"/>
        <w:ind w:firstLine="284" w:firstLineChars="0"/>
        <w:rPr>
          <w:rFonts w:hint="eastAsia" w:ascii="宋体" w:hAnsi="宋体" w:cs="宋体"/>
          <w:b/>
          <w:bCs/>
          <w:color w:val="auto"/>
        </w:rPr>
      </w:pPr>
      <w:r>
        <w:rPr>
          <w:rFonts w:ascii="宋体" w:hAnsi="宋体" w:cs="宋体"/>
          <w:b/>
          <w:bCs/>
          <w:color w:val="auto"/>
        </w:rPr>
        <w:t>2.</w:t>
      </w:r>
      <w:r>
        <w:rPr>
          <w:rFonts w:hint="eastAsia" w:ascii="宋体" w:hAnsi="宋体" w:cs="宋体"/>
          <w:b/>
          <w:bCs/>
          <w:color w:val="auto"/>
        </w:rPr>
        <w:t>商务分(</w:t>
      </w:r>
      <w:r>
        <w:rPr>
          <w:rFonts w:hint="eastAsia" w:ascii="宋体" w:hAnsi="宋体" w:cs="宋体"/>
          <w:b/>
          <w:bCs/>
          <w:color w:val="auto"/>
          <w:lang w:val="en-US" w:eastAsia="zh-CN"/>
        </w:rPr>
        <w:t>21</w:t>
      </w:r>
      <w:r>
        <w:rPr>
          <w:rFonts w:hint="eastAsia" w:ascii="宋体" w:hAnsi="宋体" w:cs="宋体"/>
          <w:b/>
          <w:bCs/>
          <w:color w:val="auto"/>
        </w:rPr>
        <w:t>分)</w:t>
      </w:r>
    </w:p>
    <w:p w14:paraId="002042CE">
      <w:pPr>
        <w:spacing w:line="446" w:lineRule="exact"/>
        <w:ind w:firstLine="284"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2.1履约能力分</w:t>
      </w:r>
    </w:p>
    <w:p w14:paraId="1730B1F3">
      <w:pPr>
        <w:spacing w:line="446" w:lineRule="exact"/>
        <w:ind w:firstLine="284" w:firstLineChars="0"/>
        <w:rPr>
          <w:rFonts w:ascii="宋体" w:hAnsi="宋体" w:cs="宋体"/>
          <w:color w:val="auto"/>
          <w:highlight w:val="none"/>
        </w:rPr>
      </w:pPr>
      <w:r>
        <w:rPr>
          <w:rFonts w:ascii="宋体" w:hAnsi="宋体" w:cs="宋体"/>
          <w:color w:val="auto"/>
          <w:highlight w:val="none"/>
        </w:rPr>
        <w:t>2.1</w:t>
      </w:r>
      <w:r>
        <w:rPr>
          <w:rFonts w:hint="eastAsia" w:ascii="宋体" w:hAnsi="宋体" w:cs="宋体"/>
          <w:color w:val="auto"/>
          <w:highlight w:val="none"/>
          <w:lang w:val="en-US" w:eastAsia="zh-CN"/>
        </w:rPr>
        <w:t>.1</w:t>
      </w:r>
      <w:r>
        <w:rPr>
          <w:rFonts w:hint="eastAsia" w:ascii="宋体" w:hAnsi="宋体" w:cs="宋体"/>
          <w:color w:val="auto"/>
          <w:highlight w:val="none"/>
        </w:rPr>
        <w:t>投标人具备质量管理、信息技术服务管理等方面的能力或认证证明，每</w:t>
      </w:r>
      <w:r>
        <w:rPr>
          <w:rFonts w:hint="eastAsia" w:ascii="宋体" w:hAnsi="宋体" w:cs="宋体"/>
          <w:color w:val="auto"/>
          <w:highlight w:val="none"/>
          <w:lang w:val="en-US" w:eastAsia="zh-CN"/>
        </w:rPr>
        <w:t>提供一项</w:t>
      </w:r>
      <w:r>
        <w:rPr>
          <w:rFonts w:hint="eastAsia" w:ascii="宋体" w:hAnsi="宋体" w:cs="宋体"/>
          <w:color w:val="auto"/>
          <w:highlight w:val="none"/>
        </w:rPr>
        <w:t>得2分，</w:t>
      </w:r>
      <w:r>
        <w:rPr>
          <w:rFonts w:hint="eastAsia" w:ascii="宋体" w:hAnsi="宋体" w:cs="宋体"/>
          <w:color w:val="auto"/>
          <w:highlight w:val="none"/>
          <w:lang w:val="en-US" w:eastAsia="zh-CN"/>
        </w:rPr>
        <w:t>本满分</w:t>
      </w:r>
      <w:r>
        <w:rPr>
          <w:rFonts w:hint="eastAsia" w:ascii="宋体" w:hAnsi="宋体" w:cs="宋体"/>
          <w:color w:val="auto"/>
          <w:highlight w:val="none"/>
        </w:rPr>
        <w:t>4分(</w:t>
      </w:r>
      <w:r>
        <w:rPr>
          <w:rFonts w:hint="eastAsia" w:ascii="宋体" w:hAnsi="宋体" w:cs="宋体"/>
          <w:color w:val="auto"/>
          <w:highlight w:val="none"/>
          <w:lang w:eastAsia="zh-CN"/>
        </w:rPr>
        <w:t>认证</w:t>
      </w:r>
      <w:r>
        <w:rPr>
          <w:rFonts w:hint="eastAsia" w:ascii="宋体" w:hAnsi="宋体" w:cs="宋体"/>
          <w:color w:val="auto"/>
          <w:highlight w:val="none"/>
        </w:rPr>
        <w:t>范围必须与本项目相关，提供相关证明材料，证明材料为</w:t>
      </w:r>
      <w:r>
        <w:rPr>
          <w:rFonts w:hint="eastAsia" w:ascii="宋体" w:hAnsi="宋体" w:cs="宋体"/>
          <w:color w:val="auto"/>
          <w:highlight w:val="none"/>
          <w:lang w:val="en-US" w:eastAsia="zh-CN"/>
        </w:rPr>
        <w:t>由国家认可的认证评价机构出具的证书或认证评价机构官网截图</w:t>
      </w:r>
      <w:r>
        <w:rPr>
          <w:rFonts w:hint="eastAsia" w:ascii="宋体" w:hAnsi="宋体" w:cs="宋体"/>
          <w:color w:val="auto"/>
          <w:highlight w:val="none"/>
        </w:rPr>
        <w:t>，并加盖单位公章)。</w:t>
      </w:r>
    </w:p>
    <w:p w14:paraId="4B266A0A">
      <w:pPr>
        <w:spacing w:line="446" w:lineRule="exact"/>
        <w:ind w:firstLine="284" w:firstLineChars="0"/>
        <w:rPr>
          <w:rFonts w:hint="eastAsia" w:ascii="宋体" w:hAnsi="宋体" w:cs="宋体"/>
          <w:color w:val="auto"/>
          <w:highlight w:val="none"/>
          <w:lang w:eastAsia="zh-CN"/>
        </w:rPr>
      </w:pPr>
      <w:r>
        <w:rPr>
          <w:rFonts w:hint="eastAsia" w:ascii="宋体" w:hAnsi="宋体" w:cs="宋体"/>
          <w:color w:val="auto"/>
          <w:highlight w:val="none"/>
          <w:lang w:val="en-US" w:eastAsia="zh-CN"/>
        </w:rPr>
        <w:t>2.1.2</w:t>
      </w:r>
      <w:r>
        <w:rPr>
          <w:rFonts w:hint="eastAsia" w:ascii="宋体" w:hAnsi="宋体" w:cs="宋体"/>
          <w:color w:val="auto"/>
          <w:highlight w:val="none"/>
        </w:rPr>
        <w:t>投标人应具备</w:t>
      </w:r>
      <w:r>
        <w:rPr>
          <w:rFonts w:hint="eastAsia" w:ascii="宋体" w:hAnsi="宋体" w:cs="宋体"/>
          <w:color w:val="auto"/>
          <w:highlight w:val="none"/>
          <w:lang w:val="en-US" w:eastAsia="zh-CN"/>
        </w:rPr>
        <w:t>较强</w:t>
      </w:r>
      <w:r>
        <w:rPr>
          <w:rFonts w:hint="eastAsia" w:ascii="宋体" w:hAnsi="宋体" w:cs="宋体"/>
          <w:color w:val="auto"/>
          <w:highlight w:val="none"/>
        </w:rPr>
        <w:t>的</w:t>
      </w:r>
      <w:r>
        <w:rPr>
          <w:rFonts w:hint="eastAsia" w:ascii="宋体" w:hAnsi="宋体" w:cs="宋体"/>
          <w:color w:val="auto"/>
          <w:highlight w:val="none"/>
          <w:lang w:val="en-US" w:eastAsia="zh-CN"/>
        </w:rPr>
        <w:t>服务</w:t>
      </w:r>
      <w:r>
        <w:rPr>
          <w:rFonts w:hint="eastAsia" w:ascii="宋体" w:hAnsi="宋体" w:cs="宋体"/>
          <w:color w:val="auto"/>
          <w:highlight w:val="none"/>
        </w:rPr>
        <w:t>能力，</w:t>
      </w:r>
      <w:r>
        <w:rPr>
          <w:rFonts w:hint="eastAsia" w:ascii="宋体" w:hAnsi="宋体" w:cs="宋体"/>
          <w:color w:val="auto"/>
          <w:highlight w:val="none"/>
          <w:lang w:val="en-US" w:eastAsia="zh-CN"/>
        </w:rPr>
        <w:t>企业品牌服务</w:t>
      </w:r>
      <w:r>
        <w:rPr>
          <w:rFonts w:hint="eastAsia" w:ascii="宋体" w:hAnsi="宋体" w:cs="宋体"/>
          <w:color w:val="auto"/>
          <w:highlight w:val="none"/>
        </w:rPr>
        <w:t>符合国家标准</w:t>
      </w:r>
      <w:r>
        <w:rPr>
          <w:rFonts w:hint="eastAsia" w:ascii="宋体" w:hAnsi="宋体" w:cs="宋体"/>
          <w:color w:val="auto"/>
          <w:highlight w:val="none"/>
          <w:lang w:val="en-US" w:eastAsia="zh-CN"/>
        </w:rPr>
        <w:t>《商业企业品牌评价与企业文化建设指南》标准</w:t>
      </w:r>
      <w:r>
        <w:rPr>
          <w:rFonts w:hint="eastAsia" w:ascii="宋体" w:hAnsi="宋体" w:cs="宋体"/>
          <w:color w:val="auto"/>
          <w:highlight w:val="none"/>
        </w:rPr>
        <w:t>规定的要求</w:t>
      </w:r>
      <w:r>
        <w:rPr>
          <w:rFonts w:hint="eastAsia" w:ascii="宋体" w:hAnsi="宋体" w:cs="宋体"/>
          <w:color w:val="auto"/>
          <w:highlight w:val="none"/>
          <w:lang w:eastAsia="zh-CN"/>
        </w:rPr>
        <w:t>的，</w:t>
      </w:r>
      <w:r>
        <w:rPr>
          <w:rFonts w:hint="eastAsia" w:ascii="宋体" w:hAnsi="宋体" w:cs="宋体"/>
          <w:color w:val="auto"/>
          <w:highlight w:val="none"/>
          <w:lang w:val="en-US" w:eastAsia="zh-CN"/>
        </w:rPr>
        <w:t>得2分</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rPr>
        <w:t>提供相关证明材料</w:t>
      </w:r>
      <w:r>
        <w:rPr>
          <w:rFonts w:hint="eastAsia" w:ascii="宋体" w:hAnsi="宋体" w:cs="宋体"/>
          <w:color w:val="auto"/>
          <w:highlight w:val="none"/>
          <w:lang w:eastAsia="zh-CN"/>
        </w:rPr>
        <w:t>，</w:t>
      </w:r>
      <w:r>
        <w:rPr>
          <w:rFonts w:hint="eastAsia" w:ascii="宋体" w:hAnsi="宋体" w:cs="宋体"/>
          <w:color w:val="auto"/>
          <w:highlight w:val="none"/>
        </w:rPr>
        <w:t>证明材料为</w:t>
      </w:r>
      <w:r>
        <w:rPr>
          <w:rFonts w:hint="eastAsia" w:ascii="宋体" w:hAnsi="宋体" w:cs="宋体"/>
          <w:color w:val="auto"/>
          <w:highlight w:val="none"/>
          <w:lang w:val="en-US" w:eastAsia="zh-CN"/>
        </w:rPr>
        <w:t>由国家认可的权威机构出具的证书或权威机构官网截图</w:t>
      </w:r>
      <w:r>
        <w:rPr>
          <w:rFonts w:hint="eastAsia" w:ascii="宋体" w:hAnsi="宋体" w:cs="宋体"/>
          <w:color w:val="auto"/>
          <w:highlight w:val="none"/>
        </w:rPr>
        <w:t>并加盖单位公章</w:t>
      </w:r>
      <w:r>
        <w:rPr>
          <w:rFonts w:hint="eastAsia" w:ascii="宋体" w:hAnsi="宋体" w:cs="宋体"/>
          <w:color w:val="auto"/>
          <w:highlight w:val="none"/>
          <w:lang w:eastAsia="zh-CN"/>
        </w:rPr>
        <w:t>）</w:t>
      </w:r>
    </w:p>
    <w:p w14:paraId="68731CD7">
      <w:pPr>
        <w:spacing w:line="446" w:lineRule="exact"/>
        <w:ind w:firstLine="284" w:firstLineChars="0"/>
        <w:rPr>
          <w:rFonts w:hint="eastAsia" w:ascii="宋体" w:hAnsi="宋体" w:cs="宋体"/>
          <w:color w:val="auto"/>
          <w:highlight w:val="none"/>
          <w:lang w:eastAsia="zh-CN"/>
        </w:rPr>
      </w:pPr>
      <w:r>
        <w:rPr>
          <w:rFonts w:hint="eastAsia" w:ascii="宋体" w:hAnsi="宋体" w:cs="宋体"/>
          <w:color w:val="auto"/>
          <w:highlight w:val="none"/>
          <w:lang w:val="en-US" w:eastAsia="zh-CN"/>
        </w:rPr>
        <w:t>2.1.3投标人应具备信息安全服务能力，符合《信息安全服务资质评估准则》要求的，得2分。</w:t>
      </w:r>
      <w:r>
        <w:rPr>
          <w:rFonts w:hint="eastAsia" w:ascii="宋体" w:hAnsi="宋体" w:cs="宋体"/>
          <w:color w:val="auto"/>
          <w:highlight w:val="none"/>
          <w:lang w:eastAsia="zh-CN"/>
        </w:rPr>
        <w:t>（</w:t>
      </w:r>
      <w:r>
        <w:rPr>
          <w:rFonts w:hint="eastAsia" w:ascii="宋体" w:hAnsi="宋体" w:cs="宋体"/>
          <w:color w:val="auto"/>
          <w:highlight w:val="none"/>
        </w:rPr>
        <w:t>提供相关证明材料</w:t>
      </w:r>
      <w:r>
        <w:rPr>
          <w:rFonts w:hint="eastAsia" w:ascii="宋体" w:hAnsi="宋体" w:cs="宋体"/>
          <w:color w:val="auto"/>
          <w:highlight w:val="none"/>
          <w:lang w:eastAsia="zh-CN"/>
        </w:rPr>
        <w:t>，</w:t>
      </w:r>
      <w:r>
        <w:rPr>
          <w:rFonts w:hint="eastAsia" w:ascii="宋体" w:hAnsi="宋体" w:cs="宋体"/>
          <w:color w:val="auto"/>
          <w:highlight w:val="none"/>
        </w:rPr>
        <w:t>证明材料为</w:t>
      </w:r>
      <w:r>
        <w:rPr>
          <w:rFonts w:hint="eastAsia" w:ascii="宋体" w:hAnsi="宋体" w:cs="宋体"/>
          <w:color w:val="auto"/>
          <w:highlight w:val="none"/>
          <w:lang w:val="en-US" w:eastAsia="zh-CN"/>
        </w:rPr>
        <w:t>由国家认可的权威机构出具的证书或权威机构官网截图</w:t>
      </w:r>
      <w:r>
        <w:rPr>
          <w:rFonts w:hint="eastAsia" w:ascii="宋体" w:hAnsi="宋体" w:cs="宋体"/>
          <w:color w:val="auto"/>
          <w:highlight w:val="none"/>
        </w:rPr>
        <w:t>并加盖单位公章</w:t>
      </w:r>
      <w:r>
        <w:rPr>
          <w:rFonts w:hint="eastAsia" w:ascii="宋体" w:hAnsi="宋体" w:cs="宋体"/>
          <w:color w:val="auto"/>
          <w:highlight w:val="none"/>
          <w:lang w:eastAsia="zh-CN"/>
        </w:rPr>
        <w:t>）</w:t>
      </w:r>
    </w:p>
    <w:p w14:paraId="6F8F02B3">
      <w:pPr>
        <w:spacing w:line="446" w:lineRule="exact"/>
        <w:ind w:firstLine="284"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2.1.4投标人或所投产品</w:t>
      </w:r>
      <w:r>
        <w:rPr>
          <w:rFonts w:hint="eastAsia"/>
          <w:color w:val="auto"/>
          <w:lang w:val="en-US" w:eastAsia="zh-CN"/>
        </w:rPr>
        <w:t>厂</w:t>
      </w:r>
      <w:r>
        <w:rPr>
          <w:rFonts w:hint="eastAsia" w:ascii="宋体" w:hAnsi="宋体" w:cs="宋体"/>
          <w:color w:val="auto"/>
          <w:highlight w:val="none"/>
          <w:lang w:val="en-US" w:eastAsia="zh-CN"/>
        </w:rPr>
        <w:t>商具备项目实施过程中对涉及的防火墙、线路传输等设备及通信网络性能的检测能力的，每项得1分，满分2分。(</w:t>
      </w:r>
      <w:r>
        <w:rPr>
          <w:rFonts w:hint="eastAsia" w:ascii="宋体" w:hAnsi="宋体" w:cs="宋体"/>
          <w:color w:val="auto"/>
          <w:highlight w:val="none"/>
        </w:rPr>
        <w:t>提供相关证明材料</w:t>
      </w:r>
      <w:r>
        <w:rPr>
          <w:rFonts w:hint="eastAsia" w:ascii="宋体" w:hAnsi="宋体" w:cs="宋体"/>
          <w:color w:val="auto"/>
          <w:highlight w:val="none"/>
          <w:lang w:eastAsia="zh-CN"/>
        </w:rPr>
        <w:t>，</w:t>
      </w:r>
      <w:r>
        <w:rPr>
          <w:rFonts w:hint="eastAsia" w:ascii="宋体" w:hAnsi="宋体" w:cs="宋体"/>
          <w:color w:val="auto"/>
          <w:highlight w:val="none"/>
        </w:rPr>
        <w:t>证明材料为</w:t>
      </w:r>
      <w:r>
        <w:rPr>
          <w:rFonts w:hint="eastAsia" w:ascii="宋体" w:hAnsi="宋体" w:cs="宋体"/>
          <w:color w:val="auto"/>
          <w:highlight w:val="none"/>
          <w:lang w:val="en-US" w:eastAsia="zh-CN"/>
        </w:rPr>
        <w:t>由国家认可的检测机构出具的证书或检测机构官网截图或检验设备校验/校准证书</w:t>
      </w:r>
      <w:r>
        <w:rPr>
          <w:rFonts w:hint="eastAsia" w:ascii="宋体" w:hAnsi="宋体" w:cs="宋体"/>
          <w:color w:val="auto"/>
          <w:highlight w:val="none"/>
        </w:rPr>
        <w:t>并加盖单位公章</w:t>
      </w:r>
      <w:r>
        <w:rPr>
          <w:rFonts w:hint="eastAsia" w:ascii="宋体" w:hAnsi="宋体" w:cs="宋体"/>
          <w:color w:val="auto"/>
          <w:highlight w:val="none"/>
          <w:lang w:val="en-US" w:eastAsia="zh-CN"/>
        </w:rPr>
        <w:t>)</w:t>
      </w:r>
    </w:p>
    <w:p w14:paraId="6EB081D9">
      <w:pPr>
        <w:spacing w:line="446" w:lineRule="exact"/>
        <w:ind w:firstLine="284" w:firstLineChars="0"/>
        <w:rPr>
          <w:rFonts w:ascii="宋体" w:hAnsi="宋体"/>
          <w:color w:val="auto"/>
          <w:szCs w:val="21"/>
        </w:rPr>
      </w:pPr>
      <w:r>
        <w:rPr>
          <w:rFonts w:hint="eastAsia" w:ascii="宋体" w:hAnsi="宋体"/>
          <w:color w:val="auto"/>
          <w:szCs w:val="21"/>
          <w:lang w:val="en-US" w:eastAsia="zh-CN"/>
        </w:rPr>
        <w:t>2.2业绩、奖项分</w:t>
      </w:r>
    </w:p>
    <w:p w14:paraId="7E1BF394">
      <w:pPr>
        <w:spacing w:line="446" w:lineRule="exact"/>
        <w:ind w:firstLine="284" w:firstLineChars="0"/>
        <w:rPr>
          <w:rFonts w:ascii="宋体" w:hAnsi="宋体"/>
          <w:color w:val="auto"/>
          <w:szCs w:val="21"/>
        </w:rPr>
      </w:pPr>
      <w:r>
        <w:rPr>
          <w:rFonts w:hint="eastAsia" w:ascii="宋体" w:hAnsi="宋体"/>
          <w:color w:val="auto"/>
          <w:szCs w:val="21"/>
          <w:lang w:val="en-US" w:eastAsia="zh-CN"/>
        </w:rPr>
        <w:t>2.2.1</w:t>
      </w:r>
      <w:r>
        <w:rPr>
          <w:rFonts w:hint="eastAsia" w:ascii="宋体" w:hAnsi="宋体"/>
          <w:color w:val="auto"/>
          <w:szCs w:val="21"/>
        </w:rPr>
        <w:t>投标人自20</w:t>
      </w:r>
      <w:r>
        <w:rPr>
          <w:rFonts w:hint="eastAsia" w:ascii="宋体" w:hAnsi="宋体"/>
          <w:color w:val="auto"/>
          <w:szCs w:val="21"/>
          <w:lang w:val="en-US" w:eastAsia="zh-CN"/>
        </w:rPr>
        <w:t>22</w:t>
      </w:r>
      <w:r>
        <w:rPr>
          <w:rFonts w:hint="eastAsia" w:ascii="宋体" w:hAnsi="宋体"/>
          <w:color w:val="auto"/>
          <w:szCs w:val="21"/>
        </w:rPr>
        <w:t>年以来具有同类业务的，每项得</w:t>
      </w:r>
      <w:r>
        <w:rPr>
          <w:rFonts w:hint="eastAsia" w:ascii="宋体" w:hAnsi="宋体"/>
          <w:color w:val="auto"/>
          <w:szCs w:val="21"/>
          <w:lang w:val="en-US" w:eastAsia="zh-CN"/>
        </w:rPr>
        <w:t>2</w:t>
      </w:r>
      <w:r>
        <w:rPr>
          <w:rFonts w:hint="eastAsia" w:ascii="宋体" w:hAnsi="宋体"/>
          <w:color w:val="auto"/>
          <w:szCs w:val="21"/>
        </w:rPr>
        <w:t>分，满分</w:t>
      </w:r>
      <w:r>
        <w:rPr>
          <w:rFonts w:hint="eastAsia" w:ascii="宋体" w:hAnsi="宋体"/>
          <w:color w:val="auto"/>
          <w:szCs w:val="21"/>
          <w:lang w:val="en-US" w:eastAsia="zh-CN"/>
        </w:rPr>
        <w:t>8</w:t>
      </w:r>
      <w:r>
        <w:rPr>
          <w:rFonts w:hint="eastAsia" w:ascii="宋体" w:hAnsi="宋体"/>
          <w:color w:val="auto"/>
          <w:szCs w:val="21"/>
        </w:rPr>
        <w:t>分。(须提供包括合同名称、标的、金额、期限、签字盖章内容的关键页)</w:t>
      </w:r>
    </w:p>
    <w:p w14:paraId="0A48F021">
      <w:pPr>
        <w:spacing w:line="446" w:lineRule="exact"/>
        <w:ind w:firstLine="284" w:firstLineChars="0"/>
        <w:rPr>
          <w:rFonts w:ascii="宋体" w:hAnsi="宋体"/>
          <w:color w:val="auto"/>
          <w:szCs w:val="21"/>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lang w:val="en-US" w:eastAsia="zh-CN"/>
        </w:rPr>
        <w:t>2.2</w:t>
      </w:r>
      <w:r>
        <w:rPr>
          <w:rFonts w:hint="eastAsia" w:ascii="宋体" w:hAnsi="宋体"/>
          <w:color w:val="auto"/>
          <w:szCs w:val="21"/>
        </w:rPr>
        <w:t>投标人自20</w:t>
      </w:r>
      <w:r>
        <w:rPr>
          <w:rFonts w:hint="eastAsia" w:ascii="宋体" w:hAnsi="宋体"/>
          <w:color w:val="auto"/>
          <w:szCs w:val="21"/>
          <w:lang w:val="en-US" w:eastAsia="zh-CN"/>
        </w:rPr>
        <w:t>22</w:t>
      </w:r>
      <w:r>
        <w:rPr>
          <w:rFonts w:hint="eastAsia" w:ascii="宋体" w:hAnsi="宋体"/>
          <w:color w:val="auto"/>
          <w:szCs w:val="21"/>
        </w:rPr>
        <w:t>年以来获得</w:t>
      </w:r>
      <w:r>
        <w:rPr>
          <w:rFonts w:hint="eastAsia" w:ascii="宋体" w:hAnsi="宋体"/>
          <w:color w:val="auto"/>
          <w:szCs w:val="21"/>
          <w:lang w:val="en-US" w:eastAsia="zh-CN"/>
        </w:rPr>
        <w:t>县</w:t>
      </w:r>
      <w:r>
        <w:rPr>
          <w:rFonts w:hint="eastAsia" w:ascii="宋体" w:hAnsi="宋体"/>
          <w:color w:val="auto"/>
          <w:szCs w:val="21"/>
        </w:rPr>
        <w:t>级及以上</w:t>
      </w:r>
      <w:r>
        <w:rPr>
          <w:rFonts w:hint="eastAsia" w:ascii="宋体" w:hAnsi="宋体"/>
          <w:color w:val="auto"/>
          <w:szCs w:val="21"/>
          <w:lang w:val="en-US" w:eastAsia="zh-CN"/>
        </w:rPr>
        <w:t>行政管理部门颁发的</w:t>
      </w:r>
      <w:r>
        <w:rPr>
          <w:rFonts w:hint="eastAsia" w:ascii="宋体" w:hAnsi="宋体"/>
          <w:color w:val="auto"/>
          <w:szCs w:val="21"/>
        </w:rPr>
        <w:t>荣誉或奖项的，每项得</w:t>
      </w:r>
      <w:r>
        <w:rPr>
          <w:rFonts w:hint="default" w:ascii="宋体" w:hAnsi="宋体"/>
          <w:color w:val="auto"/>
          <w:szCs w:val="21"/>
          <w:lang w:val="en-US" w:eastAsia="zh-CN"/>
        </w:rPr>
        <w:t>1</w:t>
      </w:r>
      <w:r>
        <w:rPr>
          <w:rFonts w:hint="eastAsia" w:ascii="宋体" w:hAnsi="宋体"/>
          <w:color w:val="auto"/>
          <w:szCs w:val="21"/>
        </w:rPr>
        <w:t>分，满分</w:t>
      </w:r>
      <w:r>
        <w:rPr>
          <w:rFonts w:hint="eastAsia" w:ascii="宋体" w:hAnsi="宋体"/>
          <w:color w:val="auto"/>
          <w:szCs w:val="21"/>
          <w:lang w:val="en-US" w:eastAsia="zh-CN"/>
        </w:rPr>
        <w:t>3</w:t>
      </w:r>
      <w:r>
        <w:rPr>
          <w:rFonts w:hint="eastAsia" w:ascii="宋体" w:hAnsi="宋体"/>
          <w:color w:val="auto"/>
          <w:szCs w:val="21"/>
        </w:rPr>
        <w:t>分。(本项满分</w:t>
      </w:r>
      <w:r>
        <w:rPr>
          <w:rFonts w:hint="eastAsia" w:ascii="宋体" w:hAnsi="宋体"/>
          <w:color w:val="auto"/>
          <w:szCs w:val="21"/>
          <w:lang w:val="en-US" w:eastAsia="zh-CN"/>
        </w:rPr>
        <w:t>3</w:t>
      </w:r>
      <w:r>
        <w:rPr>
          <w:rFonts w:hint="eastAsia" w:ascii="宋体" w:hAnsi="宋体"/>
          <w:color w:val="auto"/>
          <w:szCs w:val="21"/>
        </w:rPr>
        <w:t>分，须提供相关证明材料)</w:t>
      </w:r>
    </w:p>
    <w:p w14:paraId="1BDDC3D6">
      <w:pPr>
        <w:spacing w:line="446" w:lineRule="exact"/>
        <w:ind w:firstLine="495" w:firstLineChars="235"/>
        <w:rPr>
          <w:rFonts w:hint="eastAsia"/>
          <w:b/>
          <w:bCs/>
          <w:color w:val="auto"/>
        </w:rPr>
      </w:pPr>
      <w:bookmarkStart w:id="234" w:name="_GoBack"/>
      <w:bookmarkEnd w:id="234"/>
    </w:p>
    <w:p w14:paraId="0AA1FF27">
      <w:pPr>
        <w:spacing w:line="446" w:lineRule="exact"/>
        <w:ind w:firstLine="0" w:firstLineChars="0"/>
        <w:rPr>
          <w:rFonts w:hint="eastAsia"/>
          <w:b/>
          <w:bCs/>
          <w:color w:val="auto"/>
        </w:rPr>
      </w:pPr>
      <w:r>
        <w:rPr>
          <w:rFonts w:hint="eastAsia"/>
          <w:b/>
          <w:bCs/>
          <w:color w:val="auto"/>
        </w:rPr>
        <w:t>三、总得分=价格分+技术商务资信分</w:t>
      </w:r>
    </w:p>
    <w:p w14:paraId="36C3D48A">
      <w:pPr>
        <w:spacing w:line="446" w:lineRule="exact"/>
        <w:ind w:firstLine="0" w:firstLineChars="0"/>
        <w:rPr>
          <w:b/>
          <w:bCs/>
          <w:color w:val="auto"/>
        </w:rPr>
      </w:pPr>
      <w:r>
        <w:rPr>
          <w:rFonts w:hint="eastAsia"/>
          <w:b/>
          <w:bCs/>
          <w:color w:val="auto"/>
        </w:rPr>
        <w:t>四、中标候选人推荐原则</w:t>
      </w:r>
    </w:p>
    <w:p w14:paraId="5BECD645">
      <w:pPr>
        <w:pStyle w:val="37"/>
        <w:rPr>
          <w:color w:val="auto"/>
        </w:rPr>
      </w:pPr>
      <w:r>
        <w:rPr>
          <w:rFonts w:hint="eastAsia"/>
          <w:color w:val="auto"/>
        </w:rPr>
        <w:t>评标委员会将根据</w:t>
      </w:r>
      <w:r>
        <w:rPr>
          <w:color w:val="auto"/>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bookmarkEnd w:id="211"/>
    </w:p>
    <w:p w14:paraId="71129EFB">
      <w:pPr>
        <w:pStyle w:val="37"/>
        <w:rPr>
          <w:rFonts w:hint="eastAsia"/>
          <w:b/>
          <w:bCs/>
          <w:color w:val="auto"/>
          <w:highlight w:val="none"/>
        </w:rPr>
      </w:pPr>
      <w:r>
        <w:rPr>
          <w:rFonts w:hint="eastAsia"/>
          <w:b/>
          <w:bCs/>
          <w:color w:val="auto"/>
          <w:highlight w:val="none"/>
        </w:rPr>
        <w:t>三、总得分=价格分+技术商务资信分</w:t>
      </w:r>
    </w:p>
    <w:p w14:paraId="7FABE8DF">
      <w:pPr>
        <w:spacing w:line="460" w:lineRule="exact"/>
        <w:ind w:firstLine="422"/>
        <w:rPr>
          <w:b/>
          <w:bCs/>
          <w:color w:val="auto"/>
          <w:highlight w:val="none"/>
        </w:rPr>
      </w:pPr>
      <w:r>
        <w:rPr>
          <w:rFonts w:hint="eastAsia"/>
          <w:b/>
          <w:bCs/>
          <w:color w:val="auto"/>
          <w:highlight w:val="none"/>
        </w:rPr>
        <w:t>四、中标候选人</w:t>
      </w:r>
      <w:bookmarkStart w:id="212" w:name="_Hlk92267887"/>
      <w:r>
        <w:rPr>
          <w:rFonts w:hint="eastAsia"/>
          <w:b/>
          <w:bCs/>
          <w:color w:val="auto"/>
          <w:highlight w:val="none"/>
        </w:rPr>
        <w:t>推荐原则</w:t>
      </w:r>
      <w:bookmarkEnd w:id="212"/>
    </w:p>
    <w:p w14:paraId="2836C3C4">
      <w:pPr>
        <w:spacing w:line="460" w:lineRule="exact"/>
        <w:ind w:firstLine="0" w:firstLineChars="0"/>
        <w:rPr>
          <w:color w:val="auto"/>
          <w:highlight w:val="none"/>
        </w:rPr>
      </w:pPr>
      <w:r>
        <w:rPr>
          <w:color w:val="auto"/>
          <w:highlight w:val="none"/>
        </w:rPr>
        <w:tab/>
      </w:r>
      <w:r>
        <w:rPr>
          <w:rFonts w:hint="eastAsia"/>
          <w:color w:val="auto"/>
          <w:highlight w:val="none"/>
        </w:rPr>
        <w:t>评标委员会将根据</w:t>
      </w:r>
      <w:r>
        <w:rPr>
          <w:color w:val="auto"/>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4509758">
      <w:pPr>
        <w:ind w:firstLine="0" w:firstLineChars="0"/>
        <w:rPr>
          <w:rFonts w:ascii="宋体" w:hAnsi="宋体"/>
          <w:color w:val="auto"/>
          <w:highlight w:val="none"/>
        </w:rPr>
      </w:pPr>
    </w:p>
    <w:p w14:paraId="73414C4A">
      <w:pPr>
        <w:ind w:firstLine="0" w:firstLineChars="0"/>
        <w:rPr>
          <w:rFonts w:ascii="宋体" w:hAnsi="宋体"/>
          <w:color w:val="auto"/>
          <w:highlight w:val="none"/>
        </w:rPr>
      </w:pPr>
    </w:p>
    <w:p w14:paraId="402F577C">
      <w:pPr>
        <w:ind w:firstLine="0" w:firstLineChars="0"/>
        <w:rPr>
          <w:rFonts w:ascii="宋体" w:hAnsi="宋体"/>
          <w:color w:val="auto"/>
          <w:highlight w:val="none"/>
        </w:rPr>
      </w:pPr>
    </w:p>
    <w:p w14:paraId="48818701">
      <w:pPr>
        <w:ind w:firstLine="0" w:firstLineChars="0"/>
        <w:rPr>
          <w:rFonts w:ascii="宋体" w:hAnsi="宋体"/>
          <w:color w:val="auto"/>
          <w:highlight w:val="none"/>
        </w:rPr>
      </w:pPr>
    </w:p>
    <w:p w14:paraId="6E1F56CF">
      <w:pPr>
        <w:ind w:firstLine="0" w:firstLineChars="0"/>
        <w:rPr>
          <w:rFonts w:ascii="宋体" w:hAnsi="宋体"/>
          <w:color w:val="auto"/>
          <w:highlight w:val="none"/>
        </w:rPr>
      </w:pPr>
    </w:p>
    <w:p w14:paraId="5483431E">
      <w:pPr>
        <w:ind w:firstLine="0" w:firstLineChars="0"/>
        <w:rPr>
          <w:rFonts w:ascii="宋体" w:hAnsi="宋体"/>
          <w:color w:val="auto"/>
          <w:highlight w:val="none"/>
        </w:rPr>
      </w:pPr>
    </w:p>
    <w:p w14:paraId="1C5D9415">
      <w:pPr>
        <w:ind w:firstLine="0" w:firstLineChars="0"/>
        <w:rPr>
          <w:rFonts w:ascii="宋体" w:hAnsi="宋体"/>
          <w:color w:val="auto"/>
          <w:highlight w:val="none"/>
        </w:rPr>
      </w:pPr>
    </w:p>
    <w:p w14:paraId="09E7085A">
      <w:pPr>
        <w:ind w:firstLine="0" w:firstLineChars="0"/>
        <w:rPr>
          <w:rFonts w:hint="eastAsia" w:ascii="宋体" w:hAnsi="宋体"/>
          <w:color w:val="auto"/>
          <w:highlight w:val="none"/>
        </w:rPr>
      </w:pPr>
    </w:p>
    <w:p w14:paraId="1787D173">
      <w:pPr>
        <w:ind w:firstLine="0" w:firstLineChars="0"/>
        <w:rPr>
          <w:rFonts w:hint="eastAsia" w:ascii="宋体" w:hAnsi="宋体"/>
          <w:color w:val="auto"/>
          <w:highlight w:val="none"/>
        </w:rPr>
      </w:pPr>
    </w:p>
    <w:p w14:paraId="3C14064E">
      <w:pPr>
        <w:ind w:firstLine="0" w:firstLineChars="0"/>
        <w:rPr>
          <w:rFonts w:ascii="宋体" w:hAnsi="宋体"/>
          <w:color w:val="auto"/>
          <w:highlight w:val="none"/>
        </w:rPr>
      </w:pPr>
    </w:p>
    <w:p w14:paraId="066A456A">
      <w:pPr>
        <w:ind w:firstLine="0" w:firstLineChars="0"/>
        <w:rPr>
          <w:rFonts w:ascii="宋体" w:hAnsi="宋体"/>
          <w:color w:val="auto"/>
          <w:highlight w:val="none"/>
        </w:rPr>
      </w:pPr>
    </w:p>
    <w:p w14:paraId="0D6BB526">
      <w:pPr>
        <w:ind w:firstLine="0" w:firstLineChars="0"/>
        <w:rPr>
          <w:rFonts w:hint="eastAsia" w:ascii="宋体" w:hAnsi="宋体"/>
          <w:color w:val="auto"/>
          <w:highlight w:val="none"/>
        </w:rPr>
      </w:pPr>
    </w:p>
    <w:p w14:paraId="5E630AF8">
      <w:pPr>
        <w:pStyle w:val="4"/>
        <w:rPr>
          <w:rFonts w:hint="eastAsia" w:ascii="宋体" w:hAnsi="宋体"/>
          <w:color w:val="auto"/>
          <w:highlight w:val="none"/>
        </w:rPr>
      </w:pPr>
    </w:p>
    <w:p w14:paraId="0B13519E">
      <w:pPr>
        <w:rPr>
          <w:rFonts w:hint="eastAsia" w:ascii="宋体" w:hAnsi="宋体"/>
          <w:color w:val="auto"/>
          <w:highlight w:val="none"/>
        </w:rPr>
      </w:pPr>
    </w:p>
    <w:p w14:paraId="469F0390">
      <w:pPr>
        <w:rPr>
          <w:rFonts w:hint="eastAsia" w:ascii="宋体" w:hAnsi="宋体"/>
          <w:color w:val="auto"/>
          <w:highlight w:val="none"/>
        </w:rPr>
      </w:pPr>
    </w:p>
    <w:p w14:paraId="2F56D26A">
      <w:pPr>
        <w:pStyle w:val="4"/>
        <w:rPr>
          <w:rFonts w:hint="eastAsia" w:ascii="宋体" w:hAnsi="宋体"/>
          <w:color w:val="auto"/>
          <w:highlight w:val="none"/>
        </w:rPr>
      </w:pPr>
    </w:p>
    <w:p w14:paraId="6999BE66">
      <w:pPr>
        <w:rPr>
          <w:rFonts w:hint="eastAsia" w:ascii="宋体" w:hAnsi="宋体"/>
          <w:color w:val="auto"/>
          <w:highlight w:val="none"/>
        </w:rPr>
      </w:pPr>
    </w:p>
    <w:p w14:paraId="20B8FC42">
      <w:pPr>
        <w:pStyle w:val="4"/>
        <w:rPr>
          <w:rFonts w:hint="eastAsia" w:ascii="宋体" w:hAnsi="宋体"/>
          <w:color w:val="auto"/>
          <w:highlight w:val="none"/>
        </w:rPr>
      </w:pPr>
    </w:p>
    <w:p w14:paraId="1BFB464E">
      <w:pPr>
        <w:rPr>
          <w:rFonts w:hint="eastAsia" w:ascii="宋体" w:hAnsi="宋体"/>
          <w:color w:val="auto"/>
          <w:highlight w:val="none"/>
        </w:rPr>
      </w:pPr>
    </w:p>
    <w:p w14:paraId="3C847AF5">
      <w:pPr>
        <w:pStyle w:val="4"/>
        <w:rPr>
          <w:rFonts w:hint="eastAsia" w:ascii="宋体" w:hAnsi="宋体"/>
          <w:color w:val="auto"/>
          <w:highlight w:val="none"/>
        </w:rPr>
      </w:pPr>
    </w:p>
    <w:p w14:paraId="2BF58737">
      <w:pPr>
        <w:rPr>
          <w:rFonts w:hint="eastAsia"/>
          <w:color w:val="auto"/>
        </w:rPr>
      </w:pPr>
    </w:p>
    <w:p w14:paraId="2D218D5A">
      <w:pPr>
        <w:rPr>
          <w:rFonts w:hint="eastAsia" w:ascii="宋体" w:hAnsi="宋体"/>
          <w:color w:val="auto"/>
          <w:highlight w:val="none"/>
        </w:rPr>
      </w:pPr>
    </w:p>
    <w:p w14:paraId="0BE82FF8">
      <w:pPr>
        <w:pStyle w:val="4"/>
        <w:rPr>
          <w:rFonts w:hint="eastAsia" w:ascii="宋体" w:hAnsi="宋体"/>
          <w:color w:val="auto"/>
          <w:highlight w:val="none"/>
        </w:rPr>
      </w:pPr>
    </w:p>
    <w:p w14:paraId="5346AD0C">
      <w:pPr>
        <w:rPr>
          <w:rFonts w:hint="eastAsia"/>
          <w:color w:val="auto"/>
        </w:rPr>
      </w:pPr>
    </w:p>
    <w:p w14:paraId="07E464AC">
      <w:pPr>
        <w:pStyle w:val="49"/>
        <w:ind w:left="0" w:leftChars="0" w:right="0" w:rightChars="0" w:firstLine="0" w:firstLineChars="0"/>
        <w:jc w:val="center"/>
        <w:rPr>
          <w:rFonts w:ascii="宋体" w:hAnsi="宋体" w:eastAsia="宋体"/>
          <w:color w:val="auto"/>
          <w:highlight w:val="none"/>
        </w:rPr>
      </w:pPr>
      <w:bookmarkStart w:id="213" w:name="_Toc91512287"/>
      <w:r>
        <w:rPr>
          <w:rFonts w:hint="eastAsia" w:ascii="宋体" w:hAnsi="宋体" w:eastAsia="宋体"/>
          <w:color w:val="auto"/>
          <w:highlight w:val="none"/>
        </w:rPr>
        <w:t xml:space="preserve">第五章 </w:t>
      </w:r>
      <w:r>
        <w:rPr>
          <w:rFonts w:ascii="宋体" w:hAnsi="宋体" w:eastAsia="宋体"/>
          <w:color w:val="auto"/>
          <w:highlight w:val="none"/>
        </w:rPr>
        <w:t xml:space="preserve"> </w:t>
      </w:r>
      <w:bookmarkEnd w:id="213"/>
      <w:r>
        <w:rPr>
          <w:rFonts w:hint="eastAsia" w:ascii="宋体" w:hAnsi="宋体" w:eastAsia="宋体"/>
          <w:color w:val="auto"/>
          <w:highlight w:val="none"/>
        </w:rPr>
        <w:t>合同文本</w:t>
      </w:r>
    </w:p>
    <w:p w14:paraId="390AEDD9">
      <w:pPr>
        <w:ind w:firstLine="480"/>
        <w:jc w:val="center"/>
        <w:rPr>
          <w:rFonts w:ascii="宋体" w:hAnsi="宋体"/>
          <w:color w:val="auto"/>
          <w:sz w:val="24"/>
          <w:highlight w:val="none"/>
        </w:rPr>
      </w:pPr>
      <w:bookmarkStart w:id="214" w:name="_Toc389638324"/>
      <w:r>
        <w:rPr>
          <w:rFonts w:hint="eastAsia" w:ascii="宋体" w:hAnsi="宋体"/>
          <w:color w:val="auto"/>
          <w:sz w:val="24"/>
          <w:highlight w:val="none"/>
        </w:rPr>
        <w:t>(拟签订文本)</w:t>
      </w:r>
      <w:bookmarkEnd w:id="214"/>
    </w:p>
    <w:p w14:paraId="5D950785">
      <w:pPr>
        <w:ind w:firstLine="420"/>
        <w:rPr>
          <w:rFonts w:ascii="宋体" w:hAnsi="宋体"/>
          <w:color w:val="auto"/>
          <w:highlight w:val="none"/>
        </w:rPr>
      </w:pPr>
    </w:p>
    <w:p w14:paraId="42B3588D">
      <w:pPr>
        <w:spacing w:before="156" w:beforeLines="50" w:after="156" w:afterLines="50" w:line="500" w:lineRule="exact"/>
        <w:jc w:val="both"/>
        <w:rPr>
          <w:rFonts w:ascii="宋体" w:hAnsi="宋体" w:cs="宋体"/>
          <w:b/>
          <w:bCs/>
          <w:color w:val="auto"/>
          <w:sz w:val="28"/>
          <w:szCs w:val="28"/>
          <w:highlight w:val="none"/>
        </w:rPr>
      </w:pPr>
      <w:r>
        <w:rPr>
          <w:rFonts w:hAnsi="宋体"/>
          <w:color w:val="auto"/>
          <w:highlight w:val="none"/>
        </w:rPr>
        <w:br w:type="page"/>
      </w:r>
      <w:bookmarkStart w:id="215" w:name="_Hlk92701478"/>
    </w:p>
    <w:p w14:paraId="30636CDA">
      <w:pPr>
        <w:ind w:firstLine="420"/>
        <w:rPr>
          <w:rFonts w:ascii="宋体" w:hAnsi="宋体" w:cs="宋体"/>
          <w:color w:val="auto"/>
          <w:szCs w:val="21"/>
          <w:highlight w:val="none"/>
        </w:rPr>
      </w:pPr>
    </w:p>
    <w:p w14:paraId="2EFF2ADF">
      <w:pPr>
        <w:shd w:val="clear"/>
        <w:spacing w:line="360" w:lineRule="exact"/>
        <w:jc w:val="center"/>
        <w:rPr>
          <w:rFonts w:ascii="宋体" w:hAnsi="宋体"/>
          <w:b/>
          <w:bCs/>
          <w:color w:val="auto"/>
          <w:kern w:val="0"/>
          <w:highlight w:val="none"/>
        </w:rPr>
      </w:pPr>
      <w:r>
        <w:rPr>
          <w:rFonts w:hint="eastAsia" w:ascii="宋体" w:hAnsi="宋体"/>
          <w:b/>
          <w:bCs/>
          <w:color w:val="auto"/>
          <w:kern w:val="0"/>
          <w:highlight w:val="none"/>
        </w:rPr>
        <w:t>（如本合同格式不适用，采购人与</w:t>
      </w:r>
      <w:r>
        <w:rPr>
          <w:rFonts w:hint="eastAsia" w:ascii="宋体" w:hAnsi="宋体"/>
          <w:b/>
          <w:bCs/>
          <w:color w:val="auto"/>
          <w:kern w:val="0"/>
          <w:highlight w:val="none"/>
          <w:lang w:val="en-US" w:eastAsia="zh-CN"/>
        </w:rPr>
        <w:t>中标</w:t>
      </w:r>
      <w:r>
        <w:rPr>
          <w:rFonts w:hint="eastAsia" w:ascii="宋体" w:hAnsi="宋体"/>
          <w:b/>
          <w:bCs/>
          <w:color w:val="auto"/>
          <w:kern w:val="0"/>
          <w:highlight w:val="none"/>
        </w:rPr>
        <w:t>人可协商拟定合同，但不得实质性改变</w:t>
      </w:r>
      <w:r>
        <w:rPr>
          <w:rFonts w:hint="eastAsia" w:ascii="宋体" w:hAnsi="宋体"/>
          <w:b/>
          <w:bCs/>
          <w:color w:val="auto"/>
          <w:kern w:val="0"/>
          <w:highlight w:val="none"/>
          <w:lang w:val="en-US" w:eastAsia="zh-CN"/>
        </w:rPr>
        <w:t>中标</w:t>
      </w:r>
      <w:r>
        <w:rPr>
          <w:rFonts w:hint="eastAsia" w:ascii="宋体" w:hAnsi="宋体"/>
          <w:b/>
          <w:bCs/>
          <w:color w:val="auto"/>
          <w:kern w:val="0"/>
          <w:highlight w:val="none"/>
        </w:rPr>
        <w:t>人</w:t>
      </w:r>
      <w:r>
        <w:rPr>
          <w:rFonts w:hint="eastAsia" w:ascii="宋体" w:hAnsi="宋体"/>
          <w:b/>
          <w:bCs/>
          <w:color w:val="auto"/>
          <w:kern w:val="0"/>
          <w:highlight w:val="none"/>
          <w:lang w:val="en-US" w:eastAsia="zh-CN"/>
        </w:rPr>
        <w:t>投标</w:t>
      </w:r>
      <w:r>
        <w:rPr>
          <w:rFonts w:hint="eastAsia" w:ascii="宋体" w:hAnsi="宋体"/>
          <w:b/>
          <w:bCs/>
          <w:color w:val="auto"/>
          <w:kern w:val="0"/>
          <w:highlight w:val="none"/>
        </w:rPr>
        <w:t>文件中</w:t>
      </w:r>
    </w:p>
    <w:p w14:paraId="5FD20E19">
      <w:pPr>
        <w:shd w:val="clear"/>
        <w:spacing w:line="360" w:lineRule="exact"/>
        <w:rPr>
          <w:rFonts w:hint="eastAsia" w:ascii="宋体" w:hAnsi="宋体"/>
          <w:b/>
          <w:bCs/>
          <w:color w:val="auto"/>
          <w:kern w:val="0"/>
          <w:highlight w:val="none"/>
        </w:rPr>
      </w:pPr>
      <w:r>
        <w:rPr>
          <w:rFonts w:hint="eastAsia" w:ascii="宋体" w:hAnsi="宋体"/>
          <w:b/>
          <w:bCs/>
          <w:color w:val="auto"/>
          <w:kern w:val="0"/>
          <w:highlight w:val="none"/>
        </w:rPr>
        <w:t>的响应内容）</w:t>
      </w:r>
    </w:p>
    <w:p w14:paraId="31718971">
      <w:pPr>
        <w:pStyle w:val="5"/>
        <w:shd w:val="clear"/>
        <w:rPr>
          <w:color w:val="auto"/>
          <w:highlight w:val="yellow"/>
        </w:rPr>
      </w:pPr>
    </w:p>
    <w:bookmarkEnd w:id="215"/>
    <w:p w14:paraId="0E88EA14">
      <w:pPr>
        <w:snapToGrid w:val="0"/>
        <w:spacing w:line="360" w:lineRule="auto"/>
        <w:jc w:val="center"/>
        <w:rPr>
          <w:rFonts w:ascii="宋体" w:hAnsi="宋体"/>
          <w:b/>
          <w:bCs/>
          <w:color w:val="auto"/>
          <w:sz w:val="32"/>
          <w:szCs w:val="32"/>
        </w:rPr>
      </w:pPr>
      <w:r>
        <w:rPr>
          <w:rFonts w:hint="eastAsia" w:ascii="宋体" w:hAnsi="宋体"/>
          <w:b/>
          <w:bCs/>
          <w:color w:val="auto"/>
          <w:sz w:val="32"/>
          <w:szCs w:val="32"/>
        </w:rPr>
        <w:t>政府采购合同</w:t>
      </w:r>
    </w:p>
    <w:p w14:paraId="037EE680">
      <w:pPr>
        <w:snapToGrid w:val="0"/>
        <w:spacing w:line="360" w:lineRule="auto"/>
        <w:ind w:right="480" w:firstLine="5250" w:firstLineChars="2500"/>
        <w:rPr>
          <w:rFonts w:ascii="宋体" w:hAnsi="宋体"/>
          <w:bCs/>
          <w:color w:val="auto"/>
          <w:szCs w:val="21"/>
          <w:u w:val="single"/>
        </w:rPr>
      </w:pPr>
      <w:r>
        <w:rPr>
          <w:rFonts w:hint="eastAsia" w:ascii="宋体" w:hAnsi="宋体"/>
          <w:bCs/>
          <w:color w:val="auto"/>
          <w:szCs w:val="21"/>
        </w:rPr>
        <w:t>合同编号：</w:t>
      </w:r>
    </w:p>
    <w:p w14:paraId="2F02F3BE">
      <w:pPr>
        <w:snapToGrid w:val="0"/>
        <w:spacing w:line="360" w:lineRule="auto"/>
        <w:rPr>
          <w:rFonts w:ascii="宋体" w:hAnsi="宋体"/>
          <w:color w:val="auto"/>
          <w:szCs w:val="21"/>
        </w:rPr>
      </w:pPr>
    </w:p>
    <w:p w14:paraId="6278D9DC">
      <w:pPr>
        <w:snapToGrid w:val="0"/>
        <w:spacing w:line="360" w:lineRule="auto"/>
        <w:rPr>
          <w:rFonts w:ascii="宋体" w:hAnsi="宋体"/>
          <w:color w:val="auto"/>
          <w:szCs w:val="21"/>
          <w:u w:val="single"/>
        </w:rPr>
      </w:pPr>
      <w:r>
        <w:rPr>
          <w:rFonts w:hint="eastAsia" w:ascii="宋体" w:hAnsi="宋体"/>
          <w:color w:val="auto"/>
          <w:szCs w:val="21"/>
        </w:rPr>
        <w:t>采购人（甲方）：</w:t>
      </w:r>
      <w:r>
        <w:rPr>
          <w:rFonts w:hint="eastAsia" w:ascii="宋体" w:hAnsi="宋体"/>
          <w:color w:val="auto"/>
          <w:szCs w:val="21"/>
          <w:u w:val="single"/>
        </w:rPr>
        <w:t xml:space="preserve">                          </w:t>
      </w:r>
      <w:r>
        <w:rPr>
          <w:rFonts w:hint="eastAsia" w:ascii="宋体" w:hAnsi="宋体"/>
          <w:color w:val="auto"/>
          <w:szCs w:val="21"/>
        </w:rPr>
        <w:t xml:space="preserve">  </w:t>
      </w:r>
    </w:p>
    <w:p w14:paraId="73246A82">
      <w:pPr>
        <w:snapToGrid w:val="0"/>
        <w:spacing w:line="360" w:lineRule="auto"/>
        <w:rPr>
          <w:rFonts w:ascii="宋体" w:hAnsi="宋体"/>
          <w:color w:val="auto"/>
          <w:szCs w:val="21"/>
          <w:u w:val="single"/>
        </w:rPr>
      </w:pPr>
      <w:r>
        <w:rPr>
          <w:rFonts w:hint="eastAsia" w:ascii="宋体" w:hAnsi="宋体"/>
          <w:color w:val="auto"/>
          <w:szCs w:val="21"/>
        </w:rPr>
        <w:t>供应商（乙方）：</w:t>
      </w:r>
      <w:r>
        <w:rPr>
          <w:rFonts w:hint="eastAsia" w:ascii="宋体" w:hAnsi="宋体"/>
          <w:color w:val="auto"/>
          <w:szCs w:val="21"/>
          <w:u w:val="single"/>
        </w:rPr>
        <w:t xml:space="preserve">                          </w:t>
      </w:r>
    </w:p>
    <w:p w14:paraId="590DC22E">
      <w:pPr>
        <w:snapToGrid w:val="0"/>
        <w:spacing w:line="360" w:lineRule="auto"/>
        <w:rPr>
          <w:rFonts w:ascii="宋体" w:hAnsi="宋体"/>
          <w:color w:val="auto"/>
          <w:szCs w:val="21"/>
        </w:rPr>
      </w:pPr>
      <w:r>
        <w:rPr>
          <w:rFonts w:hint="eastAsia" w:ascii="宋体" w:hAnsi="宋体"/>
          <w:color w:val="auto"/>
          <w:spacing w:val="-20"/>
          <w:szCs w:val="21"/>
        </w:rPr>
        <w:t>采 购 计 划 号：</w:t>
      </w:r>
      <w:r>
        <w:rPr>
          <w:rFonts w:hint="eastAsia" w:ascii="宋体" w:hAnsi="宋体"/>
          <w:color w:val="auto"/>
          <w:szCs w:val="21"/>
          <w:u w:val="single"/>
        </w:rPr>
        <w:t xml:space="preserve">                         </w:t>
      </w:r>
    </w:p>
    <w:p w14:paraId="6562CAC8">
      <w:pPr>
        <w:snapToGrid w:val="0"/>
        <w:spacing w:line="360" w:lineRule="auto"/>
        <w:rPr>
          <w:rFonts w:ascii="宋体" w:hAnsi="宋体"/>
          <w:color w:val="auto"/>
          <w:szCs w:val="21"/>
          <w:u w:val="single"/>
        </w:rPr>
      </w:pP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rPr>
        <w:t>项目编号：</w:t>
      </w:r>
      <w:r>
        <w:rPr>
          <w:rFonts w:hint="eastAsia" w:ascii="宋体" w:hAnsi="宋体"/>
          <w:color w:val="auto"/>
          <w:szCs w:val="21"/>
          <w:u w:val="single"/>
        </w:rPr>
        <w:t xml:space="preserve">                       </w:t>
      </w:r>
    </w:p>
    <w:p w14:paraId="229D40F4">
      <w:pPr>
        <w:snapToGrid w:val="0"/>
        <w:spacing w:line="360" w:lineRule="auto"/>
        <w:rPr>
          <w:rFonts w:ascii="宋体" w:hAnsi="宋体"/>
          <w:color w:val="auto"/>
        </w:rPr>
      </w:pPr>
      <w:r>
        <w:rPr>
          <w:rFonts w:hint="eastAsia" w:ascii="宋体" w:hAnsi="宋体"/>
          <w:color w:val="auto"/>
          <w:szCs w:val="21"/>
        </w:rPr>
        <w:t>合同</w:t>
      </w:r>
      <w:r>
        <w:rPr>
          <w:rFonts w:hint="eastAsia" w:ascii="宋体" w:hAnsi="宋体"/>
          <w:color w:val="auto"/>
        </w:rPr>
        <w:t>类型：</w:t>
      </w:r>
      <w:r>
        <w:rPr>
          <w:rFonts w:hint="eastAsia" w:ascii="宋体" w:hAnsi="宋体"/>
          <w:color w:val="auto"/>
          <w:u w:val="single"/>
        </w:rPr>
        <w:t xml:space="preserve">      </w:t>
      </w:r>
      <w:r>
        <w:rPr>
          <w:rFonts w:hint="eastAsia" w:ascii="宋体" w:hAnsi="宋体"/>
          <w:color w:val="auto"/>
        </w:rPr>
        <w:t>合同</w:t>
      </w:r>
    </w:p>
    <w:p w14:paraId="31B2CC3D">
      <w:pPr>
        <w:spacing w:line="360" w:lineRule="auto"/>
        <w:rPr>
          <w:rFonts w:ascii="宋体" w:hAnsi="宋体" w:cs="宋体"/>
          <w:color w:val="auto"/>
          <w:szCs w:val="21"/>
        </w:rPr>
      </w:pPr>
      <w:r>
        <w:rPr>
          <w:rFonts w:hint="eastAsia" w:ascii="宋体" w:hAnsi="宋体" w:cs="宋体"/>
          <w:color w:val="auto"/>
          <w:szCs w:val="21"/>
        </w:rPr>
        <w:t>本合同为中小企业预留合同：</w:t>
      </w:r>
      <w:r>
        <w:rPr>
          <w:rFonts w:hint="eastAsia" w:ascii="宋体" w:hAnsi="宋体" w:cs="宋体"/>
          <w:i/>
          <w:color w:val="auto"/>
          <w:szCs w:val="21"/>
          <w:u w:val="single"/>
        </w:rPr>
        <w:t>（是/否）</w:t>
      </w:r>
      <w:r>
        <w:rPr>
          <w:rFonts w:hint="eastAsia" w:ascii="宋体" w:hAnsi="宋体" w:cs="宋体"/>
          <w:color w:val="auto"/>
          <w:szCs w:val="21"/>
        </w:rPr>
        <w:t>。</w:t>
      </w:r>
    </w:p>
    <w:p w14:paraId="70D97839">
      <w:pPr>
        <w:pStyle w:val="21"/>
        <w:spacing w:line="360" w:lineRule="auto"/>
        <w:rPr>
          <w:rFonts w:ascii="宋体" w:hAnsi="宋体"/>
          <w:color w:val="auto"/>
        </w:rPr>
      </w:pPr>
    </w:p>
    <w:p w14:paraId="2567FF46">
      <w:pPr>
        <w:snapToGrid w:val="0"/>
        <w:spacing w:line="360" w:lineRule="auto"/>
        <w:ind w:firstLine="420" w:firstLineChars="200"/>
        <w:rPr>
          <w:rFonts w:ascii="宋体" w:hAnsi="宋体"/>
          <w:color w:val="auto"/>
          <w:szCs w:val="21"/>
        </w:rPr>
      </w:pPr>
      <w:r>
        <w:rPr>
          <w:rFonts w:hint="eastAsia" w:ascii="宋体" w:hAnsi="宋体"/>
          <w:color w:val="auto"/>
          <w:szCs w:val="21"/>
        </w:rPr>
        <w:t>根据《中华人民共和国政府采购法》《中华人民共和国民法典》等法律法规规定，按照采购文件规定条款和乙方投标（竞标）承诺，甲乙双方签订本合同。</w:t>
      </w:r>
    </w:p>
    <w:p w14:paraId="14DC7F3F">
      <w:pPr>
        <w:spacing w:line="360" w:lineRule="auto"/>
        <w:ind w:firstLine="422" w:firstLineChars="200"/>
        <w:rPr>
          <w:rFonts w:ascii="宋体" w:hAnsi="宋体" w:cs="宋体"/>
          <w:b/>
          <w:color w:val="auto"/>
          <w:szCs w:val="21"/>
        </w:rPr>
      </w:pPr>
      <w:r>
        <w:rPr>
          <w:rFonts w:hint="eastAsia" w:ascii="宋体" w:hAnsi="宋体" w:cs="宋体"/>
          <w:b/>
          <w:color w:val="auto"/>
          <w:szCs w:val="21"/>
        </w:rPr>
        <w:t>第一条　合同标的</w:t>
      </w:r>
    </w:p>
    <w:tbl>
      <w:tblPr>
        <w:tblStyle w:val="51"/>
        <w:tblW w:w="851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671"/>
        <w:gridCol w:w="1515"/>
        <w:gridCol w:w="1904"/>
        <w:gridCol w:w="1700"/>
      </w:tblGrid>
      <w:tr w14:paraId="72D9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188FDCF0">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jc w:val="center"/>
              <w:textAlignment w:val="auto"/>
              <w:rPr>
                <w:rFonts w:ascii="宋体" w:hAnsi="宋体" w:cs="宋体"/>
                <w:color w:val="auto"/>
                <w:szCs w:val="21"/>
              </w:rPr>
            </w:pPr>
            <w:r>
              <w:rPr>
                <w:rFonts w:hint="eastAsia" w:ascii="宋体" w:hAnsi="宋体"/>
                <w:b/>
                <w:color w:val="auto"/>
                <w:sz w:val="24"/>
              </w:rPr>
              <w:t>序号</w:t>
            </w:r>
          </w:p>
        </w:tc>
        <w:tc>
          <w:tcPr>
            <w:tcW w:w="2671" w:type="dxa"/>
            <w:tcBorders>
              <w:top w:val="single" w:color="auto" w:sz="4" w:space="0"/>
              <w:left w:val="single" w:color="auto" w:sz="4" w:space="0"/>
              <w:bottom w:val="single" w:color="auto" w:sz="4" w:space="0"/>
              <w:right w:val="single" w:color="auto" w:sz="4" w:space="0"/>
            </w:tcBorders>
            <w:vAlign w:val="center"/>
          </w:tcPr>
          <w:p w14:paraId="042D21F7">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jc w:val="center"/>
              <w:textAlignment w:val="auto"/>
              <w:rPr>
                <w:rFonts w:ascii="宋体" w:hAnsi="宋体" w:cs="宋体"/>
                <w:color w:val="auto"/>
                <w:szCs w:val="21"/>
              </w:rPr>
            </w:pPr>
            <w:r>
              <w:rPr>
                <w:rFonts w:hint="eastAsia" w:ascii="宋体" w:hAnsi="宋体"/>
                <w:b/>
                <w:color w:val="auto"/>
                <w:sz w:val="24"/>
              </w:rPr>
              <w:t>标的的名称</w:t>
            </w:r>
          </w:p>
        </w:tc>
        <w:tc>
          <w:tcPr>
            <w:tcW w:w="1515" w:type="dxa"/>
            <w:tcBorders>
              <w:top w:val="single" w:color="auto" w:sz="4" w:space="0"/>
              <w:left w:val="single" w:color="auto" w:sz="4" w:space="0"/>
              <w:bottom w:val="single" w:color="auto" w:sz="4" w:space="0"/>
              <w:right w:val="single" w:color="auto" w:sz="4" w:space="0"/>
            </w:tcBorders>
            <w:vAlign w:val="center"/>
          </w:tcPr>
          <w:p w14:paraId="7E7C2816">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jc w:val="center"/>
              <w:textAlignment w:val="auto"/>
              <w:rPr>
                <w:rFonts w:ascii="宋体" w:hAnsi="宋体" w:cs="宋体"/>
                <w:color w:val="auto"/>
                <w:szCs w:val="21"/>
              </w:rPr>
            </w:pPr>
            <w:r>
              <w:rPr>
                <w:rFonts w:hint="eastAsia" w:ascii="宋体" w:hAnsi="宋体"/>
                <w:b/>
                <w:color w:val="auto"/>
                <w:sz w:val="24"/>
              </w:rPr>
              <w:t>数量及单位</w:t>
            </w:r>
          </w:p>
        </w:tc>
        <w:tc>
          <w:tcPr>
            <w:tcW w:w="1904" w:type="dxa"/>
            <w:tcBorders>
              <w:top w:val="single" w:color="auto" w:sz="4" w:space="0"/>
              <w:left w:val="single" w:color="auto" w:sz="4" w:space="0"/>
              <w:bottom w:val="single" w:color="auto" w:sz="4" w:space="0"/>
              <w:right w:val="single" w:color="auto" w:sz="4" w:space="0"/>
            </w:tcBorders>
            <w:vAlign w:val="center"/>
          </w:tcPr>
          <w:p w14:paraId="6B204950">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jc w:val="center"/>
              <w:textAlignment w:val="auto"/>
              <w:rPr>
                <w:rFonts w:ascii="宋体" w:hAnsi="宋体" w:cs="宋体"/>
                <w:color w:val="auto"/>
                <w:szCs w:val="21"/>
              </w:rPr>
            </w:pPr>
            <w:r>
              <w:rPr>
                <w:rFonts w:hint="eastAsia" w:ascii="宋体" w:hAnsi="宋体"/>
                <w:b/>
                <w:color w:val="auto"/>
                <w:sz w:val="24"/>
              </w:rPr>
              <w:t>单价（元）</w:t>
            </w:r>
          </w:p>
        </w:tc>
        <w:tc>
          <w:tcPr>
            <w:tcW w:w="1700" w:type="dxa"/>
            <w:tcBorders>
              <w:top w:val="single" w:color="auto" w:sz="4" w:space="0"/>
              <w:left w:val="single" w:color="auto" w:sz="4" w:space="0"/>
              <w:bottom w:val="single" w:color="auto" w:sz="4" w:space="0"/>
              <w:right w:val="single" w:color="auto" w:sz="4" w:space="0"/>
            </w:tcBorders>
            <w:vAlign w:val="center"/>
          </w:tcPr>
          <w:p w14:paraId="04B4AB55">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jc w:val="center"/>
              <w:textAlignment w:val="auto"/>
              <w:rPr>
                <w:rFonts w:ascii="宋体" w:hAnsi="宋体" w:cs="宋体"/>
                <w:color w:val="auto"/>
                <w:szCs w:val="21"/>
              </w:rPr>
            </w:pPr>
            <w:r>
              <w:rPr>
                <w:rFonts w:hint="eastAsia" w:ascii="宋体" w:hAnsi="宋体"/>
                <w:b/>
                <w:color w:val="auto"/>
                <w:sz w:val="24"/>
              </w:rPr>
              <w:t>合计（元）</w:t>
            </w:r>
          </w:p>
        </w:tc>
      </w:tr>
      <w:tr w14:paraId="6772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515F909A">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rPr>
            </w:pPr>
            <w:r>
              <w:rPr>
                <w:rFonts w:hint="eastAsia" w:ascii="宋体" w:hAnsi="宋体" w:cs="宋体"/>
                <w:color w:val="auto"/>
                <w:szCs w:val="21"/>
              </w:rPr>
              <w:t>1</w:t>
            </w:r>
          </w:p>
        </w:tc>
        <w:tc>
          <w:tcPr>
            <w:tcW w:w="2671" w:type="dxa"/>
            <w:tcBorders>
              <w:top w:val="single" w:color="auto" w:sz="4" w:space="0"/>
              <w:left w:val="single" w:color="auto" w:sz="4" w:space="0"/>
              <w:bottom w:val="single" w:color="auto" w:sz="4" w:space="0"/>
              <w:right w:val="single" w:color="auto" w:sz="4" w:space="0"/>
            </w:tcBorders>
            <w:vAlign w:val="center"/>
          </w:tcPr>
          <w:p w14:paraId="36B0BE26">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106E7168">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rPr>
            </w:pPr>
          </w:p>
        </w:tc>
        <w:tc>
          <w:tcPr>
            <w:tcW w:w="1904" w:type="dxa"/>
            <w:tcBorders>
              <w:top w:val="single" w:color="auto" w:sz="4" w:space="0"/>
              <w:left w:val="single" w:color="auto" w:sz="4" w:space="0"/>
              <w:bottom w:val="single" w:color="auto" w:sz="4" w:space="0"/>
              <w:right w:val="single" w:color="auto" w:sz="4" w:space="0"/>
            </w:tcBorders>
            <w:vAlign w:val="center"/>
          </w:tcPr>
          <w:p w14:paraId="398ED48A">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rPr>
            </w:pPr>
          </w:p>
        </w:tc>
        <w:tc>
          <w:tcPr>
            <w:tcW w:w="1700" w:type="dxa"/>
            <w:tcBorders>
              <w:top w:val="single" w:color="auto" w:sz="4" w:space="0"/>
              <w:left w:val="single" w:color="auto" w:sz="4" w:space="0"/>
              <w:bottom w:val="single" w:color="auto" w:sz="4" w:space="0"/>
              <w:right w:val="single" w:color="auto" w:sz="4" w:space="0"/>
            </w:tcBorders>
            <w:vAlign w:val="center"/>
          </w:tcPr>
          <w:p w14:paraId="369E76AE">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rPr>
            </w:pPr>
          </w:p>
        </w:tc>
      </w:tr>
      <w:tr w14:paraId="16F8F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5986ADC1">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rPr>
            </w:pPr>
            <w:r>
              <w:rPr>
                <w:rFonts w:hint="eastAsia" w:ascii="宋体" w:hAnsi="宋体" w:cs="宋体"/>
                <w:color w:val="auto"/>
                <w:szCs w:val="21"/>
              </w:rPr>
              <w:t>2</w:t>
            </w:r>
          </w:p>
        </w:tc>
        <w:tc>
          <w:tcPr>
            <w:tcW w:w="2671" w:type="dxa"/>
            <w:tcBorders>
              <w:top w:val="single" w:color="auto" w:sz="4" w:space="0"/>
              <w:left w:val="single" w:color="auto" w:sz="4" w:space="0"/>
              <w:bottom w:val="single" w:color="auto" w:sz="4" w:space="0"/>
              <w:right w:val="single" w:color="auto" w:sz="4" w:space="0"/>
            </w:tcBorders>
            <w:vAlign w:val="center"/>
          </w:tcPr>
          <w:p w14:paraId="4C7FAD5A">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3F5BD91A">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rPr>
            </w:pPr>
          </w:p>
        </w:tc>
        <w:tc>
          <w:tcPr>
            <w:tcW w:w="1904" w:type="dxa"/>
            <w:tcBorders>
              <w:top w:val="single" w:color="auto" w:sz="4" w:space="0"/>
              <w:left w:val="single" w:color="auto" w:sz="4" w:space="0"/>
              <w:bottom w:val="single" w:color="auto" w:sz="4" w:space="0"/>
              <w:right w:val="single" w:color="auto" w:sz="4" w:space="0"/>
            </w:tcBorders>
            <w:vAlign w:val="center"/>
          </w:tcPr>
          <w:p w14:paraId="7246AF4B">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rPr>
            </w:pPr>
          </w:p>
        </w:tc>
        <w:tc>
          <w:tcPr>
            <w:tcW w:w="1700" w:type="dxa"/>
            <w:tcBorders>
              <w:top w:val="single" w:color="auto" w:sz="4" w:space="0"/>
              <w:left w:val="single" w:color="auto" w:sz="4" w:space="0"/>
              <w:bottom w:val="single" w:color="auto" w:sz="4" w:space="0"/>
              <w:right w:val="single" w:color="auto" w:sz="4" w:space="0"/>
            </w:tcBorders>
            <w:vAlign w:val="center"/>
          </w:tcPr>
          <w:p w14:paraId="6EDDC84F">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rPr>
            </w:pPr>
          </w:p>
        </w:tc>
      </w:tr>
      <w:tr w14:paraId="688A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0CE4EB61">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rPr>
            </w:pPr>
            <w:r>
              <w:rPr>
                <w:rFonts w:hint="eastAsia" w:ascii="宋体" w:hAnsi="宋体" w:cs="宋体"/>
                <w:color w:val="auto"/>
                <w:szCs w:val="21"/>
              </w:rPr>
              <w:t>……</w:t>
            </w:r>
          </w:p>
        </w:tc>
        <w:tc>
          <w:tcPr>
            <w:tcW w:w="2671" w:type="dxa"/>
            <w:tcBorders>
              <w:top w:val="single" w:color="auto" w:sz="4" w:space="0"/>
              <w:left w:val="single" w:color="auto" w:sz="4" w:space="0"/>
              <w:bottom w:val="single" w:color="auto" w:sz="4" w:space="0"/>
              <w:right w:val="single" w:color="auto" w:sz="4" w:space="0"/>
            </w:tcBorders>
            <w:vAlign w:val="center"/>
          </w:tcPr>
          <w:p w14:paraId="75C0D87C">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0093D678">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rPr>
            </w:pPr>
          </w:p>
        </w:tc>
        <w:tc>
          <w:tcPr>
            <w:tcW w:w="1904" w:type="dxa"/>
            <w:tcBorders>
              <w:top w:val="single" w:color="auto" w:sz="4" w:space="0"/>
              <w:left w:val="single" w:color="auto" w:sz="4" w:space="0"/>
              <w:bottom w:val="single" w:color="auto" w:sz="4" w:space="0"/>
              <w:right w:val="single" w:color="auto" w:sz="4" w:space="0"/>
            </w:tcBorders>
            <w:vAlign w:val="center"/>
          </w:tcPr>
          <w:p w14:paraId="439F5A56">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rPr>
            </w:pPr>
          </w:p>
        </w:tc>
        <w:tc>
          <w:tcPr>
            <w:tcW w:w="1700" w:type="dxa"/>
            <w:tcBorders>
              <w:top w:val="single" w:color="auto" w:sz="4" w:space="0"/>
              <w:left w:val="single" w:color="auto" w:sz="4" w:space="0"/>
              <w:bottom w:val="single" w:color="auto" w:sz="4" w:space="0"/>
              <w:right w:val="single" w:color="auto" w:sz="4" w:space="0"/>
            </w:tcBorders>
            <w:vAlign w:val="center"/>
          </w:tcPr>
          <w:p w14:paraId="437AE1AD">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宋体" w:hAnsi="宋体" w:cs="宋体"/>
                <w:color w:val="auto"/>
                <w:szCs w:val="21"/>
              </w:rPr>
            </w:pPr>
          </w:p>
        </w:tc>
      </w:tr>
      <w:tr w14:paraId="57E9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510" w:type="dxa"/>
            <w:gridSpan w:val="5"/>
            <w:tcBorders>
              <w:top w:val="single" w:color="auto" w:sz="4" w:space="0"/>
              <w:left w:val="single" w:color="auto" w:sz="4" w:space="0"/>
              <w:bottom w:val="single" w:color="auto" w:sz="4" w:space="0"/>
              <w:right w:val="single" w:color="auto" w:sz="4" w:space="0"/>
            </w:tcBorders>
            <w:vAlign w:val="center"/>
          </w:tcPr>
          <w:p w14:paraId="783360D0">
            <w:pPr>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ascii="宋体" w:hAnsi="宋体" w:cs="宋体"/>
                <w:color w:val="auto"/>
                <w:szCs w:val="21"/>
                <w:u w:val="single"/>
              </w:rPr>
            </w:pPr>
            <w:r>
              <w:rPr>
                <w:rFonts w:hint="eastAsia" w:ascii="宋体" w:hAnsi="宋体" w:cs="宋体"/>
                <w:color w:val="auto"/>
                <w:szCs w:val="21"/>
              </w:rPr>
              <w:t>合计金额（人民币）：</w:t>
            </w:r>
            <w:r>
              <w:rPr>
                <w:rFonts w:hint="eastAsia" w:ascii="宋体" w:hAnsi="宋体" w:cs="宋体"/>
                <w:color w:val="auto"/>
                <w:szCs w:val="21"/>
                <w:u w:val="single"/>
              </w:rPr>
              <w:t xml:space="preserve">（大写）                          （小写）                 </w:t>
            </w:r>
          </w:p>
          <w:p w14:paraId="37146EC1">
            <w:pPr>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ascii="宋体" w:hAnsi="宋体" w:cs="宋体"/>
                <w:color w:val="auto"/>
                <w:szCs w:val="21"/>
              </w:rPr>
            </w:pPr>
            <w:r>
              <w:rPr>
                <w:rFonts w:hint="eastAsia" w:ascii="宋体" w:hAnsi="宋体" w:cs="宋体"/>
                <w:color w:val="auto"/>
                <w:szCs w:val="21"/>
              </w:rPr>
              <w:t xml:space="preserve">注：配套设备品牌及型号等见附件               </w:t>
            </w:r>
          </w:p>
        </w:tc>
      </w:tr>
    </w:tbl>
    <w:p w14:paraId="3AEDAA8E">
      <w:pPr>
        <w:spacing w:line="360" w:lineRule="auto"/>
        <w:ind w:firstLine="422" w:firstLineChars="200"/>
        <w:rPr>
          <w:rFonts w:ascii="宋体" w:hAnsi="宋体" w:cs="宋体"/>
          <w:b/>
          <w:color w:val="auto"/>
          <w:szCs w:val="21"/>
        </w:rPr>
      </w:pPr>
      <w:r>
        <w:rPr>
          <w:rFonts w:hint="eastAsia" w:ascii="宋体" w:hAnsi="宋体" w:cs="宋体"/>
          <w:b/>
          <w:color w:val="auto"/>
          <w:szCs w:val="21"/>
        </w:rPr>
        <w:t>第二条　</w:t>
      </w:r>
      <w:r>
        <w:rPr>
          <w:rFonts w:hint="eastAsia" w:ascii="宋体" w:hAnsi="宋体"/>
          <w:b/>
          <w:color w:val="auto"/>
          <w:szCs w:val="21"/>
        </w:rPr>
        <w:t>标的质量</w:t>
      </w:r>
    </w:p>
    <w:p w14:paraId="3C0F9D8B">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乙方所提供的服务及服务内容必须与</w:t>
      </w:r>
      <w:r>
        <w:rPr>
          <w:rFonts w:hint="eastAsia" w:ascii="宋体" w:hAnsi="宋体"/>
          <w:color w:val="auto"/>
          <w:szCs w:val="21"/>
        </w:rPr>
        <w:t>投标（响应）</w:t>
      </w:r>
      <w:r>
        <w:rPr>
          <w:rFonts w:hint="eastAsia" w:ascii="宋体" w:hAnsi="宋体" w:cs="宋体"/>
          <w:color w:val="auto"/>
          <w:szCs w:val="21"/>
        </w:rPr>
        <w:t>承诺相一致，</w:t>
      </w:r>
      <w:r>
        <w:rPr>
          <w:rFonts w:hint="eastAsia" w:ascii="宋体" w:hAnsi="宋体"/>
          <w:color w:val="auto"/>
          <w:szCs w:val="21"/>
        </w:rPr>
        <w:t>且满足项目实施要求，</w:t>
      </w:r>
      <w:r>
        <w:rPr>
          <w:rFonts w:hint="eastAsia" w:ascii="宋体" w:hAnsi="宋体" w:cs="宋体"/>
          <w:color w:val="auto"/>
          <w:szCs w:val="21"/>
        </w:rPr>
        <w:t>有国家强制性标准的，还必须符合国家强制性标准的规定，没有国家强制性标准但有其他强制性标准的，必须符合其他强制性标准的规定。</w:t>
      </w:r>
    </w:p>
    <w:p w14:paraId="52E2B50B">
      <w:pPr>
        <w:snapToGrid w:val="0"/>
        <w:spacing w:line="360" w:lineRule="auto"/>
        <w:ind w:firstLine="422" w:firstLineChars="200"/>
        <w:rPr>
          <w:rFonts w:ascii="宋体" w:hAnsi="宋体"/>
          <w:color w:val="auto"/>
          <w:szCs w:val="21"/>
        </w:rPr>
      </w:pPr>
      <w:r>
        <w:rPr>
          <w:rFonts w:hint="eastAsia" w:ascii="宋体" w:hAnsi="宋体" w:cs="宋体"/>
          <w:b/>
          <w:color w:val="auto"/>
          <w:szCs w:val="21"/>
        </w:rPr>
        <w:t>第三条  履行时间（期限）、地点和方式</w:t>
      </w:r>
    </w:p>
    <w:p w14:paraId="74EDDFA7">
      <w:pPr>
        <w:snapToGrid w:val="0"/>
        <w:spacing w:line="360" w:lineRule="auto"/>
        <w:ind w:firstLine="420" w:firstLineChars="200"/>
        <w:rPr>
          <w:rFonts w:ascii="宋体" w:hAnsi="宋体"/>
          <w:i/>
          <w:color w:val="auto"/>
          <w:szCs w:val="21"/>
          <w:u w:val="single"/>
        </w:rPr>
      </w:pPr>
      <w:r>
        <w:rPr>
          <w:rFonts w:hint="eastAsia" w:ascii="宋体" w:hAnsi="宋体" w:cs="宋体"/>
          <w:color w:val="auto"/>
          <w:szCs w:val="21"/>
        </w:rPr>
        <w:t>1.履行时间（期限）：</w:t>
      </w:r>
      <w:r>
        <w:rPr>
          <w:rFonts w:hint="eastAsia" w:ascii="宋体" w:hAnsi="宋体" w:cs="宋体"/>
          <w:color w:val="auto"/>
          <w:szCs w:val="21"/>
          <w:u w:val="single"/>
        </w:rPr>
        <w:t>设备自合同签订之日起90日内安装调试完毕并交付使用；服务期：自合同生效之日起</w:t>
      </w:r>
      <w:r>
        <w:rPr>
          <w:rFonts w:hint="eastAsia" w:ascii="宋体" w:hAnsi="宋体"/>
          <w:iCs/>
          <w:color w:val="auto"/>
          <w:szCs w:val="21"/>
          <w:u w:val="single"/>
        </w:rPr>
        <w:t>三年。</w:t>
      </w:r>
    </w:p>
    <w:p w14:paraId="7335FF71">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2.履行地点：</w:t>
      </w:r>
      <w:r>
        <w:rPr>
          <w:rFonts w:hint="eastAsia" w:ascii="宋体" w:hAnsi="宋体" w:cs="宋体"/>
          <w:color w:val="auto"/>
          <w:szCs w:val="21"/>
          <w:u w:val="single"/>
        </w:rPr>
        <w:t xml:space="preserve"> 甲方指定地点 </w:t>
      </w:r>
    </w:p>
    <w:p w14:paraId="51B5C552">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3.履行方式</w:t>
      </w:r>
    </w:p>
    <w:p w14:paraId="1395A169">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（1）履行方式：</w:t>
      </w:r>
      <w:r>
        <w:rPr>
          <w:rFonts w:hint="eastAsia" w:ascii="宋体" w:hAnsi="宋体" w:cs="宋体"/>
          <w:color w:val="auto"/>
          <w:szCs w:val="21"/>
          <w:u w:val="single"/>
        </w:rPr>
        <w:t xml:space="preserve">                               </w:t>
      </w:r>
      <w:r>
        <w:rPr>
          <w:rFonts w:hint="eastAsia" w:ascii="宋体" w:hAnsi="宋体" w:cs="宋体"/>
          <w:color w:val="auto"/>
          <w:szCs w:val="21"/>
        </w:rPr>
        <w:t>；</w:t>
      </w:r>
    </w:p>
    <w:p w14:paraId="26AE423E">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（2）伴随货物的，</w:t>
      </w:r>
      <w:r>
        <w:rPr>
          <w:rFonts w:hint="eastAsia" w:ascii="宋体" w:hAnsi="宋体"/>
          <w:color w:val="auto"/>
          <w:szCs w:val="21"/>
        </w:rPr>
        <w:t>乙方负责货物运输，</w:t>
      </w:r>
      <w:r>
        <w:rPr>
          <w:rFonts w:hint="eastAsia" w:ascii="宋体" w:hAnsi="宋体" w:cs="宋体"/>
          <w:color w:val="auto"/>
          <w:szCs w:val="21"/>
        </w:rPr>
        <w:t>货物的运输方式：</w:t>
      </w:r>
      <w:r>
        <w:rPr>
          <w:rFonts w:hint="eastAsia" w:ascii="宋体" w:hAnsi="宋体" w:cs="宋体"/>
          <w:color w:val="auto"/>
          <w:szCs w:val="21"/>
          <w:u w:val="single"/>
        </w:rPr>
        <w:t xml:space="preserve">     </w:t>
      </w:r>
      <w:r>
        <w:rPr>
          <w:rFonts w:hint="eastAsia" w:ascii="宋体" w:hAnsi="宋体" w:cs="宋体"/>
          <w:color w:val="auto"/>
          <w:szCs w:val="21"/>
        </w:rPr>
        <w:t>，交货方式：</w:t>
      </w:r>
    </w:p>
    <w:p w14:paraId="658065D0">
      <w:pPr>
        <w:snapToGrid w:val="0"/>
        <w:spacing w:line="360" w:lineRule="auto"/>
        <w:ind w:firstLine="420" w:firstLineChars="200"/>
        <w:rPr>
          <w:rFonts w:ascii="宋体" w:hAnsi="宋体" w:cs="宋体"/>
          <w:color w:val="auto"/>
          <w:szCs w:val="21"/>
        </w:rPr>
      </w:pPr>
      <w:r>
        <w:rPr>
          <w:rFonts w:hint="eastAsia" w:ascii="宋体" w:hAnsi="宋体"/>
          <w:color w:val="auto"/>
          <w:szCs w:val="21"/>
        </w:rPr>
        <w:t>☑</w:t>
      </w:r>
      <w:r>
        <w:rPr>
          <w:rFonts w:hint="eastAsia" w:ascii="宋体" w:hAnsi="宋体" w:cs="宋体"/>
          <w:color w:val="auto"/>
          <w:szCs w:val="21"/>
        </w:rPr>
        <w:t>乙方将货物送到甲方指定地点。</w:t>
      </w:r>
    </w:p>
    <w:p w14:paraId="7DE17EE6">
      <w:pPr>
        <w:snapToGrid w:val="0"/>
        <w:spacing w:line="360" w:lineRule="auto"/>
        <w:ind w:firstLine="420" w:firstLineChars="200"/>
        <w:rPr>
          <w:rFonts w:ascii="宋体" w:hAnsi="宋体" w:cs="宋体"/>
          <w:color w:val="auto"/>
          <w:szCs w:val="21"/>
        </w:rPr>
      </w:pPr>
      <w:r>
        <w:rPr>
          <w:rFonts w:hint="eastAsia" w:ascii="宋体" w:hAnsi="宋体"/>
          <w:color w:val="auto"/>
          <w:szCs w:val="21"/>
        </w:rPr>
        <w:t>□</w:t>
      </w:r>
      <w:r>
        <w:rPr>
          <w:rFonts w:hint="eastAsia" w:ascii="宋体" w:hAnsi="宋体" w:cs="宋体"/>
          <w:color w:val="auto"/>
          <w:szCs w:val="21"/>
        </w:rPr>
        <w:t>甲方自行到乙方指定地点提货。</w:t>
      </w:r>
    </w:p>
    <w:p w14:paraId="6E8E1986">
      <w:pPr>
        <w:snapToGrid w:val="0"/>
        <w:spacing w:line="360" w:lineRule="auto"/>
        <w:ind w:firstLine="420" w:firstLineChars="200"/>
        <w:rPr>
          <w:rFonts w:ascii="宋体" w:hAnsi="宋体" w:cs="宋体"/>
          <w:b/>
          <w:color w:val="auto"/>
          <w:szCs w:val="21"/>
        </w:rPr>
      </w:pPr>
      <w:r>
        <w:rPr>
          <w:rFonts w:hint="eastAsia" w:ascii="宋体" w:hAnsi="宋体" w:cs="宋体"/>
          <w:color w:val="auto"/>
          <w:szCs w:val="21"/>
        </w:rPr>
        <w:t>□其他：</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ascii="宋体" w:hAnsi="宋体" w:cs="宋体"/>
          <w:b/>
          <w:color w:val="auto"/>
          <w:szCs w:val="21"/>
        </w:rPr>
        <w:t xml:space="preserve"> </w:t>
      </w:r>
    </w:p>
    <w:p w14:paraId="3603FC64">
      <w:pPr>
        <w:snapToGrid w:val="0"/>
        <w:spacing w:line="360" w:lineRule="auto"/>
        <w:ind w:firstLine="422" w:firstLineChars="200"/>
        <w:rPr>
          <w:rFonts w:ascii="宋体" w:hAnsi="宋体"/>
          <w:b/>
          <w:color w:val="auto"/>
          <w:szCs w:val="21"/>
        </w:rPr>
      </w:pPr>
      <w:r>
        <w:rPr>
          <w:rFonts w:hint="eastAsia" w:ascii="宋体" w:hAnsi="宋体"/>
          <w:b/>
          <w:color w:val="auto"/>
          <w:szCs w:val="21"/>
        </w:rPr>
        <w:t>第四条　</w:t>
      </w:r>
      <w:r>
        <w:rPr>
          <w:rFonts w:hint="eastAsia" w:ascii="宋体" w:hAnsi="宋体"/>
          <w:b/>
          <w:color w:val="auto"/>
        </w:rPr>
        <w:t>包装方式（如有</w:t>
      </w:r>
      <w:r>
        <w:rPr>
          <w:rFonts w:hint="eastAsia" w:ascii="宋体" w:hAnsi="宋体"/>
          <w:b/>
          <w:color w:val="auto"/>
          <w:szCs w:val="21"/>
        </w:rPr>
        <w:t>伴随货物的</w:t>
      </w:r>
      <w:r>
        <w:rPr>
          <w:rFonts w:hint="eastAsia" w:ascii="宋体" w:hAnsi="宋体"/>
          <w:b/>
          <w:color w:val="auto"/>
        </w:rPr>
        <w:t>）</w:t>
      </w:r>
    </w:p>
    <w:p w14:paraId="2FDC97B9">
      <w:pPr>
        <w:snapToGrid w:val="0"/>
        <w:spacing w:line="360" w:lineRule="auto"/>
        <w:ind w:firstLine="420" w:firstLineChars="200"/>
        <w:rPr>
          <w:rFonts w:ascii="宋体" w:hAnsi="宋体"/>
          <w:color w:val="auto"/>
          <w:szCs w:val="21"/>
        </w:rPr>
      </w:pPr>
      <w:r>
        <w:rPr>
          <w:rFonts w:hint="eastAsia" w:ascii="宋体" w:hAnsi="宋体"/>
          <w:color w:val="auto"/>
          <w:szCs w:val="21"/>
        </w:rPr>
        <w:t>1.乙方提供的货物均应按投标（响应）文件承诺的要求的包装材料、包装标准、包装方式进行包装。</w:t>
      </w:r>
    </w:p>
    <w:p w14:paraId="4F910BC0">
      <w:pPr>
        <w:pStyle w:val="29"/>
        <w:snapToGrid w:val="0"/>
        <w:spacing w:line="360" w:lineRule="auto"/>
        <w:ind w:firstLine="420" w:firstLineChars="200"/>
        <w:rPr>
          <w:rFonts w:hAnsi="宋体"/>
          <w:color w:val="auto"/>
          <w:sz w:val="21"/>
        </w:rPr>
      </w:pPr>
      <w:r>
        <w:rPr>
          <w:rFonts w:hint="eastAsia" w:hAnsi="宋体"/>
          <w:color w:val="auto"/>
          <w:sz w:val="21"/>
        </w:rPr>
        <w:t>2.乙方应在货物发运前对其进行满足运输距离、防水、防潮、防震、防锈和防破损装卸等要求包装，以保证货物安全运达甲方指定地点。</w:t>
      </w:r>
    </w:p>
    <w:p w14:paraId="30B9A4B1">
      <w:pPr>
        <w:pStyle w:val="29"/>
        <w:snapToGrid w:val="0"/>
        <w:spacing w:line="360" w:lineRule="auto"/>
        <w:ind w:firstLine="420" w:firstLineChars="200"/>
        <w:rPr>
          <w:rFonts w:hAnsi="宋体"/>
          <w:color w:val="auto"/>
          <w:sz w:val="21"/>
        </w:rPr>
      </w:pPr>
      <w:r>
        <w:rPr>
          <w:rFonts w:hAnsi="宋体"/>
          <w:color w:val="auto"/>
          <w:sz w:val="21"/>
        </w:rPr>
        <w:t>3.</w:t>
      </w:r>
      <w:r>
        <w:rPr>
          <w:rFonts w:hint="eastAsia" w:hAnsi="宋体"/>
          <w:color w:val="auto"/>
          <w:sz w:val="21"/>
        </w:rPr>
        <w:t>货物的使用说明书（货物属于进口产品的，供货时应同时附上中文使用说明书）、质量检验证明书、质量合格证、随配附件和工具以及清单一并附于货物包装内。</w:t>
      </w:r>
    </w:p>
    <w:p w14:paraId="2AF5CEE4">
      <w:pPr>
        <w:snapToGrid w:val="0"/>
        <w:spacing w:line="360" w:lineRule="auto"/>
        <w:ind w:firstLine="422" w:firstLineChars="200"/>
        <w:rPr>
          <w:rFonts w:ascii="宋体" w:hAnsi="宋体"/>
          <w:color w:val="auto"/>
          <w:szCs w:val="21"/>
        </w:rPr>
      </w:pPr>
      <w:r>
        <w:rPr>
          <w:rFonts w:hint="eastAsia" w:ascii="宋体" w:hAnsi="宋体"/>
          <w:b/>
          <w:color w:val="auto"/>
          <w:szCs w:val="21"/>
        </w:rPr>
        <w:t>第五条　实施和培训</w:t>
      </w:r>
    </w:p>
    <w:p w14:paraId="3F27E590">
      <w:pPr>
        <w:snapToGrid w:val="0"/>
        <w:spacing w:line="360" w:lineRule="auto"/>
        <w:ind w:firstLine="420" w:firstLineChars="200"/>
        <w:rPr>
          <w:rFonts w:ascii="宋体" w:hAnsi="宋体"/>
          <w:color w:val="auto"/>
          <w:szCs w:val="21"/>
        </w:rPr>
      </w:pPr>
      <w:r>
        <w:rPr>
          <w:rFonts w:hint="eastAsia" w:ascii="宋体" w:hAnsi="宋体"/>
          <w:color w:val="auto"/>
          <w:szCs w:val="21"/>
        </w:rPr>
        <w:t>1.实施时间：</w:t>
      </w:r>
      <w:r>
        <w:rPr>
          <w:rFonts w:hint="eastAsia" w:ascii="宋体" w:hAnsi="宋体"/>
          <w:color w:val="auto"/>
          <w:szCs w:val="21"/>
          <w:u w:val="single"/>
        </w:rPr>
        <w:t xml:space="preserve"> 设备自合同签订之日起90日内安装调试完毕并交付使用</w:t>
      </w:r>
      <w:r>
        <w:rPr>
          <w:rFonts w:hint="eastAsia" w:ascii="宋体" w:hAnsi="宋体"/>
          <w:color w:val="auto"/>
          <w:szCs w:val="21"/>
        </w:rPr>
        <w:t>；实施地点：</w:t>
      </w:r>
      <w:r>
        <w:rPr>
          <w:rFonts w:hint="eastAsia" w:ascii="宋体" w:hAnsi="宋体"/>
          <w:color w:val="auto"/>
          <w:szCs w:val="21"/>
          <w:u w:val="single"/>
        </w:rPr>
        <w:t xml:space="preserve">甲方指定地点 </w:t>
      </w:r>
      <w:r>
        <w:rPr>
          <w:rFonts w:hint="eastAsia" w:ascii="宋体" w:hAnsi="宋体"/>
          <w:color w:val="auto"/>
          <w:szCs w:val="21"/>
        </w:rPr>
        <w:t>。</w:t>
      </w:r>
    </w:p>
    <w:p w14:paraId="3CA59BAF">
      <w:pPr>
        <w:snapToGrid w:val="0"/>
        <w:spacing w:line="360" w:lineRule="auto"/>
        <w:ind w:firstLine="420" w:firstLineChars="200"/>
        <w:rPr>
          <w:rFonts w:ascii="宋体" w:hAnsi="宋体"/>
          <w:color w:val="auto"/>
          <w:szCs w:val="21"/>
        </w:rPr>
      </w:pPr>
      <w:r>
        <w:rPr>
          <w:rFonts w:hint="eastAsia" w:ascii="宋体" w:hAnsi="宋体"/>
          <w:color w:val="auto"/>
          <w:szCs w:val="21"/>
        </w:rPr>
        <w:t>2.实施要求：</w:t>
      </w:r>
      <w:r>
        <w:rPr>
          <w:rFonts w:hint="eastAsia" w:ascii="宋体" w:hAnsi="宋体"/>
          <w:iCs/>
          <w:color w:val="auto"/>
          <w:szCs w:val="21"/>
          <w:u w:val="single"/>
        </w:rPr>
        <w:t>乙方应当按招标文件要求（如有）或甲方要求进行实施</w:t>
      </w:r>
      <w:r>
        <w:rPr>
          <w:rFonts w:hint="eastAsia" w:ascii="宋体" w:hAnsi="宋体"/>
          <w:color w:val="auto"/>
          <w:szCs w:val="21"/>
        </w:rPr>
        <w:t>。</w:t>
      </w:r>
    </w:p>
    <w:p w14:paraId="59F83195">
      <w:pPr>
        <w:snapToGrid w:val="0"/>
        <w:spacing w:line="360" w:lineRule="auto"/>
        <w:ind w:firstLine="420" w:firstLineChars="200"/>
        <w:rPr>
          <w:rFonts w:ascii="宋体" w:hAnsi="宋体"/>
          <w:color w:val="auto"/>
          <w:szCs w:val="21"/>
        </w:rPr>
      </w:pPr>
      <w:r>
        <w:rPr>
          <w:rFonts w:hint="eastAsia" w:ascii="宋体" w:hAnsi="宋体"/>
          <w:color w:val="auto"/>
          <w:szCs w:val="21"/>
        </w:rPr>
        <w:t>3.乙方应按投标文件的承诺向甲方提供相应的服务，并提供所服务内容的相关技术资料，乙方提供不符合投标文件和本合同规定的服务成果，甲方有权拒绝接受。</w:t>
      </w:r>
    </w:p>
    <w:p w14:paraId="06B06520">
      <w:pPr>
        <w:pStyle w:val="21"/>
        <w:spacing w:line="360" w:lineRule="auto"/>
        <w:ind w:firstLine="420" w:firstLineChars="200"/>
        <w:rPr>
          <w:rFonts w:ascii="宋体" w:hAnsi="宋体"/>
          <w:color w:val="auto"/>
          <w:sz w:val="21"/>
          <w:szCs w:val="21"/>
        </w:rPr>
      </w:pPr>
      <w:r>
        <w:rPr>
          <w:rFonts w:hint="eastAsia" w:ascii="宋体" w:hAnsi="宋体"/>
          <w:color w:val="auto"/>
          <w:sz w:val="21"/>
          <w:szCs w:val="21"/>
        </w:rPr>
        <w:t>4.乙方应当按照投标文件的承诺对甲方有关人员进行培训。培训时间：</w:t>
      </w:r>
      <w:r>
        <w:rPr>
          <w:rFonts w:hint="eastAsia" w:ascii="宋体" w:hAnsi="宋体"/>
          <w:color w:val="auto"/>
          <w:sz w:val="21"/>
          <w:szCs w:val="21"/>
          <w:u w:val="single"/>
        </w:rPr>
        <w:t xml:space="preserve"> 按招标文件要求（如有）或投标文件承诺（如有）进行 </w:t>
      </w:r>
      <w:r>
        <w:rPr>
          <w:rFonts w:hint="eastAsia" w:ascii="宋体" w:hAnsi="宋体"/>
          <w:color w:val="auto"/>
          <w:sz w:val="21"/>
          <w:szCs w:val="21"/>
        </w:rPr>
        <w:t>；培训地点：</w:t>
      </w:r>
      <w:r>
        <w:rPr>
          <w:rFonts w:hint="eastAsia" w:ascii="宋体" w:hAnsi="宋体"/>
          <w:color w:val="auto"/>
          <w:sz w:val="21"/>
          <w:szCs w:val="21"/>
          <w:u w:val="single"/>
        </w:rPr>
        <w:t xml:space="preserve"> 按招标文件要求（如有）或投标文件承诺（如有）进行 </w:t>
      </w:r>
      <w:r>
        <w:rPr>
          <w:rFonts w:hint="eastAsia" w:ascii="宋体" w:hAnsi="宋体"/>
          <w:color w:val="auto"/>
          <w:sz w:val="21"/>
          <w:szCs w:val="21"/>
        </w:rPr>
        <w:t>。</w:t>
      </w:r>
    </w:p>
    <w:p w14:paraId="68843A5F">
      <w:pPr>
        <w:snapToGrid w:val="0"/>
        <w:spacing w:line="360" w:lineRule="auto"/>
        <w:ind w:firstLine="422" w:firstLineChars="200"/>
        <w:rPr>
          <w:rFonts w:ascii="宋体" w:hAnsi="宋体"/>
          <w:b/>
          <w:color w:val="auto"/>
          <w:szCs w:val="21"/>
        </w:rPr>
      </w:pPr>
      <w:r>
        <w:rPr>
          <w:rFonts w:hint="eastAsia" w:ascii="宋体" w:hAnsi="宋体"/>
          <w:b/>
          <w:color w:val="auto"/>
          <w:szCs w:val="21"/>
        </w:rPr>
        <w:t>第六条　合同价款及支付</w:t>
      </w:r>
    </w:p>
    <w:p w14:paraId="46D92C95">
      <w:pPr>
        <w:pStyle w:val="29"/>
        <w:snapToGrid w:val="0"/>
        <w:spacing w:line="360" w:lineRule="auto"/>
        <w:ind w:firstLine="420" w:firstLineChars="200"/>
        <w:rPr>
          <w:rFonts w:hAnsi="宋体"/>
          <w:color w:val="auto"/>
          <w:sz w:val="21"/>
        </w:rPr>
      </w:pPr>
      <w:r>
        <w:rPr>
          <w:rFonts w:hint="eastAsia" w:hAnsi="宋体"/>
          <w:color w:val="auto"/>
          <w:sz w:val="21"/>
        </w:rPr>
        <w:t>1.本合同以人民币付款。</w:t>
      </w:r>
    </w:p>
    <w:p w14:paraId="0DD434C7">
      <w:pPr>
        <w:pStyle w:val="29"/>
        <w:snapToGrid w:val="0"/>
        <w:spacing w:line="360" w:lineRule="auto"/>
        <w:ind w:firstLine="420" w:firstLineChars="200"/>
        <w:rPr>
          <w:rFonts w:hAnsi="宋体"/>
          <w:color w:val="auto"/>
        </w:rPr>
      </w:pPr>
      <w:r>
        <w:rPr>
          <w:rFonts w:hint="eastAsia" w:hAnsi="宋体"/>
          <w:color w:val="auto"/>
          <w:sz w:val="21"/>
        </w:rPr>
        <w:t>2.合同价款（或者报酬）：</w:t>
      </w:r>
      <w:r>
        <w:rPr>
          <w:rFonts w:hint="eastAsia" w:hAnsi="宋体"/>
          <w:color w:val="auto"/>
          <w:u w:val="single"/>
        </w:rPr>
        <w:t xml:space="preserve">     </w:t>
      </w:r>
      <w:r>
        <w:rPr>
          <w:rFonts w:hint="eastAsia" w:hAnsi="宋体"/>
          <w:color w:val="auto"/>
          <w:sz w:val="21"/>
          <w:u w:val="single"/>
        </w:rPr>
        <w:t xml:space="preserve">              。</w:t>
      </w:r>
    </w:p>
    <w:p w14:paraId="3664E789">
      <w:pPr>
        <w:snapToGrid w:val="0"/>
        <w:spacing w:line="360" w:lineRule="auto"/>
        <w:ind w:firstLine="420" w:firstLineChars="200"/>
        <w:rPr>
          <w:rFonts w:ascii="宋体" w:hAnsi="宋体"/>
          <w:color w:val="auto"/>
          <w:szCs w:val="21"/>
        </w:rPr>
      </w:pPr>
      <w:r>
        <w:rPr>
          <w:rFonts w:hint="eastAsia" w:ascii="宋体" w:hAnsi="宋体"/>
          <w:color w:val="auto"/>
          <w:szCs w:val="21"/>
        </w:rPr>
        <w:t>3.合同价款</w:t>
      </w:r>
      <w:r>
        <w:rPr>
          <w:rFonts w:hint="eastAsia" w:ascii="宋体" w:hAnsi="宋体" w:cs="宋体"/>
          <w:color w:val="auto"/>
          <w:szCs w:val="21"/>
        </w:rPr>
        <w:t>包括</w:t>
      </w:r>
      <w:r>
        <w:rPr>
          <w:rFonts w:hint="eastAsia" w:ascii="宋体" w:hAnsi="宋体" w:cs="宋体"/>
          <w:iCs/>
          <w:color w:val="auto"/>
          <w:szCs w:val="21"/>
          <w:u w:val="single"/>
        </w:rPr>
        <w:t>但不限于满足本次投标全部采购需求所应提供的服务，以及伴随的货物和工程（如有）的价格；包含投标服务、货物、工程的成本、运输（含保险）、安装（如有）、调试、检验、技术服务、培训、税费等所有费用。</w:t>
      </w:r>
    </w:p>
    <w:p w14:paraId="5A7E60C7">
      <w:pPr>
        <w:pStyle w:val="29"/>
        <w:snapToGrid w:val="0"/>
        <w:spacing w:line="360" w:lineRule="auto"/>
        <w:ind w:firstLine="420" w:firstLineChars="200"/>
        <w:rPr>
          <w:rFonts w:hAnsi="宋体"/>
          <w:bCs/>
          <w:color w:val="auto"/>
          <w:sz w:val="21"/>
        </w:rPr>
      </w:pPr>
      <w:r>
        <w:rPr>
          <w:rFonts w:hint="eastAsia" w:hAnsi="宋体"/>
          <w:bCs/>
          <w:color w:val="auto"/>
          <w:sz w:val="21"/>
        </w:rPr>
        <w:t>4.预付款：</w:t>
      </w:r>
      <w:r>
        <w:rPr>
          <w:rFonts w:hint="eastAsia" w:hAnsi="宋体"/>
          <w:bCs/>
          <w:iCs/>
          <w:color w:val="auto"/>
          <w:sz w:val="21"/>
        </w:rPr>
        <w:t>无</w:t>
      </w:r>
    </w:p>
    <w:p w14:paraId="6761EDF6">
      <w:pPr>
        <w:spacing w:line="360" w:lineRule="auto"/>
        <w:ind w:firstLine="420" w:firstLineChars="200"/>
        <w:rPr>
          <w:rFonts w:hint="default" w:ascii="宋体" w:hAnsi="宋体" w:eastAsia="宋体"/>
          <w:color w:val="auto"/>
          <w:szCs w:val="21"/>
          <w:u w:val="single"/>
          <w:lang w:val="en-US" w:eastAsia="zh-CN"/>
        </w:rPr>
      </w:pPr>
      <w:r>
        <w:rPr>
          <w:rFonts w:hAnsi="宋体"/>
          <w:bCs/>
          <w:color w:val="auto"/>
        </w:rPr>
        <w:t>5.</w:t>
      </w:r>
      <w:r>
        <w:rPr>
          <w:rFonts w:hint="eastAsia" w:hAnsi="宋体"/>
          <w:color w:val="auto"/>
        </w:rPr>
        <w:t>付款进度安排</w:t>
      </w:r>
      <w:r>
        <w:rPr>
          <w:rFonts w:hint="eastAsia" w:hAnsi="宋体"/>
          <w:i/>
          <w:color w:val="auto"/>
        </w:rPr>
        <w:t>：</w:t>
      </w:r>
      <w:r>
        <w:rPr>
          <w:rFonts w:hint="eastAsia" w:hAnsi="宋体"/>
          <w:i/>
          <w:color w:val="auto"/>
          <w:u w:val="single"/>
          <w:lang w:val="en-US" w:eastAsia="zh-CN"/>
        </w:rPr>
        <w:t xml:space="preserve">                                                                         </w:t>
      </w:r>
    </w:p>
    <w:p w14:paraId="26E4310D">
      <w:pPr>
        <w:snapToGrid w:val="0"/>
        <w:spacing w:line="360" w:lineRule="auto"/>
        <w:ind w:firstLine="420" w:firstLineChars="200"/>
        <w:rPr>
          <w:rFonts w:ascii="宋体" w:hAnsi="宋体"/>
          <w:b/>
          <w:color w:val="auto"/>
          <w:szCs w:val="21"/>
        </w:rPr>
      </w:pPr>
      <w:r>
        <w:rPr>
          <w:rFonts w:hAnsi="宋体"/>
          <w:color w:val="auto"/>
        </w:rPr>
        <w:t>6.</w:t>
      </w:r>
      <w:r>
        <w:rPr>
          <w:rFonts w:hint="eastAsia" w:hAnsi="宋体"/>
          <w:color w:val="auto"/>
        </w:rPr>
        <w:t>资金支付方式：</w:t>
      </w:r>
      <w:r>
        <w:rPr>
          <w:rFonts w:hAnsi="宋体"/>
          <w:color w:val="auto"/>
          <w:u w:val="single"/>
        </w:rPr>
        <w:t xml:space="preserve">  </w:t>
      </w:r>
      <w:r>
        <w:rPr>
          <w:rFonts w:hAnsi="宋体"/>
          <w:i/>
          <w:color w:val="auto"/>
          <w:u w:val="single"/>
        </w:rPr>
        <w:t xml:space="preserve">  </w:t>
      </w:r>
      <w:r>
        <w:rPr>
          <w:rFonts w:hint="eastAsia" w:hAnsi="宋体"/>
          <w:iCs/>
          <w:color w:val="auto"/>
          <w:u w:val="single"/>
        </w:rPr>
        <w:t>（银行转账）</w:t>
      </w:r>
      <w:r>
        <w:rPr>
          <w:rFonts w:hAnsi="宋体"/>
          <w:i/>
          <w:color w:val="auto"/>
          <w:u w:val="single"/>
        </w:rPr>
        <w:t xml:space="preserve">  </w:t>
      </w:r>
      <w:r>
        <w:rPr>
          <w:rFonts w:hAnsi="宋体"/>
          <w:color w:val="auto"/>
          <w:u w:val="single"/>
        </w:rPr>
        <w:t xml:space="preserve"> </w:t>
      </w:r>
      <w:r>
        <w:rPr>
          <w:rFonts w:hint="eastAsia" w:hAnsi="宋体"/>
          <w:color w:val="auto"/>
        </w:rPr>
        <w:t>。</w:t>
      </w:r>
    </w:p>
    <w:p w14:paraId="4ED56F7B">
      <w:pPr>
        <w:snapToGrid w:val="0"/>
        <w:spacing w:line="360" w:lineRule="auto"/>
        <w:ind w:firstLine="422" w:firstLineChars="200"/>
        <w:rPr>
          <w:rFonts w:ascii="宋体" w:hAnsi="宋体"/>
          <w:b/>
          <w:color w:val="auto"/>
          <w:szCs w:val="21"/>
        </w:rPr>
      </w:pPr>
      <w:r>
        <w:rPr>
          <w:rFonts w:hint="eastAsia" w:ascii="宋体" w:hAnsi="宋体"/>
          <w:b/>
          <w:color w:val="auto"/>
          <w:szCs w:val="21"/>
        </w:rPr>
        <w:t>第七条　验收、交付标准和方法</w:t>
      </w:r>
    </w:p>
    <w:p w14:paraId="5F69E1AD">
      <w:pPr>
        <w:snapToGrid w:val="0"/>
        <w:spacing w:line="360" w:lineRule="auto"/>
        <w:ind w:firstLine="420" w:firstLineChars="200"/>
        <w:rPr>
          <w:rFonts w:ascii="宋体" w:hAnsi="宋体"/>
          <w:color w:val="auto"/>
          <w:szCs w:val="21"/>
        </w:rPr>
      </w:pPr>
      <w:r>
        <w:rPr>
          <w:rFonts w:hint="eastAsia" w:ascii="宋体" w:hAnsi="宋体"/>
          <w:color w:val="auto"/>
          <w:szCs w:val="21"/>
        </w:rPr>
        <w:t>1.验收标准和方法</w:t>
      </w:r>
    </w:p>
    <w:p w14:paraId="276AC695">
      <w:pPr>
        <w:snapToGrid w:val="0"/>
        <w:spacing w:line="360" w:lineRule="auto"/>
        <w:ind w:firstLine="420" w:firstLineChars="200"/>
        <w:rPr>
          <w:rFonts w:ascii="宋体" w:hAnsi="宋体"/>
          <w:color w:val="auto"/>
          <w:szCs w:val="21"/>
        </w:rPr>
      </w:pPr>
      <w:r>
        <w:rPr>
          <w:rFonts w:hint="eastAsia" w:ascii="宋体" w:hAnsi="宋体"/>
          <w:color w:val="auto"/>
          <w:szCs w:val="21"/>
        </w:rPr>
        <w:t>（1）验收标准：</w:t>
      </w:r>
      <w:r>
        <w:rPr>
          <w:rFonts w:hint="eastAsia" w:ascii="宋体" w:hAnsi="宋体"/>
          <w:iCs/>
          <w:color w:val="auto"/>
          <w:szCs w:val="21"/>
        </w:rPr>
        <w:t>符合现行国家相关标准、行业标准、地方标准或者其他标准、规范。</w:t>
      </w:r>
    </w:p>
    <w:p w14:paraId="2CA05016">
      <w:pPr>
        <w:snapToGrid w:val="0"/>
        <w:spacing w:line="360" w:lineRule="auto"/>
        <w:ind w:firstLine="420" w:firstLineChars="200"/>
        <w:rPr>
          <w:rFonts w:ascii="宋体" w:hAnsi="宋体"/>
          <w:color w:val="auto"/>
          <w:szCs w:val="21"/>
        </w:rPr>
      </w:pPr>
      <w:r>
        <w:rPr>
          <w:rFonts w:hint="eastAsia" w:ascii="宋体" w:hAnsi="宋体"/>
          <w:color w:val="auto"/>
          <w:szCs w:val="21"/>
        </w:rPr>
        <w:t>（2）验收程序及方法：</w:t>
      </w:r>
    </w:p>
    <w:p w14:paraId="2C94DB26">
      <w:pPr>
        <w:snapToGrid w:val="0"/>
        <w:spacing w:line="360" w:lineRule="auto"/>
        <w:ind w:firstLine="420" w:firstLineChars="200"/>
        <w:rPr>
          <w:rFonts w:ascii="宋体" w:hAnsi="宋体"/>
          <w:color w:val="auto"/>
          <w:szCs w:val="21"/>
        </w:rPr>
      </w:pPr>
      <w:r>
        <w:rPr>
          <w:rFonts w:hint="eastAsia" w:ascii="宋体" w:hAnsi="宋体"/>
          <w:color w:val="auto"/>
          <w:szCs w:val="21"/>
        </w:rPr>
        <w:t>1）乙方完成货物交付后，向甲方提交货物验收阶段的验收书面申请。服务服务实施和培训在完成合同约定的全部事项后，向甲方提交服务验收阶段的验收书面申请。</w:t>
      </w:r>
    </w:p>
    <w:p w14:paraId="4E199104">
      <w:pPr>
        <w:snapToGrid w:val="0"/>
        <w:spacing w:line="360" w:lineRule="auto"/>
        <w:ind w:firstLine="420" w:firstLineChars="200"/>
        <w:rPr>
          <w:rFonts w:ascii="宋体" w:hAnsi="宋体"/>
          <w:color w:val="auto"/>
          <w:szCs w:val="21"/>
        </w:rPr>
      </w:pPr>
      <w:r>
        <w:rPr>
          <w:rFonts w:hint="eastAsia" w:ascii="宋体" w:hAnsi="宋体"/>
          <w:color w:val="auto"/>
          <w:szCs w:val="21"/>
        </w:rPr>
        <w:t>2）甲方收到乙方验收申请之日起5个工作日内组织开展履约验收，并提出验收意见，逾期不验收的，视同验收合格。甲方委托第三方机构组织项目验收的，其验收时间以该项目验收方案确定的验收时间为准。</w:t>
      </w:r>
    </w:p>
    <w:p w14:paraId="17C1F4F1">
      <w:pPr>
        <w:spacing w:line="360" w:lineRule="auto"/>
        <w:ind w:firstLine="420" w:firstLineChars="200"/>
        <w:rPr>
          <w:rFonts w:ascii="宋体" w:hAnsi="宋体"/>
          <w:color w:val="auto"/>
          <w:szCs w:val="21"/>
        </w:rPr>
      </w:pPr>
      <w:r>
        <w:rPr>
          <w:rFonts w:hint="eastAsia" w:ascii="宋体" w:hAnsi="宋体"/>
          <w:color w:val="auto"/>
          <w:szCs w:val="21"/>
        </w:rPr>
        <w:t>3）本项目验收由验收小组按照采购合同约定对每一项技术和商务要求的履约情况进行确认。</w:t>
      </w:r>
    </w:p>
    <w:p w14:paraId="0B6346F4">
      <w:pPr>
        <w:spacing w:line="360" w:lineRule="auto"/>
        <w:ind w:firstLine="420" w:firstLineChars="200"/>
        <w:rPr>
          <w:rFonts w:ascii="宋体" w:hAnsi="宋体"/>
          <w:color w:val="auto"/>
          <w:szCs w:val="21"/>
        </w:rPr>
      </w:pPr>
      <w:r>
        <w:rPr>
          <w:rFonts w:hint="eastAsia" w:ascii="宋体" w:hAnsi="宋体"/>
          <w:color w:val="auto"/>
          <w:szCs w:val="21"/>
        </w:rPr>
        <w:t>4）甲方验收时以书面形式提出异议的，乙方应自收到甲方书面异议后五个工作日内及时予以解决，否则甲方有权不出具服务验收合格单。</w:t>
      </w:r>
    </w:p>
    <w:p w14:paraId="669D40B7">
      <w:pPr>
        <w:spacing w:line="360" w:lineRule="auto"/>
        <w:ind w:firstLine="420" w:firstLineChars="200"/>
        <w:rPr>
          <w:rFonts w:ascii="宋体" w:hAnsi="宋体" w:cs="宋体"/>
          <w:color w:val="auto"/>
          <w:kern w:val="0"/>
          <w:sz w:val="24"/>
        </w:rPr>
      </w:pPr>
      <w:r>
        <w:rPr>
          <w:rFonts w:hint="eastAsia" w:ascii="宋体" w:hAnsi="宋体"/>
          <w:color w:val="auto"/>
          <w:szCs w:val="21"/>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7D4FCAAF">
      <w:pPr>
        <w:spacing w:line="360" w:lineRule="auto"/>
        <w:ind w:firstLine="420" w:firstLineChars="200"/>
        <w:rPr>
          <w:rFonts w:ascii="宋体" w:hAnsi="宋体"/>
          <w:color w:val="auto"/>
          <w:szCs w:val="21"/>
        </w:rPr>
      </w:pPr>
      <w:r>
        <w:rPr>
          <w:rFonts w:hint="eastAsia" w:ascii="宋体" w:hAnsi="宋体"/>
          <w:color w:val="auto"/>
          <w:szCs w:val="21"/>
        </w:rPr>
        <w:t>6）验收过程中所产生的一切费用均由乙方承担。</w:t>
      </w:r>
    </w:p>
    <w:p w14:paraId="40F5A507">
      <w:pPr>
        <w:spacing w:line="360" w:lineRule="auto"/>
        <w:ind w:firstLine="420" w:firstLineChars="200"/>
        <w:rPr>
          <w:rFonts w:ascii="宋体" w:hAnsi="宋体"/>
          <w:color w:val="auto"/>
          <w:szCs w:val="21"/>
        </w:rPr>
      </w:pPr>
      <w:r>
        <w:rPr>
          <w:rFonts w:hint="eastAsia" w:ascii="宋体" w:hAnsi="宋体"/>
          <w:color w:val="auto"/>
          <w:szCs w:val="21"/>
        </w:rPr>
        <w:t>7）</w:t>
      </w:r>
      <w:r>
        <w:rPr>
          <w:rFonts w:hint="eastAsia"/>
          <w:color w:val="auto"/>
        </w:rPr>
        <w:t>验收书一式</w:t>
      </w:r>
      <w:r>
        <w:rPr>
          <w:color w:val="auto"/>
          <w:u w:val="single"/>
        </w:rPr>
        <w:t xml:space="preserve">   </w:t>
      </w:r>
      <w:r>
        <w:rPr>
          <w:rFonts w:hint="eastAsia"/>
          <w:color w:val="auto"/>
        </w:rPr>
        <w:t>份，甲乙双方各执</w:t>
      </w:r>
      <w:r>
        <w:rPr>
          <w:color w:val="auto"/>
          <w:u w:val="single"/>
        </w:rPr>
        <w:t xml:space="preserve">   </w:t>
      </w:r>
      <w:r>
        <w:rPr>
          <w:rFonts w:hint="eastAsia"/>
          <w:color w:val="auto"/>
        </w:rPr>
        <w:t>份、受托第三方机构一份（如有）</w:t>
      </w:r>
      <w:r>
        <w:rPr>
          <w:rFonts w:hint="eastAsia" w:ascii="宋体" w:hAnsi="宋体"/>
          <w:color w:val="auto"/>
          <w:szCs w:val="21"/>
        </w:rPr>
        <w:t xml:space="preserve">。 </w:t>
      </w:r>
    </w:p>
    <w:p w14:paraId="6723C3DA">
      <w:pPr>
        <w:spacing w:line="360" w:lineRule="auto"/>
        <w:ind w:firstLine="420" w:firstLineChars="200"/>
        <w:rPr>
          <w:rFonts w:ascii="宋体" w:hAnsi="宋体"/>
          <w:color w:val="auto"/>
          <w:szCs w:val="21"/>
        </w:rPr>
      </w:pPr>
      <w:r>
        <w:rPr>
          <w:rFonts w:hint="eastAsia" w:ascii="宋体" w:hAnsi="宋体"/>
          <w:color w:val="auto"/>
          <w:szCs w:val="21"/>
        </w:rPr>
        <w:t>8）验收结论不合格的，乙方应自收到验收书后</w:t>
      </w:r>
      <w:r>
        <w:rPr>
          <w:rFonts w:hint="eastAsia" w:ascii="宋体" w:hAnsi="宋体"/>
          <w:color w:val="auto"/>
          <w:szCs w:val="21"/>
          <w:u w:val="single"/>
        </w:rPr>
        <w:t xml:space="preserve">   </w:t>
      </w:r>
      <w:r>
        <w:rPr>
          <w:rFonts w:hint="eastAsia" w:ascii="宋体" w:hAnsi="宋体"/>
          <w:color w:val="auto"/>
          <w:szCs w:val="21"/>
        </w:rPr>
        <w:t>日内及时予以解决。经乙方对验收结论不合格的服务或货物内容进行整改后，仍然达不到要求的，经双方协商，可按以下办法处理：</w:t>
      </w:r>
    </w:p>
    <w:p w14:paraId="544B408A">
      <w:pPr>
        <w:spacing w:line="360" w:lineRule="auto"/>
        <w:ind w:firstLine="420" w:firstLineChars="200"/>
        <w:rPr>
          <w:rFonts w:ascii="宋体" w:hAnsi="宋体"/>
          <w:color w:val="auto"/>
          <w:szCs w:val="21"/>
        </w:rPr>
      </w:pPr>
      <w:r>
        <w:rPr>
          <w:rFonts w:hint="eastAsia" w:ascii="宋体" w:hAnsi="宋体"/>
          <w:color w:val="auto"/>
          <w:szCs w:val="21"/>
        </w:rPr>
        <w:t>①更换：由乙方承担所发生的全部费用。</w:t>
      </w:r>
    </w:p>
    <w:p w14:paraId="65B6A0A1">
      <w:pPr>
        <w:spacing w:line="360" w:lineRule="auto"/>
        <w:ind w:firstLine="420" w:firstLineChars="200"/>
        <w:rPr>
          <w:rFonts w:ascii="宋体" w:hAnsi="宋体"/>
          <w:color w:val="auto"/>
          <w:szCs w:val="21"/>
        </w:rPr>
      </w:pPr>
      <w:r>
        <w:rPr>
          <w:rFonts w:hint="eastAsia" w:ascii="宋体" w:hAnsi="宋体"/>
          <w:color w:val="auto"/>
          <w:szCs w:val="21"/>
        </w:rPr>
        <w:t>②贬值处理：由甲乙双方合议定价。</w:t>
      </w:r>
    </w:p>
    <w:p w14:paraId="1C0F7001">
      <w:pPr>
        <w:spacing w:line="360" w:lineRule="auto"/>
        <w:ind w:firstLine="420" w:firstLineChars="200"/>
        <w:rPr>
          <w:rFonts w:ascii="宋体" w:hAnsi="宋体"/>
          <w:color w:val="auto"/>
          <w:szCs w:val="21"/>
        </w:rPr>
      </w:pPr>
      <w:r>
        <w:rPr>
          <w:rFonts w:hint="eastAsia" w:ascii="宋体" w:hAnsi="宋体"/>
          <w:color w:val="auto"/>
          <w:szCs w:val="21"/>
        </w:rPr>
        <w:t>9）验收费用按下列</w:t>
      </w:r>
      <w:r>
        <w:rPr>
          <w:rFonts w:hint="eastAsia" w:ascii="宋体" w:hAnsi="宋体"/>
          <w:color w:val="auto"/>
          <w:szCs w:val="21"/>
          <w:u w:val="single"/>
        </w:rPr>
        <w:t xml:space="preserve">  ② </w:t>
      </w:r>
      <w:r>
        <w:rPr>
          <w:rFonts w:hint="eastAsia" w:ascii="宋体" w:hAnsi="宋体"/>
          <w:color w:val="auto"/>
          <w:szCs w:val="21"/>
        </w:rPr>
        <w:t>方式确定：</w:t>
      </w:r>
    </w:p>
    <w:p w14:paraId="2A31AFD1">
      <w:pPr>
        <w:spacing w:line="360" w:lineRule="auto"/>
        <w:ind w:firstLine="420" w:firstLineChars="200"/>
        <w:rPr>
          <w:rFonts w:ascii="宋体" w:hAnsi="宋体"/>
          <w:color w:val="auto"/>
          <w:szCs w:val="21"/>
        </w:rPr>
      </w:pPr>
      <w:r>
        <w:rPr>
          <w:rFonts w:hint="eastAsia" w:ascii="宋体" w:hAnsi="宋体"/>
          <w:color w:val="auto"/>
          <w:szCs w:val="21"/>
        </w:rPr>
        <w:t>①甲方支付；</w:t>
      </w:r>
    </w:p>
    <w:p w14:paraId="04A2E1EC">
      <w:pPr>
        <w:spacing w:line="360" w:lineRule="auto"/>
        <w:ind w:firstLine="420" w:firstLineChars="200"/>
        <w:rPr>
          <w:rFonts w:ascii="宋体" w:hAnsi="宋体"/>
          <w:color w:val="auto"/>
          <w:szCs w:val="21"/>
        </w:rPr>
      </w:pPr>
      <w:r>
        <w:rPr>
          <w:rFonts w:hint="eastAsia" w:ascii="宋体" w:hAnsi="宋体"/>
          <w:color w:val="auto"/>
          <w:szCs w:val="21"/>
        </w:rPr>
        <w:t>②乙方支付。</w:t>
      </w:r>
    </w:p>
    <w:p w14:paraId="68CC28B1">
      <w:pPr>
        <w:spacing w:line="360" w:lineRule="auto"/>
        <w:ind w:firstLine="420" w:firstLineChars="200"/>
        <w:rPr>
          <w:rFonts w:ascii="宋体" w:hAnsi="宋体"/>
          <w:color w:val="auto"/>
        </w:rPr>
      </w:pPr>
      <w:r>
        <w:rPr>
          <w:rFonts w:hint="eastAsia" w:ascii="宋体" w:hAnsi="宋体"/>
          <w:color w:val="auto"/>
        </w:rPr>
        <w:t>2.交付标准和方法</w:t>
      </w:r>
    </w:p>
    <w:p w14:paraId="511000AE">
      <w:pPr>
        <w:spacing w:line="360" w:lineRule="auto"/>
        <w:ind w:firstLine="420" w:firstLineChars="200"/>
        <w:rPr>
          <w:rFonts w:ascii="宋体" w:hAnsi="宋体"/>
          <w:color w:val="auto"/>
          <w:szCs w:val="21"/>
        </w:rPr>
      </w:pPr>
      <w:r>
        <w:rPr>
          <w:rFonts w:hint="eastAsia" w:ascii="宋体" w:hAnsi="宋体"/>
          <w:color w:val="auto"/>
        </w:rPr>
        <w:t>（1）除售后服务验收外，</w:t>
      </w:r>
      <w:r>
        <w:rPr>
          <w:rFonts w:hint="eastAsia" w:ascii="宋体" w:hAnsi="宋体"/>
          <w:color w:val="auto"/>
          <w:szCs w:val="21"/>
        </w:rPr>
        <w:t>验收结论合格的，乙方应自收到验收书/报告后</w:t>
      </w:r>
      <w:r>
        <w:rPr>
          <w:rFonts w:hint="eastAsia" w:ascii="宋体" w:hAnsi="宋体"/>
          <w:color w:val="auto"/>
          <w:szCs w:val="21"/>
          <w:u w:val="single"/>
        </w:rPr>
        <w:t xml:space="preserve">   </w:t>
      </w:r>
      <w:r>
        <w:rPr>
          <w:rFonts w:hint="eastAsia" w:ascii="宋体" w:hAnsi="宋体"/>
          <w:color w:val="auto"/>
          <w:szCs w:val="21"/>
        </w:rPr>
        <w:t>日内向甲方交付使用。</w:t>
      </w:r>
    </w:p>
    <w:p w14:paraId="6E4B52CB">
      <w:pPr>
        <w:spacing w:line="360" w:lineRule="auto"/>
        <w:ind w:firstLine="420" w:firstLineChars="200"/>
        <w:rPr>
          <w:rFonts w:ascii="宋体" w:hAnsi="宋体"/>
          <w:color w:val="auto"/>
        </w:rPr>
      </w:pPr>
      <w:r>
        <w:rPr>
          <w:rFonts w:hint="eastAsia" w:ascii="宋体" w:hAnsi="宋体"/>
          <w:color w:val="auto"/>
        </w:rPr>
        <w:t>（2）甲方在初步验收或者最终验收过程中如发现乙方提供的服务成果不满足投标文件及本合同规定的，暂停向乙方付款，直到乙方及时完善并提交相应的服务成果且经甲方验收合格后，方可办理付款。</w:t>
      </w:r>
    </w:p>
    <w:p w14:paraId="24CC6FE9">
      <w:pPr>
        <w:snapToGrid w:val="0"/>
        <w:spacing w:line="360" w:lineRule="auto"/>
        <w:ind w:firstLine="420" w:firstLineChars="200"/>
        <w:rPr>
          <w:rFonts w:ascii="宋体" w:hAnsi="宋体"/>
          <w:b/>
          <w:color w:val="auto"/>
          <w:szCs w:val="21"/>
        </w:rPr>
      </w:pPr>
      <w:r>
        <w:rPr>
          <w:rFonts w:hint="eastAsia" w:ascii="宋体" w:hAnsi="宋体"/>
          <w:color w:val="auto"/>
        </w:rPr>
        <w:t>（3）伴随货物的，其所有权和风险自交付时起由乙方转移至甲方，货物交付给甲方之前所有风险均由乙方承担。</w:t>
      </w:r>
    </w:p>
    <w:p w14:paraId="34EBFEDB">
      <w:pPr>
        <w:snapToGrid w:val="0"/>
        <w:spacing w:line="360" w:lineRule="auto"/>
        <w:ind w:firstLine="422" w:firstLineChars="200"/>
        <w:rPr>
          <w:rFonts w:ascii="宋体" w:hAnsi="宋体"/>
          <w:b/>
          <w:color w:val="auto"/>
          <w:szCs w:val="21"/>
        </w:rPr>
      </w:pPr>
      <w:r>
        <w:rPr>
          <w:rFonts w:hint="eastAsia" w:ascii="宋体" w:hAnsi="宋体"/>
          <w:b/>
          <w:color w:val="auto"/>
          <w:szCs w:val="21"/>
        </w:rPr>
        <w:t>第八条  售后服务</w:t>
      </w:r>
    </w:p>
    <w:p w14:paraId="57FE8A0E">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w:t>
      </w:r>
      <w:r>
        <w:rPr>
          <w:color w:val="auto"/>
        </w:rPr>
        <w:t xml:space="preserve"> </w:t>
      </w:r>
      <w:r>
        <w:rPr>
          <w:rFonts w:hint="eastAsia" w:ascii="宋体" w:hAnsi="宋体" w:cs="宋体"/>
          <w:color w:val="auto"/>
          <w:szCs w:val="21"/>
        </w:rPr>
        <w:t>乙方应按照国家有关法律法规规定以及投标文件承诺，为甲方提供售后服务。</w:t>
      </w:r>
    </w:p>
    <w:p w14:paraId="3408DA0F">
      <w:pPr>
        <w:spacing w:line="360" w:lineRule="auto"/>
        <w:ind w:firstLine="420" w:firstLineChars="200"/>
        <w:rPr>
          <w:rFonts w:ascii="宋体" w:hAnsi="宋体"/>
          <w:color w:val="auto"/>
          <w:szCs w:val="21"/>
          <w:u w:val="single"/>
        </w:rPr>
      </w:pPr>
      <w:r>
        <w:rPr>
          <w:rFonts w:hint="eastAsia" w:ascii="宋体" w:hAnsi="宋体" w:cs="宋体"/>
          <w:color w:val="auto"/>
          <w:szCs w:val="21"/>
        </w:rPr>
        <w:t>2.伴随货</w:t>
      </w:r>
      <w:r>
        <w:rPr>
          <w:rFonts w:hint="eastAsia" w:ascii="宋体" w:hAnsi="宋体"/>
          <w:color w:val="auto"/>
          <w:szCs w:val="21"/>
        </w:rPr>
        <w:t>物的质量保修范围:</w:t>
      </w:r>
      <w:r>
        <w:rPr>
          <w:rFonts w:hint="eastAsia" w:ascii="宋体" w:hAnsi="宋体"/>
          <w:color w:val="auto"/>
          <w:szCs w:val="21"/>
          <w:u w:val="single"/>
        </w:rPr>
        <w:t xml:space="preserve">                  </w:t>
      </w:r>
      <w:r>
        <w:rPr>
          <w:rFonts w:hint="eastAsia" w:ascii="宋体" w:hAnsi="宋体"/>
          <w:color w:val="auto"/>
          <w:szCs w:val="21"/>
        </w:rPr>
        <w:t>；质保期：</w:t>
      </w:r>
      <w:r>
        <w:rPr>
          <w:rFonts w:hint="eastAsia" w:ascii="宋体" w:hAnsi="宋体"/>
          <w:color w:val="auto"/>
          <w:szCs w:val="21"/>
          <w:u w:val="single"/>
        </w:rPr>
        <w:t xml:space="preserve">                     </w:t>
      </w:r>
      <w:r>
        <w:rPr>
          <w:rFonts w:hint="eastAsia" w:ascii="宋体" w:hAnsi="宋体"/>
          <w:color w:val="auto"/>
          <w:szCs w:val="21"/>
        </w:rPr>
        <w:t>。</w:t>
      </w:r>
    </w:p>
    <w:p w14:paraId="0A76D5C2">
      <w:pPr>
        <w:snapToGrid w:val="0"/>
        <w:spacing w:line="360" w:lineRule="auto"/>
        <w:ind w:left="-61" w:leftChars="-29" w:firstLine="517" w:firstLineChars="245"/>
        <w:rPr>
          <w:rFonts w:ascii="宋体" w:hAnsi="宋体"/>
          <w:b/>
          <w:color w:val="auto"/>
          <w:szCs w:val="21"/>
        </w:rPr>
      </w:pPr>
      <w:r>
        <w:rPr>
          <w:rFonts w:hint="eastAsia" w:ascii="宋体" w:hAnsi="宋体"/>
          <w:b/>
          <w:color w:val="auto"/>
          <w:szCs w:val="21"/>
        </w:rPr>
        <w:t>第九条　履约保证金</w:t>
      </w:r>
    </w:p>
    <w:p w14:paraId="0D79FAE0">
      <w:pPr>
        <w:autoSpaceDE w:val="0"/>
        <w:autoSpaceDN w:val="0"/>
        <w:snapToGrid w:val="0"/>
        <w:spacing w:line="360" w:lineRule="auto"/>
        <w:ind w:firstLine="424" w:firstLineChars="202"/>
        <w:textAlignment w:val="bottom"/>
        <w:rPr>
          <w:rFonts w:ascii="宋体" w:hAnsi="宋体" w:cs="宋体"/>
          <w:color w:val="auto"/>
          <w:szCs w:val="21"/>
        </w:rPr>
      </w:pPr>
      <w:r>
        <w:rPr>
          <w:rFonts w:hint="eastAsia" w:ascii="宋体" w:hAnsi="宋体" w:cs="宋体"/>
          <w:color w:val="auto"/>
          <w:szCs w:val="21"/>
        </w:rPr>
        <w:t>1.履约保证金金额：</w:t>
      </w:r>
      <w:r>
        <w:rPr>
          <w:rFonts w:hint="eastAsia" w:ascii="宋体" w:hAnsi="宋体" w:cs="宋体"/>
          <w:iCs/>
          <w:color w:val="auto"/>
          <w:szCs w:val="21"/>
          <w:u w:val="single"/>
        </w:rPr>
        <w:t>0元</w:t>
      </w:r>
      <w:r>
        <w:rPr>
          <w:rFonts w:hint="eastAsia" w:ascii="宋体" w:hAnsi="宋体" w:cs="宋体"/>
          <w:color w:val="auto"/>
          <w:szCs w:val="21"/>
        </w:rPr>
        <w:t>。</w:t>
      </w:r>
    </w:p>
    <w:p w14:paraId="3E69353E">
      <w:pPr>
        <w:snapToGrid w:val="0"/>
        <w:spacing w:line="360" w:lineRule="auto"/>
        <w:ind w:firstLine="422" w:firstLineChars="200"/>
        <w:rPr>
          <w:rFonts w:ascii="宋体" w:hAnsi="宋体"/>
          <w:b/>
          <w:color w:val="auto"/>
          <w:szCs w:val="21"/>
        </w:rPr>
      </w:pPr>
      <w:r>
        <w:rPr>
          <w:rFonts w:hint="eastAsia" w:ascii="宋体" w:hAnsi="宋体"/>
          <w:b/>
          <w:color w:val="auto"/>
          <w:szCs w:val="21"/>
        </w:rPr>
        <w:t>第十条　违约责任</w:t>
      </w:r>
    </w:p>
    <w:p w14:paraId="17DAF89C">
      <w:pPr>
        <w:pStyle w:val="29"/>
        <w:snapToGrid w:val="0"/>
        <w:spacing w:line="360" w:lineRule="auto"/>
        <w:ind w:firstLine="420" w:firstLineChars="200"/>
        <w:rPr>
          <w:rFonts w:hAnsi="宋体"/>
          <w:color w:val="auto"/>
          <w:sz w:val="21"/>
        </w:rPr>
      </w:pPr>
      <w:r>
        <w:rPr>
          <w:rFonts w:hint="eastAsia" w:hAnsi="宋体"/>
          <w:color w:val="auto"/>
          <w:sz w:val="21"/>
        </w:rPr>
        <w:t>1.合同一方不履行合同义务、履行合同义务不符合约定或者违反合同项下所作保证的， 应向对方承担继续履行、采取修理、更换、退货等补救措施或者赔偿损失等违约责任。</w:t>
      </w:r>
    </w:p>
    <w:p w14:paraId="4F59CB86">
      <w:pPr>
        <w:pStyle w:val="29"/>
        <w:snapToGrid w:val="0"/>
        <w:spacing w:line="360" w:lineRule="auto"/>
        <w:ind w:firstLine="420" w:firstLineChars="200"/>
        <w:rPr>
          <w:rFonts w:hAnsi="宋体"/>
          <w:color w:val="auto"/>
          <w:sz w:val="21"/>
        </w:rPr>
      </w:pPr>
      <w:r>
        <w:rPr>
          <w:rFonts w:hint="eastAsia" w:hAnsi="宋体"/>
          <w:color w:val="auto"/>
          <w:sz w:val="21"/>
        </w:rPr>
        <w:t>2.乙方未能按时交付服务的，应向甲方支付迟延交付违约金。迟延交付违约金的计算方法如下：</w:t>
      </w:r>
    </w:p>
    <w:p w14:paraId="78828951">
      <w:pPr>
        <w:pStyle w:val="29"/>
        <w:snapToGrid w:val="0"/>
        <w:spacing w:line="360" w:lineRule="auto"/>
        <w:ind w:firstLine="420" w:firstLineChars="200"/>
        <w:rPr>
          <w:rFonts w:hAnsi="宋体"/>
          <w:color w:val="auto"/>
          <w:sz w:val="21"/>
        </w:rPr>
      </w:pPr>
      <w:r>
        <w:rPr>
          <w:rFonts w:hint="eastAsia" w:hAnsi="宋体"/>
          <w:color w:val="auto"/>
          <w:sz w:val="21"/>
        </w:rPr>
        <w:t>（1）从迟交的第一周到第四周，每周迟延交付违约金为合同价款（报酬）的</w:t>
      </w:r>
      <w:r>
        <w:rPr>
          <w:rFonts w:hint="eastAsia" w:hAnsi="宋体"/>
          <w:i/>
          <w:color w:val="auto"/>
          <w:sz w:val="21"/>
          <w:u w:val="single"/>
        </w:rPr>
        <w:t xml:space="preserve"> 0.5%</w:t>
      </w:r>
      <w:r>
        <w:rPr>
          <w:rFonts w:hint="eastAsia" w:hAnsi="宋体"/>
          <w:color w:val="auto"/>
          <w:sz w:val="21"/>
        </w:rPr>
        <w:t>；</w:t>
      </w:r>
    </w:p>
    <w:p w14:paraId="694B7CF0">
      <w:pPr>
        <w:pStyle w:val="29"/>
        <w:snapToGrid w:val="0"/>
        <w:spacing w:line="360" w:lineRule="auto"/>
        <w:ind w:firstLine="420" w:firstLineChars="200"/>
        <w:rPr>
          <w:rFonts w:hAnsi="宋体"/>
          <w:color w:val="auto"/>
          <w:sz w:val="21"/>
        </w:rPr>
      </w:pPr>
      <w:r>
        <w:rPr>
          <w:rFonts w:hint="eastAsia" w:hAnsi="宋体"/>
          <w:color w:val="auto"/>
          <w:sz w:val="21"/>
        </w:rPr>
        <w:t>（2）从迟交的第五周到第八周，每周迟延交付违约金为合同价款（报酬）的</w:t>
      </w:r>
      <w:r>
        <w:rPr>
          <w:rFonts w:hint="eastAsia" w:hAnsi="宋体"/>
          <w:i/>
          <w:color w:val="auto"/>
          <w:sz w:val="21"/>
          <w:u w:val="single"/>
        </w:rPr>
        <w:t xml:space="preserve"> 1%</w:t>
      </w:r>
      <w:r>
        <w:rPr>
          <w:rFonts w:hint="eastAsia" w:hAnsi="宋体"/>
          <w:color w:val="auto"/>
          <w:sz w:val="21"/>
        </w:rPr>
        <w:t>；</w:t>
      </w:r>
    </w:p>
    <w:p w14:paraId="3FDBE06A">
      <w:pPr>
        <w:pStyle w:val="29"/>
        <w:snapToGrid w:val="0"/>
        <w:spacing w:line="360" w:lineRule="auto"/>
        <w:ind w:firstLine="420" w:firstLineChars="200"/>
        <w:rPr>
          <w:rFonts w:hAnsi="宋体"/>
          <w:color w:val="auto"/>
          <w:sz w:val="21"/>
        </w:rPr>
      </w:pPr>
      <w:r>
        <w:rPr>
          <w:rFonts w:hint="eastAsia" w:hAnsi="宋体"/>
          <w:color w:val="auto"/>
          <w:sz w:val="21"/>
        </w:rPr>
        <w:t>（3）从迟交第九周起，每周迟延交付违约金为合同价款（报酬）的</w:t>
      </w:r>
      <w:r>
        <w:rPr>
          <w:rFonts w:hint="eastAsia" w:hAnsi="宋体"/>
          <w:i/>
          <w:color w:val="auto"/>
          <w:sz w:val="21"/>
          <w:u w:val="single"/>
        </w:rPr>
        <w:t xml:space="preserve"> 1.5%</w:t>
      </w:r>
      <w:r>
        <w:rPr>
          <w:rFonts w:hint="eastAsia" w:hAnsi="宋体"/>
          <w:color w:val="auto"/>
          <w:sz w:val="21"/>
        </w:rPr>
        <w:t>。在计算迟延交付违约金时，迟交不足一周的按一周计算。迟延交付违约金的总额不得超过合同价款（报酬）的</w:t>
      </w:r>
      <w:r>
        <w:rPr>
          <w:rFonts w:hint="eastAsia" w:hAnsi="宋体"/>
          <w:color w:val="auto"/>
          <w:sz w:val="21"/>
          <w:u w:val="single"/>
        </w:rPr>
        <w:t xml:space="preserve"> 10%</w:t>
      </w:r>
      <w:r>
        <w:rPr>
          <w:rFonts w:hint="eastAsia" w:hAnsi="宋体"/>
          <w:color w:val="auto"/>
          <w:sz w:val="21"/>
        </w:rPr>
        <w:t>。迟延交付违约金的支付不能免除乙方继续交付相关合同服务的义务，但如迟延交付必然导致合同服务实施、调试、验收等工作推迟的，相关工作应相应顺延。</w:t>
      </w:r>
    </w:p>
    <w:p w14:paraId="78C29EE3">
      <w:pPr>
        <w:pStyle w:val="29"/>
        <w:snapToGrid w:val="0"/>
        <w:spacing w:line="360" w:lineRule="auto"/>
        <w:ind w:firstLine="420" w:firstLineChars="200"/>
        <w:rPr>
          <w:rFonts w:hAnsi="宋体"/>
          <w:color w:val="auto"/>
          <w:sz w:val="21"/>
        </w:rPr>
      </w:pPr>
      <w:r>
        <w:rPr>
          <w:rFonts w:hint="eastAsia" w:hAnsi="宋体"/>
          <w:color w:val="auto"/>
          <w:sz w:val="21"/>
        </w:rPr>
        <w:t>3.甲方未能按合同约定支付合同价款的，应向乙方支付延迟付款违约金。迟延付款违约金的计算方法如下：</w:t>
      </w:r>
    </w:p>
    <w:p w14:paraId="200BE5AD">
      <w:pPr>
        <w:pStyle w:val="29"/>
        <w:snapToGrid w:val="0"/>
        <w:spacing w:line="360" w:lineRule="auto"/>
        <w:ind w:firstLine="420" w:firstLineChars="200"/>
        <w:rPr>
          <w:rFonts w:hAnsi="宋体"/>
          <w:color w:val="auto"/>
          <w:sz w:val="21"/>
        </w:rPr>
      </w:pPr>
      <w:r>
        <w:rPr>
          <w:rFonts w:hint="eastAsia" w:hAnsi="宋体"/>
          <w:color w:val="auto"/>
          <w:sz w:val="21"/>
        </w:rPr>
        <w:t>（1）从迟付的第一周到第四周，每周迟延付款违约金为迟延付款金额的</w:t>
      </w:r>
      <w:r>
        <w:rPr>
          <w:rFonts w:hint="eastAsia" w:hAnsi="宋体"/>
          <w:i/>
          <w:color w:val="auto"/>
          <w:sz w:val="21"/>
          <w:u w:val="single"/>
        </w:rPr>
        <w:t xml:space="preserve"> 0.5%</w:t>
      </w:r>
      <w:r>
        <w:rPr>
          <w:rFonts w:hint="eastAsia" w:hAnsi="宋体"/>
          <w:color w:val="auto"/>
          <w:sz w:val="21"/>
        </w:rPr>
        <w:t>；</w:t>
      </w:r>
    </w:p>
    <w:p w14:paraId="67215117">
      <w:pPr>
        <w:pStyle w:val="29"/>
        <w:snapToGrid w:val="0"/>
        <w:spacing w:line="360" w:lineRule="auto"/>
        <w:ind w:firstLine="420" w:firstLineChars="200"/>
        <w:rPr>
          <w:rFonts w:hAnsi="宋体"/>
          <w:color w:val="auto"/>
          <w:sz w:val="21"/>
        </w:rPr>
      </w:pPr>
      <w:r>
        <w:rPr>
          <w:rFonts w:hint="eastAsia" w:hAnsi="宋体"/>
          <w:color w:val="auto"/>
          <w:sz w:val="21"/>
        </w:rPr>
        <w:t>（2）从迟付的第五周到第八周，每周迟延付款违约金为迟延付款金额的</w:t>
      </w:r>
      <w:r>
        <w:rPr>
          <w:rFonts w:hint="eastAsia" w:hAnsi="宋体"/>
          <w:i/>
          <w:color w:val="auto"/>
          <w:sz w:val="21"/>
          <w:u w:val="single"/>
        </w:rPr>
        <w:t xml:space="preserve"> 1%</w:t>
      </w:r>
      <w:r>
        <w:rPr>
          <w:rFonts w:hint="eastAsia" w:hAnsi="宋体"/>
          <w:color w:val="auto"/>
          <w:sz w:val="21"/>
        </w:rPr>
        <w:t>；</w:t>
      </w:r>
    </w:p>
    <w:p w14:paraId="47E2CA88">
      <w:pPr>
        <w:pStyle w:val="29"/>
        <w:snapToGrid w:val="0"/>
        <w:spacing w:line="360" w:lineRule="auto"/>
        <w:ind w:firstLine="420" w:firstLineChars="200"/>
        <w:rPr>
          <w:rFonts w:hAnsi="宋体"/>
          <w:color w:val="auto"/>
          <w:sz w:val="21"/>
        </w:rPr>
      </w:pPr>
      <w:r>
        <w:rPr>
          <w:rFonts w:hint="eastAsia" w:hAnsi="宋体"/>
          <w:color w:val="auto"/>
          <w:sz w:val="21"/>
        </w:rPr>
        <w:t>（3）从迟付第九周起，每周迟延付款违约金为迟延付款金额的</w:t>
      </w:r>
      <w:r>
        <w:rPr>
          <w:rFonts w:hint="eastAsia" w:hAnsi="宋体"/>
          <w:i/>
          <w:color w:val="auto"/>
          <w:sz w:val="21"/>
          <w:u w:val="single"/>
        </w:rPr>
        <w:t xml:space="preserve"> 1.5%</w:t>
      </w:r>
      <w:r>
        <w:rPr>
          <w:rFonts w:hint="eastAsia" w:hAnsi="宋体"/>
          <w:color w:val="auto"/>
          <w:sz w:val="21"/>
        </w:rPr>
        <w:t>。在计算迟延付款违约金时，迟付不足一周的按一周计算。迟延付款违约金的总额不得超过合同价格的</w:t>
      </w:r>
      <w:r>
        <w:rPr>
          <w:rFonts w:hint="eastAsia" w:hAnsi="宋体"/>
          <w:color w:val="auto"/>
          <w:sz w:val="21"/>
          <w:u w:val="single"/>
        </w:rPr>
        <w:t xml:space="preserve"> 10%</w:t>
      </w:r>
      <w:r>
        <w:rPr>
          <w:rFonts w:hint="eastAsia" w:hAnsi="宋体"/>
          <w:color w:val="auto"/>
          <w:sz w:val="21"/>
        </w:rPr>
        <w:t>。</w:t>
      </w:r>
    </w:p>
    <w:p w14:paraId="30188ACA">
      <w:pPr>
        <w:pStyle w:val="29"/>
        <w:snapToGrid w:val="0"/>
        <w:spacing w:line="360" w:lineRule="auto"/>
        <w:ind w:firstLine="420" w:firstLineChars="200"/>
        <w:rPr>
          <w:rFonts w:hAnsi="宋体"/>
          <w:color w:val="auto"/>
          <w:sz w:val="21"/>
        </w:rPr>
      </w:pPr>
      <w:r>
        <w:rPr>
          <w:rFonts w:hint="eastAsia" w:hAnsi="宋体"/>
          <w:color w:val="auto"/>
          <w:sz w:val="21"/>
        </w:rPr>
        <w:t xml:space="preserve">4.乙方未按本合同和投标文件承诺提供售后服务的，乙方应按本合同价款（报酬）的 </w:t>
      </w:r>
      <w:r>
        <w:rPr>
          <w:rFonts w:hint="eastAsia" w:hAnsi="宋体"/>
          <w:color w:val="auto"/>
          <w:sz w:val="21"/>
          <w:u w:val="single"/>
        </w:rPr>
        <w:t xml:space="preserve">   </w:t>
      </w:r>
      <w:r>
        <w:rPr>
          <w:rFonts w:hint="eastAsia" w:hAnsi="宋体"/>
          <w:color w:val="auto"/>
          <w:sz w:val="21"/>
        </w:rPr>
        <w:t>%向甲方支付违约金。</w:t>
      </w:r>
    </w:p>
    <w:p w14:paraId="50299AFC">
      <w:pPr>
        <w:pStyle w:val="29"/>
        <w:snapToGrid w:val="0"/>
        <w:spacing w:line="360" w:lineRule="auto"/>
        <w:ind w:firstLine="420" w:firstLineChars="200"/>
        <w:rPr>
          <w:rFonts w:hAnsi="宋体"/>
          <w:color w:val="auto"/>
          <w:sz w:val="21"/>
        </w:rPr>
      </w:pPr>
      <w:r>
        <w:rPr>
          <w:rFonts w:hint="eastAsia" w:hAnsi="宋体"/>
          <w:color w:val="auto"/>
          <w:sz w:val="21"/>
        </w:rPr>
        <w:t>5.因某一方原因导致变更、中止或者终止政府采购合同的，该方应当对另一方受到的损失予以赔偿或者补偿。</w:t>
      </w:r>
    </w:p>
    <w:p w14:paraId="127BFE7D">
      <w:pPr>
        <w:pStyle w:val="29"/>
        <w:snapToGrid w:val="0"/>
        <w:spacing w:line="360" w:lineRule="auto"/>
        <w:ind w:firstLine="420" w:firstLineChars="200"/>
        <w:rPr>
          <w:rFonts w:hAnsi="宋体"/>
          <w:color w:val="auto"/>
          <w:sz w:val="21"/>
        </w:rPr>
      </w:pPr>
      <w:r>
        <w:rPr>
          <w:rFonts w:hint="eastAsia" w:hAnsi="宋体"/>
          <w:color w:val="auto"/>
          <w:sz w:val="21"/>
        </w:rPr>
        <w:t>6.其它违约责任按《中华人民共和国民法典》处理。</w:t>
      </w:r>
    </w:p>
    <w:p w14:paraId="10A3C15D">
      <w:pPr>
        <w:pStyle w:val="29"/>
        <w:snapToGrid w:val="0"/>
        <w:spacing w:line="360" w:lineRule="auto"/>
        <w:ind w:firstLine="413" w:firstLineChars="196"/>
        <w:rPr>
          <w:rFonts w:hAnsi="宋体"/>
          <w:b/>
          <w:color w:val="auto"/>
          <w:sz w:val="21"/>
        </w:rPr>
      </w:pPr>
      <w:r>
        <w:rPr>
          <w:rFonts w:hint="eastAsia" w:hAnsi="宋体"/>
          <w:b/>
          <w:color w:val="auto"/>
          <w:sz w:val="21"/>
        </w:rPr>
        <w:t>第十一条  不可抗力事件处理</w:t>
      </w:r>
    </w:p>
    <w:p w14:paraId="48E168BF">
      <w:pPr>
        <w:pStyle w:val="29"/>
        <w:snapToGrid w:val="0"/>
        <w:spacing w:line="360" w:lineRule="auto"/>
        <w:ind w:firstLine="420" w:firstLineChars="200"/>
        <w:rPr>
          <w:rFonts w:hAnsi="宋体"/>
          <w:color w:val="auto"/>
          <w:sz w:val="21"/>
        </w:rPr>
      </w:pPr>
      <w:r>
        <w:rPr>
          <w:rFonts w:hint="eastAsia" w:hAnsi="宋体"/>
          <w:color w:val="auto"/>
          <w:sz w:val="21"/>
        </w:rPr>
        <w:t>1.在合同有效期内，任何一方因不可抗力事件导致不能履行合同，则合同履行期可延长，其延长期与不可抗力影响期相同。</w:t>
      </w:r>
    </w:p>
    <w:p w14:paraId="7CE15B9C">
      <w:pPr>
        <w:pStyle w:val="29"/>
        <w:snapToGrid w:val="0"/>
        <w:spacing w:line="360" w:lineRule="auto"/>
        <w:ind w:firstLine="420" w:firstLineChars="200"/>
        <w:rPr>
          <w:rFonts w:hAnsi="宋体"/>
          <w:color w:val="auto"/>
          <w:sz w:val="21"/>
        </w:rPr>
      </w:pPr>
      <w:r>
        <w:rPr>
          <w:rFonts w:hint="eastAsia" w:hAnsi="宋体"/>
          <w:color w:val="auto"/>
          <w:sz w:val="21"/>
        </w:rPr>
        <w:t>2.不可抗力事件发生后，应立即通知对方，并寄送有关权威机构出具的证明。</w:t>
      </w:r>
    </w:p>
    <w:p w14:paraId="7468C33B">
      <w:pPr>
        <w:snapToGrid w:val="0"/>
        <w:spacing w:line="360" w:lineRule="auto"/>
        <w:ind w:firstLine="420" w:firstLineChars="200"/>
        <w:rPr>
          <w:rFonts w:ascii="宋体" w:hAnsi="宋体"/>
          <w:color w:val="auto"/>
          <w:szCs w:val="21"/>
        </w:rPr>
      </w:pPr>
      <w:r>
        <w:rPr>
          <w:rFonts w:hint="eastAsia" w:ascii="宋体" w:hAnsi="宋体"/>
          <w:color w:val="auto"/>
          <w:szCs w:val="21"/>
        </w:rPr>
        <w:t>3.不可抗力事件延续一百二十天以上，双方应通过友好协商，确定是否继续履行合同。</w:t>
      </w:r>
    </w:p>
    <w:p w14:paraId="1907883F">
      <w:pPr>
        <w:snapToGrid w:val="0"/>
        <w:spacing w:line="360" w:lineRule="auto"/>
        <w:ind w:firstLine="422" w:firstLineChars="200"/>
        <w:rPr>
          <w:rFonts w:ascii="宋体" w:hAnsi="宋体"/>
          <w:color w:val="auto"/>
          <w:szCs w:val="21"/>
        </w:rPr>
      </w:pPr>
      <w:r>
        <w:rPr>
          <w:rFonts w:hint="eastAsia" w:ascii="宋体" w:hAnsi="宋体"/>
          <w:b/>
          <w:color w:val="auto"/>
          <w:szCs w:val="21"/>
        </w:rPr>
        <w:t>第十二条  合同争议解决</w:t>
      </w:r>
    </w:p>
    <w:p w14:paraId="37AFCFF7">
      <w:pPr>
        <w:snapToGrid w:val="0"/>
        <w:spacing w:line="360" w:lineRule="auto"/>
        <w:ind w:firstLine="420" w:firstLineChars="200"/>
        <w:rPr>
          <w:rFonts w:ascii="宋体" w:hAnsi="宋体"/>
          <w:color w:val="auto"/>
          <w:szCs w:val="21"/>
        </w:rPr>
      </w:pPr>
      <w:r>
        <w:rPr>
          <w:rFonts w:hint="eastAsia" w:ascii="宋体" w:hAnsi="宋体"/>
          <w:color w:val="auto"/>
          <w:szCs w:val="21"/>
        </w:rPr>
        <w:t>1.因服务质量问题发生争议的，应邀请国家认可的质量检测机构或专家组进行鉴定。服务符合标准的，鉴定费由甲方承担；服务不符合标准的，鉴定费由乙方承担。</w:t>
      </w:r>
    </w:p>
    <w:p w14:paraId="28D40E37">
      <w:pPr>
        <w:autoSpaceDE w:val="0"/>
        <w:autoSpaceDN w:val="0"/>
        <w:adjustRightInd w:val="0"/>
        <w:spacing w:line="360" w:lineRule="auto"/>
        <w:ind w:left="100" w:right="42" w:firstLine="420"/>
        <w:rPr>
          <w:rFonts w:ascii="宋体" w:hAnsi="宋体"/>
          <w:color w:val="auto"/>
          <w:szCs w:val="21"/>
        </w:rPr>
      </w:pPr>
      <w:r>
        <w:rPr>
          <w:rFonts w:hint="eastAsia" w:ascii="宋体" w:hAnsi="宋体"/>
          <w:color w:val="auto"/>
          <w:szCs w:val="21"/>
        </w:rPr>
        <w:t>2.因履行本合同引起的或者与本合同有关的争议，甲乙双方应首先通过友好协商解决，如果协商不能解决，按下列</w:t>
      </w:r>
      <w:r>
        <w:rPr>
          <w:rFonts w:hint="eastAsia" w:ascii="宋体" w:hAnsi="宋体"/>
          <w:color w:val="auto"/>
          <w:szCs w:val="21"/>
          <w:u w:val="single"/>
        </w:rPr>
        <w:t xml:space="preserve">    </w:t>
      </w:r>
      <w:r>
        <w:rPr>
          <w:rFonts w:hint="eastAsia" w:ascii="宋体" w:hAnsi="宋体"/>
          <w:color w:val="auto"/>
          <w:szCs w:val="21"/>
        </w:rPr>
        <w:t>方式解决：</w:t>
      </w:r>
    </w:p>
    <w:p w14:paraId="3FD024B3">
      <w:pPr>
        <w:autoSpaceDE w:val="0"/>
        <w:autoSpaceDN w:val="0"/>
        <w:adjustRightInd w:val="0"/>
        <w:spacing w:line="360" w:lineRule="auto"/>
        <w:ind w:right="40" w:firstLine="420"/>
        <w:rPr>
          <w:rFonts w:ascii="宋体" w:hAnsi="宋体"/>
          <w:color w:val="auto"/>
          <w:szCs w:val="21"/>
        </w:rPr>
      </w:pPr>
      <w:r>
        <w:rPr>
          <w:rFonts w:hint="eastAsia" w:ascii="宋体" w:hAnsi="宋体"/>
          <w:color w:val="auto"/>
          <w:szCs w:val="21"/>
        </w:rPr>
        <w:t>（1）向</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仲裁委员会申请仲裁；</w:t>
      </w:r>
    </w:p>
    <w:p w14:paraId="3ABB8DEF">
      <w:pPr>
        <w:autoSpaceDE w:val="0"/>
        <w:autoSpaceDN w:val="0"/>
        <w:adjustRightInd w:val="0"/>
        <w:spacing w:line="360" w:lineRule="auto"/>
        <w:ind w:right="40" w:firstLine="420"/>
        <w:rPr>
          <w:rFonts w:ascii="宋体" w:hAnsi="宋体"/>
          <w:color w:val="auto"/>
          <w:szCs w:val="21"/>
        </w:rPr>
      </w:pPr>
      <w:r>
        <w:rPr>
          <w:rFonts w:hint="eastAsia" w:ascii="宋体" w:hAnsi="宋体"/>
          <w:color w:val="auto"/>
          <w:szCs w:val="21"/>
        </w:rPr>
        <w:t>（2）向有管辖权的人民法院提起诉讼。</w:t>
      </w:r>
    </w:p>
    <w:p w14:paraId="3E12ADF1">
      <w:pPr>
        <w:snapToGrid w:val="0"/>
        <w:spacing w:line="360" w:lineRule="auto"/>
        <w:ind w:firstLine="422" w:firstLineChars="200"/>
        <w:rPr>
          <w:rFonts w:ascii="宋体" w:hAnsi="宋体"/>
          <w:b/>
          <w:color w:val="auto"/>
          <w:szCs w:val="21"/>
        </w:rPr>
      </w:pPr>
      <w:r>
        <w:rPr>
          <w:rFonts w:hint="eastAsia" w:ascii="宋体" w:hAnsi="宋体"/>
          <w:b/>
          <w:color w:val="auto"/>
          <w:szCs w:val="21"/>
        </w:rPr>
        <w:t>第十三条　合同的变更、中止或者终止</w:t>
      </w:r>
    </w:p>
    <w:p w14:paraId="058B7417">
      <w:pPr>
        <w:snapToGrid w:val="0"/>
        <w:spacing w:line="360" w:lineRule="auto"/>
        <w:ind w:firstLine="420" w:firstLineChars="200"/>
        <w:rPr>
          <w:rFonts w:ascii="宋体" w:hAnsi="宋体"/>
          <w:color w:val="auto"/>
          <w:szCs w:val="21"/>
        </w:rPr>
      </w:pPr>
      <w:r>
        <w:rPr>
          <w:rFonts w:hint="eastAsia" w:ascii="宋体" w:hAnsi="宋体"/>
          <w:color w:val="auto"/>
          <w:szCs w:val="21"/>
        </w:rPr>
        <w:t>1. 除《中华人民共和国政府采购法》第五十条规定的情形外，本合同一经签订，甲乙双方不得擅自变更、中止或者终止合同。</w:t>
      </w:r>
    </w:p>
    <w:p w14:paraId="7FC99089">
      <w:pPr>
        <w:snapToGrid w:val="0"/>
        <w:spacing w:line="360" w:lineRule="auto"/>
        <w:ind w:firstLine="420" w:firstLineChars="200"/>
        <w:rPr>
          <w:rFonts w:ascii="宋体" w:hAnsi="宋体"/>
          <w:color w:val="auto"/>
          <w:szCs w:val="21"/>
        </w:rPr>
      </w:pPr>
      <w:r>
        <w:rPr>
          <w:rFonts w:hint="eastAsia" w:ascii="宋体" w:hAnsi="宋体"/>
          <w:color w:val="auto"/>
          <w:szCs w:val="21"/>
        </w:rPr>
        <w:t>2.采购合同继续履行将损害国家利益和社会公共利益的，双方当事人应当变更、中止或者终止合同。有过错的一方应当承担赔偿责任，双方都有过错的，各自承担相应的责任。</w:t>
      </w:r>
    </w:p>
    <w:p w14:paraId="689E98E3">
      <w:pPr>
        <w:snapToGrid w:val="0"/>
        <w:spacing w:line="360" w:lineRule="auto"/>
        <w:ind w:firstLine="422" w:firstLineChars="200"/>
        <w:rPr>
          <w:rFonts w:ascii="宋体" w:hAnsi="宋体"/>
          <w:b/>
          <w:color w:val="auto"/>
          <w:szCs w:val="21"/>
        </w:rPr>
      </w:pPr>
      <w:r>
        <w:rPr>
          <w:rFonts w:hint="eastAsia" w:ascii="宋体" w:hAnsi="宋体"/>
          <w:b/>
          <w:color w:val="auto"/>
          <w:szCs w:val="21"/>
        </w:rPr>
        <w:t>第十四条　</w:t>
      </w:r>
      <w:r>
        <w:rPr>
          <w:rFonts w:hint="eastAsia" w:ascii="宋体" w:hAnsi="宋体" w:cs="微软雅黑"/>
          <w:b/>
          <w:color w:val="auto"/>
          <w:kern w:val="0"/>
          <w:szCs w:val="21"/>
        </w:rPr>
        <w:t>合</w:t>
      </w:r>
      <w:r>
        <w:rPr>
          <w:rFonts w:hint="eastAsia" w:ascii="宋体" w:hAnsi="宋体" w:cs="微软雅黑"/>
          <w:b/>
          <w:color w:val="auto"/>
          <w:spacing w:val="-2"/>
          <w:kern w:val="0"/>
          <w:szCs w:val="21"/>
        </w:rPr>
        <w:t>同</w:t>
      </w:r>
      <w:r>
        <w:rPr>
          <w:rFonts w:hint="eastAsia" w:ascii="宋体" w:hAnsi="宋体" w:cs="微软雅黑"/>
          <w:b/>
          <w:color w:val="auto"/>
          <w:kern w:val="0"/>
          <w:szCs w:val="21"/>
        </w:rPr>
        <w:t>文</w:t>
      </w:r>
      <w:r>
        <w:rPr>
          <w:rFonts w:hint="eastAsia" w:ascii="宋体" w:hAnsi="宋体" w:cs="微软雅黑"/>
          <w:b/>
          <w:color w:val="auto"/>
          <w:spacing w:val="-2"/>
          <w:kern w:val="0"/>
          <w:szCs w:val="21"/>
        </w:rPr>
        <w:t>件构成</w:t>
      </w:r>
    </w:p>
    <w:p w14:paraId="7D53CAD4">
      <w:pPr>
        <w:pStyle w:val="29"/>
        <w:snapToGrid w:val="0"/>
        <w:spacing w:line="360" w:lineRule="auto"/>
        <w:ind w:left="420" w:leftChars="200"/>
        <w:rPr>
          <w:rFonts w:hAnsi="宋体"/>
          <w:color w:val="auto"/>
          <w:sz w:val="21"/>
        </w:rPr>
      </w:pPr>
      <w:r>
        <w:rPr>
          <w:rFonts w:hint="eastAsia" w:hAnsi="宋体"/>
          <w:color w:val="auto"/>
          <w:sz w:val="21"/>
        </w:rPr>
        <w:t>1.政府采购合同</w:t>
      </w:r>
    </w:p>
    <w:p w14:paraId="6A36137B">
      <w:pPr>
        <w:pStyle w:val="29"/>
        <w:snapToGrid w:val="0"/>
        <w:spacing w:line="360" w:lineRule="auto"/>
        <w:ind w:left="420" w:leftChars="200"/>
        <w:rPr>
          <w:rFonts w:hAnsi="宋体"/>
          <w:color w:val="auto"/>
          <w:sz w:val="21"/>
        </w:rPr>
      </w:pPr>
      <w:r>
        <w:rPr>
          <w:rFonts w:hint="eastAsia" w:hAnsi="宋体"/>
          <w:color w:val="auto"/>
          <w:sz w:val="21"/>
        </w:rPr>
        <w:t>2.中标（成交）通知书；</w:t>
      </w:r>
    </w:p>
    <w:p w14:paraId="01333228">
      <w:pPr>
        <w:pStyle w:val="29"/>
        <w:snapToGrid w:val="0"/>
        <w:spacing w:line="360" w:lineRule="auto"/>
        <w:ind w:left="420" w:leftChars="200"/>
        <w:rPr>
          <w:rFonts w:hAnsi="宋体"/>
          <w:color w:val="auto"/>
          <w:sz w:val="21"/>
        </w:rPr>
      </w:pPr>
      <w:r>
        <w:rPr>
          <w:rFonts w:hint="eastAsia" w:hAnsi="宋体"/>
          <w:color w:val="auto"/>
          <w:sz w:val="21"/>
        </w:rPr>
        <w:t>3.投标（响应）文件；</w:t>
      </w:r>
    </w:p>
    <w:p w14:paraId="77E95C85">
      <w:pPr>
        <w:pStyle w:val="29"/>
        <w:snapToGrid w:val="0"/>
        <w:spacing w:line="360" w:lineRule="auto"/>
        <w:ind w:left="420" w:leftChars="200"/>
        <w:rPr>
          <w:rFonts w:hAnsi="宋体"/>
          <w:color w:val="auto"/>
          <w:sz w:val="21"/>
        </w:rPr>
      </w:pPr>
      <w:r>
        <w:rPr>
          <w:rFonts w:hint="eastAsia" w:hAnsi="宋体"/>
          <w:color w:val="auto"/>
          <w:sz w:val="21"/>
        </w:rPr>
        <w:t>4.采购文件及更正公告（澄清或补充通知）；</w:t>
      </w:r>
    </w:p>
    <w:p w14:paraId="1882AB68">
      <w:pPr>
        <w:pStyle w:val="29"/>
        <w:snapToGrid w:val="0"/>
        <w:spacing w:line="360" w:lineRule="auto"/>
        <w:ind w:left="420" w:leftChars="200"/>
        <w:rPr>
          <w:rFonts w:hAnsi="宋体"/>
          <w:color w:val="auto"/>
          <w:sz w:val="21"/>
        </w:rPr>
      </w:pPr>
      <w:r>
        <w:rPr>
          <w:rFonts w:hint="eastAsia" w:hAnsi="宋体"/>
          <w:color w:val="auto"/>
          <w:sz w:val="21"/>
        </w:rPr>
        <w:t>5.标准、规范及有关技术文件；</w:t>
      </w:r>
    </w:p>
    <w:p w14:paraId="4CD1B710">
      <w:pPr>
        <w:pStyle w:val="29"/>
        <w:snapToGrid w:val="0"/>
        <w:spacing w:line="360" w:lineRule="auto"/>
        <w:ind w:left="420" w:leftChars="200"/>
        <w:rPr>
          <w:rFonts w:hAnsi="宋体"/>
          <w:color w:val="auto"/>
          <w:sz w:val="21"/>
        </w:rPr>
      </w:pPr>
      <w:r>
        <w:rPr>
          <w:rFonts w:hint="eastAsia" w:hAnsi="宋体"/>
          <w:color w:val="auto"/>
          <w:sz w:val="21"/>
        </w:rPr>
        <w:t>6.双方约定的其他合同文件。</w:t>
      </w:r>
    </w:p>
    <w:p w14:paraId="387D6419">
      <w:pPr>
        <w:pStyle w:val="29"/>
        <w:snapToGrid w:val="0"/>
        <w:spacing w:line="360" w:lineRule="auto"/>
        <w:ind w:firstLine="420" w:firstLineChars="200"/>
        <w:rPr>
          <w:rFonts w:hAnsi="宋体"/>
          <w:color w:val="auto"/>
          <w:sz w:val="21"/>
        </w:rPr>
      </w:pPr>
      <w:r>
        <w:rPr>
          <w:rFonts w:hint="eastAsia" w:hAnsi="宋体"/>
          <w:color w:val="auto"/>
          <w:sz w:val="21"/>
        </w:rPr>
        <w:t>上述合同文件互相补充和解释。如果合同文件之间存在矛盾或者不一致之处，以上述文件的排列顺序在先者为准。</w:t>
      </w:r>
    </w:p>
    <w:p w14:paraId="32DA3BD2">
      <w:pPr>
        <w:snapToGrid w:val="0"/>
        <w:spacing w:line="360" w:lineRule="auto"/>
        <w:ind w:firstLine="422" w:firstLineChars="200"/>
        <w:rPr>
          <w:rFonts w:ascii="宋体" w:hAnsi="宋体"/>
          <w:color w:val="auto"/>
          <w:szCs w:val="21"/>
        </w:rPr>
      </w:pPr>
      <w:r>
        <w:rPr>
          <w:rFonts w:hint="eastAsia" w:ascii="宋体" w:hAnsi="宋体"/>
          <w:b/>
          <w:color w:val="auto"/>
          <w:szCs w:val="21"/>
        </w:rPr>
        <w:t>第</w:t>
      </w:r>
      <w:r>
        <w:rPr>
          <w:rFonts w:hint="eastAsia" w:hAnsi="宋体"/>
          <w:b/>
          <w:color w:val="auto"/>
        </w:rPr>
        <w:t>十五</w:t>
      </w:r>
      <w:r>
        <w:rPr>
          <w:rFonts w:hint="eastAsia" w:ascii="宋体" w:hAnsi="宋体"/>
          <w:b/>
          <w:color w:val="auto"/>
          <w:szCs w:val="21"/>
        </w:rPr>
        <w:t>条　知识产权和保密要求</w:t>
      </w:r>
    </w:p>
    <w:p w14:paraId="1AF38A43">
      <w:pPr>
        <w:snapToGrid w:val="0"/>
        <w:spacing w:line="360" w:lineRule="auto"/>
        <w:ind w:firstLine="420" w:firstLineChars="200"/>
        <w:rPr>
          <w:rFonts w:ascii="宋体" w:hAnsi="宋体"/>
          <w:color w:val="auto"/>
          <w:szCs w:val="21"/>
        </w:rPr>
      </w:pPr>
      <w:r>
        <w:rPr>
          <w:rFonts w:hint="eastAsia" w:ascii="宋体" w:hAnsi="宋体"/>
          <w:color w:val="auto"/>
          <w:szCs w:val="21"/>
        </w:rPr>
        <w:t>1.甲方在履行合同过程中提供给乙方的全部图纸、文件和其他含有数据和信息的资料，其知识产权属于甲方。</w:t>
      </w:r>
    </w:p>
    <w:p w14:paraId="42B797AA">
      <w:pPr>
        <w:snapToGrid w:val="0"/>
        <w:spacing w:line="360" w:lineRule="auto"/>
        <w:ind w:firstLine="420" w:firstLineChars="200"/>
        <w:rPr>
          <w:rFonts w:ascii="宋体" w:hAnsi="宋体"/>
          <w:color w:val="auto"/>
          <w:szCs w:val="21"/>
        </w:rPr>
      </w:pPr>
      <w:r>
        <w:rPr>
          <w:rFonts w:hint="eastAsia" w:ascii="宋体" w:hAnsi="宋体"/>
          <w:color w:val="auto"/>
          <w:szCs w:val="21"/>
        </w:rPr>
        <w:t>2.除采购文件采购需求另有约定外，甲方不因签署和履行合同而享有乙方在履行合同过程中提供给甲方的图纸、文件、配套软件、电子辅助程序和其他含有数据和信息的资料的知识产权。</w:t>
      </w:r>
    </w:p>
    <w:p w14:paraId="54968DDE">
      <w:pPr>
        <w:snapToGrid w:val="0"/>
        <w:spacing w:line="360" w:lineRule="auto"/>
        <w:ind w:firstLine="420" w:firstLineChars="200"/>
        <w:rPr>
          <w:rFonts w:ascii="宋体" w:hAnsi="宋体"/>
          <w:color w:val="auto"/>
          <w:szCs w:val="21"/>
        </w:rPr>
      </w:pPr>
      <w:r>
        <w:rPr>
          <w:rFonts w:hint="eastAsia" w:ascii="宋体" w:hAnsi="宋体"/>
          <w:color w:val="auto"/>
          <w:szCs w:val="21"/>
        </w:rPr>
        <w:t>3.乙方应保证所提供服务及货物在使用时不会侵犯任何第三方的知识产权或者其他权利。如合同服务或货物涉及知识产权，则乙方保证甲方在使用合同服务或货物过程中免于受到第三方提出的有关知识产权侵权的主张、索赔或诉讼的伤害。</w:t>
      </w:r>
    </w:p>
    <w:p w14:paraId="41B06F9D">
      <w:pPr>
        <w:snapToGrid w:val="0"/>
        <w:spacing w:line="360" w:lineRule="auto"/>
        <w:ind w:firstLine="420" w:firstLineChars="200"/>
        <w:rPr>
          <w:rFonts w:ascii="宋体" w:hAnsi="宋体"/>
          <w:color w:val="auto"/>
          <w:szCs w:val="21"/>
        </w:rPr>
      </w:pPr>
      <w:r>
        <w:rPr>
          <w:rFonts w:hint="eastAsia" w:ascii="宋体" w:hAnsi="宋体"/>
          <w:color w:val="auto"/>
          <w:szCs w:val="21"/>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4598BD40">
      <w:pPr>
        <w:snapToGrid w:val="0"/>
        <w:spacing w:line="360" w:lineRule="auto"/>
        <w:ind w:firstLine="420" w:firstLineChars="200"/>
        <w:rPr>
          <w:rFonts w:ascii="宋体" w:hAnsi="宋体"/>
          <w:color w:val="auto"/>
          <w:szCs w:val="21"/>
        </w:rPr>
      </w:pPr>
      <w:r>
        <w:rPr>
          <w:rFonts w:hint="eastAsia" w:ascii="宋体" w:hAnsi="宋体"/>
          <w:color w:val="auto"/>
          <w:szCs w:val="21"/>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130BA52D">
      <w:pPr>
        <w:snapToGrid w:val="0"/>
        <w:spacing w:line="360" w:lineRule="auto"/>
        <w:ind w:firstLine="420" w:firstLineChars="200"/>
        <w:rPr>
          <w:rFonts w:ascii="宋体" w:hAnsi="宋体"/>
          <w:color w:val="auto"/>
          <w:szCs w:val="21"/>
        </w:rPr>
      </w:pPr>
      <w:r>
        <w:rPr>
          <w:rFonts w:hint="eastAsia" w:ascii="宋体" w:hAnsi="宋体"/>
          <w:color w:val="auto"/>
          <w:szCs w:val="21"/>
        </w:rPr>
        <w:t>6.伴随货物的，乙方保证将要交付的货物的所有权完全属于乙方且无任何抵押、质押、查封等产权瑕疵。</w:t>
      </w:r>
    </w:p>
    <w:p w14:paraId="68AA7FF6">
      <w:pPr>
        <w:pStyle w:val="29"/>
        <w:snapToGrid w:val="0"/>
        <w:spacing w:line="360" w:lineRule="auto"/>
        <w:ind w:firstLine="413" w:firstLineChars="196"/>
        <w:rPr>
          <w:rFonts w:hAnsi="宋体"/>
          <w:b/>
          <w:color w:val="auto"/>
          <w:sz w:val="21"/>
        </w:rPr>
      </w:pPr>
      <w:r>
        <w:rPr>
          <w:rFonts w:hint="eastAsia" w:hAnsi="宋体"/>
          <w:b/>
          <w:color w:val="auto"/>
          <w:sz w:val="21"/>
        </w:rPr>
        <w:t>第十六条  合同生效及其它</w:t>
      </w:r>
    </w:p>
    <w:p w14:paraId="6C1FAD20">
      <w:pPr>
        <w:pStyle w:val="29"/>
        <w:snapToGrid w:val="0"/>
        <w:spacing w:line="360" w:lineRule="auto"/>
        <w:ind w:firstLine="420" w:firstLineChars="200"/>
        <w:rPr>
          <w:rFonts w:hAnsi="宋体"/>
          <w:color w:val="auto"/>
          <w:sz w:val="21"/>
        </w:rPr>
      </w:pPr>
      <w:r>
        <w:rPr>
          <w:rFonts w:hint="eastAsia" w:hAnsi="宋体"/>
          <w:color w:val="auto"/>
          <w:sz w:val="21"/>
        </w:rPr>
        <w:t>1.合同经双方法定代表人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hAnsi="宋体"/>
          <w:color w:val="auto"/>
          <w:sz w:val="21"/>
        </w:rPr>
        <w:t>或者委托代理人签字并加盖单位公章后生效（委托代理人签字的需后附授权委托书，格式自拟）。</w:t>
      </w:r>
    </w:p>
    <w:p w14:paraId="2DDD4CDC">
      <w:pPr>
        <w:pStyle w:val="29"/>
        <w:snapToGrid w:val="0"/>
        <w:spacing w:line="360" w:lineRule="auto"/>
        <w:ind w:firstLine="420" w:firstLineChars="200"/>
        <w:rPr>
          <w:rFonts w:hAnsi="宋体"/>
          <w:color w:val="auto"/>
          <w:sz w:val="21"/>
        </w:rPr>
      </w:pPr>
      <w:r>
        <w:rPr>
          <w:rFonts w:hint="eastAsia" w:hAnsi="宋体"/>
          <w:color w:val="auto"/>
          <w:sz w:val="21"/>
        </w:rPr>
        <w:t>2.合同执行中涉及采购资金和采购内容修改或者补充的，并签书面补充协议报财政部门备案，方可作为主合同不可分割的一部分。</w:t>
      </w:r>
    </w:p>
    <w:p w14:paraId="74A47EE9">
      <w:pPr>
        <w:pStyle w:val="29"/>
        <w:snapToGrid w:val="0"/>
        <w:spacing w:line="360" w:lineRule="auto"/>
        <w:ind w:firstLine="420" w:firstLineChars="200"/>
        <w:rPr>
          <w:rFonts w:hAnsi="宋体"/>
          <w:color w:val="auto"/>
          <w:sz w:val="21"/>
        </w:rPr>
      </w:pPr>
      <w:r>
        <w:rPr>
          <w:rFonts w:hint="eastAsia" w:hAnsi="宋体"/>
          <w:color w:val="auto"/>
          <w:sz w:val="21"/>
        </w:rPr>
        <w:t>3.合同生效后，甲乙双方不得因姓名、名称的变更或者法定代表人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hAnsi="宋体"/>
          <w:color w:val="auto"/>
          <w:sz w:val="21"/>
        </w:rPr>
        <w:t>、负责人、承办人的变动而不履行合同义务。</w:t>
      </w:r>
    </w:p>
    <w:p w14:paraId="5A48DF08">
      <w:pPr>
        <w:pStyle w:val="29"/>
        <w:snapToGrid w:val="0"/>
        <w:spacing w:line="360" w:lineRule="auto"/>
        <w:ind w:left="420" w:leftChars="200"/>
        <w:rPr>
          <w:rFonts w:hAnsi="宋体"/>
          <w:color w:val="auto"/>
          <w:sz w:val="21"/>
        </w:rPr>
      </w:pPr>
      <w:r>
        <w:rPr>
          <w:rFonts w:hint="eastAsia" w:hAnsi="宋体"/>
          <w:color w:val="auto"/>
          <w:sz w:val="21"/>
        </w:rPr>
        <w:t>4.本合同未尽事宜，遵照《中华人民共和国民法典》有关条文执行。</w:t>
      </w:r>
    </w:p>
    <w:p w14:paraId="75F39644">
      <w:pPr>
        <w:snapToGrid w:val="0"/>
        <w:spacing w:line="360" w:lineRule="auto"/>
        <w:ind w:firstLine="420" w:firstLineChars="200"/>
        <w:rPr>
          <w:rFonts w:hint="eastAsia" w:ascii="宋体" w:hAnsi="宋体"/>
          <w:color w:val="auto"/>
          <w:szCs w:val="21"/>
        </w:rPr>
      </w:pPr>
      <w:r>
        <w:rPr>
          <w:rFonts w:hint="eastAsia" w:ascii="宋体" w:hAnsi="宋体"/>
          <w:color w:val="auto"/>
          <w:szCs w:val="21"/>
        </w:rPr>
        <w:t>5.本合同一式</w:t>
      </w:r>
      <w:r>
        <w:rPr>
          <w:rFonts w:hint="eastAsia" w:ascii="宋体" w:hAnsi="宋体"/>
          <w:i/>
          <w:color w:val="auto"/>
          <w:szCs w:val="21"/>
          <w:u w:val="single"/>
        </w:rPr>
        <w:t xml:space="preserve">   </w:t>
      </w:r>
      <w:r>
        <w:rPr>
          <w:rFonts w:hint="eastAsia" w:ascii="宋体" w:hAnsi="宋体"/>
          <w:color w:val="auto"/>
          <w:szCs w:val="21"/>
        </w:rPr>
        <w:t>份，具有同等法律效力，财政部门（政府采购监管部门）、采购代理机构各一份，甲乙双方各一份（可根据需要另增加）。</w:t>
      </w:r>
    </w:p>
    <w:p w14:paraId="2B167447">
      <w:pPr>
        <w:spacing w:line="360" w:lineRule="auto"/>
        <w:ind w:firstLine="422" w:firstLineChars="200"/>
        <w:rPr>
          <w:rFonts w:ascii="宋体" w:hAnsi="宋体" w:cs="宋体"/>
          <w:b/>
          <w:color w:val="auto"/>
          <w:szCs w:val="21"/>
        </w:rPr>
      </w:pPr>
    </w:p>
    <w:p w14:paraId="6D3F5CEB">
      <w:pPr>
        <w:tabs>
          <w:tab w:val="left" w:pos="4395"/>
        </w:tabs>
        <w:spacing w:line="360" w:lineRule="auto"/>
        <w:rPr>
          <w:rFonts w:ascii="宋体" w:hAnsi="宋体"/>
          <w:b/>
          <w:color w:val="auto"/>
          <w:szCs w:val="21"/>
        </w:rPr>
      </w:pPr>
      <w:r>
        <w:rPr>
          <w:rFonts w:hint="eastAsia" w:ascii="宋体" w:hAnsi="宋体"/>
          <w:b/>
          <w:color w:val="auto"/>
          <w:szCs w:val="21"/>
        </w:rPr>
        <w:t>甲方（盖章）：</w:t>
      </w:r>
      <w:r>
        <w:rPr>
          <w:rFonts w:hint="eastAsia" w:ascii="宋体" w:hAnsi="宋体"/>
          <w:b/>
          <w:color w:val="auto"/>
          <w:szCs w:val="21"/>
        </w:rPr>
        <w:tab/>
      </w:r>
      <w:r>
        <w:rPr>
          <w:rFonts w:hint="eastAsia" w:ascii="宋体" w:hAnsi="宋体"/>
          <w:b/>
          <w:color w:val="auto"/>
          <w:szCs w:val="21"/>
        </w:rPr>
        <w:t>乙方（盖章）：</w:t>
      </w:r>
    </w:p>
    <w:p w14:paraId="32315CD6">
      <w:pPr>
        <w:tabs>
          <w:tab w:val="left" w:pos="4395"/>
        </w:tabs>
        <w:spacing w:line="360" w:lineRule="auto"/>
        <w:rPr>
          <w:rFonts w:ascii="宋体" w:hAnsi="宋体"/>
          <w:b/>
          <w:color w:val="auto"/>
          <w:szCs w:val="21"/>
        </w:rPr>
      </w:pPr>
      <w:r>
        <w:rPr>
          <w:rFonts w:hint="eastAsia" w:ascii="宋体" w:hAnsi="宋体"/>
          <w:bCs/>
          <w:color w:val="auto"/>
          <w:szCs w:val="21"/>
        </w:rPr>
        <w:t>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bCs/>
          <w:color w:val="auto"/>
          <w:szCs w:val="21"/>
        </w:rPr>
        <w:t>或者委托代理人（签字）</w:t>
      </w:r>
      <w:r>
        <w:rPr>
          <w:rFonts w:hint="eastAsia" w:ascii="宋体" w:hAnsi="宋体"/>
          <w:b/>
          <w:color w:val="auto"/>
          <w:szCs w:val="21"/>
        </w:rPr>
        <w:t>：</w:t>
      </w:r>
      <w:r>
        <w:rPr>
          <w:rFonts w:hint="eastAsia" w:ascii="宋体" w:hAnsi="宋体"/>
          <w:b/>
          <w:color w:val="auto"/>
          <w:szCs w:val="21"/>
        </w:rPr>
        <w:tab/>
      </w:r>
      <w:r>
        <w:rPr>
          <w:rFonts w:hint="eastAsia" w:ascii="宋体" w:hAnsi="宋体"/>
          <w:bCs/>
          <w:color w:val="auto"/>
          <w:szCs w:val="21"/>
        </w:rPr>
        <w:t>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bCs/>
          <w:color w:val="auto"/>
          <w:szCs w:val="21"/>
        </w:rPr>
        <w:t>或者委托代理人（签字）</w:t>
      </w:r>
      <w:r>
        <w:rPr>
          <w:rFonts w:hint="eastAsia" w:ascii="宋体" w:hAnsi="宋体"/>
          <w:b/>
          <w:color w:val="auto"/>
          <w:szCs w:val="21"/>
        </w:rPr>
        <w:t xml:space="preserve">： </w:t>
      </w:r>
    </w:p>
    <w:p w14:paraId="2B5863DA">
      <w:pPr>
        <w:tabs>
          <w:tab w:val="left" w:pos="4395"/>
        </w:tabs>
        <w:spacing w:line="360" w:lineRule="auto"/>
        <w:rPr>
          <w:rFonts w:ascii="宋体" w:hAnsi="宋体"/>
          <w:color w:val="auto"/>
          <w:szCs w:val="21"/>
        </w:rPr>
      </w:pPr>
    </w:p>
    <w:p w14:paraId="251A5B5D">
      <w:pPr>
        <w:tabs>
          <w:tab w:val="left" w:pos="4395"/>
        </w:tabs>
        <w:spacing w:line="360" w:lineRule="auto"/>
        <w:rPr>
          <w:rFonts w:ascii="宋体" w:hAnsi="宋体"/>
          <w:color w:val="auto"/>
          <w:szCs w:val="21"/>
        </w:rPr>
      </w:pPr>
      <w:r>
        <w:rPr>
          <w:rFonts w:hint="eastAsia" w:ascii="宋体" w:hAnsi="宋体"/>
          <w:color w:val="auto"/>
          <w:szCs w:val="21"/>
        </w:rPr>
        <w:t>签定日期：　　　年　　月　　日</w:t>
      </w:r>
      <w:r>
        <w:rPr>
          <w:rFonts w:hint="eastAsia" w:ascii="宋体" w:hAnsi="宋体"/>
          <w:color w:val="auto"/>
          <w:szCs w:val="21"/>
        </w:rPr>
        <w:tab/>
      </w:r>
      <w:r>
        <w:rPr>
          <w:rFonts w:hint="eastAsia" w:ascii="宋体" w:hAnsi="宋体"/>
          <w:color w:val="auto"/>
          <w:szCs w:val="21"/>
        </w:rPr>
        <w:t>签定日期：　　　年　　月　　日</w:t>
      </w:r>
    </w:p>
    <w:p w14:paraId="07505873">
      <w:pPr>
        <w:tabs>
          <w:tab w:val="left" w:pos="4395"/>
        </w:tabs>
        <w:spacing w:line="360" w:lineRule="auto"/>
        <w:rPr>
          <w:rFonts w:ascii="宋体" w:hAnsi="宋体"/>
          <w:color w:val="auto"/>
          <w:szCs w:val="21"/>
        </w:rPr>
      </w:pPr>
      <w:r>
        <w:rPr>
          <w:rFonts w:hint="eastAsia" w:ascii="宋体" w:hAnsi="宋体"/>
          <w:color w:val="auto"/>
          <w:szCs w:val="21"/>
        </w:rPr>
        <w:tab/>
      </w:r>
      <w:r>
        <w:rPr>
          <w:rFonts w:hint="eastAsia" w:ascii="宋体" w:hAnsi="宋体"/>
          <w:color w:val="auto"/>
          <w:szCs w:val="21"/>
        </w:rPr>
        <w:t>开户名称：</w:t>
      </w:r>
    </w:p>
    <w:p w14:paraId="51D9D7E6">
      <w:pPr>
        <w:tabs>
          <w:tab w:val="left" w:pos="4395"/>
        </w:tabs>
        <w:spacing w:line="360" w:lineRule="auto"/>
        <w:rPr>
          <w:rFonts w:ascii="宋体" w:hAnsi="宋体"/>
          <w:color w:val="auto"/>
          <w:szCs w:val="21"/>
        </w:rPr>
      </w:pPr>
      <w:r>
        <w:rPr>
          <w:rFonts w:hint="eastAsia" w:ascii="宋体" w:hAnsi="宋体"/>
          <w:color w:val="auto"/>
          <w:szCs w:val="21"/>
        </w:rPr>
        <w:tab/>
      </w:r>
      <w:r>
        <w:rPr>
          <w:rFonts w:hint="eastAsia" w:ascii="宋体" w:hAnsi="宋体"/>
          <w:color w:val="auto"/>
          <w:szCs w:val="21"/>
        </w:rPr>
        <w:t>银行账号：</w:t>
      </w:r>
    </w:p>
    <w:p w14:paraId="20B9C4B2">
      <w:pPr>
        <w:ind w:firstLine="0" w:firstLineChars="0"/>
        <w:rPr>
          <w:rFonts w:ascii="宋体" w:hAnsi="宋体"/>
          <w:color w:val="auto"/>
          <w:highlight w:val="yellow"/>
        </w:rPr>
      </w:pPr>
      <w:r>
        <w:rPr>
          <w:rFonts w:hint="eastAsia" w:ascii="宋体" w:hAnsi="宋体"/>
          <w:color w:val="auto"/>
          <w:szCs w:val="21"/>
        </w:rPr>
        <w:tab/>
      </w:r>
      <w:r>
        <w:rPr>
          <w:rFonts w:hint="eastAsia" w:ascii="宋体" w:hAnsi="宋体"/>
          <w:color w:val="auto"/>
          <w:szCs w:val="21"/>
        </w:rPr>
        <w:t>开 户 行：</w:t>
      </w:r>
      <w:r>
        <w:rPr>
          <w:rFonts w:ascii="宋体" w:hAnsi="宋体"/>
          <w:b/>
          <w:color w:val="auto"/>
          <w:sz w:val="32"/>
          <w:szCs w:val="32"/>
        </w:rPr>
        <w:br w:type="page"/>
      </w:r>
    </w:p>
    <w:p w14:paraId="395F135F">
      <w:pPr>
        <w:ind w:firstLine="0" w:firstLineChars="0"/>
        <w:rPr>
          <w:rFonts w:ascii="宋体" w:hAnsi="宋体"/>
          <w:color w:val="auto"/>
          <w:highlight w:val="yellow"/>
        </w:rPr>
      </w:pPr>
    </w:p>
    <w:p w14:paraId="40CCF82F">
      <w:pPr>
        <w:ind w:firstLine="0" w:firstLineChars="0"/>
        <w:rPr>
          <w:rFonts w:ascii="宋体" w:hAnsi="宋体"/>
          <w:color w:val="auto"/>
          <w:highlight w:val="none"/>
        </w:rPr>
      </w:pPr>
    </w:p>
    <w:p w14:paraId="79149E4D">
      <w:pPr>
        <w:ind w:firstLine="0" w:firstLineChars="0"/>
        <w:rPr>
          <w:rFonts w:ascii="宋体" w:hAnsi="宋体"/>
          <w:color w:val="auto"/>
          <w:highlight w:val="none"/>
        </w:rPr>
      </w:pPr>
    </w:p>
    <w:p w14:paraId="4AFF0390">
      <w:pPr>
        <w:ind w:firstLine="0" w:firstLineChars="0"/>
        <w:rPr>
          <w:rFonts w:hint="eastAsia" w:ascii="宋体" w:hAnsi="宋体"/>
          <w:color w:val="auto"/>
          <w:highlight w:val="none"/>
        </w:rPr>
      </w:pPr>
    </w:p>
    <w:p w14:paraId="1A906A93">
      <w:pPr>
        <w:pStyle w:val="49"/>
        <w:ind w:left="0" w:leftChars="0" w:right="0" w:rightChars="0" w:firstLine="0" w:firstLineChars="0"/>
        <w:jc w:val="center"/>
        <w:rPr>
          <w:rFonts w:hint="eastAsia" w:ascii="宋体" w:hAnsi="宋体" w:eastAsia="宋体"/>
          <w:color w:val="auto"/>
          <w:highlight w:val="none"/>
        </w:rPr>
      </w:pPr>
      <w:bookmarkStart w:id="216" w:name="_Toc91512288"/>
      <w:bookmarkStart w:id="217" w:name="_Toc352700352"/>
      <w:bookmarkStart w:id="218" w:name="_Toc352700448"/>
    </w:p>
    <w:p w14:paraId="35147C87">
      <w:pPr>
        <w:pStyle w:val="49"/>
        <w:ind w:left="0" w:leftChars="0" w:right="0" w:rightChars="0" w:firstLine="0" w:firstLineChars="0"/>
        <w:jc w:val="center"/>
        <w:rPr>
          <w:rFonts w:hint="eastAsia" w:ascii="宋体" w:hAnsi="宋体" w:eastAsia="宋体"/>
          <w:color w:val="auto"/>
          <w:highlight w:val="none"/>
        </w:rPr>
      </w:pPr>
    </w:p>
    <w:p w14:paraId="61C68059">
      <w:pPr>
        <w:pStyle w:val="49"/>
        <w:ind w:left="0" w:leftChars="0" w:right="0" w:rightChars="0" w:firstLine="0" w:firstLineChars="0"/>
        <w:jc w:val="center"/>
        <w:rPr>
          <w:rFonts w:hint="eastAsia" w:ascii="宋体" w:hAnsi="宋体" w:eastAsia="宋体"/>
          <w:color w:val="auto"/>
          <w:highlight w:val="none"/>
        </w:rPr>
      </w:pPr>
    </w:p>
    <w:p w14:paraId="17C625E5">
      <w:pPr>
        <w:pStyle w:val="49"/>
        <w:ind w:left="0" w:leftChars="0" w:right="0" w:rightChars="0" w:firstLine="0" w:firstLineChars="0"/>
        <w:jc w:val="center"/>
        <w:rPr>
          <w:rFonts w:hint="eastAsia" w:ascii="宋体" w:hAnsi="宋体" w:eastAsia="宋体"/>
          <w:color w:val="auto"/>
          <w:highlight w:val="none"/>
        </w:rPr>
      </w:pPr>
    </w:p>
    <w:p w14:paraId="6A2C0F8F">
      <w:pPr>
        <w:pStyle w:val="49"/>
        <w:ind w:left="0" w:leftChars="0" w:right="0" w:rightChars="0" w:firstLine="0" w:firstLineChars="0"/>
        <w:jc w:val="center"/>
        <w:rPr>
          <w:rFonts w:hint="eastAsia" w:ascii="宋体" w:hAnsi="宋体" w:eastAsia="宋体"/>
          <w:color w:val="auto"/>
          <w:highlight w:val="none"/>
        </w:rPr>
      </w:pPr>
    </w:p>
    <w:p w14:paraId="3C69D68B">
      <w:pPr>
        <w:pStyle w:val="49"/>
        <w:ind w:left="0" w:leftChars="0" w:right="0" w:rightChars="0" w:firstLine="0" w:firstLineChars="0"/>
        <w:jc w:val="center"/>
        <w:rPr>
          <w:rFonts w:hint="eastAsia" w:ascii="宋体" w:hAnsi="宋体" w:eastAsia="宋体"/>
          <w:color w:val="auto"/>
          <w:highlight w:val="none"/>
        </w:rPr>
      </w:pPr>
    </w:p>
    <w:p w14:paraId="3DE27E7E">
      <w:pPr>
        <w:pStyle w:val="49"/>
        <w:ind w:left="0" w:leftChars="0" w:right="0" w:rightChars="0" w:firstLine="0" w:firstLineChars="0"/>
        <w:jc w:val="center"/>
        <w:rPr>
          <w:rFonts w:ascii="宋体" w:hAnsi="宋体" w:eastAsia="宋体"/>
          <w:color w:val="auto"/>
          <w:highlight w:val="none"/>
        </w:rPr>
      </w:pPr>
      <w:r>
        <w:rPr>
          <w:rFonts w:hint="eastAsia" w:ascii="宋体" w:hAnsi="宋体" w:eastAsia="宋体"/>
          <w:color w:val="auto"/>
          <w:highlight w:val="none"/>
        </w:rPr>
        <w:t>第六章　投标文件格式</w:t>
      </w:r>
      <w:bookmarkEnd w:id="216"/>
      <w:bookmarkEnd w:id="217"/>
      <w:bookmarkEnd w:id="218"/>
    </w:p>
    <w:p w14:paraId="280371F4">
      <w:pPr>
        <w:pStyle w:val="29"/>
        <w:ind w:firstLine="0" w:firstLineChars="0"/>
        <w:rPr>
          <w:rFonts w:hAnsi="宋体"/>
          <w:b/>
          <w:color w:val="auto"/>
          <w:sz w:val="32"/>
          <w:szCs w:val="32"/>
          <w:highlight w:val="none"/>
        </w:rPr>
      </w:pPr>
      <w:r>
        <w:rPr>
          <w:rFonts w:hAnsi="宋体"/>
          <w:color w:val="auto"/>
          <w:highlight w:val="none"/>
        </w:rPr>
        <w:br w:type="page"/>
      </w:r>
      <w:r>
        <w:rPr>
          <w:rFonts w:hint="eastAsia" w:hAnsi="宋体"/>
          <w:b/>
          <w:color w:val="auto"/>
          <w:sz w:val="32"/>
          <w:szCs w:val="32"/>
          <w:highlight w:val="none"/>
        </w:rPr>
        <w:t>一、资格文件</w:t>
      </w:r>
    </w:p>
    <w:p w14:paraId="13A49C04">
      <w:pPr>
        <w:tabs>
          <w:tab w:val="left" w:pos="3402"/>
        </w:tabs>
        <w:spacing w:line="320" w:lineRule="exact"/>
        <w:ind w:firstLine="0" w:firstLineChars="0"/>
        <w:jc w:val="left"/>
        <w:rPr>
          <w:rFonts w:hint="eastAsia" w:ascii="宋体" w:hAnsi="宋体"/>
          <w:b/>
          <w:color w:val="auto"/>
          <w:spacing w:val="10"/>
          <w:sz w:val="32"/>
          <w:szCs w:val="32"/>
          <w:highlight w:val="none"/>
        </w:rPr>
      </w:pPr>
    </w:p>
    <w:p w14:paraId="384B27B1">
      <w:pPr>
        <w:tabs>
          <w:tab w:val="left" w:pos="3402"/>
        </w:tabs>
        <w:spacing w:line="240" w:lineRule="auto"/>
        <w:ind w:firstLine="602" w:firstLineChars="0"/>
        <w:jc w:val="center"/>
        <w:rPr>
          <w:rFonts w:ascii="宋体" w:hAnsi="宋体"/>
          <w:b/>
          <w:color w:val="auto"/>
          <w:spacing w:val="10"/>
          <w:sz w:val="32"/>
          <w:szCs w:val="32"/>
          <w:highlight w:val="none"/>
        </w:rPr>
      </w:pPr>
      <w:r>
        <w:rPr>
          <w:rFonts w:hint="eastAsia" w:ascii="宋体" w:hAnsi="宋体"/>
          <w:b/>
          <w:color w:val="auto"/>
          <w:spacing w:val="10"/>
          <w:sz w:val="32"/>
          <w:szCs w:val="32"/>
          <w:highlight w:val="none"/>
        </w:rPr>
        <w:t>投标人具备参加政府采购活动条件的承诺书</w:t>
      </w:r>
      <w:r>
        <w:rPr>
          <w:rFonts w:hint="eastAsia" w:ascii="宋体" w:hAnsi="宋体" w:cs="黑体"/>
          <w:bCs/>
          <w:color w:val="auto"/>
          <w:sz w:val="24"/>
          <w:highlight w:val="none"/>
        </w:rPr>
        <w:t>(格式)</w:t>
      </w:r>
    </w:p>
    <w:p w14:paraId="100631B7">
      <w:pPr>
        <w:tabs>
          <w:tab w:val="left" w:pos="3402"/>
        </w:tabs>
        <w:spacing w:line="240" w:lineRule="auto"/>
        <w:ind w:firstLine="0" w:firstLineChars="0"/>
        <w:jc w:val="left"/>
        <w:rPr>
          <w:rFonts w:ascii="宋体" w:hAnsi="宋体"/>
          <w:b/>
          <w:color w:val="auto"/>
          <w:spacing w:val="10"/>
          <w:szCs w:val="21"/>
          <w:highlight w:val="none"/>
        </w:rPr>
      </w:pPr>
    </w:p>
    <w:p w14:paraId="78D726D1">
      <w:pPr>
        <w:spacing w:line="520" w:lineRule="exact"/>
        <w:ind w:firstLine="0" w:firstLineChars="0"/>
        <w:rPr>
          <w:rFonts w:ascii="宋体" w:hAnsi="宋体"/>
          <w:bCs/>
          <w:color w:val="auto"/>
          <w:szCs w:val="22"/>
          <w:highlight w:val="none"/>
        </w:rPr>
      </w:pPr>
      <w:r>
        <w:rPr>
          <w:rFonts w:hint="eastAsia" w:ascii="宋体" w:hAnsi="宋体"/>
          <w:bCs/>
          <w:color w:val="auto"/>
          <w:szCs w:val="22"/>
          <w:highlight w:val="none"/>
        </w:rPr>
        <w:t>钦州市政府采购中心：</w:t>
      </w:r>
    </w:p>
    <w:p w14:paraId="52A77E69">
      <w:pPr>
        <w:spacing w:line="520" w:lineRule="exact"/>
        <w:ind w:firstLine="420" w:firstLineChars="0"/>
        <w:rPr>
          <w:rFonts w:ascii="宋体" w:hAnsi="宋体"/>
          <w:bCs/>
          <w:color w:val="auto"/>
          <w:szCs w:val="22"/>
          <w:highlight w:val="none"/>
        </w:rPr>
      </w:pPr>
      <w:r>
        <w:rPr>
          <w:rFonts w:hint="eastAsia" w:ascii="宋体" w:hAnsi="宋体"/>
          <w:bCs/>
          <w:color w:val="auto"/>
          <w:szCs w:val="22"/>
          <w:highlight w:val="none"/>
        </w:rPr>
        <w:t>根据《中华人民共和国政府采购法》实施条例第十七条的规定，现郑重承诺：</w:t>
      </w:r>
    </w:p>
    <w:p w14:paraId="2B8732BC">
      <w:pPr>
        <w:spacing w:line="520" w:lineRule="exact"/>
        <w:ind w:firstLine="420" w:firstLineChars="0"/>
        <w:rPr>
          <w:rFonts w:ascii="宋体" w:hAnsi="宋体"/>
          <w:bCs/>
          <w:color w:val="auto"/>
          <w:szCs w:val="22"/>
          <w:highlight w:val="none"/>
        </w:rPr>
      </w:pPr>
      <w:r>
        <w:rPr>
          <w:rFonts w:ascii="宋体" w:hAnsi="宋体"/>
          <w:bCs/>
          <w:color w:val="auto"/>
          <w:szCs w:val="22"/>
          <w:highlight w:val="none"/>
          <w:u w:val="single"/>
        </w:rPr>
        <w:t>(</w:t>
      </w:r>
      <w:r>
        <w:rPr>
          <w:rFonts w:hint="eastAsia" w:ascii="宋体" w:hAnsi="宋体"/>
          <w:bCs/>
          <w:color w:val="auto"/>
          <w:szCs w:val="22"/>
          <w:highlight w:val="none"/>
          <w:u w:val="single"/>
        </w:rPr>
        <w:t>投标人名称)</w:t>
      </w:r>
      <w:r>
        <w:rPr>
          <w:rFonts w:hint="eastAsia" w:ascii="宋体" w:hAnsi="宋体"/>
          <w:bCs/>
          <w:color w:val="auto"/>
          <w:szCs w:val="22"/>
          <w:highlight w:val="none"/>
        </w:rPr>
        <w:t>具有良好的商业信誉和健全的财务会计制度，具有履行合同所必需的设备和专业技术能力，有依法缴纳税收和社会保障资金的良好记录。</w:t>
      </w:r>
    </w:p>
    <w:p w14:paraId="7AEE091E">
      <w:pPr>
        <w:spacing w:line="520" w:lineRule="exact"/>
        <w:ind w:firstLine="420" w:firstLineChars="0"/>
        <w:rPr>
          <w:rFonts w:ascii="宋体" w:hAnsi="宋体"/>
          <w:bCs/>
          <w:color w:val="auto"/>
          <w:szCs w:val="22"/>
          <w:highlight w:val="none"/>
        </w:rPr>
      </w:pPr>
      <w:r>
        <w:rPr>
          <w:rFonts w:hint="eastAsia" w:ascii="宋体" w:hAnsi="宋体"/>
          <w:bCs/>
          <w:color w:val="auto"/>
          <w:szCs w:val="22"/>
          <w:highlight w:val="none"/>
        </w:rPr>
        <w:t>本单位对上述承诺内容事项真实性负责，如有虚假，由我单位承担相关法律责任。</w:t>
      </w:r>
    </w:p>
    <w:p w14:paraId="1EEDE3B4">
      <w:pPr>
        <w:spacing w:line="520" w:lineRule="exact"/>
        <w:ind w:firstLine="420" w:firstLineChars="0"/>
        <w:rPr>
          <w:rFonts w:ascii="宋体" w:hAnsi="宋体"/>
          <w:bCs/>
          <w:color w:val="auto"/>
          <w:szCs w:val="22"/>
          <w:highlight w:val="none"/>
        </w:rPr>
      </w:pPr>
      <w:r>
        <w:rPr>
          <w:rFonts w:hint="eastAsia" w:ascii="宋体" w:hAnsi="宋体"/>
          <w:bCs/>
          <w:color w:val="auto"/>
          <w:szCs w:val="22"/>
          <w:highlight w:val="none"/>
        </w:rPr>
        <w:t>特此承诺。</w:t>
      </w:r>
    </w:p>
    <w:p w14:paraId="63FE5C27">
      <w:pPr>
        <w:spacing w:line="240" w:lineRule="auto"/>
        <w:ind w:firstLine="420" w:firstLineChars="0"/>
        <w:rPr>
          <w:rFonts w:ascii="宋体" w:hAnsi="宋体"/>
          <w:bCs/>
          <w:color w:val="auto"/>
          <w:szCs w:val="22"/>
          <w:highlight w:val="none"/>
        </w:rPr>
      </w:pPr>
    </w:p>
    <w:p w14:paraId="7BA7DB23">
      <w:pPr>
        <w:spacing w:line="240" w:lineRule="auto"/>
        <w:ind w:firstLine="420" w:firstLineChars="0"/>
        <w:rPr>
          <w:rFonts w:ascii="宋体" w:hAnsi="宋体"/>
          <w:bCs/>
          <w:color w:val="auto"/>
          <w:szCs w:val="22"/>
          <w:highlight w:val="none"/>
        </w:rPr>
      </w:pPr>
    </w:p>
    <w:p w14:paraId="3AD4B453">
      <w:pPr>
        <w:spacing w:line="240" w:lineRule="auto"/>
        <w:ind w:firstLine="420" w:firstLineChars="0"/>
        <w:rPr>
          <w:rFonts w:hint="eastAsia" w:ascii="宋体" w:hAnsi="宋体"/>
          <w:bCs/>
          <w:color w:val="auto"/>
          <w:szCs w:val="22"/>
          <w:highlight w:val="none"/>
        </w:rPr>
      </w:pPr>
    </w:p>
    <w:p w14:paraId="7BBE9AC2">
      <w:pPr>
        <w:spacing w:line="440" w:lineRule="exact"/>
        <w:ind w:right="1050" w:rightChars="500" w:firstLine="5250" w:firstLineChars="2500"/>
        <w:jc w:val="left"/>
        <w:rPr>
          <w:rFonts w:hint="eastAsia" w:ascii="宋体" w:hAnsi="宋体"/>
          <w:bCs/>
          <w:color w:val="auto"/>
          <w:highlight w:val="none"/>
        </w:rPr>
      </w:pPr>
      <w:r>
        <w:rPr>
          <w:rFonts w:hint="eastAsia" w:ascii="宋体" w:hAnsi="宋体"/>
          <w:bCs/>
          <w:color w:val="auto"/>
          <w:szCs w:val="22"/>
          <w:highlight w:val="none"/>
        </w:rPr>
        <w:t xml:space="preserve"> </w:t>
      </w:r>
      <w:r>
        <w:rPr>
          <w:rFonts w:ascii="宋体" w:hAnsi="宋体"/>
          <w:bCs/>
          <w:color w:val="auto"/>
          <w:szCs w:val="22"/>
          <w:highlight w:val="none"/>
        </w:rPr>
        <w:t xml:space="preserve">   </w:t>
      </w:r>
      <w:r>
        <w:rPr>
          <w:rFonts w:hint="eastAsia" w:ascii="宋体" w:hAnsi="宋体"/>
          <w:bCs/>
          <w:color w:val="auto"/>
          <w:highlight w:val="none"/>
        </w:rPr>
        <w:t>投标人(盖章)：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79D84562">
      <w:pPr>
        <w:spacing w:line="440" w:lineRule="exact"/>
        <w:ind w:right="420" w:firstLine="0" w:firstLineChars="0"/>
        <w:jc w:val="center"/>
        <w:rPr>
          <w:rFonts w:ascii="宋体" w:hAnsi="宋体"/>
          <w:bCs/>
          <w:color w:val="auto"/>
          <w:highlight w:val="none"/>
        </w:rPr>
      </w:pPr>
      <w:r>
        <w:rPr>
          <w:rFonts w:hint="eastAsia" w:ascii="宋体" w:hAnsi="宋体"/>
          <w:bCs/>
          <w:color w:val="auto"/>
          <w:highlight w:val="none"/>
        </w:rPr>
        <w:t xml:space="preserve"> </w:t>
      </w:r>
      <w:r>
        <w:rPr>
          <w:rFonts w:ascii="宋体" w:hAnsi="宋体"/>
          <w:bCs/>
          <w:color w:val="auto"/>
          <w:highlight w:val="none"/>
        </w:rPr>
        <w:t xml:space="preserve">                                              </w:t>
      </w:r>
      <w:r>
        <w:rPr>
          <w:rFonts w:hint="eastAsia" w:ascii="宋体" w:hAnsi="宋体"/>
          <w:bCs/>
          <w:color w:val="auto"/>
          <w:highlight w:val="none"/>
        </w:rPr>
        <w:t>日期：</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14:paraId="30611B8B">
      <w:pPr>
        <w:ind w:firstLine="0" w:firstLineChars="0"/>
        <w:rPr>
          <w:rFonts w:ascii="宋体" w:hAnsi="宋体"/>
          <w:color w:val="auto"/>
          <w:highlight w:val="none"/>
        </w:rPr>
      </w:pPr>
    </w:p>
    <w:p w14:paraId="2FBA48C6">
      <w:pPr>
        <w:ind w:firstLine="0" w:firstLineChars="0"/>
        <w:rPr>
          <w:rFonts w:ascii="宋体" w:hAnsi="宋体"/>
          <w:color w:val="auto"/>
          <w:highlight w:val="none"/>
        </w:rPr>
      </w:pPr>
    </w:p>
    <w:p w14:paraId="1FE59FD2">
      <w:pPr>
        <w:ind w:firstLine="0" w:firstLineChars="0"/>
        <w:rPr>
          <w:rFonts w:hint="eastAsia" w:ascii="宋体" w:hAnsi="宋体"/>
          <w:color w:val="auto"/>
          <w:highlight w:val="none"/>
        </w:rPr>
      </w:pPr>
    </w:p>
    <w:p w14:paraId="55A7ED37">
      <w:pPr>
        <w:tabs>
          <w:tab w:val="left" w:pos="3402"/>
        </w:tabs>
        <w:ind w:firstLine="683"/>
        <w:jc w:val="center"/>
        <w:rPr>
          <w:rFonts w:ascii="宋体" w:hAnsi="宋体"/>
          <w:b/>
          <w:color w:val="auto"/>
          <w:spacing w:val="10"/>
          <w:sz w:val="28"/>
          <w:szCs w:val="28"/>
          <w:highlight w:val="none"/>
        </w:rPr>
      </w:pPr>
      <w:r>
        <w:rPr>
          <w:rFonts w:hint="eastAsia" w:ascii="宋体" w:hAnsi="宋体"/>
          <w:b/>
          <w:color w:val="auto"/>
          <w:spacing w:val="10"/>
          <w:sz w:val="32"/>
          <w:szCs w:val="32"/>
          <w:highlight w:val="none"/>
        </w:rPr>
        <w:t>无重大违法记录的书面声明</w:t>
      </w:r>
      <w:r>
        <w:rPr>
          <w:rFonts w:hint="eastAsia" w:ascii="宋体" w:hAnsi="宋体"/>
          <w:bCs/>
          <w:color w:val="auto"/>
          <w:spacing w:val="10"/>
          <w:sz w:val="24"/>
          <w:highlight w:val="none"/>
        </w:rPr>
        <w:t>(格式)</w:t>
      </w:r>
    </w:p>
    <w:p w14:paraId="1C3F1137">
      <w:pPr>
        <w:tabs>
          <w:tab w:val="left" w:pos="3402"/>
        </w:tabs>
        <w:ind w:firstLine="0" w:firstLineChars="0"/>
        <w:jc w:val="left"/>
        <w:rPr>
          <w:rFonts w:hint="eastAsia" w:ascii="宋体" w:hAnsi="宋体"/>
          <w:b/>
          <w:color w:val="auto"/>
          <w:spacing w:val="10"/>
          <w:szCs w:val="21"/>
          <w:highlight w:val="none"/>
        </w:rPr>
      </w:pPr>
    </w:p>
    <w:p w14:paraId="4B2CCA72">
      <w:pPr>
        <w:spacing w:line="440" w:lineRule="exact"/>
        <w:ind w:firstLine="0" w:firstLineChars="0"/>
        <w:rPr>
          <w:rFonts w:hint="eastAsia" w:ascii="宋体" w:hAnsi="宋体"/>
          <w:bCs/>
          <w:color w:val="auto"/>
          <w:highlight w:val="none"/>
        </w:rPr>
      </w:pPr>
      <w:r>
        <w:rPr>
          <w:rFonts w:hint="eastAsia" w:ascii="宋体" w:hAnsi="宋体"/>
          <w:bCs/>
          <w:color w:val="auto"/>
          <w:highlight w:val="none"/>
        </w:rPr>
        <w:t>钦州市政府采购中心：</w:t>
      </w:r>
    </w:p>
    <w:p w14:paraId="58381F07">
      <w:pPr>
        <w:spacing w:line="440" w:lineRule="exact"/>
        <w:ind w:firstLine="420"/>
        <w:rPr>
          <w:rFonts w:hint="eastAsia" w:ascii="宋体" w:hAnsi="宋体"/>
          <w:bCs/>
          <w:color w:val="auto"/>
          <w:highlight w:val="none"/>
        </w:rPr>
      </w:pPr>
      <w:r>
        <w:rPr>
          <w:rFonts w:hint="eastAsia" w:ascii="宋体" w:hAnsi="宋体"/>
          <w:bCs/>
          <w:color w:val="auto"/>
          <w:highlight w:val="none"/>
        </w:rPr>
        <w:t>根据《中华人民共和国政府采购法实施条例》第十七条第一款第(四</w:t>
      </w:r>
      <w:r>
        <w:rPr>
          <w:rFonts w:ascii="宋体" w:hAnsi="宋体"/>
          <w:bCs/>
          <w:color w:val="auto"/>
          <w:highlight w:val="none"/>
        </w:rPr>
        <w:t>)</w:t>
      </w:r>
      <w:r>
        <w:rPr>
          <w:rFonts w:hint="eastAsia" w:ascii="宋体" w:hAnsi="宋体"/>
          <w:bCs/>
          <w:color w:val="auto"/>
          <w:highlight w:val="none"/>
        </w:rPr>
        <w:t>项的规定，</w:t>
      </w:r>
      <w:r>
        <w:rPr>
          <w:rFonts w:hint="eastAsia" w:ascii="宋体" w:hAnsi="宋体"/>
          <w:bCs/>
          <w:color w:val="auto"/>
          <w:highlight w:val="none"/>
          <w:u w:val="single"/>
        </w:rPr>
        <w:t>(投标人名称)</w:t>
      </w:r>
      <w:r>
        <w:rPr>
          <w:rFonts w:hint="eastAsia" w:ascii="宋体" w:hAnsi="宋体"/>
          <w:bCs/>
          <w:color w:val="auto"/>
          <w:highlight w:val="none"/>
        </w:rPr>
        <w:t>郑重声明：</w:t>
      </w:r>
    </w:p>
    <w:p w14:paraId="791F1E64">
      <w:pPr>
        <w:spacing w:line="440" w:lineRule="exact"/>
        <w:ind w:firstLine="420"/>
        <w:rPr>
          <w:rFonts w:hint="eastAsia" w:ascii="宋体" w:hAnsi="宋体"/>
          <w:bCs/>
          <w:color w:val="auto"/>
          <w:highlight w:val="none"/>
        </w:rPr>
      </w:pPr>
      <w:r>
        <w:rPr>
          <w:rFonts w:ascii="宋体" w:hAnsi="宋体"/>
          <w:bCs/>
          <w:color w:val="auto"/>
          <w:highlight w:val="none"/>
          <w:u w:val="single"/>
        </w:rPr>
        <w:t>(</w:t>
      </w:r>
      <w:r>
        <w:rPr>
          <w:rFonts w:hint="eastAsia" w:ascii="宋体" w:hAnsi="宋体"/>
          <w:bCs/>
          <w:color w:val="auto"/>
          <w:highlight w:val="none"/>
          <w:u w:val="single"/>
        </w:rPr>
        <w:t>投标人名称)</w:t>
      </w:r>
      <w:r>
        <w:rPr>
          <w:rFonts w:hint="eastAsia" w:ascii="宋体" w:hAnsi="宋体"/>
          <w:bCs/>
          <w:color w:val="auto"/>
          <w:highlight w:val="none"/>
        </w:rPr>
        <w:t>在参加本次政府采购活动前3年内在经营活动中没有重大违法记录(</w:t>
      </w:r>
      <w:r>
        <w:rPr>
          <w:rFonts w:hint="eastAsia" w:ascii="宋体" w:hAnsi="宋体"/>
          <w:bCs/>
          <w:color w:val="auto"/>
          <w:highlight w:val="none"/>
          <w:u w:val="single"/>
        </w:rPr>
        <w:t>即因违法经营受到刑事处罚或者责令停产停业、吊销许可证或者执照、较大数额罚款等行政处罚的行为</w:t>
      </w:r>
      <w:r>
        <w:rPr>
          <w:rFonts w:hint="eastAsia" w:ascii="宋体" w:hAnsi="宋体"/>
          <w:bCs/>
          <w:color w:val="auto"/>
          <w:highlight w:val="none"/>
        </w:rPr>
        <w:t>)。</w:t>
      </w:r>
    </w:p>
    <w:p w14:paraId="29ADFAE0">
      <w:pPr>
        <w:spacing w:line="440" w:lineRule="exact"/>
        <w:ind w:firstLine="420"/>
        <w:rPr>
          <w:rFonts w:hint="eastAsia" w:ascii="宋体" w:hAnsi="宋体"/>
          <w:bCs/>
          <w:color w:val="auto"/>
          <w:highlight w:val="none"/>
        </w:rPr>
      </w:pPr>
      <w:r>
        <w:rPr>
          <w:rFonts w:hint="eastAsia" w:ascii="宋体" w:hAnsi="宋体"/>
          <w:bCs/>
          <w:color w:val="auto"/>
          <w:highlight w:val="none"/>
        </w:rPr>
        <w:t>本单位对上述声明内容事项真实性负责，如有虚假，由我单位承担相关法律责任。</w:t>
      </w:r>
    </w:p>
    <w:p w14:paraId="677DD8D7">
      <w:pPr>
        <w:ind w:firstLine="420"/>
        <w:rPr>
          <w:rFonts w:hint="eastAsia" w:ascii="宋体" w:hAnsi="宋体"/>
          <w:bCs/>
          <w:color w:val="auto"/>
          <w:highlight w:val="none"/>
        </w:rPr>
      </w:pPr>
      <w:r>
        <w:rPr>
          <w:rFonts w:hint="eastAsia" w:ascii="宋体" w:hAnsi="宋体"/>
          <w:bCs/>
          <w:color w:val="auto"/>
          <w:highlight w:val="none"/>
        </w:rPr>
        <w:t>特此声明。</w:t>
      </w:r>
    </w:p>
    <w:p w14:paraId="45B164BB">
      <w:pPr>
        <w:ind w:firstLine="420"/>
        <w:rPr>
          <w:rFonts w:ascii="宋体" w:hAnsi="宋体"/>
          <w:bCs/>
          <w:color w:val="auto"/>
          <w:highlight w:val="none"/>
        </w:rPr>
      </w:pPr>
    </w:p>
    <w:p w14:paraId="256A630D">
      <w:pPr>
        <w:ind w:firstLine="420"/>
        <w:rPr>
          <w:rFonts w:ascii="宋体" w:hAnsi="宋体"/>
          <w:bCs/>
          <w:color w:val="auto"/>
          <w:highlight w:val="none"/>
        </w:rPr>
      </w:pPr>
    </w:p>
    <w:p w14:paraId="796A89B0">
      <w:pPr>
        <w:ind w:firstLine="420"/>
        <w:rPr>
          <w:rFonts w:hint="eastAsia" w:ascii="宋体" w:hAnsi="宋体"/>
          <w:bCs/>
          <w:color w:val="auto"/>
          <w:highlight w:val="none"/>
        </w:rPr>
      </w:pPr>
    </w:p>
    <w:p w14:paraId="79B71206">
      <w:pPr>
        <w:ind w:right="1050" w:rightChars="500" w:firstLine="4819" w:firstLineChars="2295"/>
        <w:jc w:val="left"/>
        <w:rPr>
          <w:rFonts w:hint="eastAsia" w:ascii="宋体" w:hAnsi="宋体"/>
          <w:bCs/>
          <w:color w:val="auto"/>
          <w:highlight w:val="none"/>
        </w:rPr>
      </w:pPr>
      <w:r>
        <w:rPr>
          <w:rFonts w:hint="eastAsia" w:ascii="宋体" w:hAnsi="宋体"/>
          <w:bCs/>
          <w:color w:val="auto"/>
          <w:highlight w:val="none"/>
        </w:rPr>
        <w:t xml:space="preserve"> </w:t>
      </w:r>
      <w:r>
        <w:rPr>
          <w:rFonts w:ascii="宋体" w:hAnsi="宋体"/>
          <w:bCs/>
          <w:color w:val="auto"/>
          <w:highlight w:val="none"/>
        </w:rPr>
        <w:t xml:space="preserve">          </w:t>
      </w:r>
      <w:r>
        <w:rPr>
          <w:rFonts w:hint="eastAsia" w:ascii="宋体" w:hAnsi="宋体"/>
          <w:bCs/>
          <w:color w:val="auto"/>
          <w:highlight w:val="none"/>
        </w:rPr>
        <w:t>投标人(盖章)：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p>
    <w:p w14:paraId="0A6257EB">
      <w:pPr>
        <w:ind w:right="1050" w:rightChars="500" w:firstLine="420"/>
        <w:jc w:val="right"/>
        <w:rPr>
          <w:rFonts w:ascii="宋体" w:hAnsi="宋体"/>
          <w:bCs/>
          <w:color w:val="auto"/>
          <w:highlight w:val="none"/>
        </w:rPr>
      </w:pPr>
      <w:r>
        <w:rPr>
          <w:rFonts w:hint="eastAsia" w:ascii="宋体" w:hAnsi="宋体"/>
          <w:bCs/>
          <w:color w:val="auto"/>
          <w:highlight w:val="none"/>
        </w:rPr>
        <w:t>日期：</w:t>
      </w:r>
      <w:bookmarkStart w:id="219" w:name="_Hlk112336125"/>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bookmarkEnd w:id="219"/>
    </w:p>
    <w:p w14:paraId="6023C09A">
      <w:pPr>
        <w:ind w:right="1050" w:rightChars="500" w:firstLine="420"/>
        <w:jc w:val="right"/>
        <w:rPr>
          <w:rFonts w:hint="eastAsia" w:ascii="宋体" w:hAnsi="宋体"/>
          <w:bCs/>
          <w:color w:val="auto"/>
          <w:highlight w:val="none"/>
        </w:rPr>
      </w:pPr>
      <w:r>
        <w:rPr>
          <w:rFonts w:ascii="宋体" w:hAnsi="宋体"/>
          <w:bCs/>
          <w:color w:val="auto"/>
          <w:highlight w:val="none"/>
        </w:rPr>
        <w:br w:type="page"/>
      </w:r>
    </w:p>
    <w:p w14:paraId="79E6277E">
      <w:pPr>
        <w:snapToGrid w:val="0"/>
        <w:spacing w:before="156" w:beforeLines="50" w:after="50" w:line="360" w:lineRule="exact"/>
        <w:ind w:firstLine="0" w:firstLineChars="0"/>
        <w:jc w:val="left"/>
        <w:rPr>
          <w:rFonts w:hint="eastAsia" w:ascii="宋体" w:hAnsi="宋体"/>
          <w:b/>
          <w:color w:val="auto"/>
          <w:sz w:val="32"/>
          <w:szCs w:val="32"/>
          <w:highlight w:val="none"/>
        </w:rPr>
      </w:pPr>
      <w:r>
        <w:rPr>
          <w:rFonts w:hint="eastAsia" w:ascii="宋体" w:hAnsi="宋体"/>
          <w:b/>
          <w:color w:val="auto"/>
          <w:sz w:val="32"/>
          <w:szCs w:val="32"/>
          <w:highlight w:val="none"/>
        </w:rPr>
        <w:t>二、资信技术文件</w:t>
      </w:r>
    </w:p>
    <w:p w14:paraId="3D2B00A9">
      <w:pPr>
        <w:snapToGrid w:val="0"/>
        <w:spacing w:before="156" w:beforeLines="50" w:after="50" w:line="360" w:lineRule="exact"/>
        <w:ind w:firstLine="0" w:firstLineChars="0"/>
        <w:jc w:val="center"/>
        <w:rPr>
          <w:rFonts w:hint="eastAsia" w:ascii="宋体" w:hAnsi="宋体"/>
          <w:b/>
          <w:color w:val="auto"/>
          <w:sz w:val="28"/>
          <w:szCs w:val="28"/>
          <w:highlight w:val="none"/>
        </w:rPr>
      </w:pPr>
      <w:r>
        <w:rPr>
          <w:rFonts w:hint="eastAsia" w:ascii="宋体" w:hAnsi="宋体"/>
          <w:b/>
          <w:color w:val="auto"/>
          <w:sz w:val="28"/>
          <w:szCs w:val="28"/>
          <w:highlight w:val="none"/>
        </w:rPr>
        <w:t>投 标 函</w:t>
      </w:r>
      <w:r>
        <w:rPr>
          <w:rFonts w:hint="eastAsia" w:ascii="宋体" w:hAnsi="宋体"/>
          <w:bCs/>
          <w:color w:val="auto"/>
          <w:sz w:val="24"/>
          <w:highlight w:val="none"/>
        </w:rPr>
        <w:t>(格式)</w:t>
      </w:r>
    </w:p>
    <w:p w14:paraId="1B11247D">
      <w:pPr>
        <w:ind w:firstLine="0" w:firstLineChars="0"/>
        <w:rPr>
          <w:rFonts w:ascii="宋体" w:hAnsi="宋体"/>
          <w:color w:val="auto"/>
          <w:szCs w:val="21"/>
          <w:highlight w:val="none"/>
        </w:rPr>
      </w:pPr>
      <w:r>
        <w:rPr>
          <w:rFonts w:hint="eastAsia" w:ascii="宋体" w:hAnsi="宋体"/>
          <w:color w:val="auto"/>
          <w:szCs w:val="21"/>
          <w:highlight w:val="none"/>
        </w:rPr>
        <w:t>致：钦州市政府采购中心：</w:t>
      </w:r>
    </w:p>
    <w:p w14:paraId="7F9058DF">
      <w:pPr>
        <w:ind w:firstLine="0" w:firstLineChars="0"/>
        <w:rPr>
          <w:rFonts w:ascii="宋体" w:hAnsi="宋体"/>
          <w:color w:val="auto"/>
          <w:szCs w:val="21"/>
          <w:highlight w:val="none"/>
        </w:rPr>
      </w:pPr>
    </w:p>
    <w:p w14:paraId="5DA3F822">
      <w:pPr>
        <w:ind w:firstLine="0" w:firstLineChars="0"/>
        <w:jc w:val="lef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根据贵方为</w:t>
      </w:r>
      <w:r>
        <w:rPr>
          <w:rFonts w:hint="eastAsia" w:ascii="宋体" w:hAnsi="宋体"/>
          <w:color w:val="auto"/>
          <w:szCs w:val="21"/>
          <w:highlight w:val="none"/>
          <w:u w:val="single"/>
        </w:rPr>
        <w:t xml:space="preserve">   (项目名称)</w:t>
      </w:r>
      <w:r>
        <w:rPr>
          <w:rFonts w:ascii="宋体" w:hAnsi="宋体"/>
          <w:color w:val="auto"/>
          <w:szCs w:val="21"/>
          <w:highlight w:val="none"/>
          <w:u w:val="single"/>
        </w:rPr>
        <w:t xml:space="preserve">   </w:t>
      </w:r>
      <w:r>
        <w:rPr>
          <w:rFonts w:hint="eastAsia" w:ascii="宋体" w:hAnsi="宋体"/>
          <w:color w:val="auto"/>
          <w:szCs w:val="21"/>
          <w:highlight w:val="none"/>
        </w:rPr>
        <w:t>招标文件</w:t>
      </w:r>
      <w:r>
        <w:rPr>
          <w:rFonts w:hint="eastAsia" w:ascii="宋体" w:hAnsi="宋体"/>
          <w:color w:val="auto"/>
          <w:szCs w:val="21"/>
          <w:highlight w:val="none"/>
          <w:u w:val="single"/>
        </w:rPr>
        <w:t xml:space="preserve"> (项目编号及分标号)</w:t>
      </w:r>
      <w:r>
        <w:rPr>
          <w:rFonts w:ascii="宋体" w:hAnsi="宋体"/>
          <w:color w:val="auto"/>
          <w:szCs w:val="21"/>
          <w:highlight w:val="none"/>
          <w:u w:val="single"/>
        </w:rPr>
        <w:t xml:space="preserve"> </w:t>
      </w:r>
      <w:r>
        <w:rPr>
          <w:rFonts w:hint="eastAsia" w:ascii="宋体" w:hAnsi="宋体"/>
          <w:color w:val="auto"/>
          <w:szCs w:val="21"/>
          <w:highlight w:val="none"/>
        </w:rPr>
        <w:t>，</w:t>
      </w:r>
      <w:bookmarkStart w:id="220" w:name="_Hlk92702218"/>
      <w:r>
        <w:rPr>
          <w:rFonts w:hint="eastAsia" w:ascii="宋体" w:hAnsi="宋体"/>
          <w:color w:val="auto"/>
          <w:szCs w:val="21"/>
          <w:highlight w:val="none"/>
        </w:rPr>
        <w:t>我方</w:t>
      </w:r>
      <w:r>
        <w:rPr>
          <w:rFonts w:hint="eastAsia" w:ascii="宋体" w:hAnsi="宋体"/>
          <w:color w:val="auto"/>
          <w:szCs w:val="21"/>
          <w:highlight w:val="none"/>
          <w:u w:val="single"/>
        </w:rPr>
        <w:t xml:space="preserve">  (投标人名称)  </w:t>
      </w:r>
      <w:r>
        <w:rPr>
          <w:rFonts w:hint="eastAsia" w:ascii="宋体" w:hAnsi="宋体"/>
          <w:color w:val="auto"/>
          <w:szCs w:val="21"/>
          <w:highlight w:val="none"/>
        </w:rPr>
        <w:t>经正式授权代表</w:t>
      </w:r>
      <w:r>
        <w:rPr>
          <w:rFonts w:hint="eastAsia" w:ascii="宋体" w:hAnsi="宋体"/>
          <w:color w:val="auto"/>
          <w:szCs w:val="21"/>
          <w:highlight w:val="none"/>
          <w:u w:val="single"/>
        </w:rPr>
        <w:t xml:space="preserve">   (被授权人)   </w:t>
      </w:r>
      <w:r>
        <w:rPr>
          <w:rFonts w:hint="eastAsia" w:ascii="宋体" w:hAnsi="宋体"/>
          <w:color w:val="auto"/>
          <w:szCs w:val="21"/>
          <w:highlight w:val="none"/>
        </w:rPr>
        <w:t>提交</w:t>
      </w:r>
      <w:bookmarkEnd w:id="220"/>
      <w:r>
        <w:rPr>
          <w:rFonts w:hint="eastAsia" w:ascii="宋体" w:hAnsi="宋体"/>
          <w:color w:val="auto"/>
          <w:szCs w:val="21"/>
          <w:highlight w:val="none"/>
        </w:rPr>
        <w:t>投标文件：</w:t>
      </w:r>
    </w:p>
    <w:p w14:paraId="2CF26081">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据此函，投标人承诺：</w:t>
      </w:r>
    </w:p>
    <w:p w14:paraId="6BEA55DB">
      <w:pPr>
        <w:snapToGrid w:val="0"/>
        <w:spacing w:line="360" w:lineRule="exact"/>
        <w:ind w:firstLine="42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我方已详细审阅招标文件(包括澄清或者修改文件)，已经了解我方对于招标文件、采购过程、采购结果有依法进行询问、质疑、投诉的权利及相关渠道和要求。</w:t>
      </w:r>
    </w:p>
    <w:p w14:paraId="4BD56649">
      <w:pPr>
        <w:snapToGrid w:val="0"/>
        <w:spacing w:line="360" w:lineRule="exact"/>
        <w:ind w:firstLine="420"/>
        <w:rPr>
          <w:rFonts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14:paraId="7E83B958">
      <w:pPr>
        <w:snapToGrid w:val="0"/>
        <w:spacing w:line="360" w:lineRule="exact"/>
        <w:ind w:firstLine="42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我方在投标之前已经与贵方进行了充分的沟通，完全理解并接受招标文件的各项规定和要求，对招标文件的合理性、合法性不再有异议。</w:t>
      </w:r>
    </w:p>
    <w:p w14:paraId="0E016D2D">
      <w:pPr>
        <w:snapToGrid w:val="0"/>
        <w:spacing w:line="360" w:lineRule="exact"/>
        <w:ind w:firstLine="42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我方同意在开标日期起遵循本投标文件，并在投标有效期9</w:t>
      </w:r>
      <w:r>
        <w:rPr>
          <w:rFonts w:ascii="宋体" w:hAnsi="宋体"/>
          <w:color w:val="auto"/>
          <w:szCs w:val="21"/>
          <w:highlight w:val="none"/>
        </w:rPr>
        <w:t>0</w:t>
      </w:r>
      <w:r>
        <w:rPr>
          <w:rFonts w:hint="eastAsia" w:ascii="宋体" w:hAnsi="宋体"/>
          <w:color w:val="auto"/>
          <w:szCs w:val="21"/>
          <w:highlight w:val="none"/>
        </w:rPr>
        <w:t>天内均具有约束力。</w:t>
      </w:r>
    </w:p>
    <w:p w14:paraId="51E392BF">
      <w:pPr>
        <w:ind w:firstLine="0" w:firstLineChars="0"/>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.我方承诺具备《中华人民共和国政府采购法》中规定的参加政府采购活动供应商应当具备的条件。</w:t>
      </w:r>
    </w:p>
    <w:p w14:paraId="09D500B8">
      <w:pPr>
        <w:ind w:firstLine="0" w:firstLineChars="0"/>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6</w:t>
      </w:r>
      <w:r>
        <w:rPr>
          <w:rFonts w:hint="eastAsia" w:ascii="宋体" w:hAnsi="宋体"/>
          <w:color w:val="auto"/>
          <w:szCs w:val="21"/>
          <w:highlight w:val="none"/>
        </w:rPr>
        <w:t>.我方根据招标文件的规定，承担完成合同的责任和义务。</w:t>
      </w:r>
    </w:p>
    <w:p w14:paraId="09E99968">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7</w:t>
      </w:r>
      <w:r>
        <w:rPr>
          <w:rFonts w:hint="eastAsia" w:ascii="宋体" w:hAnsi="宋体"/>
          <w:color w:val="auto"/>
          <w:szCs w:val="21"/>
          <w:highlight w:val="none"/>
        </w:rPr>
        <w:t>.如果在投标截止时间后的投标有效期内撤回投标或者有其他违约行为，我方的投标保证金可被贵方全部没收。</w:t>
      </w:r>
    </w:p>
    <w:p w14:paraId="4289E749">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8</w:t>
      </w:r>
      <w:r>
        <w:rPr>
          <w:rFonts w:hint="eastAsia" w:ascii="宋体" w:hAnsi="宋体"/>
          <w:color w:val="auto"/>
          <w:szCs w:val="21"/>
          <w:highlight w:val="none"/>
        </w:rPr>
        <w:t>.同意向贵方提供贵方可能要求的与本投标有关的人员、数据和资料。</w:t>
      </w:r>
    </w:p>
    <w:p w14:paraId="69818324">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9</w:t>
      </w:r>
      <w:r>
        <w:rPr>
          <w:rFonts w:hint="eastAsia" w:ascii="宋体" w:hAnsi="宋体"/>
          <w:color w:val="auto"/>
          <w:szCs w:val="21"/>
          <w:highlight w:val="none"/>
        </w:rPr>
        <w:t>.我方完全理解贵方不一定要接受最低报价的投标人为中标人。</w:t>
      </w:r>
    </w:p>
    <w:p w14:paraId="131A1EE8">
      <w:pPr>
        <w:ind w:firstLine="424" w:firstLineChars="202"/>
        <w:rPr>
          <w:rFonts w:hint="eastAsia"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我方向贵方提交的所有投标文件、资料都是准确的和真实的。</w:t>
      </w:r>
    </w:p>
    <w:p w14:paraId="51108DC8">
      <w:pPr>
        <w:ind w:firstLine="0" w:firstLineChars="0"/>
        <w:rPr>
          <w:rFonts w:ascii="宋体" w:hAnsi="宋体"/>
          <w:color w:val="auto"/>
          <w:szCs w:val="21"/>
          <w:highlight w:val="none"/>
        </w:rPr>
      </w:pPr>
    </w:p>
    <w:p w14:paraId="1A75D163">
      <w:pPr>
        <w:ind w:firstLine="426" w:firstLineChars="0"/>
        <w:rPr>
          <w:rFonts w:ascii="宋体" w:hAnsi="宋体"/>
          <w:color w:val="auto"/>
          <w:szCs w:val="21"/>
          <w:highlight w:val="none"/>
        </w:rPr>
      </w:pPr>
      <w:r>
        <w:rPr>
          <w:rFonts w:hint="eastAsia" w:ascii="宋体" w:hAnsi="宋体"/>
          <w:color w:val="auto"/>
          <w:szCs w:val="21"/>
          <w:highlight w:val="none"/>
        </w:rPr>
        <w:t>与我公司有关的正式通讯方式：</w:t>
      </w:r>
    </w:p>
    <w:p w14:paraId="38296EEF">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14:paraId="11C0F7E5">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42F1919D">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电话、电报、传真或电传：</w:t>
      </w:r>
      <w:r>
        <w:rPr>
          <w:rFonts w:hint="eastAsia" w:ascii="宋体" w:hAnsi="宋体"/>
          <w:color w:val="auto"/>
          <w:szCs w:val="21"/>
          <w:highlight w:val="none"/>
          <w:u w:val="single"/>
        </w:rPr>
        <w:t xml:space="preserve">                 </w:t>
      </w:r>
    </w:p>
    <w:p w14:paraId="01DE9FB1">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p>
    <w:p w14:paraId="71E56802">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p>
    <w:p w14:paraId="46C355D3">
      <w:pPr>
        <w:ind w:firstLine="0" w:firstLineChars="0"/>
        <w:rPr>
          <w:rFonts w:ascii="宋体" w:hAnsi="宋体"/>
          <w:color w:val="auto"/>
          <w:szCs w:val="21"/>
          <w:highlight w:val="none"/>
          <w:u w:val="single"/>
        </w:rPr>
      </w:pPr>
      <w:r>
        <w:rPr>
          <w:rFonts w:ascii="宋体" w:hAnsi="宋体"/>
          <w:color w:val="auto"/>
          <w:szCs w:val="21"/>
          <w:highlight w:val="none"/>
        </w:rPr>
        <w:tab/>
      </w:r>
      <w:r>
        <w:rPr>
          <w:rFonts w:hint="eastAsia" w:ascii="宋体" w:hAnsi="宋体"/>
          <w:color w:val="auto"/>
          <w:szCs w:val="21"/>
          <w:highlight w:val="none"/>
        </w:rPr>
        <w:t>账    号：</w:t>
      </w:r>
      <w:r>
        <w:rPr>
          <w:rFonts w:hint="eastAsia" w:ascii="宋体" w:hAnsi="宋体"/>
          <w:color w:val="auto"/>
          <w:szCs w:val="21"/>
          <w:highlight w:val="none"/>
          <w:u w:val="single"/>
        </w:rPr>
        <w:t xml:space="preserve">                               </w:t>
      </w:r>
    </w:p>
    <w:p w14:paraId="257B151A">
      <w:pPr>
        <w:ind w:firstLine="0" w:firstLineChars="0"/>
        <w:rPr>
          <w:rFonts w:ascii="宋体" w:hAnsi="宋体"/>
          <w:color w:val="auto"/>
          <w:szCs w:val="21"/>
          <w:highlight w:val="none"/>
        </w:rPr>
      </w:pPr>
    </w:p>
    <w:p w14:paraId="0BF3B1E8">
      <w:pPr>
        <w:ind w:firstLine="0" w:firstLineChars="0"/>
        <w:rPr>
          <w:rFonts w:ascii="宋体" w:hAnsi="宋体"/>
          <w:color w:val="auto"/>
          <w:szCs w:val="21"/>
          <w:highlight w:val="none"/>
        </w:rPr>
      </w:pPr>
    </w:p>
    <w:p w14:paraId="3B6F2D5D">
      <w:pPr>
        <w:ind w:firstLine="0" w:firstLineChars="0"/>
        <w:rPr>
          <w:rFonts w:hint="eastAsia" w:ascii="宋体" w:hAnsi="宋体"/>
          <w:color w:val="auto"/>
          <w:szCs w:val="21"/>
          <w:highlight w:val="none"/>
        </w:rPr>
      </w:pPr>
    </w:p>
    <w:p w14:paraId="45D5A4E7">
      <w:pPr>
        <w:ind w:firstLine="0" w:firstLineChars="0"/>
        <w:rPr>
          <w:rFonts w:ascii="宋体" w:hAnsi="宋体"/>
          <w:color w:val="auto"/>
          <w:szCs w:val="21"/>
          <w:highlight w:val="none"/>
          <w:u w:val="singl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投标人(盖章)：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20102C33">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14:paraId="4BBAEC38">
      <w:pPr>
        <w:ind w:firstLine="0" w:firstLineChars="0"/>
        <w:rPr>
          <w:rFonts w:hint="eastAsia" w:ascii="宋体" w:hAnsi="宋体"/>
          <w:color w:val="auto"/>
          <w:highlight w:val="none"/>
        </w:rPr>
      </w:pPr>
    </w:p>
    <w:p w14:paraId="5301BE35">
      <w:pPr>
        <w:tabs>
          <w:tab w:val="left" w:pos="3870"/>
          <w:tab w:val="left" w:pos="4085"/>
        </w:tabs>
        <w:snapToGrid w:val="0"/>
        <w:spacing w:line="600" w:lineRule="exact"/>
        <w:ind w:firstLine="0" w:firstLineChars="0"/>
        <w:jc w:val="center"/>
        <w:rPr>
          <w:rFonts w:hint="eastAsia" w:ascii="宋体" w:hAnsi="宋体"/>
          <w:b/>
          <w:color w:val="auto"/>
          <w:sz w:val="28"/>
          <w:szCs w:val="28"/>
          <w:highlight w:val="none"/>
        </w:rPr>
      </w:pPr>
      <w:bookmarkStart w:id="221" w:name="_Hlk92702580"/>
      <w:r>
        <w:rPr>
          <w:rFonts w:hint="eastAsia" w:ascii="宋体" w:hAnsi="宋体"/>
          <w:b/>
          <w:color w:val="auto"/>
          <w:sz w:val="32"/>
          <w:szCs w:val="32"/>
          <w:highlight w:val="none"/>
        </w:rPr>
        <w:t>授权委托书</w:t>
      </w:r>
      <w:r>
        <w:rPr>
          <w:rFonts w:hint="eastAsia" w:ascii="宋体" w:hAnsi="宋体"/>
          <w:bCs/>
          <w:color w:val="auto"/>
          <w:sz w:val="24"/>
          <w:highlight w:val="none"/>
        </w:rPr>
        <w:t>(格式)</w:t>
      </w:r>
    </w:p>
    <w:p w14:paraId="6F626BB2">
      <w:pPr>
        <w:snapToGrid w:val="0"/>
        <w:spacing w:before="156" w:beforeLines="50" w:after="50"/>
        <w:ind w:firstLine="0" w:firstLineChars="0"/>
        <w:rPr>
          <w:rFonts w:hint="eastAsia" w:ascii="宋体" w:hAnsi="宋体"/>
          <w:b/>
          <w:bCs/>
          <w:color w:val="auto"/>
          <w:szCs w:val="21"/>
          <w:highlight w:val="none"/>
        </w:rPr>
      </w:pPr>
      <w:r>
        <w:rPr>
          <w:rFonts w:hint="eastAsia" w:ascii="宋体" w:hAnsi="宋体"/>
          <w:bCs/>
          <w:color w:val="auto"/>
          <w:szCs w:val="21"/>
          <w:highlight w:val="none"/>
        </w:rPr>
        <w:t>致：</w:t>
      </w:r>
      <w:r>
        <w:rPr>
          <w:rFonts w:hint="eastAsia" w:ascii="宋体" w:hAnsi="宋体"/>
          <w:color w:val="auto"/>
          <w:highlight w:val="none"/>
        </w:rPr>
        <w:t>钦州市政府采购中心</w:t>
      </w:r>
    </w:p>
    <w:p w14:paraId="7B7E46E8">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(姓名)</w:t>
      </w:r>
      <w:r>
        <w:rPr>
          <w:rFonts w:hint="eastAsia" w:ascii="宋体" w:hAnsi="宋体"/>
          <w:color w:val="auto"/>
          <w:szCs w:val="21"/>
          <w:highlight w:val="none"/>
        </w:rPr>
        <w:t>系</w:t>
      </w:r>
      <w:r>
        <w:rPr>
          <w:rFonts w:hint="eastAsia" w:ascii="宋体" w:hAnsi="宋体"/>
          <w:color w:val="auto"/>
          <w:szCs w:val="21"/>
          <w:highlight w:val="none"/>
          <w:u w:val="single"/>
        </w:rPr>
        <w:t>(投标人名称)</w:t>
      </w:r>
      <w:r>
        <w:rPr>
          <w:rFonts w:hint="eastAsia" w:ascii="宋体" w:hAnsi="宋体"/>
          <w:color w:val="auto"/>
          <w:szCs w:val="21"/>
          <w:highlight w:val="none"/>
        </w:rPr>
        <w:t>的法定代表人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，现授权委托本单位在职职工</w:t>
      </w:r>
      <w:r>
        <w:rPr>
          <w:rFonts w:hint="eastAsia" w:ascii="宋体" w:hAnsi="宋体"/>
          <w:color w:val="auto"/>
          <w:szCs w:val="21"/>
          <w:highlight w:val="none"/>
          <w:u w:val="single"/>
        </w:rPr>
        <w:t>(姓名)</w:t>
      </w:r>
      <w:r>
        <w:rPr>
          <w:rFonts w:hint="eastAsia" w:ascii="宋体" w:hAnsi="宋体"/>
          <w:color w:val="auto"/>
          <w:szCs w:val="21"/>
          <w:highlight w:val="none"/>
        </w:rPr>
        <w:t>以我方的名义参加</w:t>
      </w:r>
      <w:r>
        <w:rPr>
          <w:rFonts w:hint="eastAsia" w:ascii="宋体" w:hAnsi="宋体"/>
          <w:color w:val="auto"/>
          <w:szCs w:val="21"/>
          <w:highlight w:val="none"/>
          <w:u w:val="single"/>
        </w:rPr>
        <w:t>(项目名称/项目编号)</w:t>
      </w:r>
      <w:r>
        <w:rPr>
          <w:rFonts w:hint="eastAsia" w:ascii="宋体" w:hAnsi="宋体"/>
          <w:color w:val="auto"/>
          <w:szCs w:val="21"/>
          <w:highlight w:val="none"/>
        </w:rPr>
        <w:t>的投标活动，并代表我方全权办理针对上述项目的投标、开标、评标、签约等具体事务和签署相关文件。</w:t>
      </w:r>
    </w:p>
    <w:p w14:paraId="738664F3">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rPr>
        <w:t>我方对被授权人的签名事项负全部责任。</w:t>
      </w:r>
    </w:p>
    <w:p w14:paraId="2A0F69FC">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14:paraId="566B4E84">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rPr>
        <w:t>被授权人无转委托权，特此委托。</w:t>
      </w:r>
    </w:p>
    <w:p w14:paraId="2148A020">
      <w:pPr>
        <w:snapToGrid w:val="0"/>
        <w:spacing w:before="156" w:beforeLines="50" w:after="50" w:line="300" w:lineRule="exact"/>
        <w:ind w:firstLine="525" w:firstLineChars="250"/>
        <w:rPr>
          <w:rFonts w:hint="eastAsia" w:ascii="宋体" w:hAnsi="宋体"/>
          <w:color w:val="auto"/>
          <w:szCs w:val="21"/>
          <w:highlight w:val="none"/>
        </w:rPr>
      </w:pPr>
    </w:p>
    <w:p w14:paraId="58CB1A57">
      <w:pPr>
        <w:snapToGrid w:val="0"/>
        <w:spacing w:before="156" w:beforeLines="50" w:after="50" w:line="300" w:lineRule="exact"/>
        <w:ind w:firstLine="420"/>
        <w:rPr>
          <w:rFonts w:hint="eastAsia" w:ascii="宋体" w:hAnsi="宋体"/>
          <w:color w:val="auto"/>
          <w:szCs w:val="21"/>
          <w:highlight w:val="none"/>
        </w:rPr>
      </w:pPr>
      <w:r>
        <w:rPr>
          <w:rFonts w:hint="eastAsia" w:ascii="宋体" w:hAnsi="宋体"/>
          <w:color w:val="auto"/>
          <w:szCs w:val="21"/>
          <w:highlight w:val="none"/>
        </w:rPr>
        <w:t>所在部门职务：</w:t>
      </w:r>
      <w:r>
        <w:rPr>
          <w:rFonts w:hint="eastAsia" w:ascii="宋体" w:hAnsi="宋体"/>
          <w:color w:val="auto"/>
          <w:szCs w:val="21"/>
          <w:highlight w:val="none"/>
          <w:u w:val="single"/>
        </w:rPr>
        <w:t xml:space="preserve">                        </w:t>
      </w:r>
    </w:p>
    <w:p w14:paraId="0B5C3803">
      <w:pPr>
        <w:snapToGrid w:val="0"/>
        <w:spacing w:before="156" w:beforeLines="50" w:after="50" w:line="300" w:lineRule="exact"/>
        <w:ind w:firstLine="420"/>
        <w:rPr>
          <w:rFonts w:hint="eastAsia" w:ascii="宋体" w:hAnsi="宋体"/>
          <w:color w:val="auto"/>
          <w:szCs w:val="21"/>
          <w:highlight w:val="none"/>
          <w:u w:val="single"/>
        </w:rPr>
      </w:pP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14:paraId="49F8D78A">
      <w:pPr>
        <w:snapToGrid w:val="0"/>
        <w:spacing w:before="156" w:beforeLines="50" w:after="50" w:line="300" w:lineRule="exact"/>
        <w:ind w:firstLine="420"/>
        <w:rPr>
          <w:rFonts w:hint="eastAsia"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p>
    <w:p w14:paraId="5E43A9AD">
      <w:pPr>
        <w:snapToGrid w:val="0"/>
        <w:spacing w:before="156" w:beforeLines="50" w:after="50" w:line="300" w:lineRule="exact"/>
        <w:ind w:firstLine="420"/>
        <w:rPr>
          <w:rFonts w:hint="eastAsia" w:ascii="宋体" w:hAnsi="宋体"/>
          <w:color w:val="auto"/>
          <w:highlight w:val="none"/>
        </w:rPr>
      </w:pPr>
      <w:r>
        <w:rPr>
          <w:rFonts w:hint="eastAsia" w:ascii="宋体" w:hAnsi="宋体"/>
          <w:color w:val="auto"/>
          <w:highlight w:val="none"/>
        </w:rPr>
        <w:t>附：委托代理人身份证扫描件(正反面</w:t>
      </w:r>
      <w:r>
        <w:rPr>
          <w:rFonts w:ascii="宋体" w:hAnsi="宋体"/>
          <w:color w:val="auto"/>
          <w:highlight w:val="none"/>
        </w:rPr>
        <w:t>)</w:t>
      </w:r>
    </w:p>
    <w:p w14:paraId="0680CFA7">
      <w:pPr>
        <w:ind w:left="420" w:firstLine="0" w:firstLineChars="0"/>
        <w:rPr>
          <w:rFonts w:ascii="宋体" w:hAnsi="宋体"/>
          <w:color w:val="auto"/>
          <w:highlight w:val="none"/>
        </w:rPr>
      </w:pPr>
    </w:p>
    <w:p w14:paraId="5CB5A5EC">
      <w:pPr>
        <w:ind w:left="420" w:firstLine="0" w:firstLineChars="0"/>
        <w:rPr>
          <w:rFonts w:ascii="宋体" w:hAnsi="宋体"/>
          <w:color w:val="auto"/>
          <w:highlight w:val="none"/>
        </w:rPr>
      </w:pPr>
    </w:p>
    <w:p w14:paraId="65A18325">
      <w:pPr>
        <w:ind w:left="420" w:firstLine="0" w:firstLineChars="0"/>
        <w:rPr>
          <w:rFonts w:hint="eastAsia" w:ascii="宋体" w:hAnsi="宋体"/>
          <w:color w:val="auto"/>
          <w:highlight w:val="none"/>
        </w:rPr>
      </w:pPr>
    </w:p>
    <w:p w14:paraId="7EE87FDA">
      <w:pPr>
        <w:snapToGrid w:val="0"/>
        <w:spacing w:before="156" w:beforeLines="50" w:after="50" w:line="200" w:lineRule="exact"/>
        <w:ind w:firstLine="4620" w:firstLineChars="2200"/>
        <w:rPr>
          <w:rFonts w:hint="eastAsia" w:ascii="宋体" w:hAnsi="宋体"/>
          <w:color w:val="auto"/>
          <w:szCs w:val="21"/>
          <w:highlight w:val="none"/>
          <w:u w:val="single"/>
        </w:rPr>
      </w:pPr>
      <w:r>
        <w:rPr>
          <w:rFonts w:hint="eastAsia" w:ascii="宋体" w:hAnsi="宋体"/>
          <w:color w:val="auto"/>
          <w:szCs w:val="21"/>
          <w:highlight w:val="none"/>
        </w:rPr>
        <w:t xml:space="preserve">       投标人(盖章)：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4F36032C">
      <w:pPr>
        <w:snapToGrid w:val="0"/>
        <w:spacing w:before="156" w:beforeLines="50" w:after="50" w:line="200" w:lineRule="exact"/>
        <w:ind w:firstLine="5355" w:firstLineChars="255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签名：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28724B6B">
      <w:pPr>
        <w:snapToGrid w:val="0"/>
        <w:spacing w:before="156" w:beforeLines="50" w:after="50" w:line="200" w:lineRule="exact"/>
        <w:ind w:firstLine="5355" w:firstLineChars="2550"/>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bookmarkEnd w:id="221"/>
    <w:p w14:paraId="02CDD99C">
      <w:pPr>
        <w:spacing w:line="360" w:lineRule="exact"/>
        <w:ind w:firstLine="0" w:firstLineChars="0"/>
        <w:rPr>
          <w:rFonts w:hint="eastAsia" w:ascii="宋体" w:hAnsi="宋体"/>
          <w:color w:val="auto"/>
          <w:highlight w:val="none"/>
        </w:rPr>
      </w:pPr>
      <w:r>
        <w:rPr>
          <w:rFonts w:ascii="宋体" w:hAnsi="宋体"/>
          <w:color w:val="auto"/>
          <w:highlight w:val="none"/>
        </w:rPr>
        <w:br w:type="page"/>
      </w:r>
    </w:p>
    <w:p w14:paraId="71F5DBC2">
      <w:pPr>
        <w:snapToGrid w:val="0"/>
        <w:spacing w:before="156" w:beforeLines="50" w:after="50" w:line="360" w:lineRule="exact"/>
        <w:ind w:firstLine="562"/>
        <w:jc w:val="center"/>
        <w:rPr>
          <w:rFonts w:ascii="仿宋_GB2312" w:eastAsia="仿宋_GB2312"/>
          <w:b/>
          <w:color w:val="auto"/>
          <w:sz w:val="28"/>
          <w:szCs w:val="28"/>
          <w:highlight w:val="none"/>
        </w:rPr>
      </w:pPr>
      <w:bookmarkStart w:id="222" w:name="_Hlk92702799"/>
      <w:r>
        <w:rPr>
          <w:rFonts w:hint="eastAsia" w:ascii="仿宋_GB2312" w:hAnsi="宋体" w:eastAsia="仿宋_GB2312"/>
          <w:b/>
          <w:color w:val="auto"/>
          <w:sz w:val="28"/>
          <w:szCs w:val="28"/>
          <w:highlight w:val="none"/>
        </w:rPr>
        <w:t>商务响应</w:t>
      </w:r>
      <w:r>
        <w:rPr>
          <w:rFonts w:hint="eastAsia" w:ascii="仿宋_GB2312" w:eastAsia="仿宋_GB2312"/>
          <w:b/>
          <w:color w:val="auto"/>
          <w:sz w:val="28"/>
          <w:szCs w:val="28"/>
          <w:highlight w:val="none"/>
        </w:rPr>
        <w:t>表</w:t>
      </w:r>
      <w:r>
        <w:rPr>
          <w:rFonts w:hint="eastAsia" w:ascii="仿宋" w:hAnsi="仿宋" w:eastAsia="仿宋"/>
          <w:color w:val="auto"/>
          <w:sz w:val="24"/>
          <w:highlight w:val="none"/>
        </w:rPr>
        <w:t>(格式</w:t>
      </w:r>
      <w:r>
        <w:rPr>
          <w:rFonts w:ascii="仿宋" w:hAnsi="仿宋" w:eastAsia="仿宋"/>
          <w:color w:val="auto"/>
          <w:sz w:val="24"/>
          <w:highlight w:val="none"/>
        </w:rPr>
        <w:t>)</w:t>
      </w:r>
    </w:p>
    <w:p w14:paraId="4311CEA8">
      <w:pPr>
        <w:ind w:firstLine="420"/>
        <w:rPr>
          <w:color w:val="auto"/>
          <w:highlight w:val="none"/>
        </w:rPr>
      </w:pP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240"/>
        <w:gridCol w:w="1440"/>
        <w:gridCol w:w="2880"/>
      </w:tblGrid>
      <w:tr w14:paraId="6F8245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71F28F6C">
            <w:pPr>
              <w:snapToGrid w:val="0"/>
              <w:spacing w:before="156" w:beforeLines="50" w:line="360" w:lineRule="exact"/>
              <w:ind w:firstLine="422"/>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项目</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67D36B92">
            <w:pPr>
              <w:snapToGrid w:val="0"/>
              <w:spacing w:before="156" w:beforeLines="50" w:line="360" w:lineRule="exact"/>
              <w:ind w:firstLine="422"/>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采购文件要求</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65C1808">
            <w:pPr>
              <w:snapToGrid w:val="0"/>
              <w:spacing w:before="156" w:beforeLines="50" w:line="360" w:lineRule="exact"/>
              <w:ind w:firstLine="0" w:firstLineChars="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7381EE91">
            <w:pPr>
              <w:snapToGrid w:val="0"/>
              <w:spacing w:before="156" w:beforeLines="50" w:line="360" w:lineRule="exact"/>
              <w:ind w:firstLine="422"/>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供应商的承诺或说明</w:t>
            </w:r>
          </w:p>
        </w:tc>
      </w:tr>
      <w:tr w14:paraId="4AA788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16AA844B">
            <w:pPr>
              <w:snapToGrid w:val="0"/>
              <w:spacing w:before="156" w:beforeLines="50" w:line="360" w:lineRule="exact"/>
              <w:ind w:firstLine="42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服务期</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18B43F7A">
            <w:pPr>
              <w:snapToGrid w:val="0"/>
              <w:spacing w:before="156" w:beforeLines="50" w:line="360" w:lineRule="exact"/>
              <w:ind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46D98FB">
            <w:pPr>
              <w:snapToGrid w:val="0"/>
              <w:spacing w:before="156" w:beforeLines="50" w:line="360" w:lineRule="exact"/>
              <w:ind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0AE4AD60">
            <w:pPr>
              <w:snapToGrid w:val="0"/>
              <w:spacing w:before="156" w:beforeLines="50" w:line="360" w:lineRule="exact"/>
              <w:ind w:firstLine="420"/>
              <w:jc w:val="center"/>
              <w:rPr>
                <w:rFonts w:ascii="宋体" w:hAnsi="宋体" w:eastAsia="宋体" w:cs="Times New Roman"/>
                <w:color w:val="auto"/>
                <w:szCs w:val="21"/>
                <w:highlight w:val="none"/>
              </w:rPr>
            </w:pPr>
          </w:p>
        </w:tc>
      </w:tr>
      <w:tr w14:paraId="06241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0DF014FB">
            <w:pPr>
              <w:snapToGrid w:val="0"/>
              <w:spacing w:before="156" w:beforeLines="50" w:line="360" w:lineRule="exact"/>
              <w:ind w:firstLine="42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服务地点</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2275AE23">
            <w:pPr>
              <w:snapToGrid w:val="0"/>
              <w:spacing w:before="156" w:beforeLines="50" w:line="360" w:lineRule="exact"/>
              <w:ind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8A89C8B">
            <w:pPr>
              <w:snapToGrid w:val="0"/>
              <w:spacing w:before="156" w:beforeLines="50" w:line="360" w:lineRule="exact"/>
              <w:ind w:left="43"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60D47478">
            <w:pPr>
              <w:snapToGrid w:val="0"/>
              <w:spacing w:before="156" w:beforeLines="50" w:line="360" w:lineRule="exact"/>
              <w:ind w:left="43" w:firstLine="420"/>
              <w:jc w:val="center"/>
              <w:rPr>
                <w:rFonts w:ascii="宋体" w:hAnsi="宋体" w:eastAsia="宋体" w:cs="Times New Roman"/>
                <w:color w:val="auto"/>
                <w:szCs w:val="21"/>
                <w:highlight w:val="none"/>
              </w:rPr>
            </w:pPr>
          </w:p>
        </w:tc>
      </w:tr>
      <w:tr w14:paraId="5994B5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578C9E3D">
            <w:pPr>
              <w:snapToGrid w:val="0"/>
              <w:spacing w:before="156" w:beforeLines="50" w:line="360" w:lineRule="exact"/>
              <w:ind w:firstLine="42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付款条件</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096E40B0">
            <w:pPr>
              <w:snapToGrid w:val="0"/>
              <w:spacing w:before="156" w:beforeLines="50" w:line="360" w:lineRule="exact"/>
              <w:ind w:left="105"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A20507F">
            <w:pPr>
              <w:snapToGrid w:val="0"/>
              <w:spacing w:before="156" w:beforeLines="50" w:line="360" w:lineRule="exact"/>
              <w:ind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69E293B6">
            <w:pPr>
              <w:snapToGrid w:val="0"/>
              <w:spacing w:before="156" w:beforeLines="50" w:line="360" w:lineRule="exact"/>
              <w:ind w:firstLine="420"/>
              <w:jc w:val="center"/>
              <w:rPr>
                <w:rFonts w:ascii="宋体" w:hAnsi="宋体" w:eastAsia="宋体" w:cs="Times New Roman"/>
                <w:color w:val="auto"/>
                <w:szCs w:val="21"/>
                <w:highlight w:val="none"/>
              </w:rPr>
            </w:pPr>
          </w:p>
        </w:tc>
      </w:tr>
      <w:tr w14:paraId="5445F4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791626EF">
            <w:pPr>
              <w:snapToGrid w:val="0"/>
              <w:spacing w:before="156" w:beforeLines="50" w:line="360" w:lineRule="exact"/>
              <w:ind w:firstLine="42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2836E844">
            <w:pPr>
              <w:snapToGrid w:val="0"/>
              <w:spacing w:before="156" w:beforeLines="50" w:line="360" w:lineRule="exact"/>
              <w:ind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ED21AD8">
            <w:pPr>
              <w:snapToGrid w:val="0"/>
              <w:spacing w:before="156" w:beforeLines="50" w:line="360" w:lineRule="exact"/>
              <w:ind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71D2290A">
            <w:pPr>
              <w:snapToGrid w:val="0"/>
              <w:spacing w:before="156" w:beforeLines="50" w:line="360" w:lineRule="exact"/>
              <w:ind w:firstLine="420"/>
              <w:jc w:val="center"/>
              <w:rPr>
                <w:rFonts w:ascii="宋体" w:hAnsi="宋体" w:eastAsia="宋体" w:cs="Times New Roman"/>
                <w:color w:val="auto"/>
                <w:szCs w:val="21"/>
                <w:highlight w:val="none"/>
              </w:rPr>
            </w:pPr>
          </w:p>
        </w:tc>
      </w:tr>
    </w:tbl>
    <w:p w14:paraId="02C7E7C0">
      <w:pPr>
        <w:tabs>
          <w:tab w:val="left" w:pos="3870"/>
          <w:tab w:val="left" w:pos="4085"/>
        </w:tabs>
        <w:snapToGrid w:val="0"/>
        <w:spacing w:line="360" w:lineRule="exact"/>
        <w:ind w:firstLine="422"/>
        <w:rPr>
          <w:rFonts w:ascii="宋体" w:hAnsi="宋体"/>
          <w:b/>
          <w:color w:val="auto"/>
          <w:szCs w:val="21"/>
          <w:highlight w:val="none"/>
        </w:rPr>
      </w:pPr>
    </w:p>
    <w:p w14:paraId="54C92F21">
      <w:pPr>
        <w:pStyle w:val="23"/>
        <w:spacing w:line="300" w:lineRule="auto"/>
        <w:ind w:firstLine="105" w:firstLineChars="5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注：应对照招标文件“第二章 </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需求”中的商务要求逐条作明确的投标响应。</w:t>
      </w:r>
    </w:p>
    <w:p w14:paraId="7221B24E">
      <w:pPr>
        <w:tabs>
          <w:tab w:val="left" w:pos="3870"/>
          <w:tab w:val="left" w:pos="4085"/>
        </w:tabs>
        <w:snapToGrid w:val="0"/>
        <w:spacing w:line="360" w:lineRule="exact"/>
        <w:ind w:firstLine="422"/>
        <w:rPr>
          <w:rFonts w:ascii="宋体" w:hAnsi="宋体"/>
          <w:b/>
          <w:color w:val="auto"/>
          <w:szCs w:val="21"/>
          <w:highlight w:val="none"/>
        </w:rPr>
      </w:pPr>
    </w:p>
    <w:p w14:paraId="4F2C9A6E">
      <w:pPr>
        <w:ind w:left="6092" w:leftChars="2766" w:right="592" w:rightChars="282" w:hanging="283" w:hangingChars="135"/>
        <w:jc w:val="left"/>
        <w:rPr>
          <w:rFonts w:ascii="宋体" w:hAnsi="宋体"/>
          <w:bCs/>
          <w:color w:val="auto"/>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bookmarkEnd w:id="222"/>
      <w:bookmarkStart w:id="223" w:name="_Hlk112311546"/>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1A6BE2B5">
      <w:pP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bookmarkEnd w:id="223"/>
    <w:p w14:paraId="38FCBFC4">
      <w:pPr>
        <w:ind w:firstLine="420"/>
        <w:rPr>
          <w:color w:val="auto"/>
          <w:highlight w:val="none"/>
        </w:rPr>
      </w:pPr>
    </w:p>
    <w:p w14:paraId="40BC4263">
      <w:pPr>
        <w:ind w:firstLine="420"/>
        <w:rPr>
          <w:color w:val="auto"/>
          <w:highlight w:val="none"/>
        </w:rPr>
      </w:pPr>
    </w:p>
    <w:p w14:paraId="39626C85">
      <w:pPr>
        <w:ind w:firstLine="420"/>
        <w:rPr>
          <w:color w:val="auto"/>
          <w:highlight w:val="none"/>
        </w:rPr>
      </w:pPr>
    </w:p>
    <w:p w14:paraId="4FC2F994">
      <w:pPr>
        <w:pStyle w:val="29"/>
        <w:spacing w:line="440" w:lineRule="exact"/>
        <w:ind w:firstLine="643"/>
        <w:jc w:val="center"/>
        <w:rPr>
          <w:rFonts w:ascii="仿宋" w:hAnsi="仿宋" w:eastAsia="仿宋"/>
          <w:color w:val="auto"/>
          <w:highlight w:val="none"/>
        </w:rPr>
      </w:pPr>
      <w:r>
        <w:rPr>
          <w:rFonts w:hint="eastAsia" w:ascii="仿宋" w:hAnsi="仿宋" w:eastAsia="仿宋" w:cs="黑体"/>
          <w:b/>
          <w:color w:val="auto"/>
          <w:sz w:val="32"/>
          <w:szCs w:val="32"/>
          <w:highlight w:val="none"/>
        </w:rPr>
        <w:t>技术响应表</w:t>
      </w:r>
      <w:r>
        <w:rPr>
          <w:rFonts w:hint="eastAsia" w:ascii="仿宋" w:hAnsi="仿宋" w:eastAsia="仿宋"/>
          <w:color w:val="auto"/>
          <w:sz w:val="24"/>
          <w:szCs w:val="24"/>
          <w:highlight w:val="none"/>
        </w:rPr>
        <w:t>(格式</w:t>
      </w:r>
      <w:r>
        <w:rPr>
          <w:rFonts w:ascii="仿宋" w:hAnsi="仿宋" w:eastAsia="仿宋"/>
          <w:color w:val="auto"/>
          <w:sz w:val="24"/>
          <w:szCs w:val="24"/>
          <w:highlight w:val="none"/>
        </w:rPr>
        <w:t>)</w:t>
      </w:r>
    </w:p>
    <w:p w14:paraId="2181AFA2">
      <w:pPr>
        <w:ind w:firstLine="420"/>
        <w:rPr>
          <w:color w:val="auto"/>
          <w:highlight w:val="none"/>
        </w:rPr>
      </w:pPr>
    </w:p>
    <w:tbl>
      <w:tblPr>
        <w:tblStyle w:val="51"/>
        <w:tblW w:w="0" w:type="auto"/>
        <w:tblInd w:w="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480"/>
        <w:gridCol w:w="2835"/>
        <w:gridCol w:w="2268"/>
        <w:gridCol w:w="1418"/>
        <w:gridCol w:w="709"/>
      </w:tblGrid>
      <w:tr w14:paraId="474965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705" w:type="dxa"/>
            <w:noWrap w:val="0"/>
            <w:vAlign w:val="center"/>
          </w:tcPr>
          <w:p w14:paraId="2E257D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序号</w:t>
            </w:r>
          </w:p>
        </w:tc>
        <w:tc>
          <w:tcPr>
            <w:tcW w:w="1480" w:type="dxa"/>
            <w:noWrap w:val="0"/>
            <w:vAlign w:val="center"/>
          </w:tcPr>
          <w:p w14:paraId="467D89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标的名称</w:t>
            </w:r>
          </w:p>
        </w:tc>
        <w:tc>
          <w:tcPr>
            <w:tcW w:w="2835" w:type="dxa"/>
            <w:noWrap w:val="0"/>
            <w:vAlign w:val="center"/>
          </w:tcPr>
          <w:p w14:paraId="6B9D1D8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采购文件要求</w:t>
            </w:r>
          </w:p>
        </w:tc>
        <w:tc>
          <w:tcPr>
            <w:tcW w:w="2268" w:type="dxa"/>
            <w:noWrap w:val="0"/>
            <w:vAlign w:val="center"/>
          </w:tcPr>
          <w:p w14:paraId="14C660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响应文件具体响应</w:t>
            </w:r>
          </w:p>
        </w:tc>
        <w:tc>
          <w:tcPr>
            <w:tcW w:w="1418" w:type="dxa"/>
            <w:noWrap w:val="0"/>
            <w:vAlign w:val="center"/>
          </w:tcPr>
          <w:p w14:paraId="773D14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响应/偏离</w:t>
            </w:r>
          </w:p>
        </w:tc>
        <w:tc>
          <w:tcPr>
            <w:tcW w:w="709" w:type="dxa"/>
            <w:noWrap w:val="0"/>
            <w:vAlign w:val="center"/>
          </w:tcPr>
          <w:p w14:paraId="6000EB6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说明</w:t>
            </w:r>
          </w:p>
        </w:tc>
      </w:tr>
      <w:tr w14:paraId="51E821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14:paraId="3AE24FB8">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w:t>
            </w:r>
          </w:p>
        </w:tc>
        <w:tc>
          <w:tcPr>
            <w:tcW w:w="1480" w:type="dxa"/>
            <w:noWrap w:val="0"/>
            <w:vAlign w:val="center"/>
          </w:tcPr>
          <w:p w14:paraId="7711EAC8">
            <w:pPr>
              <w:ind w:firstLine="420"/>
              <w:rPr>
                <w:rFonts w:ascii="Times New Roman" w:hAnsi="Times New Roman" w:eastAsia="宋体" w:cs="Times New Roman"/>
                <w:color w:val="auto"/>
                <w:highlight w:val="none"/>
              </w:rPr>
            </w:pPr>
          </w:p>
        </w:tc>
        <w:tc>
          <w:tcPr>
            <w:tcW w:w="2835" w:type="dxa"/>
            <w:noWrap w:val="0"/>
            <w:vAlign w:val="center"/>
          </w:tcPr>
          <w:p w14:paraId="61EE9B7D">
            <w:pPr>
              <w:ind w:firstLine="420"/>
              <w:rPr>
                <w:rFonts w:ascii="Times New Roman" w:hAnsi="Times New Roman" w:eastAsia="宋体" w:cs="Times New Roman"/>
                <w:color w:val="auto"/>
                <w:highlight w:val="none"/>
              </w:rPr>
            </w:pPr>
          </w:p>
        </w:tc>
        <w:tc>
          <w:tcPr>
            <w:tcW w:w="2268" w:type="dxa"/>
            <w:noWrap w:val="0"/>
            <w:vAlign w:val="center"/>
          </w:tcPr>
          <w:p w14:paraId="0833691B">
            <w:pPr>
              <w:ind w:firstLine="420"/>
              <w:rPr>
                <w:rFonts w:ascii="Times New Roman" w:hAnsi="Times New Roman" w:eastAsia="宋体" w:cs="Times New Roman"/>
                <w:color w:val="auto"/>
                <w:highlight w:val="none"/>
              </w:rPr>
            </w:pPr>
          </w:p>
        </w:tc>
        <w:tc>
          <w:tcPr>
            <w:tcW w:w="1418" w:type="dxa"/>
            <w:noWrap w:val="0"/>
            <w:vAlign w:val="center"/>
          </w:tcPr>
          <w:p w14:paraId="514FF64B">
            <w:pPr>
              <w:ind w:firstLine="420"/>
              <w:rPr>
                <w:rFonts w:ascii="Times New Roman" w:hAnsi="Times New Roman" w:eastAsia="宋体" w:cs="Times New Roman"/>
                <w:color w:val="auto"/>
                <w:highlight w:val="none"/>
              </w:rPr>
            </w:pPr>
          </w:p>
        </w:tc>
        <w:tc>
          <w:tcPr>
            <w:tcW w:w="709" w:type="dxa"/>
            <w:noWrap w:val="0"/>
            <w:vAlign w:val="center"/>
          </w:tcPr>
          <w:p w14:paraId="13F30AC5">
            <w:pPr>
              <w:ind w:firstLine="420"/>
              <w:rPr>
                <w:rFonts w:ascii="Times New Roman" w:hAnsi="Times New Roman" w:eastAsia="宋体" w:cs="Times New Roman"/>
                <w:color w:val="auto"/>
                <w:highlight w:val="none"/>
              </w:rPr>
            </w:pPr>
          </w:p>
        </w:tc>
      </w:tr>
      <w:tr w14:paraId="3C43BE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14:paraId="3B711446">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w:t>
            </w:r>
          </w:p>
        </w:tc>
        <w:tc>
          <w:tcPr>
            <w:tcW w:w="1480" w:type="dxa"/>
            <w:noWrap w:val="0"/>
            <w:vAlign w:val="center"/>
          </w:tcPr>
          <w:p w14:paraId="3760C459">
            <w:pPr>
              <w:ind w:firstLine="420"/>
              <w:rPr>
                <w:rFonts w:ascii="Times New Roman" w:hAnsi="Times New Roman" w:eastAsia="宋体" w:cs="Times New Roman"/>
                <w:color w:val="auto"/>
                <w:highlight w:val="none"/>
              </w:rPr>
            </w:pPr>
          </w:p>
        </w:tc>
        <w:tc>
          <w:tcPr>
            <w:tcW w:w="2835" w:type="dxa"/>
            <w:noWrap w:val="0"/>
            <w:vAlign w:val="center"/>
          </w:tcPr>
          <w:p w14:paraId="39EB609C">
            <w:pPr>
              <w:ind w:firstLine="420"/>
              <w:rPr>
                <w:rFonts w:ascii="Times New Roman" w:hAnsi="Times New Roman" w:eastAsia="宋体" w:cs="Times New Roman"/>
                <w:color w:val="auto"/>
                <w:highlight w:val="none"/>
              </w:rPr>
            </w:pPr>
          </w:p>
        </w:tc>
        <w:tc>
          <w:tcPr>
            <w:tcW w:w="2268" w:type="dxa"/>
            <w:noWrap w:val="0"/>
            <w:vAlign w:val="center"/>
          </w:tcPr>
          <w:p w14:paraId="23C95173">
            <w:pPr>
              <w:ind w:firstLine="420"/>
              <w:rPr>
                <w:rFonts w:ascii="Times New Roman" w:hAnsi="Times New Roman" w:eastAsia="宋体" w:cs="Times New Roman"/>
                <w:color w:val="auto"/>
                <w:highlight w:val="none"/>
              </w:rPr>
            </w:pPr>
          </w:p>
        </w:tc>
        <w:tc>
          <w:tcPr>
            <w:tcW w:w="1418" w:type="dxa"/>
            <w:noWrap w:val="0"/>
            <w:vAlign w:val="center"/>
          </w:tcPr>
          <w:p w14:paraId="7F7CEAFF">
            <w:pPr>
              <w:ind w:firstLine="420"/>
              <w:rPr>
                <w:rFonts w:ascii="Times New Roman" w:hAnsi="Times New Roman" w:eastAsia="宋体" w:cs="Times New Roman"/>
                <w:color w:val="auto"/>
                <w:highlight w:val="none"/>
              </w:rPr>
            </w:pPr>
          </w:p>
        </w:tc>
        <w:tc>
          <w:tcPr>
            <w:tcW w:w="709" w:type="dxa"/>
            <w:noWrap w:val="0"/>
            <w:vAlign w:val="center"/>
          </w:tcPr>
          <w:p w14:paraId="5D1E9E82">
            <w:pPr>
              <w:ind w:firstLine="420"/>
              <w:rPr>
                <w:rFonts w:ascii="Times New Roman" w:hAnsi="Times New Roman" w:eastAsia="宋体" w:cs="Times New Roman"/>
                <w:color w:val="auto"/>
                <w:highlight w:val="none"/>
              </w:rPr>
            </w:pPr>
          </w:p>
        </w:tc>
      </w:tr>
      <w:tr w14:paraId="59897A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14:paraId="1307AE63">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w:t>
            </w:r>
          </w:p>
        </w:tc>
        <w:tc>
          <w:tcPr>
            <w:tcW w:w="1480" w:type="dxa"/>
            <w:noWrap w:val="0"/>
            <w:vAlign w:val="center"/>
          </w:tcPr>
          <w:p w14:paraId="4D969636">
            <w:pPr>
              <w:ind w:firstLine="420"/>
              <w:rPr>
                <w:rFonts w:ascii="Times New Roman" w:hAnsi="Times New Roman" w:eastAsia="宋体" w:cs="Times New Roman"/>
                <w:color w:val="auto"/>
                <w:highlight w:val="none"/>
              </w:rPr>
            </w:pPr>
          </w:p>
        </w:tc>
        <w:tc>
          <w:tcPr>
            <w:tcW w:w="2835" w:type="dxa"/>
            <w:noWrap w:val="0"/>
            <w:vAlign w:val="center"/>
          </w:tcPr>
          <w:p w14:paraId="461B5871">
            <w:pPr>
              <w:ind w:firstLine="420"/>
              <w:rPr>
                <w:rFonts w:ascii="Times New Roman" w:hAnsi="Times New Roman" w:eastAsia="宋体" w:cs="Times New Roman"/>
                <w:color w:val="auto"/>
                <w:highlight w:val="none"/>
              </w:rPr>
            </w:pPr>
          </w:p>
        </w:tc>
        <w:tc>
          <w:tcPr>
            <w:tcW w:w="2268" w:type="dxa"/>
            <w:noWrap w:val="0"/>
            <w:vAlign w:val="center"/>
          </w:tcPr>
          <w:p w14:paraId="2B69FA2B">
            <w:pPr>
              <w:ind w:firstLine="420"/>
              <w:rPr>
                <w:rFonts w:ascii="Times New Roman" w:hAnsi="Times New Roman" w:eastAsia="宋体" w:cs="Times New Roman"/>
                <w:color w:val="auto"/>
                <w:highlight w:val="none"/>
              </w:rPr>
            </w:pPr>
          </w:p>
        </w:tc>
        <w:tc>
          <w:tcPr>
            <w:tcW w:w="1418" w:type="dxa"/>
            <w:noWrap w:val="0"/>
            <w:vAlign w:val="center"/>
          </w:tcPr>
          <w:p w14:paraId="2EF912F1">
            <w:pPr>
              <w:ind w:firstLine="420"/>
              <w:rPr>
                <w:rFonts w:ascii="Times New Roman" w:hAnsi="Times New Roman" w:eastAsia="宋体" w:cs="Times New Roman"/>
                <w:color w:val="auto"/>
                <w:highlight w:val="none"/>
              </w:rPr>
            </w:pPr>
          </w:p>
        </w:tc>
        <w:tc>
          <w:tcPr>
            <w:tcW w:w="709" w:type="dxa"/>
            <w:noWrap w:val="0"/>
            <w:vAlign w:val="center"/>
          </w:tcPr>
          <w:p w14:paraId="6C21FD44">
            <w:pPr>
              <w:ind w:firstLine="420"/>
              <w:rPr>
                <w:rFonts w:ascii="Times New Roman" w:hAnsi="Times New Roman" w:eastAsia="宋体" w:cs="Times New Roman"/>
                <w:color w:val="auto"/>
                <w:highlight w:val="none"/>
              </w:rPr>
            </w:pPr>
          </w:p>
        </w:tc>
      </w:tr>
      <w:tr w14:paraId="27D62D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14:paraId="3FC5F9CA">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4</w:t>
            </w:r>
          </w:p>
        </w:tc>
        <w:tc>
          <w:tcPr>
            <w:tcW w:w="1480" w:type="dxa"/>
            <w:noWrap w:val="0"/>
            <w:vAlign w:val="center"/>
          </w:tcPr>
          <w:p w14:paraId="54E2B07A">
            <w:pPr>
              <w:ind w:firstLine="420"/>
              <w:rPr>
                <w:rFonts w:ascii="Times New Roman" w:hAnsi="Times New Roman" w:eastAsia="宋体" w:cs="Times New Roman"/>
                <w:color w:val="auto"/>
                <w:highlight w:val="none"/>
              </w:rPr>
            </w:pPr>
          </w:p>
        </w:tc>
        <w:tc>
          <w:tcPr>
            <w:tcW w:w="2835" w:type="dxa"/>
            <w:noWrap w:val="0"/>
            <w:vAlign w:val="center"/>
          </w:tcPr>
          <w:p w14:paraId="1479D109">
            <w:pPr>
              <w:ind w:firstLine="420"/>
              <w:rPr>
                <w:rFonts w:ascii="Times New Roman" w:hAnsi="Times New Roman" w:eastAsia="宋体" w:cs="Times New Roman"/>
                <w:color w:val="auto"/>
                <w:highlight w:val="none"/>
              </w:rPr>
            </w:pPr>
          </w:p>
        </w:tc>
        <w:tc>
          <w:tcPr>
            <w:tcW w:w="2268" w:type="dxa"/>
            <w:noWrap w:val="0"/>
            <w:vAlign w:val="center"/>
          </w:tcPr>
          <w:p w14:paraId="72FF753D">
            <w:pPr>
              <w:ind w:firstLine="420"/>
              <w:rPr>
                <w:rFonts w:ascii="Times New Roman" w:hAnsi="Times New Roman" w:eastAsia="宋体" w:cs="Times New Roman"/>
                <w:color w:val="auto"/>
                <w:highlight w:val="none"/>
              </w:rPr>
            </w:pPr>
          </w:p>
        </w:tc>
        <w:tc>
          <w:tcPr>
            <w:tcW w:w="1418" w:type="dxa"/>
            <w:noWrap w:val="0"/>
            <w:vAlign w:val="center"/>
          </w:tcPr>
          <w:p w14:paraId="79ECF088">
            <w:pPr>
              <w:ind w:firstLine="420"/>
              <w:rPr>
                <w:rFonts w:ascii="Times New Roman" w:hAnsi="Times New Roman" w:eastAsia="宋体" w:cs="Times New Roman"/>
                <w:color w:val="auto"/>
                <w:highlight w:val="none"/>
              </w:rPr>
            </w:pPr>
          </w:p>
        </w:tc>
        <w:tc>
          <w:tcPr>
            <w:tcW w:w="709" w:type="dxa"/>
            <w:noWrap w:val="0"/>
            <w:vAlign w:val="center"/>
          </w:tcPr>
          <w:p w14:paraId="05F340ED">
            <w:pPr>
              <w:ind w:firstLine="420"/>
              <w:rPr>
                <w:rFonts w:ascii="Times New Roman" w:hAnsi="Times New Roman" w:eastAsia="宋体" w:cs="Times New Roman"/>
                <w:color w:val="auto"/>
                <w:highlight w:val="none"/>
              </w:rPr>
            </w:pPr>
          </w:p>
        </w:tc>
      </w:tr>
      <w:tr w14:paraId="46E213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14:paraId="578F90D1">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5</w:t>
            </w:r>
          </w:p>
        </w:tc>
        <w:tc>
          <w:tcPr>
            <w:tcW w:w="1480" w:type="dxa"/>
            <w:noWrap w:val="0"/>
            <w:vAlign w:val="center"/>
          </w:tcPr>
          <w:p w14:paraId="3B3D7DEA">
            <w:pPr>
              <w:ind w:firstLine="420"/>
              <w:rPr>
                <w:rFonts w:ascii="Times New Roman" w:hAnsi="Times New Roman" w:eastAsia="宋体" w:cs="Times New Roman"/>
                <w:color w:val="auto"/>
                <w:highlight w:val="none"/>
              </w:rPr>
            </w:pPr>
          </w:p>
        </w:tc>
        <w:tc>
          <w:tcPr>
            <w:tcW w:w="2835" w:type="dxa"/>
            <w:noWrap w:val="0"/>
            <w:vAlign w:val="center"/>
          </w:tcPr>
          <w:p w14:paraId="179B2A6A">
            <w:pPr>
              <w:ind w:firstLine="420"/>
              <w:rPr>
                <w:rFonts w:ascii="Times New Roman" w:hAnsi="Times New Roman" w:eastAsia="宋体" w:cs="Times New Roman"/>
                <w:color w:val="auto"/>
                <w:highlight w:val="none"/>
              </w:rPr>
            </w:pPr>
          </w:p>
        </w:tc>
        <w:tc>
          <w:tcPr>
            <w:tcW w:w="2268" w:type="dxa"/>
            <w:noWrap w:val="0"/>
            <w:vAlign w:val="center"/>
          </w:tcPr>
          <w:p w14:paraId="757B675B">
            <w:pPr>
              <w:ind w:firstLine="420"/>
              <w:rPr>
                <w:rFonts w:ascii="Times New Roman" w:hAnsi="Times New Roman" w:eastAsia="宋体" w:cs="Times New Roman"/>
                <w:color w:val="auto"/>
                <w:highlight w:val="none"/>
              </w:rPr>
            </w:pPr>
          </w:p>
        </w:tc>
        <w:tc>
          <w:tcPr>
            <w:tcW w:w="1418" w:type="dxa"/>
            <w:noWrap w:val="0"/>
            <w:vAlign w:val="center"/>
          </w:tcPr>
          <w:p w14:paraId="4AE5444F">
            <w:pPr>
              <w:ind w:firstLine="420"/>
              <w:rPr>
                <w:rFonts w:ascii="Times New Roman" w:hAnsi="Times New Roman" w:eastAsia="宋体" w:cs="Times New Roman"/>
                <w:color w:val="auto"/>
                <w:highlight w:val="none"/>
              </w:rPr>
            </w:pPr>
          </w:p>
        </w:tc>
        <w:tc>
          <w:tcPr>
            <w:tcW w:w="709" w:type="dxa"/>
            <w:noWrap w:val="0"/>
            <w:vAlign w:val="center"/>
          </w:tcPr>
          <w:p w14:paraId="4AFE6AAD">
            <w:pPr>
              <w:ind w:firstLine="420"/>
              <w:rPr>
                <w:rFonts w:ascii="Times New Roman" w:hAnsi="Times New Roman" w:eastAsia="宋体" w:cs="Times New Roman"/>
                <w:color w:val="auto"/>
                <w:highlight w:val="none"/>
              </w:rPr>
            </w:pPr>
          </w:p>
        </w:tc>
      </w:tr>
      <w:tr w14:paraId="627046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14:paraId="21B5E3F5">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w:t>
            </w:r>
          </w:p>
        </w:tc>
        <w:tc>
          <w:tcPr>
            <w:tcW w:w="1480" w:type="dxa"/>
            <w:noWrap w:val="0"/>
            <w:vAlign w:val="center"/>
          </w:tcPr>
          <w:p w14:paraId="160BAD58">
            <w:pPr>
              <w:ind w:firstLine="420"/>
              <w:rPr>
                <w:rFonts w:ascii="Times New Roman" w:hAnsi="Times New Roman" w:eastAsia="宋体" w:cs="Times New Roman"/>
                <w:color w:val="auto"/>
                <w:highlight w:val="none"/>
              </w:rPr>
            </w:pPr>
          </w:p>
        </w:tc>
        <w:tc>
          <w:tcPr>
            <w:tcW w:w="2835" w:type="dxa"/>
            <w:noWrap w:val="0"/>
            <w:vAlign w:val="center"/>
          </w:tcPr>
          <w:p w14:paraId="0331A331">
            <w:pPr>
              <w:ind w:firstLine="420"/>
              <w:rPr>
                <w:rFonts w:ascii="Times New Roman" w:hAnsi="Times New Roman" w:eastAsia="宋体" w:cs="Times New Roman"/>
                <w:color w:val="auto"/>
                <w:highlight w:val="none"/>
              </w:rPr>
            </w:pPr>
          </w:p>
        </w:tc>
        <w:tc>
          <w:tcPr>
            <w:tcW w:w="2268" w:type="dxa"/>
            <w:noWrap w:val="0"/>
            <w:vAlign w:val="center"/>
          </w:tcPr>
          <w:p w14:paraId="60BE88F6">
            <w:pPr>
              <w:ind w:firstLine="420"/>
              <w:rPr>
                <w:rFonts w:ascii="Times New Roman" w:hAnsi="Times New Roman" w:eastAsia="宋体" w:cs="Times New Roman"/>
                <w:color w:val="auto"/>
                <w:highlight w:val="none"/>
              </w:rPr>
            </w:pPr>
          </w:p>
        </w:tc>
        <w:tc>
          <w:tcPr>
            <w:tcW w:w="1418" w:type="dxa"/>
            <w:tcBorders>
              <w:right w:val="single" w:color="auto" w:sz="4" w:space="0"/>
            </w:tcBorders>
            <w:noWrap w:val="0"/>
            <w:vAlign w:val="center"/>
          </w:tcPr>
          <w:p w14:paraId="7DCD2BC3">
            <w:pPr>
              <w:ind w:firstLine="420"/>
              <w:rPr>
                <w:rFonts w:ascii="Times New Roman" w:hAnsi="Times New Roman" w:eastAsia="宋体" w:cs="Times New Roman"/>
                <w:color w:val="auto"/>
                <w:highlight w:val="none"/>
              </w:rPr>
            </w:pPr>
          </w:p>
        </w:tc>
        <w:tc>
          <w:tcPr>
            <w:tcW w:w="709" w:type="dxa"/>
            <w:tcBorders>
              <w:left w:val="single" w:color="auto" w:sz="4" w:space="0"/>
            </w:tcBorders>
            <w:noWrap w:val="0"/>
            <w:vAlign w:val="center"/>
          </w:tcPr>
          <w:p w14:paraId="6B611557">
            <w:pPr>
              <w:ind w:firstLine="420"/>
              <w:rPr>
                <w:rFonts w:ascii="Times New Roman" w:hAnsi="Times New Roman" w:eastAsia="宋体" w:cs="Times New Roman"/>
                <w:color w:val="auto"/>
                <w:highlight w:val="none"/>
              </w:rPr>
            </w:pPr>
          </w:p>
        </w:tc>
      </w:tr>
    </w:tbl>
    <w:p w14:paraId="24C9F606">
      <w:pPr>
        <w:pStyle w:val="23"/>
        <w:spacing w:line="300" w:lineRule="auto"/>
        <w:ind w:firstLine="105" w:firstLineChars="50"/>
        <w:rPr>
          <w:rFonts w:hint="eastAsia" w:ascii="宋体" w:hAnsi="宋体" w:eastAsia="宋体"/>
          <w:color w:val="auto"/>
          <w:sz w:val="21"/>
          <w:szCs w:val="21"/>
          <w:highlight w:val="none"/>
        </w:rPr>
      </w:pPr>
    </w:p>
    <w:p w14:paraId="69407D87">
      <w:pPr>
        <w:pStyle w:val="23"/>
        <w:spacing w:line="300" w:lineRule="auto"/>
        <w:ind w:firstLine="105" w:firstLineChars="50"/>
        <w:rPr>
          <w:rFonts w:hAnsi="宋体"/>
          <w:color w:val="auto"/>
          <w:highlight w:val="none"/>
        </w:rPr>
      </w:pPr>
      <w:r>
        <w:rPr>
          <w:rFonts w:hint="eastAsia" w:ascii="宋体" w:hAnsi="宋体" w:eastAsia="宋体"/>
          <w:color w:val="auto"/>
          <w:sz w:val="21"/>
          <w:szCs w:val="21"/>
          <w:highlight w:val="none"/>
        </w:rPr>
        <w:t xml:space="preserve">注：应对照招标文件“第二章 </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需求”中的</w:t>
      </w:r>
      <w:r>
        <w:rPr>
          <w:rFonts w:hint="eastAsia" w:ascii="宋体" w:hAnsi="宋体" w:eastAsia="宋体"/>
          <w:color w:val="auto"/>
          <w:sz w:val="21"/>
          <w:szCs w:val="21"/>
          <w:highlight w:val="none"/>
          <w:lang w:val="en-US" w:eastAsia="zh-CN"/>
        </w:rPr>
        <w:t>技术</w:t>
      </w:r>
      <w:r>
        <w:rPr>
          <w:rFonts w:hint="eastAsia" w:ascii="宋体" w:hAnsi="宋体" w:eastAsia="宋体"/>
          <w:color w:val="auto"/>
          <w:sz w:val="21"/>
          <w:szCs w:val="21"/>
          <w:highlight w:val="none"/>
        </w:rPr>
        <w:t>要求逐条作明确的投标响应。</w:t>
      </w:r>
    </w:p>
    <w:p w14:paraId="767E6F8F">
      <w:pPr>
        <w:pStyle w:val="29"/>
        <w:spacing w:line="300" w:lineRule="auto"/>
        <w:ind w:firstLine="5880" w:firstLineChars="2800"/>
        <w:rPr>
          <w:rFonts w:hint="eastAsia" w:hAnsi="宋体"/>
          <w:color w:val="auto"/>
          <w:highlight w:val="none"/>
        </w:rPr>
      </w:pPr>
    </w:p>
    <w:p w14:paraId="7CEA9B0B">
      <w:pPr>
        <w:pStyle w:val="29"/>
        <w:spacing w:line="300" w:lineRule="auto"/>
        <w:ind w:firstLine="5880" w:firstLineChars="2800"/>
        <w:rPr>
          <w:rFonts w:hint="eastAsia" w:hAnsi="宋体"/>
          <w:color w:val="auto"/>
          <w:highlight w:val="none"/>
        </w:rPr>
      </w:pPr>
    </w:p>
    <w:p w14:paraId="5F920F25">
      <w:pPr>
        <w:pStyle w:val="29"/>
        <w:spacing w:line="300" w:lineRule="auto"/>
        <w:ind w:firstLine="5880" w:firstLineChars="2800"/>
        <w:rPr>
          <w:rFonts w:hAnsi="宋体"/>
          <w:color w:val="auto"/>
          <w:highlight w:val="none"/>
        </w:rPr>
      </w:pPr>
      <w:r>
        <w:rPr>
          <w:rFonts w:hint="eastAsia" w:hAnsi="宋体"/>
          <w:color w:val="auto"/>
          <w:highlight w:val="none"/>
        </w:rPr>
        <w:t>供应商（盖章）：</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14:paraId="6761030C">
      <w:pPr>
        <w:pStyle w:val="29"/>
        <w:spacing w:line="300" w:lineRule="auto"/>
        <w:ind w:firstLine="5880" w:firstLineChars="2800"/>
        <w:rPr>
          <w:rFonts w:hAnsi="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055BBA72">
      <w:pPr>
        <w:ind w:firstLine="0" w:firstLineChars="0"/>
        <w:rPr>
          <w:rFonts w:hint="eastAsia" w:ascii="宋体" w:hAnsi="宋体"/>
          <w:color w:val="auto"/>
          <w:highlight w:val="none"/>
        </w:rPr>
      </w:pPr>
    </w:p>
    <w:p w14:paraId="1B5F35E5">
      <w:pPr>
        <w:pStyle w:val="29"/>
        <w:spacing w:line="440" w:lineRule="exact"/>
        <w:ind w:firstLine="643"/>
        <w:jc w:val="center"/>
        <w:rPr>
          <w:rFonts w:hint="eastAsia" w:ascii="仿宋" w:hAnsi="仿宋" w:eastAsia="仿宋" w:cs="黑体"/>
          <w:b/>
          <w:color w:val="auto"/>
          <w:sz w:val="32"/>
          <w:szCs w:val="32"/>
          <w:highlight w:val="none"/>
        </w:rPr>
      </w:pPr>
      <w:r>
        <w:rPr>
          <w:rFonts w:hint="eastAsia" w:ascii="仿宋" w:hAnsi="仿宋" w:eastAsia="仿宋" w:cs="黑体"/>
          <w:b/>
          <w:color w:val="auto"/>
          <w:sz w:val="32"/>
          <w:szCs w:val="32"/>
          <w:highlight w:val="none"/>
        </w:rPr>
        <w:t>项目实施人员一览表</w:t>
      </w:r>
    </w:p>
    <w:p w14:paraId="4AC84068">
      <w:pPr>
        <w:rPr>
          <w:rFonts w:hint="eastAsia"/>
          <w:color w:val="auto"/>
        </w:rPr>
      </w:pPr>
    </w:p>
    <w:tbl>
      <w:tblPr>
        <w:tblStyle w:val="51"/>
        <w:tblW w:w="9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095"/>
        <w:gridCol w:w="2745"/>
        <w:gridCol w:w="1815"/>
        <w:gridCol w:w="1605"/>
        <w:gridCol w:w="1185"/>
      </w:tblGrid>
      <w:tr w14:paraId="543F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center"/>
          </w:tcPr>
          <w:p w14:paraId="50D2CDA4">
            <w:pPr>
              <w:keepNext w:val="0"/>
              <w:keepLines w:val="0"/>
              <w:pageBreakBefore w:val="0"/>
              <w:widowControl w:val="0"/>
              <w:kinsoku/>
              <w:wordWrap/>
              <w:overflowPunct/>
              <w:topLinePunct w:val="0"/>
              <w:autoSpaceDE/>
              <w:autoSpaceDN/>
              <w:bidi w:val="0"/>
              <w:adjustRightInd/>
              <w:snapToGrid w:val="0"/>
              <w:spacing w:before="50" w:after="120" w:afterLines="50"/>
              <w:ind w:firstLine="0" w:firstLineChars="0"/>
              <w:jc w:val="center"/>
              <w:textAlignment w:val="auto"/>
              <w:rPr>
                <w:rFonts w:ascii="宋体" w:hAnsi="宋体"/>
                <w:color w:val="auto"/>
                <w:sz w:val="21"/>
                <w:szCs w:val="21"/>
              </w:rPr>
            </w:pPr>
            <w:r>
              <w:rPr>
                <w:rFonts w:hint="eastAsia" w:ascii="宋体" w:hAnsi="宋体"/>
                <w:color w:val="auto"/>
                <w:sz w:val="21"/>
                <w:szCs w:val="21"/>
              </w:rPr>
              <w:t>姓名</w:t>
            </w:r>
          </w:p>
        </w:tc>
        <w:tc>
          <w:tcPr>
            <w:tcW w:w="1095" w:type="dxa"/>
            <w:vAlign w:val="center"/>
          </w:tcPr>
          <w:p w14:paraId="20AE1F2F">
            <w:pPr>
              <w:keepNext w:val="0"/>
              <w:keepLines w:val="0"/>
              <w:pageBreakBefore w:val="0"/>
              <w:widowControl w:val="0"/>
              <w:kinsoku/>
              <w:wordWrap/>
              <w:overflowPunct/>
              <w:topLinePunct w:val="0"/>
              <w:autoSpaceDE/>
              <w:autoSpaceDN/>
              <w:bidi w:val="0"/>
              <w:adjustRightInd/>
              <w:snapToGrid w:val="0"/>
              <w:spacing w:before="50" w:after="120" w:afterLines="50"/>
              <w:ind w:firstLine="0" w:firstLineChars="0"/>
              <w:jc w:val="center"/>
              <w:textAlignment w:val="auto"/>
              <w:rPr>
                <w:rFonts w:ascii="宋体" w:hAnsi="宋体"/>
                <w:color w:val="auto"/>
                <w:sz w:val="21"/>
                <w:szCs w:val="21"/>
              </w:rPr>
            </w:pPr>
            <w:r>
              <w:rPr>
                <w:rFonts w:hint="eastAsia" w:ascii="宋体" w:hAnsi="宋体"/>
                <w:color w:val="auto"/>
                <w:sz w:val="21"/>
                <w:szCs w:val="21"/>
              </w:rPr>
              <w:t>职务</w:t>
            </w:r>
          </w:p>
        </w:tc>
        <w:tc>
          <w:tcPr>
            <w:tcW w:w="2745" w:type="dxa"/>
            <w:vAlign w:val="center"/>
          </w:tcPr>
          <w:p w14:paraId="0FE7F357">
            <w:pPr>
              <w:keepNext w:val="0"/>
              <w:keepLines w:val="0"/>
              <w:pageBreakBefore w:val="0"/>
              <w:widowControl w:val="0"/>
              <w:kinsoku/>
              <w:wordWrap/>
              <w:overflowPunct/>
              <w:topLinePunct w:val="0"/>
              <w:autoSpaceDE/>
              <w:autoSpaceDN/>
              <w:bidi w:val="0"/>
              <w:adjustRightInd/>
              <w:snapToGrid w:val="0"/>
              <w:spacing w:before="50" w:after="120" w:afterLines="50"/>
              <w:ind w:firstLine="0" w:firstLineChars="0"/>
              <w:jc w:val="center"/>
              <w:textAlignment w:val="auto"/>
              <w:rPr>
                <w:rFonts w:ascii="宋体" w:hAnsi="宋体"/>
                <w:color w:val="auto"/>
                <w:sz w:val="21"/>
                <w:szCs w:val="21"/>
              </w:rPr>
            </w:pPr>
            <w:r>
              <w:rPr>
                <w:rFonts w:hint="eastAsia" w:ascii="宋体" w:hAnsi="宋体"/>
                <w:color w:val="auto"/>
                <w:sz w:val="21"/>
                <w:szCs w:val="21"/>
              </w:rPr>
              <w:t>专业技术资格（职称）或者职业资格或者执业资格证或者其他证书</w:t>
            </w:r>
          </w:p>
        </w:tc>
        <w:tc>
          <w:tcPr>
            <w:tcW w:w="1815" w:type="dxa"/>
            <w:vAlign w:val="center"/>
          </w:tcPr>
          <w:p w14:paraId="3350442E">
            <w:pPr>
              <w:keepNext w:val="0"/>
              <w:keepLines w:val="0"/>
              <w:pageBreakBefore w:val="0"/>
              <w:widowControl w:val="0"/>
              <w:kinsoku/>
              <w:wordWrap/>
              <w:overflowPunct/>
              <w:topLinePunct w:val="0"/>
              <w:autoSpaceDE/>
              <w:autoSpaceDN/>
              <w:bidi w:val="0"/>
              <w:adjustRightInd/>
              <w:snapToGrid w:val="0"/>
              <w:spacing w:before="50" w:after="120" w:afterLines="50"/>
              <w:ind w:firstLine="0" w:firstLineChars="0"/>
              <w:jc w:val="center"/>
              <w:textAlignment w:val="auto"/>
              <w:rPr>
                <w:rFonts w:ascii="宋体" w:hAnsi="宋体"/>
                <w:color w:val="auto"/>
                <w:sz w:val="21"/>
                <w:szCs w:val="21"/>
              </w:rPr>
            </w:pPr>
            <w:r>
              <w:rPr>
                <w:rFonts w:hint="eastAsia" w:ascii="宋体" w:hAnsi="宋体"/>
                <w:color w:val="auto"/>
                <w:sz w:val="21"/>
                <w:szCs w:val="21"/>
              </w:rPr>
              <w:t>证书编号</w:t>
            </w:r>
          </w:p>
        </w:tc>
        <w:tc>
          <w:tcPr>
            <w:tcW w:w="1605" w:type="dxa"/>
            <w:vAlign w:val="center"/>
          </w:tcPr>
          <w:p w14:paraId="2867DA9C">
            <w:pPr>
              <w:keepNext w:val="0"/>
              <w:keepLines w:val="0"/>
              <w:pageBreakBefore w:val="0"/>
              <w:widowControl w:val="0"/>
              <w:kinsoku/>
              <w:wordWrap/>
              <w:overflowPunct/>
              <w:topLinePunct w:val="0"/>
              <w:autoSpaceDE/>
              <w:autoSpaceDN/>
              <w:bidi w:val="0"/>
              <w:adjustRightInd/>
              <w:snapToGrid w:val="0"/>
              <w:spacing w:before="50" w:after="120" w:afterLines="50"/>
              <w:ind w:firstLine="0" w:firstLineChars="0"/>
              <w:jc w:val="center"/>
              <w:textAlignment w:val="auto"/>
              <w:rPr>
                <w:rFonts w:ascii="宋体" w:hAnsi="宋体"/>
                <w:color w:val="auto"/>
                <w:sz w:val="21"/>
                <w:szCs w:val="21"/>
              </w:rPr>
            </w:pPr>
            <w:r>
              <w:rPr>
                <w:rFonts w:hint="eastAsia" w:ascii="宋体" w:hAnsi="宋体"/>
                <w:color w:val="auto"/>
                <w:sz w:val="21"/>
                <w:szCs w:val="21"/>
              </w:rPr>
              <w:t>参加本单位</w:t>
            </w:r>
          </w:p>
          <w:p w14:paraId="0B0C40B0">
            <w:pPr>
              <w:keepNext w:val="0"/>
              <w:keepLines w:val="0"/>
              <w:pageBreakBefore w:val="0"/>
              <w:widowControl w:val="0"/>
              <w:kinsoku/>
              <w:wordWrap/>
              <w:overflowPunct/>
              <w:topLinePunct w:val="0"/>
              <w:autoSpaceDE/>
              <w:autoSpaceDN/>
              <w:bidi w:val="0"/>
              <w:adjustRightInd/>
              <w:snapToGrid w:val="0"/>
              <w:spacing w:before="50" w:after="120" w:afterLines="50"/>
              <w:ind w:firstLine="0" w:firstLineChars="0"/>
              <w:jc w:val="center"/>
              <w:textAlignment w:val="auto"/>
              <w:rPr>
                <w:rFonts w:ascii="宋体" w:hAnsi="宋体"/>
                <w:color w:val="auto"/>
                <w:sz w:val="21"/>
                <w:szCs w:val="21"/>
              </w:rPr>
            </w:pPr>
            <w:r>
              <w:rPr>
                <w:rFonts w:hint="eastAsia" w:ascii="宋体" w:hAnsi="宋体"/>
                <w:color w:val="auto"/>
                <w:sz w:val="21"/>
                <w:szCs w:val="21"/>
              </w:rPr>
              <w:t>工作时间</w:t>
            </w:r>
          </w:p>
        </w:tc>
        <w:tc>
          <w:tcPr>
            <w:tcW w:w="1185" w:type="dxa"/>
            <w:vAlign w:val="center"/>
          </w:tcPr>
          <w:p w14:paraId="325A05A8">
            <w:pPr>
              <w:keepNext w:val="0"/>
              <w:keepLines w:val="0"/>
              <w:pageBreakBefore w:val="0"/>
              <w:widowControl w:val="0"/>
              <w:kinsoku/>
              <w:wordWrap/>
              <w:overflowPunct/>
              <w:topLinePunct w:val="0"/>
              <w:autoSpaceDE/>
              <w:autoSpaceDN/>
              <w:bidi w:val="0"/>
              <w:adjustRightInd/>
              <w:snapToGrid w:val="0"/>
              <w:spacing w:before="50" w:after="120" w:afterLines="50"/>
              <w:ind w:firstLine="0" w:firstLineChars="0"/>
              <w:jc w:val="center"/>
              <w:textAlignment w:val="auto"/>
              <w:rPr>
                <w:rFonts w:hint="eastAsia" w:ascii="宋体" w:hAnsi="宋体" w:eastAsia="宋体"/>
                <w:color w:val="auto"/>
                <w:sz w:val="21"/>
                <w:szCs w:val="21"/>
                <w:lang w:eastAsia="zh-CN"/>
              </w:rPr>
            </w:pPr>
            <w:r>
              <w:rPr>
                <w:rFonts w:hint="eastAsia" w:ascii="宋体" w:hAnsi="宋体"/>
                <w:color w:val="auto"/>
                <w:sz w:val="21"/>
                <w:szCs w:val="21"/>
                <w:lang w:val="en-US" w:eastAsia="zh-CN"/>
              </w:rPr>
              <w:t>备注</w:t>
            </w:r>
          </w:p>
        </w:tc>
      </w:tr>
      <w:tr w14:paraId="3787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center"/>
          </w:tcPr>
          <w:p w14:paraId="28269C1D">
            <w:pPr>
              <w:snapToGrid w:val="0"/>
              <w:spacing w:before="50" w:after="120" w:afterLines="50"/>
              <w:jc w:val="center"/>
              <w:rPr>
                <w:rFonts w:ascii="宋体" w:hAnsi="宋体"/>
                <w:color w:val="auto"/>
                <w:sz w:val="24"/>
                <w:szCs w:val="20"/>
              </w:rPr>
            </w:pPr>
          </w:p>
        </w:tc>
        <w:tc>
          <w:tcPr>
            <w:tcW w:w="1095" w:type="dxa"/>
            <w:vAlign w:val="center"/>
          </w:tcPr>
          <w:p w14:paraId="553F816D">
            <w:pPr>
              <w:snapToGrid w:val="0"/>
              <w:spacing w:before="50" w:after="120" w:afterLines="50"/>
              <w:jc w:val="center"/>
              <w:rPr>
                <w:rFonts w:ascii="宋体" w:hAnsi="宋体"/>
                <w:color w:val="auto"/>
                <w:sz w:val="24"/>
                <w:szCs w:val="20"/>
              </w:rPr>
            </w:pPr>
          </w:p>
        </w:tc>
        <w:tc>
          <w:tcPr>
            <w:tcW w:w="2745" w:type="dxa"/>
            <w:vAlign w:val="center"/>
          </w:tcPr>
          <w:p w14:paraId="370843A5">
            <w:pPr>
              <w:snapToGrid w:val="0"/>
              <w:spacing w:before="50" w:after="120" w:afterLines="50"/>
              <w:jc w:val="center"/>
              <w:rPr>
                <w:rFonts w:ascii="宋体" w:hAnsi="宋体"/>
                <w:color w:val="auto"/>
                <w:sz w:val="24"/>
                <w:szCs w:val="20"/>
              </w:rPr>
            </w:pPr>
          </w:p>
        </w:tc>
        <w:tc>
          <w:tcPr>
            <w:tcW w:w="1815" w:type="dxa"/>
            <w:vAlign w:val="center"/>
          </w:tcPr>
          <w:p w14:paraId="190EF2EA">
            <w:pPr>
              <w:snapToGrid w:val="0"/>
              <w:spacing w:before="50" w:after="120" w:afterLines="50"/>
              <w:jc w:val="center"/>
              <w:rPr>
                <w:rFonts w:ascii="宋体" w:hAnsi="宋体"/>
                <w:color w:val="auto"/>
                <w:sz w:val="24"/>
                <w:szCs w:val="20"/>
              </w:rPr>
            </w:pPr>
          </w:p>
        </w:tc>
        <w:tc>
          <w:tcPr>
            <w:tcW w:w="1605" w:type="dxa"/>
            <w:vAlign w:val="center"/>
          </w:tcPr>
          <w:p w14:paraId="595860E3">
            <w:pPr>
              <w:snapToGrid w:val="0"/>
              <w:spacing w:before="50" w:after="120" w:afterLines="50"/>
              <w:jc w:val="center"/>
              <w:rPr>
                <w:rFonts w:ascii="宋体" w:hAnsi="宋体"/>
                <w:color w:val="auto"/>
                <w:sz w:val="24"/>
                <w:szCs w:val="20"/>
              </w:rPr>
            </w:pPr>
          </w:p>
        </w:tc>
        <w:tc>
          <w:tcPr>
            <w:tcW w:w="1185" w:type="dxa"/>
            <w:vAlign w:val="center"/>
          </w:tcPr>
          <w:p w14:paraId="6B9C6854">
            <w:pPr>
              <w:snapToGrid w:val="0"/>
              <w:spacing w:before="50" w:after="120" w:afterLines="50"/>
              <w:jc w:val="center"/>
              <w:rPr>
                <w:rFonts w:ascii="宋体" w:hAnsi="宋体"/>
                <w:color w:val="auto"/>
                <w:sz w:val="24"/>
                <w:szCs w:val="20"/>
              </w:rPr>
            </w:pPr>
          </w:p>
        </w:tc>
      </w:tr>
      <w:tr w14:paraId="4695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center"/>
          </w:tcPr>
          <w:p w14:paraId="53C7FFF1">
            <w:pPr>
              <w:snapToGrid w:val="0"/>
              <w:spacing w:before="50" w:after="120" w:afterLines="50"/>
              <w:jc w:val="center"/>
              <w:rPr>
                <w:rFonts w:ascii="宋体" w:hAnsi="宋体"/>
                <w:color w:val="auto"/>
                <w:sz w:val="24"/>
                <w:szCs w:val="20"/>
              </w:rPr>
            </w:pPr>
          </w:p>
        </w:tc>
        <w:tc>
          <w:tcPr>
            <w:tcW w:w="1095" w:type="dxa"/>
            <w:vAlign w:val="center"/>
          </w:tcPr>
          <w:p w14:paraId="7C367DAA">
            <w:pPr>
              <w:snapToGrid w:val="0"/>
              <w:spacing w:before="50" w:after="120" w:afterLines="50"/>
              <w:jc w:val="center"/>
              <w:rPr>
                <w:rFonts w:ascii="宋体" w:hAnsi="宋体"/>
                <w:color w:val="auto"/>
                <w:sz w:val="24"/>
                <w:szCs w:val="20"/>
              </w:rPr>
            </w:pPr>
          </w:p>
        </w:tc>
        <w:tc>
          <w:tcPr>
            <w:tcW w:w="2745" w:type="dxa"/>
            <w:vAlign w:val="center"/>
          </w:tcPr>
          <w:p w14:paraId="0D7A8FBF">
            <w:pPr>
              <w:snapToGrid w:val="0"/>
              <w:spacing w:before="50" w:after="120" w:afterLines="50"/>
              <w:jc w:val="center"/>
              <w:rPr>
                <w:rFonts w:ascii="宋体" w:hAnsi="宋体"/>
                <w:color w:val="auto"/>
                <w:sz w:val="24"/>
                <w:szCs w:val="20"/>
              </w:rPr>
            </w:pPr>
          </w:p>
        </w:tc>
        <w:tc>
          <w:tcPr>
            <w:tcW w:w="1815" w:type="dxa"/>
            <w:vAlign w:val="center"/>
          </w:tcPr>
          <w:p w14:paraId="3ABF361C">
            <w:pPr>
              <w:snapToGrid w:val="0"/>
              <w:spacing w:before="50" w:after="120" w:afterLines="50"/>
              <w:jc w:val="center"/>
              <w:rPr>
                <w:rFonts w:ascii="宋体" w:hAnsi="宋体"/>
                <w:color w:val="auto"/>
                <w:sz w:val="24"/>
                <w:szCs w:val="20"/>
              </w:rPr>
            </w:pPr>
          </w:p>
        </w:tc>
        <w:tc>
          <w:tcPr>
            <w:tcW w:w="1605" w:type="dxa"/>
            <w:vAlign w:val="center"/>
          </w:tcPr>
          <w:p w14:paraId="227061C2">
            <w:pPr>
              <w:snapToGrid w:val="0"/>
              <w:spacing w:before="50" w:after="120" w:afterLines="50"/>
              <w:jc w:val="center"/>
              <w:rPr>
                <w:rFonts w:ascii="宋体" w:hAnsi="宋体"/>
                <w:color w:val="auto"/>
                <w:sz w:val="24"/>
                <w:szCs w:val="20"/>
              </w:rPr>
            </w:pPr>
          </w:p>
        </w:tc>
        <w:tc>
          <w:tcPr>
            <w:tcW w:w="1185" w:type="dxa"/>
            <w:vAlign w:val="center"/>
          </w:tcPr>
          <w:p w14:paraId="5B1CEA8C">
            <w:pPr>
              <w:snapToGrid w:val="0"/>
              <w:spacing w:before="50" w:after="120" w:afterLines="50"/>
              <w:jc w:val="center"/>
              <w:rPr>
                <w:rFonts w:ascii="宋体" w:hAnsi="宋体"/>
                <w:color w:val="auto"/>
                <w:sz w:val="24"/>
                <w:szCs w:val="20"/>
              </w:rPr>
            </w:pPr>
          </w:p>
        </w:tc>
      </w:tr>
      <w:tr w14:paraId="72E4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center"/>
          </w:tcPr>
          <w:p w14:paraId="101244A4">
            <w:pPr>
              <w:snapToGrid w:val="0"/>
              <w:spacing w:before="50" w:after="120" w:afterLines="50"/>
              <w:jc w:val="center"/>
              <w:rPr>
                <w:rFonts w:ascii="宋体" w:hAnsi="宋体"/>
                <w:color w:val="auto"/>
                <w:sz w:val="24"/>
                <w:szCs w:val="20"/>
              </w:rPr>
            </w:pPr>
          </w:p>
        </w:tc>
        <w:tc>
          <w:tcPr>
            <w:tcW w:w="1095" w:type="dxa"/>
            <w:vAlign w:val="center"/>
          </w:tcPr>
          <w:p w14:paraId="19CF8D50">
            <w:pPr>
              <w:snapToGrid w:val="0"/>
              <w:spacing w:before="50" w:after="120" w:afterLines="50"/>
              <w:jc w:val="center"/>
              <w:rPr>
                <w:rFonts w:ascii="宋体" w:hAnsi="宋体"/>
                <w:color w:val="auto"/>
                <w:sz w:val="24"/>
                <w:szCs w:val="20"/>
              </w:rPr>
            </w:pPr>
          </w:p>
        </w:tc>
        <w:tc>
          <w:tcPr>
            <w:tcW w:w="2745" w:type="dxa"/>
            <w:vAlign w:val="center"/>
          </w:tcPr>
          <w:p w14:paraId="39D24E79">
            <w:pPr>
              <w:snapToGrid w:val="0"/>
              <w:spacing w:before="50" w:after="120" w:afterLines="50"/>
              <w:jc w:val="center"/>
              <w:rPr>
                <w:rFonts w:ascii="宋体" w:hAnsi="宋体"/>
                <w:color w:val="auto"/>
                <w:sz w:val="24"/>
                <w:szCs w:val="20"/>
              </w:rPr>
            </w:pPr>
          </w:p>
        </w:tc>
        <w:tc>
          <w:tcPr>
            <w:tcW w:w="1815" w:type="dxa"/>
            <w:vAlign w:val="center"/>
          </w:tcPr>
          <w:p w14:paraId="2B32815D">
            <w:pPr>
              <w:snapToGrid w:val="0"/>
              <w:spacing w:before="50" w:after="120" w:afterLines="50"/>
              <w:jc w:val="center"/>
              <w:rPr>
                <w:rFonts w:ascii="宋体" w:hAnsi="宋体"/>
                <w:color w:val="auto"/>
                <w:sz w:val="24"/>
                <w:szCs w:val="20"/>
              </w:rPr>
            </w:pPr>
          </w:p>
        </w:tc>
        <w:tc>
          <w:tcPr>
            <w:tcW w:w="1605" w:type="dxa"/>
            <w:vAlign w:val="center"/>
          </w:tcPr>
          <w:p w14:paraId="6CF90C4A">
            <w:pPr>
              <w:snapToGrid w:val="0"/>
              <w:spacing w:before="50" w:after="120" w:afterLines="50"/>
              <w:jc w:val="center"/>
              <w:rPr>
                <w:rFonts w:ascii="宋体" w:hAnsi="宋体"/>
                <w:color w:val="auto"/>
                <w:sz w:val="24"/>
                <w:szCs w:val="20"/>
              </w:rPr>
            </w:pPr>
          </w:p>
        </w:tc>
        <w:tc>
          <w:tcPr>
            <w:tcW w:w="1185" w:type="dxa"/>
            <w:vAlign w:val="center"/>
          </w:tcPr>
          <w:p w14:paraId="71169F4A">
            <w:pPr>
              <w:snapToGrid w:val="0"/>
              <w:spacing w:before="50" w:after="120" w:afterLines="50"/>
              <w:jc w:val="center"/>
              <w:rPr>
                <w:rFonts w:ascii="宋体" w:hAnsi="宋体"/>
                <w:color w:val="auto"/>
                <w:sz w:val="24"/>
                <w:szCs w:val="20"/>
              </w:rPr>
            </w:pPr>
          </w:p>
        </w:tc>
      </w:tr>
    </w:tbl>
    <w:p w14:paraId="570C0C1C">
      <w:pPr>
        <w:snapToGrid w:val="0"/>
        <w:spacing w:before="50" w:after="120" w:afterLines="50"/>
        <w:jc w:val="left"/>
        <w:rPr>
          <w:rFonts w:ascii="宋体" w:hAnsi="宋体"/>
          <w:color w:val="auto"/>
          <w:sz w:val="24"/>
          <w:szCs w:val="20"/>
        </w:rPr>
      </w:pPr>
    </w:p>
    <w:p w14:paraId="2EA300A7">
      <w:pPr>
        <w:spacing w:line="360" w:lineRule="auto"/>
        <w:contextualSpacing/>
        <w:jc w:val="left"/>
        <w:rPr>
          <w:rFonts w:ascii="宋体" w:hAnsi="宋体"/>
          <w:color w:val="auto"/>
          <w:sz w:val="21"/>
          <w:szCs w:val="21"/>
        </w:rPr>
      </w:pPr>
      <w:r>
        <w:rPr>
          <w:rFonts w:hint="eastAsia" w:ascii="宋体" w:hAnsi="宋体"/>
          <w:color w:val="auto"/>
          <w:sz w:val="21"/>
          <w:szCs w:val="21"/>
        </w:rPr>
        <w:t>注：</w:t>
      </w:r>
    </w:p>
    <w:p w14:paraId="0AA8F19B">
      <w:pPr>
        <w:spacing w:line="360" w:lineRule="auto"/>
        <w:contextualSpacing/>
        <w:jc w:val="left"/>
        <w:rPr>
          <w:rFonts w:ascii="宋体" w:hAnsi="宋体"/>
          <w:color w:val="auto"/>
          <w:sz w:val="21"/>
          <w:szCs w:val="21"/>
        </w:rPr>
      </w:pPr>
      <w:r>
        <w:rPr>
          <w:rFonts w:hint="eastAsia" w:ascii="宋体" w:hAnsi="宋体"/>
          <w:color w:val="auto"/>
          <w:sz w:val="21"/>
          <w:szCs w:val="21"/>
        </w:rPr>
        <w:t>1.在填写时，如本表格不适合投标单位的实际情况，可根据本表格式自行制表填写。</w:t>
      </w:r>
    </w:p>
    <w:p w14:paraId="553FACC9">
      <w:pPr>
        <w:spacing w:line="360" w:lineRule="auto"/>
        <w:contextualSpacing/>
        <w:jc w:val="left"/>
        <w:rPr>
          <w:rFonts w:ascii="宋体" w:hAnsi="宋体"/>
          <w:color w:val="auto"/>
          <w:sz w:val="21"/>
          <w:szCs w:val="21"/>
        </w:rPr>
      </w:pPr>
      <w:r>
        <w:rPr>
          <w:rFonts w:hint="eastAsia" w:ascii="宋体" w:hAnsi="宋体"/>
          <w:color w:val="auto"/>
          <w:sz w:val="21"/>
          <w:szCs w:val="21"/>
        </w:rPr>
        <w:t>2.投标人应当附本表所列证书的复印件并加盖投标人电子签章。</w:t>
      </w:r>
    </w:p>
    <w:p w14:paraId="3E70485C">
      <w:pPr>
        <w:spacing w:line="360" w:lineRule="auto"/>
        <w:contextualSpacing/>
        <w:jc w:val="left"/>
        <w:rPr>
          <w:rFonts w:ascii="宋体" w:hAnsi="宋体"/>
          <w:color w:val="auto"/>
          <w:sz w:val="21"/>
          <w:szCs w:val="21"/>
        </w:rPr>
      </w:pPr>
    </w:p>
    <w:p w14:paraId="346E87B1">
      <w:pPr>
        <w:spacing w:line="360" w:lineRule="auto"/>
        <w:contextualSpacing/>
        <w:jc w:val="left"/>
        <w:rPr>
          <w:rFonts w:ascii="宋体" w:hAnsi="宋体"/>
          <w:color w:val="auto"/>
          <w:sz w:val="21"/>
          <w:szCs w:val="21"/>
        </w:rPr>
      </w:pPr>
    </w:p>
    <w:p w14:paraId="52B0A6CC">
      <w:pPr>
        <w:pStyle w:val="29"/>
        <w:spacing w:line="300" w:lineRule="auto"/>
        <w:ind w:firstLine="5880" w:firstLineChars="2800"/>
        <w:rPr>
          <w:rFonts w:hAnsi="宋体"/>
          <w:color w:val="auto"/>
          <w:highlight w:val="none"/>
        </w:rPr>
      </w:pPr>
      <w:r>
        <w:rPr>
          <w:rFonts w:hint="eastAsia" w:hAnsi="宋体"/>
          <w:color w:val="auto"/>
          <w:highlight w:val="none"/>
        </w:rPr>
        <w:t>供应商（盖章）：</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14:paraId="489001C7">
      <w:pPr>
        <w:pStyle w:val="29"/>
        <w:spacing w:line="300" w:lineRule="auto"/>
        <w:ind w:firstLine="5880" w:firstLineChars="2800"/>
        <w:rPr>
          <w:rFonts w:hAnsi="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2CCCA60C">
      <w:pPr>
        <w:snapToGrid w:val="0"/>
        <w:spacing w:before="50" w:after="50" w:line="360" w:lineRule="exact"/>
        <w:ind w:right="-817" w:rightChars="-389" w:firstLine="0" w:firstLineChars="0"/>
        <w:rPr>
          <w:rFonts w:hint="eastAsia" w:ascii="宋体" w:hAnsi="宋体"/>
          <w:b/>
          <w:bCs/>
          <w:color w:val="auto"/>
          <w:sz w:val="32"/>
          <w:szCs w:val="32"/>
          <w:highlight w:val="none"/>
        </w:rPr>
      </w:pPr>
      <w:r>
        <w:rPr>
          <w:rFonts w:hint="eastAsia" w:ascii="宋体" w:hAnsi="宋体"/>
          <w:b/>
          <w:color w:val="auto"/>
          <w:sz w:val="24"/>
        </w:rPr>
        <w:br w:type="page"/>
      </w:r>
    </w:p>
    <w:p w14:paraId="7845A00E">
      <w:pPr>
        <w:snapToGrid w:val="0"/>
        <w:spacing w:before="50" w:after="50" w:line="360" w:lineRule="exact"/>
        <w:ind w:right="-817" w:rightChars="-389" w:firstLine="0" w:firstLineChars="0"/>
        <w:rPr>
          <w:rFonts w:hint="eastAsia" w:ascii="宋体" w:hAnsi="宋体"/>
          <w:b/>
          <w:bCs/>
          <w:color w:val="auto"/>
          <w:sz w:val="32"/>
          <w:szCs w:val="32"/>
          <w:highlight w:val="none"/>
        </w:rPr>
      </w:pPr>
    </w:p>
    <w:p w14:paraId="1BF4EE8D">
      <w:pPr>
        <w:snapToGrid w:val="0"/>
        <w:spacing w:before="50" w:after="50" w:line="360" w:lineRule="exact"/>
        <w:ind w:right="-817" w:rightChars="-389" w:firstLine="0" w:firstLineChars="0"/>
        <w:rPr>
          <w:rFonts w:ascii="宋体" w:hAnsi="宋体"/>
          <w:b/>
          <w:bCs/>
          <w:color w:val="auto"/>
          <w:sz w:val="32"/>
          <w:szCs w:val="32"/>
          <w:highlight w:val="none"/>
        </w:rPr>
      </w:pPr>
      <w:r>
        <w:rPr>
          <w:rFonts w:hint="eastAsia" w:ascii="宋体" w:hAnsi="宋体"/>
          <w:b/>
          <w:bCs/>
          <w:color w:val="auto"/>
          <w:sz w:val="32"/>
          <w:szCs w:val="32"/>
          <w:highlight w:val="none"/>
        </w:rPr>
        <w:t>三、报价文件</w:t>
      </w:r>
    </w:p>
    <w:p w14:paraId="04BBE96D">
      <w:pPr>
        <w:ind w:firstLine="0" w:firstLineChars="0"/>
        <w:rPr>
          <w:rFonts w:hint="eastAsia" w:ascii="宋体" w:hAnsi="宋体"/>
          <w:color w:val="auto"/>
          <w:highlight w:val="none"/>
        </w:rPr>
      </w:pPr>
    </w:p>
    <w:p w14:paraId="7538725E">
      <w:pPr>
        <w:snapToGrid w:val="0"/>
        <w:spacing w:before="50" w:after="50" w:line="360" w:lineRule="exact"/>
        <w:ind w:firstLine="0" w:firstLineChars="0"/>
        <w:jc w:val="center"/>
        <w:rPr>
          <w:rFonts w:hint="eastAsia" w:ascii="宋体" w:hAnsi="宋体"/>
          <w:b/>
          <w:color w:val="auto"/>
          <w:sz w:val="28"/>
          <w:szCs w:val="28"/>
          <w:highlight w:val="none"/>
        </w:rPr>
      </w:pPr>
      <w:r>
        <w:rPr>
          <w:rFonts w:hint="eastAsia" w:ascii="宋体" w:hAnsi="宋体"/>
          <w:b/>
          <w:color w:val="auto"/>
          <w:sz w:val="32"/>
          <w:szCs w:val="32"/>
          <w:highlight w:val="none"/>
        </w:rPr>
        <w:t>开标一览表</w:t>
      </w:r>
      <w:bookmarkStart w:id="224" w:name="_Hlk111729075"/>
      <w:r>
        <w:rPr>
          <w:rFonts w:hint="eastAsia" w:ascii="宋体" w:hAnsi="宋体"/>
          <w:bCs/>
          <w:color w:val="auto"/>
          <w:sz w:val="24"/>
          <w:highlight w:val="none"/>
        </w:rPr>
        <w:t>(格式)</w:t>
      </w:r>
      <w:bookmarkEnd w:id="224"/>
    </w:p>
    <w:p w14:paraId="47848792">
      <w:pPr>
        <w:snapToGrid w:val="0"/>
        <w:spacing w:before="50" w:after="50"/>
        <w:ind w:firstLine="420"/>
        <w:rPr>
          <w:rFonts w:hint="eastAsia" w:ascii="宋体" w:hAnsi="宋体"/>
          <w:color w:val="auto"/>
          <w:szCs w:val="21"/>
          <w:highlight w:val="none"/>
        </w:rPr>
      </w:pPr>
    </w:p>
    <w:p w14:paraId="656F0175">
      <w:pPr>
        <w:snapToGrid w:val="0"/>
        <w:spacing w:before="50" w:after="50"/>
        <w:ind w:firstLine="420"/>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6D959287">
      <w:pPr>
        <w:snapToGrid w:val="0"/>
        <w:spacing w:before="50" w:after="50"/>
        <w:ind w:firstLine="0" w:firstLineChars="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bl>
      <w:tblPr>
        <w:tblStyle w:val="51"/>
        <w:tblW w:w="87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1"/>
        <w:gridCol w:w="2974"/>
        <w:gridCol w:w="1860"/>
        <w:gridCol w:w="1611"/>
        <w:gridCol w:w="1564"/>
      </w:tblGrid>
      <w:tr w14:paraId="20D4D9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53D49F68">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jc w:val="center"/>
              <w:textAlignment w:val="auto"/>
              <w:rPr>
                <w:rFonts w:ascii="宋体" w:hAnsi="宋体"/>
                <w:b/>
                <w:color w:val="auto"/>
                <w:sz w:val="24"/>
              </w:rPr>
            </w:pPr>
            <w:r>
              <w:rPr>
                <w:rFonts w:hint="eastAsia" w:ascii="宋体" w:hAnsi="宋体"/>
                <w:b/>
                <w:color w:val="auto"/>
                <w:sz w:val="24"/>
              </w:rPr>
              <w:t>序号</w:t>
            </w:r>
          </w:p>
        </w:tc>
        <w:tc>
          <w:tcPr>
            <w:tcW w:w="2974" w:type="dxa"/>
            <w:tcBorders>
              <w:top w:val="single" w:color="auto" w:sz="4" w:space="0"/>
              <w:left w:val="single" w:color="auto" w:sz="4" w:space="0"/>
              <w:bottom w:val="single" w:color="auto" w:sz="4" w:space="0"/>
              <w:right w:val="single" w:color="auto" w:sz="4" w:space="0"/>
            </w:tcBorders>
            <w:vAlign w:val="center"/>
          </w:tcPr>
          <w:p w14:paraId="632974FE">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jc w:val="center"/>
              <w:textAlignment w:val="auto"/>
              <w:rPr>
                <w:rFonts w:ascii="宋体" w:hAnsi="宋体"/>
                <w:b/>
                <w:color w:val="auto"/>
                <w:sz w:val="24"/>
              </w:rPr>
            </w:pPr>
            <w:r>
              <w:rPr>
                <w:rFonts w:hint="eastAsia" w:ascii="宋体" w:hAnsi="宋体"/>
                <w:b/>
                <w:color w:val="auto"/>
                <w:sz w:val="24"/>
              </w:rPr>
              <w:t>标的的名称</w:t>
            </w:r>
          </w:p>
        </w:tc>
        <w:tc>
          <w:tcPr>
            <w:tcW w:w="1860" w:type="dxa"/>
            <w:tcBorders>
              <w:top w:val="single" w:color="auto" w:sz="4" w:space="0"/>
              <w:left w:val="single" w:color="auto" w:sz="4" w:space="0"/>
              <w:bottom w:val="single" w:color="auto" w:sz="4" w:space="0"/>
              <w:right w:val="single" w:color="auto" w:sz="4" w:space="0"/>
            </w:tcBorders>
            <w:vAlign w:val="center"/>
          </w:tcPr>
          <w:p w14:paraId="5AB63D26">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jc w:val="center"/>
              <w:textAlignment w:val="auto"/>
              <w:rPr>
                <w:rFonts w:ascii="宋体" w:hAnsi="宋体"/>
                <w:b/>
                <w:color w:val="auto"/>
                <w:sz w:val="24"/>
              </w:rPr>
            </w:pPr>
            <w:r>
              <w:rPr>
                <w:rFonts w:hint="eastAsia" w:ascii="宋体" w:hAnsi="宋体"/>
                <w:b/>
                <w:color w:val="auto"/>
                <w:sz w:val="24"/>
              </w:rPr>
              <w:t>数量及单位①</w:t>
            </w:r>
          </w:p>
        </w:tc>
        <w:tc>
          <w:tcPr>
            <w:tcW w:w="1611" w:type="dxa"/>
            <w:tcBorders>
              <w:top w:val="single" w:color="auto" w:sz="4" w:space="0"/>
              <w:left w:val="single" w:color="auto" w:sz="4" w:space="0"/>
              <w:bottom w:val="single" w:color="auto" w:sz="4" w:space="0"/>
              <w:right w:val="single" w:color="auto" w:sz="4" w:space="0"/>
            </w:tcBorders>
            <w:vAlign w:val="center"/>
          </w:tcPr>
          <w:p w14:paraId="2A168F60">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jc w:val="center"/>
              <w:textAlignment w:val="auto"/>
              <w:rPr>
                <w:rFonts w:ascii="宋体" w:hAnsi="宋体"/>
                <w:b/>
                <w:color w:val="auto"/>
                <w:sz w:val="24"/>
              </w:rPr>
            </w:pPr>
            <w:r>
              <w:rPr>
                <w:rFonts w:hint="eastAsia" w:ascii="宋体" w:hAnsi="宋体"/>
                <w:b/>
                <w:color w:val="auto"/>
                <w:sz w:val="24"/>
              </w:rPr>
              <w:t>单价②</w:t>
            </w:r>
          </w:p>
        </w:tc>
        <w:tc>
          <w:tcPr>
            <w:tcW w:w="1564" w:type="dxa"/>
            <w:tcBorders>
              <w:top w:val="single" w:color="auto" w:sz="4" w:space="0"/>
              <w:left w:val="single" w:color="auto" w:sz="4" w:space="0"/>
              <w:bottom w:val="single" w:color="auto" w:sz="4" w:space="0"/>
              <w:right w:val="single" w:color="auto" w:sz="4" w:space="0"/>
            </w:tcBorders>
            <w:vAlign w:val="center"/>
          </w:tcPr>
          <w:p w14:paraId="03BF455E">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jc w:val="center"/>
              <w:textAlignment w:val="auto"/>
              <w:rPr>
                <w:rFonts w:ascii="宋体" w:hAnsi="宋体"/>
                <w:b/>
                <w:color w:val="auto"/>
                <w:sz w:val="24"/>
              </w:rPr>
            </w:pPr>
            <w:r>
              <w:rPr>
                <w:rFonts w:hint="eastAsia" w:ascii="宋体" w:hAnsi="宋体"/>
                <w:b/>
                <w:color w:val="auto"/>
                <w:sz w:val="24"/>
              </w:rPr>
              <w:t>投标报价</w:t>
            </w:r>
          </w:p>
          <w:p w14:paraId="0CF9E5A3">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jc w:val="center"/>
              <w:textAlignment w:val="auto"/>
              <w:rPr>
                <w:rFonts w:ascii="宋体" w:hAnsi="宋体"/>
                <w:b/>
                <w:color w:val="auto"/>
                <w:sz w:val="24"/>
              </w:rPr>
            </w:pPr>
            <w:r>
              <w:rPr>
                <w:rFonts w:ascii="宋体" w:hAnsi="宋体"/>
                <w:b/>
                <w:color w:val="auto"/>
                <w:sz w:val="24"/>
              </w:rPr>
              <w:t>③</w:t>
            </w:r>
            <w:r>
              <w:rPr>
                <w:rFonts w:hint="eastAsia" w:ascii="宋体" w:hAnsi="宋体"/>
                <w:b/>
                <w:color w:val="auto"/>
                <w:sz w:val="24"/>
              </w:rPr>
              <w:t>=①×②</w:t>
            </w:r>
          </w:p>
        </w:tc>
      </w:tr>
      <w:tr w14:paraId="3D851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6C177E9F">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jc w:val="center"/>
              <w:textAlignment w:val="auto"/>
              <w:rPr>
                <w:rFonts w:ascii="宋体" w:hAnsi="宋体"/>
                <w:b/>
                <w:color w:val="auto"/>
                <w:sz w:val="24"/>
              </w:rPr>
            </w:pPr>
            <w:r>
              <w:rPr>
                <w:rFonts w:hint="eastAsia" w:ascii="宋体" w:hAnsi="宋体"/>
                <w:b/>
                <w:color w:val="auto"/>
                <w:sz w:val="24"/>
              </w:rPr>
              <w:t>1</w:t>
            </w:r>
          </w:p>
        </w:tc>
        <w:tc>
          <w:tcPr>
            <w:tcW w:w="2974" w:type="dxa"/>
            <w:tcBorders>
              <w:top w:val="single" w:color="auto" w:sz="4" w:space="0"/>
              <w:left w:val="single" w:color="auto" w:sz="4" w:space="0"/>
              <w:bottom w:val="single" w:color="auto" w:sz="4" w:space="0"/>
              <w:right w:val="single" w:color="auto" w:sz="4" w:space="0"/>
            </w:tcBorders>
            <w:vAlign w:val="center"/>
          </w:tcPr>
          <w:p w14:paraId="2E1B99C4">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jc w:val="center"/>
              <w:textAlignment w:val="auto"/>
              <w:rPr>
                <w:rFonts w:ascii="宋体" w:hAnsi="宋体"/>
                <w:color w:val="auto"/>
                <w:sz w:val="24"/>
              </w:rPr>
            </w:pPr>
            <w:r>
              <w:rPr>
                <w:rFonts w:hint="eastAsia" w:ascii="宋体" w:hAnsi="宋体"/>
                <w:b/>
                <w:color w:val="auto"/>
                <w:sz w:val="24"/>
              </w:rPr>
              <w:t>...</w:t>
            </w:r>
          </w:p>
        </w:tc>
        <w:tc>
          <w:tcPr>
            <w:tcW w:w="1860" w:type="dxa"/>
            <w:tcBorders>
              <w:top w:val="single" w:color="auto" w:sz="4" w:space="0"/>
              <w:left w:val="single" w:color="auto" w:sz="4" w:space="0"/>
              <w:bottom w:val="single" w:color="auto" w:sz="4" w:space="0"/>
              <w:right w:val="single" w:color="auto" w:sz="4" w:space="0"/>
            </w:tcBorders>
            <w:vAlign w:val="center"/>
          </w:tcPr>
          <w:p w14:paraId="6ACDCF83">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jc w:val="center"/>
              <w:textAlignment w:val="auto"/>
              <w:rPr>
                <w:rFonts w:ascii="宋体" w:hAnsi="宋体"/>
                <w:color w:val="auto"/>
                <w:sz w:val="24"/>
              </w:rPr>
            </w:pPr>
          </w:p>
        </w:tc>
        <w:tc>
          <w:tcPr>
            <w:tcW w:w="1611" w:type="dxa"/>
            <w:tcBorders>
              <w:top w:val="single" w:color="auto" w:sz="4" w:space="0"/>
              <w:left w:val="single" w:color="auto" w:sz="4" w:space="0"/>
              <w:bottom w:val="single" w:color="auto" w:sz="4" w:space="0"/>
              <w:right w:val="single" w:color="auto" w:sz="4" w:space="0"/>
            </w:tcBorders>
            <w:vAlign w:val="center"/>
          </w:tcPr>
          <w:p w14:paraId="62825122">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textAlignment w:val="auto"/>
              <w:rPr>
                <w:rFonts w:ascii="宋体" w:hAnsi="宋体"/>
                <w:color w:val="auto"/>
                <w:sz w:val="24"/>
              </w:rPr>
            </w:pPr>
          </w:p>
        </w:tc>
        <w:tc>
          <w:tcPr>
            <w:tcW w:w="1564" w:type="dxa"/>
            <w:tcBorders>
              <w:top w:val="single" w:color="auto" w:sz="4" w:space="0"/>
              <w:left w:val="single" w:color="auto" w:sz="4" w:space="0"/>
              <w:bottom w:val="single" w:color="auto" w:sz="4" w:space="0"/>
              <w:right w:val="single" w:color="auto" w:sz="4" w:space="0"/>
            </w:tcBorders>
            <w:vAlign w:val="center"/>
          </w:tcPr>
          <w:p w14:paraId="15ADC015">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textAlignment w:val="auto"/>
              <w:rPr>
                <w:rFonts w:ascii="宋体" w:hAnsi="宋体"/>
                <w:color w:val="auto"/>
                <w:sz w:val="24"/>
              </w:rPr>
            </w:pPr>
          </w:p>
        </w:tc>
      </w:tr>
      <w:tr w14:paraId="1E073C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60B03E7B">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jc w:val="center"/>
              <w:textAlignment w:val="auto"/>
              <w:rPr>
                <w:rFonts w:ascii="宋体" w:hAnsi="宋体"/>
                <w:b/>
                <w:color w:val="auto"/>
                <w:sz w:val="24"/>
              </w:rPr>
            </w:pPr>
            <w:r>
              <w:rPr>
                <w:rFonts w:hint="eastAsia" w:ascii="宋体" w:hAnsi="宋体"/>
                <w:b/>
                <w:color w:val="auto"/>
                <w:sz w:val="24"/>
              </w:rPr>
              <w:t>2</w:t>
            </w:r>
          </w:p>
        </w:tc>
        <w:tc>
          <w:tcPr>
            <w:tcW w:w="2974" w:type="dxa"/>
            <w:tcBorders>
              <w:top w:val="single" w:color="auto" w:sz="4" w:space="0"/>
              <w:left w:val="single" w:color="auto" w:sz="4" w:space="0"/>
              <w:bottom w:val="single" w:color="auto" w:sz="4" w:space="0"/>
              <w:right w:val="single" w:color="auto" w:sz="4" w:space="0"/>
            </w:tcBorders>
            <w:vAlign w:val="center"/>
          </w:tcPr>
          <w:p w14:paraId="1F1D10B8">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jc w:val="center"/>
              <w:textAlignment w:val="auto"/>
              <w:rPr>
                <w:rFonts w:ascii="宋体" w:hAnsi="宋体"/>
                <w:color w:val="auto"/>
                <w:sz w:val="24"/>
              </w:rPr>
            </w:pPr>
            <w:r>
              <w:rPr>
                <w:rFonts w:hint="eastAsia" w:ascii="宋体" w:hAnsi="宋体"/>
                <w:b/>
                <w:color w:val="auto"/>
                <w:sz w:val="24"/>
              </w:rPr>
              <w:t>...</w:t>
            </w:r>
          </w:p>
        </w:tc>
        <w:tc>
          <w:tcPr>
            <w:tcW w:w="1860" w:type="dxa"/>
            <w:tcBorders>
              <w:top w:val="single" w:color="auto" w:sz="4" w:space="0"/>
              <w:left w:val="single" w:color="auto" w:sz="4" w:space="0"/>
              <w:bottom w:val="single" w:color="auto" w:sz="4" w:space="0"/>
              <w:right w:val="single" w:color="auto" w:sz="4" w:space="0"/>
            </w:tcBorders>
            <w:vAlign w:val="center"/>
          </w:tcPr>
          <w:p w14:paraId="468DCB23">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textAlignment w:val="auto"/>
              <w:rPr>
                <w:rFonts w:ascii="宋体" w:hAnsi="宋体"/>
                <w:color w:val="auto"/>
                <w:sz w:val="24"/>
              </w:rPr>
            </w:pPr>
          </w:p>
        </w:tc>
        <w:tc>
          <w:tcPr>
            <w:tcW w:w="1611" w:type="dxa"/>
            <w:tcBorders>
              <w:top w:val="single" w:color="auto" w:sz="4" w:space="0"/>
              <w:left w:val="single" w:color="auto" w:sz="4" w:space="0"/>
              <w:bottom w:val="single" w:color="auto" w:sz="4" w:space="0"/>
              <w:right w:val="single" w:color="auto" w:sz="4" w:space="0"/>
            </w:tcBorders>
            <w:vAlign w:val="center"/>
          </w:tcPr>
          <w:p w14:paraId="1A0732A2">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textAlignment w:val="auto"/>
              <w:rPr>
                <w:rFonts w:ascii="宋体" w:hAnsi="宋体"/>
                <w:color w:val="auto"/>
                <w:sz w:val="24"/>
              </w:rPr>
            </w:pPr>
          </w:p>
        </w:tc>
        <w:tc>
          <w:tcPr>
            <w:tcW w:w="1564" w:type="dxa"/>
            <w:tcBorders>
              <w:top w:val="single" w:color="auto" w:sz="4" w:space="0"/>
              <w:left w:val="single" w:color="auto" w:sz="4" w:space="0"/>
              <w:bottom w:val="single" w:color="auto" w:sz="4" w:space="0"/>
              <w:right w:val="single" w:color="auto" w:sz="4" w:space="0"/>
            </w:tcBorders>
            <w:vAlign w:val="center"/>
          </w:tcPr>
          <w:p w14:paraId="23BE3DC6">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textAlignment w:val="auto"/>
              <w:rPr>
                <w:rFonts w:ascii="宋体" w:hAnsi="宋体"/>
                <w:color w:val="auto"/>
                <w:sz w:val="24"/>
              </w:rPr>
            </w:pPr>
          </w:p>
        </w:tc>
      </w:tr>
      <w:tr w14:paraId="0C7904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7317702E">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jc w:val="center"/>
              <w:textAlignment w:val="auto"/>
              <w:rPr>
                <w:rFonts w:ascii="宋体" w:hAnsi="宋体"/>
                <w:b/>
                <w:color w:val="auto"/>
                <w:sz w:val="24"/>
              </w:rPr>
            </w:pPr>
            <w:r>
              <w:rPr>
                <w:rFonts w:hint="eastAsia" w:ascii="宋体" w:hAnsi="宋体"/>
                <w:b/>
                <w:color w:val="auto"/>
                <w:sz w:val="24"/>
              </w:rPr>
              <w:t>……</w:t>
            </w:r>
          </w:p>
        </w:tc>
        <w:tc>
          <w:tcPr>
            <w:tcW w:w="2974" w:type="dxa"/>
            <w:tcBorders>
              <w:top w:val="single" w:color="auto" w:sz="4" w:space="0"/>
              <w:left w:val="single" w:color="auto" w:sz="4" w:space="0"/>
              <w:bottom w:val="single" w:color="auto" w:sz="4" w:space="0"/>
              <w:right w:val="single" w:color="auto" w:sz="4" w:space="0"/>
            </w:tcBorders>
            <w:vAlign w:val="center"/>
          </w:tcPr>
          <w:p w14:paraId="3D9F01F7">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jc w:val="center"/>
              <w:textAlignment w:val="auto"/>
              <w:rPr>
                <w:rFonts w:ascii="宋体" w:hAnsi="宋体"/>
                <w:color w:val="auto"/>
                <w:sz w:val="24"/>
              </w:rPr>
            </w:pPr>
            <w:r>
              <w:rPr>
                <w:rFonts w:hint="eastAsia" w:ascii="宋体" w:hAnsi="宋体"/>
                <w:b/>
                <w:color w:val="auto"/>
                <w:sz w:val="24"/>
              </w:rPr>
              <w:t>……</w:t>
            </w:r>
          </w:p>
        </w:tc>
        <w:tc>
          <w:tcPr>
            <w:tcW w:w="1860" w:type="dxa"/>
            <w:tcBorders>
              <w:top w:val="single" w:color="auto" w:sz="4" w:space="0"/>
              <w:left w:val="single" w:color="auto" w:sz="4" w:space="0"/>
              <w:bottom w:val="single" w:color="auto" w:sz="4" w:space="0"/>
              <w:right w:val="single" w:color="auto" w:sz="4" w:space="0"/>
            </w:tcBorders>
            <w:vAlign w:val="center"/>
          </w:tcPr>
          <w:p w14:paraId="559CC728">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textAlignment w:val="auto"/>
              <w:rPr>
                <w:rFonts w:ascii="宋体" w:hAnsi="宋体"/>
                <w:color w:val="auto"/>
                <w:sz w:val="24"/>
              </w:rPr>
            </w:pPr>
          </w:p>
        </w:tc>
        <w:tc>
          <w:tcPr>
            <w:tcW w:w="1611" w:type="dxa"/>
            <w:tcBorders>
              <w:top w:val="single" w:color="auto" w:sz="4" w:space="0"/>
              <w:left w:val="single" w:color="auto" w:sz="4" w:space="0"/>
              <w:bottom w:val="single" w:color="auto" w:sz="4" w:space="0"/>
              <w:right w:val="single" w:color="auto" w:sz="4" w:space="0"/>
            </w:tcBorders>
            <w:vAlign w:val="center"/>
          </w:tcPr>
          <w:p w14:paraId="2D39B88E">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textAlignment w:val="auto"/>
              <w:rPr>
                <w:rFonts w:ascii="宋体" w:hAnsi="宋体"/>
                <w:color w:val="auto"/>
                <w:sz w:val="24"/>
              </w:rPr>
            </w:pPr>
          </w:p>
        </w:tc>
        <w:tc>
          <w:tcPr>
            <w:tcW w:w="1564" w:type="dxa"/>
            <w:tcBorders>
              <w:top w:val="single" w:color="auto" w:sz="4" w:space="0"/>
              <w:left w:val="single" w:color="auto" w:sz="4" w:space="0"/>
              <w:bottom w:val="single" w:color="auto" w:sz="4" w:space="0"/>
              <w:right w:val="single" w:color="auto" w:sz="4" w:space="0"/>
            </w:tcBorders>
            <w:vAlign w:val="center"/>
          </w:tcPr>
          <w:p w14:paraId="26893614">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textAlignment w:val="auto"/>
              <w:rPr>
                <w:rFonts w:ascii="宋体" w:hAnsi="宋体"/>
                <w:color w:val="auto"/>
                <w:sz w:val="24"/>
              </w:rPr>
            </w:pPr>
          </w:p>
        </w:tc>
      </w:tr>
      <w:tr w14:paraId="6971C8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8720" w:type="dxa"/>
            <w:gridSpan w:val="5"/>
            <w:tcBorders>
              <w:top w:val="single" w:color="auto" w:sz="4" w:space="0"/>
              <w:left w:val="single" w:color="auto" w:sz="4" w:space="0"/>
              <w:bottom w:val="single" w:color="auto" w:sz="4" w:space="0"/>
              <w:right w:val="single" w:color="auto" w:sz="4" w:space="0"/>
            </w:tcBorders>
            <w:vAlign w:val="center"/>
          </w:tcPr>
          <w:p w14:paraId="370C9EEF">
            <w:pPr>
              <w:snapToGrid w:val="0"/>
              <w:spacing w:before="50" w:after="50" w:line="360" w:lineRule="auto"/>
              <w:rPr>
                <w:rFonts w:ascii="宋体" w:hAnsi="宋体"/>
                <w:color w:val="auto"/>
                <w:sz w:val="24"/>
              </w:rPr>
            </w:pPr>
            <w:r>
              <w:rPr>
                <w:rFonts w:hint="eastAsia" w:ascii="宋体" w:hAnsi="宋体" w:cs="仿宋_GB2312"/>
                <w:color w:val="auto"/>
                <w:sz w:val="24"/>
              </w:rPr>
              <w:t>合计金额大写：人民币</w:t>
            </w:r>
            <w:r>
              <w:rPr>
                <w:rFonts w:hint="eastAsia" w:ascii="宋体" w:hAnsi="宋体" w:cs="仿宋_GB2312"/>
                <w:color w:val="auto"/>
                <w:sz w:val="24"/>
                <w:u w:val="single"/>
              </w:rPr>
              <w:t xml:space="preserve">           </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rPr>
              <w:t>）</w:t>
            </w:r>
          </w:p>
        </w:tc>
      </w:tr>
    </w:tbl>
    <w:p w14:paraId="6063A7E2">
      <w:pPr>
        <w:snapToGrid w:val="0"/>
        <w:spacing w:before="50" w:after="50" w:line="350" w:lineRule="exact"/>
        <w:ind w:right="-817" w:rightChars="-389" w:firstLine="0" w:firstLineChars="0"/>
        <w:rPr>
          <w:rFonts w:ascii="宋体" w:hAnsi="宋体"/>
          <w:color w:val="auto"/>
          <w:szCs w:val="21"/>
          <w:highlight w:val="none"/>
        </w:rPr>
      </w:pPr>
    </w:p>
    <w:p w14:paraId="031D9E93">
      <w:pPr>
        <w:snapToGrid w:val="0"/>
        <w:spacing w:before="50" w:after="50" w:line="350" w:lineRule="exact"/>
        <w:ind w:right="-817" w:rightChars="-389" w:firstLine="0" w:firstLineChars="0"/>
        <w:rPr>
          <w:rFonts w:hint="eastAsia" w:ascii="宋体" w:hAnsi="宋体"/>
          <w:color w:val="auto"/>
          <w:szCs w:val="21"/>
          <w:highlight w:val="none"/>
        </w:rPr>
      </w:pPr>
    </w:p>
    <w:p w14:paraId="221DC6E0">
      <w:pPr>
        <w:snapToGrid w:val="0"/>
        <w:spacing w:before="50" w:after="50" w:line="350" w:lineRule="exact"/>
        <w:ind w:left="-2" w:leftChars="-1" w:right="-817" w:rightChars="-389" w:firstLine="4095" w:firstLineChars="195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负责人</w:t>
      </w:r>
      <w:r>
        <w:rPr>
          <w:rFonts w:hint="eastAsia" w:ascii="宋体" w:hAnsi="宋体"/>
          <w:color w:val="auto"/>
          <w:szCs w:val="21"/>
          <w:highlight w:val="none"/>
          <w:lang w:eastAsia="zh-CN"/>
        </w:rPr>
        <w:t>）</w:t>
      </w:r>
      <w:r>
        <w:rPr>
          <w:rFonts w:hint="eastAsia" w:ascii="宋体" w:hAnsi="宋体"/>
          <w:color w:val="auto"/>
          <w:szCs w:val="21"/>
          <w:highlight w:val="none"/>
        </w:rPr>
        <w:t>或授权代表(签名)：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335204C5">
      <w:pPr>
        <w:snapToGrid w:val="0"/>
        <w:spacing w:before="50" w:after="50" w:line="350" w:lineRule="exact"/>
        <w:ind w:right="-817" w:rightChars="-389" w:firstLine="3465" w:firstLineChars="165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投标人(盖章)：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6E2E51C2">
      <w:pPr>
        <w:snapToGrid w:val="0"/>
        <w:spacing w:before="50" w:after="50" w:line="350" w:lineRule="exact"/>
        <w:ind w:right="-817" w:rightChars="-389" w:firstLine="3255" w:firstLineChars="1550"/>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9CE4F6C">
      <w:pPr>
        <w:ind w:firstLine="0" w:firstLineChars="0"/>
        <w:jc w:val="both"/>
        <w:rPr>
          <w:rFonts w:hint="eastAsia" w:ascii="宋体" w:hAnsi="宋体"/>
          <w:color w:val="auto"/>
          <w:szCs w:val="21"/>
          <w:highlight w:val="none"/>
        </w:rPr>
      </w:pPr>
    </w:p>
    <w:p w14:paraId="16906FEA">
      <w:pPr>
        <w:ind w:firstLine="0" w:firstLineChars="0"/>
        <w:jc w:val="both"/>
        <w:rPr>
          <w:rFonts w:hint="eastAsia" w:ascii="宋体" w:hAnsi="宋体"/>
          <w:color w:val="auto"/>
          <w:szCs w:val="21"/>
          <w:highlight w:val="none"/>
        </w:rPr>
      </w:pPr>
    </w:p>
    <w:p w14:paraId="549B6C72">
      <w:pPr>
        <w:ind w:firstLine="0" w:firstLineChars="0"/>
        <w:jc w:val="both"/>
        <w:rPr>
          <w:rFonts w:hint="eastAsia" w:ascii="宋体" w:hAnsi="宋体"/>
          <w:color w:val="auto"/>
          <w:szCs w:val="21"/>
          <w:highlight w:val="none"/>
        </w:rPr>
      </w:pPr>
    </w:p>
    <w:p w14:paraId="0EC8DB45">
      <w:pPr>
        <w:ind w:firstLine="0" w:firstLineChars="0"/>
        <w:jc w:val="both"/>
        <w:rPr>
          <w:rFonts w:hint="eastAsia" w:ascii="宋体" w:hAnsi="宋体"/>
          <w:color w:val="auto"/>
          <w:szCs w:val="21"/>
          <w:highlight w:val="none"/>
        </w:rPr>
      </w:pPr>
    </w:p>
    <w:p w14:paraId="568C9EE5">
      <w:pPr>
        <w:ind w:firstLine="0" w:firstLineChars="0"/>
        <w:jc w:val="both"/>
        <w:rPr>
          <w:rFonts w:hint="eastAsia" w:ascii="宋体" w:hAnsi="宋体"/>
          <w:color w:val="auto"/>
          <w:szCs w:val="21"/>
          <w:highlight w:val="none"/>
        </w:rPr>
      </w:pPr>
    </w:p>
    <w:p w14:paraId="54E978D2">
      <w:pPr>
        <w:ind w:firstLine="0" w:firstLineChars="0"/>
        <w:jc w:val="both"/>
        <w:rPr>
          <w:rFonts w:hint="eastAsia" w:ascii="宋体" w:hAnsi="宋体"/>
          <w:color w:val="auto"/>
          <w:szCs w:val="21"/>
          <w:highlight w:val="none"/>
        </w:rPr>
      </w:pPr>
    </w:p>
    <w:p w14:paraId="4C60B70F">
      <w:pPr>
        <w:ind w:firstLine="0" w:firstLineChars="0"/>
        <w:jc w:val="both"/>
        <w:rPr>
          <w:rFonts w:hint="eastAsia" w:ascii="宋体" w:hAnsi="宋体"/>
          <w:color w:val="auto"/>
          <w:szCs w:val="21"/>
          <w:highlight w:val="none"/>
        </w:rPr>
      </w:pPr>
    </w:p>
    <w:p w14:paraId="57E532CB">
      <w:pPr>
        <w:ind w:firstLine="0" w:firstLineChars="0"/>
        <w:jc w:val="both"/>
        <w:rPr>
          <w:rFonts w:hint="eastAsia" w:ascii="宋体" w:hAnsi="宋体"/>
          <w:color w:val="auto"/>
          <w:szCs w:val="21"/>
          <w:highlight w:val="none"/>
        </w:rPr>
      </w:pPr>
    </w:p>
    <w:p w14:paraId="17B1A671">
      <w:pPr>
        <w:ind w:firstLine="0" w:firstLineChars="0"/>
        <w:jc w:val="both"/>
        <w:rPr>
          <w:rFonts w:hint="eastAsia" w:ascii="宋体" w:hAnsi="宋体"/>
          <w:color w:val="auto"/>
          <w:szCs w:val="21"/>
          <w:highlight w:val="none"/>
        </w:rPr>
      </w:pPr>
    </w:p>
    <w:p w14:paraId="4A87E86B">
      <w:pPr>
        <w:ind w:firstLine="0" w:firstLineChars="0"/>
        <w:jc w:val="both"/>
        <w:rPr>
          <w:rFonts w:hint="eastAsia" w:ascii="宋体" w:hAnsi="宋体"/>
          <w:color w:val="auto"/>
          <w:szCs w:val="21"/>
          <w:highlight w:val="none"/>
        </w:rPr>
      </w:pPr>
    </w:p>
    <w:p w14:paraId="734DC6D4">
      <w:pPr>
        <w:ind w:firstLine="0" w:firstLineChars="0"/>
        <w:jc w:val="both"/>
        <w:rPr>
          <w:rFonts w:hint="eastAsia" w:ascii="宋体" w:hAnsi="宋体"/>
          <w:color w:val="auto"/>
          <w:szCs w:val="21"/>
          <w:highlight w:val="none"/>
        </w:rPr>
      </w:pPr>
    </w:p>
    <w:p w14:paraId="350F5AD1">
      <w:pPr>
        <w:ind w:firstLine="0" w:firstLineChars="0"/>
        <w:jc w:val="both"/>
        <w:rPr>
          <w:rFonts w:hint="eastAsia" w:ascii="宋体" w:hAnsi="宋体"/>
          <w:color w:val="auto"/>
          <w:szCs w:val="21"/>
          <w:highlight w:val="none"/>
        </w:rPr>
      </w:pPr>
    </w:p>
    <w:p w14:paraId="3D59CCAD">
      <w:pPr>
        <w:ind w:firstLine="0" w:firstLineChars="0"/>
        <w:jc w:val="both"/>
        <w:rPr>
          <w:rFonts w:hint="eastAsia" w:ascii="宋体" w:hAnsi="宋体"/>
          <w:color w:val="auto"/>
          <w:szCs w:val="21"/>
          <w:highlight w:val="none"/>
        </w:rPr>
      </w:pPr>
    </w:p>
    <w:p w14:paraId="74EF2545">
      <w:pPr>
        <w:rPr>
          <w:rFonts w:hint="eastAsia" w:ascii="宋体" w:hAnsi="宋体"/>
          <w:color w:val="auto"/>
          <w:szCs w:val="21"/>
          <w:highlight w:val="none"/>
        </w:rPr>
      </w:pPr>
      <w:bookmarkStart w:id="225" w:name="_Toc19686840"/>
      <w:r>
        <w:rPr>
          <w:rFonts w:hint="eastAsia"/>
          <w:b/>
          <w:color w:val="auto"/>
          <w:sz w:val="28"/>
          <w:szCs w:val="28"/>
        </w:rPr>
        <w:t>四、其他文件</w:t>
      </w:r>
      <w:bookmarkEnd w:id="225"/>
    </w:p>
    <w:tbl>
      <w:tblPr>
        <w:tblStyle w:val="51"/>
        <w:tblW w:w="9952" w:type="dxa"/>
        <w:tblInd w:w="150" w:type="dxa"/>
        <w:shd w:val="clear" w:color="auto" w:fill="FFFFFF"/>
        <w:tblLayout w:type="autofit"/>
        <w:tblCellMar>
          <w:top w:w="15" w:type="dxa"/>
          <w:left w:w="15" w:type="dxa"/>
          <w:bottom w:w="15" w:type="dxa"/>
          <w:right w:w="15" w:type="dxa"/>
        </w:tblCellMar>
      </w:tblPr>
      <w:tblGrid>
        <w:gridCol w:w="2132"/>
        <w:gridCol w:w="1415"/>
        <w:gridCol w:w="715"/>
        <w:gridCol w:w="1277"/>
        <w:gridCol w:w="1847"/>
        <w:gridCol w:w="1561"/>
        <w:gridCol w:w="1005"/>
      </w:tblGrid>
      <w:tr w14:paraId="6F290CE7">
        <w:tblPrEx>
          <w:shd w:val="clear" w:color="auto" w:fill="FFFFFF"/>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noWrap w:val="0"/>
            <w:tcMar>
              <w:top w:w="30" w:type="dxa"/>
              <w:left w:w="150" w:type="dxa"/>
              <w:bottom w:w="30" w:type="dxa"/>
              <w:right w:w="150" w:type="dxa"/>
            </w:tcMar>
            <w:vAlign w:val="center"/>
          </w:tcPr>
          <w:p w14:paraId="3232D692">
            <w:pPr>
              <w:spacing w:line="440" w:lineRule="exact"/>
              <w:ind w:firstLine="723"/>
              <w:jc w:val="center"/>
              <w:rPr>
                <w:rFonts w:ascii="仿宋_GB2312" w:hAnsi="宋体" w:eastAsia="仿宋_GB2312" w:cs="Times New Roman"/>
                <w:b/>
                <w:color w:val="auto"/>
                <w:sz w:val="36"/>
                <w:szCs w:val="36"/>
                <w:highlight w:val="none"/>
              </w:rPr>
            </w:pPr>
            <w:r>
              <w:rPr>
                <w:rFonts w:hint="eastAsia" w:ascii="仿宋_GB2312" w:hAnsi="宋体" w:eastAsia="仿宋_GB2312" w:cs="Times New Roman"/>
                <w:b/>
                <w:color w:val="auto"/>
                <w:sz w:val="36"/>
                <w:szCs w:val="36"/>
                <w:highlight w:val="none"/>
              </w:rPr>
              <w:t>中小企业声明函</w:t>
            </w:r>
          </w:p>
          <w:p w14:paraId="01504634">
            <w:pPr>
              <w:spacing w:line="440" w:lineRule="exact"/>
              <w:ind w:firstLine="420"/>
              <w:jc w:val="left"/>
              <w:rPr>
                <w:rFonts w:ascii="Times New Roman" w:hAnsi="宋体" w:eastAsia="宋体" w:cs="Times New Roman"/>
                <w:bCs/>
                <w:color w:val="auto"/>
                <w:szCs w:val="21"/>
                <w:highlight w:val="none"/>
              </w:rPr>
            </w:pPr>
          </w:p>
          <w:p w14:paraId="6C615E64">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本公司郑重声明，根据《政府采购促进中小企业发展管理办法》</w:t>
            </w:r>
            <w:bookmarkStart w:id="226" w:name="_Hlk60836554"/>
            <w:r>
              <w:rPr>
                <w:rFonts w:hint="eastAsia" w:ascii="宋体" w:hAnsi="宋体" w:eastAsia="宋体" w:cs="Times New Roman"/>
                <w:bCs/>
                <w:color w:val="auto"/>
                <w:szCs w:val="21"/>
                <w:highlight w:val="none"/>
              </w:rPr>
              <w:t>（财库﹝2020﹞46号）</w:t>
            </w:r>
            <w:bookmarkEnd w:id="226"/>
            <w:r>
              <w:rPr>
                <w:rFonts w:hint="eastAsia" w:ascii="宋体" w:hAnsi="宋体" w:eastAsia="宋体" w:cs="Times New Roman"/>
                <w:bCs/>
                <w:color w:val="auto"/>
                <w:szCs w:val="21"/>
                <w:highlight w:val="none"/>
              </w:rPr>
              <w:t>的规定，本公司参加（</w:t>
            </w:r>
            <w:r>
              <w:rPr>
                <w:rFonts w:hint="eastAsia" w:ascii="宋体" w:hAnsi="宋体" w:eastAsia="宋体" w:cs="Times New Roman"/>
                <w:bCs/>
                <w:color w:val="auto"/>
                <w:szCs w:val="21"/>
                <w:highlight w:val="none"/>
                <w:u w:val="single"/>
              </w:rPr>
              <w:t>单位名称</w:t>
            </w:r>
            <w:r>
              <w:rPr>
                <w:rFonts w:hint="eastAsia" w:ascii="宋体" w:hAnsi="宋体" w:eastAsia="宋体" w:cs="Times New Roman"/>
                <w:bCs/>
                <w:color w:val="auto"/>
                <w:szCs w:val="21"/>
                <w:highlight w:val="none"/>
              </w:rPr>
              <w:t>）的（</w:t>
            </w:r>
            <w:r>
              <w:rPr>
                <w:rFonts w:hint="eastAsia" w:ascii="宋体" w:hAnsi="宋体" w:eastAsia="宋体" w:cs="Times New Roman"/>
                <w:bCs/>
                <w:color w:val="auto"/>
                <w:szCs w:val="21"/>
                <w:highlight w:val="none"/>
                <w:u w:val="single"/>
              </w:rPr>
              <w:t>项目名称</w:t>
            </w:r>
            <w:r>
              <w:rPr>
                <w:rFonts w:hint="eastAsia" w:ascii="宋体" w:hAnsi="宋体" w:eastAsia="宋体" w:cs="Times New Roman"/>
                <w:bCs/>
                <w:color w:val="auto"/>
                <w:szCs w:val="21"/>
                <w:highlight w:val="none"/>
              </w:rPr>
              <w:t>）采购活动，</w:t>
            </w:r>
            <w:bookmarkStart w:id="227" w:name="_Hlk108682836"/>
            <w:r>
              <w:rPr>
                <w:rFonts w:hint="eastAsia" w:ascii="宋体" w:hAnsi="宋体" w:eastAsia="宋体" w:cs="Times New Roman"/>
                <w:bCs/>
                <w:color w:val="auto"/>
                <w:szCs w:val="21"/>
                <w:highlight w:val="none"/>
              </w:rPr>
              <w:t>服务全部由符合政策要求的中小企业承接</w:t>
            </w:r>
            <w:bookmarkEnd w:id="227"/>
            <w:r>
              <w:rPr>
                <w:rFonts w:hint="eastAsia" w:ascii="宋体" w:hAnsi="宋体" w:eastAsia="宋体" w:cs="Times New Roman"/>
                <w:bCs/>
                <w:color w:val="auto"/>
                <w:szCs w:val="21"/>
                <w:highlight w:val="none"/>
              </w:rPr>
              <w:t>。相关企业的具体情况如下：</w:t>
            </w:r>
          </w:p>
          <w:p w14:paraId="0E0322CD">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bookmarkStart w:id="228" w:name="_Hlk60836996"/>
            <w:r>
              <w:rPr>
                <w:rFonts w:hint="eastAsia" w:ascii="宋体" w:hAnsi="宋体" w:eastAsia="宋体" w:cs="Times New Roman"/>
                <w:bCs/>
                <w:color w:val="auto"/>
                <w:szCs w:val="21"/>
                <w:highlight w:val="none"/>
              </w:rPr>
              <w:t>（</w:t>
            </w:r>
            <w:r>
              <w:rPr>
                <w:rFonts w:hint="eastAsia" w:ascii="宋体" w:hAnsi="宋体" w:eastAsia="宋体" w:cs="Times New Roman"/>
                <w:bCs/>
                <w:color w:val="auto"/>
                <w:szCs w:val="21"/>
                <w:highlight w:val="none"/>
                <w:u w:val="single"/>
              </w:rPr>
              <w:t>标的名称</w:t>
            </w:r>
            <w:r>
              <w:rPr>
                <w:rFonts w:hint="eastAsia" w:ascii="宋体" w:hAnsi="宋体" w:eastAsia="宋体" w:cs="Times New Roman"/>
                <w:bCs/>
                <w:color w:val="auto"/>
                <w:szCs w:val="21"/>
                <w:highlight w:val="none"/>
              </w:rPr>
              <w:t>），属于（</w:t>
            </w:r>
            <w:r>
              <w:rPr>
                <w:rFonts w:hint="eastAsia" w:ascii="宋体" w:hAnsi="宋体" w:eastAsia="宋体" w:cs="Times New Roman"/>
                <w:bCs/>
                <w:color w:val="auto"/>
                <w:szCs w:val="21"/>
                <w:highlight w:val="none"/>
                <w:u w:val="single"/>
              </w:rPr>
              <w:t>采购文件中明确的所属行业</w:t>
            </w:r>
            <w:r>
              <w:rPr>
                <w:rFonts w:hint="eastAsia" w:ascii="宋体" w:hAnsi="宋体" w:eastAsia="宋体" w:cs="Times New Roman"/>
                <w:bCs/>
                <w:color w:val="auto"/>
                <w:szCs w:val="21"/>
                <w:highlight w:val="none"/>
              </w:rPr>
              <w:t>）行业；承接企业为（</w:t>
            </w:r>
            <w:r>
              <w:rPr>
                <w:rFonts w:hint="eastAsia" w:ascii="宋体" w:hAnsi="宋体" w:eastAsia="宋体" w:cs="Times New Roman"/>
                <w:bCs/>
                <w:color w:val="auto"/>
                <w:szCs w:val="21"/>
                <w:highlight w:val="none"/>
                <w:u w:val="single"/>
              </w:rPr>
              <w:t>企业名称</w:t>
            </w:r>
            <w:r>
              <w:rPr>
                <w:rFonts w:hint="eastAsia" w:ascii="宋体" w:hAnsi="宋体" w:eastAsia="宋体" w:cs="Times New Roman"/>
                <w:bCs/>
                <w:color w:val="auto"/>
                <w:szCs w:val="21"/>
                <w:highlight w:val="none"/>
              </w:rPr>
              <w:t>），从业人员</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人，营业收入为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万元，资产总额为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万元，属于（</w:t>
            </w:r>
            <w:r>
              <w:rPr>
                <w:rFonts w:hint="eastAsia" w:ascii="宋体" w:hAnsi="宋体" w:eastAsia="宋体" w:cs="Times New Roman"/>
                <w:bCs/>
                <w:color w:val="auto"/>
                <w:szCs w:val="21"/>
                <w:highlight w:val="none"/>
                <w:u w:val="single"/>
              </w:rPr>
              <w:t>中型企业、小型企业、微型企业</w:t>
            </w:r>
            <w:r>
              <w:rPr>
                <w:rFonts w:hint="eastAsia" w:ascii="宋体" w:hAnsi="宋体" w:eastAsia="宋体" w:cs="Times New Roman"/>
                <w:bCs/>
                <w:color w:val="auto"/>
                <w:szCs w:val="21"/>
                <w:highlight w:val="none"/>
              </w:rPr>
              <w:t>）；</w:t>
            </w:r>
            <w:bookmarkEnd w:id="228"/>
          </w:p>
          <w:p w14:paraId="692DC070">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2.（</w:t>
            </w:r>
            <w:r>
              <w:rPr>
                <w:rFonts w:hint="eastAsia" w:ascii="宋体" w:hAnsi="宋体" w:eastAsia="宋体" w:cs="Times New Roman"/>
                <w:bCs/>
                <w:color w:val="auto"/>
                <w:szCs w:val="21"/>
                <w:highlight w:val="none"/>
                <w:u w:val="single"/>
              </w:rPr>
              <w:t>标的名称</w:t>
            </w:r>
            <w:r>
              <w:rPr>
                <w:rFonts w:hint="eastAsia" w:ascii="宋体" w:hAnsi="宋体" w:eastAsia="宋体" w:cs="Times New Roman"/>
                <w:bCs/>
                <w:color w:val="auto"/>
                <w:szCs w:val="21"/>
                <w:highlight w:val="none"/>
              </w:rPr>
              <w:t>），属于（</w:t>
            </w:r>
            <w:r>
              <w:rPr>
                <w:rFonts w:hint="eastAsia" w:ascii="宋体" w:hAnsi="宋体" w:eastAsia="宋体" w:cs="Times New Roman"/>
                <w:bCs/>
                <w:color w:val="auto"/>
                <w:szCs w:val="21"/>
                <w:highlight w:val="none"/>
                <w:u w:val="single"/>
              </w:rPr>
              <w:t>采购文件中明确的所属行业</w:t>
            </w:r>
            <w:r>
              <w:rPr>
                <w:rFonts w:hint="eastAsia" w:ascii="宋体" w:hAnsi="宋体" w:eastAsia="宋体" w:cs="Times New Roman"/>
                <w:bCs/>
                <w:color w:val="auto"/>
                <w:szCs w:val="21"/>
                <w:highlight w:val="none"/>
              </w:rPr>
              <w:t>）行业；承接企业为（</w:t>
            </w:r>
            <w:r>
              <w:rPr>
                <w:rFonts w:hint="eastAsia" w:ascii="宋体" w:hAnsi="宋体" w:eastAsia="宋体" w:cs="Times New Roman"/>
                <w:bCs/>
                <w:color w:val="auto"/>
                <w:szCs w:val="21"/>
                <w:highlight w:val="none"/>
                <w:u w:val="single"/>
              </w:rPr>
              <w:t>企业名称</w:t>
            </w:r>
            <w:r>
              <w:rPr>
                <w:rFonts w:hint="eastAsia" w:ascii="宋体" w:hAnsi="宋体" w:eastAsia="宋体" w:cs="Times New Roman"/>
                <w:bCs/>
                <w:color w:val="auto"/>
                <w:szCs w:val="21"/>
                <w:highlight w:val="none"/>
              </w:rPr>
              <w:t>），从业人员</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人，营业收入为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万元，资产总额为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万元，属于（</w:t>
            </w:r>
            <w:r>
              <w:rPr>
                <w:rFonts w:hint="eastAsia" w:ascii="宋体" w:hAnsi="宋体" w:eastAsia="宋体" w:cs="Times New Roman"/>
                <w:bCs/>
                <w:color w:val="auto"/>
                <w:szCs w:val="21"/>
                <w:highlight w:val="none"/>
                <w:u w:val="single"/>
              </w:rPr>
              <w:t>中型企业、小型企业、微型企业</w:t>
            </w:r>
            <w:r>
              <w:rPr>
                <w:rFonts w:hint="eastAsia" w:ascii="宋体" w:hAnsi="宋体" w:eastAsia="宋体" w:cs="Times New Roman"/>
                <w:bCs/>
                <w:color w:val="auto"/>
                <w:szCs w:val="21"/>
                <w:highlight w:val="none"/>
              </w:rPr>
              <w:t>）；</w:t>
            </w:r>
          </w:p>
          <w:p w14:paraId="75D13A3E">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p>
          <w:p w14:paraId="2F2EE2F2">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以上企业，不属于大企业的分支机构，不存在控股股东为大企业的情形，也不存在与大企业的负责人为同一人的情形。</w:t>
            </w:r>
          </w:p>
          <w:p w14:paraId="0B63A609">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本企业对上述声明内容的真实性负责。如有虚假，将依法承担相应责任。</w:t>
            </w:r>
          </w:p>
          <w:p w14:paraId="54418FE9">
            <w:pPr>
              <w:ind w:firstLine="420"/>
              <w:rPr>
                <w:rFonts w:ascii="Times New Roman" w:hAnsi="Times New Roman" w:eastAsia="宋体" w:cs="Times New Roman"/>
                <w:color w:val="auto"/>
                <w:szCs w:val="21"/>
                <w:highlight w:val="none"/>
              </w:rPr>
            </w:pPr>
          </w:p>
          <w:p w14:paraId="182DA8D9">
            <w:pPr>
              <w:ind w:firstLine="420"/>
              <w:rPr>
                <w:rFonts w:hint="eastAsia" w:ascii="Times New Roman" w:hAnsi="Times New Roman" w:eastAsia="宋体" w:cs="Times New Roman"/>
                <w:color w:val="auto"/>
                <w:szCs w:val="21"/>
                <w:highlight w:val="none"/>
              </w:rPr>
            </w:pPr>
          </w:p>
          <w:p w14:paraId="73379FD8">
            <w:pPr>
              <w:ind w:firstLine="420"/>
              <w:rPr>
                <w:rFonts w:ascii="Times New Roman" w:hAnsi="Times New Roman" w:eastAsia="宋体" w:cs="Times New Roman"/>
                <w:color w:val="auto"/>
                <w:szCs w:val="21"/>
                <w:highlight w:val="none"/>
              </w:rPr>
            </w:pPr>
          </w:p>
          <w:p w14:paraId="541C3A20">
            <w:pPr>
              <w:spacing w:line="500" w:lineRule="exact"/>
              <w:ind w:right="451" w:rightChars="215" w:firstLine="3570" w:firstLineChars="1700"/>
              <w:jc w:val="center"/>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企业名称（盖章）：</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p>
          <w:p w14:paraId="7C36C68A">
            <w:pPr>
              <w:spacing w:line="500" w:lineRule="exact"/>
              <w:ind w:right="309" w:rightChars="147" w:firstLine="5670" w:firstLineChars="270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日 期：</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p>
          <w:p w14:paraId="20BEB593">
            <w:pPr>
              <w:ind w:firstLine="420"/>
              <w:rPr>
                <w:rFonts w:ascii="Times New Roman" w:hAnsi="Times New Roman" w:eastAsia="宋体" w:cs="Times New Roman"/>
                <w:color w:val="auto"/>
                <w:highlight w:val="none"/>
              </w:rPr>
            </w:pPr>
          </w:p>
          <w:p w14:paraId="02C4954F">
            <w:pPr>
              <w:ind w:firstLine="420"/>
              <w:rPr>
                <w:rFonts w:ascii="Times New Roman" w:hAnsi="Times New Roman" w:eastAsia="宋体" w:cs="Times New Roman"/>
                <w:color w:val="auto"/>
                <w:highlight w:val="none"/>
              </w:rPr>
            </w:pPr>
          </w:p>
          <w:p w14:paraId="625AB4E3">
            <w:pPr>
              <w:ind w:firstLine="420"/>
              <w:rPr>
                <w:rFonts w:ascii="Times New Roman" w:hAnsi="Times New Roman" w:eastAsia="宋体" w:cs="Times New Roman"/>
                <w:color w:val="auto"/>
                <w:highlight w:val="none"/>
              </w:rPr>
            </w:pPr>
          </w:p>
          <w:p w14:paraId="140E40C4">
            <w:pPr>
              <w:ind w:firstLine="0" w:firstLineChars="0"/>
              <w:rPr>
                <w:rFonts w:hint="eastAsia" w:ascii="Times New Roman" w:hAnsi="Times New Roman" w:eastAsia="宋体" w:cs="Times New Roman"/>
                <w:color w:val="auto"/>
                <w:highlight w:val="none"/>
              </w:rPr>
            </w:pPr>
          </w:p>
          <w:p w14:paraId="1E2BBDF0">
            <w:pPr>
              <w:ind w:firstLine="420"/>
              <w:rPr>
                <w:rFonts w:hint="eastAsia" w:ascii="Times New Roman" w:hAnsi="Times New Roman" w:eastAsia="宋体" w:cs="Times New Roman"/>
                <w:color w:val="auto"/>
                <w:highlight w:val="none"/>
              </w:rPr>
            </w:pPr>
          </w:p>
          <w:p w14:paraId="2ED648F5">
            <w:pPr>
              <w:ind w:firstLine="420"/>
              <w:rPr>
                <w:rFonts w:hint="eastAsia" w:ascii="Times New Roman" w:hAnsi="Times New Roman" w:eastAsia="宋体" w:cs="Times New Roman"/>
                <w:color w:val="auto"/>
                <w:highlight w:val="none"/>
              </w:rPr>
            </w:pPr>
          </w:p>
          <w:p w14:paraId="18DA5C92">
            <w:pPr>
              <w:ind w:firstLine="420"/>
              <w:rPr>
                <w:rFonts w:hint="eastAsia" w:ascii="Times New Roman" w:hAnsi="Times New Roman" w:eastAsia="宋体" w:cs="Times New Roman"/>
                <w:color w:val="auto"/>
                <w:highlight w:val="none"/>
              </w:rPr>
            </w:pPr>
          </w:p>
          <w:p w14:paraId="0E0954B8">
            <w:pPr>
              <w:ind w:firstLine="420"/>
              <w:rPr>
                <w:rFonts w:ascii="Times New Roman" w:hAnsi="Times New Roman" w:eastAsia="宋体" w:cs="Times New Roman"/>
                <w:color w:val="auto"/>
                <w:highlight w:val="none"/>
              </w:rPr>
            </w:pPr>
          </w:p>
          <w:p w14:paraId="75D6EB65">
            <w:pPr>
              <w:ind w:firstLine="420"/>
              <w:rPr>
                <w:rFonts w:hint="eastAsia" w:ascii="Times New Roman" w:hAnsi="Times New Roman" w:eastAsia="宋体" w:cs="Times New Roman"/>
                <w:color w:val="auto"/>
                <w:highlight w:val="none"/>
              </w:rPr>
            </w:pPr>
          </w:p>
          <w:p w14:paraId="1DE93DD1">
            <w:pPr>
              <w:spacing w:line="320" w:lineRule="exact"/>
              <w:ind w:firstLine="360"/>
              <w:jc w:val="left"/>
              <w:rPr>
                <w:rFonts w:hint="eastAsia" w:ascii="Times New Roman" w:hAnsi="宋体" w:eastAsia="宋体" w:cs="Times New Roman"/>
                <w:bCs/>
                <w:color w:val="auto"/>
                <w:sz w:val="18"/>
                <w:szCs w:val="18"/>
                <w:highlight w:val="none"/>
              </w:rPr>
            </w:pPr>
            <w:bookmarkStart w:id="229" w:name="_Hlk82091879"/>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),从)</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),业)</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),人)</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),员)</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),营)</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),业)</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),收)</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),入)</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),资)</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),产)</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),总)</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),额)</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),填)</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),报)</w:instrText>
            </w:r>
            <w:r>
              <w:rPr>
                <w:rFonts w:ascii="Times New Roman" w:hAnsi="宋体" w:eastAsia="宋体" w:cs="Times New Roman"/>
                <w:bCs/>
                <w:color w:val="auto"/>
                <w:sz w:val="18"/>
                <w:szCs w:val="18"/>
                <w:highlight w:val="none"/>
              </w:rPr>
              <w:fldChar w:fldCharType="end"/>
            </w:r>
            <w:bookmarkEnd w:id="229"/>
            <w:r>
              <w:rPr>
                <w:rFonts w:hint="eastAsia" w:ascii="Times New Roman" w:hAnsi="宋体" w:eastAsia="宋体" w:cs="Times New Roman"/>
                <w:bCs/>
                <w:color w:val="auto"/>
                <w:sz w:val="18"/>
                <w:szCs w:val="18"/>
                <w:highlight w:val="none"/>
              </w:rPr>
              <w:t>上一年度数据，无上一年度数据的新成立企业可不填报。</w:t>
            </w:r>
          </w:p>
          <w:p w14:paraId="6F08B3CB">
            <w:pPr>
              <w:widowControl/>
              <w:spacing w:line="240" w:lineRule="auto"/>
              <w:ind w:firstLine="0" w:firstLineChars="0"/>
              <w:jc w:val="center"/>
              <w:rPr>
                <w:rFonts w:ascii="Helvetica" w:hAnsi="Helvetica" w:eastAsia="宋体" w:cs="Helvetica"/>
                <w:b/>
                <w:bCs/>
                <w:color w:val="auto"/>
                <w:kern w:val="0"/>
                <w:szCs w:val="21"/>
                <w:highlight w:val="none"/>
              </w:rPr>
            </w:pPr>
            <w:r>
              <w:rPr>
                <w:rFonts w:ascii="Helvetica" w:hAnsi="Helvetica" w:eastAsia="宋体" w:cs="Helvetica"/>
                <w:b/>
                <w:bCs/>
                <w:color w:val="auto"/>
                <w:kern w:val="0"/>
                <w:szCs w:val="21"/>
                <w:highlight w:val="none"/>
              </w:rPr>
              <w:t>大中小微型企业划分标准</w:t>
            </w:r>
          </w:p>
        </w:tc>
      </w:tr>
      <w:tr w14:paraId="0403C068">
        <w:tblPrEx>
          <w:shd w:val="clear" w:color="auto" w:fill="FFFFFF"/>
          <w:tblCellMar>
            <w:top w:w="15" w:type="dxa"/>
            <w:left w:w="15" w:type="dxa"/>
            <w:bottom w:w="15" w:type="dxa"/>
            <w:right w:w="15" w:type="dxa"/>
          </w:tblCellMar>
        </w:tblPrEx>
        <w:trPr>
          <w:trHeight w:val="330" w:hRule="atLeast"/>
        </w:trPr>
        <w:tc>
          <w:tcPr>
            <w:tcW w:w="2132"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A5A0CE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行业名称</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93E682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指标名称</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D0CB2C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计量</w:t>
            </w:r>
          </w:p>
          <w:p w14:paraId="09FDD4A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单位</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BB0259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大型</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AE3FE6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中型</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A65242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小型</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D07F8D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微型</w:t>
            </w:r>
          </w:p>
        </w:tc>
      </w:tr>
      <w:tr w14:paraId="7495A349">
        <w:tblPrEx>
          <w:shd w:val="clear" w:color="auto" w:fill="FFFFFF"/>
          <w:tblCellMar>
            <w:top w:w="15" w:type="dxa"/>
            <w:left w:w="15" w:type="dxa"/>
            <w:bottom w:w="15" w:type="dxa"/>
            <w:right w:w="15" w:type="dxa"/>
          </w:tblCellMar>
        </w:tblPrEx>
        <w:trPr>
          <w:trHeight w:val="330" w:hRule="atLeast"/>
        </w:trPr>
        <w:tc>
          <w:tcPr>
            <w:tcW w:w="2132"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631FB0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农、林、牧、渔业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CF5680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86C093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D45B5E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2F1BA1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500≤Y＜20000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526AB3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50≤Y＜500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4D6989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w:t>
            </w:r>
          </w:p>
        </w:tc>
      </w:tr>
      <w:tr w14:paraId="0EF83C12">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0758286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工业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E92F7F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567F74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1AF0DE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D801E9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CF5BC3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D4048B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14:paraId="1B7EA564">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57AAD96">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175DD0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EBEA1F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8FB555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Y≥40000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74A22C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2000≤Y＜40000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03F3E0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CF254C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w:t>
            </w:r>
          </w:p>
        </w:tc>
      </w:tr>
      <w:tr w14:paraId="60FCE8BC">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102AB07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建筑业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FD2E3E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9122A7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639BF0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Y≥80000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13209B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6000≤Y＜80000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F72102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300≤Y＜6000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FBA947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w:t>
            </w:r>
          </w:p>
        </w:tc>
      </w:tr>
      <w:tr w14:paraId="1C52BE7A">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9F32809">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017F40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资产总额(Z)</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4DEFA0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CE26CD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Z≥80000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1101B4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5000≤Z＜80000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132440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300≤Z＜5000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BECE6B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Z＜300</w:t>
            </w:r>
          </w:p>
        </w:tc>
      </w:tr>
      <w:tr w14:paraId="1DF2DF1D">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4A1F690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批发业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9007A9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B4CA97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6B6CC5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BD289C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20≤X＜200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FE1165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5≤X＜20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2D1A4A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X＜5</w:t>
            </w:r>
          </w:p>
        </w:tc>
      </w:tr>
      <w:tr w14:paraId="01E79DCD">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F021B7C">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24FB92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9AF1CE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E85B67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Y≥40000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4C1DC4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5000≤Y＜40000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A014BA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1000≤Y＜5000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D75511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w:t>
            </w:r>
          </w:p>
        </w:tc>
      </w:tr>
      <w:tr w14:paraId="1D32BA81">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2E4CFC3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零售业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2201DA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902885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229469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226E18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67D618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10≤X＜50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2F0573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14:paraId="490A2DF7">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E16C034">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8148BD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BAB61A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9CA7DD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DA5B72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500≤Y＜20000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ABD11F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100≤Y＜500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10078C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14:paraId="32441E3E">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010BC04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交通运输业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C4312E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D696A2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D69994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E7B14A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7752BE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4FAE96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14:paraId="170F927B">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7456CBF">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0E4756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ABC3E2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4FA8D5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8EDA40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3000≤Y＜30000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75B402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200≤Y＜3000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7F1D74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w:t>
            </w:r>
          </w:p>
        </w:tc>
      </w:tr>
      <w:tr w14:paraId="7EFEB467">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12B5E89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仓储业*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97D7FC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575803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73E02F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E06208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100≤X＜200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A49636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7F09A2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14:paraId="52ECFF72">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8C4E7C8">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7838D1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F997F3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A370A6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9F6B72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1000≤Y＜30000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C918B9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80864D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14:paraId="1B231038">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6888B59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邮政业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4B85EF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4F6DB5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1AF375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6EC84F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702A17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0B7111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14:paraId="3D44C8FB">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DEA20C7">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2F900C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2BDD0F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21E073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7BE203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2000≤Y＜30000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36132A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750283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14:paraId="0909D060">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1DBF46D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住宿业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D32ACB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CCC401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EBB199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87EF92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7E2B0E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5F6BA9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14:paraId="0D62A780">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2B36668">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F542CB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99AF0E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08F8C8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490C50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754718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E2A1D1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14:paraId="77CCDBB9">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6636217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餐饮业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EEA7B6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34708F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BB1E53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5B1B30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93F8BA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0A02D7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14:paraId="2809CDBB">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94D0B46">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67FD57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75E9E3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C79555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B70A20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BEB2C2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94BAF2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14:paraId="03AAFC06">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2C8D101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信息传输业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B9E96D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F0BC47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B73B04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08A052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100≤X＜2000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0130F5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114C46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14:paraId="72BE9C16">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4402A79">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A800C6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1C41AC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20B1CC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3C714B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1000≤Y＜100000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7079A1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9E05C7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14:paraId="587260B6">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678142C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软件和信息技术服务业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F430C5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6F2353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6AA097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57F4A9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972C78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2A004F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14:paraId="376F0028">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E42C2AC">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06AB07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66936E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B596A8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6532CE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4728E3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C48258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w:t>
            </w:r>
          </w:p>
        </w:tc>
      </w:tr>
      <w:tr w14:paraId="0EEF1118">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2234454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房地产开发经营</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476EA2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622708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383F8B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578159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1000≤Y＜200000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D50824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9FD99B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14:paraId="462CA2DD">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76DF81F">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8984E0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资产总额(Z)</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30503F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5DAD87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EE9CA8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5000≤Z＜10000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AFE200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2000≤Z＜5000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FE7BA4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Z＜2000</w:t>
            </w:r>
          </w:p>
        </w:tc>
      </w:tr>
      <w:tr w14:paraId="40E5F60D">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568594B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物业管理</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A6C230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128EA4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DE2181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6DC75C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CC9E4D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A91BB2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w:t>
            </w:r>
          </w:p>
        </w:tc>
      </w:tr>
      <w:tr w14:paraId="1BA4CD2E">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66AD162">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6F8CD1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5A8589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2E1BDF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3C2938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1000≤Y＜5000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DD425F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60BF7D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Y＜500</w:t>
            </w:r>
          </w:p>
        </w:tc>
      </w:tr>
      <w:tr w14:paraId="797069D1">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57C5FBA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租赁和商务服务业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524FEE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905A79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D1CA48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ADB888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3A8DE3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EC974C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14:paraId="40E0D40D">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6014F71">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1D6873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资产总额(Z)</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123D10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CEEE06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Z≥120000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EBB9AB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8000≤Z＜120000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A8FBB2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100≤Z＜8000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001223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Z＜100</w:t>
            </w:r>
          </w:p>
        </w:tc>
      </w:tr>
      <w:tr w14:paraId="20D905E8">
        <w:tblPrEx>
          <w:shd w:val="clear" w:color="auto" w:fill="FFFFFF"/>
          <w:tblCellMar>
            <w:top w:w="15" w:type="dxa"/>
            <w:left w:w="15" w:type="dxa"/>
            <w:bottom w:w="15" w:type="dxa"/>
            <w:right w:w="15" w:type="dxa"/>
          </w:tblCellMar>
        </w:tblPrEx>
        <w:trPr>
          <w:trHeight w:val="330" w:hRule="atLeast"/>
        </w:trPr>
        <w:tc>
          <w:tcPr>
            <w:tcW w:w="2132"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09F97C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其他未列明行业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C18330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9F7CC0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44B4FC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117AC7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AD5B43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69EBDC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bl>
    <w:p w14:paraId="44B2D1C6">
      <w:pPr>
        <w:widowControl/>
        <w:shd w:val="clear" w:color="auto" w:fill="FFFFFF"/>
        <w:spacing w:line="360" w:lineRule="atLeast"/>
        <w:ind w:firstLine="0" w:firstLineChars="0"/>
        <w:jc w:val="left"/>
        <w:rPr>
          <w:rFonts w:ascii="Helvetica" w:hAnsi="Helvetica" w:cs="Helvetica"/>
          <w:color w:val="auto"/>
          <w:kern w:val="0"/>
          <w:szCs w:val="21"/>
          <w:highlight w:val="none"/>
        </w:rPr>
      </w:pPr>
      <w:r>
        <w:rPr>
          <w:rFonts w:ascii="Helvetica" w:hAnsi="Helvetica" w:cs="Helvetica"/>
          <w:color w:val="auto"/>
          <w:kern w:val="0"/>
          <w:szCs w:val="21"/>
          <w:highlight w:val="none"/>
        </w:rPr>
        <w:t>说明：</w:t>
      </w:r>
    </w:p>
    <w:p w14:paraId="0E4A8B98">
      <w:pPr>
        <w:widowControl/>
        <w:shd w:val="clear" w:color="auto" w:fill="FFFFFF"/>
        <w:spacing w:line="360" w:lineRule="atLeast"/>
        <w:ind w:firstLine="480" w:firstLineChars="0"/>
        <w:jc w:val="left"/>
        <w:rPr>
          <w:rFonts w:ascii="Helvetica" w:hAnsi="Helvetica" w:cs="Helvetica"/>
          <w:color w:val="auto"/>
          <w:kern w:val="0"/>
          <w:szCs w:val="21"/>
          <w:highlight w:val="none"/>
        </w:rPr>
      </w:pPr>
      <w:r>
        <w:rPr>
          <w:rFonts w:ascii="Helvetica" w:hAnsi="Helvetica" w:cs="Helvetica"/>
          <w:color w:val="auto"/>
          <w:kern w:val="0"/>
          <w:szCs w:val="21"/>
          <w:highlight w:val="none"/>
        </w:rPr>
        <w:t>1.大型、中型和小型企业须同时满足所列指标的下限，否则下划一档；微型企业只须满足所列指标中的一项即可。</w:t>
      </w:r>
    </w:p>
    <w:p w14:paraId="24500073">
      <w:pPr>
        <w:widowControl/>
        <w:shd w:val="clear" w:color="auto" w:fill="FFFFFF"/>
        <w:spacing w:line="360" w:lineRule="atLeast"/>
        <w:ind w:firstLine="480" w:firstLineChars="0"/>
        <w:jc w:val="left"/>
        <w:rPr>
          <w:rFonts w:ascii="Helvetica" w:hAnsi="Helvetica" w:cs="Helvetica"/>
          <w:color w:val="auto"/>
          <w:kern w:val="0"/>
          <w:szCs w:val="21"/>
          <w:highlight w:val="none"/>
        </w:rPr>
      </w:pPr>
      <w:r>
        <w:rPr>
          <w:rFonts w:ascii="Helvetica" w:hAnsi="Helvetica" w:cs="Helvetica"/>
          <w:color w:val="auto"/>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"https://baike.baidu.com/item/%E5%A4%9A%E5%BC%8F%E8%81%94%E8%BF%90/3342240?fromModule=lemma_inlink"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多式联运</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和运输代理业、</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"https://baike.baidu.com/item/%E8%A3%85%E5%8D%B8%E6%90%AC%E8%BF%90/6511400?fromModule=lemma_inlink"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装卸搬运</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，不包括铁路运输业；</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"https://baike.baidu.com/item/%E4%BB%93%E5%82%A8%E4%B8%9A/3487863?fromModule=lemma_inlink"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仓储业</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包括通用仓储，低温仓储，危险品仓储，谷物、棉花等农产品仓储，中药材仓储和其他仓储业;</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"https://baike.baidu.com/item/%E4%BF%A1%E6%81%AF%E4%BC%A0%E8%BE%93%E4%B8%9A/61331990?fromModule=lemma_inlink"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信息传输业</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0F2DAF8">
      <w:pPr>
        <w:widowControl/>
        <w:shd w:val="clear" w:color="auto" w:fill="FFFFFF"/>
        <w:spacing w:line="360" w:lineRule="atLeast"/>
        <w:ind w:firstLine="480" w:firstLineChars="0"/>
        <w:jc w:val="left"/>
        <w:rPr>
          <w:rFonts w:hint="eastAsia" w:ascii="Helvetica" w:hAnsi="Helvetica" w:cs="Helvetica"/>
          <w:color w:val="auto"/>
          <w:kern w:val="0"/>
          <w:szCs w:val="21"/>
          <w:highlight w:val="none"/>
        </w:rPr>
      </w:pPr>
      <w:r>
        <w:rPr>
          <w:rFonts w:ascii="Helvetica" w:hAnsi="Helvetica" w:cs="Helvetica"/>
          <w:color w:val="auto"/>
          <w:kern w:val="0"/>
          <w:szCs w:val="21"/>
          <w:highlight w:val="none"/>
        </w:rPr>
        <w:t>3.企业划分指标以现行</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"https://baike.baidu.com/item/%E7%BB%9F%E8%AE%A1%E5%88%B6%E5%BA%A6/917165?fromModule=lemma_inlink"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统计制度</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为准。（1）从业人员，是指期末从业人员数，没有期末从业人员数的，采用全年平均人员数代替。（2）</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"https://baike.baidu.com/item/%E8%90%A5%E4%B8%9A%E6%94%B6%E5%85%A5/5099832?fromModule=lemma_inlink"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营业收入</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"https://baike.baidu.com/item/%E8%B5%84%E4%BA%A7%E6%80%BB%E9%A2%9D/716517?fromModule=lemma_inlink"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资产总额</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，采用资产总计代替。</w:t>
      </w:r>
    </w:p>
    <w:p w14:paraId="57627986">
      <w:pPr>
        <w:ind w:firstLine="0" w:firstLineChars="0"/>
        <w:rPr>
          <w:rFonts w:ascii="宋体" w:hAnsi="宋体"/>
          <w:color w:val="auto"/>
          <w:highlight w:val="none"/>
        </w:rPr>
      </w:pPr>
      <w:r>
        <w:rPr>
          <w:rFonts w:ascii="宋体" w:hAnsi="宋体"/>
          <w:color w:val="auto"/>
          <w:highlight w:val="none"/>
        </w:rPr>
        <w:br w:type="page"/>
      </w:r>
    </w:p>
    <w:p w14:paraId="38AE3603">
      <w:pPr>
        <w:spacing w:line="440" w:lineRule="exact"/>
        <w:ind w:firstLine="0" w:firstLineChars="0"/>
        <w:jc w:val="center"/>
        <w:rPr>
          <w:rFonts w:hint="eastAsia" w:ascii="宋体" w:hAnsi="宋体" w:cs="Courier New"/>
          <w:b/>
          <w:color w:val="auto"/>
          <w:kern w:val="0"/>
          <w:sz w:val="32"/>
          <w:szCs w:val="32"/>
          <w:highlight w:val="none"/>
        </w:rPr>
      </w:pPr>
      <w:r>
        <w:rPr>
          <w:rFonts w:hint="eastAsia" w:ascii="宋体" w:hAnsi="宋体" w:cs="Courier New"/>
          <w:b/>
          <w:color w:val="auto"/>
          <w:kern w:val="0"/>
          <w:sz w:val="32"/>
          <w:szCs w:val="32"/>
          <w:highlight w:val="none"/>
        </w:rPr>
        <w:t>残疾人福利性单位声明函</w:t>
      </w:r>
      <w:r>
        <w:rPr>
          <w:rFonts w:hint="eastAsia" w:ascii="宋体" w:hAnsi="宋体"/>
          <w:bCs/>
          <w:color w:val="auto"/>
          <w:sz w:val="24"/>
          <w:highlight w:val="none"/>
        </w:rPr>
        <w:t>(格式)</w:t>
      </w:r>
    </w:p>
    <w:p w14:paraId="5510CA35">
      <w:pPr>
        <w:ind w:firstLine="0" w:firstLineChars="0"/>
        <w:rPr>
          <w:rFonts w:hint="eastAsia" w:ascii="宋体" w:hAnsi="宋体"/>
          <w:color w:val="auto"/>
          <w:highlight w:val="none"/>
        </w:rPr>
      </w:pPr>
    </w:p>
    <w:p w14:paraId="5A6F8F42">
      <w:pPr>
        <w:spacing w:line="660" w:lineRule="exact"/>
        <w:ind w:firstLine="420"/>
        <w:rPr>
          <w:rFonts w:ascii="宋体" w:hAnsi="宋体" w:cs="Courier New"/>
          <w:color w:val="auto"/>
          <w:kern w:val="0"/>
          <w:szCs w:val="21"/>
          <w:highlight w:val="none"/>
        </w:rPr>
      </w:pPr>
      <w:bookmarkStart w:id="230" w:name="_Hlk94193952"/>
      <w:r>
        <w:rPr>
          <w:rFonts w:hint="eastAsia" w:ascii="宋体" w:hAnsi="宋体" w:cs="Courier New"/>
          <w:color w:val="auto"/>
          <w:kern w:val="0"/>
          <w:szCs w:val="21"/>
          <w:highlight w:val="none"/>
        </w:rPr>
        <w:t>本单位郑重声明，根据</w:t>
      </w:r>
      <w:bookmarkStart w:id="231" w:name="_Hlk82091361"/>
      <w:r>
        <w:rPr>
          <w:rFonts w:hint="eastAsia" w:ascii="宋体" w:hAnsi="宋体" w:cs="Courier New"/>
          <w:color w:val="auto"/>
          <w:kern w:val="0"/>
          <w:szCs w:val="21"/>
          <w:highlight w:val="none"/>
        </w:rPr>
        <w:t>《</w:t>
      </w:r>
      <w:r>
        <w:rPr>
          <w:rFonts w:ascii="宋体" w:hAnsi="宋体" w:cs="Courier New"/>
          <w:color w:val="auto"/>
          <w:szCs w:val="21"/>
          <w:highlight w:val="none"/>
        </w:rPr>
        <w:fldChar w:fldCharType="begin"/>
      </w:r>
      <w:r>
        <w:rPr>
          <w:rFonts w:ascii="宋体" w:hAnsi="宋体" w:cs="Courier New"/>
          <w:color w:val="auto"/>
          <w:szCs w:val="21"/>
          <w:highlight w:val="none"/>
        </w:rPr>
        <w:instrText xml:space="preserve"> HYPERLINK "http://www.mof.gov.cn/gp/xxgkml/gks/201709/t20170901_2689542.htm" </w:instrText>
      </w:r>
      <w:r>
        <w:rPr>
          <w:rFonts w:ascii="宋体" w:hAnsi="宋体" w:cs="Courier New"/>
          <w:color w:val="auto"/>
          <w:szCs w:val="21"/>
          <w:highlight w:val="none"/>
        </w:rPr>
        <w:fldChar w:fldCharType="separate"/>
      </w:r>
      <w:r>
        <w:rPr>
          <w:rFonts w:hint="eastAsia" w:ascii="宋体" w:hAnsi="宋体" w:cs="Courier New"/>
          <w:color w:val="auto"/>
          <w:kern w:val="0"/>
          <w:szCs w:val="21"/>
          <w:highlight w:val="none"/>
        </w:rPr>
        <w:t>财政部 民政部 中国残疾人联合会关于促进残疾人就业政府采购政策的通知》(财库〔2017〕141号)</w:t>
      </w:r>
      <w:r>
        <w:rPr>
          <w:rFonts w:ascii="宋体" w:hAnsi="宋体" w:cs="Courier New"/>
          <w:color w:val="auto"/>
          <w:kern w:val="0"/>
          <w:szCs w:val="21"/>
          <w:highlight w:val="none"/>
        </w:rPr>
        <w:fldChar w:fldCharType="end"/>
      </w:r>
      <w:bookmarkEnd w:id="231"/>
      <w:r>
        <w:rPr>
          <w:rFonts w:hint="eastAsia" w:ascii="宋体" w:hAnsi="宋体" w:cs="Courier New"/>
          <w:color w:val="auto"/>
          <w:kern w:val="0"/>
          <w:szCs w:val="21"/>
          <w:highlight w:val="none"/>
        </w:rPr>
        <w:t>的规定，本单位为符合条件的残疾人福利性单位，且本单位参加(</w:t>
      </w:r>
      <w:r>
        <w:rPr>
          <w:rFonts w:hint="eastAsia" w:ascii="宋体" w:hAnsi="宋体" w:cs="Courier New"/>
          <w:color w:val="auto"/>
          <w:kern w:val="0"/>
          <w:szCs w:val="21"/>
          <w:highlight w:val="none"/>
          <w:u w:val="single"/>
        </w:rPr>
        <w:t>单位名称</w:t>
      </w:r>
      <w:r>
        <w:rPr>
          <w:rFonts w:hint="eastAsia" w:ascii="宋体" w:hAnsi="宋体" w:cs="Courier New"/>
          <w:color w:val="auto"/>
          <w:kern w:val="0"/>
          <w:szCs w:val="21"/>
          <w:highlight w:val="none"/>
        </w:rPr>
        <w:t>)的(</w:t>
      </w:r>
      <w:r>
        <w:rPr>
          <w:rFonts w:hint="eastAsia" w:ascii="宋体" w:hAnsi="宋体" w:cs="Courier New"/>
          <w:color w:val="auto"/>
          <w:kern w:val="0"/>
          <w:szCs w:val="21"/>
          <w:highlight w:val="none"/>
          <w:u w:val="single"/>
        </w:rPr>
        <w:t>项目名称</w:t>
      </w:r>
      <w:r>
        <w:rPr>
          <w:rFonts w:hint="eastAsia" w:ascii="宋体" w:hAnsi="宋体" w:cs="Courier New"/>
          <w:color w:val="auto"/>
          <w:kern w:val="0"/>
          <w:szCs w:val="21"/>
          <w:highlight w:val="none"/>
        </w:rPr>
        <w:t>)采购活动提供本单位制造的货物，或者提供其他残疾人福利性单位(</w:t>
      </w:r>
      <w:r>
        <w:rPr>
          <w:rFonts w:hint="eastAsia" w:ascii="宋体" w:hAnsi="宋体" w:cs="Courier New"/>
          <w:color w:val="auto"/>
          <w:kern w:val="0"/>
          <w:szCs w:val="21"/>
          <w:highlight w:val="none"/>
          <w:u w:val="single"/>
        </w:rPr>
        <w:t>请填写具体单位名称</w:t>
      </w:r>
      <w:r>
        <w:rPr>
          <w:rFonts w:hint="eastAsia" w:ascii="宋体" w:hAnsi="宋体" w:cs="Courier New"/>
          <w:color w:val="auto"/>
          <w:kern w:val="0"/>
          <w:szCs w:val="21"/>
          <w:highlight w:val="none"/>
        </w:rPr>
        <w:t>)制造的货物(不包括使用非残疾人福利性单位注册商标的货物)。</w:t>
      </w:r>
    </w:p>
    <w:p w14:paraId="289314A7">
      <w:pPr>
        <w:spacing w:line="660" w:lineRule="exact"/>
        <w:ind w:firstLine="420"/>
        <w:rPr>
          <w:rFonts w:ascii="宋体" w:hAnsi="宋体" w:cs="Courier New"/>
          <w:color w:val="auto"/>
          <w:kern w:val="0"/>
          <w:szCs w:val="21"/>
          <w:highlight w:val="none"/>
        </w:rPr>
      </w:pPr>
      <w:r>
        <w:rPr>
          <w:rFonts w:hint="eastAsia" w:ascii="宋体" w:hAnsi="宋体" w:cs="Courier New"/>
          <w:color w:val="auto"/>
          <w:kern w:val="0"/>
          <w:szCs w:val="21"/>
          <w:highlight w:val="none"/>
        </w:rPr>
        <w:t>本单位对上述声明的真实性负责。如有虚假，将依法承担相应责任。</w:t>
      </w:r>
    </w:p>
    <w:p w14:paraId="0C21751C">
      <w:pPr>
        <w:ind w:firstLine="0" w:firstLineChars="0"/>
        <w:rPr>
          <w:rFonts w:ascii="宋体" w:hAnsi="宋体"/>
          <w:color w:val="auto"/>
          <w:szCs w:val="21"/>
          <w:highlight w:val="none"/>
        </w:rPr>
      </w:pPr>
    </w:p>
    <w:p w14:paraId="16BC5159">
      <w:pPr>
        <w:ind w:firstLine="0" w:firstLineChars="0"/>
        <w:rPr>
          <w:rFonts w:hint="eastAsia" w:ascii="宋体" w:hAnsi="宋体"/>
          <w:color w:val="auto"/>
          <w:szCs w:val="21"/>
          <w:highlight w:val="none"/>
        </w:rPr>
      </w:pPr>
    </w:p>
    <w:p w14:paraId="08CFC954">
      <w:pPr>
        <w:ind w:firstLine="0" w:firstLineChars="0"/>
        <w:rPr>
          <w:rFonts w:hint="eastAsia" w:ascii="宋体" w:hAnsi="宋体"/>
          <w:color w:val="auto"/>
          <w:szCs w:val="21"/>
          <w:highlight w:val="none"/>
        </w:rPr>
      </w:pPr>
    </w:p>
    <w:p w14:paraId="5328C0CA">
      <w:pPr>
        <w:spacing w:line="440" w:lineRule="exact"/>
        <w:ind w:firstLine="5250" w:firstLineChars="2500"/>
        <w:rPr>
          <w:rFonts w:ascii="宋体" w:hAnsi="宋体" w:cs="Courier New"/>
          <w:color w:val="auto"/>
          <w:kern w:val="0"/>
          <w:szCs w:val="21"/>
          <w:highlight w:val="none"/>
        </w:rPr>
      </w:pPr>
      <w:r>
        <w:rPr>
          <w:rFonts w:hint="eastAsia" w:ascii="宋体" w:hAnsi="宋体" w:cs="Courier New"/>
          <w:color w:val="auto"/>
          <w:kern w:val="0"/>
          <w:szCs w:val="21"/>
          <w:highlight w:val="none"/>
        </w:rPr>
        <w:t>单位名称(盖章)：</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p w14:paraId="64C097E5">
      <w:pPr>
        <w:spacing w:line="440" w:lineRule="exact"/>
        <w:ind w:firstLine="5250" w:firstLineChars="2500"/>
        <w:rPr>
          <w:rFonts w:ascii="宋体" w:hAnsi="宋体" w:cs="Courier New"/>
          <w:color w:val="auto"/>
          <w:szCs w:val="21"/>
          <w:highlight w:val="none"/>
          <w:u w:val="single"/>
        </w:rPr>
      </w:pPr>
      <w:r>
        <w:rPr>
          <w:rFonts w:hint="eastAsia" w:ascii="宋体" w:hAnsi="宋体" w:cs="Courier New"/>
          <w:color w:val="auto"/>
          <w:kern w:val="0"/>
          <w:szCs w:val="21"/>
          <w:highlight w:val="none"/>
        </w:rPr>
        <w:t>日  期：</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bookmarkEnd w:id="230"/>
    <w:p w14:paraId="43C9F5BB">
      <w:pPr>
        <w:spacing w:line="440" w:lineRule="exact"/>
        <w:ind w:firstLine="4000" w:firstLineChars="1905"/>
        <w:rPr>
          <w:rFonts w:ascii="宋体" w:hAnsi="宋体" w:cs="Courier New"/>
          <w:color w:val="auto"/>
          <w:szCs w:val="21"/>
          <w:highlight w:val="none"/>
          <w:u w:val="single"/>
        </w:rPr>
      </w:pPr>
    </w:p>
    <w:p w14:paraId="0422CB5E">
      <w:pPr>
        <w:spacing w:line="360" w:lineRule="exact"/>
        <w:ind w:firstLine="0" w:firstLineChars="0"/>
        <w:jc w:val="left"/>
        <w:rPr>
          <w:rFonts w:ascii="宋体" w:hAnsi="宋体" w:cs="Courier New"/>
          <w:color w:val="auto"/>
          <w:szCs w:val="21"/>
          <w:highlight w:val="none"/>
          <w:u w:val="single"/>
        </w:rPr>
      </w:pPr>
    </w:p>
    <w:p w14:paraId="03EE8386">
      <w:pPr>
        <w:spacing w:line="360" w:lineRule="exact"/>
        <w:ind w:firstLine="0" w:firstLineChars="0"/>
        <w:jc w:val="left"/>
        <w:rPr>
          <w:rFonts w:ascii="宋体" w:hAnsi="宋体" w:cs="Courier New"/>
          <w:color w:val="auto"/>
          <w:szCs w:val="21"/>
          <w:highlight w:val="none"/>
          <w:u w:val="single"/>
        </w:rPr>
      </w:pPr>
    </w:p>
    <w:p w14:paraId="0A37167E">
      <w:pPr>
        <w:spacing w:line="360" w:lineRule="exact"/>
        <w:ind w:firstLine="0" w:firstLineChars="0"/>
        <w:jc w:val="left"/>
        <w:rPr>
          <w:rFonts w:ascii="宋体" w:hAnsi="宋体" w:cs="Courier New"/>
          <w:color w:val="auto"/>
          <w:szCs w:val="21"/>
          <w:highlight w:val="none"/>
          <w:u w:val="single"/>
        </w:rPr>
      </w:pPr>
    </w:p>
    <w:p w14:paraId="523B43B6">
      <w:pPr>
        <w:spacing w:line="360" w:lineRule="exact"/>
        <w:ind w:firstLine="0" w:firstLineChars="0"/>
        <w:jc w:val="left"/>
        <w:rPr>
          <w:rFonts w:ascii="宋体" w:hAnsi="宋体" w:cs="Courier New"/>
          <w:color w:val="auto"/>
          <w:szCs w:val="21"/>
          <w:highlight w:val="none"/>
          <w:u w:val="single"/>
        </w:rPr>
      </w:pPr>
    </w:p>
    <w:p w14:paraId="35C77588">
      <w:pPr>
        <w:spacing w:line="360" w:lineRule="exact"/>
        <w:ind w:firstLine="0" w:firstLineChars="0"/>
        <w:jc w:val="left"/>
        <w:rPr>
          <w:rFonts w:ascii="宋体" w:hAnsi="宋体" w:cs="Courier New"/>
          <w:color w:val="auto"/>
          <w:szCs w:val="21"/>
          <w:highlight w:val="none"/>
          <w:u w:val="single"/>
        </w:rPr>
      </w:pPr>
    </w:p>
    <w:p w14:paraId="1CCC256A">
      <w:pPr>
        <w:spacing w:line="360" w:lineRule="exact"/>
        <w:ind w:firstLine="0" w:firstLineChars="0"/>
        <w:jc w:val="left"/>
        <w:rPr>
          <w:rFonts w:ascii="宋体" w:hAnsi="宋体" w:cs="Courier New"/>
          <w:color w:val="auto"/>
          <w:szCs w:val="21"/>
          <w:highlight w:val="none"/>
          <w:u w:val="single"/>
        </w:rPr>
      </w:pPr>
    </w:p>
    <w:p w14:paraId="2DFA7333">
      <w:pPr>
        <w:spacing w:line="360" w:lineRule="exact"/>
        <w:ind w:firstLine="0" w:firstLineChars="0"/>
        <w:jc w:val="left"/>
        <w:rPr>
          <w:rFonts w:ascii="宋体" w:hAnsi="宋体" w:cs="Courier New"/>
          <w:color w:val="auto"/>
          <w:szCs w:val="21"/>
          <w:highlight w:val="none"/>
          <w:u w:val="single"/>
        </w:rPr>
      </w:pPr>
    </w:p>
    <w:p w14:paraId="59524619">
      <w:pPr>
        <w:spacing w:line="360" w:lineRule="exact"/>
        <w:ind w:firstLine="0" w:firstLineChars="0"/>
        <w:jc w:val="left"/>
        <w:rPr>
          <w:rFonts w:ascii="宋体" w:hAnsi="宋体" w:cs="Courier New"/>
          <w:color w:val="auto"/>
          <w:szCs w:val="21"/>
          <w:highlight w:val="none"/>
          <w:u w:val="single"/>
        </w:rPr>
      </w:pPr>
    </w:p>
    <w:p w14:paraId="0D1047DC">
      <w:pPr>
        <w:spacing w:line="360" w:lineRule="exact"/>
        <w:ind w:firstLine="0" w:firstLineChars="0"/>
        <w:jc w:val="left"/>
        <w:rPr>
          <w:rFonts w:hint="eastAsia" w:ascii="宋体" w:hAnsi="宋体" w:cs="Courier New"/>
          <w:color w:val="auto"/>
          <w:szCs w:val="21"/>
          <w:highlight w:val="none"/>
          <w:u w:val="single"/>
        </w:rPr>
      </w:pPr>
    </w:p>
    <w:p w14:paraId="5FE50F4B">
      <w:pPr>
        <w:spacing w:line="360" w:lineRule="exact"/>
        <w:ind w:firstLine="0" w:firstLineChars="0"/>
        <w:jc w:val="left"/>
        <w:rPr>
          <w:rFonts w:ascii="宋体" w:hAnsi="宋体" w:cs="Courier New"/>
          <w:color w:val="auto"/>
          <w:szCs w:val="21"/>
          <w:highlight w:val="none"/>
          <w:u w:val="single"/>
        </w:rPr>
      </w:pPr>
    </w:p>
    <w:p w14:paraId="6947770C">
      <w:pPr>
        <w:spacing w:line="360" w:lineRule="exact"/>
        <w:ind w:firstLine="0" w:firstLineChars="0"/>
        <w:jc w:val="left"/>
        <w:rPr>
          <w:rFonts w:ascii="宋体" w:hAnsi="宋体" w:cs="Courier New"/>
          <w:color w:val="auto"/>
          <w:szCs w:val="21"/>
          <w:highlight w:val="none"/>
          <w:u w:val="single"/>
        </w:rPr>
      </w:pPr>
    </w:p>
    <w:p w14:paraId="45658FE3">
      <w:pPr>
        <w:spacing w:line="360" w:lineRule="exact"/>
        <w:ind w:firstLine="0" w:firstLineChars="0"/>
        <w:jc w:val="left"/>
        <w:rPr>
          <w:rFonts w:hint="eastAsia" w:ascii="宋体" w:hAnsi="宋体" w:cs="Courier New"/>
          <w:color w:val="auto"/>
          <w:szCs w:val="21"/>
          <w:highlight w:val="none"/>
          <w:u w:val="single"/>
        </w:rPr>
      </w:pPr>
    </w:p>
    <w:p w14:paraId="6AF2ED6B">
      <w:pPr>
        <w:spacing w:line="360" w:lineRule="exact"/>
        <w:ind w:firstLine="0" w:firstLineChars="0"/>
        <w:jc w:val="left"/>
        <w:rPr>
          <w:rFonts w:hint="eastAsia" w:ascii="宋体" w:hAnsi="宋体" w:cs="Courier New"/>
          <w:color w:val="auto"/>
          <w:szCs w:val="21"/>
          <w:highlight w:val="none"/>
          <w:u w:val="single"/>
        </w:rPr>
      </w:pPr>
    </w:p>
    <w:p w14:paraId="5A5E41B8">
      <w:pPr>
        <w:spacing w:line="360" w:lineRule="exact"/>
        <w:ind w:firstLine="0" w:firstLineChars="0"/>
        <w:jc w:val="left"/>
        <w:rPr>
          <w:rFonts w:ascii="宋体" w:hAnsi="宋体" w:cs="Courier New"/>
          <w:color w:val="auto"/>
          <w:szCs w:val="21"/>
          <w:highlight w:val="none"/>
          <w:u w:val="single"/>
        </w:rPr>
      </w:pPr>
    </w:p>
    <w:p w14:paraId="6B56B34A">
      <w:pPr>
        <w:spacing w:line="360" w:lineRule="exact"/>
        <w:ind w:firstLine="0" w:firstLineChars="0"/>
        <w:jc w:val="left"/>
        <w:rPr>
          <w:rFonts w:hint="eastAsia" w:ascii="宋体" w:hAnsi="宋体" w:cs="Courier New"/>
          <w:color w:val="auto"/>
          <w:szCs w:val="21"/>
          <w:highlight w:val="none"/>
          <w:u w:val="single"/>
        </w:rPr>
      </w:pPr>
    </w:p>
    <w:p w14:paraId="3ABB3776">
      <w:pPr>
        <w:spacing w:line="360" w:lineRule="exact"/>
        <w:ind w:firstLine="0" w:firstLineChars="0"/>
        <w:jc w:val="left"/>
        <w:rPr>
          <w:rFonts w:hint="eastAsia" w:ascii="宋体" w:hAnsi="宋体" w:cs="Courier New"/>
          <w:color w:val="auto"/>
          <w:szCs w:val="21"/>
          <w:highlight w:val="none"/>
          <w:u w:val="single"/>
        </w:rPr>
      </w:pPr>
    </w:p>
    <w:p w14:paraId="69469200">
      <w:pPr>
        <w:spacing w:line="360" w:lineRule="exact"/>
        <w:ind w:firstLine="0" w:firstLineChars="0"/>
        <w:jc w:val="left"/>
        <w:rPr>
          <w:rFonts w:ascii="宋体" w:hAnsi="宋体" w:cs="Courier New"/>
          <w:color w:val="auto"/>
          <w:szCs w:val="21"/>
          <w:highlight w:val="none"/>
          <w:u w:val="single"/>
        </w:rPr>
      </w:pPr>
    </w:p>
    <w:p w14:paraId="27E5D8DC">
      <w:pPr>
        <w:spacing w:line="260" w:lineRule="exact"/>
        <w:ind w:firstLine="0" w:firstLineChars="0"/>
        <w:jc w:val="left"/>
        <w:rPr>
          <w:rFonts w:ascii="宋体" w:hAnsi="宋体" w:cs="Courier New"/>
          <w:color w:val="auto"/>
          <w:sz w:val="18"/>
          <w:szCs w:val="18"/>
          <w:highlight w:val="none"/>
          <w:u w:val="single"/>
        </w:rPr>
      </w:pPr>
      <w:r>
        <w:rPr>
          <w:rFonts w:hint="eastAsia" w:ascii="宋体" w:hAnsi="宋体" w:cs="Courier New"/>
          <w:color w:val="auto"/>
          <w:sz w:val="18"/>
          <w:szCs w:val="18"/>
          <w:highlight w:val="none"/>
          <w:u w:val="single"/>
        </w:rPr>
        <w:t xml:space="preserve"> </w:t>
      </w:r>
      <w:r>
        <w:rPr>
          <w:rFonts w:ascii="宋体" w:hAnsi="宋体" w:cs="Courier New"/>
          <w:color w:val="auto"/>
          <w:sz w:val="18"/>
          <w:szCs w:val="18"/>
          <w:highlight w:val="none"/>
          <w:u w:val="single"/>
        </w:rPr>
        <w:t xml:space="preserve">                       </w:t>
      </w:r>
    </w:p>
    <w:p w14:paraId="5419EF5C">
      <w:pPr>
        <w:spacing w:line="260" w:lineRule="exact"/>
        <w:ind w:firstLine="0" w:firstLineChars="0"/>
        <w:jc w:val="left"/>
        <w:rPr>
          <w:rFonts w:hint="eastAsia" w:ascii="宋体" w:hAnsi="宋体" w:cs="Courier New"/>
          <w:color w:val="auto"/>
          <w:sz w:val="18"/>
          <w:szCs w:val="18"/>
          <w:highlight w:val="none"/>
          <w:u w:val="single"/>
        </w:rPr>
      </w:pPr>
      <w:r>
        <w:rPr>
          <w:rFonts w:ascii="宋体" w:hAnsi="宋体" w:cs="Courier New"/>
          <w:color w:val="auto"/>
          <w:sz w:val="18"/>
          <w:szCs w:val="18"/>
          <w:highlight w:val="none"/>
        </w:rPr>
        <w:fldChar w:fldCharType="begin"/>
      </w:r>
      <w:r>
        <w:rPr>
          <w:rFonts w:ascii="宋体" w:hAnsi="宋体" w:cs="Courier New"/>
          <w:color w:val="auto"/>
          <w:sz w:val="18"/>
          <w:szCs w:val="18"/>
          <w:highlight w:val="none"/>
        </w:rPr>
        <w:instrText xml:space="preserve"> HYPERLINK "http://www.ccgp.gov.cn/zcfg/mof/201709/t20170904_8787205.htm" </w:instrText>
      </w:r>
      <w:r>
        <w:rPr>
          <w:rFonts w:ascii="宋体" w:hAnsi="宋体" w:cs="Courier New"/>
          <w:color w:val="auto"/>
          <w:sz w:val="18"/>
          <w:szCs w:val="18"/>
          <w:highlight w:val="none"/>
        </w:rPr>
        <w:fldChar w:fldCharType="separate"/>
      </w:r>
      <w:r>
        <w:rPr>
          <w:rFonts w:hint="eastAsia" w:ascii="宋体" w:hAnsi="宋体" w:cs="Courier New"/>
          <w:color w:val="auto"/>
          <w:sz w:val="18"/>
          <w:szCs w:val="18"/>
          <w:highlight w:val="none"/>
          <w:u w:val="single"/>
        </w:rPr>
        <w:t>《财政部 民政部 中国残疾人联</w:t>
      </w:r>
      <w:bookmarkStart w:id="232" w:name="_Hlt94193982"/>
      <w:bookmarkStart w:id="233" w:name="_Hlt94193983"/>
      <w:r>
        <w:rPr>
          <w:rFonts w:hint="eastAsia" w:ascii="宋体" w:hAnsi="宋体" w:cs="Courier New"/>
          <w:color w:val="auto"/>
          <w:sz w:val="18"/>
          <w:szCs w:val="18"/>
          <w:highlight w:val="none"/>
          <w:u w:val="single"/>
        </w:rPr>
        <w:t>合</w:t>
      </w:r>
      <w:bookmarkEnd w:id="232"/>
      <w:bookmarkEnd w:id="233"/>
      <w:r>
        <w:rPr>
          <w:rFonts w:hint="eastAsia" w:ascii="宋体" w:hAnsi="宋体" w:cs="Courier New"/>
          <w:color w:val="auto"/>
          <w:sz w:val="18"/>
          <w:szCs w:val="18"/>
          <w:highlight w:val="none"/>
          <w:u w:val="single"/>
        </w:rPr>
        <w:t>会关于促进残疾人就业政府采购政策的通知》(财库〔2017〕141号)</w:t>
      </w:r>
      <w:r>
        <w:rPr>
          <w:rFonts w:ascii="宋体" w:hAnsi="宋体" w:cs="Courier New"/>
          <w:color w:val="auto"/>
          <w:sz w:val="18"/>
          <w:szCs w:val="18"/>
          <w:highlight w:val="none"/>
          <w:u w:val="single"/>
        </w:rPr>
        <w:fldChar w:fldCharType="end"/>
      </w:r>
    </w:p>
    <w:p w14:paraId="0BF85B66">
      <w:pPr>
        <w:ind w:firstLine="0" w:firstLineChars="0"/>
        <w:jc w:val="both"/>
        <w:rPr>
          <w:rFonts w:hint="eastAsia" w:ascii="宋体" w:hAnsi="宋体"/>
          <w:color w:val="auto"/>
          <w:szCs w:val="21"/>
          <w:highlight w:val="none"/>
        </w:rPr>
      </w:pPr>
    </w:p>
    <w:sectPr>
      <w:headerReference r:id="rId11" w:type="default"/>
      <w:footerReference r:id="rId12" w:type="default"/>
      <w:pgSz w:w="11906" w:h="16838"/>
      <w:pgMar w:top="1246" w:right="1106" w:bottom="1091" w:left="108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Bosch Office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DB659">
    <w:pPr>
      <w:pStyle w:val="35"/>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F12A0B">
                          <w:pPr>
                            <w:pStyle w:val="3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34F12A0B">
                    <w:pPr>
                      <w:pStyle w:val="3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65824">
    <w:pPr>
      <w:pStyle w:val="3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0891">
    <w:pPr>
      <w:pStyle w:val="3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B525B">
    <w:pPr>
      <w:pStyle w:val="35"/>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F43602">
                          <w:pPr>
                            <w:pStyle w:val="35"/>
                            <w:ind w:firstLine="360"/>
                            <w:jc w:val="center"/>
                          </w:pPr>
                          <w:r>
                            <w:fldChar w:fldCharType="begin"/>
                          </w:r>
                          <w:r>
                            <w:instrText xml:space="preserve">PAGE   \* MERGEFORMAT</w:instrText>
                          </w:r>
                          <w:r>
                            <w:fldChar w:fldCharType="separate"/>
                          </w:r>
                          <w:r>
                            <w:rPr>
                              <w:lang w:val="zh-CN"/>
                            </w:rPr>
                            <w:t>73</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14:paraId="46F43602">
                    <w:pPr>
                      <w:pStyle w:val="35"/>
                      <w:ind w:firstLine="360"/>
                      <w:jc w:val="center"/>
                    </w:pPr>
                    <w:r>
                      <w:fldChar w:fldCharType="begin"/>
                    </w:r>
                    <w:r>
                      <w:instrText xml:space="preserve">PAGE   \* MERGEFORMAT</w:instrText>
                    </w:r>
                    <w:r>
                      <w:fldChar w:fldCharType="separate"/>
                    </w:r>
                    <w:r>
                      <w:rPr>
                        <w:lang w:val="zh-CN"/>
                      </w:rPr>
                      <w:t>73</w:t>
                    </w:r>
                    <w:r>
                      <w:fldChar w:fldCharType="end"/>
                    </w:r>
                  </w:p>
                </w:txbxContent>
              </v:textbox>
            </v:shape>
          </w:pict>
        </mc:Fallback>
      </mc:AlternateContent>
    </w:r>
  </w:p>
  <w:p w14:paraId="472DE133">
    <w:pPr>
      <w:pStyle w:val="3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991E5">
    <w:pPr>
      <w:pBdr>
        <w:bottom w:val="single" w:color="auto" w:sz="4" w:space="0"/>
      </w:pBdr>
      <w:ind w:right="-874" w:rightChars="-416" w:firstLine="720" w:firstLineChars="400"/>
      <w:rPr>
        <w:sz w:val="18"/>
        <w:szCs w:val="18"/>
        <w:u w:val="none"/>
      </w:rPr>
    </w:pPr>
    <w:r>
      <w:rPr>
        <w:rFonts w:hint="eastAsia"/>
        <w:sz w:val="18"/>
        <w:szCs w:val="18"/>
        <w:u w:val="none"/>
      </w:rPr>
      <w:t>钦州市政府采购中心</w:t>
    </w:r>
    <w:r>
      <w:rPr>
        <w:rFonts w:hint="eastAsia"/>
        <w:sz w:val="18"/>
        <w:szCs w:val="18"/>
        <w:u w:val="none"/>
        <w:lang w:val="en-US" w:eastAsia="zh-CN"/>
      </w:rPr>
      <w:t xml:space="preserve">          </w:t>
    </w:r>
    <w:r>
      <w:rPr>
        <w:rFonts w:hint="eastAsia"/>
        <w:sz w:val="18"/>
        <w:szCs w:val="18"/>
        <w:u w:val="none"/>
        <w:lang w:eastAsia="zh-CN"/>
      </w:rPr>
      <w:t>灵山县发展和改革局灵山县电子政务外网服务</w:t>
    </w:r>
    <w:r>
      <w:rPr>
        <w:rFonts w:hint="eastAsia"/>
        <w:sz w:val="18"/>
        <w:szCs w:val="18"/>
        <w:u w:val="none"/>
      </w:rPr>
      <w:t>(</w:t>
    </w:r>
    <w:r>
      <w:rPr>
        <w:rFonts w:hint="eastAsia"/>
        <w:sz w:val="18"/>
        <w:szCs w:val="18"/>
        <w:u w:val="none"/>
        <w:lang w:eastAsia="zh-CN"/>
      </w:rPr>
      <w:t>QZZC2025-G3-210251-QZSZ</w:t>
    </w:r>
    <w:r>
      <w:rPr>
        <w:sz w:val="18"/>
        <w:szCs w:val="18"/>
        <w:u w:val="none"/>
      </w:rPr>
      <w:t>)</w:t>
    </w:r>
    <w:r>
      <w:rPr>
        <w:rFonts w:hint="eastAsia"/>
        <w:sz w:val="18"/>
        <w:szCs w:val="18"/>
        <w:u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9D38E">
    <w:pPr>
      <w:pStyle w:val="3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7CA2D">
    <w:pPr>
      <w:pStyle w:val="3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D0476">
    <w:pPr>
      <w:pBdr>
        <w:bottom w:val="single" w:color="auto" w:sz="4" w:space="0"/>
      </w:pBdr>
      <w:ind w:left="-718" w:leftChars="-342" w:right="-874" w:rightChars="-416" w:firstLine="716" w:firstLineChars="398"/>
      <w:jc w:val="center"/>
      <w:rPr>
        <w:rFonts w:hint="default" w:eastAsia="宋体"/>
        <w:u w:val="none"/>
        <w:lang w:val="en-US" w:eastAsia="zh-CN"/>
      </w:rPr>
    </w:pPr>
    <w:r>
      <w:rPr>
        <w:rFonts w:hint="eastAsia"/>
        <w:sz w:val="18"/>
        <w:szCs w:val="18"/>
        <w:u w:val="none"/>
      </w:rPr>
      <w:t>钦州市政府采购中心</w:t>
    </w:r>
    <w:r>
      <w:rPr>
        <w:rFonts w:hint="eastAsia"/>
        <w:sz w:val="18"/>
        <w:szCs w:val="18"/>
        <w:u w:val="none"/>
        <w:lang w:val="en-US" w:eastAsia="zh-CN"/>
      </w:rPr>
      <w:t xml:space="preserve">  </w:t>
    </w:r>
    <w:r>
      <w:rPr>
        <w:rFonts w:hint="eastAsia"/>
        <w:sz w:val="18"/>
        <w:szCs w:val="18"/>
        <w:u w:val="none"/>
        <w:lang w:eastAsia="zh-CN"/>
      </w:rPr>
      <w:t>灵山县发展和改革局灵山县电子政务外网服务</w:t>
    </w:r>
    <w:r>
      <w:rPr>
        <w:rFonts w:hint="eastAsia"/>
        <w:sz w:val="18"/>
        <w:szCs w:val="18"/>
        <w:u w:val="none"/>
      </w:rPr>
      <w:t>(</w:t>
    </w:r>
    <w:r>
      <w:rPr>
        <w:rFonts w:hint="eastAsia"/>
        <w:sz w:val="18"/>
        <w:szCs w:val="18"/>
        <w:u w:val="none"/>
        <w:lang w:eastAsia="zh-CN"/>
      </w:rPr>
      <w:t>QZZC2025-G3-210251-QZSZ</w:t>
    </w:r>
    <w:r>
      <w:rPr>
        <w:sz w:val="18"/>
        <w:szCs w:val="18"/>
        <w:u w:val="none"/>
      </w:rPr>
      <w:t>)</w:t>
    </w:r>
    <w:r>
      <w:rPr>
        <w:rFonts w:hint="eastAsia"/>
        <w:sz w:val="18"/>
        <w:szCs w:val="18"/>
        <w:u w:val="non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C13E6"/>
    <w:multiLevelType w:val="singleLevel"/>
    <w:tmpl w:val="BECC13E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4NTg1YTZlNWE5OTU0OTY5ZDFiYTg2N2ZhODA2NzUifQ=="/>
  </w:docVars>
  <w:rsids>
    <w:rsidRoot w:val="00172A27"/>
    <w:rsid w:val="00001C41"/>
    <w:rsid w:val="00003C9F"/>
    <w:rsid w:val="00004B07"/>
    <w:rsid w:val="00005ECD"/>
    <w:rsid w:val="00007845"/>
    <w:rsid w:val="00012693"/>
    <w:rsid w:val="00013AAD"/>
    <w:rsid w:val="0001477A"/>
    <w:rsid w:val="000160E7"/>
    <w:rsid w:val="00016146"/>
    <w:rsid w:val="00017C52"/>
    <w:rsid w:val="00017DBB"/>
    <w:rsid w:val="00020915"/>
    <w:rsid w:val="00024F7F"/>
    <w:rsid w:val="00025DCF"/>
    <w:rsid w:val="00026191"/>
    <w:rsid w:val="00026324"/>
    <w:rsid w:val="000275CA"/>
    <w:rsid w:val="000305C3"/>
    <w:rsid w:val="00030EF6"/>
    <w:rsid w:val="00033238"/>
    <w:rsid w:val="00033880"/>
    <w:rsid w:val="00033A44"/>
    <w:rsid w:val="00035461"/>
    <w:rsid w:val="00036291"/>
    <w:rsid w:val="000370D2"/>
    <w:rsid w:val="00041F84"/>
    <w:rsid w:val="000426A5"/>
    <w:rsid w:val="00042B43"/>
    <w:rsid w:val="00044C2E"/>
    <w:rsid w:val="0004516D"/>
    <w:rsid w:val="00045C94"/>
    <w:rsid w:val="00046EBA"/>
    <w:rsid w:val="00047180"/>
    <w:rsid w:val="000475DF"/>
    <w:rsid w:val="0005111A"/>
    <w:rsid w:val="00051552"/>
    <w:rsid w:val="0005232E"/>
    <w:rsid w:val="00052E87"/>
    <w:rsid w:val="00054E52"/>
    <w:rsid w:val="000614D1"/>
    <w:rsid w:val="00065472"/>
    <w:rsid w:val="00065951"/>
    <w:rsid w:val="00065FC9"/>
    <w:rsid w:val="000661F6"/>
    <w:rsid w:val="00066921"/>
    <w:rsid w:val="00066D8C"/>
    <w:rsid w:val="000678F6"/>
    <w:rsid w:val="00067C4F"/>
    <w:rsid w:val="00070C5F"/>
    <w:rsid w:val="00073C68"/>
    <w:rsid w:val="0007687D"/>
    <w:rsid w:val="00077520"/>
    <w:rsid w:val="0008019D"/>
    <w:rsid w:val="000810CF"/>
    <w:rsid w:val="000813F7"/>
    <w:rsid w:val="00081AB0"/>
    <w:rsid w:val="00082608"/>
    <w:rsid w:val="0008269E"/>
    <w:rsid w:val="00086370"/>
    <w:rsid w:val="0009000E"/>
    <w:rsid w:val="00091F80"/>
    <w:rsid w:val="00093D81"/>
    <w:rsid w:val="00093F5D"/>
    <w:rsid w:val="000946C4"/>
    <w:rsid w:val="000967E7"/>
    <w:rsid w:val="000975E8"/>
    <w:rsid w:val="00097FD6"/>
    <w:rsid w:val="000A1524"/>
    <w:rsid w:val="000A1C5F"/>
    <w:rsid w:val="000A2692"/>
    <w:rsid w:val="000A4349"/>
    <w:rsid w:val="000A489C"/>
    <w:rsid w:val="000B0DB5"/>
    <w:rsid w:val="000B1576"/>
    <w:rsid w:val="000B24A1"/>
    <w:rsid w:val="000B327F"/>
    <w:rsid w:val="000B3AFF"/>
    <w:rsid w:val="000B3E41"/>
    <w:rsid w:val="000B53E8"/>
    <w:rsid w:val="000B54BA"/>
    <w:rsid w:val="000B5D4A"/>
    <w:rsid w:val="000B6457"/>
    <w:rsid w:val="000B7E3D"/>
    <w:rsid w:val="000C1488"/>
    <w:rsid w:val="000C15CD"/>
    <w:rsid w:val="000C23CE"/>
    <w:rsid w:val="000C2FAF"/>
    <w:rsid w:val="000C544E"/>
    <w:rsid w:val="000C5F92"/>
    <w:rsid w:val="000C6B4F"/>
    <w:rsid w:val="000C7F0E"/>
    <w:rsid w:val="000D146C"/>
    <w:rsid w:val="000D221E"/>
    <w:rsid w:val="000D228B"/>
    <w:rsid w:val="000D2BAD"/>
    <w:rsid w:val="000D4A19"/>
    <w:rsid w:val="000D4AA8"/>
    <w:rsid w:val="000D5462"/>
    <w:rsid w:val="000D6065"/>
    <w:rsid w:val="000D7688"/>
    <w:rsid w:val="000D78F3"/>
    <w:rsid w:val="000E02B7"/>
    <w:rsid w:val="000E18B0"/>
    <w:rsid w:val="000E4001"/>
    <w:rsid w:val="000E5CA3"/>
    <w:rsid w:val="000F0060"/>
    <w:rsid w:val="000F42FE"/>
    <w:rsid w:val="000F43CE"/>
    <w:rsid w:val="000F4584"/>
    <w:rsid w:val="000F4EB0"/>
    <w:rsid w:val="000F535C"/>
    <w:rsid w:val="000F54FC"/>
    <w:rsid w:val="000F6025"/>
    <w:rsid w:val="000F72B4"/>
    <w:rsid w:val="000F74B2"/>
    <w:rsid w:val="000F7596"/>
    <w:rsid w:val="000F7B38"/>
    <w:rsid w:val="00100302"/>
    <w:rsid w:val="00100C84"/>
    <w:rsid w:val="001043ED"/>
    <w:rsid w:val="00105AFE"/>
    <w:rsid w:val="0010791A"/>
    <w:rsid w:val="0011027F"/>
    <w:rsid w:val="001114A8"/>
    <w:rsid w:val="00111624"/>
    <w:rsid w:val="0011292D"/>
    <w:rsid w:val="001136E4"/>
    <w:rsid w:val="00113A1D"/>
    <w:rsid w:val="001165CA"/>
    <w:rsid w:val="00117AB3"/>
    <w:rsid w:val="00122276"/>
    <w:rsid w:val="00122CAF"/>
    <w:rsid w:val="0012517D"/>
    <w:rsid w:val="00125838"/>
    <w:rsid w:val="00125CA9"/>
    <w:rsid w:val="00125D4C"/>
    <w:rsid w:val="00127B34"/>
    <w:rsid w:val="0013049E"/>
    <w:rsid w:val="00132030"/>
    <w:rsid w:val="001355F0"/>
    <w:rsid w:val="0013690F"/>
    <w:rsid w:val="00136CBE"/>
    <w:rsid w:val="00136D58"/>
    <w:rsid w:val="001413A7"/>
    <w:rsid w:val="00141669"/>
    <w:rsid w:val="001416F1"/>
    <w:rsid w:val="0014325C"/>
    <w:rsid w:val="001433CB"/>
    <w:rsid w:val="0014352D"/>
    <w:rsid w:val="0014402F"/>
    <w:rsid w:val="00144FFC"/>
    <w:rsid w:val="00145365"/>
    <w:rsid w:val="001508BF"/>
    <w:rsid w:val="00150ABB"/>
    <w:rsid w:val="001523A7"/>
    <w:rsid w:val="00154346"/>
    <w:rsid w:val="00154475"/>
    <w:rsid w:val="00156E77"/>
    <w:rsid w:val="00157098"/>
    <w:rsid w:val="00161EFD"/>
    <w:rsid w:val="00162625"/>
    <w:rsid w:val="00162CA7"/>
    <w:rsid w:val="00162DFA"/>
    <w:rsid w:val="001639E0"/>
    <w:rsid w:val="00164CF9"/>
    <w:rsid w:val="001652F1"/>
    <w:rsid w:val="00165A09"/>
    <w:rsid w:val="00167AB2"/>
    <w:rsid w:val="00170C99"/>
    <w:rsid w:val="00171EC6"/>
    <w:rsid w:val="00174BFF"/>
    <w:rsid w:val="001763E9"/>
    <w:rsid w:val="00180165"/>
    <w:rsid w:val="001801BC"/>
    <w:rsid w:val="001804BF"/>
    <w:rsid w:val="001806CC"/>
    <w:rsid w:val="00182521"/>
    <w:rsid w:val="0018254C"/>
    <w:rsid w:val="001831F8"/>
    <w:rsid w:val="00184C4C"/>
    <w:rsid w:val="00184FDC"/>
    <w:rsid w:val="001855F8"/>
    <w:rsid w:val="0018684F"/>
    <w:rsid w:val="00192114"/>
    <w:rsid w:val="001948A5"/>
    <w:rsid w:val="00194926"/>
    <w:rsid w:val="00195E24"/>
    <w:rsid w:val="00195EA6"/>
    <w:rsid w:val="001965D9"/>
    <w:rsid w:val="00197428"/>
    <w:rsid w:val="001A68F7"/>
    <w:rsid w:val="001A77AB"/>
    <w:rsid w:val="001B030A"/>
    <w:rsid w:val="001B04BA"/>
    <w:rsid w:val="001B194B"/>
    <w:rsid w:val="001B1D7D"/>
    <w:rsid w:val="001B1F40"/>
    <w:rsid w:val="001B239E"/>
    <w:rsid w:val="001B2A26"/>
    <w:rsid w:val="001B5B3B"/>
    <w:rsid w:val="001B6C4B"/>
    <w:rsid w:val="001B7830"/>
    <w:rsid w:val="001C037C"/>
    <w:rsid w:val="001C0B9E"/>
    <w:rsid w:val="001C0E1B"/>
    <w:rsid w:val="001C2596"/>
    <w:rsid w:val="001C26AF"/>
    <w:rsid w:val="001C2900"/>
    <w:rsid w:val="001C2C83"/>
    <w:rsid w:val="001C3253"/>
    <w:rsid w:val="001C3A35"/>
    <w:rsid w:val="001C7768"/>
    <w:rsid w:val="001D060E"/>
    <w:rsid w:val="001D193D"/>
    <w:rsid w:val="001D1C2D"/>
    <w:rsid w:val="001D3899"/>
    <w:rsid w:val="001D3D0C"/>
    <w:rsid w:val="001D4B14"/>
    <w:rsid w:val="001D6825"/>
    <w:rsid w:val="001D7B0A"/>
    <w:rsid w:val="001E07E0"/>
    <w:rsid w:val="001E60C2"/>
    <w:rsid w:val="001F2483"/>
    <w:rsid w:val="001F2DEA"/>
    <w:rsid w:val="001F3357"/>
    <w:rsid w:val="001F34E7"/>
    <w:rsid w:val="001F4F71"/>
    <w:rsid w:val="001F74F7"/>
    <w:rsid w:val="001F76B0"/>
    <w:rsid w:val="001F7B88"/>
    <w:rsid w:val="001F7BDB"/>
    <w:rsid w:val="002006DC"/>
    <w:rsid w:val="0020130C"/>
    <w:rsid w:val="002021E6"/>
    <w:rsid w:val="002025EF"/>
    <w:rsid w:val="002042E9"/>
    <w:rsid w:val="00206204"/>
    <w:rsid w:val="00207B56"/>
    <w:rsid w:val="00210A09"/>
    <w:rsid w:val="00210C7B"/>
    <w:rsid w:val="002112FE"/>
    <w:rsid w:val="002119B2"/>
    <w:rsid w:val="00213FA3"/>
    <w:rsid w:val="002152E4"/>
    <w:rsid w:val="00215EAA"/>
    <w:rsid w:val="00215FA8"/>
    <w:rsid w:val="0021605A"/>
    <w:rsid w:val="0021665F"/>
    <w:rsid w:val="0021669A"/>
    <w:rsid w:val="00216960"/>
    <w:rsid w:val="00217C83"/>
    <w:rsid w:val="00220AD9"/>
    <w:rsid w:val="00221742"/>
    <w:rsid w:val="00221F2F"/>
    <w:rsid w:val="0022355C"/>
    <w:rsid w:val="00223AAE"/>
    <w:rsid w:val="002249F3"/>
    <w:rsid w:val="00230F6D"/>
    <w:rsid w:val="0023157B"/>
    <w:rsid w:val="00231C4F"/>
    <w:rsid w:val="002325A6"/>
    <w:rsid w:val="00232CE7"/>
    <w:rsid w:val="002352BE"/>
    <w:rsid w:val="002366FD"/>
    <w:rsid w:val="00237FEE"/>
    <w:rsid w:val="002401F4"/>
    <w:rsid w:val="00240477"/>
    <w:rsid w:val="00240550"/>
    <w:rsid w:val="002405E2"/>
    <w:rsid w:val="00241ECB"/>
    <w:rsid w:val="00242B02"/>
    <w:rsid w:val="002454B7"/>
    <w:rsid w:val="00246631"/>
    <w:rsid w:val="00251186"/>
    <w:rsid w:val="002524F2"/>
    <w:rsid w:val="00254094"/>
    <w:rsid w:val="002547A8"/>
    <w:rsid w:val="0025495B"/>
    <w:rsid w:val="00255DED"/>
    <w:rsid w:val="00255FF4"/>
    <w:rsid w:val="00257075"/>
    <w:rsid w:val="002577B9"/>
    <w:rsid w:val="00260578"/>
    <w:rsid w:val="002608F5"/>
    <w:rsid w:val="00262137"/>
    <w:rsid w:val="00264176"/>
    <w:rsid w:val="0026522E"/>
    <w:rsid w:val="0026542D"/>
    <w:rsid w:val="002663F1"/>
    <w:rsid w:val="0026796C"/>
    <w:rsid w:val="0027019C"/>
    <w:rsid w:val="00270826"/>
    <w:rsid w:val="0027137F"/>
    <w:rsid w:val="00272BDE"/>
    <w:rsid w:val="00273E33"/>
    <w:rsid w:val="00275721"/>
    <w:rsid w:val="0027578A"/>
    <w:rsid w:val="0027634E"/>
    <w:rsid w:val="002802C4"/>
    <w:rsid w:val="0028080A"/>
    <w:rsid w:val="00282616"/>
    <w:rsid w:val="00282C9A"/>
    <w:rsid w:val="0028724E"/>
    <w:rsid w:val="002948D3"/>
    <w:rsid w:val="00294B90"/>
    <w:rsid w:val="00294F1C"/>
    <w:rsid w:val="002A0CF3"/>
    <w:rsid w:val="002A1634"/>
    <w:rsid w:val="002A16F5"/>
    <w:rsid w:val="002A1D90"/>
    <w:rsid w:val="002A3270"/>
    <w:rsid w:val="002A3CE6"/>
    <w:rsid w:val="002A5B6F"/>
    <w:rsid w:val="002A61B8"/>
    <w:rsid w:val="002A61ED"/>
    <w:rsid w:val="002A7AA6"/>
    <w:rsid w:val="002B6F80"/>
    <w:rsid w:val="002B77EC"/>
    <w:rsid w:val="002B7D1F"/>
    <w:rsid w:val="002B7D68"/>
    <w:rsid w:val="002C0109"/>
    <w:rsid w:val="002C23A0"/>
    <w:rsid w:val="002C2854"/>
    <w:rsid w:val="002C3B58"/>
    <w:rsid w:val="002C3E10"/>
    <w:rsid w:val="002C3EC1"/>
    <w:rsid w:val="002C522B"/>
    <w:rsid w:val="002C559D"/>
    <w:rsid w:val="002C6599"/>
    <w:rsid w:val="002C6888"/>
    <w:rsid w:val="002C7E62"/>
    <w:rsid w:val="002D0215"/>
    <w:rsid w:val="002D0AFC"/>
    <w:rsid w:val="002D1F26"/>
    <w:rsid w:val="002D215C"/>
    <w:rsid w:val="002D269B"/>
    <w:rsid w:val="002D26A0"/>
    <w:rsid w:val="002D38D1"/>
    <w:rsid w:val="002D6672"/>
    <w:rsid w:val="002D6C92"/>
    <w:rsid w:val="002D72AE"/>
    <w:rsid w:val="002D79E9"/>
    <w:rsid w:val="002E07B6"/>
    <w:rsid w:val="002E1B72"/>
    <w:rsid w:val="002E247A"/>
    <w:rsid w:val="002E29BE"/>
    <w:rsid w:val="002E2DFB"/>
    <w:rsid w:val="002E65F0"/>
    <w:rsid w:val="002E6C59"/>
    <w:rsid w:val="002E76FF"/>
    <w:rsid w:val="002F1BA1"/>
    <w:rsid w:val="002F3754"/>
    <w:rsid w:val="002F65DB"/>
    <w:rsid w:val="002F6FEF"/>
    <w:rsid w:val="002F7908"/>
    <w:rsid w:val="002F7E05"/>
    <w:rsid w:val="00300D4D"/>
    <w:rsid w:val="00301154"/>
    <w:rsid w:val="00301C70"/>
    <w:rsid w:val="00302C49"/>
    <w:rsid w:val="00302CF9"/>
    <w:rsid w:val="003031CF"/>
    <w:rsid w:val="0030574E"/>
    <w:rsid w:val="00305BD2"/>
    <w:rsid w:val="00306A88"/>
    <w:rsid w:val="00311265"/>
    <w:rsid w:val="0031377D"/>
    <w:rsid w:val="003142C3"/>
    <w:rsid w:val="00315175"/>
    <w:rsid w:val="003208FF"/>
    <w:rsid w:val="00321568"/>
    <w:rsid w:val="00321C9B"/>
    <w:rsid w:val="0032226C"/>
    <w:rsid w:val="003227D2"/>
    <w:rsid w:val="00323A89"/>
    <w:rsid w:val="00324155"/>
    <w:rsid w:val="00326145"/>
    <w:rsid w:val="003263A4"/>
    <w:rsid w:val="00326FF8"/>
    <w:rsid w:val="003271F9"/>
    <w:rsid w:val="003272A0"/>
    <w:rsid w:val="0033094F"/>
    <w:rsid w:val="00335F45"/>
    <w:rsid w:val="00336DF8"/>
    <w:rsid w:val="00337770"/>
    <w:rsid w:val="00337BC9"/>
    <w:rsid w:val="003420EA"/>
    <w:rsid w:val="0034230C"/>
    <w:rsid w:val="00343FD7"/>
    <w:rsid w:val="003445FF"/>
    <w:rsid w:val="00346554"/>
    <w:rsid w:val="00347E76"/>
    <w:rsid w:val="00351623"/>
    <w:rsid w:val="003518BE"/>
    <w:rsid w:val="00352A04"/>
    <w:rsid w:val="00352CF9"/>
    <w:rsid w:val="003536BE"/>
    <w:rsid w:val="00354FD4"/>
    <w:rsid w:val="00357509"/>
    <w:rsid w:val="0036014D"/>
    <w:rsid w:val="003615A5"/>
    <w:rsid w:val="00363988"/>
    <w:rsid w:val="00364015"/>
    <w:rsid w:val="00366B17"/>
    <w:rsid w:val="00366D72"/>
    <w:rsid w:val="00366F3D"/>
    <w:rsid w:val="00367BA5"/>
    <w:rsid w:val="00370902"/>
    <w:rsid w:val="00371869"/>
    <w:rsid w:val="00371D43"/>
    <w:rsid w:val="00374871"/>
    <w:rsid w:val="00374D58"/>
    <w:rsid w:val="003751EF"/>
    <w:rsid w:val="003754A1"/>
    <w:rsid w:val="00375AEC"/>
    <w:rsid w:val="00375C64"/>
    <w:rsid w:val="00376F9D"/>
    <w:rsid w:val="00377A83"/>
    <w:rsid w:val="0038073D"/>
    <w:rsid w:val="00380EA9"/>
    <w:rsid w:val="003817AE"/>
    <w:rsid w:val="003823DD"/>
    <w:rsid w:val="0038477B"/>
    <w:rsid w:val="0038584F"/>
    <w:rsid w:val="00386573"/>
    <w:rsid w:val="00386986"/>
    <w:rsid w:val="003874A3"/>
    <w:rsid w:val="003878B5"/>
    <w:rsid w:val="00390BAF"/>
    <w:rsid w:val="00390DD8"/>
    <w:rsid w:val="00392BD2"/>
    <w:rsid w:val="00392F1E"/>
    <w:rsid w:val="00397210"/>
    <w:rsid w:val="003975CE"/>
    <w:rsid w:val="003A4DAF"/>
    <w:rsid w:val="003A6B38"/>
    <w:rsid w:val="003A7B6F"/>
    <w:rsid w:val="003B0EBE"/>
    <w:rsid w:val="003B1502"/>
    <w:rsid w:val="003B2309"/>
    <w:rsid w:val="003B2C18"/>
    <w:rsid w:val="003B2C3A"/>
    <w:rsid w:val="003B33A7"/>
    <w:rsid w:val="003B55D9"/>
    <w:rsid w:val="003B5B92"/>
    <w:rsid w:val="003B6A99"/>
    <w:rsid w:val="003B7B24"/>
    <w:rsid w:val="003B7C00"/>
    <w:rsid w:val="003C0953"/>
    <w:rsid w:val="003C1416"/>
    <w:rsid w:val="003C1641"/>
    <w:rsid w:val="003C1A26"/>
    <w:rsid w:val="003C3157"/>
    <w:rsid w:val="003C50C7"/>
    <w:rsid w:val="003C53A2"/>
    <w:rsid w:val="003C5FF2"/>
    <w:rsid w:val="003C7446"/>
    <w:rsid w:val="003C7567"/>
    <w:rsid w:val="003D07F3"/>
    <w:rsid w:val="003D12A1"/>
    <w:rsid w:val="003D46B5"/>
    <w:rsid w:val="003D48D3"/>
    <w:rsid w:val="003D4F7D"/>
    <w:rsid w:val="003E15B3"/>
    <w:rsid w:val="003E1D6D"/>
    <w:rsid w:val="003E33B0"/>
    <w:rsid w:val="003E5074"/>
    <w:rsid w:val="003E53A6"/>
    <w:rsid w:val="003E5FCE"/>
    <w:rsid w:val="003E6D27"/>
    <w:rsid w:val="003F09E7"/>
    <w:rsid w:val="003F0D7B"/>
    <w:rsid w:val="003F3B4E"/>
    <w:rsid w:val="003F4CE4"/>
    <w:rsid w:val="003F59AB"/>
    <w:rsid w:val="003F6278"/>
    <w:rsid w:val="003F6A32"/>
    <w:rsid w:val="003F7B27"/>
    <w:rsid w:val="00400EE1"/>
    <w:rsid w:val="004047B3"/>
    <w:rsid w:val="004048FF"/>
    <w:rsid w:val="00404E61"/>
    <w:rsid w:val="00404ED4"/>
    <w:rsid w:val="00405CE4"/>
    <w:rsid w:val="00405FCF"/>
    <w:rsid w:val="0040671E"/>
    <w:rsid w:val="00411508"/>
    <w:rsid w:val="004139D8"/>
    <w:rsid w:val="00415C8B"/>
    <w:rsid w:val="00415D4D"/>
    <w:rsid w:val="00416B6F"/>
    <w:rsid w:val="00416BED"/>
    <w:rsid w:val="00420384"/>
    <w:rsid w:val="00421836"/>
    <w:rsid w:val="00422BDF"/>
    <w:rsid w:val="00423B38"/>
    <w:rsid w:val="00424EEA"/>
    <w:rsid w:val="00430040"/>
    <w:rsid w:val="00430651"/>
    <w:rsid w:val="0043073A"/>
    <w:rsid w:val="004315BD"/>
    <w:rsid w:val="00431DAB"/>
    <w:rsid w:val="00432D12"/>
    <w:rsid w:val="004344A0"/>
    <w:rsid w:val="00434DE9"/>
    <w:rsid w:val="004358FB"/>
    <w:rsid w:val="00435FD1"/>
    <w:rsid w:val="00436B2B"/>
    <w:rsid w:val="00436DC3"/>
    <w:rsid w:val="00437B17"/>
    <w:rsid w:val="0044440E"/>
    <w:rsid w:val="00444822"/>
    <w:rsid w:val="004450F6"/>
    <w:rsid w:val="0044527C"/>
    <w:rsid w:val="0045055B"/>
    <w:rsid w:val="004523EC"/>
    <w:rsid w:val="00452CDB"/>
    <w:rsid w:val="00453BE2"/>
    <w:rsid w:val="00455A03"/>
    <w:rsid w:val="004563C5"/>
    <w:rsid w:val="00460591"/>
    <w:rsid w:val="00462766"/>
    <w:rsid w:val="00462944"/>
    <w:rsid w:val="00464AFC"/>
    <w:rsid w:val="004657CE"/>
    <w:rsid w:val="00466DA0"/>
    <w:rsid w:val="00467600"/>
    <w:rsid w:val="00467CAA"/>
    <w:rsid w:val="00467F86"/>
    <w:rsid w:val="00472321"/>
    <w:rsid w:val="00472C86"/>
    <w:rsid w:val="00476EC0"/>
    <w:rsid w:val="004774C7"/>
    <w:rsid w:val="00480613"/>
    <w:rsid w:val="004806FD"/>
    <w:rsid w:val="00481896"/>
    <w:rsid w:val="00482331"/>
    <w:rsid w:val="00483575"/>
    <w:rsid w:val="004864E4"/>
    <w:rsid w:val="00486726"/>
    <w:rsid w:val="00486880"/>
    <w:rsid w:val="00486E86"/>
    <w:rsid w:val="004878D5"/>
    <w:rsid w:val="00487F18"/>
    <w:rsid w:val="0049030D"/>
    <w:rsid w:val="00490A2E"/>
    <w:rsid w:val="00492C3B"/>
    <w:rsid w:val="004936ED"/>
    <w:rsid w:val="0049467C"/>
    <w:rsid w:val="00496AF2"/>
    <w:rsid w:val="00496B61"/>
    <w:rsid w:val="00497AF0"/>
    <w:rsid w:val="004A1466"/>
    <w:rsid w:val="004A18EB"/>
    <w:rsid w:val="004A36ED"/>
    <w:rsid w:val="004A3702"/>
    <w:rsid w:val="004A3BF2"/>
    <w:rsid w:val="004A3E8C"/>
    <w:rsid w:val="004A44FE"/>
    <w:rsid w:val="004A64E8"/>
    <w:rsid w:val="004B0336"/>
    <w:rsid w:val="004B0B67"/>
    <w:rsid w:val="004B220D"/>
    <w:rsid w:val="004B41C8"/>
    <w:rsid w:val="004B44A1"/>
    <w:rsid w:val="004B5442"/>
    <w:rsid w:val="004B56BE"/>
    <w:rsid w:val="004B6F0D"/>
    <w:rsid w:val="004C05C5"/>
    <w:rsid w:val="004C2B1A"/>
    <w:rsid w:val="004C3728"/>
    <w:rsid w:val="004C4E21"/>
    <w:rsid w:val="004C510E"/>
    <w:rsid w:val="004C591D"/>
    <w:rsid w:val="004C70EF"/>
    <w:rsid w:val="004C71BC"/>
    <w:rsid w:val="004C72C7"/>
    <w:rsid w:val="004C7E26"/>
    <w:rsid w:val="004D0105"/>
    <w:rsid w:val="004D039E"/>
    <w:rsid w:val="004D196C"/>
    <w:rsid w:val="004D5498"/>
    <w:rsid w:val="004D566B"/>
    <w:rsid w:val="004D66D9"/>
    <w:rsid w:val="004D725D"/>
    <w:rsid w:val="004D7335"/>
    <w:rsid w:val="004E6A33"/>
    <w:rsid w:val="004E7CD4"/>
    <w:rsid w:val="004E7F2D"/>
    <w:rsid w:val="004F0070"/>
    <w:rsid w:val="004F120E"/>
    <w:rsid w:val="004F1429"/>
    <w:rsid w:val="004F2C74"/>
    <w:rsid w:val="004F3B61"/>
    <w:rsid w:val="004F4A12"/>
    <w:rsid w:val="00501D4A"/>
    <w:rsid w:val="00502971"/>
    <w:rsid w:val="00503573"/>
    <w:rsid w:val="00504D68"/>
    <w:rsid w:val="005057DF"/>
    <w:rsid w:val="00507933"/>
    <w:rsid w:val="00512FBB"/>
    <w:rsid w:val="0051311A"/>
    <w:rsid w:val="005145E9"/>
    <w:rsid w:val="005168DD"/>
    <w:rsid w:val="005169E9"/>
    <w:rsid w:val="0051748A"/>
    <w:rsid w:val="00517FD7"/>
    <w:rsid w:val="005202D0"/>
    <w:rsid w:val="00521EEC"/>
    <w:rsid w:val="00522A3E"/>
    <w:rsid w:val="00523A0A"/>
    <w:rsid w:val="005302A8"/>
    <w:rsid w:val="00531571"/>
    <w:rsid w:val="0053179A"/>
    <w:rsid w:val="00531921"/>
    <w:rsid w:val="005326D3"/>
    <w:rsid w:val="00533779"/>
    <w:rsid w:val="005343BF"/>
    <w:rsid w:val="005355DD"/>
    <w:rsid w:val="00536DE6"/>
    <w:rsid w:val="0053748D"/>
    <w:rsid w:val="00537B64"/>
    <w:rsid w:val="005407FE"/>
    <w:rsid w:val="00541BFB"/>
    <w:rsid w:val="0054409A"/>
    <w:rsid w:val="0054480B"/>
    <w:rsid w:val="00545B99"/>
    <w:rsid w:val="005473E3"/>
    <w:rsid w:val="00547CDF"/>
    <w:rsid w:val="00552C66"/>
    <w:rsid w:val="0055374A"/>
    <w:rsid w:val="005547AA"/>
    <w:rsid w:val="00554BF3"/>
    <w:rsid w:val="00555E7B"/>
    <w:rsid w:val="00556371"/>
    <w:rsid w:val="005565F1"/>
    <w:rsid w:val="00556722"/>
    <w:rsid w:val="00557073"/>
    <w:rsid w:val="0056035F"/>
    <w:rsid w:val="005613D9"/>
    <w:rsid w:val="005640A4"/>
    <w:rsid w:val="00565632"/>
    <w:rsid w:val="005678DC"/>
    <w:rsid w:val="00567EFD"/>
    <w:rsid w:val="005713EB"/>
    <w:rsid w:val="00572C54"/>
    <w:rsid w:val="00572C7A"/>
    <w:rsid w:val="00573795"/>
    <w:rsid w:val="00573BB0"/>
    <w:rsid w:val="00573CC5"/>
    <w:rsid w:val="0057770B"/>
    <w:rsid w:val="005779A2"/>
    <w:rsid w:val="005818D0"/>
    <w:rsid w:val="005819C3"/>
    <w:rsid w:val="00582AAF"/>
    <w:rsid w:val="005838C1"/>
    <w:rsid w:val="0058617C"/>
    <w:rsid w:val="005863B2"/>
    <w:rsid w:val="0058748B"/>
    <w:rsid w:val="00590D61"/>
    <w:rsid w:val="00590EAC"/>
    <w:rsid w:val="005946EA"/>
    <w:rsid w:val="0059735C"/>
    <w:rsid w:val="005977C4"/>
    <w:rsid w:val="005A0551"/>
    <w:rsid w:val="005A0688"/>
    <w:rsid w:val="005A0706"/>
    <w:rsid w:val="005A160A"/>
    <w:rsid w:val="005A1E4D"/>
    <w:rsid w:val="005A1FB4"/>
    <w:rsid w:val="005A61AC"/>
    <w:rsid w:val="005A77E4"/>
    <w:rsid w:val="005B0B7D"/>
    <w:rsid w:val="005B1AC6"/>
    <w:rsid w:val="005B43A2"/>
    <w:rsid w:val="005B4612"/>
    <w:rsid w:val="005B5DC5"/>
    <w:rsid w:val="005B66F8"/>
    <w:rsid w:val="005B677A"/>
    <w:rsid w:val="005B6DF6"/>
    <w:rsid w:val="005B7DF3"/>
    <w:rsid w:val="005C0CEA"/>
    <w:rsid w:val="005C4508"/>
    <w:rsid w:val="005C4747"/>
    <w:rsid w:val="005C67AC"/>
    <w:rsid w:val="005C7C63"/>
    <w:rsid w:val="005D1948"/>
    <w:rsid w:val="005D2C58"/>
    <w:rsid w:val="005D2FD1"/>
    <w:rsid w:val="005D4A1F"/>
    <w:rsid w:val="005D5F30"/>
    <w:rsid w:val="005D7D3B"/>
    <w:rsid w:val="005E04B3"/>
    <w:rsid w:val="005E07F7"/>
    <w:rsid w:val="005E0BEC"/>
    <w:rsid w:val="005E17EC"/>
    <w:rsid w:val="005E3471"/>
    <w:rsid w:val="005E44CF"/>
    <w:rsid w:val="005E463C"/>
    <w:rsid w:val="005E50C6"/>
    <w:rsid w:val="005E57D1"/>
    <w:rsid w:val="005E64A1"/>
    <w:rsid w:val="005E655C"/>
    <w:rsid w:val="005E6DC3"/>
    <w:rsid w:val="005E7F98"/>
    <w:rsid w:val="005F0ECE"/>
    <w:rsid w:val="005F11A0"/>
    <w:rsid w:val="005F21AA"/>
    <w:rsid w:val="005F2F59"/>
    <w:rsid w:val="005F4947"/>
    <w:rsid w:val="005F4A21"/>
    <w:rsid w:val="005F4A95"/>
    <w:rsid w:val="005F5993"/>
    <w:rsid w:val="005F5B6C"/>
    <w:rsid w:val="005F60D5"/>
    <w:rsid w:val="005F61DE"/>
    <w:rsid w:val="005F7ADB"/>
    <w:rsid w:val="006001A4"/>
    <w:rsid w:val="006004BF"/>
    <w:rsid w:val="006031EF"/>
    <w:rsid w:val="00603B00"/>
    <w:rsid w:val="00605203"/>
    <w:rsid w:val="00607546"/>
    <w:rsid w:val="00611D08"/>
    <w:rsid w:val="006123D6"/>
    <w:rsid w:val="00612688"/>
    <w:rsid w:val="0061788C"/>
    <w:rsid w:val="00620D91"/>
    <w:rsid w:val="00622DFF"/>
    <w:rsid w:val="00623F6D"/>
    <w:rsid w:val="00626535"/>
    <w:rsid w:val="00626A0C"/>
    <w:rsid w:val="00626AA2"/>
    <w:rsid w:val="00626E79"/>
    <w:rsid w:val="00630A5F"/>
    <w:rsid w:val="00630EE4"/>
    <w:rsid w:val="00632E23"/>
    <w:rsid w:val="006330C7"/>
    <w:rsid w:val="00633B91"/>
    <w:rsid w:val="00634971"/>
    <w:rsid w:val="00635294"/>
    <w:rsid w:val="006375D8"/>
    <w:rsid w:val="00637BE9"/>
    <w:rsid w:val="00641FB9"/>
    <w:rsid w:val="006428D9"/>
    <w:rsid w:val="00642F1C"/>
    <w:rsid w:val="0064379D"/>
    <w:rsid w:val="00643CA5"/>
    <w:rsid w:val="006458D1"/>
    <w:rsid w:val="00646835"/>
    <w:rsid w:val="006473F6"/>
    <w:rsid w:val="00647EE1"/>
    <w:rsid w:val="006513B6"/>
    <w:rsid w:val="00651715"/>
    <w:rsid w:val="00651FC3"/>
    <w:rsid w:val="006520D9"/>
    <w:rsid w:val="0065278A"/>
    <w:rsid w:val="00652C06"/>
    <w:rsid w:val="00653FA4"/>
    <w:rsid w:val="006545D6"/>
    <w:rsid w:val="006557B4"/>
    <w:rsid w:val="00655B60"/>
    <w:rsid w:val="00655CF0"/>
    <w:rsid w:val="006566E4"/>
    <w:rsid w:val="006579CF"/>
    <w:rsid w:val="00660987"/>
    <w:rsid w:val="00660BC2"/>
    <w:rsid w:val="00666203"/>
    <w:rsid w:val="0066752F"/>
    <w:rsid w:val="00667F99"/>
    <w:rsid w:val="006703AD"/>
    <w:rsid w:val="00670F27"/>
    <w:rsid w:val="006719BC"/>
    <w:rsid w:val="00672FCC"/>
    <w:rsid w:val="00673409"/>
    <w:rsid w:val="00673CA7"/>
    <w:rsid w:val="0067450E"/>
    <w:rsid w:val="00674C93"/>
    <w:rsid w:val="00674E07"/>
    <w:rsid w:val="00674F91"/>
    <w:rsid w:val="006779BC"/>
    <w:rsid w:val="006801DB"/>
    <w:rsid w:val="00680DDD"/>
    <w:rsid w:val="006828DA"/>
    <w:rsid w:val="00682C5D"/>
    <w:rsid w:val="006841D9"/>
    <w:rsid w:val="006844E4"/>
    <w:rsid w:val="00690CEE"/>
    <w:rsid w:val="00690F41"/>
    <w:rsid w:val="00691BAC"/>
    <w:rsid w:val="0069312F"/>
    <w:rsid w:val="0069404C"/>
    <w:rsid w:val="00694F8D"/>
    <w:rsid w:val="0069570B"/>
    <w:rsid w:val="00697574"/>
    <w:rsid w:val="006A06A2"/>
    <w:rsid w:val="006A1AC9"/>
    <w:rsid w:val="006A254A"/>
    <w:rsid w:val="006A3F82"/>
    <w:rsid w:val="006A486A"/>
    <w:rsid w:val="006A5800"/>
    <w:rsid w:val="006A647B"/>
    <w:rsid w:val="006A6712"/>
    <w:rsid w:val="006A6B0C"/>
    <w:rsid w:val="006A6F30"/>
    <w:rsid w:val="006A7306"/>
    <w:rsid w:val="006B0A53"/>
    <w:rsid w:val="006B1F20"/>
    <w:rsid w:val="006B2267"/>
    <w:rsid w:val="006B4B77"/>
    <w:rsid w:val="006B4E61"/>
    <w:rsid w:val="006B6C13"/>
    <w:rsid w:val="006B76B5"/>
    <w:rsid w:val="006C0BA6"/>
    <w:rsid w:val="006C2213"/>
    <w:rsid w:val="006C2716"/>
    <w:rsid w:val="006C29E7"/>
    <w:rsid w:val="006C2B32"/>
    <w:rsid w:val="006C47F3"/>
    <w:rsid w:val="006C639F"/>
    <w:rsid w:val="006C657A"/>
    <w:rsid w:val="006C698B"/>
    <w:rsid w:val="006C6B72"/>
    <w:rsid w:val="006C728E"/>
    <w:rsid w:val="006C7396"/>
    <w:rsid w:val="006C764F"/>
    <w:rsid w:val="006C7D5D"/>
    <w:rsid w:val="006D0214"/>
    <w:rsid w:val="006D1064"/>
    <w:rsid w:val="006D1FBB"/>
    <w:rsid w:val="006D31DF"/>
    <w:rsid w:val="006D3E96"/>
    <w:rsid w:val="006D4649"/>
    <w:rsid w:val="006D6128"/>
    <w:rsid w:val="006D6B04"/>
    <w:rsid w:val="006D7954"/>
    <w:rsid w:val="006E20D2"/>
    <w:rsid w:val="006E36AD"/>
    <w:rsid w:val="006E64A4"/>
    <w:rsid w:val="006E6F05"/>
    <w:rsid w:val="006F0B98"/>
    <w:rsid w:val="006F28B9"/>
    <w:rsid w:val="006F430E"/>
    <w:rsid w:val="006F65D4"/>
    <w:rsid w:val="006F6A67"/>
    <w:rsid w:val="006F7D7D"/>
    <w:rsid w:val="00700210"/>
    <w:rsid w:val="00700DBE"/>
    <w:rsid w:val="00702147"/>
    <w:rsid w:val="00702635"/>
    <w:rsid w:val="007044D0"/>
    <w:rsid w:val="00707291"/>
    <w:rsid w:val="00707937"/>
    <w:rsid w:val="0071089E"/>
    <w:rsid w:val="00713F52"/>
    <w:rsid w:val="00714351"/>
    <w:rsid w:val="00716C52"/>
    <w:rsid w:val="0072022A"/>
    <w:rsid w:val="00720854"/>
    <w:rsid w:val="00720B40"/>
    <w:rsid w:val="00721AF6"/>
    <w:rsid w:val="007222CD"/>
    <w:rsid w:val="007222F7"/>
    <w:rsid w:val="00722A24"/>
    <w:rsid w:val="00722DAD"/>
    <w:rsid w:val="0072313A"/>
    <w:rsid w:val="00724910"/>
    <w:rsid w:val="00724CD5"/>
    <w:rsid w:val="00725E5D"/>
    <w:rsid w:val="00731886"/>
    <w:rsid w:val="0073225D"/>
    <w:rsid w:val="00732FAE"/>
    <w:rsid w:val="0073311C"/>
    <w:rsid w:val="0073683B"/>
    <w:rsid w:val="0073737E"/>
    <w:rsid w:val="007376FC"/>
    <w:rsid w:val="00737C15"/>
    <w:rsid w:val="0074089D"/>
    <w:rsid w:val="00741F29"/>
    <w:rsid w:val="007424BC"/>
    <w:rsid w:val="00743E24"/>
    <w:rsid w:val="00744FAC"/>
    <w:rsid w:val="007465AF"/>
    <w:rsid w:val="00746C61"/>
    <w:rsid w:val="00747202"/>
    <w:rsid w:val="00750366"/>
    <w:rsid w:val="00750D09"/>
    <w:rsid w:val="00750DB6"/>
    <w:rsid w:val="00751406"/>
    <w:rsid w:val="00751520"/>
    <w:rsid w:val="00754188"/>
    <w:rsid w:val="007543BA"/>
    <w:rsid w:val="00754C0C"/>
    <w:rsid w:val="00754D38"/>
    <w:rsid w:val="00757316"/>
    <w:rsid w:val="0075777B"/>
    <w:rsid w:val="00757B7E"/>
    <w:rsid w:val="00760CA4"/>
    <w:rsid w:val="00762657"/>
    <w:rsid w:val="00762E38"/>
    <w:rsid w:val="00764A5E"/>
    <w:rsid w:val="00764EF0"/>
    <w:rsid w:val="00765913"/>
    <w:rsid w:val="00765C21"/>
    <w:rsid w:val="00767947"/>
    <w:rsid w:val="007708CF"/>
    <w:rsid w:val="00771F3D"/>
    <w:rsid w:val="00773221"/>
    <w:rsid w:val="0077332B"/>
    <w:rsid w:val="00773351"/>
    <w:rsid w:val="00776440"/>
    <w:rsid w:val="0077796C"/>
    <w:rsid w:val="00777CCC"/>
    <w:rsid w:val="007809B2"/>
    <w:rsid w:val="0078215B"/>
    <w:rsid w:val="0078236E"/>
    <w:rsid w:val="00782746"/>
    <w:rsid w:val="00782B2D"/>
    <w:rsid w:val="00783F30"/>
    <w:rsid w:val="00784ECD"/>
    <w:rsid w:val="007907EB"/>
    <w:rsid w:val="0079353F"/>
    <w:rsid w:val="00793821"/>
    <w:rsid w:val="007943A2"/>
    <w:rsid w:val="007969A0"/>
    <w:rsid w:val="00796F59"/>
    <w:rsid w:val="00797193"/>
    <w:rsid w:val="007A01FE"/>
    <w:rsid w:val="007A0D8E"/>
    <w:rsid w:val="007A16D9"/>
    <w:rsid w:val="007A1C41"/>
    <w:rsid w:val="007A1FDE"/>
    <w:rsid w:val="007A2957"/>
    <w:rsid w:val="007A361B"/>
    <w:rsid w:val="007A4396"/>
    <w:rsid w:val="007A44DB"/>
    <w:rsid w:val="007A5B9D"/>
    <w:rsid w:val="007B099E"/>
    <w:rsid w:val="007B1317"/>
    <w:rsid w:val="007B14FC"/>
    <w:rsid w:val="007B2BC3"/>
    <w:rsid w:val="007B3330"/>
    <w:rsid w:val="007B3F30"/>
    <w:rsid w:val="007B41B0"/>
    <w:rsid w:val="007B4ECA"/>
    <w:rsid w:val="007B5BD5"/>
    <w:rsid w:val="007C03A4"/>
    <w:rsid w:val="007C1AB6"/>
    <w:rsid w:val="007C1B03"/>
    <w:rsid w:val="007C1E22"/>
    <w:rsid w:val="007C2F8A"/>
    <w:rsid w:val="007C43AD"/>
    <w:rsid w:val="007C512C"/>
    <w:rsid w:val="007C631A"/>
    <w:rsid w:val="007C6CE6"/>
    <w:rsid w:val="007C6D0A"/>
    <w:rsid w:val="007C7094"/>
    <w:rsid w:val="007D2A30"/>
    <w:rsid w:val="007D3312"/>
    <w:rsid w:val="007D3A17"/>
    <w:rsid w:val="007D3A1F"/>
    <w:rsid w:val="007D4550"/>
    <w:rsid w:val="007D545E"/>
    <w:rsid w:val="007D64BA"/>
    <w:rsid w:val="007D7EBF"/>
    <w:rsid w:val="007E3005"/>
    <w:rsid w:val="007E4A68"/>
    <w:rsid w:val="007E573F"/>
    <w:rsid w:val="007E6133"/>
    <w:rsid w:val="007F0494"/>
    <w:rsid w:val="007F05CB"/>
    <w:rsid w:val="007F0919"/>
    <w:rsid w:val="007F0D35"/>
    <w:rsid w:val="007F24A5"/>
    <w:rsid w:val="007F27FB"/>
    <w:rsid w:val="007F3174"/>
    <w:rsid w:val="007F4269"/>
    <w:rsid w:val="007F45B1"/>
    <w:rsid w:val="007F4BAC"/>
    <w:rsid w:val="007F5334"/>
    <w:rsid w:val="007F64AB"/>
    <w:rsid w:val="007F6B2E"/>
    <w:rsid w:val="00800413"/>
    <w:rsid w:val="00801E2C"/>
    <w:rsid w:val="00801E3F"/>
    <w:rsid w:val="00801F3A"/>
    <w:rsid w:val="00801FA7"/>
    <w:rsid w:val="00804BFB"/>
    <w:rsid w:val="00804D47"/>
    <w:rsid w:val="00805550"/>
    <w:rsid w:val="00805CE0"/>
    <w:rsid w:val="008062CF"/>
    <w:rsid w:val="00806ED2"/>
    <w:rsid w:val="00807974"/>
    <w:rsid w:val="00807B59"/>
    <w:rsid w:val="00807E3B"/>
    <w:rsid w:val="00810279"/>
    <w:rsid w:val="00814337"/>
    <w:rsid w:val="00814E31"/>
    <w:rsid w:val="00814F49"/>
    <w:rsid w:val="00815408"/>
    <w:rsid w:val="00815EA8"/>
    <w:rsid w:val="00815FE6"/>
    <w:rsid w:val="00816A8C"/>
    <w:rsid w:val="008177A7"/>
    <w:rsid w:val="00817AD2"/>
    <w:rsid w:val="008227AD"/>
    <w:rsid w:val="008247D1"/>
    <w:rsid w:val="0082759C"/>
    <w:rsid w:val="00827E8E"/>
    <w:rsid w:val="008312D8"/>
    <w:rsid w:val="00843811"/>
    <w:rsid w:val="008440A5"/>
    <w:rsid w:val="0084652A"/>
    <w:rsid w:val="00847F07"/>
    <w:rsid w:val="00847FFB"/>
    <w:rsid w:val="00851408"/>
    <w:rsid w:val="00851C18"/>
    <w:rsid w:val="00853D93"/>
    <w:rsid w:val="00854080"/>
    <w:rsid w:val="00854412"/>
    <w:rsid w:val="00854963"/>
    <w:rsid w:val="00855453"/>
    <w:rsid w:val="00855B0E"/>
    <w:rsid w:val="00856AA5"/>
    <w:rsid w:val="00856D47"/>
    <w:rsid w:val="00860474"/>
    <w:rsid w:val="008608AC"/>
    <w:rsid w:val="00861D12"/>
    <w:rsid w:val="00861E84"/>
    <w:rsid w:val="008624BA"/>
    <w:rsid w:val="00862A60"/>
    <w:rsid w:val="00862EB5"/>
    <w:rsid w:val="0086387B"/>
    <w:rsid w:val="00863D11"/>
    <w:rsid w:val="00865A15"/>
    <w:rsid w:val="00866CF3"/>
    <w:rsid w:val="008670DC"/>
    <w:rsid w:val="00870919"/>
    <w:rsid w:val="00870DFD"/>
    <w:rsid w:val="00871478"/>
    <w:rsid w:val="00873D3B"/>
    <w:rsid w:val="0087499C"/>
    <w:rsid w:val="00874F86"/>
    <w:rsid w:val="008766CE"/>
    <w:rsid w:val="00876982"/>
    <w:rsid w:val="00877327"/>
    <w:rsid w:val="0088114B"/>
    <w:rsid w:val="008811A6"/>
    <w:rsid w:val="00882290"/>
    <w:rsid w:val="00882A08"/>
    <w:rsid w:val="00883735"/>
    <w:rsid w:val="0088406E"/>
    <w:rsid w:val="00894132"/>
    <w:rsid w:val="0089459F"/>
    <w:rsid w:val="00894EFA"/>
    <w:rsid w:val="008950E5"/>
    <w:rsid w:val="00896322"/>
    <w:rsid w:val="0089748A"/>
    <w:rsid w:val="008A02E9"/>
    <w:rsid w:val="008A28BC"/>
    <w:rsid w:val="008A3012"/>
    <w:rsid w:val="008A4624"/>
    <w:rsid w:val="008A568C"/>
    <w:rsid w:val="008A6BD4"/>
    <w:rsid w:val="008A6CFE"/>
    <w:rsid w:val="008A6E9B"/>
    <w:rsid w:val="008B0016"/>
    <w:rsid w:val="008B0ECB"/>
    <w:rsid w:val="008B0F41"/>
    <w:rsid w:val="008B11CE"/>
    <w:rsid w:val="008B1D98"/>
    <w:rsid w:val="008B4BFA"/>
    <w:rsid w:val="008B59DC"/>
    <w:rsid w:val="008B6F97"/>
    <w:rsid w:val="008C0D11"/>
    <w:rsid w:val="008C1A0A"/>
    <w:rsid w:val="008C2973"/>
    <w:rsid w:val="008C4F44"/>
    <w:rsid w:val="008C6774"/>
    <w:rsid w:val="008C7467"/>
    <w:rsid w:val="008D13F3"/>
    <w:rsid w:val="008D20F6"/>
    <w:rsid w:val="008D5E09"/>
    <w:rsid w:val="008D5E48"/>
    <w:rsid w:val="008D689C"/>
    <w:rsid w:val="008D6AC6"/>
    <w:rsid w:val="008E151F"/>
    <w:rsid w:val="008E3FE7"/>
    <w:rsid w:val="008E4BC0"/>
    <w:rsid w:val="008E59C6"/>
    <w:rsid w:val="008E6E9E"/>
    <w:rsid w:val="008E7248"/>
    <w:rsid w:val="008F087B"/>
    <w:rsid w:val="008F1AC7"/>
    <w:rsid w:val="008F1D95"/>
    <w:rsid w:val="008F23DF"/>
    <w:rsid w:val="008F39A2"/>
    <w:rsid w:val="008F4AD9"/>
    <w:rsid w:val="008F53A8"/>
    <w:rsid w:val="008F612D"/>
    <w:rsid w:val="00900989"/>
    <w:rsid w:val="0090187C"/>
    <w:rsid w:val="00903C70"/>
    <w:rsid w:val="00904C20"/>
    <w:rsid w:val="00905291"/>
    <w:rsid w:val="00905DA4"/>
    <w:rsid w:val="00907A63"/>
    <w:rsid w:val="00907AA0"/>
    <w:rsid w:val="00910F2B"/>
    <w:rsid w:val="00912E26"/>
    <w:rsid w:val="00913340"/>
    <w:rsid w:val="00914798"/>
    <w:rsid w:val="00914890"/>
    <w:rsid w:val="00914A87"/>
    <w:rsid w:val="00917739"/>
    <w:rsid w:val="00917E47"/>
    <w:rsid w:val="00922715"/>
    <w:rsid w:val="009232BA"/>
    <w:rsid w:val="00923514"/>
    <w:rsid w:val="00923C50"/>
    <w:rsid w:val="009243BE"/>
    <w:rsid w:val="00925F4C"/>
    <w:rsid w:val="00926E11"/>
    <w:rsid w:val="0092748E"/>
    <w:rsid w:val="00927AC4"/>
    <w:rsid w:val="00930A0B"/>
    <w:rsid w:val="00931110"/>
    <w:rsid w:val="009339C5"/>
    <w:rsid w:val="00934748"/>
    <w:rsid w:val="00934D66"/>
    <w:rsid w:val="00941C30"/>
    <w:rsid w:val="009452F9"/>
    <w:rsid w:val="009462B5"/>
    <w:rsid w:val="00946451"/>
    <w:rsid w:val="00947AFD"/>
    <w:rsid w:val="00947E82"/>
    <w:rsid w:val="00951216"/>
    <w:rsid w:val="0095205F"/>
    <w:rsid w:val="00954F7A"/>
    <w:rsid w:val="00957543"/>
    <w:rsid w:val="00957C7C"/>
    <w:rsid w:val="00960303"/>
    <w:rsid w:val="00960ECB"/>
    <w:rsid w:val="00961DDA"/>
    <w:rsid w:val="00962BBC"/>
    <w:rsid w:val="00962CC0"/>
    <w:rsid w:val="00963B19"/>
    <w:rsid w:val="0096456E"/>
    <w:rsid w:val="00965808"/>
    <w:rsid w:val="00966127"/>
    <w:rsid w:val="009672DA"/>
    <w:rsid w:val="009701FC"/>
    <w:rsid w:val="00971A87"/>
    <w:rsid w:val="00973341"/>
    <w:rsid w:val="00973494"/>
    <w:rsid w:val="00975593"/>
    <w:rsid w:val="009763E4"/>
    <w:rsid w:val="009803C4"/>
    <w:rsid w:val="009805E9"/>
    <w:rsid w:val="0098068D"/>
    <w:rsid w:val="00981F6C"/>
    <w:rsid w:val="009831D0"/>
    <w:rsid w:val="00983991"/>
    <w:rsid w:val="009857AC"/>
    <w:rsid w:val="00986796"/>
    <w:rsid w:val="00992305"/>
    <w:rsid w:val="00992A7B"/>
    <w:rsid w:val="009942BA"/>
    <w:rsid w:val="00994DC8"/>
    <w:rsid w:val="009959B9"/>
    <w:rsid w:val="009963C6"/>
    <w:rsid w:val="00996EB2"/>
    <w:rsid w:val="00996F74"/>
    <w:rsid w:val="00997A11"/>
    <w:rsid w:val="009A1060"/>
    <w:rsid w:val="009A1DEB"/>
    <w:rsid w:val="009A3035"/>
    <w:rsid w:val="009A3AEE"/>
    <w:rsid w:val="009A5611"/>
    <w:rsid w:val="009A5655"/>
    <w:rsid w:val="009A593E"/>
    <w:rsid w:val="009A6525"/>
    <w:rsid w:val="009A6841"/>
    <w:rsid w:val="009A71CB"/>
    <w:rsid w:val="009A78C5"/>
    <w:rsid w:val="009A7F71"/>
    <w:rsid w:val="009B01EF"/>
    <w:rsid w:val="009B1446"/>
    <w:rsid w:val="009B16B4"/>
    <w:rsid w:val="009B2D8F"/>
    <w:rsid w:val="009B3174"/>
    <w:rsid w:val="009B3B9B"/>
    <w:rsid w:val="009B3C97"/>
    <w:rsid w:val="009B484C"/>
    <w:rsid w:val="009B53AE"/>
    <w:rsid w:val="009C1586"/>
    <w:rsid w:val="009C1619"/>
    <w:rsid w:val="009C1B61"/>
    <w:rsid w:val="009C46C2"/>
    <w:rsid w:val="009C7041"/>
    <w:rsid w:val="009D044E"/>
    <w:rsid w:val="009D09E2"/>
    <w:rsid w:val="009D3B2A"/>
    <w:rsid w:val="009D4ED3"/>
    <w:rsid w:val="009D57C5"/>
    <w:rsid w:val="009D5BF0"/>
    <w:rsid w:val="009E0759"/>
    <w:rsid w:val="009E0B34"/>
    <w:rsid w:val="009E186B"/>
    <w:rsid w:val="009E20B0"/>
    <w:rsid w:val="009E30BC"/>
    <w:rsid w:val="009E42C3"/>
    <w:rsid w:val="009E4309"/>
    <w:rsid w:val="009E4765"/>
    <w:rsid w:val="009E5EDB"/>
    <w:rsid w:val="009E641F"/>
    <w:rsid w:val="009E7FF9"/>
    <w:rsid w:val="009F21F4"/>
    <w:rsid w:val="009F3CA0"/>
    <w:rsid w:val="009F3E31"/>
    <w:rsid w:val="009F4FB4"/>
    <w:rsid w:val="009F55A7"/>
    <w:rsid w:val="009F5B50"/>
    <w:rsid w:val="009F5BD0"/>
    <w:rsid w:val="009F637F"/>
    <w:rsid w:val="009F6992"/>
    <w:rsid w:val="009F7922"/>
    <w:rsid w:val="009F795B"/>
    <w:rsid w:val="009F7BD1"/>
    <w:rsid w:val="00A00402"/>
    <w:rsid w:val="00A00C3E"/>
    <w:rsid w:val="00A01364"/>
    <w:rsid w:val="00A0163A"/>
    <w:rsid w:val="00A017F0"/>
    <w:rsid w:val="00A0184F"/>
    <w:rsid w:val="00A0201D"/>
    <w:rsid w:val="00A0404A"/>
    <w:rsid w:val="00A04967"/>
    <w:rsid w:val="00A0515D"/>
    <w:rsid w:val="00A05A92"/>
    <w:rsid w:val="00A06FF3"/>
    <w:rsid w:val="00A07FDD"/>
    <w:rsid w:val="00A10E17"/>
    <w:rsid w:val="00A116C4"/>
    <w:rsid w:val="00A11EA3"/>
    <w:rsid w:val="00A12672"/>
    <w:rsid w:val="00A15629"/>
    <w:rsid w:val="00A17373"/>
    <w:rsid w:val="00A17464"/>
    <w:rsid w:val="00A201D0"/>
    <w:rsid w:val="00A2417B"/>
    <w:rsid w:val="00A2782E"/>
    <w:rsid w:val="00A304DB"/>
    <w:rsid w:val="00A3217E"/>
    <w:rsid w:val="00A330C6"/>
    <w:rsid w:val="00A35607"/>
    <w:rsid w:val="00A3561A"/>
    <w:rsid w:val="00A356B9"/>
    <w:rsid w:val="00A40D46"/>
    <w:rsid w:val="00A433C1"/>
    <w:rsid w:val="00A4366F"/>
    <w:rsid w:val="00A476D4"/>
    <w:rsid w:val="00A524D1"/>
    <w:rsid w:val="00A551DA"/>
    <w:rsid w:val="00A56C84"/>
    <w:rsid w:val="00A56DC9"/>
    <w:rsid w:val="00A62F18"/>
    <w:rsid w:val="00A6308F"/>
    <w:rsid w:val="00A64E54"/>
    <w:rsid w:val="00A65EAA"/>
    <w:rsid w:val="00A70285"/>
    <w:rsid w:val="00A70553"/>
    <w:rsid w:val="00A72F53"/>
    <w:rsid w:val="00A73FDE"/>
    <w:rsid w:val="00A74402"/>
    <w:rsid w:val="00A74622"/>
    <w:rsid w:val="00A75E7A"/>
    <w:rsid w:val="00A80225"/>
    <w:rsid w:val="00A82B38"/>
    <w:rsid w:val="00A82D58"/>
    <w:rsid w:val="00A845C8"/>
    <w:rsid w:val="00A84F2F"/>
    <w:rsid w:val="00A90126"/>
    <w:rsid w:val="00A90AAF"/>
    <w:rsid w:val="00A91176"/>
    <w:rsid w:val="00A9195E"/>
    <w:rsid w:val="00A9201B"/>
    <w:rsid w:val="00A9375D"/>
    <w:rsid w:val="00A938C6"/>
    <w:rsid w:val="00A94026"/>
    <w:rsid w:val="00A94620"/>
    <w:rsid w:val="00A94636"/>
    <w:rsid w:val="00A9777F"/>
    <w:rsid w:val="00AA0ED7"/>
    <w:rsid w:val="00AA2ECC"/>
    <w:rsid w:val="00AA3320"/>
    <w:rsid w:val="00AA535B"/>
    <w:rsid w:val="00AA5F79"/>
    <w:rsid w:val="00AA6918"/>
    <w:rsid w:val="00AA6CF0"/>
    <w:rsid w:val="00AA795A"/>
    <w:rsid w:val="00AB20DB"/>
    <w:rsid w:val="00AB2E82"/>
    <w:rsid w:val="00AB3DA8"/>
    <w:rsid w:val="00AB52EF"/>
    <w:rsid w:val="00AB6337"/>
    <w:rsid w:val="00AB6DA2"/>
    <w:rsid w:val="00AC105D"/>
    <w:rsid w:val="00AC1D65"/>
    <w:rsid w:val="00AC4269"/>
    <w:rsid w:val="00AC51DA"/>
    <w:rsid w:val="00AD13FA"/>
    <w:rsid w:val="00AD1AC1"/>
    <w:rsid w:val="00AD1C79"/>
    <w:rsid w:val="00AD2136"/>
    <w:rsid w:val="00AD3599"/>
    <w:rsid w:val="00AD398C"/>
    <w:rsid w:val="00AD47D5"/>
    <w:rsid w:val="00AD4BDB"/>
    <w:rsid w:val="00AE0D59"/>
    <w:rsid w:val="00AE2EDB"/>
    <w:rsid w:val="00AE33AE"/>
    <w:rsid w:val="00AE394B"/>
    <w:rsid w:val="00AE4524"/>
    <w:rsid w:val="00AE6621"/>
    <w:rsid w:val="00AE7B1F"/>
    <w:rsid w:val="00AF171B"/>
    <w:rsid w:val="00AF178C"/>
    <w:rsid w:val="00AF4804"/>
    <w:rsid w:val="00B00896"/>
    <w:rsid w:val="00B01C38"/>
    <w:rsid w:val="00B02CCF"/>
    <w:rsid w:val="00B033DC"/>
    <w:rsid w:val="00B051F3"/>
    <w:rsid w:val="00B119B0"/>
    <w:rsid w:val="00B13EA2"/>
    <w:rsid w:val="00B166AF"/>
    <w:rsid w:val="00B16B60"/>
    <w:rsid w:val="00B17153"/>
    <w:rsid w:val="00B17AF6"/>
    <w:rsid w:val="00B200C1"/>
    <w:rsid w:val="00B20BBF"/>
    <w:rsid w:val="00B2112F"/>
    <w:rsid w:val="00B22D1D"/>
    <w:rsid w:val="00B23118"/>
    <w:rsid w:val="00B23503"/>
    <w:rsid w:val="00B23F95"/>
    <w:rsid w:val="00B2444C"/>
    <w:rsid w:val="00B2795F"/>
    <w:rsid w:val="00B27E55"/>
    <w:rsid w:val="00B30330"/>
    <w:rsid w:val="00B328C3"/>
    <w:rsid w:val="00B3442F"/>
    <w:rsid w:val="00B34EF4"/>
    <w:rsid w:val="00B3561A"/>
    <w:rsid w:val="00B35973"/>
    <w:rsid w:val="00B36684"/>
    <w:rsid w:val="00B36965"/>
    <w:rsid w:val="00B37407"/>
    <w:rsid w:val="00B37A87"/>
    <w:rsid w:val="00B37AE7"/>
    <w:rsid w:val="00B40235"/>
    <w:rsid w:val="00B41479"/>
    <w:rsid w:val="00B4353D"/>
    <w:rsid w:val="00B43E3E"/>
    <w:rsid w:val="00B45B06"/>
    <w:rsid w:val="00B4722D"/>
    <w:rsid w:val="00B51CF2"/>
    <w:rsid w:val="00B5253E"/>
    <w:rsid w:val="00B53A92"/>
    <w:rsid w:val="00B547A8"/>
    <w:rsid w:val="00B55878"/>
    <w:rsid w:val="00B5713B"/>
    <w:rsid w:val="00B602B1"/>
    <w:rsid w:val="00B609A5"/>
    <w:rsid w:val="00B6256F"/>
    <w:rsid w:val="00B625FA"/>
    <w:rsid w:val="00B64E97"/>
    <w:rsid w:val="00B65F23"/>
    <w:rsid w:val="00B6621F"/>
    <w:rsid w:val="00B6690D"/>
    <w:rsid w:val="00B66955"/>
    <w:rsid w:val="00B67705"/>
    <w:rsid w:val="00B709F7"/>
    <w:rsid w:val="00B71B8D"/>
    <w:rsid w:val="00B7320D"/>
    <w:rsid w:val="00B7531C"/>
    <w:rsid w:val="00B76138"/>
    <w:rsid w:val="00B800E9"/>
    <w:rsid w:val="00B8103A"/>
    <w:rsid w:val="00B82215"/>
    <w:rsid w:val="00B83B4C"/>
    <w:rsid w:val="00B8427B"/>
    <w:rsid w:val="00B8583F"/>
    <w:rsid w:val="00B86221"/>
    <w:rsid w:val="00B8772A"/>
    <w:rsid w:val="00B91F2D"/>
    <w:rsid w:val="00B93019"/>
    <w:rsid w:val="00B9676E"/>
    <w:rsid w:val="00BA0E52"/>
    <w:rsid w:val="00BA3C79"/>
    <w:rsid w:val="00BA62A1"/>
    <w:rsid w:val="00BA7A3F"/>
    <w:rsid w:val="00BB2028"/>
    <w:rsid w:val="00BB3D9A"/>
    <w:rsid w:val="00BB3DFA"/>
    <w:rsid w:val="00BB456C"/>
    <w:rsid w:val="00BB58D6"/>
    <w:rsid w:val="00BB664C"/>
    <w:rsid w:val="00BB6B54"/>
    <w:rsid w:val="00BC085F"/>
    <w:rsid w:val="00BC0939"/>
    <w:rsid w:val="00BC120B"/>
    <w:rsid w:val="00BC3169"/>
    <w:rsid w:val="00BC4404"/>
    <w:rsid w:val="00BC5E8D"/>
    <w:rsid w:val="00BC774E"/>
    <w:rsid w:val="00BD090D"/>
    <w:rsid w:val="00BD0B18"/>
    <w:rsid w:val="00BD0BCA"/>
    <w:rsid w:val="00BD2133"/>
    <w:rsid w:val="00BD2FA5"/>
    <w:rsid w:val="00BD495A"/>
    <w:rsid w:val="00BD4C96"/>
    <w:rsid w:val="00BD603A"/>
    <w:rsid w:val="00BD6C5D"/>
    <w:rsid w:val="00BD6D5B"/>
    <w:rsid w:val="00BE0710"/>
    <w:rsid w:val="00BE13E0"/>
    <w:rsid w:val="00BE29ED"/>
    <w:rsid w:val="00BE2F1C"/>
    <w:rsid w:val="00BE3736"/>
    <w:rsid w:val="00BE4DC5"/>
    <w:rsid w:val="00BE541C"/>
    <w:rsid w:val="00BE6224"/>
    <w:rsid w:val="00BE6C0A"/>
    <w:rsid w:val="00BE7CF8"/>
    <w:rsid w:val="00BF0E2C"/>
    <w:rsid w:val="00BF183F"/>
    <w:rsid w:val="00BF24F0"/>
    <w:rsid w:val="00BF2702"/>
    <w:rsid w:val="00BF2B1A"/>
    <w:rsid w:val="00BF37B1"/>
    <w:rsid w:val="00BF47E1"/>
    <w:rsid w:val="00BF4F18"/>
    <w:rsid w:val="00BF63B3"/>
    <w:rsid w:val="00BF7B9A"/>
    <w:rsid w:val="00C0396C"/>
    <w:rsid w:val="00C0537F"/>
    <w:rsid w:val="00C06884"/>
    <w:rsid w:val="00C06B2D"/>
    <w:rsid w:val="00C07E21"/>
    <w:rsid w:val="00C07F51"/>
    <w:rsid w:val="00C1086E"/>
    <w:rsid w:val="00C10924"/>
    <w:rsid w:val="00C109DC"/>
    <w:rsid w:val="00C11D47"/>
    <w:rsid w:val="00C14C2F"/>
    <w:rsid w:val="00C14DDE"/>
    <w:rsid w:val="00C158DB"/>
    <w:rsid w:val="00C15D2C"/>
    <w:rsid w:val="00C15D55"/>
    <w:rsid w:val="00C16476"/>
    <w:rsid w:val="00C17749"/>
    <w:rsid w:val="00C202BB"/>
    <w:rsid w:val="00C20AEA"/>
    <w:rsid w:val="00C22003"/>
    <w:rsid w:val="00C22663"/>
    <w:rsid w:val="00C2267F"/>
    <w:rsid w:val="00C23C03"/>
    <w:rsid w:val="00C23DD7"/>
    <w:rsid w:val="00C2513E"/>
    <w:rsid w:val="00C2544E"/>
    <w:rsid w:val="00C26A07"/>
    <w:rsid w:val="00C27184"/>
    <w:rsid w:val="00C2763B"/>
    <w:rsid w:val="00C27FA4"/>
    <w:rsid w:val="00C304FD"/>
    <w:rsid w:val="00C31944"/>
    <w:rsid w:val="00C34778"/>
    <w:rsid w:val="00C35396"/>
    <w:rsid w:val="00C354A0"/>
    <w:rsid w:val="00C366EA"/>
    <w:rsid w:val="00C400DD"/>
    <w:rsid w:val="00C40B23"/>
    <w:rsid w:val="00C40C27"/>
    <w:rsid w:val="00C41E3F"/>
    <w:rsid w:val="00C42C93"/>
    <w:rsid w:val="00C430B6"/>
    <w:rsid w:val="00C434E4"/>
    <w:rsid w:val="00C435F7"/>
    <w:rsid w:val="00C44BC3"/>
    <w:rsid w:val="00C46DB8"/>
    <w:rsid w:val="00C46F57"/>
    <w:rsid w:val="00C47183"/>
    <w:rsid w:val="00C5063B"/>
    <w:rsid w:val="00C51029"/>
    <w:rsid w:val="00C53411"/>
    <w:rsid w:val="00C57680"/>
    <w:rsid w:val="00C5771F"/>
    <w:rsid w:val="00C57933"/>
    <w:rsid w:val="00C57AC8"/>
    <w:rsid w:val="00C60D6E"/>
    <w:rsid w:val="00C62309"/>
    <w:rsid w:val="00C63801"/>
    <w:rsid w:val="00C65689"/>
    <w:rsid w:val="00C65F91"/>
    <w:rsid w:val="00C66250"/>
    <w:rsid w:val="00C677C7"/>
    <w:rsid w:val="00C7028C"/>
    <w:rsid w:val="00C71252"/>
    <w:rsid w:val="00C728A2"/>
    <w:rsid w:val="00C729A4"/>
    <w:rsid w:val="00C74AAE"/>
    <w:rsid w:val="00C755F7"/>
    <w:rsid w:val="00C756FF"/>
    <w:rsid w:val="00C7670B"/>
    <w:rsid w:val="00C76CE3"/>
    <w:rsid w:val="00C76CE4"/>
    <w:rsid w:val="00C820D4"/>
    <w:rsid w:val="00C83A45"/>
    <w:rsid w:val="00C8566C"/>
    <w:rsid w:val="00C87EEE"/>
    <w:rsid w:val="00C904F1"/>
    <w:rsid w:val="00C91507"/>
    <w:rsid w:val="00C94510"/>
    <w:rsid w:val="00CA0024"/>
    <w:rsid w:val="00CA0226"/>
    <w:rsid w:val="00CA057A"/>
    <w:rsid w:val="00CA1062"/>
    <w:rsid w:val="00CA23DA"/>
    <w:rsid w:val="00CA3C20"/>
    <w:rsid w:val="00CA6944"/>
    <w:rsid w:val="00CA7653"/>
    <w:rsid w:val="00CB005D"/>
    <w:rsid w:val="00CB1079"/>
    <w:rsid w:val="00CB2710"/>
    <w:rsid w:val="00CB2803"/>
    <w:rsid w:val="00CB417D"/>
    <w:rsid w:val="00CB5450"/>
    <w:rsid w:val="00CB5476"/>
    <w:rsid w:val="00CB6033"/>
    <w:rsid w:val="00CB6ED6"/>
    <w:rsid w:val="00CC054D"/>
    <w:rsid w:val="00CC2656"/>
    <w:rsid w:val="00CC4A4A"/>
    <w:rsid w:val="00CC5A0B"/>
    <w:rsid w:val="00CC7E11"/>
    <w:rsid w:val="00CD3176"/>
    <w:rsid w:val="00CD3763"/>
    <w:rsid w:val="00CD4BD9"/>
    <w:rsid w:val="00CD65C8"/>
    <w:rsid w:val="00CD7930"/>
    <w:rsid w:val="00CE05E3"/>
    <w:rsid w:val="00CE2174"/>
    <w:rsid w:val="00CE2445"/>
    <w:rsid w:val="00CE2BC4"/>
    <w:rsid w:val="00CE34BC"/>
    <w:rsid w:val="00CE351D"/>
    <w:rsid w:val="00CF0CD9"/>
    <w:rsid w:val="00CF330B"/>
    <w:rsid w:val="00CF4EBA"/>
    <w:rsid w:val="00CF6EA1"/>
    <w:rsid w:val="00CF780B"/>
    <w:rsid w:val="00D019BA"/>
    <w:rsid w:val="00D02DD9"/>
    <w:rsid w:val="00D034A7"/>
    <w:rsid w:val="00D044AC"/>
    <w:rsid w:val="00D065E5"/>
    <w:rsid w:val="00D078AF"/>
    <w:rsid w:val="00D1083F"/>
    <w:rsid w:val="00D11A4F"/>
    <w:rsid w:val="00D11E23"/>
    <w:rsid w:val="00D121AD"/>
    <w:rsid w:val="00D12B43"/>
    <w:rsid w:val="00D134DE"/>
    <w:rsid w:val="00D14337"/>
    <w:rsid w:val="00D14FBC"/>
    <w:rsid w:val="00D15932"/>
    <w:rsid w:val="00D17012"/>
    <w:rsid w:val="00D17692"/>
    <w:rsid w:val="00D176A3"/>
    <w:rsid w:val="00D17FF9"/>
    <w:rsid w:val="00D23192"/>
    <w:rsid w:val="00D24975"/>
    <w:rsid w:val="00D2593C"/>
    <w:rsid w:val="00D259E4"/>
    <w:rsid w:val="00D25A9D"/>
    <w:rsid w:val="00D26375"/>
    <w:rsid w:val="00D2710B"/>
    <w:rsid w:val="00D271B2"/>
    <w:rsid w:val="00D2747F"/>
    <w:rsid w:val="00D30435"/>
    <w:rsid w:val="00D30482"/>
    <w:rsid w:val="00D35080"/>
    <w:rsid w:val="00D354D0"/>
    <w:rsid w:val="00D41FF0"/>
    <w:rsid w:val="00D436E9"/>
    <w:rsid w:val="00D44098"/>
    <w:rsid w:val="00D448C8"/>
    <w:rsid w:val="00D45178"/>
    <w:rsid w:val="00D46519"/>
    <w:rsid w:val="00D46BFD"/>
    <w:rsid w:val="00D47525"/>
    <w:rsid w:val="00D47CA0"/>
    <w:rsid w:val="00D502F0"/>
    <w:rsid w:val="00D51256"/>
    <w:rsid w:val="00D51D1B"/>
    <w:rsid w:val="00D535D3"/>
    <w:rsid w:val="00D53FCA"/>
    <w:rsid w:val="00D565A6"/>
    <w:rsid w:val="00D56AB1"/>
    <w:rsid w:val="00D60647"/>
    <w:rsid w:val="00D633DA"/>
    <w:rsid w:val="00D65E67"/>
    <w:rsid w:val="00D65E98"/>
    <w:rsid w:val="00D66A69"/>
    <w:rsid w:val="00D67FA9"/>
    <w:rsid w:val="00D708F7"/>
    <w:rsid w:val="00D70CFE"/>
    <w:rsid w:val="00D71115"/>
    <w:rsid w:val="00D71A96"/>
    <w:rsid w:val="00D725B5"/>
    <w:rsid w:val="00D72D9C"/>
    <w:rsid w:val="00D72F4B"/>
    <w:rsid w:val="00D7420A"/>
    <w:rsid w:val="00D74871"/>
    <w:rsid w:val="00D756FA"/>
    <w:rsid w:val="00D76135"/>
    <w:rsid w:val="00D76155"/>
    <w:rsid w:val="00D764EB"/>
    <w:rsid w:val="00D77AA3"/>
    <w:rsid w:val="00D801BB"/>
    <w:rsid w:val="00D80213"/>
    <w:rsid w:val="00D80AEF"/>
    <w:rsid w:val="00D81FA0"/>
    <w:rsid w:val="00D839EC"/>
    <w:rsid w:val="00D857B7"/>
    <w:rsid w:val="00D8617E"/>
    <w:rsid w:val="00D87F3B"/>
    <w:rsid w:val="00D900BA"/>
    <w:rsid w:val="00D903EA"/>
    <w:rsid w:val="00D904EB"/>
    <w:rsid w:val="00D9063E"/>
    <w:rsid w:val="00D9165D"/>
    <w:rsid w:val="00D91B56"/>
    <w:rsid w:val="00D91BF8"/>
    <w:rsid w:val="00D92578"/>
    <w:rsid w:val="00D92D63"/>
    <w:rsid w:val="00D9474F"/>
    <w:rsid w:val="00D94911"/>
    <w:rsid w:val="00D95024"/>
    <w:rsid w:val="00D968B6"/>
    <w:rsid w:val="00D96AF7"/>
    <w:rsid w:val="00D97D67"/>
    <w:rsid w:val="00DA0F27"/>
    <w:rsid w:val="00DA17B3"/>
    <w:rsid w:val="00DA1FB9"/>
    <w:rsid w:val="00DA2B49"/>
    <w:rsid w:val="00DA4422"/>
    <w:rsid w:val="00DA6B6D"/>
    <w:rsid w:val="00DA77EF"/>
    <w:rsid w:val="00DB00D2"/>
    <w:rsid w:val="00DB026B"/>
    <w:rsid w:val="00DB0AC9"/>
    <w:rsid w:val="00DB3CC4"/>
    <w:rsid w:val="00DB4B14"/>
    <w:rsid w:val="00DB73B2"/>
    <w:rsid w:val="00DC0201"/>
    <w:rsid w:val="00DC056F"/>
    <w:rsid w:val="00DC0E5B"/>
    <w:rsid w:val="00DC1113"/>
    <w:rsid w:val="00DC15EE"/>
    <w:rsid w:val="00DC26A5"/>
    <w:rsid w:val="00DC2D08"/>
    <w:rsid w:val="00DC4B82"/>
    <w:rsid w:val="00DC4CE6"/>
    <w:rsid w:val="00DC59F0"/>
    <w:rsid w:val="00DC690E"/>
    <w:rsid w:val="00DC7EEB"/>
    <w:rsid w:val="00DD0011"/>
    <w:rsid w:val="00DD4211"/>
    <w:rsid w:val="00DD4357"/>
    <w:rsid w:val="00DD55B8"/>
    <w:rsid w:val="00DD5C1D"/>
    <w:rsid w:val="00DD6DF5"/>
    <w:rsid w:val="00DE34E6"/>
    <w:rsid w:val="00DE397E"/>
    <w:rsid w:val="00DE3D3C"/>
    <w:rsid w:val="00DE4FC7"/>
    <w:rsid w:val="00DE54A5"/>
    <w:rsid w:val="00DF0C9E"/>
    <w:rsid w:val="00DF2E17"/>
    <w:rsid w:val="00DF2FD4"/>
    <w:rsid w:val="00DF384B"/>
    <w:rsid w:val="00DF4F99"/>
    <w:rsid w:val="00DF5BE0"/>
    <w:rsid w:val="00DF5EB6"/>
    <w:rsid w:val="00E002B9"/>
    <w:rsid w:val="00E017B8"/>
    <w:rsid w:val="00E022AF"/>
    <w:rsid w:val="00E031D4"/>
    <w:rsid w:val="00E032A5"/>
    <w:rsid w:val="00E04B32"/>
    <w:rsid w:val="00E04FB1"/>
    <w:rsid w:val="00E059FD"/>
    <w:rsid w:val="00E05B97"/>
    <w:rsid w:val="00E0673D"/>
    <w:rsid w:val="00E10E9B"/>
    <w:rsid w:val="00E13799"/>
    <w:rsid w:val="00E15A28"/>
    <w:rsid w:val="00E15DF7"/>
    <w:rsid w:val="00E21D76"/>
    <w:rsid w:val="00E221D3"/>
    <w:rsid w:val="00E238B3"/>
    <w:rsid w:val="00E2469F"/>
    <w:rsid w:val="00E26819"/>
    <w:rsid w:val="00E31831"/>
    <w:rsid w:val="00E3204B"/>
    <w:rsid w:val="00E32A64"/>
    <w:rsid w:val="00E3788B"/>
    <w:rsid w:val="00E40656"/>
    <w:rsid w:val="00E41748"/>
    <w:rsid w:val="00E41AAB"/>
    <w:rsid w:val="00E4248B"/>
    <w:rsid w:val="00E42FBE"/>
    <w:rsid w:val="00E45928"/>
    <w:rsid w:val="00E45991"/>
    <w:rsid w:val="00E4737F"/>
    <w:rsid w:val="00E50566"/>
    <w:rsid w:val="00E511BF"/>
    <w:rsid w:val="00E523F7"/>
    <w:rsid w:val="00E52C9D"/>
    <w:rsid w:val="00E53F78"/>
    <w:rsid w:val="00E554FD"/>
    <w:rsid w:val="00E55A8F"/>
    <w:rsid w:val="00E56097"/>
    <w:rsid w:val="00E56A23"/>
    <w:rsid w:val="00E57B92"/>
    <w:rsid w:val="00E60584"/>
    <w:rsid w:val="00E60C6B"/>
    <w:rsid w:val="00E60F01"/>
    <w:rsid w:val="00E63474"/>
    <w:rsid w:val="00E63701"/>
    <w:rsid w:val="00E64D56"/>
    <w:rsid w:val="00E65866"/>
    <w:rsid w:val="00E65A0A"/>
    <w:rsid w:val="00E66387"/>
    <w:rsid w:val="00E70049"/>
    <w:rsid w:val="00E71415"/>
    <w:rsid w:val="00E7146D"/>
    <w:rsid w:val="00E723DC"/>
    <w:rsid w:val="00E72D04"/>
    <w:rsid w:val="00E731B2"/>
    <w:rsid w:val="00E753EC"/>
    <w:rsid w:val="00E800EF"/>
    <w:rsid w:val="00E803F1"/>
    <w:rsid w:val="00E815CD"/>
    <w:rsid w:val="00E815E9"/>
    <w:rsid w:val="00E81749"/>
    <w:rsid w:val="00E81955"/>
    <w:rsid w:val="00E83353"/>
    <w:rsid w:val="00E8369B"/>
    <w:rsid w:val="00E8516F"/>
    <w:rsid w:val="00E86CE1"/>
    <w:rsid w:val="00E86E6F"/>
    <w:rsid w:val="00E87504"/>
    <w:rsid w:val="00E91602"/>
    <w:rsid w:val="00E91C62"/>
    <w:rsid w:val="00E955B5"/>
    <w:rsid w:val="00E96E10"/>
    <w:rsid w:val="00E971DA"/>
    <w:rsid w:val="00E972C8"/>
    <w:rsid w:val="00EA0B69"/>
    <w:rsid w:val="00EA1955"/>
    <w:rsid w:val="00EA1DC3"/>
    <w:rsid w:val="00EA2495"/>
    <w:rsid w:val="00EA2E57"/>
    <w:rsid w:val="00EA32A1"/>
    <w:rsid w:val="00EA42B8"/>
    <w:rsid w:val="00EA5EA0"/>
    <w:rsid w:val="00EB41E7"/>
    <w:rsid w:val="00EB7A75"/>
    <w:rsid w:val="00EC0990"/>
    <w:rsid w:val="00EC0F11"/>
    <w:rsid w:val="00EC3503"/>
    <w:rsid w:val="00EC49F7"/>
    <w:rsid w:val="00EC5224"/>
    <w:rsid w:val="00EC5429"/>
    <w:rsid w:val="00EC56D0"/>
    <w:rsid w:val="00EC6BB1"/>
    <w:rsid w:val="00ED19C7"/>
    <w:rsid w:val="00ED246E"/>
    <w:rsid w:val="00ED395A"/>
    <w:rsid w:val="00ED46D8"/>
    <w:rsid w:val="00ED4C78"/>
    <w:rsid w:val="00ED4FDC"/>
    <w:rsid w:val="00ED6044"/>
    <w:rsid w:val="00ED64BA"/>
    <w:rsid w:val="00ED7674"/>
    <w:rsid w:val="00ED7BC9"/>
    <w:rsid w:val="00EE162E"/>
    <w:rsid w:val="00EE2966"/>
    <w:rsid w:val="00EE38D6"/>
    <w:rsid w:val="00EE6D08"/>
    <w:rsid w:val="00EE728B"/>
    <w:rsid w:val="00EF11F7"/>
    <w:rsid w:val="00EF1883"/>
    <w:rsid w:val="00EF1C41"/>
    <w:rsid w:val="00EF400C"/>
    <w:rsid w:val="00EF55AB"/>
    <w:rsid w:val="00EF5763"/>
    <w:rsid w:val="00EF5CB0"/>
    <w:rsid w:val="00EF6CF1"/>
    <w:rsid w:val="00F01239"/>
    <w:rsid w:val="00F0232B"/>
    <w:rsid w:val="00F03769"/>
    <w:rsid w:val="00F0514C"/>
    <w:rsid w:val="00F054A5"/>
    <w:rsid w:val="00F0618A"/>
    <w:rsid w:val="00F120D2"/>
    <w:rsid w:val="00F14ADB"/>
    <w:rsid w:val="00F15289"/>
    <w:rsid w:val="00F15FD6"/>
    <w:rsid w:val="00F17327"/>
    <w:rsid w:val="00F2298C"/>
    <w:rsid w:val="00F240D2"/>
    <w:rsid w:val="00F24AB0"/>
    <w:rsid w:val="00F2608C"/>
    <w:rsid w:val="00F267B0"/>
    <w:rsid w:val="00F277CF"/>
    <w:rsid w:val="00F30FAF"/>
    <w:rsid w:val="00F31F61"/>
    <w:rsid w:val="00F31FDF"/>
    <w:rsid w:val="00F32117"/>
    <w:rsid w:val="00F362D5"/>
    <w:rsid w:val="00F372D8"/>
    <w:rsid w:val="00F4038F"/>
    <w:rsid w:val="00F40904"/>
    <w:rsid w:val="00F4191A"/>
    <w:rsid w:val="00F435E4"/>
    <w:rsid w:val="00F44B11"/>
    <w:rsid w:val="00F47D7F"/>
    <w:rsid w:val="00F503B6"/>
    <w:rsid w:val="00F503D4"/>
    <w:rsid w:val="00F522F5"/>
    <w:rsid w:val="00F52A18"/>
    <w:rsid w:val="00F56E7D"/>
    <w:rsid w:val="00F6143D"/>
    <w:rsid w:val="00F62929"/>
    <w:rsid w:val="00F65AA4"/>
    <w:rsid w:val="00F65B41"/>
    <w:rsid w:val="00F65E69"/>
    <w:rsid w:val="00F65F00"/>
    <w:rsid w:val="00F66FD9"/>
    <w:rsid w:val="00F70304"/>
    <w:rsid w:val="00F716EE"/>
    <w:rsid w:val="00F7289F"/>
    <w:rsid w:val="00F7328D"/>
    <w:rsid w:val="00F7387B"/>
    <w:rsid w:val="00F73BE0"/>
    <w:rsid w:val="00F74070"/>
    <w:rsid w:val="00F74614"/>
    <w:rsid w:val="00F756A6"/>
    <w:rsid w:val="00F7713A"/>
    <w:rsid w:val="00F777C9"/>
    <w:rsid w:val="00F77A6F"/>
    <w:rsid w:val="00F81310"/>
    <w:rsid w:val="00F81BAA"/>
    <w:rsid w:val="00F831E3"/>
    <w:rsid w:val="00F83A72"/>
    <w:rsid w:val="00F854B5"/>
    <w:rsid w:val="00F902E9"/>
    <w:rsid w:val="00F912BC"/>
    <w:rsid w:val="00F9185A"/>
    <w:rsid w:val="00F92076"/>
    <w:rsid w:val="00F93EFC"/>
    <w:rsid w:val="00F9433A"/>
    <w:rsid w:val="00F9562D"/>
    <w:rsid w:val="00F95C55"/>
    <w:rsid w:val="00F96E11"/>
    <w:rsid w:val="00F979D8"/>
    <w:rsid w:val="00F97A0F"/>
    <w:rsid w:val="00FA031A"/>
    <w:rsid w:val="00FA06BA"/>
    <w:rsid w:val="00FA1C28"/>
    <w:rsid w:val="00FA1E90"/>
    <w:rsid w:val="00FA244D"/>
    <w:rsid w:val="00FA3010"/>
    <w:rsid w:val="00FA3563"/>
    <w:rsid w:val="00FA4DCE"/>
    <w:rsid w:val="00FA5993"/>
    <w:rsid w:val="00FA6214"/>
    <w:rsid w:val="00FA62FB"/>
    <w:rsid w:val="00FB0BBB"/>
    <w:rsid w:val="00FB1401"/>
    <w:rsid w:val="00FB17AC"/>
    <w:rsid w:val="00FB4F60"/>
    <w:rsid w:val="00FB589E"/>
    <w:rsid w:val="00FB5B30"/>
    <w:rsid w:val="00FC078D"/>
    <w:rsid w:val="00FC1A35"/>
    <w:rsid w:val="00FC232A"/>
    <w:rsid w:val="00FC290C"/>
    <w:rsid w:val="00FC354D"/>
    <w:rsid w:val="00FC4CAE"/>
    <w:rsid w:val="00FD08DE"/>
    <w:rsid w:val="00FD0EC4"/>
    <w:rsid w:val="00FD0F6E"/>
    <w:rsid w:val="00FD1360"/>
    <w:rsid w:val="00FD247D"/>
    <w:rsid w:val="00FD588A"/>
    <w:rsid w:val="00FE07A0"/>
    <w:rsid w:val="00FE1741"/>
    <w:rsid w:val="00FE2EC0"/>
    <w:rsid w:val="00FE4815"/>
    <w:rsid w:val="00FE4EA7"/>
    <w:rsid w:val="00FE5308"/>
    <w:rsid w:val="00FE54A3"/>
    <w:rsid w:val="00FE78C7"/>
    <w:rsid w:val="00FF0849"/>
    <w:rsid w:val="00FF0F6E"/>
    <w:rsid w:val="00FF2970"/>
    <w:rsid w:val="00FF3363"/>
    <w:rsid w:val="00FF43F5"/>
    <w:rsid w:val="00FF4849"/>
    <w:rsid w:val="00FF5B70"/>
    <w:rsid w:val="01891EE8"/>
    <w:rsid w:val="01A52F74"/>
    <w:rsid w:val="02480447"/>
    <w:rsid w:val="029702BC"/>
    <w:rsid w:val="02D51AC8"/>
    <w:rsid w:val="03514173"/>
    <w:rsid w:val="040E567F"/>
    <w:rsid w:val="047F00B9"/>
    <w:rsid w:val="05C678C6"/>
    <w:rsid w:val="060537B7"/>
    <w:rsid w:val="062E067F"/>
    <w:rsid w:val="06B548A9"/>
    <w:rsid w:val="06EC02F4"/>
    <w:rsid w:val="072C6AA8"/>
    <w:rsid w:val="072D1A48"/>
    <w:rsid w:val="07BE678A"/>
    <w:rsid w:val="07DC3B9F"/>
    <w:rsid w:val="08152959"/>
    <w:rsid w:val="0819388C"/>
    <w:rsid w:val="0960017C"/>
    <w:rsid w:val="09711BF7"/>
    <w:rsid w:val="09BA4874"/>
    <w:rsid w:val="09FC14F1"/>
    <w:rsid w:val="0A5002F7"/>
    <w:rsid w:val="0A9254F6"/>
    <w:rsid w:val="0AC73E6A"/>
    <w:rsid w:val="0AD33E3F"/>
    <w:rsid w:val="0AEE1C2E"/>
    <w:rsid w:val="0B2A326E"/>
    <w:rsid w:val="0B471443"/>
    <w:rsid w:val="0B62538F"/>
    <w:rsid w:val="0BCA3BC7"/>
    <w:rsid w:val="0C0144F5"/>
    <w:rsid w:val="0C091BD9"/>
    <w:rsid w:val="0CDF50F0"/>
    <w:rsid w:val="0D377113"/>
    <w:rsid w:val="0D490256"/>
    <w:rsid w:val="0DA24EF8"/>
    <w:rsid w:val="0DD2119E"/>
    <w:rsid w:val="0E061BCF"/>
    <w:rsid w:val="0E1C3108"/>
    <w:rsid w:val="0E684827"/>
    <w:rsid w:val="0EF01430"/>
    <w:rsid w:val="0EFB2FA6"/>
    <w:rsid w:val="0F9A2AEF"/>
    <w:rsid w:val="0FB57FB7"/>
    <w:rsid w:val="0FB97E27"/>
    <w:rsid w:val="0FFA4C3A"/>
    <w:rsid w:val="103A1754"/>
    <w:rsid w:val="10AB4B20"/>
    <w:rsid w:val="10FD71D1"/>
    <w:rsid w:val="112E6273"/>
    <w:rsid w:val="113E0119"/>
    <w:rsid w:val="12AF0CEE"/>
    <w:rsid w:val="12CA173F"/>
    <w:rsid w:val="13A74BEC"/>
    <w:rsid w:val="146B50E8"/>
    <w:rsid w:val="14795A2C"/>
    <w:rsid w:val="14960258"/>
    <w:rsid w:val="149A3C1F"/>
    <w:rsid w:val="14AD3953"/>
    <w:rsid w:val="14BA1BCC"/>
    <w:rsid w:val="14E53DC5"/>
    <w:rsid w:val="14ED7840"/>
    <w:rsid w:val="14FE67B9"/>
    <w:rsid w:val="154B396E"/>
    <w:rsid w:val="16CB408D"/>
    <w:rsid w:val="16CF2FCE"/>
    <w:rsid w:val="16D05487"/>
    <w:rsid w:val="17EC7EB0"/>
    <w:rsid w:val="17EE050A"/>
    <w:rsid w:val="18491BE4"/>
    <w:rsid w:val="18CF6A0D"/>
    <w:rsid w:val="18E070CE"/>
    <w:rsid w:val="18F96BA4"/>
    <w:rsid w:val="19014F96"/>
    <w:rsid w:val="19543EF0"/>
    <w:rsid w:val="19CE05F3"/>
    <w:rsid w:val="1A3D12D5"/>
    <w:rsid w:val="1A910C02"/>
    <w:rsid w:val="1AA75D8B"/>
    <w:rsid w:val="1B5B5EB7"/>
    <w:rsid w:val="1BC80791"/>
    <w:rsid w:val="1C546C93"/>
    <w:rsid w:val="1C8957B3"/>
    <w:rsid w:val="1D2B18B9"/>
    <w:rsid w:val="1D7715D2"/>
    <w:rsid w:val="1D9008B4"/>
    <w:rsid w:val="1DDC0E05"/>
    <w:rsid w:val="1DE026A3"/>
    <w:rsid w:val="1E780B2E"/>
    <w:rsid w:val="1E792811"/>
    <w:rsid w:val="1E97630A"/>
    <w:rsid w:val="1EAF77B2"/>
    <w:rsid w:val="1EBF49AE"/>
    <w:rsid w:val="1EC91389"/>
    <w:rsid w:val="1ECE2E43"/>
    <w:rsid w:val="1ED91CAD"/>
    <w:rsid w:val="1EDA288A"/>
    <w:rsid w:val="1F797577"/>
    <w:rsid w:val="20126D60"/>
    <w:rsid w:val="209F64C7"/>
    <w:rsid w:val="20E155D4"/>
    <w:rsid w:val="216E6CDF"/>
    <w:rsid w:val="21C2441B"/>
    <w:rsid w:val="21D264AB"/>
    <w:rsid w:val="21DA1AFF"/>
    <w:rsid w:val="22662B97"/>
    <w:rsid w:val="227E37AC"/>
    <w:rsid w:val="22E109C1"/>
    <w:rsid w:val="236A0D45"/>
    <w:rsid w:val="24305BD3"/>
    <w:rsid w:val="249917FE"/>
    <w:rsid w:val="24B07ED2"/>
    <w:rsid w:val="24ED2376"/>
    <w:rsid w:val="25496D80"/>
    <w:rsid w:val="2567039B"/>
    <w:rsid w:val="25927D2F"/>
    <w:rsid w:val="264F7447"/>
    <w:rsid w:val="26D07BC5"/>
    <w:rsid w:val="272B4137"/>
    <w:rsid w:val="27DE79CB"/>
    <w:rsid w:val="286C3FCF"/>
    <w:rsid w:val="296454F8"/>
    <w:rsid w:val="2A45562C"/>
    <w:rsid w:val="2A765030"/>
    <w:rsid w:val="2B0771A6"/>
    <w:rsid w:val="2B0E6CBE"/>
    <w:rsid w:val="2B6847BC"/>
    <w:rsid w:val="2BB4516F"/>
    <w:rsid w:val="2BE07D12"/>
    <w:rsid w:val="2D030004"/>
    <w:rsid w:val="2D0571C5"/>
    <w:rsid w:val="2DD80E6F"/>
    <w:rsid w:val="2E12716B"/>
    <w:rsid w:val="2E3668F9"/>
    <w:rsid w:val="2E50449C"/>
    <w:rsid w:val="2EA92857"/>
    <w:rsid w:val="2F4607D4"/>
    <w:rsid w:val="2F4D5691"/>
    <w:rsid w:val="2F600C05"/>
    <w:rsid w:val="2F710FD8"/>
    <w:rsid w:val="2FEE7E67"/>
    <w:rsid w:val="2FF52033"/>
    <w:rsid w:val="30171F1F"/>
    <w:rsid w:val="30B87ADB"/>
    <w:rsid w:val="30EA7500"/>
    <w:rsid w:val="315A026C"/>
    <w:rsid w:val="3185377D"/>
    <w:rsid w:val="32307357"/>
    <w:rsid w:val="3278491A"/>
    <w:rsid w:val="32BB5008"/>
    <w:rsid w:val="32C12FD4"/>
    <w:rsid w:val="32DF3E1C"/>
    <w:rsid w:val="32EA4E5D"/>
    <w:rsid w:val="3398365D"/>
    <w:rsid w:val="33AA1C92"/>
    <w:rsid w:val="3401696D"/>
    <w:rsid w:val="34476B80"/>
    <w:rsid w:val="348F5D06"/>
    <w:rsid w:val="35D72890"/>
    <w:rsid w:val="36517132"/>
    <w:rsid w:val="36BE333D"/>
    <w:rsid w:val="36FB0876"/>
    <w:rsid w:val="37954FAC"/>
    <w:rsid w:val="37EF1A09"/>
    <w:rsid w:val="38DA3D60"/>
    <w:rsid w:val="39151EFE"/>
    <w:rsid w:val="391E39BD"/>
    <w:rsid w:val="396E146A"/>
    <w:rsid w:val="398362A8"/>
    <w:rsid w:val="399A5C09"/>
    <w:rsid w:val="39A35CBE"/>
    <w:rsid w:val="39AE68C3"/>
    <w:rsid w:val="3A3C109A"/>
    <w:rsid w:val="3AB40E90"/>
    <w:rsid w:val="3AE42A27"/>
    <w:rsid w:val="3BDC274E"/>
    <w:rsid w:val="3C4F2D35"/>
    <w:rsid w:val="3CA627C8"/>
    <w:rsid w:val="3D8467E5"/>
    <w:rsid w:val="3EA43294"/>
    <w:rsid w:val="3F1869DC"/>
    <w:rsid w:val="3F5056DE"/>
    <w:rsid w:val="40357F4B"/>
    <w:rsid w:val="406867FC"/>
    <w:rsid w:val="408337AE"/>
    <w:rsid w:val="40AC3F0F"/>
    <w:rsid w:val="40C715C4"/>
    <w:rsid w:val="417E40F4"/>
    <w:rsid w:val="418869CC"/>
    <w:rsid w:val="42E52B99"/>
    <w:rsid w:val="43160F13"/>
    <w:rsid w:val="43182111"/>
    <w:rsid w:val="43390834"/>
    <w:rsid w:val="439277E2"/>
    <w:rsid w:val="44740C9E"/>
    <w:rsid w:val="44923EBD"/>
    <w:rsid w:val="449C7498"/>
    <w:rsid w:val="44C47D79"/>
    <w:rsid w:val="452864EA"/>
    <w:rsid w:val="45376531"/>
    <w:rsid w:val="45847202"/>
    <w:rsid w:val="462C182F"/>
    <w:rsid w:val="46844716"/>
    <w:rsid w:val="471615AB"/>
    <w:rsid w:val="471C6E91"/>
    <w:rsid w:val="479D2D99"/>
    <w:rsid w:val="47B04E87"/>
    <w:rsid w:val="484A406B"/>
    <w:rsid w:val="485C1407"/>
    <w:rsid w:val="48BB3207"/>
    <w:rsid w:val="48D10CB7"/>
    <w:rsid w:val="49A308A5"/>
    <w:rsid w:val="4A245A52"/>
    <w:rsid w:val="4A3613A6"/>
    <w:rsid w:val="4AA93584"/>
    <w:rsid w:val="4AC76815"/>
    <w:rsid w:val="4B070DCA"/>
    <w:rsid w:val="4B1E1850"/>
    <w:rsid w:val="4B4154BA"/>
    <w:rsid w:val="4B72149A"/>
    <w:rsid w:val="4D3C2A04"/>
    <w:rsid w:val="4D8E53C8"/>
    <w:rsid w:val="4DAC48D2"/>
    <w:rsid w:val="4DED5CA7"/>
    <w:rsid w:val="4E1E5F43"/>
    <w:rsid w:val="4E9F02F7"/>
    <w:rsid w:val="4ED80E49"/>
    <w:rsid w:val="4F3714B2"/>
    <w:rsid w:val="4FAC734A"/>
    <w:rsid w:val="4FE92CD6"/>
    <w:rsid w:val="502A1D14"/>
    <w:rsid w:val="50AD169E"/>
    <w:rsid w:val="50F10148"/>
    <w:rsid w:val="50F91EA0"/>
    <w:rsid w:val="5174427B"/>
    <w:rsid w:val="51AC406F"/>
    <w:rsid w:val="526D6413"/>
    <w:rsid w:val="52F069DB"/>
    <w:rsid w:val="52F72128"/>
    <w:rsid w:val="54091591"/>
    <w:rsid w:val="54291C7E"/>
    <w:rsid w:val="543726BA"/>
    <w:rsid w:val="543E43EE"/>
    <w:rsid w:val="54815C87"/>
    <w:rsid w:val="548A2BC5"/>
    <w:rsid w:val="54AB6860"/>
    <w:rsid w:val="550B48DF"/>
    <w:rsid w:val="55475E4A"/>
    <w:rsid w:val="55825812"/>
    <w:rsid w:val="55985036"/>
    <w:rsid w:val="559B512B"/>
    <w:rsid w:val="56140E42"/>
    <w:rsid w:val="564150BD"/>
    <w:rsid w:val="566B7708"/>
    <w:rsid w:val="5692637B"/>
    <w:rsid w:val="56BC4D54"/>
    <w:rsid w:val="56F31436"/>
    <w:rsid w:val="572F3778"/>
    <w:rsid w:val="57B456D5"/>
    <w:rsid w:val="57D8796C"/>
    <w:rsid w:val="58325001"/>
    <w:rsid w:val="585E7B5F"/>
    <w:rsid w:val="58990CCB"/>
    <w:rsid w:val="59080749"/>
    <w:rsid w:val="5971077F"/>
    <w:rsid w:val="597F1763"/>
    <w:rsid w:val="598C4EB2"/>
    <w:rsid w:val="598F6750"/>
    <w:rsid w:val="59CC22C4"/>
    <w:rsid w:val="5A221A2E"/>
    <w:rsid w:val="5A700229"/>
    <w:rsid w:val="5A700F6C"/>
    <w:rsid w:val="5A755946"/>
    <w:rsid w:val="5ADF31DF"/>
    <w:rsid w:val="5B2512BC"/>
    <w:rsid w:val="5B5A4B3C"/>
    <w:rsid w:val="5B747EF8"/>
    <w:rsid w:val="5BB5783F"/>
    <w:rsid w:val="5BBE25E0"/>
    <w:rsid w:val="5BEA06FF"/>
    <w:rsid w:val="5BFC376E"/>
    <w:rsid w:val="5CE73758"/>
    <w:rsid w:val="5D1E0517"/>
    <w:rsid w:val="5E712091"/>
    <w:rsid w:val="5FBA598B"/>
    <w:rsid w:val="5FFE4CB2"/>
    <w:rsid w:val="607B669F"/>
    <w:rsid w:val="608309E0"/>
    <w:rsid w:val="60A73D51"/>
    <w:rsid w:val="60B66CB8"/>
    <w:rsid w:val="60DF39A4"/>
    <w:rsid w:val="61576666"/>
    <w:rsid w:val="62524336"/>
    <w:rsid w:val="62882E90"/>
    <w:rsid w:val="62C210A7"/>
    <w:rsid w:val="63C24D92"/>
    <w:rsid w:val="641B0CBB"/>
    <w:rsid w:val="646551FA"/>
    <w:rsid w:val="65181CEF"/>
    <w:rsid w:val="653F727C"/>
    <w:rsid w:val="655A0944"/>
    <w:rsid w:val="6567120E"/>
    <w:rsid w:val="65777ADE"/>
    <w:rsid w:val="65F66520"/>
    <w:rsid w:val="66640B6A"/>
    <w:rsid w:val="671D086C"/>
    <w:rsid w:val="674235F0"/>
    <w:rsid w:val="674D05F7"/>
    <w:rsid w:val="677551D7"/>
    <w:rsid w:val="699A170F"/>
    <w:rsid w:val="69ED2612"/>
    <w:rsid w:val="6A130DB9"/>
    <w:rsid w:val="6A6D16BF"/>
    <w:rsid w:val="6A845731"/>
    <w:rsid w:val="6AE12466"/>
    <w:rsid w:val="6B403D4E"/>
    <w:rsid w:val="6B790D74"/>
    <w:rsid w:val="6BAB424B"/>
    <w:rsid w:val="6BC82EF2"/>
    <w:rsid w:val="6BEB5FCA"/>
    <w:rsid w:val="6BFA35F8"/>
    <w:rsid w:val="6C4A5D3C"/>
    <w:rsid w:val="6C567344"/>
    <w:rsid w:val="6CA9321E"/>
    <w:rsid w:val="6CAE2F39"/>
    <w:rsid w:val="6CC4275D"/>
    <w:rsid w:val="6CC61E27"/>
    <w:rsid w:val="6D2D20B0"/>
    <w:rsid w:val="6D3E4AF7"/>
    <w:rsid w:val="6D627753"/>
    <w:rsid w:val="6D985ADE"/>
    <w:rsid w:val="6DA700B4"/>
    <w:rsid w:val="6E133EA4"/>
    <w:rsid w:val="6E5B0E2F"/>
    <w:rsid w:val="6E6C6C08"/>
    <w:rsid w:val="6E7B4DC9"/>
    <w:rsid w:val="6EAC5256"/>
    <w:rsid w:val="6EC2715D"/>
    <w:rsid w:val="6EC35D4A"/>
    <w:rsid w:val="6F42271F"/>
    <w:rsid w:val="71871A3C"/>
    <w:rsid w:val="719852AC"/>
    <w:rsid w:val="71A706F8"/>
    <w:rsid w:val="71AD689D"/>
    <w:rsid w:val="71F5356E"/>
    <w:rsid w:val="71F67A7B"/>
    <w:rsid w:val="72CE3CB9"/>
    <w:rsid w:val="73AE0A08"/>
    <w:rsid w:val="73C836F6"/>
    <w:rsid w:val="73F34069"/>
    <w:rsid w:val="745C1271"/>
    <w:rsid w:val="74C6487E"/>
    <w:rsid w:val="74DE6EEC"/>
    <w:rsid w:val="76285A90"/>
    <w:rsid w:val="767B395B"/>
    <w:rsid w:val="769F7CD6"/>
    <w:rsid w:val="76A21419"/>
    <w:rsid w:val="76CB3EFE"/>
    <w:rsid w:val="776C111F"/>
    <w:rsid w:val="778D4C78"/>
    <w:rsid w:val="77A628EA"/>
    <w:rsid w:val="77C71D3E"/>
    <w:rsid w:val="77FA4737"/>
    <w:rsid w:val="78642DEF"/>
    <w:rsid w:val="78D46D99"/>
    <w:rsid w:val="78E1069D"/>
    <w:rsid w:val="78F83FAD"/>
    <w:rsid w:val="794263B9"/>
    <w:rsid w:val="7976695B"/>
    <w:rsid w:val="79B45849"/>
    <w:rsid w:val="7A3964FD"/>
    <w:rsid w:val="7AA329D6"/>
    <w:rsid w:val="7AFB0D64"/>
    <w:rsid w:val="7BAD143E"/>
    <w:rsid w:val="7BC55DF9"/>
    <w:rsid w:val="7BC71001"/>
    <w:rsid w:val="7C232312"/>
    <w:rsid w:val="7CB83E2E"/>
    <w:rsid w:val="7D366889"/>
    <w:rsid w:val="7D4551F4"/>
    <w:rsid w:val="7E334516"/>
    <w:rsid w:val="7E6911BF"/>
    <w:rsid w:val="7E8801E1"/>
    <w:rsid w:val="7EC2087F"/>
    <w:rsid w:val="7F106850"/>
    <w:rsid w:val="7F3D04B3"/>
    <w:rsid w:val="7FA2692E"/>
    <w:rsid w:val="7FAD24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qFormat/>
    <w:uiPriority w:val="0"/>
    <w:pPr>
      <w:keepNext/>
      <w:keepLines/>
      <w:spacing w:before="340" w:after="330" w:line="578" w:lineRule="auto"/>
      <w:jc w:val="center"/>
      <w:outlineLvl w:val="0"/>
    </w:pPr>
    <w:rPr>
      <w:rFonts w:ascii="Times New Roman" w:hAnsi="Times New Roman" w:eastAsia="仿宋_GB2312" w:cs="Times New Roman"/>
      <w:b/>
      <w:bCs/>
      <w:kern w:val="44"/>
      <w:sz w:val="44"/>
      <w:szCs w:val="44"/>
    </w:rPr>
  </w:style>
  <w:style w:type="paragraph" w:styleId="3">
    <w:name w:val="heading 2"/>
    <w:basedOn w:val="1"/>
    <w:next w:val="1"/>
    <w:link w:val="90"/>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64"/>
    <w:qFormat/>
    <w:uiPriority w:val="0"/>
    <w:pPr>
      <w:keepNext/>
      <w:keepLines/>
      <w:spacing w:before="260" w:after="260" w:line="416" w:lineRule="auto"/>
      <w:outlineLvl w:val="2"/>
    </w:pPr>
    <w:rPr>
      <w:rFonts w:ascii="宋体" w:hAnsi="Courier New" w:eastAsia="宋体" w:cs="Times New Roman"/>
      <w:b/>
      <w:bCs/>
      <w:sz w:val="32"/>
      <w:szCs w:val="32"/>
    </w:rPr>
  </w:style>
  <w:style w:type="paragraph" w:styleId="5">
    <w:name w:val="heading 4"/>
    <w:basedOn w:val="1"/>
    <w:next w:val="1"/>
    <w:link w:val="66"/>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7"/>
    <w:link w:val="67"/>
    <w:qFormat/>
    <w:uiPriority w:val="0"/>
    <w:pPr>
      <w:keepNext/>
      <w:keepLines/>
      <w:spacing w:before="280" w:after="290" w:line="376" w:lineRule="auto"/>
      <w:outlineLvl w:val="4"/>
    </w:pPr>
    <w:rPr>
      <w:rFonts w:ascii="Times New Roman" w:hAnsi="Times New Roman" w:eastAsia="宋体" w:cs="Times New Roman"/>
      <w:b/>
      <w:sz w:val="28"/>
    </w:rPr>
  </w:style>
  <w:style w:type="paragraph" w:styleId="8">
    <w:name w:val="heading 6"/>
    <w:basedOn w:val="1"/>
    <w:next w:val="7"/>
    <w:link w:val="69"/>
    <w:qFormat/>
    <w:uiPriority w:val="0"/>
    <w:pPr>
      <w:keepNext/>
      <w:keepLines/>
      <w:spacing w:before="240" w:after="64" w:line="320" w:lineRule="auto"/>
      <w:outlineLvl w:val="5"/>
    </w:pPr>
    <w:rPr>
      <w:rFonts w:ascii="Arial" w:hAnsi="Arial" w:eastAsia="黑体" w:cs="Times New Roman"/>
      <w:b/>
      <w:sz w:val="24"/>
    </w:rPr>
  </w:style>
  <w:style w:type="paragraph" w:styleId="9">
    <w:name w:val="heading 7"/>
    <w:basedOn w:val="1"/>
    <w:next w:val="7"/>
    <w:link w:val="70"/>
    <w:qFormat/>
    <w:uiPriority w:val="0"/>
    <w:pPr>
      <w:keepNext/>
      <w:keepLines/>
      <w:spacing w:before="240" w:after="64" w:line="320" w:lineRule="auto"/>
      <w:outlineLvl w:val="6"/>
    </w:pPr>
    <w:rPr>
      <w:rFonts w:ascii="Times New Roman" w:hAnsi="Times New Roman" w:eastAsia="宋体" w:cs="Times New Roman"/>
      <w:b/>
      <w:sz w:val="24"/>
    </w:rPr>
  </w:style>
  <w:style w:type="paragraph" w:styleId="10">
    <w:name w:val="heading 8"/>
    <w:basedOn w:val="1"/>
    <w:next w:val="7"/>
    <w:link w:val="71"/>
    <w:qFormat/>
    <w:uiPriority w:val="0"/>
    <w:pPr>
      <w:keepNext/>
      <w:keepLines/>
      <w:spacing w:before="240" w:after="64" w:line="320" w:lineRule="auto"/>
      <w:outlineLvl w:val="7"/>
    </w:pPr>
    <w:rPr>
      <w:rFonts w:ascii="Arial" w:hAnsi="Arial" w:eastAsia="黑体" w:cs="Times New Roman"/>
      <w:sz w:val="24"/>
    </w:rPr>
  </w:style>
  <w:style w:type="paragraph" w:styleId="11">
    <w:name w:val="heading 9"/>
    <w:basedOn w:val="1"/>
    <w:next w:val="7"/>
    <w:link w:val="72"/>
    <w:qFormat/>
    <w:uiPriority w:val="0"/>
    <w:pPr>
      <w:keepNext/>
      <w:keepLines/>
      <w:spacing w:before="240" w:after="64" w:line="320" w:lineRule="auto"/>
      <w:outlineLvl w:val="8"/>
    </w:pPr>
    <w:rPr>
      <w:rFonts w:ascii="Arial" w:hAnsi="Arial" w:eastAsia="黑体" w:cs="Times New Roman"/>
    </w:rPr>
  </w:style>
  <w:style w:type="character" w:default="1" w:styleId="54">
    <w:name w:val="Default Paragraph Font"/>
    <w:qFormat/>
    <w:uiPriority w:val="0"/>
    <w:rPr>
      <w:rFonts w:ascii="Times New Roman" w:hAnsi="Times New Roman" w:eastAsia="宋体" w:cs="Times New Roman"/>
    </w:rPr>
  </w:style>
  <w:style w:type="table" w:default="1" w:styleId="51">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7">
    <w:name w:val="Normal Indent"/>
    <w:basedOn w:val="1"/>
    <w:link w:val="68"/>
    <w:qFormat/>
    <w:uiPriority w:val="0"/>
    <w:pPr>
      <w:ind w:firstLine="420"/>
    </w:pPr>
    <w:rPr>
      <w:rFonts w:ascii="Times New Roman" w:hAnsi="Times New Roman" w:eastAsia="宋体" w:cs="Times New Roman"/>
      <w:szCs w:val="20"/>
    </w:rPr>
  </w:style>
  <w:style w:type="paragraph" w:styleId="12">
    <w:name w:val="toc 7"/>
    <w:basedOn w:val="1"/>
    <w:next w:val="1"/>
    <w:qFormat/>
    <w:uiPriority w:val="0"/>
    <w:pPr>
      <w:spacing w:line="360" w:lineRule="auto"/>
      <w:ind w:left="1440" w:firstLine="200" w:firstLineChars="200"/>
      <w:jc w:val="left"/>
    </w:pPr>
    <w:rPr>
      <w:rFonts w:ascii="Calibri" w:hAnsi="Calibri" w:eastAsia="宋体" w:cs="Times New Roman"/>
      <w:sz w:val="20"/>
      <w:szCs w:val="20"/>
    </w:rPr>
  </w:style>
  <w:style w:type="paragraph" w:styleId="13">
    <w:name w:val="table of authorities"/>
    <w:basedOn w:val="1"/>
    <w:next w:val="1"/>
    <w:link w:val="73"/>
    <w:qFormat/>
    <w:uiPriority w:val="0"/>
    <w:pPr>
      <w:ind w:left="420" w:leftChars="200"/>
    </w:pPr>
    <w:rPr>
      <w:rFonts w:ascii="Times New Roman" w:hAnsi="Times New Roman" w:eastAsia="宋体" w:cs="Times New Roman"/>
    </w:rPr>
  </w:style>
  <w:style w:type="paragraph" w:styleId="14">
    <w:name w:val="index 8"/>
    <w:basedOn w:val="1"/>
    <w:next w:val="1"/>
    <w:unhideWhenUsed/>
    <w:qFormat/>
    <w:uiPriority w:val="99"/>
    <w:pPr>
      <w:ind w:left="1400" w:leftChars="1400"/>
    </w:pPr>
  </w:style>
  <w:style w:type="paragraph" w:styleId="15">
    <w:name w:val="List Number"/>
    <w:basedOn w:val="1"/>
    <w:qFormat/>
    <w:uiPriority w:val="0"/>
    <w:pPr>
      <w:widowControl/>
      <w:tabs>
        <w:tab w:val="left" w:pos="454"/>
        <w:tab w:val="left" w:pos="720"/>
        <w:tab w:val="left" w:pos="840"/>
      </w:tabs>
      <w:spacing w:afterLines="50"/>
      <w:ind w:left="454" w:hanging="284"/>
      <w:jc w:val="left"/>
    </w:pPr>
    <w:rPr>
      <w:rFonts w:ascii="Times New Roman" w:hAnsi="Times New Roman" w:eastAsia="宋体" w:cs="Times New Roman"/>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74"/>
    <w:qFormat/>
    <w:uiPriority w:val="0"/>
    <w:pPr>
      <w:shd w:val="clear" w:color="auto" w:fill="000080"/>
    </w:pPr>
    <w:rPr>
      <w:rFonts w:ascii="Times New Roman" w:hAnsi="Times New Roman" w:eastAsia="宋体" w:cs="Times New Roman"/>
    </w:rPr>
  </w:style>
  <w:style w:type="paragraph" w:styleId="18">
    <w:name w:val="toa heading"/>
    <w:basedOn w:val="1"/>
    <w:next w:val="1"/>
    <w:unhideWhenUsed/>
    <w:qFormat/>
    <w:uiPriority w:val="0"/>
    <w:pPr>
      <w:spacing w:before="120"/>
    </w:pPr>
    <w:rPr>
      <w:rFonts w:ascii="Arial" w:hAnsi="Arial"/>
      <w:b/>
      <w:bCs/>
      <w:kern w:val="0"/>
      <w:sz w:val="24"/>
    </w:rPr>
  </w:style>
  <w:style w:type="paragraph" w:styleId="19">
    <w:name w:val="annotation text"/>
    <w:basedOn w:val="1"/>
    <w:link w:val="75"/>
    <w:qFormat/>
    <w:uiPriority w:val="0"/>
    <w:pPr>
      <w:jc w:val="left"/>
    </w:pPr>
    <w:rPr>
      <w:rFonts w:ascii="Times New Roman" w:hAnsi="Times New Roman" w:eastAsia="宋体" w:cs="Times New Roman"/>
    </w:rPr>
  </w:style>
  <w:style w:type="paragraph" w:styleId="20">
    <w:name w:val="Body Text 3"/>
    <w:basedOn w:val="1"/>
    <w:qFormat/>
    <w:uiPriority w:val="0"/>
    <w:pPr>
      <w:spacing w:line="500" w:lineRule="exact"/>
    </w:pPr>
    <w:rPr>
      <w:rFonts w:ascii="Times New Roman" w:hAnsi="Times New Roman" w:eastAsia="宋体" w:cs="Times New Roman"/>
      <w:b/>
      <w:bCs/>
      <w:sz w:val="24"/>
    </w:rPr>
  </w:style>
  <w:style w:type="paragraph" w:styleId="21">
    <w:name w:val="Body Text"/>
    <w:basedOn w:val="1"/>
    <w:next w:val="22"/>
    <w:qFormat/>
    <w:uiPriority w:val="0"/>
    <w:pPr>
      <w:spacing w:line="380" w:lineRule="exact"/>
    </w:pPr>
    <w:rPr>
      <w:rFonts w:ascii="Times New Roman" w:hAnsi="Times New Roman" w:eastAsia="宋体" w:cs="Times New Roman"/>
      <w:sz w:val="24"/>
    </w:rPr>
  </w:style>
  <w:style w:type="paragraph" w:styleId="22">
    <w:name w:val="toc 2"/>
    <w:basedOn w:val="1"/>
    <w:next w:val="1"/>
    <w:qFormat/>
    <w:uiPriority w:val="39"/>
    <w:pPr>
      <w:ind w:left="420" w:leftChars="200"/>
    </w:pPr>
    <w:rPr>
      <w:rFonts w:ascii="Times New Roman" w:hAnsi="Times New Roman" w:eastAsia="宋体" w:cs="Times New Roman"/>
    </w:rPr>
  </w:style>
  <w:style w:type="paragraph" w:styleId="23">
    <w:name w:val="Body Text Indent"/>
    <w:basedOn w:val="1"/>
    <w:next w:val="24"/>
    <w:link w:val="76"/>
    <w:qFormat/>
    <w:uiPriority w:val="0"/>
    <w:pPr>
      <w:ind w:firstLine="830" w:firstLineChars="352"/>
    </w:pPr>
    <w:rPr>
      <w:rFonts w:ascii="仿宋_GB2312" w:hAnsi="Times New Roman" w:eastAsia="仿宋_GB2312" w:cs="Times New Roman"/>
      <w:sz w:val="32"/>
      <w:szCs w:val="20"/>
    </w:rPr>
  </w:style>
  <w:style w:type="paragraph" w:styleId="24">
    <w:name w:val="envelope return"/>
    <w:basedOn w:val="1"/>
    <w:qFormat/>
    <w:uiPriority w:val="0"/>
    <w:pPr>
      <w:snapToGrid w:val="0"/>
    </w:pPr>
    <w:rPr>
      <w:rFonts w:ascii="Arial" w:hAnsi="Arial"/>
    </w:rPr>
  </w:style>
  <w:style w:type="paragraph" w:styleId="25">
    <w:name w:val="List Number 3"/>
    <w:basedOn w:val="1"/>
    <w:qFormat/>
    <w:uiPriority w:val="0"/>
    <w:pPr>
      <w:tabs>
        <w:tab w:val="left" w:pos="360"/>
      </w:tabs>
      <w:ind w:left="360" w:hanging="360"/>
    </w:pPr>
    <w:rPr>
      <w:rFonts w:ascii="Times New Roman" w:hAnsi="Times New Roman" w:eastAsia="宋体" w:cs="Times New Roman"/>
    </w:rPr>
  </w:style>
  <w:style w:type="paragraph" w:styleId="26">
    <w:name w:val="List 2"/>
    <w:basedOn w:val="1"/>
    <w:qFormat/>
    <w:uiPriority w:val="0"/>
    <w:pPr>
      <w:ind w:left="100" w:leftChars="200" w:hanging="200" w:hangingChars="200"/>
    </w:pPr>
    <w:rPr>
      <w:rFonts w:ascii="Times New Roman" w:hAnsi="Times New Roman" w:eastAsia="宋体" w:cs="Times New Roman"/>
      <w:sz w:val="28"/>
    </w:rPr>
  </w:style>
  <w:style w:type="paragraph" w:styleId="27">
    <w:name w:val="toc 5"/>
    <w:basedOn w:val="1"/>
    <w:next w:val="1"/>
    <w:qFormat/>
    <w:uiPriority w:val="0"/>
    <w:pPr>
      <w:spacing w:line="360" w:lineRule="auto"/>
      <w:ind w:left="960" w:firstLine="200" w:firstLineChars="200"/>
      <w:jc w:val="left"/>
    </w:pPr>
    <w:rPr>
      <w:rFonts w:ascii="Calibri" w:hAnsi="Calibri" w:eastAsia="宋体" w:cs="Times New Roman"/>
      <w:sz w:val="20"/>
      <w:szCs w:val="20"/>
    </w:rPr>
  </w:style>
  <w:style w:type="paragraph" w:styleId="28">
    <w:name w:val="toc 3"/>
    <w:basedOn w:val="1"/>
    <w:next w:val="1"/>
    <w:qFormat/>
    <w:uiPriority w:val="0"/>
    <w:pPr>
      <w:ind w:left="840" w:leftChars="400"/>
    </w:pPr>
    <w:rPr>
      <w:rFonts w:ascii="Times New Roman" w:hAnsi="Times New Roman" w:eastAsia="宋体" w:cs="Times New Roman"/>
    </w:rPr>
  </w:style>
  <w:style w:type="paragraph" w:styleId="29">
    <w:name w:val="Plain Text"/>
    <w:basedOn w:val="1"/>
    <w:link w:val="77"/>
    <w:qFormat/>
    <w:uiPriority w:val="0"/>
    <w:rPr>
      <w:rFonts w:ascii="宋体" w:hAnsi="Courier New" w:eastAsia="宋体" w:cs="Courier New"/>
      <w:szCs w:val="21"/>
    </w:rPr>
  </w:style>
  <w:style w:type="paragraph" w:styleId="30">
    <w:name w:val="toc 8"/>
    <w:basedOn w:val="1"/>
    <w:next w:val="1"/>
    <w:qFormat/>
    <w:uiPriority w:val="0"/>
    <w:pPr>
      <w:spacing w:line="360" w:lineRule="auto"/>
      <w:ind w:left="1680" w:firstLine="200" w:firstLineChars="200"/>
      <w:jc w:val="left"/>
    </w:pPr>
    <w:rPr>
      <w:rFonts w:ascii="Calibri" w:hAnsi="Calibri" w:eastAsia="宋体" w:cs="Times New Roman"/>
      <w:sz w:val="20"/>
      <w:szCs w:val="20"/>
    </w:rPr>
  </w:style>
  <w:style w:type="paragraph" w:styleId="31">
    <w:name w:val="Date"/>
    <w:basedOn w:val="1"/>
    <w:next w:val="1"/>
    <w:link w:val="78"/>
    <w:qFormat/>
    <w:uiPriority w:val="0"/>
    <w:pPr>
      <w:ind w:left="100" w:leftChars="2500"/>
    </w:pPr>
    <w:rPr>
      <w:rFonts w:ascii="宋体" w:hAnsi="Courier New" w:eastAsia="宋体" w:cs="Courier New"/>
      <w:szCs w:val="21"/>
    </w:rPr>
  </w:style>
  <w:style w:type="paragraph" w:styleId="32">
    <w:name w:val="Body Text Indent 2"/>
    <w:basedOn w:val="1"/>
    <w:qFormat/>
    <w:uiPriority w:val="0"/>
    <w:pPr>
      <w:ind w:firstLine="630"/>
    </w:pPr>
    <w:rPr>
      <w:rFonts w:ascii="Times New Roman" w:hAnsi="Times New Roman" w:eastAsia="宋体" w:cs="Times New Roman"/>
      <w:sz w:val="32"/>
      <w:szCs w:val="20"/>
    </w:rPr>
  </w:style>
  <w:style w:type="paragraph" w:styleId="33">
    <w:name w:val="endnote text"/>
    <w:basedOn w:val="1"/>
    <w:link w:val="79"/>
    <w:qFormat/>
    <w:uiPriority w:val="0"/>
    <w:pPr>
      <w:snapToGrid w:val="0"/>
      <w:spacing w:line="480" w:lineRule="exact"/>
      <w:jc w:val="left"/>
    </w:pPr>
    <w:rPr>
      <w:rFonts w:ascii="微软雅黑" w:hAnsi="微软雅黑" w:eastAsia="微软雅黑" w:cs="Times New Roman"/>
      <w:kern w:val="0"/>
      <w:sz w:val="20"/>
      <w:szCs w:val="20"/>
    </w:rPr>
  </w:style>
  <w:style w:type="paragraph" w:styleId="34">
    <w:name w:val="Balloon Text"/>
    <w:basedOn w:val="1"/>
    <w:link w:val="80"/>
    <w:qFormat/>
    <w:uiPriority w:val="0"/>
    <w:rPr>
      <w:rFonts w:ascii="Times New Roman" w:hAnsi="Times New Roman" w:eastAsia="宋体" w:cs="Times New Roman"/>
      <w:sz w:val="18"/>
      <w:szCs w:val="18"/>
    </w:rPr>
  </w:style>
  <w:style w:type="paragraph" w:styleId="35">
    <w:name w:val="footer"/>
    <w:basedOn w:val="1"/>
    <w:next w:val="1"/>
    <w:link w:val="8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6">
    <w:name w:val="header"/>
    <w:basedOn w:val="1"/>
    <w:link w:val="82"/>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7">
    <w:name w:val="toc 1"/>
    <w:basedOn w:val="1"/>
    <w:next w:val="1"/>
    <w:link w:val="83"/>
    <w:qFormat/>
    <w:uiPriority w:val="0"/>
    <w:rPr>
      <w:rFonts w:ascii="Times New Roman" w:hAnsi="Times New Roman" w:eastAsia="宋体" w:cs="Times New Roman"/>
    </w:rPr>
  </w:style>
  <w:style w:type="paragraph" w:styleId="38">
    <w:name w:val="toc 4"/>
    <w:basedOn w:val="1"/>
    <w:next w:val="1"/>
    <w:qFormat/>
    <w:uiPriority w:val="0"/>
    <w:pPr>
      <w:spacing w:line="360" w:lineRule="auto"/>
      <w:ind w:left="720" w:firstLine="200" w:firstLineChars="200"/>
      <w:jc w:val="left"/>
    </w:pPr>
    <w:rPr>
      <w:rFonts w:ascii="Calibri" w:hAnsi="Calibri" w:eastAsia="宋体" w:cs="Times New Roman"/>
      <w:sz w:val="20"/>
      <w:szCs w:val="20"/>
    </w:rPr>
  </w:style>
  <w:style w:type="paragraph" w:styleId="39">
    <w:name w:val="Subtitle"/>
    <w:basedOn w:val="1"/>
    <w:next w:val="1"/>
    <w:link w:val="84"/>
    <w:qFormat/>
    <w:uiPriority w:val="0"/>
    <w:pPr>
      <w:widowControl/>
      <w:spacing w:after="200" w:line="276" w:lineRule="auto"/>
      <w:jc w:val="left"/>
    </w:pPr>
    <w:rPr>
      <w:rFonts w:ascii="Cambria" w:hAnsi="Cambria" w:eastAsia="宋体" w:cs="Times New Roman"/>
      <w:i/>
      <w:iCs/>
      <w:color w:val="4F81BD"/>
      <w:spacing w:val="15"/>
      <w:kern w:val="0"/>
      <w:sz w:val="20"/>
      <w:szCs w:val="20"/>
    </w:rPr>
  </w:style>
  <w:style w:type="paragraph" w:styleId="40">
    <w:name w:val="List"/>
    <w:basedOn w:val="1"/>
    <w:qFormat/>
    <w:uiPriority w:val="0"/>
    <w:pPr>
      <w:ind w:left="200" w:hanging="200" w:hangingChars="200"/>
    </w:pPr>
    <w:rPr>
      <w:rFonts w:ascii="Times New Roman" w:hAnsi="Times New Roman" w:eastAsia="宋体" w:cs="Times New Roman"/>
      <w:sz w:val="28"/>
    </w:rPr>
  </w:style>
  <w:style w:type="paragraph" w:styleId="41">
    <w:name w:val="footnote text"/>
    <w:basedOn w:val="1"/>
    <w:link w:val="85"/>
    <w:qFormat/>
    <w:uiPriority w:val="0"/>
    <w:pPr>
      <w:snapToGrid w:val="0"/>
      <w:spacing w:afterLines="50" w:line="360" w:lineRule="auto"/>
      <w:ind w:firstLine="200" w:firstLineChars="200"/>
      <w:jc w:val="left"/>
    </w:pPr>
    <w:rPr>
      <w:rFonts w:ascii="Arial" w:hAnsi="Arial" w:eastAsia="宋体" w:cs="Arial"/>
      <w:kern w:val="0"/>
      <w:sz w:val="18"/>
      <w:szCs w:val="18"/>
    </w:rPr>
  </w:style>
  <w:style w:type="paragraph" w:styleId="42">
    <w:name w:val="toc 6"/>
    <w:basedOn w:val="1"/>
    <w:next w:val="1"/>
    <w:qFormat/>
    <w:uiPriority w:val="0"/>
    <w:pPr>
      <w:spacing w:line="360" w:lineRule="auto"/>
      <w:ind w:left="1200" w:firstLine="200" w:firstLineChars="200"/>
      <w:jc w:val="left"/>
    </w:pPr>
    <w:rPr>
      <w:rFonts w:ascii="Calibri" w:hAnsi="Calibri" w:eastAsia="宋体" w:cs="Times New Roman"/>
      <w:sz w:val="20"/>
      <w:szCs w:val="20"/>
    </w:rPr>
  </w:style>
  <w:style w:type="paragraph" w:styleId="43">
    <w:name w:val="Body Text Indent 3"/>
    <w:basedOn w:val="1"/>
    <w:link w:val="86"/>
    <w:qFormat/>
    <w:uiPriority w:val="0"/>
    <w:pPr>
      <w:spacing w:after="120"/>
      <w:ind w:left="420" w:leftChars="200"/>
    </w:pPr>
    <w:rPr>
      <w:rFonts w:ascii="Times New Roman" w:hAnsi="Times New Roman" w:eastAsia="宋体" w:cs="Times New Roman"/>
      <w:sz w:val="16"/>
      <w:szCs w:val="16"/>
    </w:rPr>
  </w:style>
  <w:style w:type="paragraph" w:styleId="44">
    <w:name w:val="toc 9"/>
    <w:basedOn w:val="1"/>
    <w:next w:val="1"/>
    <w:qFormat/>
    <w:uiPriority w:val="0"/>
    <w:pPr>
      <w:tabs>
        <w:tab w:val="right" w:leader="dot" w:pos="9185"/>
      </w:tabs>
      <w:spacing w:line="420" w:lineRule="exact"/>
      <w:ind w:firstLine="422" w:firstLineChars="200"/>
      <w:jc w:val="left"/>
      <w:outlineLvl w:val="0"/>
    </w:pPr>
    <w:rPr>
      <w:rFonts w:ascii="Times New Roman" w:hAnsi="Times New Roman" w:eastAsia="宋体" w:cs="Times New Roman"/>
      <w:b/>
    </w:rPr>
  </w:style>
  <w:style w:type="paragraph" w:styleId="45">
    <w:name w:val="Body Text 2"/>
    <w:basedOn w:val="1"/>
    <w:qFormat/>
    <w:uiPriority w:val="0"/>
    <w:pPr>
      <w:spacing w:after="120" w:line="480" w:lineRule="auto"/>
    </w:pPr>
    <w:rPr>
      <w:rFonts w:ascii="Times New Roman" w:hAnsi="Times New Roman" w:eastAsia="宋体" w:cs="Times New Roman"/>
    </w:rPr>
  </w:style>
  <w:style w:type="paragraph" w:styleId="4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0"/>
      <w:szCs w:val="20"/>
    </w:rPr>
  </w:style>
  <w:style w:type="paragraph" w:styleId="47">
    <w:name w:val="Normal (Web)"/>
    <w:basedOn w:val="1"/>
    <w:qFormat/>
    <w:uiPriority w:val="0"/>
    <w:pPr>
      <w:widowControl/>
      <w:spacing w:before="100" w:beforeAutospacing="1" w:after="100" w:afterAutospacing="1"/>
      <w:jc w:val="left"/>
    </w:pPr>
    <w:rPr>
      <w:rFonts w:ascii="宋体" w:hAnsi="宋体" w:eastAsia="宋体" w:cs="Times New Roman"/>
      <w:kern w:val="0"/>
      <w:sz w:val="24"/>
    </w:rPr>
  </w:style>
  <w:style w:type="paragraph" w:styleId="48">
    <w:name w:val="index 1"/>
    <w:basedOn w:val="1"/>
    <w:next w:val="1"/>
    <w:qFormat/>
    <w:uiPriority w:val="0"/>
    <w:rPr>
      <w:rFonts w:ascii="Times New Roman" w:hAnsi="Times New Roman" w:eastAsia="宋体" w:cs="Times New Roman"/>
    </w:rPr>
  </w:style>
  <w:style w:type="paragraph" w:styleId="49">
    <w:name w:val="Title"/>
    <w:basedOn w:val="1"/>
    <w:next w:val="1"/>
    <w:link w:val="88"/>
    <w:qFormat/>
    <w:uiPriority w:val="0"/>
    <w:pPr>
      <w:spacing w:line="300" w:lineRule="auto"/>
      <w:ind w:left="100" w:leftChars="100" w:right="100" w:rightChars="100" w:firstLine="200" w:firstLineChars="200"/>
      <w:jc w:val="left"/>
      <w:outlineLvl w:val="0"/>
    </w:pPr>
    <w:rPr>
      <w:rFonts w:ascii="Cambria" w:hAnsi="Cambria" w:eastAsia="方正小标宋_GBK" w:cs="Times New Roman"/>
      <w:b/>
      <w:bCs/>
      <w:kern w:val="0"/>
      <w:sz w:val="44"/>
      <w:szCs w:val="32"/>
    </w:rPr>
  </w:style>
  <w:style w:type="paragraph" w:styleId="50">
    <w:name w:val="annotation subject"/>
    <w:basedOn w:val="19"/>
    <w:next w:val="19"/>
    <w:link w:val="89"/>
    <w:qFormat/>
    <w:uiPriority w:val="0"/>
    <w:rPr>
      <w:rFonts w:ascii="Times New Roman" w:hAnsi="Times New Roman" w:eastAsia="宋体" w:cs="Times New Roman"/>
      <w:b/>
      <w:bCs/>
    </w:rPr>
  </w:style>
  <w:style w:type="table" w:styleId="52">
    <w:name w:val="Table Grid"/>
    <w:basedOn w:val="51"/>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3">
    <w:name w:val="Table Theme"/>
    <w:basedOn w:val="51"/>
    <w:qFormat/>
    <w:uiPriority w:val="0"/>
    <w:pPr>
      <w:widowControl w:val="0"/>
      <w:spacing w:line="400" w:lineRule="exact"/>
      <w:ind w:firstLine="200" w:firstLineChars="20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rFonts w:ascii="Times New Roman" w:hAnsi="Times New Roman" w:eastAsia="宋体" w:cs="Times New Roman"/>
      <w:b/>
      <w:bCs/>
    </w:rPr>
  </w:style>
  <w:style w:type="character" w:styleId="56">
    <w:name w:val="endnote reference"/>
    <w:qFormat/>
    <w:uiPriority w:val="0"/>
    <w:rPr>
      <w:rFonts w:ascii="Times New Roman" w:hAnsi="Times New Roman" w:eastAsia="宋体" w:cs="Times New Roman"/>
      <w:vertAlign w:val="superscript"/>
    </w:rPr>
  </w:style>
  <w:style w:type="character" w:styleId="57">
    <w:name w:val="page number"/>
    <w:qFormat/>
    <w:uiPriority w:val="0"/>
    <w:rPr>
      <w:rFonts w:ascii="Times New Roman" w:hAnsi="Times New Roman" w:eastAsia="宋体" w:cs="Times New Roman"/>
    </w:rPr>
  </w:style>
  <w:style w:type="character" w:styleId="58">
    <w:name w:val="FollowedHyperlink"/>
    <w:qFormat/>
    <w:uiPriority w:val="0"/>
    <w:rPr>
      <w:rFonts w:ascii="Times New Roman" w:hAnsi="Times New Roman" w:eastAsia="宋体" w:cs="Times New Roman"/>
      <w:color w:val="800080"/>
      <w:u w:val="single"/>
    </w:rPr>
  </w:style>
  <w:style w:type="character" w:styleId="59">
    <w:name w:val="Emphasis"/>
    <w:qFormat/>
    <w:uiPriority w:val="0"/>
    <w:rPr>
      <w:rFonts w:ascii="Times New Roman" w:hAnsi="Times New Roman" w:eastAsia="宋体" w:cs="Times New Roman"/>
      <w:color w:val="CC0033"/>
    </w:rPr>
  </w:style>
  <w:style w:type="character" w:styleId="60">
    <w:name w:val="Hyperlink"/>
    <w:qFormat/>
    <w:uiPriority w:val="0"/>
    <w:rPr>
      <w:rFonts w:ascii="Times New Roman" w:hAnsi="Times New Roman" w:eastAsia="宋体" w:cs="Times New Roman"/>
      <w:color w:val="0000FF"/>
      <w:u w:val="single"/>
    </w:rPr>
  </w:style>
  <w:style w:type="character" w:styleId="61">
    <w:name w:val="annotation reference"/>
    <w:qFormat/>
    <w:uiPriority w:val="0"/>
    <w:rPr>
      <w:rFonts w:ascii="Times New Roman" w:hAnsi="Times New Roman" w:eastAsia="宋体" w:cs="Times New Roman"/>
      <w:sz w:val="21"/>
      <w:szCs w:val="21"/>
    </w:rPr>
  </w:style>
  <w:style w:type="character" w:styleId="62">
    <w:name w:val="footnote reference"/>
    <w:qFormat/>
    <w:uiPriority w:val="0"/>
    <w:rPr>
      <w:rFonts w:ascii="Times New Roman" w:hAnsi="Times New Roman" w:eastAsia="宋体" w:cs="Times New Roman"/>
      <w:vertAlign w:val="superscript"/>
    </w:rPr>
  </w:style>
  <w:style w:type="character" w:customStyle="1" w:styleId="63">
    <w:name w:val="标题 2 Char"/>
    <w:link w:val="3"/>
    <w:qFormat/>
    <w:uiPriority w:val="0"/>
    <w:rPr>
      <w:rFonts w:ascii="Arial" w:hAnsi="Arial"/>
      <w:b/>
      <w:sz w:val="32"/>
    </w:rPr>
  </w:style>
  <w:style w:type="character" w:customStyle="1" w:styleId="64">
    <w:name w:val="标题 3 字符"/>
    <w:link w:val="4"/>
    <w:qFormat/>
    <w:uiPriority w:val="0"/>
    <w:rPr>
      <w:rFonts w:ascii="宋体" w:hAnsi="Courier New" w:eastAsia="宋体" w:cs="Times New Roman"/>
      <w:b/>
      <w:bCs/>
      <w:kern w:val="2"/>
      <w:sz w:val="32"/>
      <w:szCs w:val="32"/>
      <w:lang w:val="en-US" w:eastAsia="zh-CN" w:bidi="ar-SA"/>
    </w:rPr>
  </w:style>
  <w:style w:type="character" w:customStyle="1" w:styleId="65">
    <w:name w:val="标题 1 字符"/>
    <w:link w:val="2"/>
    <w:qFormat/>
    <w:uiPriority w:val="0"/>
    <w:rPr>
      <w:rFonts w:ascii="Times New Roman" w:hAnsi="Times New Roman" w:eastAsia="仿宋_GB2312" w:cs="Times New Roman"/>
      <w:b/>
      <w:bCs/>
      <w:kern w:val="44"/>
      <w:sz w:val="44"/>
      <w:szCs w:val="44"/>
      <w:lang w:val="en-US" w:eastAsia="zh-CN" w:bidi="ar-SA"/>
    </w:rPr>
  </w:style>
  <w:style w:type="character" w:customStyle="1" w:styleId="66">
    <w:name w:val="标题 4 字符"/>
    <w:link w:val="5"/>
    <w:qFormat/>
    <w:uiPriority w:val="0"/>
    <w:rPr>
      <w:rFonts w:ascii="Arial" w:hAnsi="Arial" w:eastAsia="黑体" w:cs="Times New Roman"/>
      <w:b/>
      <w:bCs/>
      <w:kern w:val="2"/>
      <w:sz w:val="28"/>
      <w:szCs w:val="28"/>
      <w:lang w:val="en-US" w:eastAsia="zh-CN" w:bidi="ar-SA"/>
    </w:rPr>
  </w:style>
  <w:style w:type="character" w:customStyle="1" w:styleId="67">
    <w:name w:val="标题 5 字符"/>
    <w:link w:val="6"/>
    <w:qFormat/>
    <w:uiPriority w:val="0"/>
    <w:rPr>
      <w:rFonts w:ascii="Times New Roman" w:hAnsi="Times New Roman" w:eastAsia="宋体" w:cs="Times New Roman"/>
      <w:b/>
      <w:kern w:val="2"/>
      <w:sz w:val="28"/>
      <w:szCs w:val="24"/>
      <w:lang w:bidi="ar-SA"/>
    </w:rPr>
  </w:style>
  <w:style w:type="character" w:customStyle="1" w:styleId="68">
    <w:name w:val="正文缩进 字符"/>
    <w:link w:val="7"/>
    <w:qFormat/>
    <w:uiPriority w:val="0"/>
    <w:rPr>
      <w:rFonts w:ascii="Times New Roman" w:hAnsi="Times New Roman" w:eastAsia="宋体" w:cs="Times New Roman"/>
      <w:kern w:val="2"/>
      <w:sz w:val="21"/>
      <w:lang w:val="en-US" w:eastAsia="zh-CN" w:bidi="ar-SA"/>
    </w:rPr>
  </w:style>
  <w:style w:type="character" w:customStyle="1" w:styleId="69">
    <w:name w:val="标题 6 字符"/>
    <w:link w:val="8"/>
    <w:qFormat/>
    <w:uiPriority w:val="0"/>
    <w:rPr>
      <w:rFonts w:ascii="Arial" w:hAnsi="Arial" w:eastAsia="黑体" w:cs="Times New Roman"/>
      <w:b/>
      <w:kern w:val="2"/>
      <w:sz w:val="24"/>
      <w:szCs w:val="24"/>
      <w:lang w:bidi="ar-SA"/>
    </w:rPr>
  </w:style>
  <w:style w:type="character" w:customStyle="1" w:styleId="70">
    <w:name w:val="标题 7 字符"/>
    <w:link w:val="9"/>
    <w:qFormat/>
    <w:uiPriority w:val="0"/>
    <w:rPr>
      <w:rFonts w:ascii="Times New Roman" w:hAnsi="Times New Roman" w:eastAsia="宋体" w:cs="Times New Roman"/>
      <w:b/>
      <w:kern w:val="2"/>
      <w:sz w:val="24"/>
      <w:szCs w:val="24"/>
      <w:lang w:bidi="ar-SA"/>
    </w:rPr>
  </w:style>
  <w:style w:type="character" w:customStyle="1" w:styleId="71">
    <w:name w:val="标题 8 字符"/>
    <w:link w:val="10"/>
    <w:qFormat/>
    <w:uiPriority w:val="0"/>
    <w:rPr>
      <w:rFonts w:ascii="Arial" w:hAnsi="Arial" w:eastAsia="黑体" w:cs="Times New Roman"/>
      <w:kern w:val="2"/>
      <w:sz w:val="24"/>
      <w:szCs w:val="24"/>
      <w:lang w:bidi="ar-SA"/>
    </w:rPr>
  </w:style>
  <w:style w:type="character" w:customStyle="1" w:styleId="72">
    <w:name w:val="标题 9 字符"/>
    <w:link w:val="11"/>
    <w:qFormat/>
    <w:uiPriority w:val="0"/>
    <w:rPr>
      <w:rFonts w:ascii="Arial" w:hAnsi="Arial" w:eastAsia="黑体" w:cs="Times New Roman"/>
      <w:kern w:val="2"/>
      <w:sz w:val="21"/>
      <w:szCs w:val="24"/>
      <w:lang w:bidi="ar-SA"/>
    </w:rPr>
  </w:style>
  <w:style w:type="character" w:customStyle="1" w:styleId="73">
    <w:name w:val="引文目录 字符"/>
    <w:link w:val="13"/>
    <w:qFormat/>
    <w:uiPriority w:val="0"/>
    <w:rPr>
      <w:rFonts w:ascii="Times New Roman" w:hAnsi="Times New Roman" w:eastAsia="宋体" w:cs="Times New Roman"/>
      <w:kern w:val="2"/>
      <w:sz w:val="21"/>
      <w:szCs w:val="24"/>
      <w:lang w:val="en-US" w:eastAsia="zh-CN" w:bidi="ar-SA"/>
    </w:rPr>
  </w:style>
  <w:style w:type="character" w:customStyle="1" w:styleId="74">
    <w:name w:val="文档结构图 字符"/>
    <w:link w:val="17"/>
    <w:qFormat/>
    <w:uiPriority w:val="0"/>
    <w:rPr>
      <w:rFonts w:ascii="Times New Roman" w:hAnsi="Times New Roman" w:eastAsia="宋体" w:cs="Times New Roman"/>
      <w:kern w:val="2"/>
      <w:sz w:val="21"/>
      <w:szCs w:val="24"/>
      <w:lang w:val="en-US" w:eastAsia="zh-CN" w:bidi="ar-SA"/>
    </w:rPr>
  </w:style>
  <w:style w:type="character" w:customStyle="1" w:styleId="75">
    <w:name w:val="批注文字 字符"/>
    <w:link w:val="19"/>
    <w:qFormat/>
    <w:uiPriority w:val="0"/>
    <w:rPr>
      <w:rFonts w:ascii="Times New Roman" w:hAnsi="Times New Roman" w:eastAsia="宋体" w:cs="Times New Roman"/>
      <w:kern w:val="2"/>
      <w:sz w:val="21"/>
      <w:szCs w:val="24"/>
      <w:lang w:val="en-US" w:eastAsia="zh-CN" w:bidi="ar-SA"/>
    </w:rPr>
  </w:style>
  <w:style w:type="character" w:customStyle="1" w:styleId="76">
    <w:name w:val="正文文本缩进 字符"/>
    <w:link w:val="23"/>
    <w:qFormat/>
    <w:uiPriority w:val="0"/>
    <w:rPr>
      <w:rFonts w:ascii="仿宋_GB2312" w:hAnsi="Times New Roman" w:eastAsia="仿宋_GB2312" w:cs="Times New Roman"/>
      <w:kern w:val="2"/>
      <w:sz w:val="32"/>
      <w:lang w:val="en-US" w:eastAsia="zh-CN" w:bidi="ar-SA"/>
    </w:rPr>
  </w:style>
  <w:style w:type="character" w:customStyle="1" w:styleId="77">
    <w:name w:val="纯文本 字符1"/>
    <w:link w:val="29"/>
    <w:qFormat/>
    <w:uiPriority w:val="0"/>
    <w:rPr>
      <w:rFonts w:ascii="宋体" w:hAnsi="Courier New" w:eastAsia="宋体" w:cs="Courier New"/>
      <w:kern w:val="2"/>
      <w:sz w:val="21"/>
      <w:szCs w:val="21"/>
      <w:lang w:val="en-US" w:eastAsia="zh-CN" w:bidi="ar-SA"/>
    </w:rPr>
  </w:style>
  <w:style w:type="character" w:customStyle="1" w:styleId="78">
    <w:name w:val="日期 字符"/>
    <w:link w:val="31"/>
    <w:qFormat/>
    <w:uiPriority w:val="0"/>
    <w:rPr>
      <w:rFonts w:ascii="宋体" w:hAnsi="Courier New" w:eastAsia="宋体" w:cs="Courier New"/>
      <w:kern w:val="2"/>
      <w:sz w:val="21"/>
      <w:szCs w:val="21"/>
      <w:lang w:val="en-US" w:eastAsia="zh-CN" w:bidi="ar-SA"/>
    </w:rPr>
  </w:style>
  <w:style w:type="character" w:customStyle="1" w:styleId="79">
    <w:name w:val="尾注文本 字符"/>
    <w:link w:val="33"/>
    <w:qFormat/>
    <w:uiPriority w:val="0"/>
    <w:rPr>
      <w:rFonts w:ascii="微软雅黑" w:hAnsi="微软雅黑" w:eastAsia="微软雅黑" w:cs="Times New Roman"/>
      <w:lang w:bidi="ar-SA"/>
    </w:rPr>
  </w:style>
  <w:style w:type="character" w:customStyle="1" w:styleId="80">
    <w:name w:val="批注框文本 字符"/>
    <w:link w:val="34"/>
    <w:qFormat/>
    <w:uiPriority w:val="0"/>
    <w:rPr>
      <w:rFonts w:ascii="Times New Roman" w:hAnsi="Times New Roman" w:eastAsia="宋体" w:cs="Times New Roman"/>
      <w:kern w:val="2"/>
      <w:sz w:val="18"/>
      <w:szCs w:val="18"/>
      <w:lang w:val="en-US" w:eastAsia="zh-CN" w:bidi="ar-SA"/>
    </w:rPr>
  </w:style>
  <w:style w:type="character" w:customStyle="1" w:styleId="81">
    <w:name w:val="页脚 字符"/>
    <w:link w:val="35"/>
    <w:qFormat/>
    <w:uiPriority w:val="0"/>
    <w:rPr>
      <w:rFonts w:ascii="Times New Roman" w:hAnsi="Times New Roman" w:eastAsia="宋体" w:cs="Times New Roman"/>
      <w:kern w:val="2"/>
      <w:sz w:val="18"/>
      <w:szCs w:val="18"/>
      <w:lang w:val="en-US" w:eastAsia="zh-CN" w:bidi="ar-SA"/>
    </w:rPr>
  </w:style>
  <w:style w:type="character" w:customStyle="1" w:styleId="82">
    <w:name w:val="页眉 字符"/>
    <w:link w:val="36"/>
    <w:qFormat/>
    <w:uiPriority w:val="0"/>
    <w:rPr>
      <w:rFonts w:ascii="Times New Roman" w:hAnsi="Times New Roman" w:eastAsia="宋体" w:cs="Times New Roman"/>
      <w:kern w:val="2"/>
      <w:sz w:val="18"/>
      <w:szCs w:val="18"/>
      <w:lang w:val="en-US" w:eastAsia="zh-CN" w:bidi="ar-SA"/>
    </w:rPr>
  </w:style>
  <w:style w:type="character" w:customStyle="1" w:styleId="83">
    <w:name w:val="目录 1 字符"/>
    <w:link w:val="37"/>
    <w:qFormat/>
    <w:uiPriority w:val="0"/>
    <w:rPr>
      <w:rFonts w:ascii="Times New Roman" w:hAnsi="Times New Roman" w:eastAsia="宋体" w:cs="Times New Roman"/>
      <w:kern w:val="2"/>
      <w:sz w:val="21"/>
      <w:szCs w:val="24"/>
    </w:rPr>
  </w:style>
  <w:style w:type="character" w:customStyle="1" w:styleId="84">
    <w:name w:val="副标题 字符"/>
    <w:link w:val="39"/>
    <w:qFormat/>
    <w:uiPriority w:val="0"/>
    <w:rPr>
      <w:rFonts w:ascii="Cambria" w:hAnsi="Cambria" w:eastAsia="宋体" w:cs="Times New Roman"/>
      <w:i/>
      <w:iCs/>
      <w:color w:val="4F81BD"/>
      <w:spacing w:val="15"/>
      <w:lang w:bidi="ar-SA"/>
    </w:rPr>
  </w:style>
  <w:style w:type="character" w:customStyle="1" w:styleId="85">
    <w:name w:val="脚注文本 字符"/>
    <w:link w:val="41"/>
    <w:qFormat/>
    <w:uiPriority w:val="0"/>
    <w:rPr>
      <w:rFonts w:ascii="Arial" w:hAnsi="Arial" w:eastAsia="宋体" w:cs="Arial"/>
      <w:sz w:val="18"/>
      <w:szCs w:val="18"/>
      <w:lang w:bidi="ar-SA"/>
    </w:rPr>
  </w:style>
  <w:style w:type="character" w:customStyle="1" w:styleId="86">
    <w:name w:val="正文文本缩进 3 字符"/>
    <w:link w:val="43"/>
    <w:qFormat/>
    <w:uiPriority w:val="0"/>
    <w:rPr>
      <w:rFonts w:ascii="Times New Roman" w:hAnsi="Times New Roman" w:eastAsia="宋体" w:cs="Times New Roman"/>
      <w:kern w:val="2"/>
      <w:sz w:val="16"/>
      <w:szCs w:val="16"/>
      <w:lang w:val="en-US" w:eastAsia="zh-CN" w:bidi="ar-SA"/>
    </w:rPr>
  </w:style>
  <w:style w:type="character" w:customStyle="1" w:styleId="87">
    <w:name w:val="HTML 预设格式 字符"/>
    <w:link w:val="46"/>
    <w:qFormat/>
    <w:uiPriority w:val="0"/>
    <w:rPr>
      <w:rFonts w:ascii="Arial" w:hAnsi="Arial" w:eastAsia="宋体" w:cs="Arial"/>
      <w:lang w:bidi="ar-SA"/>
    </w:rPr>
  </w:style>
  <w:style w:type="character" w:customStyle="1" w:styleId="88">
    <w:name w:val="标题 字符"/>
    <w:link w:val="49"/>
    <w:qFormat/>
    <w:uiPriority w:val="0"/>
    <w:rPr>
      <w:rFonts w:ascii="Cambria" w:hAnsi="Cambria" w:eastAsia="方正小标宋_GBK" w:cs="Times New Roman"/>
      <w:b/>
      <w:bCs/>
      <w:sz w:val="44"/>
      <w:szCs w:val="32"/>
    </w:rPr>
  </w:style>
  <w:style w:type="character" w:customStyle="1" w:styleId="89">
    <w:name w:val="批注主题 字符"/>
    <w:link w:val="50"/>
    <w:qFormat/>
    <w:uiPriority w:val="0"/>
    <w:rPr>
      <w:rFonts w:ascii="Times New Roman" w:hAnsi="Times New Roman" w:eastAsia="宋体" w:cs="Times New Roman"/>
      <w:b/>
      <w:bCs/>
      <w:kern w:val="2"/>
      <w:sz w:val="21"/>
      <w:szCs w:val="24"/>
      <w:lang w:val="en-US" w:eastAsia="zh-CN" w:bidi="ar-SA"/>
    </w:rPr>
  </w:style>
  <w:style w:type="character" w:customStyle="1" w:styleId="90">
    <w:name w:val="标题 2 字符"/>
    <w:link w:val="3"/>
    <w:qFormat/>
    <w:uiPriority w:val="0"/>
    <w:rPr>
      <w:rFonts w:ascii="Arial" w:hAnsi="Arial" w:eastAsia="黑体" w:cs="Times New Roman"/>
      <w:b/>
      <w:bCs/>
      <w:kern w:val="2"/>
      <w:sz w:val="32"/>
      <w:szCs w:val="32"/>
      <w:lang w:val="en-US" w:eastAsia="zh-CN" w:bidi="ar-SA"/>
    </w:rPr>
  </w:style>
  <w:style w:type="character" w:customStyle="1" w:styleId="91">
    <w:name w:val="目录标题 字符"/>
    <w:link w:val="92"/>
    <w:qFormat/>
    <w:uiPriority w:val="0"/>
    <w:rPr>
      <w:rFonts w:ascii="Times New Roman" w:hAnsi="Times New Roman" w:eastAsia="方正小标宋_GBK" w:cs="Times New Roman"/>
      <w:b/>
      <w:kern w:val="2"/>
      <w:sz w:val="24"/>
      <w:szCs w:val="24"/>
    </w:rPr>
  </w:style>
  <w:style w:type="paragraph" w:customStyle="1" w:styleId="92">
    <w:name w:val="目录标题"/>
    <w:link w:val="91"/>
    <w:qFormat/>
    <w:uiPriority w:val="0"/>
    <w:pPr>
      <w:tabs>
        <w:tab w:val="right" w:leader="dot" w:pos="9683"/>
      </w:tabs>
      <w:spacing w:line="360" w:lineRule="auto"/>
    </w:pPr>
    <w:rPr>
      <w:rFonts w:ascii="Times New Roman" w:hAnsi="Times New Roman" w:eastAsia="方正小标宋_GBK" w:cs="Times New Roman"/>
      <w:b/>
      <w:kern w:val="2"/>
      <w:sz w:val="24"/>
      <w:szCs w:val="24"/>
      <w:lang w:val="en-US" w:eastAsia="zh-CN" w:bidi="ar-SA"/>
    </w:rPr>
  </w:style>
  <w:style w:type="character" w:customStyle="1" w:styleId="93">
    <w:name w:val="明显强调1"/>
    <w:qFormat/>
    <w:uiPriority w:val="0"/>
    <w:rPr>
      <w:rFonts w:ascii="Times New Roman" w:hAnsi="Times New Roman" w:eastAsia="宋体" w:cs="Times New Roman"/>
      <w:b/>
      <w:bCs/>
      <w:i/>
      <w:iCs/>
      <w:color w:val="4F81BD"/>
    </w:rPr>
  </w:style>
  <w:style w:type="character" w:customStyle="1" w:styleId="94">
    <w:name w:val="apple-style-span"/>
    <w:qFormat/>
    <w:uiPriority w:val="0"/>
    <w:rPr>
      <w:rFonts w:ascii="Times New Roman" w:hAnsi="Times New Roman" w:eastAsia="宋体" w:cs="Times New Roman"/>
    </w:rPr>
  </w:style>
  <w:style w:type="character" w:customStyle="1" w:styleId="95">
    <w:name w:val="批注文字 Char1"/>
    <w:qFormat/>
    <w:uiPriority w:val="0"/>
    <w:rPr>
      <w:rFonts w:ascii="Times New Roman" w:hAnsi="Times New Roman" w:eastAsia="宋体" w:cs="Times New Roman"/>
      <w:kern w:val="2"/>
      <w:sz w:val="21"/>
      <w:szCs w:val="24"/>
    </w:rPr>
  </w:style>
  <w:style w:type="character" w:customStyle="1" w:styleId="96">
    <w:name w:val="ca-92"/>
    <w:qFormat/>
    <w:uiPriority w:val="0"/>
    <w:rPr>
      <w:rFonts w:ascii="Times New Roman" w:hAnsi="Times New Roman" w:eastAsia="宋体" w:cs="Times New Roman"/>
    </w:rPr>
  </w:style>
  <w:style w:type="character" w:customStyle="1" w:styleId="97">
    <w:name w:val="Char Char1"/>
    <w:qFormat/>
    <w:uiPriority w:val="0"/>
    <w:rPr>
      <w:rFonts w:ascii="Times New Roman" w:hAnsi="Times New Roman" w:eastAsia="宋体" w:cs="Times New Roman"/>
      <w:kern w:val="2"/>
      <w:sz w:val="18"/>
      <w:szCs w:val="18"/>
      <w:lang w:val="en-US" w:eastAsia="zh-CN" w:bidi="ar-SA"/>
    </w:rPr>
  </w:style>
  <w:style w:type="character" w:customStyle="1" w:styleId="98">
    <w:name w:val="03 Char"/>
    <w:link w:val="99"/>
    <w:qFormat/>
    <w:uiPriority w:val="0"/>
    <w:rPr>
      <w:rFonts w:ascii="仿宋_GB2312" w:hAnsi="Times New Roman" w:eastAsia="仿宋_GB2312" w:cs="Times New Roman"/>
      <w:b/>
      <w:sz w:val="28"/>
      <w:lang w:bidi="ar-SA"/>
    </w:rPr>
  </w:style>
  <w:style w:type="paragraph" w:customStyle="1" w:styleId="99">
    <w:name w:val="03"/>
    <w:basedOn w:val="1"/>
    <w:link w:val="98"/>
    <w:qFormat/>
    <w:uiPriority w:val="0"/>
    <w:pPr>
      <w:adjustRightInd w:val="0"/>
      <w:snapToGrid w:val="0"/>
      <w:spacing w:line="440" w:lineRule="exact"/>
      <w:ind w:firstLine="424" w:firstLineChars="151"/>
    </w:pPr>
    <w:rPr>
      <w:rFonts w:ascii="仿宋_GB2312" w:hAnsi="Times New Roman" w:eastAsia="仿宋_GB2312" w:cs="Times New Roman"/>
      <w:b/>
      <w:kern w:val="0"/>
      <w:sz w:val="28"/>
      <w:szCs w:val="20"/>
    </w:rPr>
  </w:style>
  <w:style w:type="character" w:customStyle="1" w:styleId="100">
    <w:name w:val="书籍标题1"/>
    <w:qFormat/>
    <w:uiPriority w:val="0"/>
    <w:rPr>
      <w:rFonts w:ascii="Times New Roman" w:hAnsi="Times New Roman" w:eastAsia="宋体" w:cs="Times New Roman"/>
      <w:b/>
      <w:bCs/>
      <w:smallCaps/>
      <w:spacing w:val="5"/>
    </w:rPr>
  </w:style>
  <w:style w:type="character" w:customStyle="1" w:styleId="101">
    <w:name w:val="Heading 3 Char"/>
    <w:qFormat/>
    <w:uiPriority w:val="0"/>
    <w:rPr>
      <w:rFonts w:ascii="Cambria" w:hAnsi="Cambria" w:eastAsia="宋体" w:cs="Times New Roman"/>
      <w:b/>
      <w:bCs/>
      <w:kern w:val="2"/>
      <w:sz w:val="24"/>
      <w:szCs w:val="32"/>
      <w:lang w:val="en-US" w:eastAsia="zh-CN" w:bidi="ar-SA"/>
    </w:rPr>
  </w:style>
  <w:style w:type="character" w:customStyle="1" w:styleId="102">
    <w:name w:val="纯文本 Char3"/>
    <w:qFormat/>
    <w:uiPriority w:val="0"/>
    <w:rPr>
      <w:rFonts w:ascii="宋体" w:hAnsi="Courier New" w:eastAsia="宋体" w:cs="Courier New"/>
      <w:kern w:val="2"/>
      <w:sz w:val="21"/>
      <w:szCs w:val="21"/>
      <w:lang w:val="en-US" w:eastAsia="zh-CN" w:bidi="ar-SA"/>
    </w:rPr>
  </w:style>
  <w:style w:type="character" w:customStyle="1" w:styleId="103">
    <w:name w:val="纯文本 Char2"/>
    <w:qFormat/>
    <w:uiPriority w:val="0"/>
    <w:rPr>
      <w:rFonts w:ascii="宋体" w:hAnsi="Courier New" w:eastAsia="宋体" w:cs="Courier New"/>
      <w:kern w:val="2"/>
      <w:sz w:val="21"/>
      <w:szCs w:val="21"/>
      <w:lang w:val="en-US" w:eastAsia="zh-CN" w:bidi="ar-SA"/>
    </w:rPr>
  </w:style>
  <w:style w:type="character" w:customStyle="1" w:styleId="104">
    <w:name w:val="Char Char2"/>
    <w:qFormat/>
    <w:uiPriority w:val="0"/>
    <w:rPr>
      <w:rFonts w:ascii="Calibri" w:hAnsi="Calibri" w:eastAsia="宋体" w:cs="黑体"/>
      <w:kern w:val="2"/>
      <w:sz w:val="24"/>
      <w:szCs w:val="24"/>
      <w:lang w:val="en-US" w:eastAsia="zh-CN" w:bidi="ar-SA"/>
    </w:rPr>
  </w:style>
  <w:style w:type="character" w:customStyle="1" w:styleId="105">
    <w:name w:val="Char Char4"/>
    <w:qFormat/>
    <w:uiPriority w:val="0"/>
    <w:rPr>
      <w:rFonts w:ascii="Times New Roman" w:hAnsi="Times New Roman" w:eastAsia="宋体" w:cs="Times New Roman"/>
      <w:kern w:val="2"/>
      <w:sz w:val="21"/>
      <w:szCs w:val="24"/>
      <w:lang w:val="en-US" w:eastAsia="zh-CN" w:bidi="ar-SA"/>
    </w:rPr>
  </w:style>
  <w:style w:type="character" w:customStyle="1" w:styleId="106">
    <w:name w:val="Char Char19"/>
    <w:qFormat/>
    <w:uiPriority w:val="0"/>
    <w:rPr>
      <w:rFonts w:ascii="Arial" w:hAnsi="Arial" w:eastAsia="微软雅黑" w:cs="Times New Roman"/>
      <w:b/>
      <w:bCs/>
      <w:color w:val="0070C0"/>
      <w:szCs w:val="28"/>
      <w:lang w:bidi="ar-SA"/>
    </w:rPr>
  </w:style>
  <w:style w:type="character" w:customStyle="1" w:styleId="107">
    <w:name w:val="无间隔字符"/>
    <w:link w:val="108"/>
    <w:qFormat/>
    <w:uiPriority w:val="0"/>
    <w:rPr>
      <w:rFonts w:ascii="Cambria" w:hAnsi="Cambria" w:eastAsia="宋体" w:cs="Times New Roman"/>
      <w:kern w:val="2"/>
      <w:sz w:val="21"/>
      <w:szCs w:val="22"/>
      <w:lang w:val="en-US" w:eastAsia="zh-CN" w:bidi="ar-SA"/>
    </w:rPr>
  </w:style>
  <w:style w:type="paragraph" w:customStyle="1" w:styleId="108">
    <w:name w:val="无间隔1"/>
    <w:link w:val="107"/>
    <w:qFormat/>
    <w:uiPriority w:val="0"/>
    <w:pPr>
      <w:widowControl w:val="0"/>
      <w:spacing w:line="400" w:lineRule="exact"/>
      <w:ind w:firstLine="200" w:firstLineChars="200"/>
      <w:jc w:val="both"/>
    </w:pPr>
    <w:rPr>
      <w:rFonts w:ascii="Cambria" w:hAnsi="Cambria" w:eastAsia="宋体" w:cs="Times New Roman"/>
      <w:kern w:val="2"/>
      <w:sz w:val="21"/>
      <w:szCs w:val="22"/>
      <w:lang w:val="en-US" w:eastAsia="zh-CN" w:bidi="ar-SA"/>
    </w:rPr>
  </w:style>
  <w:style w:type="character" w:customStyle="1" w:styleId="109">
    <w:name w:val="GTA标题4 Char"/>
    <w:qFormat/>
    <w:uiPriority w:val="0"/>
    <w:rPr>
      <w:rFonts w:hint="default" w:ascii="Arial" w:hAnsi="Arial" w:eastAsia="仿宋_GB2312" w:cs="Arial"/>
      <w:b/>
      <w:bCs/>
      <w:kern w:val="2"/>
      <w:sz w:val="24"/>
      <w:szCs w:val="24"/>
    </w:rPr>
  </w:style>
  <w:style w:type="character" w:customStyle="1" w:styleId="110">
    <w:name w:val="font01"/>
    <w:qFormat/>
    <w:uiPriority w:val="0"/>
    <w:rPr>
      <w:rFonts w:hint="eastAsia" w:ascii="宋体" w:hAnsi="宋体" w:eastAsia="宋体" w:cs="宋体"/>
      <w:color w:val="000000"/>
      <w:sz w:val="28"/>
      <w:szCs w:val="28"/>
      <w:u w:val="none"/>
    </w:rPr>
  </w:style>
  <w:style w:type="character" w:customStyle="1" w:styleId="111">
    <w:name w:val="纯文本 Char"/>
    <w:qFormat/>
    <w:uiPriority w:val="0"/>
    <w:rPr>
      <w:rFonts w:ascii="宋体" w:hAnsi="Courier New" w:eastAsia="宋体" w:cs="Times New Roman"/>
    </w:rPr>
  </w:style>
  <w:style w:type="character" w:customStyle="1" w:styleId="112">
    <w:name w:val="浅色网格 - 强调文字颜色 3 Char"/>
    <w:link w:val="113"/>
    <w:qFormat/>
    <w:uiPriority w:val="0"/>
    <w:rPr>
      <w:rFonts w:ascii="Calibri" w:hAnsi="Calibri" w:eastAsia="宋体" w:cs="Times New Roman"/>
      <w:kern w:val="2"/>
      <w:sz w:val="21"/>
      <w:szCs w:val="22"/>
      <w:lang w:bidi="ar-SA"/>
    </w:rPr>
  </w:style>
  <w:style w:type="paragraph" w:customStyle="1" w:styleId="113">
    <w:name w:val="浅色网格 - 强调文字颜色 31"/>
    <w:basedOn w:val="1"/>
    <w:link w:val="112"/>
    <w:qFormat/>
    <w:uiPriority w:val="0"/>
    <w:pPr>
      <w:ind w:firstLine="420" w:firstLineChars="200"/>
    </w:pPr>
    <w:rPr>
      <w:rFonts w:ascii="Calibri" w:hAnsi="Calibri" w:eastAsia="宋体" w:cs="Times New Roman"/>
      <w:szCs w:val="22"/>
    </w:rPr>
  </w:style>
  <w:style w:type="paragraph" w:customStyle="1" w:styleId="114">
    <w:name w:val="GTA正文-1"/>
    <w:basedOn w:val="1"/>
    <w:link w:val="115"/>
    <w:qFormat/>
    <w:uiPriority w:val="0"/>
    <w:pPr>
      <w:spacing w:beforeLines="50" w:afterLines="50" w:line="480" w:lineRule="exact"/>
      <w:ind w:firstLine="200" w:firstLineChars="200"/>
    </w:pPr>
    <w:rPr>
      <w:rFonts w:ascii="Arial" w:hAnsi="Arial" w:eastAsia="宋体" w:cs="Arial"/>
      <w:kern w:val="0"/>
      <w:szCs w:val="20"/>
    </w:rPr>
  </w:style>
  <w:style w:type="character" w:customStyle="1" w:styleId="115">
    <w:name w:val="GTA正文-1 Char"/>
    <w:link w:val="114"/>
    <w:qFormat/>
    <w:uiPriority w:val="0"/>
    <w:rPr>
      <w:rFonts w:ascii="Arial" w:hAnsi="Arial" w:eastAsia="宋体" w:cs="Arial"/>
      <w:sz w:val="21"/>
      <w:lang w:bidi="ar-SA"/>
    </w:rPr>
  </w:style>
  <w:style w:type="character" w:customStyle="1" w:styleId="116">
    <w:name w:val="GTA正文-2 Char"/>
    <w:link w:val="117"/>
    <w:qFormat/>
    <w:uiPriority w:val="0"/>
    <w:rPr>
      <w:rFonts w:ascii="Arial" w:hAnsi="Arial" w:eastAsia="华文细黑" w:cs="Arial"/>
      <w:lang w:bidi="ar-SA"/>
    </w:rPr>
  </w:style>
  <w:style w:type="paragraph" w:customStyle="1" w:styleId="117">
    <w:name w:val="GTA正文-2"/>
    <w:basedOn w:val="114"/>
    <w:link w:val="116"/>
    <w:qFormat/>
    <w:uiPriority w:val="0"/>
    <w:pPr>
      <w:snapToGrid w:val="0"/>
      <w:spacing w:line="360" w:lineRule="auto"/>
      <w:ind w:firstLine="480"/>
    </w:pPr>
    <w:rPr>
      <w:rFonts w:ascii="Times New Roman" w:hAnsi="Times New Roman" w:eastAsia="华文细黑" w:cs="Times New Roman"/>
      <w:sz w:val="20"/>
    </w:rPr>
  </w:style>
  <w:style w:type="character" w:customStyle="1" w:styleId="118">
    <w:name w:val="特点1"/>
    <w:qFormat/>
    <w:uiPriority w:val="0"/>
    <w:rPr>
      <w:rFonts w:ascii="Times New Roman" w:hAnsi="Times New Roman" w:eastAsia="宋体" w:cs="Times New Roman"/>
    </w:rPr>
  </w:style>
  <w:style w:type="character" w:customStyle="1" w:styleId="119">
    <w:name w:val="Char Char5"/>
    <w:qFormat/>
    <w:uiPriority w:val="0"/>
    <w:rPr>
      <w:rFonts w:ascii="宋体" w:hAnsi="宋体" w:eastAsia="宋体" w:cs="Times New Roman"/>
      <w:sz w:val="18"/>
      <w:szCs w:val="18"/>
      <w:lang w:bidi="ar-SA"/>
    </w:rPr>
  </w:style>
  <w:style w:type="character" w:customStyle="1" w:styleId="120">
    <w:name w:val="st1"/>
    <w:qFormat/>
    <w:uiPriority w:val="0"/>
    <w:rPr>
      <w:rFonts w:ascii="Times New Roman" w:hAnsi="Times New Roman" w:eastAsia="宋体" w:cs="Times New Roman"/>
    </w:rPr>
  </w:style>
  <w:style w:type="character" w:customStyle="1" w:styleId="121">
    <w:name w:val="1ji Char"/>
    <w:link w:val="122"/>
    <w:qFormat/>
    <w:uiPriority w:val="0"/>
    <w:rPr>
      <w:rFonts w:ascii="宋体" w:hAnsi="宋体" w:eastAsia="仿宋_GB2312" w:cs="Times New Roman"/>
      <w:b/>
      <w:bCs/>
      <w:kern w:val="44"/>
      <w:sz w:val="36"/>
      <w:szCs w:val="44"/>
      <w:lang w:val="en-US" w:eastAsia="zh-CN" w:bidi="ar-SA"/>
    </w:rPr>
  </w:style>
  <w:style w:type="paragraph" w:customStyle="1" w:styleId="122">
    <w:name w:val="1ji"/>
    <w:basedOn w:val="2"/>
    <w:link w:val="121"/>
    <w:qFormat/>
    <w:uiPriority w:val="0"/>
    <w:pPr>
      <w:keepLines w:val="0"/>
      <w:widowControl/>
      <w:spacing w:before="0" w:after="0" w:line="240" w:lineRule="auto"/>
    </w:pPr>
    <w:rPr>
      <w:rFonts w:ascii="宋体" w:hAnsi="宋体" w:eastAsia="宋体" w:cs="Times New Roman"/>
      <w:sz w:val="36"/>
    </w:rPr>
  </w:style>
  <w:style w:type="character" w:customStyle="1" w:styleId="123">
    <w:name w:val="OK Char1"/>
    <w:link w:val="124"/>
    <w:qFormat/>
    <w:uiPriority w:val="0"/>
    <w:rPr>
      <w:rFonts w:ascii="宋体" w:hAnsi="宋体" w:eastAsia="宋体" w:cs="Times New Roman"/>
      <w:bCs/>
      <w:lang w:bidi="ar-SA"/>
    </w:rPr>
  </w:style>
  <w:style w:type="paragraph" w:customStyle="1" w:styleId="124">
    <w:name w:val="OK"/>
    <w:basedOn w:val="1"/>
    <w:link w:val="123"/>
    <w:qFormat/>
    <w:uiPriority w:val="0"/>
    <w:pPr>
      <w:spacing w:line="400" w:lineRule="exact"/>
      <w:ind w:firstLine="200" w:firstLineChars="200"/>
      <w:jc w:val="left"/>
    </w:pPr>
    <w:rPr>
      <w:rFonts w:ascii="宋体" w:hAnsi="宋体" w:eastAsia="宋体" w:cs="Times New Roman"/>
      <w:bCs/>
      <w:kern w:val="0"/>
      <w:sz w:val="20"/>
      <w:szCs w:val="20"/>
    </w:rPr>
  </w:style>
  <w:style w:type="character" w:customStyle="1" w:styleId="125">
    <w:name w:val="纯文本 字符"/>
    <w:qFormat/>
    <w:uiPriority w:val="0"/>
    <w:rPr>
      <w:rFonts w:ascii="宋体" w:hAnsi="Courier New" w:eastAsia="宋体" w:cs="Courier New"/>
      <w:kern w:val="2"/>
      <w:sz w:val="21"/>
      <w:szCs w:val="21"/>
      <w:lang w:val="en-US" w:eastAsia="zh-CN" w:bidi="ar-SA"/>
    </w:rPr>
  </w:style>
  <w:style w:type="character" w:customStyle="1" w:styleId="126">
    <w:name w:val="List Paragraph Char"/>
    <w:link w:val="127"/>
    <w:qFormat/>
    <w:uiPriority w:val="0"/>
    <w:rPr>
      <w:rFonts w:ascii="Calibri" w:hAnsi="Calibri" w:eastAsia="宋体" w:cs="Times New Roman"/>
      <w:kern w:val="2"/>
      <w:sz w:val="21"/>
      <w:szCs w:val="22"/>
      <w:lang w:val="en-US" w:eastAsia="zh-CN" w:bidi="ar-SA"/>
    </w:rPr>
  </w:style>
  <w:style w:type="paragraph" w:customStyle="1" w:styleId="127">
    <w:name w:val="列出段落1"/>
    <w:basedOn w:val="1"/>
    <w:link w:val="126"/>
    <w:qFormat/>
    <w:uiPriority w:val="0"/>
    <w:pPr>
      <w:ind w:firstLine="420" w:firstLineChars="200"/>
    </w:pPr>
    <w:rPr>
      <w:rFonts w:ascii="Calibri" w:hAnsi="Calibri" w:eastAsia="宋体" w:cs="Times New Roman"/>
      <w:szCs w:val="22"/>
    </w:rPr>
  </w:style>
  <w:style w:type="character" w:customStyle="1" w:styleId="128">
    <w:name w:val="Heading 2 Char"/>
    <w:qFormat/>
    <w:uiPriority w:val="0"/>
    <w:rPr>
      <w:rFonts w:ascii="Calibri" w:hAnsi="Calibri" w:eastAsia="宋体" w:cs="Times New Roman"/>
      <w:b/>
      <w:bCs/>
      <w:kern w:val="2"/>
      <w:sz w:val="24"/>
      <w:szCs w:val="32"/>
      <w:lang w:val="en-US" w:eastAsia="zh-CN" w:bidi="ar-SA"/>
    </w:rPr>
  </w:style>
  <w:style w:type="character" w:customStyle="1" w:styleId="129">
    <w:name w:val="未处理的提及"/>
    <w:qFormat/>
    <w:uiPriority w:val="0"/>
    <w:rPr>
      <w:rFonts w:ascii="Times New Roman" w:hAnsi="Times New Roman" w:eastAsia="宋体" w:cs="Times New Roman"/>
      <w:color w:val="605E5C"/>
      <w:shd w:val="clear" w:color="auto" w:fill="E1DFDD"/>
    </w:rPr>
  </w:style>
  <w:style w:type="character" w:customStyle="1" w:styleId="130">
    <w:name w:val="NormalCharacter"/>
    <w:qFormat/>
    <w:uiPriority w:val="0"/>
    <w:rPr>
      <w:rFonts w:ascii="Times New Roman" w:hAnsi="Times New Roman" w:eastAsia="宋体" w:cs="Times New Roman"/>
    </w:rPr>
  </w:style>
  <w:style w:type="character" w:customStyle="1" w:styleId="131">
    <w:name w:val="headline-content"/>
    <w:qFormat/>
    <w:uiPriority w:val="0"/>
    <w:rPr>
      <w:rFonts w:ascii="Times New Roman" w:hAnsi="Times New Roman" w:eastAsia="宋体" w:cs="Times New Roman"/>
    </w:rPr>
  </w:style>
  <w:style w:type="character" w:customStyle="1" w:styleId="132">
    <w:name w:val="Heading 1 Char"/>
    <w:qFormat/>
    <w:uiPriority w:val="0"/>
    <w:rPr>
      <w:rFonts w:ascii="Arial" w:hAnsi="Arial" w:eastAsia="宋体" w:cs="Times New Roman"/>
      <w:b/>
      <w:bCs/>
      <w:kern w:val="44"/>
      <w:sz w:val="28"/>
      <w:szCs w:val="44"/>
      <w:lang w:val="zh-CN" w:eastAsia="zh-CN" w:bidi="ar-SA"/>
    </w:rPr>
  </w:style>
  <w:style w:type="character" w:customStyle="1" w:styleId="133">
    <w:name w:val="Char Char20"/>
    <w:qFormat/>
    <w:uiPriority w:val="0"/>
    <w:rPr>
      <w:rFonts w:ascii="Times New Roman" w:hAnsi="Times New Roman" w:eastAsia="微软雅黑" w:cs="Times New Roman"/>
      <w:b/>
      <w:bCs/>
      <w:szCs w:val="32"/>
      <w:lang w:bidi="ar-SA"/>
    </w:rPr>
  </w:style>
  <w:style w:type="character" w:customStyle="1" w:styleId="134">
    <w:name w:val="GTA标题2 Char Char"/>
    <w:link w:val="135"/>
    <w:qFormat/>
    <w:uiPriority w:val="0"/>
    <w:rPr>
      <w:rFonts w:ascii="Arial" w:hAnsi="Arial" w:eastAsia="黑体" w:cs="Times New Roman"/>
      <w:b/>
      <w:bCs/>
      <w:color w:val="000000"/>
      <w:sz w:val="30"/>
      <w:szCs w:val="30"/>
      <w:lang w:bidi="ar-SA"/>
    </w:rPr>
  </w:style>
  <w:style w:type="paragraph" w:customStyle="1" w:styleId="135">
    <w:name w:val="GTA标题2"/>
    <w:basedOn w:val="3"/>
    <w:link w:val="134"/>
    <w:qFormat/>
    <w:uiPriority w:val="0"/>
    <w:pPr>
      <w:tabs>
        <w:tab w:val="left" w:pos="840"/>
      </w:tabs>
      <w:adjustRightInd w:val="0"/>
      <w:snapToGrid w:val="0"/>
      <w:spacing w:beforeLines="175" w:afterLines="150" w:line="420" w:lineRule="auto"/>
      <w:ind w:left="840" w:firstLine="200" w:firstLineChars="200"/>
    </w:pPr>
    <w:rPr>
      <w:rFonts w:ascii="Times New Roman" w:hAnsi="Times New Roman" w:eastAsia="宋体" w:cs="Times New Roman"/>
      <w:color w:val="000000"/>
      <w:kern w:val="0"/>
      <w:sz w:val="30"/>
      <w:szCs w:val="30"/>
    </w:rPr>
  </w:style>
  <w:style w:type="character" w:customStyle="1" w:styleId="136">
    <w:name w:val="Char Char6"/>
    <w:qFormat/>
    <w:uiPriority w:val="0"/>
    <w:rPr>
      <w:rFonts w:ascii="Times New Roman" w:hAnsi="Times New Roman" w:eastAsia="宋体" w:cs="Times New Roman"/>
      <w:sz w:val="18"/>
      <w:szCs w:val="18"/>
      <w:lang w:bidi="ar-SA"/>
    </w:rPr>
  </w:style>
  <w:style w:type="character" w:customStyle="1" w:styleId="137">
    <w:name w:val="GTA标题1 Char"/>
    <w:link w:val="138"/>
    <w:qFormat/>
    <w:uiPriority w:val="0"/>
    <w:rPr>
      <w:rFonts w:ascii="Arial" w:hAnsi="Arial" w:eastAsia="黑体" w:cs="Times New Roman"/>
      <w:bCs/>
      <w:kern w:val="44"/>
      <w:sz w:val="44"/>
      <w:szCs w:val="44"/>
      <w:lang w:bidi="ar-SA"/>
    </w:rPr>
  </w:style>
  <w:style w:type="paragraph" w:customStyle="1" w:styleId="138">
    <w:name w:val="GTA标题1"/>
    <w:basedOn w:val="2"/>
    <w:link w:val="137"/>
    <w:qFormat/>
    <w:uiPriority w:val="0"/>
    <w:pPr>
      <w:tabs>
        <w:tab w:val="left" w:pos="360"/>
      </w:tabs>
      <w:spacing w:beforeLines="200" w:afterLines="150" w:line="480" w:lineRule="auto"/>
      <w:ind w:left="360" w:hanging="360"/>
      <w:jc w:val="both"/>
    </w:pPr>
    <w:rPr>
      <w:rFonts w:ascii="Arial" w:hAnsi="Arial" w:eastAsia="黑体" w:cs="Times New Roman"/>
      <w:b w:val="0"/>
    </w:rPr>
  </w:style>
  <w:style w:type="character" w:customStyle="1" w:styleId="139">
    <w:name w:val="Char Char21"/>
    <w:qFormat/>
    <w:uiPriority w:val="0"/>
    <w:rPr>
      <w:rFonts w:ascii="Arial" w:hAnsi="Arial" w:eastAsia="微软雅黑" w:cs="Times New Roman"/>
      <w:b/>
      <w:sz w:val="28"/>
      <w:szCs w:val="28"/>
      <w:lang w:bidi="ar-SA"/>
    </w:rPr>
  </w:style>
  <w:style w:type="character" w:customStyle="1" w:styleId="140">
    <w:name w:val="ca-2"/>
    <w:qFormat/>
    <w:uiPriority w:val="0"/>
    <w:rPr>
      <w:rFonts w:ascii="Times New Roman" w:hAnsi="Times New Roman" w:eastAsia="宋体" w:cs="Times New Roman"/>
    </w:rPr>
  </w:style>
  <w:style w:type="character" w:customStyle="1" w:styleId="141">
    <w:name w:val="明显引用 Char1"/>
    <w:qFormat/>
    <w:uiPriority w:val="0"/>
    <w:rPr>
      <w:rFonts w:hint="default" w:ascii="Times New Roman" w:hAnsi="Times New Roman" w:eastAsia="微软雅黑" w:cs="Times New Roman"/>
      <w:b/>
      <w:bCs/>
      <w:i/>
      <w:iCs/>
      <w:color w:val="4F81BD"/>
      <w:sz w:val="24"/>
      <w:szCs w:val="24"/>
    </w:rPr>
  </w:style>
  <w:style w:type="character" w:customStyle="1" w:styleId="142">
    <w:name w:val="GTA标题2 Char"/>
    <w:qFormat/>
    <w:uiPriority w:val="0"/>
    <w:rPr>
      <w:rFonts w:hint="default" w:ascii="Arial" w:hAnsi="Arial" w:eastAsia="黑体" w:cs="Arial"/>
      <w:bCs/>
      <w:kern w:val="2"/>
      <w:sz w:val="30"/>
      <w:szCs w:val="30"/>
    </w:rPr>
  </w:style>
  <w:style w:type="character" w:customStyle="1" w:styleId="143">
    <w:name w:val="font41"/>
    <w:qFormat/>
    <w:uiPriority w:val="0"/>
    <w:rPr>
      <w:rFonts w:ascii="Bosch Office Sans" w:hAnsi="Bosch Office Sans" w:eastAsia="宋体" w:cs="Bosch Office Sans"/>
      <w:color w:val="000000"/>
      <w:sz w:val="20"/>
      <w:szCs w:val="20"/>
      <w:u w:val="none"/>
    </w:rPr>
  </w:style>
  <w:style w:type="character" w:customStyle="1" w:styleId="144">
    <w:name w:val="Header Char"/>
    <w:qFormat/>
    <w:uiPriority w:val="0"/>
    <w:rPr>
      <w:rFonts w:ascii="Cambria" w:hAnsi="Cambria" w:eastAsia="宋体" w:cs="Times New Roman"/>
      <w:kern w:val="2"/>
      <w:sz w:val="18"/>
      <w:szCs w:val="18"/>
      <w:lang w:val="en-US" w:eastAsia="zh-CN" w:bidi="ar-SA"/>
    </w:rPr>
  </w:style>
  <w:style w:type="character" w:customStyle="1" w:styleId="145">
    <w:name w:val="GTA正文-2 Char Char"/>
    <w:qFormat/>
    <w:uiPriority w:val="0"/>
    <w:rPr>
      <w:rFonts w:hint="default" w:ascii="Arial" w:hAnsi="Arial" w:eastAsia="微软雅黑" w:cs="Arial"/>
      <w:sz w:val="24"/>
    </w:rPr>
  </w:style>
  <w:style w:type="character" w:customStyle="1" w:styleId="146">
    <w:name w:val="Char Char8"/>
    <w:qFormat/>
    <w:uiPriority w:val="0"/>
    <w:rPr>
      <w:rFonts w:ascii="宋体" w:hAnsi="宋体" w:eastAsia="宋体" w:cs="Times New Roman"/>
      <w:kern w:val="2"/>
      <w:sz w:val="21"/>
      <w:szCs w:val="24"/>
      <w:lang w:val="en-US" w:eastAsia="zh-CN" w:bidi="ar-SA"/>
    </w:rPr>
  </w:style>
  <w:style w:type="character" w:customStyle="1" w:styleId="147">
    <w:name w:val="font21"/>
    <w:qFormat/>
    <w:uiPriority w:val="0"/>
    <w:rPr>
      <w:rFonts w:ascii="宋体" w:hAnsi="宋体" w:eastAsia="宋体" w:cs="宋体"/>
      <w:color w:val="000000"/>
      <w:sz w:val="20"/>
      <w:szCs w:val="20"/>
      <w:u w:val="none"/>
    </w:rPr>
  </w:style>
  <w:style w:type="character" w:customStyle="1" w:styleId="148">
    <w:name w:val="Char Char3"/>
    <w:qFormat/>
    <w:uiPriority w:val="0"/>
    <w:rPr>
      <w:rFonts w:ascii="Times New Roman" w:hAnsi="Times New Roman" w:eastAsia="宋体" w:cs="Times New Roman"/>
      <w:sz w:val="18"/>
      <w:szCs w:val="18"/>
      <w:lang w:bidi="ar-SA"/>
    </w:rPr>
  </w:style>
  <w:style w:type="character" w:customStyle="1" w:styleId="149">
    <w:name w:val="普通文字 Char Char3"/>
    <w:qFormat/>
    <w:uiPriority w:val="0"/>
    <w:rPr>
      <w:rFonts w:ascii="宋体" w:hAnsi="Courier New" w:eastAsia="宋体" w:cs="Courier New"/>
      <w:kern w:val="2"/>
      <w:sz w:val="21"/>
      <w:szCs w:val="21"/>
      <w:lang w:val="en-US" w:eastAsia="zh-CN" w:bidi="ar-SA"/>
    </w:rPr>
  </w:style>
  <w:style w:type="character" w:customStyle="1" w:styleId="150">
    <w:name w:val="ca-72"/>
    <w:qFormat/>
    <w:uiPriority w:val="0"/>
    <w:rPr>
      <w:rFonts w:ascii="Times New Roman" w:hAnsi="Times New Roman" w:eastAsia="宋体" w:cs="Times New Roman"/>
    </w:rPr>
  </w:style>
  <w:style w:type="character" w:customStyle="1" w:styleId="151">
    <w:name w:val="GTA正文-1 Char Char"/>
    <w:qFormat/>
    <w:uiPriority w:val="0"/>
    <w:rPr>
      <w:rFonts w:hint="default" w:ascii="Arial" w:hAnsi="Arial" w:eastAsia="微软雅黑" w:cs="Arial"/>
      <w:sz w:val="24"/>
    </w:rPr>
  </w:style>
  <w:style w:type="character" w:customStyle="1" w:styleId="152">
    <w:name w:val="font11"/>
    <w:qFormat/>
    <w:uiPriority w:val="0"/>
    <w:rPr>
      <w:rFonts w:ascii="宋体" w:hAnsi="宋体" w:eastAsia="宋体" w:cs="宋体"/>
      <w:color w:val="000000"/>
      <w:sz w:val="20"/>
      <w:szCs w:val="20"/>
      <w:u w:val="none"/>
    </w:rPr>
  </w:style>
  <w:style w:type="character" w:customStyle="1" w:styleId="153">
    <w:name w:val="Char Char13"/>
    <w:qFormat/>
    <w:uiPriority w:val="0"/>
    <w:rPr>
      <w:rFonts w:ascii="微软雅黑" w:hAnsi="微软雅黑" w:eastAsia="微软雅黑" w:cs="Times New Roman"/>
      <w:b/>
      <w:bCs/>
      <w:lang w:bidi="ar-SA"/>
    </w:rPr>
  </w:style>
  <w:style w:type="character" w:customStyle="1" w:styleId="154">
    <w:name w:val="ca-1"/>
    <w:qFormat/>
    <w:uiPriority w:val="0"/>
    <w:rPr>
      <w:rFonts w:ascii="Times New Roman" w:hAnsi="Times New Roman" w:eastAsia="宋体" w:cs="Times New Roman"/>
    </w:rPr>
  </w:style>
  <w:style w:type="character" w:customStyle="1" w:styleId="155">
    <w:name w:val="char"/>
    <w:qFormat/>
    <w:uiPriority w:val="0"/>
    <w:rPr>
      <w:rFonts w:ascii="Times New Roman" w:hAnsi="Times New Roman" w:eastAsia="宋体" w:cs="Times New Roman"/>
    </w:rPr>
  </w:style>
  <w:style w:type="character" w:customStyle="1" w:styleId="156">
    <w:name w:val="GTA标题3 Char"/>
    <w:qFormat/>
    <w:uiPriority w:val="0"/>
    <w:rPr>
      <w:rFonts w:hint="default" w:ascii="Arial" w:hAnsi="Arial" w:eastAsia="黑体" w:cs="Arial"/>
      <w:bCs/>
      <w:kern w:val="2"/>
      <w:sz w:val="24"/>
      <w:szCs w:val="24"/>
    </w:rPr>
  </w:style>
  <w:style w:type="character" w:customStyle="1" w:styleId="157">
    <w:name w:val="txet31"/>
    <w:qFormat/>
    <w:uiPriority w:val="0"/>
    <w:rPr>
      <w:rFonts w:ascii="Times New Roman" w:hAnsi="Times New Roman" w:eastAsia="宋体" w:cs="Times New Roman"/>
      <w:color w:val="333333"/>
      <w:sz w:val="18"/>
      <w:szCs w:val="18"/>
      <w:u w:val="none"/>
    </w:rPr>
  </w:style>
  <w:style w:type="character" w:customStyle="1" w:styleId="158">
    <w:name w:val="图注1 Char"/>
    <w:link w:val="159"/>
    <w:qFormat/>
    <w:uiPriority w:val="0"/>
    <w:rPr>
      <w:rFonts w:ascii="Cambria" w:hAnsi="Cambria" w:eastAsia="宋体" w:cs="Times New Roman"/>
      <w:sz w:val="21"/>
      <w:szCs w:val="22"/>
      <w:lang w:bidi="ar-SA"/>
    </w:rPr>
  </w:style>
  <w:style w:type="paragraph" w:customStyle="1" w:styleId="159">
    <w:name w:val="图注1"/>
    <w:basedOn w:val="1"/>
    <w:link w:val="158"/>
    <w:qFormat/>
    <w:uiPriority w:val="0"/>
    <w:pPr>
      <w:tabs>
        <w:tab w:val="left" w:pos="1140"/>
      </w:tabs>
      <w:spacing w:afterLines="20" w:line="300" w:lineRule="auto"/>
      <w:ind w:left="1140" w:hanging="360"/>
      <w:jc w:val="center"/>
    </w:pPr>
    <w:rPr>
      <w:rFonts w:ascii="Cambria" w:hAnsi="Cambria" w:eastAsia="宋体" w:cs="Times New Roman"/>
      <w:kern w:val="0"/>
      <w:szCs w:val="22"/>
    </w:rPr>
  </w:style>
  <w:style w:type="character" w:customStyle="1" w:styleId="160">
    <w:name w:val="apple-converted-space"/>
    <w:qFormat/>
    <w:uiPriority w:val="0"/>
    <w:rPr>
      <w:rFonts w:ascii="Times New Roman" w:hAnsi="Times New Roman" w:eastAsia="宋体" w:cs="Times New Roman"/>
    </w:rPr>
  </w:style>
  <w:style w:type="character" w:customStyle="1" w:styleId="161">
    <w:name w:val="明显引用字符1"/>
    <w:qFormat/>
    <w:uiPriority w:val="0"/>
    <w:rPr>
      <w:rFonts w:hint="default" w:ascii="Times New Roman" w:hAnsi="Times New Roman" w:eastAsia="微软雅黑" w:cs="Times New Roman"/>
      <w:i/>
      <w:iCs/>
      <w:color w:val="5B9BD5"/>
    </w:rPr>
  </w:style>
  <w:style w:type="character" w:customStyle="1" w:styleId="162">
    <w:name w:val="Char Char22"/>
    <w:qFormat/>
    <w:uiPriority w:val="0"/>
    <w:rPr>
      <w:rFonts w:ascii="Times New Roman" w:hAnsi="Times New Roman" w:eastAsia="微软雅黑" w:cs="Times New Roman"/>
      <w:b/>
      <w:bCs/>
      <w:kern w:val="44"/>
      <w:sz w:val="36"/>
      <w:szCs w:val="36"/>
      <w:lang w:bidi="ar-SA"/>
    </w:rPr>
  </w:style>
  <w:style w:type="character" w:customStyle="1" w:styleId="163">
    <w:name w:val="列出段落 Char"/>
    <w:qFormat/>
    <w:uiPriority w:val="0"/>
    <w:rPr>
      <w:rFonts w:ascii="Times New Roman" w:hAnsi="Times New Roman" w:eastAsia="宋体" w:cs="Times New Roman"/>
      <w:kern w:val="2"/>
      <w:sz w:val="21"/>
      <w:szCs w:val="22"/>
    </w:rPr>
  </w:style>
  <w:style w:type="character" w:customStyle="1" w:styleId="164">
    <w:name w:val="明显引用字符"/>
    <w:link w:val="165"/>
    <w:qFormat/>
    <w:uiPriority w:val="0"/>
    <w:rPr>
      <w:rFonts w:ascii="Arial" w:hAnsi="Arial" w:eastAsia="宋体" w:cs="Arial"/>
      <w:b/>
      <w:bCs/>
      <w:i/>
      <w:iCs/>
      <w:color w:val="4F81BD"/>
      <w:lang w:bidi="ar-SA"/>
    </w:rPr>
  </w:style>
  <w:style w:type="paragraph" w:customStyle="1" w:styleId="165">
    <w:name w:val="明显引用1"/>
    <w:basedOn w:val="1"/>
    <w:next w:val="1"/>
    <w:link w:val="164"/>
    <w:qFormat/>
    <w:uiPriority w:val="0"/>
    <w:pPr>
      <w:pBdr>
        <w:bottom w:val="single" w:color="4F81BD" w:sz="4" w:space="4"/>
      </w:pBdr>
      <w:spacing w:before="200" w:line="360" w:lineRule="auto"/>
      <w:ind w:left="936" w:right="936" w:firstLine="200" w:firstLineChars="200"/>
      <w:jc w:val="left"/>
    </w:pPr>
    <w:rPr>
      <w:rFonts w:ascii="Arial" w:hAnsi="Arial" w:eastAsia="宋体" w:cs="Arial"/>
      <w:b/>
      <w:bCs/>
      <w:i/>
      <w:iCs/>
      <w:color w:val="4F81BD"/>
      <w:kern w:val="0"/>
      <w:sz w:val="20"/>
      <w:szCs w:val="20"/>
    </w:rPr>
  </w:style>
  <w:style w:type="character" w:customStyle="1" w:styleId="166">
    <w:name w:val="Footer Char"/>
    <w:qFormat/>
    <w:uiPriority w:val="0"/>
    <w:rPr>
      <w:rFonts w:ascii="Cambria" w:hAnsi="Cambria" w:eastAsia="宋体" w:cs="Times New Roman"/>
      <w:kern w:val="2"/>
      <w:sz w:val="18"/>
      <w:szCs w:val="18"/>
      <w:lang w:val="en-US" w:eastAsia="zh-CN" w:bidi="ar-SA"/>
    </w:rPr>
  </w:style>
  <w:style w:type="character" w:customStyle="1" w:styleId="167">
    <w:name w:val="列出段落 字符"/>
    <w:link w:val="168"/>
    <w:qFormat/>
    <w:uiPriority w:val="0"/>
    <w:rPr>
      <w:rFonts w:ascii="Times New Roman" w:hAnsi="Times New Roman" w:eastAsia="宋体" w:cs="Times New Roman"/>
      <w:kern w:val="2"/>
      <w:sz w:val="21"/>
      <w:szCs w:val="24"/>
      <w:lang w:val="en-US" w:eastAsia="zh-CN" w:bidi="ar-SA"/>
    </w:rPr>
  </w:style>
  <w:style w:type="paragraph" w:styleId="168">
    <w:name w:val="List Paragraph"/>
    <w:basedOn w:val="1"/>
    <w:link w:val="167"/>
    <w:qFormat/>
    <w:uiPriority w:val="0"/>
    <w:pPr>
      <w:ind w:firstLine="420" w:firstLineChars="200"/>
    </w:pPr>
    <w:rPr>
      <w:rFonts w:ascii="Times New Roman" w:hAnsi="Times New Roman" w:eastAsia="宋体" w:cs="Times New Roman"/>
    </w:rPr>
  </w:style>
  <w:style w:type="character" w:customStyle="1" w:styleId="169">
    <w:name w:val="ca-102"/>
    <w:qFormat/>
    <w:uiPriority w:val="0"/>
    <w:rPr>
      <w:rFonts w:ascii="Times New Roman" w:hAnsi="Times New Roman" w:eastAsia="宋体" w:cs="Times New Roman"/>
    </w:rPr>
  </w:style>
  <w:style w:type="character" w:customStyle="1" w:styleId="170">
    <w:name w:val="GTA标题5 Char"/>
    <w:link w:val="171"/>
    <w:qFormat/>
    <w:uiPriority w:val="0"/>
    <w:rPr>
      <w:rFonts w:ascii="Arial" w:hAnsi="Arial" w:eastAsia="楷体_GB2312" w:cs="Times New Roman"/>
      <w:b/>
      <w:bCs/>
      <w:sz w:val="21"/>
      <w:szCs w:val="21"/>
      <w:lang w:bidi="ar-SA"/>
    </w:rPr>
  </w:style>
  <w:style w:type="paragraph" w:customStyle="1" w:styleId="171">
    <w:name w:val="GTA标题5"/>
    <w:basedOn w:val="6"/>
    <w:link w:val="170"/>
    <w:qFormat/>
    <w:uiPriority w:val="0"/>
    <w:pPr>
      <w:tabs>
        <w:tab w:val="left" w:pos="360"/>
      </w:tabs>
      <w:spacing w:beforeLines="75" w:afterLines="50" w:line="360" w:lineRule="auto"/>
      <w:ind w:left="360" w:hanging="360"/>
    </w:pPr>
    <w:rPr>
      <w:rFonts w:ascii="Arial" w:hAnsi="Arial" w:eastAsia="楷体_GB2312" w:cs="Times New Roman"/>
      <w:bCs/>
      <w:kern w:val="0"/>
      <w:sz w:val="21"/>
      <w:szCs w:val="21"/>
    </w:rPr>
  </w:style>
  <w:style w:type="character" w:customStyle="1" w:styleId="172">
    <w:name w:val="列出段落字符"/>
    <w:qFormat/>
    <w:uiPriority w:val="0"/>
    <w:rPr>
      <w:rFonts w:ascii="Calibri" w:hAnsi="Calibri" w:eastAsia="宋体" w:cs="黑体"/>
      <w:kern w:val="2"/>
      <w:sz w:val="24"/>
      <w:szCs w:val="24"/>
      <w:lang w:val="en-US" w:eastAsia="zh-CN" w:bidi="ar-SA"/>
    </w:rPr>
  </w:style>
  <w:style w:type="character" w:customStyle="1" w:styleId="173">
    <w:name w:val="highlight1"/>
    <w:qFormat/>
    <w:uiPriority w:val="0"/>
    <w:rPr>
      <w:rFonts w:ascii="Times New Roman" w:hAnsi="Times New Roman" w:eastAsia="宋体" w:cs="Times New Roman"/>
      <w:color w:val="DB4F33"/>
    </w:rPr>
  </w:style>
  <w:style w:type="character" w:customStyle="1" w:styleId="174">
    <w:name w:val="GTA标题3 Char Char"/>
    <w:link w:val="175"/>
    <w:qFormat/>
    <w:uiPriority w:val="0"/>
    <w:rPr>
      <w:rFonts w:ascii="Arial" w:hAnsi="Arial" w:eastAsia="黑体" w:cs="Times New Roman"/>
      <w:b/>
      <w:bCs/>
      <w:color w:val="000000"/>
      <w:lang w:val="zh-CN" w:bidi="ar-SA"/>
    </w:rPr>
  </w:style>
  <w:style w:type="paragraph" w:customStyle="1" w:styleId="175">
    <w:name w:val="GTA标题3"/>
    <w:basedOn w:val="4"/>
    <w:link w:val="174"/>
    <w:qFormat/>
    <w:uiPriority w:val="0"/>
    <w:pPr>
      <w:tabs>
        <w:tab w:val="left" w:pos="1260"/>
      </w:tabs>
      <w:adjustRightInd w:val="0"/>
      <w:snapToGrid w:val="0"/>
      <w:spacing w:beforeLines="150" w:afterLines="125" w:line="360" w:lineRule="auto"/>
      <w:ind w:left="1260" w:hanging="420"/>
    </w:pPr>
    <w:rPr>
      <w:rFonts w:ascii="Arial" w:hAnsi="Arial" w:eastAsia="黑体" w:cs="Times New Roman"/>
      <w:color w:val="000000"/>
      <w:kern w:val="0"/>
      <w:sz w:val="20"/>
      <w:szCs w:val="20"/>
      <w:lang w:val="zh-CN"/>
    </w:rPr>
  </w:style>
  <w:style w:type="character" w:customStyle="1" w:styleId="176">
    <w:name w:val="con"/>
    <w:qFormat/>
    <w:uiPriority w:val="0"/>
    <w:rPr>
      <w:rFonts w:ascii="Times New Roman" w:hAnsi="Times New Roman" w:eastAsia="宋体" w:cs="Times New Roman"/>
    </w:rPr>
  </w:style>
  <w:style w:type="character" w:customStyle="1" w:styleId="177">
    <w:name w:val="GTA标题4 Char Char"/>
    <w:link w:val="178"/>
    <w:qFormat/>
    <w:uiPriority w:val="0"/>
    <w:rPr>
      <w:rFonts w:ascii="Arial" w:hAnsi="Arial" w:eastAsia="仿宋_GB2312" w:cs="Times New Roman"/>
      <w:b/>
      <w:bCs/>
      <w:color w:val="0070C0"/>
      <w:lang w:bidi="ar-SA"/>
    </w:rPr>
  </w:style>
  <w:style w:type="paragraph" w:customStyle="1" w:styleId="178">
    <w:name w:val="GTA标题4"/>
    <w:basedOn w:val="5"/>
    <w:link w:val="177"/>
    <w:qFormat/>
    <w:uiPriority w:val="0"/>
    <w:pPr>
      <w:tabs>
        <w:tab w:val="left" w:pos="1680"/>
      </w:tabs>
      <w:adjustRightInd w:val="0"/>
      <w:snapToGrid w:val="0"/>
      <w:spacing w:beforeLines="100" w:afterLines="75" w:line="360" w:lineRule="auto"/>
      <w:ind w:left="1680" w:firstLine="200" w:firstLineChars="200"/>
    </w:pPr>
    <w:rPr>
      <w:rFonts w:ascii="Times New Roman" w:hAnsi="Times New Roman" w:eastAsia="仿宋_GB2312" w:cs="Times New Roman"/>
      <w:color w:val="0070C0"/>
      <w:kern w:val="0"/>
      <w:sz w:val="20"/>
      <w:szCs w:val="20"/>
    </w:rPr>
  </w:style>
  <w:style w:type="character" w:customStyle="1" w:styleId="179">
    <w:name w:val="font51"/>
    <w:qFormat/>
    <w:uiPriority w:val="0"/>
    <w:rPr>
      <w:rFonts w:ascii="Bosch Office Sans" w:hAnsi="Bosch Office Sans" w:eastAsia="宋体" w:cs="Bosch Office Sans"/>
      <w:color w:val="000000"/>
      <w:sz w:val="20"/>
      <w:szCs w:val="20"/>
      <w:u w:val="none"/>
    </w:rPr>
  </w:style>
  <w:style w:type="character" w:customStyle="1" w:styleId="180">
    <w:name w:val="font31"/>
    <w:basedOn w:val="54"/>
    <w:qFormat/>
    <w:uiPriority w:val="0"/>
    <w:rPr>
      <w:rFonts w:ascii="宋体" w:hAnsi="宋体" w:eastAsia="宋体" w:cs="宋体"/>
      <w:color w:val="000000"/>
      <w:sz w:val="20"/>
      <w:szCs w:val="20"/>
      <w:u w:val="none"/>
    </w:rPr>
  </w:style>
  <w:style w:type="character" w:customStyle="1" w:styleId="181">
    <w:name w:val="普通文字 Char Char1"/>
    <w:qFormat/>
    <w:uiPriority w:val="0"/>
    <w:rPr>
      <w:rFonts w:ascii="宋体" w:hAnsi="Courier New" w:eastAsia="宋体" w:cs="Courier New"/>
      <w:kern w:val="2"/>
      <w:sz w:val="21"/>
      <w:szCs w:val="21"/>
      <w:lang w:val="en-US" w:eastAsia="zh-CN" w:bidi="ar-SA"/>
    </w:rPr>
  </w:style>
  <w:style w:type="character" w:customStyle="1" w:styleId="182">
    <w:name w:val="style31"/>
    <w:qFormat/>
    <w:uiPriority w:val="0"/>
    <w:rPr>
      <w:rFonts w:ascii="Times New Roman" w:hAnsi="Times New Roman" w:eastAsia="宋体" w:cs="Times New Roman"/>
      <w:b/>
      <w:bCs/>
      <w:color w:val="FFFFFF"/>
    </w:rPr>
  </w:style>
  <w:style w:type="paragraph" w:customStyle="1" w:styleId="183">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184">
    <w:name w:val="xl1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185">
    <w:name w:val="样式 标题 3 + 四号"/>
    <w:basedOn w:val="4"/>
    <w:qFormat/>
    <w:uiPriority w:val="0"/>
    <w:pPr>
      <w:jc w:val="center"/>
    </w:pPr>
    <w:rPr>
      <w:rFonts w:ascii="Times New Roman" w:hAnsi="Times New Roman" w:eastAsia="宋体" w:cs="Times New Roman"/>
      <w:kern w:val="0"/>
      <w:sz w:val="28"/>
    </w:rPr>
  </w:style>
  <w:style w:type="paragraph" w:customStyle="1" w:styleId="186">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87">
    <w:name w:val="xl11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188">
    <w:name w:val="xl11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189">
    <w:name w:val="xl74"/>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90">
    <w:name w:val="样式 标题 2 + 宋体"/>
    <w:basedOn w:val="3"/>
    <w:qFormat/>
    <w:uiPriority w:val="0"/>
    <w:pPr>
      <w:jc w:val="center"/>
    </w:pPr>
    <w:rPr>
      <w:rFonts w:ascii="宋体" w:hAnsi="宋体" w:eastAsia="宋体" w:cs="Times New Roman"/>
      <w:kern w:val="0"/>
    </w:rPr>
  </w:style>
  <w:style w:type="paragraph" w:customStyle="1" w:styleId="19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92">
    <w:name w:val="xl95"/>
    <w:basedOn w:val="1"/>
    <w:qFormat/>
    <w:uiPriority w:val="0"/>
    <w:pPr>
      <w:widowControl/>
      <w:pBdr>
        <w:bottom w:val="single" w:color="auto" w:sz="8" w:space="0"/>
      </w:pBdr>
      <w:spacing w:before="100" w:beforeAutospacing="1" w:after="100" w:afterAutospacing="1"/>
      <w:jc w:val="left"/>
    </w:pPr>
    <w:rPr>
      <w:rFonts w:ascii="宋体" w:hAnsi="宋体" w:eastAsia="宋体" w:cs="宋体"/>
      <w:color w:val="000000"/>
      <w:kern w:val="0"/>
      <w:szCs w:val="21"/>
    </w:rPr>
  </w:style>
  <w:style w:type="paragraph" w:customStyle="1" w:styleId="193">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94">
    <w:name w:val="xl11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195">
    <w:name w:val="5 Char Char Char Char Char Char Char Char Char Char"/>
    <w:basedOn w:val="1"/>
    <w:qFormat/>
    <w:uiPriority w:val="0"/>
    <w:rPr>
      <w:rFonts w:ascii="Times New Roman" w:hAnsi="Times New Roman" w:eastAsia="宋体" w:cs="Times New Roman"/>
    </w:rPr>
  </w:style>
  <w:style w:type="paragraph" w:customStyle="1" w:styleId="19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Cs w:val="21"/>
    </w:rPr>
  </w:style>
  <w:style w:type="paragraph" w:customStyle="1" w:styleId="197">
    <w:name w:val="xl104"/>
    <w:basedOn w:val="1"/>
    <w:qFormat/>
    <w:uiPriority w:val="0"/>
    <w:pPr>
      <w:widowControl/>
      <w:pBdr>
        <w:bottom w:val="single" w:color="auto" w:sz="4" w:space="0"/>
      </w:pBdr>
      <w:spacing w:before="100" w:beforeAutospacing="1" w:after="100" w:afterAutospacing="1"/>
      <w:jc w:val="left"/>
    </w:pPr>
    <w:rPr>
      <w:rFonts w:ascii="宋体" w:hAnsi="宋体" w:eastAsia="宋体" w:cs="宋体"/>
      <w:kern w:val="0"/>
      <w:sz w:val="24"/>
    </w:rPr>
  </w:style>
  <w:style w:type="paragraph" w:customStyle="1" w:styleId="198">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Cs w:val="21"/>
    </w:rPr>
  </w:style>
  <w:style w:type="paragraph" w:customStyle="1" w:styleId="199">
    <w:name w:val="msonormalcxspmiddle"/>
    <w:basedOn w:val="1"/>
    <w:qFormat/>
    <w:uiPriority w:val="0"/>
    <w:pPr>
      <w:widowControl/>
      <w:spacing w:line="315" w:lineRule="atLeast"/>
      <w:jc w:val="left"/>
    </w:pPr>
    <w:rPr>
      <w:rFonts w:ascii="inherit" w:hAnsi="inherit" w:eastAsia="微软雅黑" w:cs="宋体"/>
      <w:color w:val="323232"/>
      <w:kern w:val="0"/>
      <w:sz w:val="18"/>
      <w:szCs w:val="18"/>
    </w:rPr>
  </w:style>
  <w:style w:type="paragraph" w:customStyle="1" w:styleId="200">
    <w:name w:val="xl96"/>
    <w:basedOn w:val="1"/>
    <w:qFormat/>
    <w:uiPriority w:val="0"/>
    <w:pPr>
      <w:widowControl/>
      <w:spacing w:before="100" w:beforeAutospacing="1" w:after="100" w:afterAutospacing="1"/>
      <w:jc w:val="left"/>
      <w:textAlignment w:val="bottom"/>
    </w:pPr>
    <w:rPr>
      <w:rFonts w:ascii="宋体" w:hAnsi="宋体" w:eastAsia="宋体" w:cs="宋体"/>
      <w:kern w:val="0"/>
      <w:sz w:val="20"/>
      <w:szCs w:val="20"/>
    </w:rPr>
  </w:style>
  <w:style w:type="paragraph" w:customStyle="1" w:styleId="201">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02">
    <w:name w:val="Char Char1 Char Char Char Char"/>
    <w:basedOn w:val="17"/>
    <w:qFormat/>
    <w:uiPriority w:val="0"/>
    <w:rPr>
      <w:rFonts w:ascii="Tahoma" w:hAnsi="Tahoma" w:eastAsia="宋体" w:cs="Times New Roman"/>
      <w:sz w:val="24"/>
    </w:rPr>
  </w:style>
  <w:style w:type="paragraph" w:customStyle="1" w:styleId="203">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04">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205">
    <w:name w:val="xl1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06">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0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rPr>
  </w:style>
  <w:style w:type="paragraph" w:customStyle="1" w:styleId="208">
    <w:name w:val="xl64"/>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09">
    <w:name w:val="xl1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10">
    <w:name w:val="Char Char Char Char Char Char Char Char"/>
    <w:basedOn w:val="1"/>
    <w:qFormat/>
    <w:uiPriority w:val="0"/>
    <w:pPr>
      <w:widowControl/>
      <w:spacing w:line="240" w:lineRule="exact"/>
      <w:jc w:val="left"/>
    </w:pPr>
    <w:rPr>
      <w:rFonts w:ascii="Verdana" w:hAnsi="Verdana" w:eastAsia="宋体" w:cs="Times New Roman"/>
      <w:kern w:val="0"/>
      <w:sz w:val="20"/>
      <w:szCs w:val="20"/>
      <w:lang w:eastAsia="en-US"/>
    </w:rPr>
  </w:style>
  <w:style w:type="paragraph" w:customStyle="1" w:styleId="211">
    <w:name w:val="xl13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12">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13">
    <w:name w:val="文档正文"/>
    <w:basedOn w:val="1"/>
    <w:qFormat/>
    <w:uiPriority w:val="0"/>
    <w:pPr>
      <w:autoSpaceDE w:val="0"/>
      <w:autoSpaceDN w:val="0"/>
      <w:adjustRightInd w:val="0"/>
      <w:spacing w:line="240" w:lineRule="atLeast"/>
      <w:ind w:firstLine="567"/>
    </w:pPr>
    <w:rPr>
      <w:rFonts w:ascii="Arial Narrow" w:hAnsi="Arial Narrow" w:eastAsia="宋体" w:cs="Arial"/>
      <w:sz w:val="24"/>
      <w:lang w:val="zh-CN"/>
    </w:rPr>
  </w:style>
  <w:style w:type="paragraph" w:customStyle="1" w:styleId="21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Cs w:val="21"/>
    </w:rPr>
  </w:style>
  <w:style w:type="paragraph" w:customStyle="1" w:styleId="21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16">
    <w:name w:val="xl63"/>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17">
    <w:name w:val="1"/>
    <w:basedOn w:val="1"/>
    <w:next w:val="29"/>
    <w:qFormat/>
    <w:uiPriority w:val="0"/>
    <w:rPr>
      <w:rFonts w:ascii="宋体" w:hAnsi="Courier New" w:eastAsia="宋体" w:cs="Times New Roman"/>
      <w:szCs w:val="20"/>
    </w:rPr>
  </w:style>
  <w:style w:type="paragraph" w:customStyle="1" w:styleId="21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219">
    <w:name w:val="List Paragraph1"/>
    <w:basedOn w:val="1"/>
    <w:qFormat/>
    <w:uiPriority w:val="0"/>
    <w:pPr>
      <w:ind w:firstLine="420" w:firstLineChars="200"/>
    </w:pPr>
    <w:rPr>
      <w:rFonts w:ascii="Times New Roman" w:hAnsi="Times New Roman" w:eastAsia="宋体" w:cs="Times New Roman"/>
    </w:rPr>
  </w:style>
  <w:style w:type="paragraph" w:customStyle="1" w:styleId="220">
    <w:name w:val="投标文件"/>
    <w:basedOn w:val="48"/>
    <w:qFormat/>
    <w:uiPriority w:val="0"/>
    <w:rPr>
      <w:rFonts w:ascii="Times New Roman" w:hAnsi="Times New Roman" w:eastAsia="宋体" w:cs="Times New Roman"/>
    </w:rPr>
  </w:style>
  <w:style w:type="paragraph" w:customStyle="1" w:styleId="221">
    <w:name w:val="默认段落字体 Para Char Char Char Char Char Char Char Char Char Char Char Char Char Char Char Char Char Char Char"/>
    <w:basedOn w:val="1"/>
    <w:qFormat/>
    <w:uiPriority w:val="0"/>
    <w:rPr>
      <w:rFonts w:ascii="Calibri" w:hAnsi="Calibri" w:eastAsia="宋体" w:cs="Times New Roman"/>
      <w:szCs w:val="22"/>
    </w:rPr>
  </w:style>
  <w:style w:type="paragraph" w:customStyle="1" w:styleId="222">
    <w:name w:val="xl65"/>
    <w:basedOn w:val="1"/>
    <w:qFormat/>
    <w:uiPriority w:val="0"/>
    <w:pPr>
      <w:widowControl/>
      <w:spacing w:before="100" w:beforeAutospacing="1" w:after="100" w:afterAutospacing="1"/>
      <w:jc w:val="center"/>
    </w:pPr>
    <w:rPr>
      <w:rFonts w:ascii="宋体" w:hAnsi="宋体" w:eastAsia="宋体" w:cs="宋体"/>
      <w:color w:val="000000"/>
      <w:kern w:val="0"/>
      <w:szCs w:val="21"/>
    </w:rPr>
  </w:style>
  <w:style w:type="paragraph" w:customStyle="1" w:styleId="223">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225">
    <w:name w:val="font7"/>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226">
    <w:name w:val="xl66"/>
    <w:basedOn w:val="1"/>
    <w:qFormat/>
    <w:uiPriority w:val="0"/>
    <w:pPr>
      <w:widowControl/>
      <w:spacing w:before="100" w:beforeAutospacing="1" w:after="100" w:afterAutospacing="1"/>
      <w:jc w:val="left"/>
      <w:textAlignment w:val="bottom"/>
    </w:pPr>
    <w:rPr>
      <w:rFonts w:ascii="宋体" w:hAnsi="宋体" w:eastAsia="宋体" w:cs="宋体"/>
      <w:color w:val="000000"/>
      <w:kern w:val="0"/>
      <w:szCs w:val="21"/>
    </w:rPr>
  </w:style>
  <w:style w:type="paragraph" w:customStyle="1" w:styleId="227">
    <w:name w:val="表格文字"/>
    <w:basedOn w:val="1"/>
    <w:qFormat/>
    <w:uiPriority w:val="0"/>
    <w:pPr>
      <w:spacing w:before="25" w:after="25"/>
      <w:jc w:val="left"/>
    </w:pPr>
    <w:rPr>
      <w:rFonts w:ascii="Times New Roman" w:hAnsi="Times New Roman" w:eastAsia="宋体" w:cs="Times New Roman"/>
      <w:bCs/>
      <w:spacing w:val="10"/>
      <w:kern w:val="0"/>
      <w:sz w:val="24"/>
      <w:szCs w:val="20"/>
    </w:rPr>
  </w:style>
  <w:style w:type="paragraph" w:customStyle="1" w:styleId="22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szCs w:val="21"/>
    </w:rPr>
  </w:style>
  <w:style w:type="paragraph" w:customStyle="1" w:styleId="229">
    <w:name w:val="List Paragraph2"/>
    <w:basedOn w:val="1"/>
    <w:qFormat/>
    <w:uiPriority w:val="0"/>
    <w:pPr>
      <w:ind w:firstLine="420" w:firstLineChars="200"/>
    </w:pPr>
    <w:rPr>
      <w:rFonts w:ascii="Calibri" w:hAnsi="Calibri" w:eastAsia="宋体" w:cs="Times New Roman"/>
      <w:szCs w:val="22"/>
    </w:rPr>
  </w:style>
  <w:style w:type="paragraph" w:customStyle="1" w:styleId="230">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31">
    <w:name w:val="gta-1"/>
    <w:basedOn w:val="1"/>
    <w:qFormat/>
    <w:uiPriority w:val="0"/>
    <w:pPr>
      <w:widowControl/>
      <w:spacing w:before="100" w:beforeAutospacing="1" w:after="100" w:afterAutospacing="1" w:line="360" w:lineRule="auto"/>
      <w:ind w:firstLine="200" w:firstLineChars="200"/>
      <w:jc w:val="left"/>
    </w:pPr>
    <w:rPr>
      <w:rFonts w:ascii="宋体" w:hAnsi="宋体" w:eastAsia="宋体" w:cs="宋体"/>
      <w:kern w:val="0"/>
      <w:sz w:val="24"/>
    </w:rPr>
  </w:style>
  <w:style w:type="paragraph" w:customStyle="1" w:styleId="232">
    <w:name w:val="pic-info"/>
    <w:basedOn w:val="1"/>
    <w:qFormat/>
    <w:uiPriority w:val="0"/>
    <w:pPr>
      <w:widowControl/>
      <w:spacing w:before="100" w:beforeAutospacing="1" w:after="100" w:afterAutospacing="1" w:line="480" w:lineRule="exact"/>
      <w:jc w:val="left"/>
    </w:pPr>
    <w:rPr>
      <w:rFonts w:ascii="宋体" w:hAnsi="宋体" w:eastAsia="微软雅黑" w:cs="宋体"/>
      <w:kern w:val="0"/>
      <w:sz w:val="24"/>
    </w:rPr>
  </w:style>
  <w:style w:type="paragraph" w:customStyle="1" w:styleId="233">
    <w:name w:val="投标文件1"/>
    <w:basedOn w:val="2"/>
    <w:qFormat/>
    <w:uiPriority w:val="0"/>
    <w:pPr>
      <w:jc w:val="both"/>
    </w:pPr>
    <w:rPr>
      <w:rFonts w:ascii="Times New Roman" w:hAnsi="Times New Roman" w:eastAsia="方正小标宋简体" w:cs="Times New Roman"/>
      <w:b w:val="0"/>
      <w:sz w:val="32"/>
      <w:szCs w:val="21"/>
    </w:rPr>
  </w:style>
  <w:style w:type="paragraph" w:customStyle="1" w:styleId="234">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3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23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eastAsia="宋体" w:cs="Times New Roman"/>
      <w:kern w:val="0"/>
      <w:szCs w:val="21"/>
    </w:rPr>
  </w:style>
  <w:style w:type="paragraph" w:customStyle="1" w:styleId="23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3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color w:val="000000"/>
      <w:kern w:val="0"/>
      <w:szCs w:val="21"/>
    </w:rPr>
  </w:style>
  <w:style w:type="paragraph" w:customStyle="1" w:styleId="23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24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4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242">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43">
    <w:name w:val="xl93"/>
    <w:basedOn w:val="1"/>
    <w:qFormat/>
    <w:uiPriority w:val="0"/>
    <w:pPr>
      <w:widowControl/>
      <w:pBdr>
        <w:top w:val="single" w:color="auto" w:sz="8" w:space="0"/>
      </w:pBdr>
      <w:spacing w:before="100" w:beforeAutospacing="1" w:after="100" w:afterAutospacing="1"/>
      <w:jc w:val="left"/>
    </w:pPr>
    <w:rPr>
      <w:rFonts w:ascii="宋体" w:hAnsi="宋体" w:eastAsia="宋体" w:cs="宋体"/>
      <w:color w:val="000000"/>
      <w:kern w:val="0"/>
      <w:szCs w:val="21"/>
    </w:rPr>
  </w:style>
  <w:style w:type="paragraph" w:customStyle="1" w:styleId="244">
    <w:name w:val="TOC 标题2"/>
    <w:next w:val="1"/>
    <w:qFormat/>
    <w:uiPriority w:val="0"/>
    <w:pPr>
      <w:wordWrap w:val="0"/>
    </w:pPr>
    <w:rPr>
      <w:rFonts w:ascii="Calibri" w:hAnsi="Calibri" w:eastAsia="宋体" w:cs="Times New Roman"/>
      <w:sz w:val="32"/>
      <w:lang w:val="en-US" w:eastAsia="zh-CN" w:bidi="ar-SA"/>
    </w:rPr>
  </w:style>
  <w:style w:type="paragraph" w:customStyle="1" w:styleId="24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Cs w:val="21"/>
    </w:rPr>
  </w:style>
  <w:style w:type="paragraph" w:customStyle="1" w:styleId="246">
    <w:name w:val="表内文字"/>
    <w:basedOn w:val="1"/>
    <w:qFormat/>
    <w:uiPriority w:val="0"/>
    <w:pPr>
      <w:snapToGrid w:val="0"/>
      <w:spacing w:before="50" w:after="50"/>
      <w:jc w:val="center"/>
    </w:pPr>
    <w:rPr>
      <w:rFonts w:ascii="仿宋_GB2312" w:hAnsi="宋体" w:eastAsia="仿宋_GB2312" w:cs="Times New Roman"/>
      <w:b/>
      <w:color w:val="000000"/>
      <w:sz w:val="32"/>
      <w:szCs w:val="32"/>
    </w:rPr>
  </w:style>
  <w:style w:type="paragraph" w:customStyle="1" w:styleId="247">
    <w:name w:val="浅色网格 - 强调文字颜色 32"/>
    <w:basedOn w:val="1"/>
    <w:qFormat/>
    <w:uiPriority w:val="0"/>
    <w:pPr>
      <w:ind w:firstLine="420" w:firstLineChars="200"/>
    </w:pPr>
    <w:rPr>
      <w:rFonts w:ascii="Calibri" w:hAnsi="Calibri" w:eastAsia="宋体" w:cs="Times New Roman"/>
      <w:szCs w:val="22"/>
    </w:rPr>
  </w:style>
  <w:style w:type="paragraph" w:customStyle="1" w:styleId="248">
    <w:name w:val="Char"/>
    <w:basedOn w:val="17"/>
    <w:qFormat/>
    <w:uiPriority w:val="0"/>
    <w:pPr>
      <w:widowControl/>
      <w:ind w:firstLine="454"/>
      <w:jc w:val="left"/>
    </w:pPr>
    <w:rPr>
      <w:rFonts w:ascii="Tahoma" w:hAnsi="Tahoma" w:eastAsia="宋体" w:cs="宋体"/>
      <w:kern w:val="0"/>
      <w:sz w:val="24"/>
      <w:szCs w:val="20"/>
    </w:rPr>
  </w:style>
  <w:style w:type="paragraph" w:customStyle="1" w:styleId="249">
    <w:name w:val="xl1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50">
    <w:name w:val="unnamed1"/>
    <w:basedOn w:val="1"/>
    <w:qFormat/>
    <w:uiPriority w:val="0"/>
    <w:pPr>
      <w:widowControl/>
      <w:spacing w:before="100" w:beforeAutospacing="1" w:after="100" w:afterAutospacing="1" w:line="288" w:lineRule="auto"/>
      <w:jc w:val="left"/>
    </w:pPr>
    <w:rPr>
      <w:rFonts w:ascii="宋体" w:hAnsi="宋体" w:eastAsia="宋体" w:cs="Times New Roman"/>
      <w:kern w:val="0"/>
      <w:szCs w:val="21"/>
    </w:rPr>
  </w:style>
  <w:style w:type="paragraph" w:customStyle="1" w:styleId="251">
    <w:name w:val="xl12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52">
    <w:name w:val="font10"/>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253">
    <w:name w:val="xl14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54">
    <w:name w:val="xl103"/>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宋体" w:hAnsi="宋体" w:eastAsia="宋体" w:cs="宋体"/>
      <w:kern w:val="0"/>
      <w:szCs w:val="21"/>
    </w:rPr>
  </w:style>
  <w:style w:type="paragraph" w:customStyle="1" w:styleId="255">
    <w:name w:val="xl10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56">
    <w:name w:val="普通(网站)1"/>
    <w:basedOn w:val="1"/>
    <w:qFormat/>
    <w:uiPriority w:val="0"/>
    <w:pPr>
      <w:widowControl/>
      <w:snapToGrid w:val="0"/>
      <w:spacing w:before="100" w:beforeAutospacing="1" w:after="100" w:afterAutospacing="1" w:line="300" w:lineRule="auto"/>
      <w:ind w:firstLine="200" w:firstLineChars="200"/>
      <w:jc w:val="left"/>
    </w:pPr>
    <w:rPr>
      <w:rFonts w:ascii="宋体" w:hAnsi="宋体" w:eastAsia="微软雅黑" w:cs="Times New Roman"/>
      <w:sz w:val="24"/>
      <w:szCs w:val="22"/>
    </w:rPr>
  </w:style>
  <w:style w:type="paragraph" w:customStyle="1" w:styleId="257">
    <w:name w:val="xl7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258">
    <w:name w:val="xl92"/>
    <w:basedOn w:val="1"/>
    <w:qFormat/>
    <w:uiPriority w:val="0"/>
    <w:pPr>
      <w:widowControl/>
      <w:pBdr>
        <w:bottom w:val="single" w:color="auto" w:sz="8" w:space="0"/>
      </w:pBdr>
      <w:spacing w:before="100" w:beforeAutospacing="1" w:after="100" w:afterAutospacing="1"/>
      <w:jc w:val="left"/>
      <w:textAlignment w:val="bottom"/>
    </w:pPr>
    <w:rPr>
      <w:rFonts w:ascii="宋体" w:hAnsi="宋体" w:eastAsia="宋体" w:cs="宋体"/>
      <w:kern w:val="0"/>
      <w:szCs w:val="21"/>
    </w:rPr>
  </w:style>
  <w:style w:type="paragraph" w:customStyle="1" w:styleId="259">
    <w:name w:val="xl1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60">
    <w:name w:val="xl87"/>
    <w:basedOn w:val="1"/>
    <w:qFormat/>
    <w:uiPriority w:val="0"/>
    <w:pPr>
      <w:widowControl/>
      <w:pBdr>
        <w:bottom w:val="single" w:color="auto" w:sz="8" w:space="0"/>
      </w:pBdr>
      <w:spacing w:before="100" w:beforeAutospacing="1" w:after="100" w:afterAutospacing="1"/>
      <w:jc w:val="left"/>
    </w:pPr>
    <w:rPr>
      <w:rFonts w:ascii="宋体" w:hAnsi="宋体" w:eastAsia="宋体" w:cs="宋体"/>
      <w:kern w:val="0"/>
      <w:szCs w:val="21"/>
    </w:rPr>
  </w:style>
  <w:style w:type="paragraph" w:customStyle="1" w:styleId="261">
    <w:name w:val="p0"/>
    <w:basedOn w:val="1"/>
    <w:qFormat/>
    <w:uiPriority w:val="0"/>
    <w:pPr>
      <w:widowControl/>
      <w:jc w:val="left"/>
    </w:pPr>
    <w:rPr>
      <w:rFonts w:ascii="Times New Roman" w:hAnsi="Times New Roman" w:eastAsia="宋体" w:cs="Times New Roman"/>
      <w:kern w:val="0"/>
      <w:sz w:val="20"/>
      <w:szCs w:val="20"/>
    </w:rPr>
  </w:style>
  <w:style w:type="paragraph" w:customStyle="1" w:styleId="262">
    <w:name w:val="标书0927"/>
    <w:basedOn w:val="2"/>
    <w:qFormat/>
    <w:uiPriority w:val="0"/>
    <w:pPr>
      <w:tabs>
        <w:tab w:val="left" w:pos="780"/>
      </w:tabs>
      <w:spacing w:before="0" w:after="0" w:line="360" w:lineRule="auto"/>
      <w:ind w:left="780" w:hanging="420"/>
      <w:jc w:val="both"/>
    </w:pPr>
    <w:rPr>
      <w:rFonts w:ascii="宋体" w:hAnsi="Times New Roman" w:eastAsia="宋体" w:cs="Times New Roman"/>
      <w:sz w:val="32"/>
      <w:szCs w:val="32"/>
    </w:rPr>
  </w:style>
  <w:style w:type="paragraph" w:customStyle="1" w:styleId="263">
    <w:name w:val="xl1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64">
    <w:name w:val="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65">
    <w:name w:val="Char Char Char Char Char Char Char"/>
    <w:basedOn w:val="1"/>
    <w:qFormat/>
    <w:uiPriority w:val="0"/>
    <w:rPr>
      <w:rFonts w:ascii="Times New Roman" w:hAnsi="Times New Roman" w:eastAsia="宋体" w:cs="Times New Roman"/>
    </w:rPr>
  </w:style>
  <w:style w:type="paragraph" w:customStyle="1" w:styleId="266">
    <w:name w:val="xl88"/>
    <w:basedOn w:val="1"/>
    <w:qFormat/>
    <w:uiPriority w:val="0"/>
    <w:pPr>
      <w:widowControl/>
      <w:pBdr>
        <w:top w:val="single" w:color="auto" w:sz="8" w:space="0"/>
      </w:pBdr>
      <w:spacing w:before="100" w:beforeAutospacing="1" w:after="100" w:afterAutospacing="1"/>
      <w:jc w:val="left"/>
      <w:textAlignment w:val="bottom"/>
    </w:pPr>
    <w:rPr>
      <w:rFonts w:ascii="宋体" w:hAnsi="宋体" w:eastAsia="宋体" w:cs="宋体"/>
      <w:color w:val="000000"/>
      <w:kern w:val="0"/>
      <w:szCs w:val="21"/>
    </w:rPr>
  </w:style>
  <w:style w:type="paragraph" w:customStyle="1" w:styleId="26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szCs w:val="22"/>
    </w:rPr>
  </w:style>
  <w:style w:type="paragraph" w:customStyle="1" w:styleId="268">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69">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Cs w:val="21"/>
    </w:rPr>
  </w:style>
  <w:style w:type="paragraph" w:customStyle="1" w:styleId="270">
    <w:name w:val="xl91"/>
    <w:basedOn w:val="1"/>
    <w:qFormat/>
    <w:uiPriority w:val="0"/>
    <w:pPr>
      <w:widowControl/>
      <w:pBdr>
        <w:top w:val="single" w:color="auto" w:sz="8" w:space="0"/>
        <w:bottom w:val="single" w:color="auto" w:sz="8" w:space="0"/>
      </w:pBdr>
      <w:spacing w:before="100" w:beforeAutospacing="1" w:after="100" w:afterAutospacing="1"/>
      <w:jc w:val="left"/>
      <w:textAlignment w:val="bottom"/>
    </w:pPr>
    <w:rPr>
      <w:rFonts w:ascii="宋体" w:hAnsi="宋体" w:eastAsia="宋体" w:cs="宋体"/>
      <w:color w:val="000000"/>
      <w:kern w:val="0"/>
      <w:szCs w:val="21"/>
    </w:rPr>
  </w:style>
  <w:style w:type="paragraph" w:customStyle="1" w:styleId="271">
    <w:name w:val="font8"/>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szCs w:val="22"/>
    </w:rPr>
  </w:style>
  <w:style w:type="paragraph" w:customStyle="1" w:styleId="272">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273">
    <w:name w:val="xl9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7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75">
    <w:name w:val="xl94"/>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76">
    <w:name w:val="_Style 8"/>
    <w:basedOn w:val="17"/>
    <w:qFormat/>
    <w:uiPriority w:val="0"/>
    <w:pPr>
      <w:widowControl/>
      <w:spacing w:line="240" w:lineRule="auto"/>
      <w:ind w:firstLine="454" w:firstLineChars="0"/>
      <w:jc w:val="left"/>
    </w:pPr>
    <w:rPr>
      <w:rFonts w:ascii="Times New Roman" w:hAnsi="Times New Roman" w:eastAsia="宋体" w:cs="Times New Roman"/>
    </w:rPr>
  </w:style>
  <w:style w:type="paragraph" w:customStyle="1" w:styleId="277">
    <w:name w:val="Char Char Char Char Char Char Char Char Char Char"/>
    <w:basedOn w:val="1"/>
    <w:qFormat/>
    <w:uiPriority w:val="0"/>
    <w:pPr>
      <w:tabs>
        <w:tab w:val="left" w:pos="360"/>
      </w:tabs>
      <w:ind w:left="360" w:hanging="360" w:hangingChars="200"/>
    </w:pPr>
    <w:rPr>
      <w:rFonts w:ascii="Times New Roman" w:hAnsi="Times New Roman" w:eastAsia="宋体" w:cs="Times New Roman"/>
      <w:szCs w:val="20"/>
    </w:rPr>
  </w:style>
  <w:style w:type="paragraph" w:customStyle="1" w:styleId="278">
    <w:name w:val="Table Paragraph"/>
    <w:basedOn w:val="1"/>
    <w:qFormat/>
    <w:uiPriority w:val="0"/>
    <w:pPr>
      <w:autoSpaceDE w:val="0"/>
      <w:autoSpaceDN w:val="0"/>
      <w:spacing w:line="240" w:lineRule="auto"/>
      <w:ind w:firstLine="0" w:firstLineChars="0"/>
      <w:jc w:val="left"/>
    </w:pPr>
    <w:rPr>
      <w:rFonts w:ascii="宋体" w:hAnsi="宋体" w:eastAsia="宋体" w:cs="宋体"/>
      <w:kern w:val="0"/>
      <w:sz w:val="22"/>
      <w:szCs w:val="22"/>
      <w:lang w:val="zh-CN" w:bidi="zh-CN"/>
    </w:rPr>
  </w:style>
  <w:style w:type="paragraph" w:customStyle="1" w:styleId="279">
    <w:name w:val="xl13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8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81">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Cs w:val="21"/>
    </w:rPr>
  </w:style>
  <w:style w:type="paragraph" w:customStyle="1" w:styleId="282">
    <w:name w:val="Default"/>
    <w:qFormat/>
    <w:uiPriority w:val="0"/>
    <w:pPr>
      <w:widowControl w:val="0"/>
      <w:autoSpaceDE w:val="0"/>
      <w:autoSpaceDN w:val="0"/>
      <w:adjustRightInd w:val="0"/>
      <w:spacing w:line="400" w:lineRule="exact"/>
      <w:ind w:firstLine="200" w:firstLineChars="200"/>
      <w:jc w:val="both"/>
    </w:pPr>
    <w:rPr>
      <w:rFonts w:ascii="宋体" w:hAnsi="Calibri" w:eastAsia="宋体" w:cs="宋体"/>
      <w:color w:val="000000"/>
      <w:sz w:val="24"/>
      <w:szCs w:val="24"/>
      <w:lang w:val="en-US" w:eastAsia="zh-CN" w:bidi="ar-SA"/>
    </w:rPr>
  </w:style>
  <w:style w:type="paragraph" w:customStyle="1" w:styleId="283">
    <w:name w:val="xl85"/>
    <w:basedOn w:val="1"/>
    <w:qFormat/>
    <w:uiPriority w:val="0"/>
    <w:pPr>
      <w:widowControl/>
      <w:pBdr>
        <w:top w:val="single" w:color="auto" w:sz="8" w:space="0"/>
      </w:pBdr>
      <w:spacing w:before="100" w:beforeAutospacing="1" w:after="100" w:afterAutospacing="1"/>
      <w:jc w:val="left"/>
    </w:pPr>
    <w:rPr>
      <w:rFonts w:ascii="宋体" w:hAnsi="宋体" w:eastAsia="宋体" w:cs="宋体"/>
      <w:color w:val="000000"/>
      <w:kern w:val="0"/>
      <w:sz w:val="20"/>
      <w:szCs w:val="20"/>
    </w:rPr>
  </w:style>
  <w:style w:type="paragraph" w:customStyle="1" w:styleId="284">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85">
    <w:name w:val="TOC 标题1"/>
    <w:basedOn w:val="2"/>
    <w:next w:val="1"/>
    <w:qFormat/>
    <w:uiPriority w:val="0"/>
    <w:pPr>
      <w:widowControl/>
      <w:tabs>
        <w:tab w:val="left" w:pos="360"/>
      </w:tabs>
      <w:spacing w:before="480" w:after="0" w:line="276" w:lineRule="auto"/>
      <w:ind w:left="360" w:hanging="360"/>
      <w:jc w:val="left"/>
      <w:outlineLvl w:val="9"/>
    </w:pPr>
    <w:rPr>
      <w:rFonts w:ascii="Cambria" w:hAnsi="Cambria" w:eastAsia="宋体" w:cs="Times New Roman"/>
      <w:color w:val="365F91"/>
      <w:kern w:val="0"/>
      <w:sz w:val="28"/>
      <w:szCs w:val="28"/>
    </w:rPr>
  </w:style>
  <w:style w:type="paragraph" w:customStyle="1" w:styleId="286">
    <w:name w:val="Char Char Char1 Char"/>
    <w:basedOn w:val="1"/>
    <w:qFormat/>
    <w:uiPriority w:val="0"/>
    <w:rPr>
      <w:rFonts w:ascii="Calibri" w:hAnsi="Calibri" w:eastAsia="宋体" w:cs="Times New Roman"/>
      <w:szCs w:val="22"/>
    </w:rPr>
  </w:style>
  <w:style w:type="paragraph" w:customStyle="1" w:styleId="287">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88">
    <w:name w:val="_Style 2"/>
    <w:basedOn w:val="1"/>
    <w:qFormat/>
    <w:uiPriority w:val="0"/>
    <w:pPr>
      <w:ind w:firstLine="420" w:firstLineChars="200"/>
    </w:pPr>
    <w:rPr>
      <w:rFonts w:ascii="Times New Roman" w:hAnsi="Times New Roman" w:eastAsia="宋体" w:cs="Times New Roman"/>
    </w:rPr>
  </w:style>
  <w:style w:type="paragraph" w:customStyle="1" w:styleId="289">
    <w:name w:val="xl86"/>
    <w:basedOn w:val="1"/>
    <w:qFormat/>
    <w:uiPriority w:val="0"/>
    <w:pPr>
      <w:widowControl/>
      <w:pBdr>
        <w:bottom w:val="single" w:color="auto" w:sz="8" w:space="0"/>
      </w:pBdr>
      <w:spacing w:before="100" w:beforeAutospacing="1" w:after="100" w:afterAutospacing="1"/>
      <w:jc w:val="left"/>
    </w:pPr>
    <w:rPr>
      <w:rFonts w:ascii="宋体" w:hAnsi="宋体" w:eastAsia="宋体" w:cs="宋体"/>
      <w:color w:val="000000"/>
      <w:kern w:val="0"/>
      <w:sz w:val="20"/>
      <w:szCs w:val="20"/>
    </w:rPr>
  </w:style>
  <w:style w:type="paragraph" w:customStyle="1" w:styleId="290">
    <w:name w:val="xl89"/>
    <w:basedOn w:val="1"/>
    <w:qFormat/>
    <w:uiPriority w:val="0"/>
    <w:pPr>
      <w:widowControl/>
      <w:spacing w:before="100" w:beforeAutospacing="1" w:after="100" w:afterAutospacing="1"/>
      <w:jc w:val="left"/>
      <w:textAlignment w:val="bottom"/>
    </w:pPr>
    <w:rPr>
      <w:rFonts w:ascii="宋体" w:hAnsi="宋体" w:eastAsia="宋体" w:cs="宋体"/>
      <w:kern w:val="0"/>
      <w:szCs w:val="21"/>
    </w:rPr>
  </w:style>
  <w:style w:type="paragraph" w:customStyle="1" w:styleId="291">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292">
    <w:name w:val="xl10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293">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29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95">
    <w:name w:val="样式2"/>
    <w:basedOn w:val="5"/>
    <w:qFormat/>
    <w:uiPriority w:val="0"/>
    <w:rPr>
      <w:rFonts w:ascii="仿宋_GB2312" w:hAnsi="宋体" w:eastAsia="仿宋_GB2312" w:cs="宋体"/>
      <w:kern w:val="0"/>
      <w:sz w:val="24"/>
    </w:rPr>
  </w:style>
  <w:style w:type="paragraph" w:customStyle="1" w:styleId="296">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97">
    <w:name w:val="xl12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98">
    <w:name w:val="Char4"/>
    <w:basedOn w:val="1"/>
    <w:qFormat/>
    <w:uiPriority w:val="0"/>
    <w:rPr>
      <w:rFonts w:ascii="Tahoma" w:hAnsi="Tahoma" w:eastAsia="宋体" w:cs="Times New Roman"/>
      <w:sz w:val="24"/>
      <w:szCs w:val="20"/>
    </w:rPr>
  </w:style>
  <w:style w:type="paragraph" w:customStyle="1" w:styleId="299">
    <w:name w:val="xl90"/>
    <w:basedOn w:val="1"/>
    <w:qFormat/>
    <w:uiPriority w:val="0"/>
    <w:pPr>
      <w:widowControl/>
      <w:pBdr>
        <w:bottom w:val="single" w:color="auto" w:sz="8" w:space="0"/>
      </w:pBdr>
      <w:spacing w:before="100" w:beforeAutospacing="1" w:after="100" w:afterAutospacing="1"/>
      <w:jc w:val="left"/>
      <w:textAlignment w:val="bottom"/>
    </w:pPr>
    <w:rPr>
      <w:rFonts w:ascii="宋体" w:hAnsi="宋体" w:eastAsia="宋体" w:cs="宋体"/>
      <w:color w:val="000000"/>
      <w:kern w:val="0"/>
      <w:szCs w:val="21"/>
    </w:rPr>
  </w:style>
  <w:style w:type="paragraph" w:customStyle="1" w:styleId="300">
    <w:name w:val="xl73"/>
    <w:basedOn w:val="1"/>
    <w:qFormat/>
    <w:uiPriority w:val="0"/>
    <w:pPr>
      <w:widowControl/>
      <w:spacing w:before="100" w:beforeAutospacing="1" w:after="100" w:afterAutospacing="1"/>
      <w:jc w:val="center"/>
    </w:pPr>
    <w:rPr>
      <w:rFonts w:ascii="宋体" w:hAnsi="宋体" w:eastAsia="宋体" w:cs="宋体"/>
      <w:kern w:val="0"/>
      <w:szCs w:val="21"/>
    </w:rPr>
  </w:style>
  <w:style w:type="paragraph" w:customStyle="1" w:styleId="30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302">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303">
    <w:name w:val="pa-5"/>
    <w:basedOn w:val="1"/>
    <w:qFormat/>
    <w:uiPriority w:val="0"/>
    <w:pPr>
      <w:widowControl/>
      <w:spacing w:before="150" w:after="150"/>
      <w:jc w:val="left"/>
    </w:pPr>
    <w:rPr>
      <w:rFonts w:ascii="宋体" w:hAnsi="宋体" w:eastAsia="宋体" w:cs="宋体"/>
      <w:kern w:val="0"/>
      <w:sz w:val="24"/>
    </w:rPr>
  </w:style>
  <w:style w:type="paragraph" w:customStyle="1" w:styleId="30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05">
    <w:name w:val="xl97"/>
    <w:basedOn w:val="1"/>
    <w:qFormat/>
    <w:uiPriority w:val="0"/>
    <w:pPr>
      <w:widowControl/>
      <w:spacing w:before="100" w:beforeAutospacing="1" w:after="100" w:afterAutospacing="1"/>
      <w:jc w:val="left"/>
      <w:textAlignment w:val="bottom"/>
    </w:pPr>
    <w:rPr>
      <w:rFonts w:ascii="Times New Roman" w:hAnsi="Times New Roman" w:eastAsia="宋体" w:cs="Times New Roman"/>
      <w:kern w:val="0"/>
      <w:sz w:val="20"/>
      <w:szCs w:val="20"/>
    </w:rPr>
  </w:style>
  <w:style w:type="paragraph" w:customStyle="1" w:styleId="306">
    <w:name w:val="p18"/>
    <w:basedOn w:val="1"/>
    <w:qFormat/>
    <w:uiPriority w:val="0"/>
    <w:pPr>
      <w:widowControl/>
      <w:spacing w:line="240" w:lineRule="auto"/>
      <w:ind w:firstLine="0" w:firstLineChars="0"/>
    </w:pPr>
    <w:rPr>
      <w:rFonts w:ascii="宋体" w:hAnsi="宋体" w:eastAsia="宋体" w:cs="宋体"/>
      <w:kern w:val="0"/>
      <w:szCs w:val="21"/>
    </w:rPr>
  </w:style>
  <w:style w:type="paragraph" w:customStyle="1" w:styleId="30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0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309">
    <w:name w:val="custom_unionstyle"/>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31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1">
    <w:name w:val="正文段"/>
    <w:basedOn w:val="1"/>
    <w:qFormat/>
    <w:uiPriority w:val="0"/>
    <w:pPr>
      <w:widowControl/>
      <w:snapToGrid w:val="0"/>
      <w:spacing w:afterLines="50"/>
      <w:ind w:firstLine="200" w:firstLineChars="200"/>
    </w:pPr>
    <w:rPr>
      <w:rFonts w:ascii="Times New Roman" w:hAnsi="Times New Roman" w:eastAsia="宋体" w:cs="Times New Roman"/>
      <w:kern w:val="0"/>
      <w:sz w:val="24"/>
      <w:szCs w:val="20"/>
    </w:rPr>
  </w:style>
  <w:style w:type="paragraph" w:customStyle="1" w:styleId="312">
    <w:name w:val="font9"/>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13">
    <w:name w:val="样式 标题 1 + 小二"/>
    <w:basedOn w:val="2"/>
    <w:qFormat/>
    <w:uiPriority w:val="0"/>
    <w:rPr>
      <w:rFonts w:ascii="Times New Roman" w:hAnsi="Times New Roman" w:eastAsia="宋体" w:cs="Times New Roman"/>
    </w:rPr>
  </w:style>
  <w:style w:type="paragraph" w:customStyle="1" w:styleId="314">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15">
    <w:name w:val="xl13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316">
    <w:name w:val="正文 New New New New"/>
    <w:qFormat/>
    <w:uiPriority w:val="0"/>
    <w:pPr>
      <w:widowControl w:val="0"/>
      <w:spacing w:line="400" w:lineRule="exact"/>
      <w:ind w:firstLine="200" w:firstLineChars="200"/>
      <w:jc w:val="both"/>
    </w:pPr>
    <w:rPr>
      <w:rFonts w:ascii="Times New Roman" w:hAnsi="Times New Roman" w:eastAsia="宋体" w:cs="Times New Roman"/>
      <w:szCs w:val="24"/>
      <w:lang w:val="en-US" w:eastAsia="zh-CN" w:bidi="ar-SA"/>
    </w:rPr>
  </w:style>
  <w:style w:type="table" w:customStyle="1" w:styleId="317">
    <w:name w:val="网格型1"/>
    <w:basedOn w:val="5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8">
    <w:name w:val="Table Text"/>
    <w:basedOn w:val="1"/>
    <w:qFormat/>
    <w:uiPriority w:val="0"/>
    <w:rPr>
      <w:rFonts w:ascii="宋体" w:hAnsi="宋体" w:eastAsia="宋体" w:cs="宋体"/>
      <w:szCs w:val="21"/>
      <w:lang w:eastAsia="en-US"/>
    </w:rPr>
  </w:style>
  <w:style w:type="table" w:customStyle="1" w:styleId="319">
    <w:name w:val="网格型2"/>
    <w:basedOn w:val="51"/>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0">
    <w:name w:val="p15"/>
    <w:basedOn w:val="1"/>
    <w:qFormat/>
    <w:uiPriority w:val="0"/>
    <w:pPr>
      <w:widowControl/>
    </w:pPr>
    <w:rPr>
      <w:rFonts w:ascii="宋体" w:hAnsi="宋体" w:cs="宋体"/>
      <w:kern w:val="0"/>
      <w:szCs w:val="21"/>
    </w:rPr>
  </w:style>
  <w:style w:type="paragraph" w:customStyle="1" w:styleId="321">
    <w:name w:val="正文-公1"/>
    <w:basedOn w:val="1"/>
    <w:qFormat/>
    <w:uiPriority w:val="0"/>
    <w:pPr>
      <w:ind w:firstLine="200" w:firstLineChars="200"/>
      <w:jc w:val="left"/>
    </w:pPr>
    <w:rPr>
      <w:rFonts w:eastAsia="仿宋_GB2312"/>
    </w:rPr>
  </w:style>
  <w:style w:type="paragraph" w:customStyle="1" w:styleId="322">
    <w:name w:val="msolistparagraph"/>
    <w:basedOn w:val="1"/>
    <w:qFormat/>
    <w:uiPriority w:val="0"/>
    <w:pPr>
      <w:ind w:firstLine="420"/>
    </w:pPr>
  </w:style>
  <w:style w:type="paragraph" w:customStyle="1" w:styleId="323">
    <w:name w:val="正文-2字符首行缩进"/>
    <w:basedOn w:val="1"/>
    <w:qFormat/>
    <w:uiPriority w:val="0"/>
    <w:pPr>
      <w:spacing w:line="360" w:lineRule="auto"/>
      <w:ind w:firstLine="200" w:firstLineChars="200"/>
    </w:pPr>
    <w:rPr>
      <w:rFonts w:ascii="仿宋_GB2312" w:eastAsia="仿宋_GB2312"/>
      <w:kern w:val="0"/>
      <w:sz w:val="28"/>
    </w:rPr>
  </w:style>
  <w:style w:type="paragraph" w:customStyle="1" w:styleId="324">
    <w:name w:val="首行缩进"/>
    <w:qFormat/>
    <w:uiPriority w:val="0"/>
    <w:pPr>
      <w:widowControl w:val="0"/>
      <w:ind w:firstLine="480" w:firstLineChars="200"/>
      <w:jc w:val="both"/>
    </w:pPr>
    <w:rPr>
      <w:rFonts w:ascii="Times New Roman" w:hAnsi="Times New Roman" w:eastAsia="宋体" w:cs="Times New Roman"/>
      <w:kern w:val="2"/>
      <w:sz w:val="21"/>
      <w:szCs w:val="24"/>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77</Pages>
  <Words>15938</Words>
  <Characters>17880</Characters>
  <Lines>385</Lines>
  <Paragraphs>108</Paragraphs>
  <TotalTime>4</TotalTime>
  <ScaleCrop>false</ScaleCrop>
  <LinksUpToDate>false</LinksUpToDate>
  <CharactersWithSpaces>18041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2024-03-04T02:50:00Z</dcterms:created>
  <dc:creator>Administrator</dc:creator>
  <cp:lastModifiedBy>~猫~石榴</cp:lastModifiedBy>
  <cp:lastPrinted>2025-11-04T02:11:00Z</cp:lastPrinted>
  <dcterms:modified xsi:type="dcterms:W3CDTF">2025-11-04T08:22:47Z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37AAD44DC0B24E4298B50FB68B77014E</vt:lpwstr>
  </property>
  <property fmtid="{D5CDD505-2E9C-101B-9397-08002B2CF9AE}" pid="4" name="KSOTemplateDocerSaveRecord">
    <vt:lpwstr>eyJoZGlkIjoiMTM0NGFlOTE5YzM3NmI1Mjk3MTU1YWRiMjQ4ZDZiNGUiLCJ1c2VySWQiOiIxMzM5Mjk0NDEwIn0=</vt:lpwstr>
  </property>
</Properties>
</file>