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1" w:firstLine="0" w:firstLineChars="0"/>
      </w:pPr>
    </w:p>
    <w:p>
      <w:pPr>
        <w:spacing w:before="156" w:beforeLines="50" w:line="1600" w:lineRule="exact"/>
        <w:ind w:left="634" w:leftChars="-64" w:hanging="768" w:hangingChars="64"/>
        <w:jc w:val="center"/>
        <w:rPr>
          <w:rFonts w:hint="eastAsia" w:ascii="方正小标宋_GBK" w:hAnsi="宋体" w:eastAsia="方正小标宋_GBK"/>
          <w:sz w:val="120"/>
          <w:szCs w:val="120"/>
        </w:rPr>
      </w:pPr>
      <w:r>
        <w:rPr>
          <w:rFonts w:hint="eastAsia" w:ascii="方正小标宋_GBK" w:hAnsi="宋体" w:eastAsia="方正小标宋_GBK"/>
          <w:sz w:val="120"/>
          <w:szCs w:val="120"/>
        </w:rPr>
        <w:t>招标文件</w:t>
      </w: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snapToGrid w:val="0"/>
        <w:spacing w:before="156" w:beforeLines="50" w:line="320" w:lineRule="exact"/>
        <w:ind w:left="2976" w:hanging="2976" w:hangingChars="954"/>
        <w:rPr>
          <w:rFonts w:hint="eastAsia" w:ascii="方正小标宋_GBK" w:hAnsi="宋体" w:eastAsia="方正小标宋_GBK"/>
          <w:sz w:val="30"/>
          <w:szCs w:val="72"/>
        </w:rPr>
      </w:pPr>
      <w:r>
        <w:rPr>
          <w:rFonts w:hint="eastAsia" w:ascii="方正小标宋_GBK" w:hAnsi="宋体" w:eastAsia="方正小标宋_GBK"/>
          <w:spacing w:val="6"/>
          <w:sz w:val="30"/>
          <w:szCs w:val="72"/>
        </w:rPr>
        <w:t xml:space="preserve">        项目名称</w:t>
      </w:r>
      <w:r>
        <w:rPr>
          <w:rFonts w:hint="eastAsia" w:ascii="方正小标宋_GBK" w:hAnsi="宋体" w:eastAsia="方正小标宋_GBK"/>
          <w:sz w:val="30"/>
          <w:szCs w:val="72"/>
        </w:rPr>
        <w:t>:</w:t>
      </w:r>
      <w:bookmarkStart w:id="0" w:name="OLE_LINK14"/>
      <w:bookmarkStart w:id="1" w:name="_Hlk179639570"/>
      <w:r>
        <w:rPr>
          <w:rFonts w:hint="eastAsia" w:ascii="方正小标宋_GBK" w:hAnsi="宋体" w:eastAsia="方正小标宋_GBK"/>
          <w:sz w:val="30"/>
          <w:szCs w:val="72"/>
        </w:rPr>
        <w:t>2025年中等职业学校办学条件达标项目建设</w:t>
      </w:r>
      <w:bookmarkEnd w:id="0"/>
    </w:p>
    <w:bookmarkEnd w:id="1"/>
    <w:p>
      <w:pPr>
        <w:snapToGrid w:val="0"/>
        <w:spacing w:before="156" w:beforeLines="50"/>
        <w:ind w:firstLine="0" w:firstLineChars="0"/>
        <w:rPr>
          <w:rFonts w:hint="eastAsia" w:ascii="方正小标宋_GBK" w:hAnsi="宋体"/>
          <w:b/>
          <w:bCs/>
          <w:sz w:val="30"/>
          <w:szCs w:val="30"/>
        </w:rPr>
      </w:pPr>
      <w:r>
        <w:rPr>
          <w:rFonts w:hint="eastAsia" w:ascii="方正小标宋_GBK" w:hAnsi="宋体" w:eastAsia="方正小标宋_GBK"/>
          <w:spacing w:val="6"/>
          <w:sz w:val="30"/>
          <w:szCs w:val="72"/>
        </w:rPr>
        <w:t xml:space="preserve">        项目编号</w:t>
      </w:r>
      <w:r>
        <w:rPr>
          <w:rFonts w:hint="eastAsia" w:ascii="方正小标宋_GBK" w:hAnsi="宋体" w:eastAsia="方正小标宋_GBK"/>
          <w:sz w:val="30"/>
          <w:szCs w:val="72"/>
        </w:rPr>
        <w:t>:</w:t>
      </w:r>
      <w:r>
        <w:t xml:space="preserve"> </w:t>
      </w:r>
      <w:r>
        <w:rPr>
          <w:rFonts w:hint="eastAsia" w:ascii="方正小标宋_GBK" w:hAnsi="宋体" w:eastAsia="方正小标宋_GBK"/>
          <w:bCs/>
          <w:sz w:val="30"/>
          <w:szCs w:val="30"/>
        </w:rPr>
        <w:t>QZZC2025-G1-220187-QZSZ</w:t>
      </w: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spacing w:line="360" w:lineRule="exact"/>
        <w:ind w:firstLine="0" w:firstLineChars="0"/>
        <w:jc w:val="center"/>
        <w:rPr>
          <w:rFonts w:hint="eastAsia"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pPr>
        <w:snapToGrid w:val="0"/>
        <w:spacing w:before="156" w:beforeLines="50" w:line="360" w:lineRule="exact"/>
        <w:ind w:left="420" w:hanging="420" w:firstLineChars="0"/>
        <w:jc w:val="center"/>
        <w:rPr>
          <w:rFonts w:hint="eastAsia" w:ascii="方正小标宋_GBK" w:hAnsi="宋体" w:eastAsia="方正小标宋_GBK"/>
          <w:sz w:val="30"/>
          <w:szCs w:val="72"/>
          <w:lang w:eastAsia="zh-CN"/>
        </w:rPr>
      </w:pPr>
      <w:r>
        <w:rPr>
          <w:rFonts w:hint="eastAsia" w:ascii="方正小标宋_GBK" w:hAnsi="微软雅黑" w:eastAsia="方正小标宋_GBK"/>
          <w:sz w:val="32"/>
          <w:szCs w:val="32"/>
        </w:rPr>
        <w:t>2025年</w:t>
      </w:r>
      <w:r>
        <w:rPr>
          <w:rFonts w:hint="eastAsia" w:ascii="方正小标宋_GBK" w:hAnsi="微软雅黑" w:eastAsia="方正小标宋_GBK"/>
          <w:sz w:val="32"/>
          <w:szCs w:val="32"/>
          <w:lang w:eastAsia="zh-CN"/>
        </w:rPr>
        <w:t>9月</w:t>
      </w:r>
    </w:p>
    <w:p>
      <w:pPr>
        <w:ind w:firstLine="0" w:firstLineChars="0"/>
      </w:pPr>
      <w:r>
        <w:br w:type="page"/>
      </w:r>
    </w:p>
    <w:p>
      <w:pPr>
        <w:ind w:firstLine="0" w:firstLineChars="0"/>
      </w:pPr>
    </w:p>
    <w:p>
      <w:pPr>
        <w:pStyle w:val="28"/>
        <w:ind w:firstLine="0" w:firstLineChars="0"/>
        <w:jc w:val="center"/>
        <w:rPr>
          <w:rFonts w:ascii="隶书" w:eastAsia="隶书"/>
          <w:b/>
          <w:sz w:val="44"/>
        </w:rPr>
      </w:pPr>
      <w:r>
        <w:rPr>
          <w:rFonts w:hint="eastAsia" w:ascii="隶书" w:eastAsia="隶书"/>
          <w:b/>
          <w:sz w:val="44"/>
        </w:rPr>
        <w:t>目   录</w:t>
      </w:r>
    </w:p>
    <w:p>
      <w:pPr>
        <w:ind w:firstLine="0" w:firstLineChars="0"/>
      </w:pPr>
    </w:p>
    <w:p>
      <w:pPr>
        <w:pStyle w:val="127"/>
        <w:spacing w:line="1000" w:lineRule="exact"/>
        <w:rPr>
          <w:rFonts w:hint="eastAsia" w:ascii="仿宋" w:hAnsi="仿宋" w:eastAsia="仿宋"/>
          <w:sz w:val="28"/>
          <w:szCs w:val="28"/>
        </w:rPr>
      </w:pPr>
      <w:r>
        <w:rPr>
          <w:rFonts w:ascii="宋体" w:hAnsi="宋体"/>
          <w:sz w:val="32"/>
          <w:szCs w:val="32"/>
        </w:rPr>
        <w:fldChar w:fldCharType="begin"/>
      </w:r>
      <w:r>
        <w:rPr>
          <w:rFonts w:ascii="宋体" w:hAnsi="宋体"/>
          <w:sz w:val="32"/>
          <w:szCs w:val="32"/>
        </w:rPr>
        <w:instrText xml:space="preserve"> </w:instrText>
      </w:r>
      <w:r>
        <w:rPr>
          <w:rFonts w:hint="eastAsia" w:ascii="宋体" w:hAnsi="宋体"/>
          <w:sz w:val="32"/>
          <w:szCs w:val="32"/>
        </w:rPr>
        <w:instrText xml:space="preserve">TOC \o "1-1" \h \z \u</w:instrText>
      </w:r>
      <w:r>
        <w:rPr>
          <w:rFonts w:ascii="宋体" w:hAnsi="宋体"/>
          <w:sz w:val="32"/>
          <w:szCs w:val="32"/>
        </w:rPr>
        <w:instrText xml:space="preserve"> </w:instrText>
      </w:r>
      <w:r>
        <w:rPr>
          <w:rFonts w:ascii="宋体" w:hAnsi="宋体"/>
          <w:sz w:val="32"/>
          <w:szCs w:val="32"/>
        </w:rPr>
        <w:fldChar w:fldCharType="separate"/>
      </w:r>
      <w:r>
        <w:fldChar w:fldCharType="begin"/>
      </w:r>
      <w:r>
        <w:instrText xml:space="preserve"> HYPERLINK \l "_Toc91512283" </w:instrText>
      </w:r>
      <w:r>
        <w:fldChar w:fldCharType="separate"/>
      </w:r>
      <w:r>
        <w:rPr>
          <w:rStyle w:val="58"/>
          <w:rFonts w:ascii="仿宋" w:hAnsi="仿宋" w:eastAsia="仿宋"/>
          <w:color w:val="auto"/>
          <w:sz w:val="28"/>
          <w:szCs w:val="28"/>
        </w:rPr>
        <w:t>第一章  公 告</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_Toc91512283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27"/>
        <w:spacing w:line="1000" w:lineRule="exact"/>
        <w:rPr>
          <w:rFonts w:hint="eastAsia" w:ascii="仿宋" w:hAnsi="仿宋" w:eastAsia="仿宋"/>
          <w:sz w:val="28"/>
          <w:szCs w:val="28"/>
        </w:rPr>
      </w:pPr>
      <w:r>
        <w:fldChar w:fldCharType="begin"/>
      </w:r>
      <w:r>
        <w:instrText xml:space="preserve"> HYPERLINK \l "_Toc91512284" </w:instrText>
      </w:r>
      <w:r>
        <w:fldChar w:fldCharType="separate"/>
      </w:r>
      <w:r>
        <w:rPr>
          <w:rStyle w:val="58"/>
          <w:rFonts w:ascii="仿宋" w:hAnsi="仿宋" w:eastAsia="仿宋"/>
          <w:color w:val="auto"/>
          <w:sz w:val="28"/>
          <w:szCs w:val="28"/>
        </w:rPr>
        <w:t>第二章  项目需求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_Toc91512284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27"/>
        <w:spacing w:line="1000" w:lineRule="exact"/>
        <w:rPr>
          <w:rFonts w:hint="eastAsia" w:ascii="仿宋" w:hAnsi="仿宋" w:eastAsia="仿宋"/>
          <w:sz w:val="28"/>
          <w:szCs w:val="28"/>
        </w:rPr>
      </w:pPr>
      <w:r>
        <w:fldChar w:fldCharType="begin"/>
      </w:r>
      <w:r>
        <w:instrText xml:space="preserve"> HYPERLINK \l "_Toc91512285" </w:instrText>
      </w:r>
      <w:r>
        <w:fldChar w:fldCharType="separate"/>
      </w:r>
      <w:r>
        <w:rPr>
          <w:rStyle w:val="58"/>
          <w:rFonts w:ascii="仿宋" w:hAnsi="仿宋" w:eastAsia="仿宋"/>
          <w:color w:val="auto"/>
          <w:sz w:val="28"/>
          <w:szCs w:val="28"/>
        </w:rPr>
        <w:t>第三章  投标人须知及前</w:t>
      </w:r>
      <w:bookmarkStart w:id="2" w:name="_Hlt91583491"/>
      <w:bookmarkStart w:id="3" w:name="_Hlt91583492"/>
      <w:r>
        <w:rPr>
          <w:rStyle w:val="58"/>
          <w:rFonts w:ascii="仿宋" w:hAnsi="仿宋" w:eastAsia="仿宋"/>
          <w:color w:val="auto"/>
          <w:sz w:val="28"/>
          <w:szCs w:val="28"/>
        </w:rPr>
        <w:t>附</w:t>
      </w:r>
      <w:bookmarkEnd w:id="2"/>
      <w:bookmarkEnd w:id="3"/>
      <w:r>
        <w:rPr>
          <w:rStyle w:val="58"/>
          <w:rFonts w:ascii="仿宋" w:hAnsi="仿宋" w:eastAsia="仿宋"/>
          <w:color w:val="auto"/>
          <w:sz w:val="28"/>
          <w:szCs w:val="28"/>
        </w:rPr>
        <w:t>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_Toc91512285 \h </w:instrText>
      </w:r>
      <w:r>
        <w:rPr>
          <w:rFonts w:ascii="仿宋" w:hAnsi="仿宋" w:eastAsia="仿宋"/>
          <w:sz w:val="28"/>
          <w:szCs w:val="28"/>
        </w:rPr>
        <w:fldChar w:fldCharType="separate"/>
      </w:r>
      <w:r>
        <w:rPr>
          <w:rFonts w:ascii="仿宋" w:hAnsi="仿宋" w:eastAsia="仿宋"/>
          <w:sz w:val="28"/>
          <w:szCs w:val="28"/>
        </w:rPr>
        <w:t>81</w:t>
      </w:r>
      <w:r>
        <w:rPr>
          <w:rFonts w:ascii="仿宋" w:hAnsi="仿宋" w:eastAsia="仿宋"/>
          <w:sz w:val="28"/>
          <w:szCs w:val="28"/>
        </w:rPr>
        <w:fldChar w:fldCharType="end"/>
      </w:r>
      <w:r>
        <w:rPr>
          <w:rFonts w:ascii="仿宋" w:hAnsi="仿宋" w:eastAsia="仿宋"/>
          <w:sz w:val="28"/>
          <w:szCs w:val="28"/>
        </w:rPr>
        <w:fldChar w:fldCharType="end"/>
      </w:r>
    </w:p>
    <w:p>
      <w:pPr>
        <w:pStyle w:val="127"/>
        <w:spacing w:line="1000" w:lineRule="exact"/>
        <w:rPr>
          <w:rFonts w:hint="eastAsia" w:ascii="仿宋" w:hAnsi="仿宋" w:eastAsia="仿宋"/>
          <w:sz w:val="28"/>
          <w:szCs w:val="28"/>
        </w:rPr>
      </w:pPr>
      <w:r>
        <w:fldChar w:fldCharType="begin"/>
      </w:r>
      <w:r>
        <w:instrText xml:space="preserve"> HYPERLINK \l "_Toc91512286" </w:instrText>
      </w:r>
      <w:r>
        <w:fldChar w:fldCharType="separate"/>
      </w:r>
      <w:r>
        <w:rPr>
          <w:rStyle w:val="58"/>
          <w:rFonts w:ascii="仿宋" w:hAnsi="仿宋" w:eastAsia="仿宋"/>
          <w:color w:val="auto"/>
          <w:sz w:val="28"/>
          <w:szCs w:val="28"/>
        </w:rPr>
        <w:t>第四章  评</w:t>
      </w:r>
      <w:r>
        <w:rPr>
          <w:rStyle w:val="58"/>
          <w:rFonts w:hint="eastAsia" w:ascii="仿宋" w:hAnsi="仿宋" w:eastAsia="仿宋"/>
          <w:color w:val="auto"/>
          <w:sz w:val="28"/>
          <w:szCs w:val="28"/>
        </w:rPr>
        <w:t>定</w:t>
      </w:r>
      <w:r>
        <w:rPr>
          <w:rStyle w:val="58"/>
          <w:rFonts w:ascii="仿宋" w:hAnsi="仿宋" w:eastAsia="仿宋"/>
          <w:color w:val="auto"/>
          <w:sz w:val="28"/>
          <w:szCs w:val="28"/>
        </w:rPr>
        <w:t>标准及</w:t>
      </w:r>
      <w:r>
        <w:rPr>
          <w:rStyle w:val="58"/>
          <w:rFonts w:hint="eastAsia" w:ascii="仿宋" w:hAnsi="仿宋" w:eastAsia="仿宋"/>
          <w:color w:val="auto"/>
          <w:sz w:val="28"/>
          <w:szCs w:val="28"/>
        </w:rPr>
        <w:t>推荐原则</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_Toc91512286 \h </w:instrText>
      </w:r>
      <w:r>
        <w:rPr>
          <w:rFonts w:ascii="仿宋" w:hAnsi="仿宋" w:eastAsia="仿宋"/>
          <w:sz w:val="28"/>
          <w:szCs w:val="28"/>
        </w:rPr>
        <w:fldChar w:fldCharType="separate"/>
      </w:r>
      <w:r>
        <w:rPr>
          <w:rFonts w:ascii="仿宋" w:hAnsi="仿宋" w:eastAsia="仿宋"/>
          <w:sz w:val="28"/>
          <w:szCs w:val="28"/>
        </w:rPr>
        <w:t>93</w:t>
      </w:r>
      <w:r>
        <w:rPr>
          <w:rFonts w:ascii="仿宋" w:hAnsi="仿宋" w:eastAsia="仿宋"/>
          <w:sz w:val="28"/>
          <w:szCs w:val="28"/>
        </w:rPr>
        <w:fldChar w:fldCharType="end"/>
      </w:r>
      <w:r>
        <w:rPr>
          <w:rFonts w:ascii="仿宋" w:hAnsi="仿宋" w:eastAsia="仿宋"/>
          <w:sz w:val="28"/>
          <w:szCs w:val="28"/>
        </w:rPr>
        <w:fldChar w:fldCharType="end"/>
      </w:r>
    </w:p>
    <w:p>
      <w:pPr>
        <w:pStyle w:val="127"/>
        <w:spacing w:line="1000" w:lineRule="exact"/>
        <w:rPr>
          <w:rFonts w:hint="eastAsia" w:ascii="仿宋" w:hAnsi="仿宋" w:eastAsia="仿宋"/>
          <w:sz w:val="28"/>
          <w:szCs w:val="28"/>
        </w:rPr>
      </w:pPr>
      <w:r>
        <w:fldChar w:fldCharType="begin"/>
      </w:r>
      <w:r>
        <w:instrText xml:space="preserve"> HYPERLINK \l "_Toc91512287" </w:instrText>
      </w:r>
      <w:r>
        <w:fldChar w:fldCharType="separate"/>
      </w:r>
      <w:r>
        <w:rPr>
          <w:rStyle w:val="58"/>
          <w:rFonts w:ascii="仿宋" w:hAnsi="仿宋" w:eastAsia="仿宋"/>
          <w:color w:val="auto"/>
          <w:sz w:val="28"/>
          <w:szCs w:val="28"/>
        </w:rPr>
        <w:t>第五章  政府采购合同主要条款</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_Toc91512287 \h </w:instrText>
      </w:r>
      <w:r>
        <w:rPr>
          <w:rFonts w:ascii="仿宋" w:hAnsi="仿宋" w:eastAsia="仿宋"/>
          <w:sz w:val="28"/>
          <w:szCs w:val="28"/>
        </w:rPr>
        <w:fldChar w:fldCharType="separate"/>
      </w:r>
      <w:r>
        <w:rPr>
          <w:rFonts w:ascii="仿宋" w:hAnsi="仿宋" w:eastAsia="仿宋"/>
          <w:sz w:val="28"/>
          <w:szCs w:val="28"/>
        </w:rPr>
        <w:t>105</w:t>
      </w:r>
      <w:r>
        <w:rPr>
          <w:rFonts w:ascii="仿宋" w:hAnsi="仿宋" w:eastAsia="仿宋"/>
          <w:sz w:val="28"/>
          <w:szCs w:val="28"/>
        </w:rPr>
        <w:fldChar w:fldCharType="end"/>
      </w:r>
      <w:r>
        <w:rPr>
          <w:rFonts w:ascii="仿宋" w:hAnsi="仿宋" w:eastAsia="仿宋"/>
          <w:sz w:val="28"/>
          <w:szCs w:val="28"/>
        </w:rPr>
        <w:fldChar w:fldCharType="end"/>
      </w:r>
    </w:p>
    <w:p>
      <w:pPr>
        <w:pStyle w:val="127"/>
        <w:spacing w:line="1000" w:lineRule="exact"/>
        <w:rPr>
          <w:rFonts w:hint="eastAsia" w:ascii="仿宋" w:hAnsi="仿宋" w:eastAsia="仿宋"/>
          <w:sz w:val="28"/>
          <w:szCs w:val="28"/>
        </w:rPr>
      </w:pPr>
      <w:r>
        <w:fldChar w:fldCharType="begin"/>
      </w:r>
      <w:r>
        <w:instrText xml:space="preserve"> HYPERLINK \l "_Toc91512288" </w:instrText>
      </w:r>
      <w:r>
        <w:fldChar w:fldCharType="separate"/>
      </w:r>
      <w:r>
        <w:rPr>
          <w:rStyle w:val="58"/>
          <w:rFonts w:ascii="仿宋" w:hAnsi="仿宋" w:eastAsia="仿宋"/>
          <w:color w:val="auto"/>
          <w:sz w:val="28"/>
          <w:szCs w:val="28"/>
        </w:rPr>
        <w:t>第六章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_Toc91512288 \h </w:instrText>
      </w:r>
      <w:r>
        <w:rPr>
          <w:rFonts w:ascii="仿宋" w:hAnsi="仿宋" w:eastAsia="仿宋"/>
          <w:sz w:val="28"/>
          <w:szCs w:val="28"/>
        </w:rPr>
        <w:fldChar w:fldCharType="separate"/>
      </w:r>
      <w:r>
        <w:rPr>
          <w:rFonts w:ascii="仿宋" w:hAnsi="仿宋" w:eastAsia="仿宋"/>
          <w:sz w:val="28"/>
          <w:szCs w:val="28"/>
        </w:rPr>
        <w:t>121</w:t>
      </w:r>
      <w:r>
        <w:rPr>
          <w:rFonts w:ascii="仿宋" w:hAnsi="仿宋" w:eastAsia="仿宋"/>
          <w:sz w:val="28"/>
          <w:szCs w:val="28"/>
        </w:rPr>
        <w:fldChar w:fldCharType="end"/>
      </w:r>
      <w:r>
        <w:rPr>
          <w:rFonts w:ascii="仿宋" w:hAnsi="仿宋" w:eastAsia="仿宋"/>
          <w:sz w:val="28"/>
          <w:szCs w:val="28"/>
        </w:rPr>
        <w:fldChar w:fldCharType="end"/>
      </w:r>
    </w:p>
    <w:p>
      <w:pPr>
        <w:ind w:left="-2" w:leftChars="-1"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Borders>
            <w:top w:val="none" w:sz="0" w:space="0"/>
            <w:left w:val="none" w:sz="0" w:space="0"/>
            <w:bottom w:val="none" w:sz="0" w:space="0"/>
            <w:right w:val="none" w:sz="0" w:space="0"/>
          </w:pgBorders>
          <w:cols w:space="720" w:num="1"/>
          <w:titlePg/>
          <w:docGrid w:type="lines" w:linePitch="312" w:charSpace="0"/>
        </w:sectPr>
      </w:pPr>
      <w:r>
        <w:fldChar w:fldCharType="end"/>
      </w:r>
    </w:p>
    <w:p>
      <w:pPr>
        <w:ind w:left="-2" w:leftChars="-1" w:firstLine="0" w:firstLineChars="0"/>
      </w:pPr>
    </w:p>
    <w:p>
      <w:pPr>
        <w:ind w:firstLine="0" w:firstLineChars="0"/>
      </w:pPr>
      <w:bookmarkStart w:id="4" w:name="_Toc91512283"/>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pStyle w:val="46"/>
        <w:ind w:left="0" w:leftChars="0" w:right="0" w:rightChars="0" w:firstLine="0" w:firstLineChars="0"/>
        <w:jc w:val="center"/>
        <w:rPr>
          <w:rFonts w:ascii="方正小标宋_GBK"/>
          <w:szCs w:val="44"/>
        </w:rPr>
      </w:pPr>
      <w:r>
        <w:rPr>
          <w:rFonts w:hint="eastAsia" w:ascii="方正小标宋_GBK"/>
          <w:szCs w:val="44"/>
        </w:rPr>
        <w:t>第一章  公 告</w:t>
      </w:r>
      <w:bookmarkEnd w:id="4"/>
    </w:p>
    <w:p>
      <w:pPr>
        <w:ind w:left="420" w:firstLine="0" w:firstLineChars="0"/>
      </w:pPr>
      <w:r>
        <w:br w:type="page"/>
      </w:r>
    </w:p>
    <w:p>
      <w:pPr>
        <w:spacing w:line="440" w:lineRule="exact"/>
        <w:ind w:firstLine="0" w:firstLineChars="0"/>
        <w:jc w:val="center"/>
      </w:pPr>
      <w:r>
        <w:rPr>
          <w:rFonts w:ascii="方正小标宋_GBK" w:eastAsia="方正小标宋_GBK"/>
          <w:b/>
          <w:bCs/>
          <w:sz w:val="36"/>
          <w:szCs w:val="36"/>
        </w:rPr>
        <w:t>钦州市政府采购中心</w:t>
      </w:r>
      <w:bookmarkStart w:id="5" w:name="_Hlk169687345"/>
      <w:r>
        <w:rPr>
          <w:rFonts w:ascii="方正小标宋_GBK" w:eastAsia="方正小标宋_GBK"/>
          <w:b/>
          <w:bCs/>
          <w:sz w:val="36"/>
          <w:szCs w:val="36"/>
        </w:rPr>
        <w:t>关于</w:t>
      </w:r>
      <w:bookmarkStart w:id="6" w:name="OLE_LINK24"/>
      <w:r>
        <w:rPr>
          <w:rFonts w:hint="eastAsia" w:ascii="方正小标宋_GBK" w:eastAsia="方正小标宋_GBK"/>
          <w:b/>
          <w:bCs/>
          <w:sz w:val="36"/>
          <w:szCs w:val="36"/>
        </w:rPr>
        <w:t>2025年中等职业学校办学条件达标项目建设</w:t>
      </w:r>
      <w:r>
        <w:rPr>
          <w:rFonts w:ascii="方正小标宋_GBK" w:eastAsia="方正小标宋_GBK"/>
          <w:b/>
          <w:bCs/>
          <w:sz w:val="36"/>
          <w:szCs w:val="36"/>
        </w:rPr>
        <w:t>(</w:t>
      </w:r>
      <w:r>
        <w:rPr>
          <w:rFonts w:hint="eastAsia" w:ascii="方正小标宋_GBK" w:eastAsia="方正小标宋_GBK"/>
          <w:b/>
          <w:bCs/>
          <w:sz w:val="36"/>
          <w:szCs w:val="36"/>
        </w:rPr>
        <w:t>QZZC2025-G1-220187-QZSZ</w:t>
      </w:r>
      <w:r>
        <w:rPr>
          <w:rFonts w:ascii="方正小标宋_GBK" w:eastAsia="方正小标宋_GBK"/>
          <w:b/>
          <w:bCs/>
          <w:sz w:val="36"/>
          <w:szCs w:val="36"/>
        </w:rPr>
        <w:t>)</w:t>
      </w:r>
      <w:bookmarkEnd w:id="5"/>
      <w:bookmarkEnd w:id="6"/>
      <w:r>
        <w:rPr>
          <w:rFonts w:hint="eastAsia" w:ascii="方正小标宋_GBK" w:eastAsia="方正小标宋_GBK"/>
          <w:b/>
          <w:bCs/>
          <w:sz w:val="36"/>
          <w:szCs w:val="36"/>
        </w:rPr>
        <w:t>的招标公告</w:t>
      </w:r>
    </w:p>
    <w:p>
      <w:pPr>
        <w:pBdr>
          <w:top w:val="single" w:color="auto" w:sz="4" w:space="0"/>
          <w:left w:val="single" w:color="auto" w:sz="4" w:space="4"/>
          <w:bottom w:val="single" w:color="auto" w:sz="4" w:space="1"/>
          <w:right w:val="single" w:color="auto" w:sz="4" w:space="4"/>
        </w:pBdr>
        <w:spacing w:line="412" w:lineRule="exact"/>
        <w:ind w:firstLine="0" w:firstLineChars="0"/>
        <w:rPr>
          <w:rFonts w:hint="eastAsia" w:ascii="宋体" w:hAnsi="宋体"/>
          <w:szCs w:val="21"/>
        </w:rPr>
      </w:pPr>
      <w:r>
        <w:rPr>
          <w:rFonts w:hint="eastAsia" w:ascii="宋体" w:hAnsi="宋体"/>
          <w:szCs w:val="21"/>
        </w:rPr>
        <w:t>项目概况</w:t>
      </w:r>
    </w:p>
    <w:p>
      <w:pPr>
        <w:pBdr>
          <w:top w:val="single" w:color="auto" w:sz="4" w:space="0"/>
          <w:left w:val="single" w:color="auto" w:sz="4" w:space="4"/>
          <w:bottom w:val="single" w:color="auto" w:sz="4" w:space="1"/>
          <w:right w:val="single" w:color="auto" w:sz="4" w:space="4"/>
        </w:pBdr>
        <w:spacing w:line="412" w:lineRule="exact"/>
        <w:ind w:firstLine="420"/>
        <w:rPr>
          <w:rFonts w:hint="eastAsia" w:ascii="宋体" w:hAnsi="宋体"/>
          <w:szCs w:val="21"/>
        </w:rPr>
      </w:pPr>
      <w:bookmarkStart w:id="7" w:name="OLE_LINK23"/>
      <w:r>
        <w:rPr>
          <w:rFonts w:hint="eastAsia" w:ascii="宋体" w:hAnsi="宋体"/>
          <w:bCs/>
          <w:szCs w:val="21"/>
        </w:rPr>
        <w:t>2025年中等职业学校办学条件达标项目建设</w:t>
      </w:r>
      <w:bookmarkEnd w:id="7"/>
      <w:r>
        <w:rPr>
          <w:rFonts w:hint="eastAsia" w:ascii="宋体" w:hAnsi="宋体"/>
          <w:bCs/>
          <w:szCs w:val="21"/>
        </w:rPr>
        <w:t>招标</w:t>
      </w:r>
      <w:r>
        <w:rPr>
          <w:rFonts w:hint="eastAsia" w:ascii="宋体" w:hAnsi="宋体"/>
          <w:szCs w:val="21"/>
        </w:rPr>
        <w:t>项目的潜在投标人应在广西</w:t>
      </w:r>
      <w:r>
        <w:fldChar w:fldCharType="begin"/>
      </w:r>
      <w:r>
        <w:instrText xml:space="preserve"> HYPERLINK "https://www.zcygov.cn/" </w:instrText>
      </w:r>
      <w:r>
        <w:fldChar w:fldCharType="separate"/>
      </w:r>
      <w:r>
        <w:rPr>
          <w:rStyle w:val="58"/>
          <w:rFonts w:hint="eastAsia" w:ascii="宋体" w:hAnsi="宋体"/>
          <w:color w:val="auto"/>
          <w:szCs w:val="21"/>
          <w:u w:val="none"/>
        </w:rPr>
        <w:t>政府采购云平台</w:t>
      </w:r>
      <w:r>
        <w:rPr>
          <w:rStyle w:val="58"/>
          <w:rFonts w:hint="eastAsia" w:ascii="宋体" w:hAnsi="宋体"/>
          <w:color w:val="auto"/>
          <w:szCs w:val="21"/>
          <w:u w:val="none"/>
        </w:rPr>
        <w:fldChar w:fldCharType="end"/>
      </w:r>
      <w:r>
        <w:rPr>
          <w:rFonts w:hint="eastAsia" w:ascii="宋体" w:hAnsi="宋体"/>
          <w:szCs w:val="21"/>
        </w:rPr>
        <w:t>获取招标文件，并于2025年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w:t>
      </w:r>
      <w:r>
        <w:rPr>
          <w:rFonts w:hint="eastAsia"/>
        </w:rPr>
        <w:t>09</w:t>
      </w:r>
      <w:r>
        <w:t>:</w:t>
      </w:r>
      <w:r>
        <w:rPr>
          <w:rFonts w:hint="eastAsia"/>
        </w:rPr>
        <w:t>3</w:t>
      </w:r>
      <w:r>
        <w:t>0</w:t>
      </w:r>
      <w:r>
        <w:rPr>
          <w:rFonts w:hint="eastAsia" w:ascii="宋体" w:hAnsi="宋体"/>
          <w:szCs w:val="21"/>
        </w:rPr>
        <w:t>（北京时间）前提交投标文件。</w:t>
      </w:r>
    </w:p>
    <w:p>
      <w:pPr>
        <w:spacing w:line="412" w:lineRule="exact"/>
        <w:ind w:firstLine="0" w:firstLineChars="0"/>
        <w:rPr>
          <w:b/>
        </w:rPr>
      </w:pPr>
      <w:bookmarkStart w:id="8" w:name="_Toc35393621"/>
      <w:bookmarkStart w:id="9" w:name="_Toc28359079"/>
      <w:bookmarkStart w:id="10" w:name="_Toc28359002"/>
      <w:bookmarkStart w:id="11" w:name="_Toc35393790"/>
      <w:bookmarkStart w:id="12" w:name="_Hlk24379207"/>
      <w:bookmarkStart w:id="13" w:name="_Hlk92355554"/>
      <w:r>
        <w:rPr>
          <w:rFonts w:hint="eastAsia"/>
          <w:b/>
        </w:rPr>
        <w:t>一、项目基本情况</w:t>
      </w:r>
      <w:bookmarkEnd w:id="8"/>
      <w:bookmarkEnd w:id="9"/>
      <w:bookmarkEnd w:id="10"/>
      <w:bookmarkEnd w:id="11"/>
    </w:p>
    <w:p>
      <w:pPr>
        <w:spacing w:line="412" w:lineRule="exact"/>
        <w:ind w:firstLine="420"/>
      </w:pPr>
      <w:r>
        <w:rPr>
          <w:rFonts w:hint="eastAsia"/>
        </w:rPr>
        <w:t>项目编号：QZZC2025-G1-220187-QZSZ</w:t>
      </w:r>
    </w:p>
    <w:p>
      <w:pPr>
        <w:spacing w:line="412" w:lineRule="exact"/>
        <w:ind w:firstLine="420"/>
      </w:pPr>
      <w:r>
        <w:rPr>
          <w:rFonts w:hint="eastAsia"/>
        </w:rPr>
        <w:t>项目名称：</w:t>
      </w:r>
      <w:bookmarkStart w:id="14" w:name="OLE_LINK16"/>
      <w:r>
        <w:rPr>
          <w:rFonts w:hint="eastAsia"/>
        </w:rPr>
        <w:t>2025年中等职业学校办学条件达标项目建设</w:t>
      </w:r>
      <w:bookmarkEnd w:id="14"/>
    </w:p>
    <w:bookmarkEnd w:id="12"/>
    <w:p>
      <w:pPr>
        <w:spacing w:line="412" w:lineRule="exact"/>
        <w:ind w:firstLine="420"/>
      </w:pPr>
      <w:r>
        <w:rPr>
          <w:rFonts w:hint="eastAsia"/>
        </w:rPr>
        <w:t>预算总金额(元</w:t>
      </w:r>
      <w:r>
        <w:t>)</w:t>
      </w:r>
      <w:r>
        <w:rPr>
          <w:rFonts w:hint="eastAsia"/>
        </w:rPr>
        <w:t>：3,200,000.00</w:t>
      </w:r>
    </w:p>
    <w:p>
      <w:pPr>
        <w:spacing w:line="412" w:lineRule="exact"/>
        <w:ind w:firstLine="420"/>
      </w:pPr>
      <w:r>
        <w:rPr>
          <w:rFonts w:hint="eastAsia"/>
        </w:rPr>
        <w:t>采购需求：</w:t>
      </w:r>
    </w:p>
    <w:p>
      <w:pPr>
        <w:spacing w:line="412" w:lineRule="exact"/>
        <w:ind w:firstLine="420"/>
      </w:pPr>
    </w:p>
    <w:p>
      <w:pPr>
        <w:ind w:firstLine="420"/>
      </w:pPr>
      <w:bookmarkStart w:id="15" w:name="OLE_LINK9"/>
      <w:r>
        <w:rPr>
          <w:rFonts w:hint="eastAsia"/>
        </w:rPr>
        <w:t>标项一</w:t>
      </w:r>
    </w:p>
    <w:p>
      <w:pPr>
        <w:ind w:firstLine="420"/>
      </w:pPr>
      <w:r>
        <w:rPr>
          <w:rFonts w:hint="eastAsia"/>
        </w:rPr>
        <w:t>标项名称：</w:t>
      </w:r>
      <w:bookmarkStart w:id="16" w:name="OLE_LINK15"/>
      <w:r>
        <w:rPr>
          <w:rFonts w:hint="eastAsia"/>
        </w:rPr>
        <w:t>教室多媒体系统建设</w:t>
      </w:r>
      <w:bookmarkEnd w:id="16"/>
    </w:p>
    <w:p>
      <w:pPr>
        <w:ind w:firstLine="420"/>
      </w:pPr>
      <w:r>
        <w:rPr>
          <w:rFonts w:hint="eastAsia"/>
        </w:rPr>
        <w:t>数量：1项</w:t>
      </w:r>
    </w:p>
    <w:p>
      <w:pPr>
        <w:ind w:firstLine="420"/>
      </w:pPr>
      <w:r>
        <w:rPr>
          <w:rFonts w:hint="eastAsia"/>
        </w:rPr>
        <w:t>预算金额(元)：2,000,000.00</w:t>
      </w:r>
    </w:p>
    <w:p>
      <w:pPr>
        <w:ind w:firstLine="420"/>
      </w:pPr>
      <w:r>
        <w:rPr>
          <w:rFonts w:hint="eastAsia"/>
        </w:rPr>
        <w:t>简要规格描述或项目基本概况介绍、用途：教室多媒体系统建设，详见招标文件。</w:t>
      </w:r>
    </w:p>
    <w:p>
      <w:pPr>
        <w:ind w:firstLine="420"/>
      </w:pPr>
      <w:r>
        <w:rPr>
          <w:rFonts w:hint="eastAsia"/>
        </w:rPr>
        <w:t>最高限价(如有)：</w:t>
      </w:r>
    </w:p>
    <w:p>
      <w:pPr>
        <w:ind w:firstLine="420"/>
      </w:pPr>
      <w:r>
        <w:rPr>
          <w:rFonts w:hint="eastAsia"/>
        </w:rPr>
        <w:t>合同履行期限：合同签订之日起30个日历日内。</w:t>
      </w:r>
    </w:p>
    <w:p>
      <w:pPr>
        <w:ind w:firstLine="420"/>
      </w:pPr>
      <w:r>
        <w:rPr>
          <w:rFonts w:hint="eastAsia"/>
        </w:rPr>
        <w:t>本标项(否)接受联合体投标。</w:t>
      </w:r>
    </w:p>
    <w:p>
      <w:pPr>
        <w:ind w:firstLine="420"/>
      </w:pPr>
      <w:r>
        <w:rPr>
          <w:rFonts w:hint="eastAsia"/>
        </w:rPr>
        <w:t>备注：</w:t>
      </w:r>
    </w:p>
    <w:bookmarkEnd w:id="15"/>
    <w:p>
      <w:pPr>
        <w:ind w:firstLine="420"/>
      </w:pPr>
    </w:p>
    <w:p>
      <w:pPr>
        <w:ind w:firstLine="420"/>
      </w:pPr>
      <w:r>
        <w:rPr>
          <w:rFonts w:hint="eastAsia"/>
        </w:rPr>
        <w:t>标项二</w:t>
      </w:r>
    </w:p>
    <w:p>
      <w:pPr>
        <w:ind w:firstLine="420"/>
      </w:pPr>
      <w:r>
        <w:rPr>
          <w:rFonts w:hint="eastAsia"/>
        </w:rPr>
        <w:t>标项名称：</w:t>
      </w:r>
      <w:bookmarkStart w:id="17" w:name="OLE_LINK17"/>
      <w:r>
        <w:rPr>
          <w:rFonts w:hint="eastAsia"/>
        </w:rPr>
        <w:t>校园监控系统建设</w:t>
      </w:r>
      <w:bookmarkEnd w:id="17"/>
    </w:p>
    <w:p>
      <w:pPr>
        <w:ind w:firstLine="420"/>
      </w:pPr>
      <w:r>
        <w:rPr>
          <w:rFonts w:hint="eastAsia"/>
        </w:rPr>
        <w:t>数量：1项</w:t>
      </w:r>
    </w:p>
    <w:p>
      <w:pPr>
        <w:ind w:firstLine="420"/>
      </w:pPr>
      <w:r>
        <w:rPr>
          <w:rFonts w:hint="eastAsia"/>
        </w:rPr>
        <w:t>预算金额(元)：650,000.00</w:t>
      </w:r>
    </w:p>
    <w:p>
      <w:pPr>
        <w:ind w:firstLine="420"/>
      </w:pPr>
      <w:r>
        <w:rPr>
          <w:rFonts w:hint="eastAsia"/>
        </w:rPr>
        <w:t>简要规格描述或项目基本概况介绍、用途：1.400万全彩筒机96个；2.400万全彩半球52个；3.400万全彩警戒筒机11个；4.周界警戒相机1台等，详见招标文件。</w:t>
      </w:r>
    </w:p>
    <w:p>
      <w:pPr>
        <w:ind w:firstLine="420"/>
        <w:rPr>
          <w:color w:val="auto"/>
          <w:highlight w:val="none"/>
        </w:rPr>
      </w:pPr>
      <w:r>
        <w:rPr>
          <w:rFonts w:hint="eastAsia"/>
        </w:rPr>
        <w:t>最高</w:t>
      </w:r>
      <w:r>
        <w:rPr>
          <w:rFonts w:hint="eastAsia"/>
          <w:color w:val="auto"/>
          <w:highlight w:val="none"/>
        </w:rPr>
        <w:t>限价(如有)：</w:t>
      </w:r>
    </w:p>
    <w:p>
      <w:pPr>
        <w:ind w:firstLine="420"/>
        <w:rPr>
          <w:color w:val="auto"/>
          <w:highlight w:val="none"/>
        </w:rPr>
      </w:pPr>
      <w:r>
        <w:rPr>
          <w:rFonts w:hint="eastAsia"/>
          <w:color w:val="auto"/>
          <w:highlight w:val="none"/>
        </w:rPr>
        <w:t>合同履行期限：</w:t>
      </w:r>
      <w:r>
        <w:rPr>
          <w:rFonts w:hint="eastAsia" w:ascii="宋体" w:hAnsi="宋体"/>
          <w:color w:val="auto"/>
          <w:szCs w:val="21"/>
          <w:highlight w:val="none"/>
        </w:rPr>
        <w:t>自合同签订之日2个月内，完成全部货物的交付、安装、调试并达到初验条件。</w:t>
      </w:r>
      <w:r>
        <w:rPr>
          <w:color w:val="auto"/>
          <w:highlight w:val="none"/>
        </w:rPr>
        <w:t xml:space="preserve"> </w:t>
      </w:r>
    </w:p>
    <w:p>
      <w:pPr>
        <w:ind w:firstLine="420"/>
        <w:rPr>
          <w:color w:val="auto"/>
          <w:highlight w:val="none"/>
        </w:rPr>
      </w:pPr>
      <w:r>
        <w:rPr>
          <w:rFonts w:hint="eastAsia"/>
          <w:color w:val="auto"/>
          <w:highlight w:val="none"/>
        </w:rPr>
        <w:t>本标项(否)接受联合体投标。</w:t>
      </w:r>
    </w:p>
    <w:p>
      <w:pPr>
        <w:ind w:firstLine="420"/>
        <w:rPr>
          <w:color w:val="auto"/>
          <w:highlight w:val="none"/>
        </w:rPr>
      </w:pPr>
      <w:r>
        <w:rPr>
          <w:rFonts w:hint="eastAsia"/>
          <w:color w:val="auto"/>
          <w:highlight w:val="none"/>
        </w:rPr>
        <w:t>备注：</w:t>
      </w:r>
    </w:p>
    <w:p>
      <w:pPr>
        <w:ind w:firstLine="420"/>
        <w:rPr>
          <w:color w:val="auto"/>
          <w:highlight w:val="none"/>
        </w:rPr>
      </w:pPr>
    </w:p>
    <w:p>
      <w:pPr>
        <w:ind w:firstLine="420"/>
        <w:rPr>
          <w:color w:val="auto"/>
          <w:highlight w:val="none"/>
        </w:rPr>
      </w:pPr>
      <w:r>
        <w:rPr>
          <w:rFonts w:hint="eastAsia"/>
          <w:color w:val="auto"/>
          <w:highlight w:val="none"/>
        </w:rPr>
        <w:t>标项三</w:t>
      </w:r>
    </w:p>
    <w:p>
      <w:pPr>
        <w:ind w:firstLine="420"/>
        <w:rPr>
          <w:color w:val="auto"/>
          <w:highlight w:val="none"/>
        </w:rPr>
      </w:pPr>
      <w:r>
        <w:rPr>
          <w:rFonts w:hint="eastAsia"/>
          <w:color w:val="auto"/>
          <w:highlight w:val="none"/>
        </w:rPr>
        <w:t>标项名称：</w:t>
      </w:r>
      <w:bookmarkStart w:id="18" w:name="OLE_LINK18"/>
      <w:r>
        <w:rPr>
          <w:rFonts w:hint="eastAsia"/>
          <w:color w:val="auto"/>
          <w:highlight w:val="none"/>
        </w:rPr>
        <w:t>校园智慧办公系统建设</w:t>
      </w:r>
      <w:bookmarkEnd w:id="18"/>
    </w:p>
    <w:p>
      <w:pPr>
        <w:ind w:firstLine="420"/>
        <w:rPr>
          <w:color w:val="auto"/>
          <w:highlight w:val="none"/>
        </w:rPr>
      </w:pPr>
      <w:r>
        <w:rPr>
          <w:rFonts w:hint="eastAsia"/>
          <w:color w:val="auto"/>
          <w:highlight w:val="none"/>
        </w:rPr>
        <w:t>数量：1项</w:t>
      </w:r>
    </w:p>
    <w:p>
      <w:pPr>
        <w:ind w:firstLine="420"/>
        <w:rPr>
          <w:color w:val="auto"/>
          <w:highlight w:val="none"/>
        </w:rPr>
      </w:pPr>
      <w:r>
        <w:rPr>
          <w:rFonts w:hint="eastAsia"/>
          <w:color w:val="auto"/>
          <w:highlight w:val="none"/>
        </w:rPr>
        <w:t>预算金额(元)：450,000.00</w:t>
      </w:r>
    </w:p>
    <w:p>
      <w:pPr>
        <w:ind w:firstLine="420"/>
        <w:rPr>
          <w:color w:val="auto"/>
          <w:highlight w:val="none"/>
        </w:rPr>
      </w:pPr>
      <w:r>
        <w:rPr>
          <w:rFonts w:hint="eastAsia"/>
          <w:color w:val="auto"/>
          <w:highlight w:val="none"/>
        </w:rPr>
        <w:t>简要规格描述或项目基本概况介绍、用途：校园智慧办公系统建设，详见招标文件。</w:t>
      </w:r>
    </w:p>
    <w:p>
      <w:pPr>
        <w:ind w:firstLine="420"/>
        <w:rPr>
          <w:color w:val="auto"/>
          <w:highlight w:val="none"/>
        </w:rPr>
      </w:pPr>
      <w:r>
        <w:rPr>
          <w:rFonts w:hint="eastAsia"/>
          <w:color w:val="auto"/>
          <w:highlight w:val="none"/>
        </w:rPr>
        <w:t>最高限价(如有)：</w:t>
      </w:r>
    </w:p>
    <w:p>
      <w:pPr>
        <w:ind w:firstLine="420"/>
        <w:rPr>
          <w:color w:val="auto"/>
          <w:highlight w:val="none"/>
        </w:rPr>
      </w:pPr>
      <w:r>
        <w:rPr>
          <w:rFonts w:hint="eastAsia"/>
          <w:color w:val="auto"/>
          <w:highlight w:val="none"/>
        </w:rPr>
        <w:t>合同履行期限：</w:t>
      </w:r>
      <w:r>
        <w:rPr>
          <w:rFonts w:hint="eastAsia" w:ascii="宋体" w:hAnsi="宋体" w:cs="宋体"/>
          <w:color w:val="auto"/>
          <w:szCs w:val="21"/>
          <w:highlight w:val="none"/>
        </w:rPr>
        <w:t>自合同签订之日2个月内，完成全部货物的交付、安装、调试并达到初验条件。</w:t>
      </w:r>
    </w:p>
    <w:p>
      <w:pPr>
        <w:ind w:firstLine="420"/>
        <w:rPr>
          <w:color w:val="auto"/>
          <w:highlight w:val="none"/>
        </w:rPr>
      </w:pPr>
      <w:r>
        <w:rPr>
          <w:rFonts w:hint="eastAsia"/>
          <w:color w:val="auto"/>
          <w:highlight w:val="none"/>
        </w:rPr>
        <w:t>本标项(否)接受联合体投标。</w:t>
      </w:r>
    </w:p>
    <w:p>
      <w:pPr>
        <w:ind w:firstLine="420"/>
        <w:rPr>
          <w:color w:val="auto"/>
          <w:highlight w:val="none"/>
        </w:rPr>
      </w:pPr>
      <w:r>
        <w:rPr>
          <w:rFonts w:hint="eastAsia"/>
          <w:color w:val="auto"/>
          <w:highlight w:val="none"/>
        </w:rPr>
        <w:t>备注：</w:t>
      </w:r>
    </w:p>
    <w:p>
      <w:pPr>
        <w:pStyle w:val="20"/>
        <w:ind w:firstLine="480"/>
        <w:rPr>
          <w:color w:val="auto"/>
          <w:highlight w:val="none"/>
        </w:rPr>
      </w:pPr>
    </w:p>
    <w:p>
      <w:pPr>
        <w:ind w:firstLine="420"/>
        <w:rPr>
          <w:color w:val="auto"/>
          <w:highlight w:val="none"/>
        </w:rPr>
      </w:pPr>
      <w:r>
        <w:rPr>
          <w:rFonts w:hint="eastAsia"/>
          <w:color w:val="auto"/>
          <w:highlight w:val="none"/>
        </w:rPr>
        <w:t>标项四</w:t>
      </w:r>
    </w:p>
    <w:p>
      <w:pPr>
        <w:ind w:firstLine="420"/>
        <w:rPr>
          <w:color w:val="auto"/>
          <w:highlight w:val="none"/>
        </w:rPr>
      </w:pPr>
      <w:r>
        <w:rPr>
          <w:rFonts w:hint="eastAsia"/>
          <w:color w:val="auto"/>
          <w:highlight w:val="none"/>
        </w:rPr>
        <w:t>标项名称：音乐展厅建设</w:t>
      </w:r>
    </w:p>
    <w:p>
      <w:pPr>
        <w:ind w:firstLine="420"/>
        <w:rPr>
          <w:color w:val="auto"/>
          <w:highlight w:val="none"/>
        </w:rPr>
      </w:pPr>
      <w:r>
        <w:rPr>
          <w:rFonts w:hint="eastAsia"/>
          <w:color w:val="auto"/>
          <w:highlight w:val="none"/>
        </w:rPr>
        <w:t>数量：1项</w:t>
      </w:r>
    </w:p>
    <w:p>
      <w:pPr>
        <w:ind w:firstLine="420"/>
        <w:rPr>
          <w:color w:val="auto"/>
          <w:highlight w:val="none"/>
        </w:rPr>
      </w:pPr>
      <w:r>
        <w:rPr>
          <w:rFonts w:hint="eastAsia"/>
          <w:color w:val="auto"/>
          <w:highlight w:val="none"/>
        </w:rPr>
        <w:t>预算金额(元)：100,000.00</w:t>
      </w:r>
    </w:p>
    <w:p>
      <w:pPr>
        <w:ind w:firstLine="420"/>
        <w:rPr>
          <w:color w:val="auto"/>
          <w:highlight w:val="none"/>
        </w:rPr>
      </w:pPr>
      <w:r>
        <w:rPr>
          <w:rFonts w:hint="eastAsia"/>
          <w:color w:val="auto"/>
          <w:highlight w:val="none"/>
        </w:rPr>
        <w:t>简要规格描述或项目基本概况介绍、用途：教室多媒体系统建设，详见招标文件。</w:t>
      </w:r>
    </w:p>
    <w:p>
      <w:pPr>
        <w:ind w:firstLine="420"/>
        <w:rPr>
          <w:color w:val="auto"/>
          <w:highlight w:val="none"/>
        </w:rPr>
      </w:pPr>
      <w:r>
        <w:rPr>
          <w:rFonts w:hint="eastAsia"/>
          <w:color w:val="auto"/>
          <w:highlight w:val="none"/>
        </w:rPr>
        <w:t>最高限价(如有)：</w:t>
      </w:r>
    </w:p>
    <w:p>
      <w:pPr>
        <w:ind w:firstLine="420"/>
        <w:rPr>
          <w:color w:val="auto"/>
          <w:highlight w:val="none"/>
        </w:rPr>
      </w:pPr>
      <w:r>
        <w:rPr>
          <w:rFonts w:hint="eastAsia"/>
          <w:color w:val="auto"/>
          <w:highlight w:val="none"/>
        </w:rPr>
        <w:t>合同履行期限：自合同签订之日2个月内，完成全部货物的交付、安装、调试并达初验水平。</w:t>
      </w:r>
    </w:p>
    <w:p>
      <w:pPr>
        <w:ind w:firstLine="420"/>
        <w:rPr>
          <w:color w:val="auto"/>
          <w:highlight w:val="none"/>
        </w:rPr>
      </w:pPr>
      <w:r>
        <w:rPr>
          <w:rFonts w:hint="eastAsia"/>
          <w:color w:val="auto"/>
          <w:highlight w:val="none"/>
        </w:rPr>
        <w:t>本标项(否)接受联合体投标。</w:t>
      </w:r>
    </w:p>
    <w:p>
      <w:pPr>
        <w:ind w:firstLine="420"/>
      </w:pPr>
      <w:r>
        <w:rPr>
          <w:rFonts w:hint="eastAsia"/>
        </w:rPr>
        <w:t>备注：</w:t>
      </w:r>
    </w:p>
    <w:p>
      <w:pPr>
        <w:pStyle w:val="21"/>
        <w:ind w:firstLine="480"/>
      </w:pPr>
    </w:p>
    <w:p>
      <w:pPr>
        <w:spacing w:line="412" w:lineRule="exact"/>
        <w:ind w:firstLine="0" w:firstLineChars="0"/>
        <w:rPr>
          <w:b/>
        </w:rPr>
      </w:pPr>
      <w:bookmarkStart w:id="19" w:name="_Toc35393791"/>
      <w:bookmarkStart w:id="20" w:name="_Toc28359080"/>
      <w:bookmarkStart w:id="21" w:name="_Toc35393622"/>
      <w:bookmarkStart w:id="22" w:name="_Toc28359003"/>
      <w:r>
        <w:rPr>
          <w:rFonts w:hint="eastAsia"/>
          <w:b/>
        </w:rPr>
        <w:t>二、申请人的资格要求：</w:t>
      </w:r>
      <w:bookmarkEnd w:id="19"/>
      <w:bookmarkEnd w:id="20"/>
      <w:bookmarkEnd w:id="21"/>
      <w:bookmarkEnd w:id="22"/>
      <w:bookmarkStart w:id="23" w:name="_Toc35393792"/>
      <w:bookmarkStart w:id="24" w:name="_Toc28359004"/>
      <w:bookmarkStart w:id="25" w:name="_Toc28359081"/>
      <w:bookmarkStart w:id="26" w:name="_Toc35393623"/>
    </w:p>
    <w:p>
      <w:pPr>
        <w:spacing w:line="412" w:lineRule="exact"/>
        <w:ind w:firstLine="420"/>
        <w:rPr>
          <w:b/>
        </w:rPr>
      </w:pPr>
      <w:r>
        <w:rPr>
          <w:rFonts w:hint="eastAsia"/>
        </w:rPr>
        <w:t>1.满足《中华人民共和国政府采购法》第二十二条规定；</w:t>
      </w:r>
    </w:p>
    <w:p>
      <w:pPr>
        <w:spacing w:line="412" w:lineRule="exact"/>
        <w:ind w:firstLine="420"/>
      </w:pPr>
      <w:r>
        <w:rPr>
          <w:rFonts w:hint="eastAsia"/>
        </w:rPr>
        <w:t>2.落实政府采购政策需满足的资格要求：无</w:t>
      </w:r>
    </w:p>
    <w:p>
      <w:pPr>
        <w:spacing w:line="412" w:lineRule="exact"/>
        <w:ind w:firstLine="420"/>
      </w:pPr>
      <w:r>
        <w:rPr>
          <w:rFonts w:hint="eastAsia"/>
        </w:rPr>
        <w:t>3.本项目的特定资格要求：无</w:t>
      </w:r>
    </w:p>
    <w:p>
      <w:pPr>
        <w:spacing w:line="412" w:lineRule="exact"/>
        <w:ind w:firstLine="0" w:firstLineChars="0"/>
        <w:rPr>
          <w:b/>
        </w:rPr>
      </w:pPr>
      <w:r>
        <w:rPr>
          <w:rFonts w:hint="eastAsia"/>
          <w:b/>
        </w:rPr>
        <w:t>三、获取招标文件</w:t>
      </w:r>
      <w:bookmarkEnd w:id="23"/>
      <w:bookmarkEnd w:id="24"/>
      <w:bookmarkEnd w:id="25"/>
      <w:bookmarkEnd w:id="26"/>
    </w:p>
    <w:p>
      <w:pPr>
        <w:spacing w:line="412" w:lineRule="exact"/>
        <w:ind w:firstLine="420"/>
        <w:jc w:val="left"/>
      </w:pPr>
      <w:bookmarkStart w:id="27" w:name="_Toc38370141"/>
      <w:r>
        <w:rPr>
          <w:rFonts w:hint="eastAsia"/>
        </w:rPr>
        <w:t>时间：2025年</w:t>
      </w:r>
      <w:r>
        <w:rPr>
          <w:rFonts w:hint="eastAsia"/>
          <w:lang w:eastAsia="zh-CN"/>
        </w:rPr>
        <w:t>9月</w:t>
      </w:r>
      <w:r>
        <w:rPr>
          <w:rFonts w:hint="eastAsia"/>
          <w:lang w:val="en-US" w:eastAsia="zh-CN"/>
        </w:rPr>
        <w:t>26</w:t>
      </w:r>
      <w:r>
        <w:rPr>
          <w:rFonts w:hint="eastAsia"/>
        </w:rPr>
        <w:t>日至2025年</w:t>
      </w:r>
      <w:r>
        <w:rPr>
          <w:rFonts w:hint="eastAsia"/>
          <w:lang w:val="en-US" w:eastAsia="zh-CN"/>
        </w:rPr>
        <w:t>10</w:t>
      </w:r>
      <w:r>
        <w:rPr>
          <w:rFonts w:hint="eastAsia"/>
          <w:lang w:eastAsia="zh-CN"/>
        </w:rPr>
        <w:t>月</w:t>
      </w:r>
      <w:r>
        <w:rPr>
          <w:rFonts w:hint="eastAsia"/>
          <w:lang w:val="en-US" w:eastAsia="zh-CN"/>
        </w:rPr>
        <w:t>10</w:t>
      </w:r>
      <w:r>
        <w:rPr>
          <w:rFonts w:hint="eastAsia"/>
        </w:rPr>
        <w:t>日 ，每天上午00:00至12:00，下午12:00至23:59（北京时间，法定节假日除外）</w:t>
      </w:r>
    </w:p>
    <w:p>
      <w:pPr>
        <w:spacing w:line="412" w:lineRule="exact"/>
        <w:ind w:firstLine="420"/>
      </w:pPr>
      <w:r>
        <w:rPr>
          <w:rFonts w:hint="eastAsia"/>
        </w:rPr>
        <w:t>地点(网址</w:t>
      </w:r>
      <w:r>
        <w:t>)</w:t>
      </w:r>
      <w:r>
        <w:rPr>
          <w:rFonts w:hint="eastAsia"/>
        </w:rPr>
        <w:t>：</w:t>
      </w:r>
      <w:bookmarkStart w:id="28" w:name="_Hlk160013661"/>
      <w:bookmarkStart w:id="29" w:name="OLE_LINK2"/>
      <w:r>
        <w:rPr>
          <w:rFonts w:hint="eastAsia"/>
        </w:rPr>
        <w:t>广西政府采购云平台</w:t>
      </w:r>
      <w:bookmarkEnd w:id="28"/>
      <w:r>
        <w:rPr>
          <w:rFonts w:hint="eastAsia"/>
        </w:rPr>
        <w:t>（</w:t>
      </w:r>
      <w:r>
        <w:t>https://www.gcy.zfcg.gxzf.gov.cn/</w:t>
      </w:r>
      <w:r>
        <w:rPr>
          <w:rFonts w:hint="eastAsia"/>
        </w:rPr>
        <w:t>）</w:t>
      </w:r>
      <w:bookmarkEnd w:id="29"/>
    </w:p>
    <w:p>
      <w:pPr>
        <w:spacing w:line="412" w:lineRule="exact"/>
        <w:ind w:firstLine="420"/>
      </w:pPr>
      <w:r>
        <w:rPr>
          <w:rFonts w:hint="eastAsia"/>
        </w:rPr>
        <w:t>方式：</w:t>
      </w:r>
      <w:bookmarkStart w:id="30" w:name="OLE_LINK3"/>
      <w:r>
        <w:rPr>
          <w:rFonts w:hint="eastAsia"/>
        </w:rPr>
        <w:t>供应商登录广西政府采购云平台(以下称“政采云平台”</w:t>
      </w:r>
      <w:r>
        <w:t>)</w:t>
      </w:r>
      <w:r>
        <w:rPr>
          <w:rFonts w:hint="eastAsia"/>
        </w:rPr>
        <w:t>在线获取招标文件（进入“项目采购”应用选择项目，获取招标文件）</w:t>
      </w:r>
      <w:bookmarkEnd w:id="30"/>
    </w:p>
    <w:p>
      <w:pPr>
        <w:spacing w:line="412" w:lineRule="exact"/>
        <w:ind w:firstLine="420"/>
      </w:pPr>
      <w:r>
        <w:rPr>
          <w:rFonts w:hint="eastAsia"/>
        </w:rPr>
        <w:t>售价(元</w:t>
      </w:r>
      <w:r>
        <w:t>)</w:t>
      </w:r>
      <w:r>
        <w:rPr>
          <w:rFonts w:hint="eastAsia"/>
        </w:rPr>
        <w:t xml:space="preserve">：0 </w:t>
      </w:r>
    </w:p>
    <w:p>
      <w:pPr>
        <w:spacing w:line="412" w:lineRule="exact"/>
        <w:ind w:firstLine="0" w:firstLineChars="0"/>
        <w:rPr>
          <w:b/>
        </w:rPr>
      </w:pPr>
      <w:r>
        <w:rPr>
          <w:rFonts w:hint="eastAsia"/>
          <w:b/>
          <w:bCs/>
        </w:rPr>
        <w:t>四、</w:t>
      </w:r>
      <w:bookmarkEnd w:id="27"/>
      <w:bookmarkStart w:id="31" w:name="_Toc28359082"/>
      <w:bookmarkStart w:id="32" w:name="_Toc28359005"/>
      <w:bookmarkStart w:id="33" w:name="_Toc35393624"/>
      <w:bookmarkStart w:id="34" w:name="_Toc35393793"/>
      <w:r>
        <w:rPr>
          <w:rFonts w:hint="eastAsia"/>
          <w:b/>
        </w:rPr>
        <w:t>投标文件</w:t>
      </w:r>
      <w:bookmarkEnd w:id="31"/>
      <w:bookmarkEnd w:id="32"/>
      <w:r>
        <w:rPr>
          <w:rFonts w:hint="eastAsia"/>
          <w:b/>
        </w:rPr>
        <w:t>提交截止时间、开标时间和</w:t>
      </w:r>
      <w:bookmarkEnd w:id="33"/>
      <w:bookmarkEnd w:id="34"/>
      <w:r>
        <w:rPr>
          <w:rFonts w:hint="eastAsia"/>
          <w:b/>
        </w:rPr>
        <w:t>地点</w:t>
      </w:r>
    </w:p>
    <w:p>
      <w:pPr>
        <w:spacing w:line="412" w:lineRule="exact"/>
        <w:ind w:firstLine="420"/>
      </w:pPr>
      <w:r>
        <w:rPr>
          <w:rFonts w:hint="eastAsia"/>
        </w:rPr>
        <w:t>提交投标文件截止时间：2025年</w:t>
      </w:r>
      <w:r>
        <w:rPr>
          <w:rFonts w:hint="eastAsia"/>
          <w:lang w:val="en-US" w:eastAsia="zh-CN"/>
        </w:rPr>
        <w:t>10</w:t>
      </w:r>
      <w:r>
        <w:rPr>
          <w:rFonts w:hint="eastAsia"/>
        </w:rPr>
        <w:t>月</w:t>
      </w:r>
      <w:r>
        <w:rPr>
          <w:rFonts w:hint="eastAsia"/>
          <w:lang w:val="en-US" w:eastAsia="zh-CN"/>
        </w:rPr>
        <w:t>2</w:t>
      </w:r>
      <w:r>
        <w:rPr>
          <w:rFonts w:hint="eastAsia"/>
        </w:rPr>
        <w:t>1日09</w:t>
      </w:r>
      <w:r>
        <w:t>:</w:t>
      </w:r>
      <w:r>
        <w:rPr>
          <w:rFonts w:hint="eastAsia"/>
        </w:rPr>
        <w:t>3</w:t>
      </w:r>
      <w:r>
        <w:t>0</w:t>
      </w:r>
      <w:r>
        <w:rPr>
          <w:rFonts w:hint="eastAsia"/>
        </w:rPr>
        <w:t>（北京时间）</w:t>
      </w:r>
    </w:p>
    <w:p>
      <w:pPr>
        <w:spacing w:line="412" w:lineRule="exact"/>
        <w:ind w:firstLine="420"/>
        <w:rPr>
          <w:rFonts w:hint="eastAsia" w:ascii="宋体" w:hAnsi="宋体" w:cs="Courier New"/>
          <w:szCs w:val="21"/>
        </w:rPr>
      </w:pPr>
      <w:r>
        <w:rPr>
          <w:rFonts w:hint="eastAsia"/>
        </w:rPr>
        <w:t>投标地点(网址）：</w:t>
      </w:r>
      <w:bookmarkStart w:id="35" w:name="OLE_LINK4"/>
      <w:r>
        <w:rPr>
          <w:rFonts w:hint="eastAsia" w:ascii="宋体" w:hAnsi="宋体" w:cs="Courier New"/>
          <w:szCs w:val="21"/>
        </w:rPr>
        <w:t>请登录广西政府采购云平台投标客户端投标</w:t>
      </w:r>
      <w:bookmarkEnd w:id="35"/>
    </w:p>
    <w:p>
      <w:pPr>
        <w:spacing w:line="412" w:lineRule="exact"/>
        <w:ind w:firstLine="420"/>
        <w:rPr>
          <w:rFonts w:hint="eastAsia" w:ascii="宋体" w:hAnsi="宋体" w:cs="Courier New"/>
          <w:szCs w:val="21"/>
        </w:rPr>
      </w:pPr>
      <w:r>
        <w:rPr>
          <w:rFonts w:hint="eastAsia" w:ascii="宋体" w:hAnsi="宋体" w:cs="Courier New"/>
          <w:szCs w:val="21"/>
        </w:rPr>
        <w:t>开标时间：2025年</w:t>
      </w:r>
      <w:r>
        <w:rPr>
          <w:rFonts w:hint="eastAsia"/>
          <w:lang w:val="en-US" w:eastAsia="zh-CN"/>
        </w:rPr>
        <w:t>10</w:t>
      </w:r>
      <w:r>
        <w:rPr>
          <w:rFonts w:hint="eastAsia"/>
        </w:rPr>
        <w:t>月</w:t>
      </w:r>
      <w:r>
        <w:rPr>
          <w:rFonts w:hint="eastAsia"/>
          <w:lang w:val="en-US" w:eastAsia="zh-CN"/>
        </w:rPr>
        <w:t>2</w:t>
      </w:r>
      <w:r>
        <w:rPr>
          <w:rFonts w:hint="eastAsia"/>
        </w:rPr>
        <w:t>1日</w:t>
      </w:r>
      <w:r>
        <w:rPr>
          <w:rFonts w:hint="eastAsia" w:ascii="宋体" w:hAnsi="宋体" w:cs="Courier New"/>
          <w:szCs w:val="21"/>
        </w:rPr>
        <w:t>0</w:t>
      </w:r>
      <w:r>
        <w:rPr>
          <w:rFonts w:hint="eastAsia"/>
        </w:rPr>
        <w:t>9</w:t>
      </w:r>
      <w:r>
        <w:t>:</w:t>
      </w:r>
      <w:r>
        <w:rPr>
          <w:rFonts w:hint="eastAsia"/>
        </w:rPr>
        <w:t>3</w:t>
      </w:r>
      <w:r>
        <w:t>0</w:t>
      </w:r>
      <w:r>
        <w:rPr>
          <w:rFonts w:hint="eastAsia" w:ascii="宋体" w:hAnsi="宋体" w:cs="Courier New"/>
          <w:szCs w:val="21"/>
        </w:rPr>
        <w:t>（北京时间）</w:t>
      </w:r>
    </w:p>
    <w:p>
      <w:pPr>
        <w:spacing w:line="412" w:lineRule="exact"/>
        <w:ind w:firstLine="420"/>
        <w:rPr>
          <w:rFonts w:hint="eastAsia" w:ascii="宋体" w:hAnsi="宋体" w:cs="Courier New"/>
          <w:szCs w:val="21"/>
        </w:rPr>
      </w:pPr>
      <w:r>
        <w:rPr>
          <w:rFonts w:hint="eastAsia" w:ascii="宋体" w:hAnsi="宋体" w:cs="Courier New"/>
          <w:szCs w:val="21"/>
        </w:rPr>
        <w:t>开标地点：</w:t>
      </w:r>
      <w:bookmarkStart w:id="36" w:name="_Toc28359007"/>
      <w:bookmarkStart w:id="37" w:name="_Toc35393625"/>
      <w:bookmarkStart w:id="38" w:name="_Toc35393794"/>
      <w:bookmarkStart w:id="39" w:name="_Toc28359084"/>
      <w:r>
        <w:rPr>
          <w:rFonts w:hint="eastAsia" w:ascii="宋体" w:hAnsi="宋体" w:cs="Courier New"/>
          <w:szCs w:val="21"/>
        </w:rPr>
        <w:t>广西钦州市金海湾东大街8号市政务服务中心三楼开标室</w:t>
      </w:r>
    </w:p>
    <w:p>
      <w:pPr>
        <w:spacing w:line="412" w:lineRule="exact"/>
        <w:ind w:firstLine="0" w:firstLineChars="0"/>
        <w:rPr>
          <w:b/>
        </w:rPr>
      </w:pPr>
      <w:r>
        <w:rPr>
          <w:rFonts w:hint="eastAsia"/>
          <w:b/>
        </w:rPr>
        <w:t>五、公告期限</w:t>
      </w:r>
      <w:bookmarkEnd w:id="36"/>
      <w:bookmarkEnd w:id="37"/>
      <w:bookmarkEnd w:id="38"/>
      <w:bookmarkEnd w:id="39"/>
    </w:p>
    <w:p>
      <w:pPr>
        <w:spacing w:line="412" w:lineRule="exact"/>
        <w:ind w:firstLine="420"/>
      </w:pPr>
      <w:r>
        <w:rPr>
          <w:rFonts w:hint="eastAsia"/>
        </w:rPr>
        <w:t>自本公告发布之日起5个工作日。</w:t>
      </w:r>
    </w:p>
    <w:p>
      <w:pPr>
        <w:spacing w:line="412" w:lineRule="exact"/>
        <w:ind w:firstLine="0" w:firstLineChars="0"/>
        <w:rPr>
          <w:b/>
        </w:rPr>
      </w:pPr>
      <w:bookmarkStart w:id="40" w:name="_Toc28359085"/>
      <w:bookmarkStart w:id="41" w:name="_Toc28359008"/>
      <w:bookmarkStart w:id="42" w:name="_Toc35393796"/>
      <w:bookmarkStart w:id="43" w:name="_Toc35393627"/>
      <w:r>
        <w:rPr>
          <w:rFonts w:hint="eastAsia"/>
          <w:b/>
        </w:rPr>
        <w:t>六、其他补充事宜</w:t>
      </w:r>
    </w:p>
    <w:p>
      <w:pPr>
        <w:spacing w:line="412" w:lineRule="exact"/>
        <w:ind w:firstLine="420"/>
      </w:pPr>
      <w:r>
        <w:rPr>
          <w:rFonts w:hint="eastAsia" w:ascii="宋体" w:hAnsi="宋体"/>
        </w:rPr>
        <w:t>1.</w:t>
      </w:r>
      <w:r>
        <w:rPr>
          <w:rFonts w:hint="eastAsia"/>
          <w:bCs/>
        </w:rPr>
        <w:t>本项目需落实的政府采购政策</w:t>
      </w:r>
      <w:r>
        <w:rPr>
          <w:rFonts w:hint="eastAsia"/>
          <w:b/>
        </w:rPr>
        <w:t>：</w:t>
      </w:r>
    </w:p>
    <w:p>
      <w:pPr>
        <w:spacing w:line="412" w:lineRule="exact"/>
        <w:ind w:firstLine="420"/>
      </w:pPr>
      <w:r>
        <w:rPr>
          <w:rFonts w:hint="eastAsia"/>
        </w:rPr>
        <w:t>(1)财政部 工业和信息化部关于印发《政府采购促进中小企业发展管理办法》的通知(财库﹝2020﹞46号)</w:t>
      </w:r>
    </w:p>
    <w:p>
      <w:pPr>
        <w:spacing w:line="412" w:lineRule="exact"/>
        <w:ind w:firstLine="420"/>
      </w:pPr>
      <w:r>
        <w:rPr>
          <w:rFonts w:hint="eastAsia"/>
        </w:rPr>
        <w:t>(2)财政部 司法部关于政府采购支持监狱企业发展有关问题的通知 (财库﹝2014﹞68号)</w:t>
      </w:r>
    </w:p>
    <w:p>
      <w:pPr>
        <w:spacing w:line="412" w:lineRule="exact"/>
        <w:ind w:firstLine="420"/>
      </w:pPr>
      <w:r>
        <w:rPr>
          <w:rFonts w:hint="eastAsia"/>
        </w:rPr>
        <w:t>(3)财政部 民政部 中国残疾人联合会关于促进残疾人就业政府采购政策的通知 (财库</w:t>
      </w:r>
      <w:bookmarkStart w:id="44" w:name="_Hlk150507772"/>
      <w:r>
        <w:rPr>
          <w:rFonts w:hint="eastAsia"/>
        </w:rPr>
        <w:t>﹝2017﹞</w:t>
      </w:r>
      <w:bookmarkEnd w:id="44"/>
      <w:r>
        <w:rPr>
          <w:rFonts w:hint="eastAsia"/>
        </w:rPr>
        <w:t>141号)</w:t>
      </w:r>
    </w:p>
    <w:p>
      <w:pPr>
        <w:spacing w:line="412" w:lineRule="exact"/>
        <w:ind w:firstLine="420"/>
      </w:pPr>
      <w:r>
        <w:rPr>
          <w:rFonts w:hint="eastAsia"/>
        </w:rPr>
        <w:t>(4)财政部 发展改革委 生态环境部 市场监管总局关于调整优化节能产品、环境标志产品政府采购执行机制的通知（财库〔2019〕9号）</w:t>
      </w:r>
    </w:p>
    <w:p>
      <w:pPr>
        <w:spacing w:line="412" w:lineRule="exact"/>
        <w:ind w:firstLine="420"/>
        <w:rPr>
          <w:rFonts w:hint="eastAsia"/>
        </w:rPr>
      </w:pPr>
      <w:r>
        <w:rPr>
          <w:rFonts w:hint="eastAsia"/>
        </w:rPr>
        <w:t>(5) 财政部 发展改革委 关于印发节能产品政府采购品目清单的通知（财库〔2019〕19号）</w:t>
      </w:r>
    </w:p>
    <w:p>
      <w:pPr>
        <w:pStyle w:val="2"/>
        <w:ind w:left="0" w:leftChars="0"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w:t>
      </w:r>
      <w:r>
        <w:rPr>
          <w:rFonts w:hint="eastAsia" w:cs="Times New Roman"/>
          <w:kern w:val="2"/>
          <w:sz w:val="21"/>
          <w:szCs w:val="24"/>
          <w:lang w:val="en-US" w:eastAsia="zh-CN" w:bidi="ar-SA"/>
        </w:rPr>
        <w:t xml:space="preserve">国家市场监督管理总局 </w:t>
      </w:r>
      <w:r>
        <w:rPr>
          <w:rFonts w:hint="eastAsia" w:ascii="Times New Roman" w:hAnsi="Times New Roman" w:eastAsia="宋体" w:cs="Times New Roman"/>
          <w:kern w:val="2"/>
          <w:sz w:val="21"/>
          <w:szCs w:val="24"/>
          <w:lang w:val="en-US" w:eastAsia="zh-CN" w:bidi="ar-SA"/>
        </w:rPr>
        <w:t>《强制性产品认证管理规定》</w:t>
      </w:r>
    </w:p>
    <w:p>
      <w:pPr>
        <w:spacing w:line="412" w:lineRule="exact"/>
        <w:ind w:firstLine="420"/>
      </w:pPr>
      <w:bookmarkStart w:id="45" w:name="_Hlk91598380"/>
      <w:r>
        <w:t>2.</w:t>
      </w:r>
      <w:r>
        <w:rPr>
          <w:rFonts w:hint="eastAsia"/>
        </w:rPr>
        <w:t>投标保证金：</w:t>
      </w:r>
      <w:r>
        <w:rPr>
          <w:rStyle w:val="58"/>
          <w:rFonts w:hint="eastAsia" w:ascii="宋体" w:hAnsi="宋体" w:cs="宋体"/>
          <w:color w:val="auto"/>
          <w:kern w:val="0"/>
          <w:szCs w:val="21"/>
          <w:u w:val="none"/>
        </w:rPr>
        <w:t>标项一：贰万元整(￥20,000.00)、标项二：陆仟伍佰元整(￥</w:t>
      </w:r>
      <w:bookmarkStart w:id="46" w:name="OLE_LINK25"/>
      <w:r>
        <w:rPr>
          <w:rStyle w:val="58"/>
          <w:rFonts w:hint="eastAsia" w:ascii="宋体" w:hAnsi="宋体" w:cs="宋体"/>
          <w:color w:val="auto"/>
          <w:kern w:val="0"/>
          <w:szCs w:val="21"/>
          <w:u w:val="none"/>
        </w:rPr>
        <w:t>6500.00</w:t>
      </w:r>
      <w:bookmarkEnd w:id="46"/>
      <w:r>
        <w:rPr>
          <w:rStyle w:val="58"/>
          <w:rFonts w:hint="eastAsia" w:ascii="宋体" w:hAnsi="宋体" w:cs="宋体"/>
          <w:color w:val="auto"/>
          <w:kern w:val="0"/>
          <w:szCs w:val="21"/>
          <w:u w:val="none"/>
        </w:rPr>
        <w:t>)</w:t>
      </w:r>
      <w:bookmarkStart w:id="47" w:name="_Hlk179792847"/>
      <w:r>
        <w:rPr>
          <w:rStyle w:val="58"/>
          <w:rFonts w:hint="eastAsia" w:ascii="宋体" w:hAnsi="宋体" w:cs="宋体"/>
          <w:color w:val="auto"/>
          <w:kern w:val="0"/>
          <w:szCs w:val="21"/>
          <w:u w:val="none"/>
        </w:rPr>
        <w:t>、</w:t>
      </w:r>
      <w:r>
        <w:rPr>
          <w:rFonts w:hint="eastAsia"/>
          <w:color w:val="000000"/>
        </w:rPr>
        <w:t>标项三：肆仟伍佰元整(￥4500.00)</w:t>
      </w:r>
      <w:bookmarkEnd w:id="47"/>
      <w:r>
        <w:rPr>
          <w:rFonts w:hint="eastAsia"/>
          <w:color w:val="000000"/>
        </w:rPr>
        <w:t>、标项四：壹仟元整(￥1000.00)</w:t>
      </w:r>
    </w:p>
    <w:p>
      <w:pPr>
        <w:ind w:firstLine="420"/>
      </w:pPr>
      <w:r>
        <w:rPr>
          <w:rFonts w:hint="eastAsia"/>
        </w:rPr>
        <w:t>提交形式</w:t>
      </w:r>
      <w:r>
        <w:t>:</w:t>
      </w:r>
      <w:r>
        <w:rPr>
          <w:rFonts w:hint="eastAsia"/>
        </w:rPr>
        <w:t>以支票、汇票、本票、网上银行支付或者金融机构、担保机构出具的保函等非现金形式提交。</w:t>
      </w:r>
    </w:p>
    <w:p>
      <w:pPr>
        <w:ind w:firstLine="420"/>
        <w:rPr>
          <w:b/>
        </w:rPr>
      </w:pPr>
      <w:bookmarkStart w:id="48" w:name="_Hlk91771226"/>
      <w:r>
        <w:rPr>
          <w:rFonts w:hint="eastAsia"/>
        </w:rPr>
        <w:t>以支票、汇票、本票、保函等形式提交保证金的，投标人必须将票据、保函等原件于投标文件提交截止时间前递交至本中心财务室（</w:t>
      </w:r>
      <w:r>
        <w:rPr>
          <w:rFonts w:hint="eastAsia" w:ascii="宋体" w:hAnsi="宋体" w:cs="宋体"/>
          <w:bCs/>
          <w:kern w:val="0"/>
          <w:szCs w:val="21"/>
        </w:rPr>
        <w:t>地址:广西钦州市钦南区水东街区金海湾东大街8号市政务服务中心二楼市采购中心财务室，</w:t>
      </w:r>
      <w:r>
        <w:rPr>
          <w:rFonts w:hint="eastAsia"/>
        </w:rPr>
        <w:t>联系方式</w:t>
      </w:r>
      <w:r>
        <w:t>:0777-2886026</w:t>
      </w:r>
      <w:r>
        <w:rPr>
          <w:rFonts w:hint="eastAsia"/>
        </w:rPr>
        <w:t>）。</w:t>
      </w:r>
    </w:p>
    <w:bookmarkEnd w:id="48"/>
    <w:p>
      <w:pPr>
        <w:ind w:firstLine="420"/>
      </w:pPr>
      <w:r>
        <w:rPr>
          <w:rFonts w:hint="eastAsia"/>
        </w:rPr>
        <w:t>网上银行支付形式提交的，投标人必须于投标文件递交截止时间前从投标人账户缴存至本中心银行账户（以到账时间为准）。</w:t>
      </w:r>
    </w:p>
    <w:p>
      <w:pPr>
        <w:ind w:firstLine="420"/>
      </w:pPr>
      <w:r>
        <w:rPr>
          <w:rFonts w:hint="eastAsia"/>
        </w:rPr>
        <w:t>本中心银行账户：</w:t>
      </w:r>
    </w:p>
    <w:p>
      <w:pPr>
        <w:ind w:firstLine="420"/>
      </w:pPr>
      <w:r>
        <w:rPr>
          <w:rFonts w:hint="eastAsia"/>
        </w:rPr>
        <w:t>开户名称</w:t>
      </w:r>
      <w:r>
        <w:t>:</w:t>
      </w:r>
      <w:r>
        <w:rPr>
          <w:rFonts w:hint="eastAsia"/>
        </w:rPr>
        <w:t>钦州市政府采购中心</w:t>
      </w:r>
    </w:p>
    <w:p>
      <w:pPr>
        <w:ind w:firstLine="420"/>
      </w:pPr>
      <w:r>
        <w:rPr>
          <w:rFonts w:hint="eastAsia"/>
        </w:rPr>
        <w:t>开户银行</w:t>
      </w:r>
      <w:r>
        <w:t>:</w:t>
      </w:r>
      <w:r>
        <w:rPr>
          <w:rFonts w:hint="eastAsia"/>
        </w:rPr>
        <w:t>中国工商银行股份有限公司钦州市永福东支行</w:t>
      </w:r>
    </w:p>
    <w:p>
      <w:pPr>
        <w:ind w:firstLine="420"/>
      </w:pPr>
      <w:r>
        <w:rPr>
          <w:rFonts w:hint="eastAsia"/>
        </w:rPr>
        <w:t>银行账号</w:t>
      </w:r>
      <w:r>
        <w:t>:2115591229100078724</w:t>
      </w:r>
    </w:p>
    <w:p>
      <w:pPr>
        <w:ind w:firstLine="420"/>
      </w:pPr>
      <w:r>
        <w:rPr>
          <w:rFonts w:hint="eastAsia"/>
        </w:rPr>
        <w:t>注：投标人无法选择以上开户银行的，请选择“中国工商银行股份有限公司钦州分行”进行缴存。</w:t>
      </w:r>
    </w:p>
    <w:p>
      <w:pPr>
        <w:spacing w:line="412" w:lineRule="exact"/>
        <w:ind w:firstLine="420"/>
      </w:pPr>
      <w:r>
        <w:rPr>
          <w:rFonts w:hint="eastAsia"/>
        </w:rPr>
        <w:t>3.全流程电子化</w:t>
      </w:r>
      <w:bookmarkEnd w:id="45"/>
      <w:r>
        <w:rPr>
          <w:rFonts w:hint="eastAsia"/>
        </w:rPr>
        <w:t>要求：</w:t>
      </w:r>
    </w:p>
    <w:p>
      <w:pPr>
        <w:spacing w:line="412" w:lineRule="exact"/>
        <w:ind w:firstLine="420"/>
      </w:pPr>
      <w:r>
        <w:rPr>
          <w:rFonts w:hint="eastAsia"/>
        </w:rPr>
        <w:t>本项目为全流程电子化项目，潜在投标人应做好参与全流程电子化交易的充分准备，熟悉掌握电子化采购项目操作指南(操作指南：政采云电子卖场首页右上角—服务中心—帮助文档—项目采购)，及时完成CA申领和绑定(操作指南：政采云电子卖场首页右上角—帮助文档—入驻与配置—CA管理；CA证书申领路径：政采云平台—我的工作台右上角—CA管理—CA证书申领)。因未注册入库、未办理CA数字证书、CA证书故障、操作不当等原因造成投标失败等后果由投标人承担。</w:t>
      </w:r>
    </w:p>
    <w:p>
      <w:pPr>
        <w:spacing w:line="412" w:lineRule="exact"/>
        <w:ind w:firstLine="420"/>
      </w:pPr>
      <w:r>
        <w:t>(1)</w:t>
      </w:r>
      <w:r>
        <w:rPr>
          <w:rFonts w:hint="eastAsia"/>
        </w:rPr>
        <w:t>依法获取招标文件：投标人须在获取招标文件时间内登录</w:t>
      </w:r>
      <w:r>
        <w:fldChar w:fldCharType="begin"/>
      </w:r>
      <w:r>
        <w:instrText xml:space="preserve"> </w:instrText>
      </w:r>
      <w:r>
        <w:rPr>
          <w:rFonts w:hint="eastAsia"/>
        </w:rPr>
        <w:instrText xml:space="preserve">HYPERLINK "https://www.zcygov.cn/"</w:instrText>
      </w:r>
      <w:r>
        <w:instrText xml:space="preserve"> </w:instrText>
      </w:r>
      <w:r>
        <w:fldChar w:fldCharType="separate"/>
      </w:r>
      <w:r>
        <w:rPr>
          <w:rStyle w:val="58"/>
          <w:rFonts w:hint="eastAsia"/>
          <w:color w:val="auto"/>
          <w:u w:val="none"/>
        </w:rPr>
        <w:t>政府采购云平台</w:t>
      </w:r>
      <w:r>
        <w:fldChar w:fldCharType="end"/>
      </w:r>
      <w:r>
        <w:rPr>
          <w:rFonts w:hint="eastAsia"/>
        </w:rPr>
        <w:t>申请下载招标文件才视作依法获取招标文件。</w:t>
      </w:r>
    </w:p>
    <w:p>
      <w:pPr>
        <w:spacing w:line="412" w:lineRule="exact"/>
        <w:ind w:firstLine="420"/>
        <w:rPr>
          <w:b/>
        </w:rPr>
      </w:pPr>
      <w:r>
        <w:rPr>
          <w:rFonts w:hint="eastAsia"/>
        </w:rPr>
        <w:t>(</w:t>
      </w:r>
      <w:r>
        <w:t>2)</w:t>
      </w:r>
      <w:r>
        <w:rPr>
          <w:rFonts w:hint="eastAsia"/>
        </w:rPr>
        <w:t>投标人应通过广西政府采购云平台客户端制作投标文件，投标人自行前往下载安装（</w:t>
      </w:r>
      <w:r>
        <w:rPr>
          <w:rFonts w:ascii="宋体" w:hAnsi="宋体"/>
        </w:rPr>
        <w:fldChar w:fldCharType="begin"/>
      </w:r>
      <w:r>
        <w:rPr>
          <w:rFonts w:ascii="宋体" w:hAnsi="宋体"/>
        </w:rPr>
        <w:instrText xml:space="preserve">HYPERLINK "https://sitecdn.zcycdn.com/zcy-client/bidding-client-new/official/guangxi/GuangXiSetup.exe"</w:instrText>
      </w:r>
      <w:r>
        <w:rPr>
          <w:rFonts w:ascii="宋体" w:hAnsi="宋体"/>
        </w:rPr>
        <w:fldChar w:fldCharType="separate"/>
      </w:r>
      <w:r>
        <w:rPr>
          <w:rStyle w:val="58"/>
          <w:rFonts w:hint="eastAsia" w:ascii="宋体" w:hAnsi="宋体"/>
          <w:color w:val="auto"/>
          <w:u w:val="none"/>
        </w:rPr>
        <w:t>客户端</w:t>
      </w:r>
      <w:bookmarkStart w:id="49" w:name="_Hlt151995013"/>
      <w:bookmarkStart w:id="50" w:name="_Hlt153271921"/>
      <w:bookmarkStart w:id="51" w:name="_Hlt153271920"/>
      <w:bookmarkStart w:id="52" w:name="_Hlt151995012"/>
      <w:r>
        <w:rPr>
          <w:rStyle w:val="58"/>
          <w:rFonts w:hint="eastAsia" w:ascii="宋体" w:hAnsi="宋体"/>
          <w:color w:val="auto"/>
          <w:u w:val="none"/>
        </w:rPr>
        <w:t>下</w:t>
      </w:r>
      <w:bookmarkEnd w:id="49"/>
      <w:bookmarkEnd w:id="50"/>
      <w:bookmarkEnd w:id="51"/>
      <w:bookmarkEnd w:id="52"/>
      <w:bookmarkStart w:id="53" w:name="_Hlt162274481"/>
      <w:bookmarkStart w:id="54" w:name="_Hlt153270544"/>
      <w:bookmarkStart w:id="55" w:name="_Hlt153270545"/>
      <w:bookmarkStart w:id="56" w:name="_Hlt162274482"/>
      <w:r>
        <w:rPr>
          <w:rStyle w:val="58"/>
          <w:rFonts w:hint="eastAsia" w:ascii="宋体" w:hAnsi="宋体"/>
          <w:color w:val="auto"/>
          <w:u w:val="none"/>
        </w:rPr>
        <w:t>载</w:t>
      </w:r>
      <w:bookmarkEnd w:id="53"/>
      <w:bookmarkEnd w:id="54"/>
      <w:bookmarkEnd w:id="55"/>
      <w:bookmarkEnd w:id="56"/>
      <w:r>
        <w:rPr>
          <w:rFonts w:ascii="宋体" w:hAnsi="宋体"/>
        </w:rPr>
        <w:fldChar w:fldCharType="end"/>
      </w:r>
      <w:r>
        <w:rPr>
          <w:rFonts w:hint="eastAsia"/>
        </w:rPr>
        <w:t>）。</w:t>
      </w:r>
    </w:p>
    <w:p>
      <w:pPr>
        <w:spacing w:line="412" w:lineRule="exact"/>
        <w:ind w:firstLine="420"/>
      </w:pPr>
      <w:r>
        <w:rPr>
          <w:rFonts w:hint="eastAsia"/>
        </w:rPr>
        <w:t>(</w:t>
      </w:r>
      <w:r>
        <w:t>3)</w:t>
      </w:r>
      <w:r>
        <w:rPr>
          <w:rFonts w:hint="eastAsia"/>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pPr>
        <w:spacing w:line="412" w:lineRule="exact"/>
        <w:ind w:firstLine="420"/>
        <w:rPr>
          <w:b/>
        </w:rPr>
      </w:pPr>
      <w:r>
        <w:rPr>
          <w:rFonts w:hint="eastAsia"/>
        </w:rPr>
        <w:t>(</w:t>
      </w:r>
      <w:r>
        <w:t>4)</w:t>
      </w:r>
      <w:r>
        <w:rPr>
          <w:rFonts w:hint="eastAsia"/>
        </w:rPr>
        <w:t>投标人法定代表人或委托代理人须按时登录</w:t>
      </w:r>
      <w:bookmarkStart w:id="57" w:name="_Hlk90367388"/>
      <w:r>
        <w:rPr>
          <w:rFonts w:hint="eastAsia" w:ascii="宋体" w:hAnsi="宋体" w:cs="Courier New"/>
          <w:szCs w:val="21"/>
        </w:rPr>
        <w:t>政采云远程开标大厅</w:t>
      </w:r>
      <w:bookmarkEnd w:id="57"/>
      <w:r>
        <w:rPr>
          <w:rFonts w:hint="eastAsia"/>
        </w:rPr>
        <w:t>，保持全程在线并关注开标评标进度，评标期间评标委员会提出澄清等要求时，投标人须在规定时间内进行应答，否则按招标文件或政采云平台的相关规定执行。</w:t>
      </w:r>
    </w:p>
    <w:p>
      <w:pPr>
        <w:spacing w:line="412" w:lineRule="exact"/>
        <w:ind w:firstLine="420"/>
        <w:rPr>
          <w:rFonts w:hint="eastAsia" w:hAnsi="宋体"/>
        </w:rPr>
      </w:pPr>
      <w:r>
        <w:rPr>
          <w:rFonts w:hint="eastAsia"/>
        </w:rPr>
        <w:t>(</w:t>
      </w:r>
      <w:r>
        <w:t>5)</w:t>
      </w:r>
      <w:r>
        <w:rPr>
          <w:rFonts w:hint="eastAsia"/>
        </w:rPr>
        <w:t>投标人参与投标过程中涉及政府采购云平台的问题，请咨询政采云</w:t>
      </w:r>
      <w:r>
        <w:rPr>
          <w:rFonts w:hint="eastAsia" w:hAnsi="宋体"/>
        </w:rPr>
        <w:t>技术支持热线：</w:t>
      </w:r>
      <w:r>
        <w:rPr>
          <w:rFonts w:hAnsi="宋体"/>
        </w:rPr>
        <w:t>95763</w:t>
      </w:r>
      <w:r>
        <w:rPr>
          <w:rFonts w:hint="eastAsia" w:hAnsi="宋体"/>
        </w:rPr>
        <w:t>。</w:t>
      </w:r>
    </w:p>
    <w:p>
      <w:pPr>
        <w:spacing w:line="412" w:lineRule="exact"/>
        <w:ind w:firstLine="420"/>
        <w:rPr>
          <w:rFonts w:hint="eastAsia" w:hAnsi="宋体"/>
        </w:rPr>
      </w:pPr>
      <w:r>
        <w:rPr>
          <w:rFonts w:hint="eastAsia" w:hAnsi="宋体"/>
        </w:rPr>
        <w:t>4</w:t>
      </w:r>
      <w:r>
        <w:rPr>
          <w:rFonts w:hAnsi="宋体"/>
        </w:rPr>
        <w:t>.</w:t>
      </w:r>
      <w:r>
        <w:rPr>
          <w:rFonts w:hint="eastAsia" w:hAnsi="宋体"/>
        </w:rPr>
        <w:t>查询媒体：</w:t>
      </w:r>
      <w:bookmarkStart w:id="58" w:name="_Hlk97804124"/>
      <w:r>
        <w:rPr>
          <w:rFonts w:hAnsi="宋体"/>
        </w:rPr>
        <w:fldChar w:fldCharType="begin"/>
      </w:r>
      <w:r>
        <w:rPr>
          <w:rFonts w:hAnsi="宋体"/>
        </w:rPr>
        <w:instrText xml:space="preserve">HYPERLINK "http://www.ccgp.gov.cn/"</w:instrText>
      </w:r>
      <w:r>
        <w:rPr>
          <w:rFonts w:hAnsi="宋体"/>
        </w:rPr>
        <w:fldChar w:fldCharType="separate"/>
      </w:r>
      <w:r>
        <w:rPr>
          <w:rStyle w:val="58"/>
          <w:rFonts w:hint="eastAsia" w:hAnsi="宋体"/>
          <w:color w:val="auto"/>
          <w:u w:val="none"/>
        </w:rPr>
        <w:t>中国政府</w:t>
      </w:r>
      <w:bookmarkStart w:id="59" w:name="_Hlt97804063"/>
      <w:bookmarkStart w:id="60" w:name="_Hlt97804064"/>
      <w:r>
        <w:rPr>
          <w:rStyle w:val="58"/>
          <w:rFonts w:hint="eastAsia" w:hAnsi="宋体"/>
          <w:color w:val="auto"/>
          <w:u w:val="none"/>
        </w:rPr>
        <w:t>采</w:t>
      </w:r>
      <w:bookmarkEnd w:id="59"/>
      <w:bookmarkEnd w:id="60"/>
      <w:r>
        <w:rPr>
          <w:rStyle w:val="58"/>
          <w:rFonts w:hint="eastAsia" w:hAnsi="宋体"/>
          <w:color w:val="auto"/>
          <w:u w:val="none"/>
        </w:rPr>
        <w:t>购</w:t>
      </w:r>
      <w:bookmarkStart w:id="61" w:name="_Hlt97804091"/>
      <w:bookmarkStart w:id="62" w:name="_Hlt97804090"/>
      <w:r>
        <w:rPr>
          <w:rStyle w:val="58"/>
          <w:rFonts w:hint="eastAsia" w:hAnsi="宋体"/>
          <w:color w:val="auto"/>
          <w:u w:val="none"/>
        </w:rPr>
        <w:t>网</w:t>
      </w:r>
      <w:bookmarkEnd w:id="61"/>
      <w:bookmarkEnd w:id="62"/>
      <w:r>
        <w:rPr>
          <w:rFonts w:hAnsi="宋体"/>
        </w:rPr>
        <w:fldChar w:fldCharType="end"/>
      </w:r>
      <w:r>
        <w:rPr>
          <w:rFonts w:hint="eastAsia" w:hAnsi="宋体"/>
        </w:rPr>
        <w:t>、</w:t>
      </w:r>
      <w:r>
        <w:fldChar w:fldCharType="begin"/>
      </w:r>
      <w:r>
        <w:instrText xml:space="preserve"> HYPERLINK "http://zfcg.gxzf.gov.cn/" </w:instrText>
      </w:r>
      <w:r>
        <w:fldChar w:fldCharType="separate"/>
      </w:r>
      <w:r>
        <w:rPr>
          <w:rFonts w:hint="eastAsia" w:hAnsi="宋体"/>
        </w:rPr>
        <w:t>广西政府</w:t>
      </w:r>
      <w:bookmarkStart w:id="63" w:name="_Hlt97804099"/>
      <w:bookmarkStart w:id="64" w:name="_Hlt97804098"/>
      <w:r>
        <w:rPr>
          <w:rFonts w:hint="eastAsia" w:hAnsi="宋体"/>
        </w:rPr>
        <w:t>采</w:t>
      </w:r>
      <w:bookmarkEnd w:id="63"/>
      <w:bookmarkEnd w:id="64"/>
      <w:r>
        <w:rPr>
          <w:rFonts w:hint="eastAsia" w:hAnsi="宋体"/>
        </w:rPr>
        <w:t>购网</w:t>
      </w:r>
      <w:r>
        <w:rPr>
          <w:rFonts w:hint="eastAsia" w:hAnsi="宋体"/>
        </w:rPr>
        <w:fldChar w:fldCharType="end"/>
      </w:r>
      <w:r>
        <w:rPr>
          <w:rFonts w:hint="eastAsia" w:hAnsi="宋体"/>
        </w:rPr>
        <w:t>。</w:t>
      </w:r>
      <w:bookmarkEnd w:id="58"/>
    </w:p>
    <w:p>
      <w:pPr>
        <w:spacing w:line="412" w:lineRule="exact"/>
        <w:ind w:firstLine="420"/>
        <w:jc w:val="left"/>
        <w:rPr>
          <w:rFonts w:hint="eastAsia" w:hAnsi="宋体"/>
        </w:rPr>
      </w:pPr>
      <w:r>
        <w:rPr>
          <w:rFonts w:hint="eastAsia" w:hAnsi="宋体"/>
        </w:rPr>
        <w:t>5</w:t>
      </w:r>
      <w:r>
        <w:rPr>
          <w:rFonts w:hAnsi="宋体"/>
        </w:rPr>
        <w:t>.</w:t>
      </w:r>
      <w:r>
        <w:rPr>
          <w:rFonts w:hint="eastAsia" w:hAnsi="宋体"/>
        </w:rPr>
        <w:t>钦州市政府采购中心联系方式：</w:t>
      </w:r>
    </w:p>
    <w:p>
      <w:pPr>
        <w:spacing w:line="412" w:lineRule="exact"/>
        <w:ind w:firstLine="420"/>
        <w:jc w:val="left"/>
        <w:rPr>
          <w:rFonts w:hint="eastAsia" w:hAnsi="宋体"/>
        </w:rPr>
      </w:pPr>
      <w:r>
        <w:rPr>
          <w:rFonts w:hAnsi="宋体"/>
        </w:rPr>
        <w:t>(1)</w:t>
      </w:r>
      <w:r>
        <w:rPr>
          <w:rFonts w:hint="eastAsia" w:hAnsi="宋体"/>
        </w:rPr>
        <w:t>采购部(招标文件</w:t>
      </w:r>
      <w:r>
        <w:rPr>
          <w:rFonts w:hAnsi="宋体"/>
        </w:rPr>
        <w:t>)</w:t>
      </w:r>
    </w:p>
    <w:p>
      <w:pPr>
        <w:spacing w:line="412" w:lineRule="exact"/>
        <w:ind w:firstLine="420"/>
        <w:jc w:val="left"/>
        <w:rPr>
          <w:rFonts w:hint="eastAsia" w:hAnsi="宋体"/>
        </w:rPr>
      </w:pPr>
      <w:r>
        <w:rPr>
          <w:rFonts w:hint="eastAsia" w:hAnsi="宋体"/>
        </w:rPr>
        <w:t>联系人：黄忠秀</w:t>
      </w:r>
      <w:r>
        <w:rPr>
          <w:rFonts w:hAnsi="宋体"/>
        </w:rPr>
        <w:t xml:space="preserve">  </w:t>
      </w:r>
      <w:r>
        <w:rPr>
          <w:rFonts w:hint="eastAsia" w:hAnsi="宋体"/>
        </w:rPr>
        <w:t xml:space="preserve"> 联系方式：0777-2886022</w:t>
      </w:r>
    </w:p>
    <w:p>
      <w:pPr>
        <w:spacing w:line="412" w:lineRule="exact"/>
        <w:ind w:firstLine="420"/>
        <w:jc w:val="left"/>
        <w:rPr>
          <w:rFonts w:hint="eastAsia" w:hAnsi="宋体"/>
        </w:rPr>
      </w:pPr>
      <w:r>
        <w:rPr>
          <w:rFonts w:hint="eastAsia" w:hAnsi="宋体"/>
        </w:rPr>
        <w:t>(</w:t>
      </w:r>
      <w:r>
        <w:rPr>
          <w:rFonts w:hAnsi="宋体"/>
        </w:rPr>
        <w:t>2)</w:t>
      </w:r>
      <w:r>
        <w:rPr>
          <w:rFonts w:hint="eastAsia" w:hAnsi="宋体"/>
        </w:rPr>
        <w:t>综合二部(保证金、开评标、中标及合同管理)</w:t>
      </w:r>
    </w:p>
    <w:p>
      <w:pPr>
        <w:spacing w:line="412" w:lineRule="exact"/>
        <w:ind w:firstLine="420"/>
        <w:jc w:val="left"/>
        <w:rPr>
          <w:rFonts w:hint="eastAsia" w:hAnsi="宋体"/>
        </w:rPr>
      </w:pPr>
      <w:r>
        <w:rPr>
          <w:rFonts w:hint="eastAsia" w:hAnsi="宋体"/>
        </w:rPr>
        <w:t>联系人：陈侃</w:t>
      </w:r>
      <w:r>
        <w:rPr>
          <w:rFonts w:hint="eastAsia" w:hAnsi="宋体"/>
          <w:lang w:eastAsia="zh-CN"/>
        </w:rPr>
        <w:t>、陈启梅</w:t>
      </w:r>
      <w:r>
        <w:rPr>
          <w:rFonts w:hint="eastAsia" w:hAnsi="宋体"/>
        </w:rPr>
        <w:t xml:space="preserve"> </w:t>
      </w:r>
      <w:r>
        <w:rPr>
          <w:rFonts w:hAnsi="宋体"/>
        </w:rPr>
        <w:t xml:space="preserve"> </w:t>
      </w:r>
      <w:r>
        <w:rPr>
          <w:rFonts w:hint="eastAsia" w:hAnsi="宋体"/>
        </w:rPr>
        <w:t xml:space="preserve"> 联系方式：</w:t>
      </w:r>
      <w:r>
        <w:rPr>
          <w:rFonts w:hAnsi="宋体"/>
        </w:rPr>
        <w:t xml:space="preserve"> </w:t>
      </w:r>
      <w:r>
        <w:rPr>
          <w:rFonts w:hint="eastAsia" w:hAnsi="宋体"/>
        </w:rPr>
        <w:t>0777-2886006</w:t>
      </w:r>
    </w:p>
    <w:p>
      <w:pPr>
        <w:spacing w:line="412" w:lineRule="exact"/>
        <w:ind w:firstLine="0" w:firstLineChars="0"/>
        <w:rPr>
          <w:b/>
        </w:rPr>
      </w:pPr>
      <w:r>
        <w:rPr>
          <w:rFonts w:hint="eastAsia"/>
          <w:b/>
        </w:rPr>
        <w:t>七、对本次招标提出询问，请按</w:t>
      </w:r>
      <w:r>
        <w:rPr>
          <w:b/>
        </w:rPr>
        <w:t>以下方式</w:t>
      </w:r>
      <w:r>
        <w:rPr>
          <w:rFonts w:hint="eastAsia"/>
          <w:b/>
        </w:rPr>
        <w:t>联系</w:t>
      </w:r>
      <w:bookmarkEnd w:id="40"/>
      <w:bookmarkEnd w:id="41"/>
      <w:bookmarkEnd w:id="42"/>
      <w:bookmarkEnd w:id="43"/>
    </w:p>
    <w:bookmarkEnd w:id="13"/>
    <w:p>
      <w:pPr>
        <w:spacing w:line="412" w:lineRule="exact"/>
        <w:ind w:firstLine="420"/>
      </w:pPr>
      <w:r>
        <w:rPr>
          <w:rFonts w:hint="eastAsia"/>
        </w:rPr>
        <w:t>1.采购人信息</w:t>
      </w:r>
    </w:p>
    <w:p>
      <w:pPr>
        <w:ind w:firstLine="420"/>
      </w:pPr>
      <w:bookmarkStart w:id="65" w:name="_Toc28359086"/>
      <w:bookmarkStart w:id="66" w:name="_Toc28359009"/>
      <w:bookmarkStart w:id="67" w:name="_Hlk92356946"/>
      <w:r>
        <w:rPr>
          <w:rFonts w:hint="eastAsia"/>
        </w:rPr>
        <w:t>名称：浦北县第一职业技术学校</w:t>
      </w:r>
    </w:p>
    <w:p>
      <w:pPr>
        <w:ind w:firstLine="420"/>
      </w:pPr>
      <w:r>
        <w:rPr>
          <w:rFonts w:hint="eastAsia"/>
        </w:rPr>
        <w:t>地址：浦北县县城金浦新区科园路1号</w:t>
      </w:r>
    </w:p>
    <w:p>
      <w:pPr>
        <w:ind w:firstLine="420"/>
      </w:pPr>
      <w:r>
        <w:rPr>
          <w:rFonts w:hint="eastAsia"/>
        </w:rPr>
        <w:t>项目联系人：</w:t>
      </w:r>
      <w:bookmarkStart w:id="68" w:name="OLE_LINK26"/>
      <w:r>
        <w:rPr>
          <w:rFonts w:hint="eastAsia"/>
        </w:rPr>
        <w:t>谢钦</w:t>
      </w:r>
      <w:bookmarkEnd w:id="68"/>
    </w:p>
    <w:p>
      <w:pPr>
        <w:ind w:firstLine="420"/>
      </w:pPr>
      <w:r>
        <w:rPr>
          <w:rFonts w:hint="eastAsia"/>
        </w:rPr>
        <w:t>项目联系方式：</w:t>
      </w:r>
      <w:bookmarkStart w:id="69" w:name="OLE_LINK27"/>
      <w:r>
        <w:rPr>
          <w:rFonts w:hint="eastAsia"/>
        </w:rPr>
        <w:t>0777-8319585</w:t>
      </w:r>
      <w:bookmarkEnd w:id="69"/>
    </w:p>
    <w:p>
      <w:pPr>
        <w:spacing w:line="412" w:lineRule="exact"/>
        <w:ind w:firstLine="420"/>
      </w:pPr>
      <w:r>
        <w:rPr>
          <w:rFonts w:hint="eastAsia"/>
        </w:rPr>
        <w:t>2.采购代理机构信息</w:t>
      </w:r>
      <w:bookmarkEnd w:id="65"/>
      <w:bookmarkEnd w:id="66"/>
    </w:p>
    <w:p>
      <w:pPr>
        <w:spacing w:line="412" w:lineRule="exact"/>
        <w:ind w:firstLine="420"/>
      </w:pPr>
      <w:r>
        <w:rPr>
          <w:rFonts w:hint="eastAsia"/>
        </w:rPr>
        <w:t>名称：钦州市政府采购中心</w:t>
      </w:r>
    </w:p>
    <w:p>
      <w:pPr>
        <w:spacing w:line="412" w:lineRule="exact"/>
        <w:ind w:firstLine="420"/>
      </w:pPr>
      <w:r>
        <w:rPr>
          <w:rFonts w:hint="eastAsia"/>
        </w:rPr>
        <w:t>地址：钦州市金海湾东大街8号</w:t>
      </w:r>
    </w:p>
    <w:p>
      <w:pPr>
        <w:spacing w:line="412" w:lineRule="exact"/>
        <w:ind w:firstLine="420"/>
      </w:pPr>
      <w:r>
        <w:rPr>
          <w:rFonts w:hint="eastAsia"/>
        </w:rPr>
        <w:t>项目联系人：黄忠秀、陈侃、陈启梅</w:t>
      </w:r>
    </w:p>
    <w:p>
      <w:pPr>
        <w:spacing w:line="412" w:lineRule="exact"/>
        <w:ind w:firstLine="420"/>
      </w:pPr>
      <w:r>
        <w:rPr>
          <w:rFonts w:hint="eastAsia"/>
        </w:rPr>
        <w:t>项目联系方式：</w:t>
      </w:r>
      <w:bookmarkStart w:id="70" w:name="_Toc28359010"/>
      <w:bookmarkStart w:id="71" w:name="_Toc28359087"/>
      <w:r>
        <w:rPr>
          <w:rFonts w:hint="eastAsia"/>
        </w:rPr>
        <w:t>0</w:t>
      </w:r>
      <w:r>
        <w:t>777-2886022</w:t>
      </w:r>
      <w:r>
        <w:rPr>
          <w:rFonts w:hint="eastAsia"/>
        </w:rPr>
        <w:t>、</w:t>
      </w:r>
      <w:r>
        <w:t>2886006</w:t>
      </w:r>
    </w:p>
    <w:bookmarkEnd w:id="67"/>
    <w:bookmarkEnd w:id="70"/>
    <w:bookmarkEnd w:id="71"/>
    <w:p>
      <w:pPr>
        <w:ind w:firstLine="0" w:firstLineChars="0"/>
        <w:jc w:val="left"/>
      </w:pPr>
      <w:r>
        <w:br w:type="page"/>
      </w: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pStyle w:val="46"/>
        <w:ind w:left="0" w:leftChars="0" w:right="0" w:rightChars="0" w:firstLine="0" w:firstLineChars="0"/>
        <w:jc w:val="center"/>
      </w:pPr>
      <w:bookmarkStart w:id="72" w:name="_Toc352700402"/>
      <w:bookmarkStart w:id="73" w:name="_Toc91512284"/>
      <w:r>
        <w:rPr>
          <w:rFonts w:hint="eastAsia"/>
        </w:rPr>
        <w:t xml:space="preserve">第二章  </w:t>
      </w:r>
      <w:bookmarkEnd w:id="72"/>
      <w:r>
        <w:rPr>
          <w:rFonts w:hint="eastAsia"/>
        </w:rPr>
        <w:t>项目需求</w:t>
      </w:r>
      <w:bookmarkEnd w:id="73"/>
      <w:bookmarkStart w:id="74" w:name="_Toc352700403"/>
    </w:p>
    <w:p>
      <w:pPr>
        <w:spacing w:line="800" w:lineRule="exact"/>
        <w:ind w:left="-291" w:leftChars="-202" w:hanging="133" w:hangingChars="30"/>
        <w:jc w:val="center"/>
        <w:rPr>
          <w:b/>
        </w:rPr>
      </w:pPr>
      <w:r>
        <w:rPr>
          <w:rFonts w:ascii="方正小标宋_GBK" w:eastAsia="方正小标宋_GBK"/>
          <w:b/>
          <w:sz w:val="44"/>
          <w:szCs w:val="44"/>
        </w:rPr>
        <w:br w:type="page"/>
      </w:r>
      <w:bookmarkStart w:id="75" w:name="_Toc14492"/>
      <w:r>
        <w:rPr>
          <w:rFonts w:hint="eastAsia" w:ascii="方正小标宋_GBK" w:eastAsia="方正小标宋_GBK"/>
          <w:b/>
          <w:sz w:val="44"/>
          <w:szCs w:val="44"/>
        </w:rPr>
        <w:t>项目需求</w:t>
      </w:r>
    </w:p>
    <w:p>
      <w:pPr>
        <w:spacing w:line="420" w:lineRule="exact"/>
        <w:ind w:firstLine="420"/>
      </w:pPr>
      <w:r>
        <w:rPr>
          <w:rFonts w:hint="eastAsia"/>
        </w:rPr>
        <w:t>说明：</w:t>
      </w:r>
    </w:p>
    <w:p>
      <w:pPr>
        <w:spacing w:line="360" w:lineRule="exact"/>
        <w:ind w:firstLine="420"/>
        <w:rPr>
          <w:rFonts w:hint="eastAsia" w:ascii="宋体" w:hAnsi="宋体"/>
        </w:rPr>
      </w:pPr>
      <w:r>
        <w:rPr>
          <w:rFonts w:hint="eastAsia" w:ascii="宋体" w:hAnsi="宋体"/>
        </w:rPr>
        <w:t>1.本表中的品牌型号、技术参数及其性能（规格）仅起参考作用，投标人可选用其他品牌型号替代，</w:t>
      </w:r>
      <w:bookmarkStart w:id="76" w:name="_Hlk126843748"/>
      <w:r>
        <w:rPr>
          <w:rFonts w:hint="eastAsia" w:ascii="宋体" w:hAnsi="宋体"/>
        </w:rPr>
        <w:t>但替代的产品整体上要相当于或优于参考品牌型号或其技术参数性能（规格）要求。</w:t>
      </w:r>
      <w:bookmarkEnd w:id="76"/>
    </w:p>
    <w:p>
      <w:pPr>
        <w:spacing w:line="360" w:lineRule="exact"/>
        <w:ind w:firstLine="420"/>
        <w:rPr>
          <w:rFonts w:hint="eastAsia" w:ascii="宋体" w:hAnsi="宋体"/>
        </w:rPr>
      </w:pPr>
      <w:r>
        <w:rPr>
          <w:rFonts w:hint="eastAsia" w:ascii="宋体" w:hAnsi="宋体"/>
        </w:rPr>
        <w:t>2.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pPr>
        <w:spacing w:line="360" w:lineRule="exact"/>
        <w:ind w:firstLine="420"/>
        <w:rPr>
          <w:rFonts w:hint="eastAsia" w:ascii="宋体" w:hAnsi="宋体"/>
          <w:bCs/>
        </w:rPr>
      </w:pPr>
      <w:bookmarkStart w:id="77" w:name="_Hlk92357261"/>
      <w:r>
        <w:rPr>
          <w:rFonts w:hint="eastAsia" w:ascii="宋体" w:hAnsi="宋体"/>
          <w:bCs/>
        </w:rPr>
        <w:t>3.</w:t>
      </w:r>
      <w:r>
        <w:rPr>
          <w:rFonts w:hint="eastAsia"/>
        </w:rPr>
        <w:t>本项目不接受投标人提供通过中国海关报关验放进入中国境内且产自关境外的产品。</w:t>
      </w:r>
    </w:p>
    <w:p>
      <w:pPr>
        <w:spacing w:line="360" w:lineRule="exact"/>
        <w:ind w:firstLine="420"/>
        <w:rPr>
          <w:rFonts w:hint="eastAsia" w:ascii="宋体" w:hAnsi="宋体"/>
          <w:szCs w:val="21"/>
        </w:rPr>
      </w:pPr>
      <w:r>
        <w:rPr>
          <w:rFonts w:hint="eastAsia" w:ascii="宋体" w:hAnsi="宋体"/>
        </w:rPr>
        <w:t>4.</w:t>
      </w:r>
      <w:r>
        <w:rPr>
          <w:rFonts w:hint="eastAsia" w:ascii="宋体" w:hAnsi="宋体"/>
          <w:szCs w:val="21"/>
        </w:rPr>
        <w:t>标注★号的技术参数为实质性要求的参数，要求必须满足或优于，否则视为无效投标文件。</w:t>
      </w:r>
    </w:p>
    <w:p>
      <w:pPr>
        <w:spacing w:line="360" w:lineRule="exact"/>
        <w:ind w:firstLine="420"/>
        <w:rPr>
          <w:rFonts w:hint="eastAsia" w:ascii="宋体" w:hAnsi="宋体"/>
        </w:rPr>
      </w:pPr>
      <w:r>
        <w:rPr>
          <w:rFonts w:hint="eastAsia" w:ascii="宋体" w:hAnsi="宋体"/>
          <w:szCs w:val="21"/>
        </w:rPr>
        <w:t>标注▲号的系与项目实际紧密相关的条款，作为评审依据，</w:t>
      </w:r>
      <w:r>
        <w:rPr>
          <w:rFonts w:hint="eastAsia" w:ascii="宋体" w:hAnsi="宋体" w:cs="宋体"/>
          <w:kern w:val="0"/>
          <w:szCs w:val="21"/>
          <w:lang w:bidi="ar"/>
        </w:rPr>
        <w:t>提供证明材料：包括但不限于厂家证明或功能截图或国家认可的第三方检测报告并加盖供应商公章</w:t>
      </w:r>
      <w:r>
        <w:rPr>
          <w:rFonts w:hint="eastAsia" w:ascii="宋体" w:hAnsi="宋体"/>
          <w:szCs w:val="21"/>
        </w:rPr>
        <w:t>。</w:t>
      </w:r>
    </w:p>
    <w:p>
      <w:pPr>
        <w:spacing w:line="360" w:lineRule="exact"/>
        <w:ind w:firstLine="420"/>
        <w:rPr>
          <w:rFonts w:hint="eastAsia" w:ascii="宋体" w:hAnsi="宋体"/>
        </w:rPr>
      </w:pPr>
      <w:r>
        <w:rPr>
          <w:rFonts w:hint="eastAsia" w:ascii="宋体" w:hAnsi="宋体"/>
        </w:rPr>
        <w:t>5.本项目对应的中小企业划分标准所属行业为</w:t>
      </w:r>
      <w:r>
        <w:rPr>
          <w:rFonts w:hint="eastAsia" w:ascii="宋体" w:hAnsi="宋体"/>
          <w:u w:val="single"/>
        </w:rPr>
        <w:t xml:space="preserve">    工业    </w:t>
      </w:r>
      <w:r>
        <w:rPr>
          <w:rFonts w:hint="eastAsia" w:ascii="宋体" w:hAnsi="宋体"/>
        </w:rPr>
        <w:t>。</w:t>
      </w:r>
    </w:p>
    <w:p>
      <w:pPr>
        <w:spacing w:line="360" w:lineRule="exact"/>
        <w:ind w:firstLine="420"/>
      </w:pPr>
      <w:r>
        <w:rPr>
          <w:rFonts w:hint="eastAsia" w:ascii="宋体" w:hAnsi="宋体"/>
        </w:rPr>
        <w:t>6.</w:t>
      </w:r>
      <w:r>
        <w:rPr>
          <w:rFonts w:hint="eastAsia"/>
        </w:rPr>
        <w:t>预算金额：</w:t>
      </w:r>
      <w:r>
        <w:rPr>
          <w:rFonts w:hint="eastAsia"/>
          <w:u w:val="single"/>
        </w:rPr>
        <w:t>叁佰贰拾万元整</w:t>
      </w:r>
      <w:r>
        <w:t>(</w:t>
      </w:r>
      <w:r>
        <w:rPr>
          <w:rFonts w:hint="eastAsia"/>
        </w:rPr>
        <w:t>￥3,200,000.00</w:t>
      </w:r>
      <w:r>
        <w:t>)</w:t>
      </w:r>
    </w:p>
    <w:p>
      <w:pPr>
        <w:ind w:firstLine="420"/>
      </w:pPr>
      <w:r>
        <w:br w:type="page"/>
      </w:r>
    </w:p>
    <w:p>
      <w:pPr>
        <w:spacing w:line="360" w:lineRule="exact"/>
        <w:ind w:firstLine="0" w:firstLineChars="0"/>
        <w:rPr>
          <w:rFonts w:hint="eastAsia" w:ascii="宋体" w:hAnsi="宋体"/>
          <w:szCs w:val="21"/>
        </w:rPr>
      </w:pPr>
      <w:r>
        <w:rPr>
          <w:rFonts w:hint="eastAsia" w:ascii="宋体" w:hAnsi="宋体"/>
          <w:b/>
          <w:bCs/>
          <w:szCs w:val="21"/>
        </w:rPr>
        <w:t>标项一：教室多媒体系统建设</w:t>
      </w:r>
    </w:p>
    <w:p>
      <w:pPr>
        <w:spacing w:line="360" w:lineRule="exact"/>
        <w:ind w:firstLine="420"/>
      </w:pPr>
      <w:r>
        <w:rPr>
          <w:rFonts w:hint="eastAsia" w:ascii="宋体" w:hAnsi="宋体"/>
          <w:szCs w:val="21"/>
        </w:rPr>
        <w:t>预算金额：贰佰万元整</w:t>
      </w:r>
      <w:r>
        <w:rPr>
          <w:rFonts w:ascii="宋体" w:hAnsi="宋体"/>
          <w:szCs w:val="21"/>
        </w:rPr>
        <w:t>(</w:t>
      </w:r>
      <w:r>
        <w:rPr>
          <w:rFonts w:hint="eastAsia" w:ascii="宋体" w:hAnsi="宋体"/>
          <w:szCs w:val="21"/>
        </w:rPr>
        <w:t>￥</w:t>
      </w:r>
      <w:r>
        <w:rPr>
          <w:rFonts w:hint="eastAsia" w:ascii="宋体" w:hAnsi="宋体"/>
          <w:szCs w:val="21"/>
          <w:u w:val="single"/>
        </w:rPr>
        <w:t>2,000,000</w:t>
      </w:r>
      <w:r>
        <w:rPr>
          <w:rFonts w:ascii="宋体" w:hAnsi="宋体"/>
          <w:szCs w:val="21"/>
          <w:u w:val="single"/>
        </w:rPr>
        <w:t>.</w:t>
      </w:r>
      <w:r>
        <w:rPr>
          <w:rFonts w:hint="eastAsia" w:ascii="宋体" w:hAnsi="宋体"/>
          <w:szCs w:val="21"/>
          <w:u w:val="single"/>
        </w:rPr>
        <w:t>00</w:t>
      </w:r>
      <w:r>
        <w:rPr>
          <w:rFonts w:ascii="宋体" w:hAnsi="宋体"/>
          <w:szCs w:val="21"/>
        </w:rPr>
        <w:t>)</w:t>
      </w:r>
    </w:p>
    <w:tbl>
      <w:tblPr>
        <w:tblStyle w:val="50"/>
        <w:tblW w:w="986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88"/>
        <w:gridCol w:w="137"/>
        <w:gridCol w:w="493"/>
        <w:gridCol w:w="645"/>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highlight w:val="none"/>
              </w:rPr>
            </w:pPr>
            <w:r>
              <w:rPr>
                <w:rFonts w:hint="eastAsia" w:hAnsi="宋体"/>
                <w:color w:val="auto"/>
                <w:sz w:val="21"/>
                <w:szCs w:val="21"/>
                <w:highlight w:val="none"/>
                <w:lang w:bidi="ar"/>
              </w:rPr>
              <w:t>序号</w:t>
            </w:r>
          </w:p>
        </w:tc>
        <w:tc>
          <w:tcPr>
            <w:tcW w:w="888" w:type="dxa"/>
          </w:tcPr>
          <w:p>
            <w:pPr>
              <w:pStyle w:val="21"/>
              <w:ind w:firstLine="0" w:firstLineChars="0"/>
              <w:rPr>
                <w:rFonts w:hint="eastAsia" w:hAnsi="宋体"/>
                <w:color w:val="auto"/>
                <w:sz w:val="21"/>
                <w:szCs w:val="21"/>
                <w:highlight w:val="none"/>
              </w:rPr>
            </w:pPr>
            <w:r>
              <w:rPr>
                <w:rFonts w:hint="eastAsia" w:hAnsi="宋体"/>
                <w:color w:val="auto"/>
                <w:sz w:val="21"/>
                <w:szCs w:val="21"/>
                <w:highlight w:val="none"/>
                <w:lang w:bidi="ar"/>
              </w:rPr>
              <w:t>货物名称</w:t>
            </w:r>
          </w:p>
        </w:tc>
        <w:tc>
          <w:tcPr>
            <w:tcW w:w="630" w:type="dxa"/>
            <w:gridSpan w:val="2"/>
          </w:tcPr>
          <w:p>
            <w:pPr>
              <w:pStyle w:val="21"/>
              <w:ind w:firstLine="0" w:firstLineChars="0"/>
              <w:rPr>
                <w:rFonts w:hint="eastAsia" w:hAnsi="宋体"/>
                <w:color w:val="auto"/>
                <w:sz w:val="21"/>
                <w:szCs w:val="21"/>
                <w:highlight w:val="none"/>
              </w:rPr>
            </w:pPr>
            <w:r>
              <w:rPr>
                <w:rFonts w:hint="eastAsia" w:hAnsi="宋体"/>
                <w:color w:val="auto"/>
                <w:sz w:val="21"/>
                <w:szCs w:val="21"/>
                <w:highlight w:val="none"/>
                <w:lang w:bidi="ar"/>
              </w:rPr>
              <w:t>单位</w:t>
            </w:r>
          </w:p>
        </w:tc>
        <w:tc>
          <w:tcPr>
            <w:tcW w:w="645" w:type="dxa"/>
          </w:tcPr>
          <w:p>
            <w:pPr>
              <w:pStyle w:val="21"/>
              <w:ind w:firstLine="0" w:firstLineChars="0"/>
              <w:rPr>
                <w:rFonts w:hint="eastAsia" w:hAnsi="宋体"/>
                <w:color w:val="auto"/>
                <w:sz w:val="21"/>
                <w:szCs w:val="21"/>
                <w:highlight w:val="none"/>
              </w:rPr>
            </w:pPr>
            <w:r>
              <w:rPr>
                <w:rFonts w:hint="eastAsia" w:hAnsi="宋体"/>
                <w:color w:val="auto"/>
                <w:sz w:val="21"/>
                <w:szCs w:val="21"/>
                <w:highlight w:val="none"/>
                <w:lang w:bidi="ar"/>
              </w:rPr>
              <w:t>数量</w:t>
            </w:r>
          </w:p>
        </w:tc>
        <w:tc>
          <w:tcPr>
            <w:tcW w:w="7265" w:type="dxa"/>
          </w:tcPr>
          <w:p>
            <w:pPr>
              <w:pStyle w:val="21"/>
              <w:ind w:firstLine="308" w:firstLineChars="147"/>
              <w:rPr>
                <w:rFonts w:hint="eastAsia" w:hAnsi="宋体"/>
                <w:color w:val="auto"/>
                <w:sz w:val="21"/>
                <w:szCs w:val="21"/>
                <w:highlight w:val="none"/>
              </w:rPr>
            </w:pPr>
            <w:r>
              <w:rPr>
                <w:rFonts w:hint="eastAsia"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pStyle w:val="21"/>
              <w:ind w:firstLine="0" w:firstLineChars="0"/>
              <w:rPr>
                <w:rFonts w:hint="eastAsia" w:hAnsi="宋体"/>
                <w:color w:val="auto"/>
                <w:sz w:val="21"/>
                <w:szCs w:val="21"/>
                <w:highlight w:val="none"/>
              </w:rPr>
            </w:pPr>
            <w:r>
              <w:rPr>
                <w:rFonts w:hint="eastAsia" w:hAnsi="宋体"/>
                <w:color w:val="auto"/>
                <w:sz w:val="21"/>
                <w:szCs w:val="21"/>
                <w:highlight w:val="none"/>
              </w:rPr>
              <w:t>1</w:t>
            </w:r>
          </w:p>
        </w:tc>
        <w:tc>
          <w:tcPr>
            <w:tcW w:w="888" w:type="dxa"/>
          </w:tcPr>
          <w:p>
            <w:pPr>
              <w:pStyle w:val="21"/>
              <w:ind w:firstLine="0" w:firstLineChars="0"/>
              <w:rPr>
                <w:rFonts w:hint="eastAsia" w:hAnsi="宋体"/>
                <w:color w:val="auto"/>
                <w:sz w:val="21"/>
                <w:szCs w:val="21"/>
                <w:highlight w:val="none"/>
              </w:rPr>
            </w:pPr>
            <w:r>
              <w:rPr>
                <w:rFonts w:hAnsi="宋体"/>
                <w:color w:val="auto"/>
                <w:sz w:val="21"/>
                <w:szCs w:val="21"/>
                <w:highlight w:val="none"/>
              </w:rPr>
              <w:t>86 英寸电容智慧黑板</w:t>
            </w:r>
          </w:p>
        </w:tc>
        <w:tc>
          <w:tcPr>
            <w:tcW w:w="630" w:type="dxa"/>
            <w:gridSpan w:val="2"/>
          </w:tcPr>
          <w:p>
            <w:pPr>
              <w:pStyle w:val="21"/>
              <w:ind w:firstLine="0" w:firstLineChars="0"/>
              <w:rPr>
                <w:rFonts w:hint="eastAsia" w:hAnsi="宋体"/>
                <w:color w:val="auto"/>
                <w:sz w:val="21"/>
                <w:szCs w:val="21"/>
                <w:highlight w:val="none"/>
              </w:rPr>
            </w:pPr>
            <w:r>
              <w:rPr>
                <w:rFonts w:hint="eastAsia" w:hAnsi="宋体"/>
                <w:color w:val="auto"/>
                <w:sz w:val="21"/>
                <w:szCs w:val="21"/>
                <w:highlight w:val="none"/>
              </w:rPr>
              <w:t>台</w:t>
            </w:r>
          </w:p>
        </w:tc>
        <w:tc>
          <w:tcPr>
            <w:tcW w:w="645" w:type="dxa"/>
          </w:tcPr>
          <w:p>
            <w:pPr>
              <w:pStyle w:val="21"/>
              <w:ind w:firstLine="0" w:firstLineChars="0"/>
              <w:rPr>
                <w:rFonts w:hint="eastAsia" w:hAnsi="宋体"/>
                <w:color w:val="auto"/>
                <w:sz w:val="21"/>
                <w:szCs w:val="21"/>
                <w:highlight w:val="none"/>
              </w:rPr>
            </w:pPr>
            <w:r>
              <w:rPr>
                <w:rFonts w:hint="eastAsia" w:hAnsi="宋体"/>
                <w:color w:val="auto"/>
                <w:sz w:val="21"/>
                <w:szCs w:val="21"/>
                <w:highlight w:val="none"/>
              </w:rPr>
              <w:t>58</w:t>
            </w:r>
          </w:p>
        </w:tc>
        <w:tc>
          <w:tcPr>
            <w:tcW w:w="7265" w:type="dxa"/>
            <w:vAlign w:val="center"/>
          </w:tcPr>
          <w:p>
            <w:pPr>
              <w:widowControl/>
              <w:numPr>
                <w:ilvl w:val="0"/>
                <w:numId w:val="1"/>
              </w:numPr>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整机基础设计要求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整机采用全金属外壳，三拼接平面一体化设计，屏幕边缘采用金属圆角包边防护，整机背板采用金属材质。无推拉式结构，外部无任何可见内部功能模块连接线。主副屏过渡平滑并在同一平面，中间无单独边框阻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2.整机采用全金属外壳设计，有效屏蔽内部电路器件辐射；防潮耐盐雾蚀锈，适应多种教学环境。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3.整机内置无线网络模块，PC模块无任何外接或转接天线、网卡可实现Wi-Fi无线上网连接和AP无线热点发射。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4.整机内置专业硬件自检维护工具（非第三方工具），支持对触摸框和PC模块进行检测，并针对不同模块给出问题代码提示。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5.整机在0℃—40℃环境下可正常工作，在-20℃—60℃的环境下可正常贮存且贮存后功能无损。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6.整机具备供电保护模块，能够检测内置电脑是否插好在位，在内置电脑未在位的情况下，内置电脑无法上电工作。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7.机身具备防盐雾锈蚀特性，且满足GB4943.1-2011标准中的防火要求。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8.整机具备抗振动、防跌落特性，保证整机运输或使用过程中不易受损。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9.内置摄像头、麦克风，无外接线材连接，无可见模块化拼接，未占用整机设备端口。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10.自动节能：支持黑板关闭后整机自动节能，当整机处于黑暗环境中且无人操作的情况下，一分钟后整机会自动进入熄屏模式；且整机在五分钟内处于无信号接收状态时，能够自动关机。</w:t>
            </w:r>
          </w:p>
          <w:p>
            <w:pPr>
              <w:widowControl/>
              <w:ind w:firstLine="0" w:firstLineChars="0"/>
              <w:jc w:val="left"/>
              <w:rPr>
                <w:rFonts w:hint="eastAsia" w:ascii="宋体" w:hAnsi="宋体" w:cs="宋体"/>
                <w:color w:val="auto"/>
                <w:kern w:val="0"/>
                <w:szCs w:val="21"/>
                <w:highlight w:val="none"/>
                <w:lang w:bidi="ar"/>
              </w:rPr>
            </w:pPr>
            <w:bookmarkStart w:id="78" w:name="OLE_LINK28"/>
            <w:r>
              <w:rPr>
                <w:rFonts w:hint="eastAsia" w:ascii="宋体" w:hAnsi="宋体" w:cs="宋体"/>
                <w:bCs/>
                <w:color w:val="auto"/>
                <w:kern w:val="0"/>
                <w:szCs w:val="21"/>
                <w:highlight w:val="none"/>
              </w:rPr>
              <w:t>▲</w:t>
            </w:r>
            <w:bookmarkEnd w:id="78"/>
            <w:r>
              <w:rPr>
                <w:rFonts w:hint="eastAsia" w:ascii="宋体" w:hAnsi="宋体" w:cs="宋体"/>
                <w:color w:val="auto"/>
                <w:kern w:val="0"/>
                <w:szCs w:val="21"/>
                <w:highlight w:val="none"/>
                <w:lang w:bidi="ar"/>
              </w:rPr>
              <w:t>11.支持智能书写功能，书写文字自动识别为标准印刷体，支持图形识别功能，可将多种手绘图形转化为矩形、三角形、圆形等标准图形。</w:t>
            </w:r>
          </w:p>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bCs/>
                <w:color w:val="auto"/>
                <w:kern w:val="0"/>
                <w:szCs w:val="21"/>
                <w:highlight w:val="none"/>
              </w:rPr>
              <w:t>▲</w:t>
            </w:r>
            <w:r>
              <w:rPr>
                <w:rFonts w:hint="eastAsia" w:ascii="宋体" w:hAnsi="宋体" w:cs="宋体"/>
                <w:color w:val="auto"/>
                <w:kern w:val="0"/>
                <w:szCs w:val="21"/>
                <w:highlight w:val="none"/>
                <w:lang w:bidi="ar"/>
              </w:rPr>
              <w:t>12.整机支持在无任何外部设备的情况下，实时录制用户朗读内容，识别用户声纹并进行统一身份登录，登录后自动获取个人云端教学课件列表，打开教学白板软件时可跳过软件自带登录步骤。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二、整机系统配置要求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（一）内置OPS电脑模块要求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1.PC模块可抽拉式插入整机，可实现无单独接线的插拔。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2.CPU：酷睿</w:t>
            </w:r>
            <w:r>
              <w:rPr>
                <w:rFonts w:hint="eastAsia" w:ascii="宋体" w:hAnsi="宋体" w:cs="宋体"/>
                <w:color w:val="auto"/>
                <w:kern w:val="0"/>
                <w:szCs w:val="21"/>
                <w:highlight w:val="none"/>
                <w:lang w:val="en-US" w:eastAsia="zh-CN" w:bidi="ar"/>
              </w:rPr>
              <w:t>i</w:t>
            </w:r>
            <w:r>
              <w:rPr>
                <w:rFonts w:hint="eastAsia" w:ascii="宋体" w:hAnsi="宋体" w:cs="宋体"/>
                <w:color w:val="auto"/>
                <w:kern w:val="0"/>
                <w:szCs w:val="21"/>
                <w:highlight w:val="none"/>
                <w:lang w:bidi="ar"/>
              </w:rPr>
              <w:t xml:space="preserve">5 </w:t>
            </w:r>
            <w:r>
              <w:rPr>
                <w:rFonts w:hint="eastAsia" w:ascii="宋体" w:hAnsi="宋体" w:cs="宋体"/>
                <w:color w:val="auto"/>
                <w:szCs w:val="21"/>
                <w:highlight w:val="none"/>
              </w:rPr>
              <w:t>12代</w:t>
            </w:r>
            <w:r>
              <w:rPr>
                <w:rFonts w:hint="eastAsia" w:ascii="宋体" w:hAnsi="宋体" w:cs="宋体"/>
                <w:color w:val="auto"/>
                <w:kern w:val="0"/>
                <w:szCs w:val="21"/>
                <w:highlight w:val="none"/>
                <w:lang w:bidi="ar"/>
              </w:rPr>
              <w:t>或以上配置。</w:t>
            </w:r>
          </w:p>
          <w:p>
            <w:pPr>
              <w:widowControl/>
              <w:numPr>
                <w:ilvl w:val="0"/>
                <w:numId w:val="2"/>
              </w:numPr>
              <w:ind w:firstLine="0" w:firstLineChars="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采用按压式卡扣，无需工具即可快速拆卸电脑模块。</w:t>
            </w:r>
            <w:r>
              <w:rPr>
                <w:rFonts w:hint="eastAsia" w:ascii="宋体" w:hAnsi="宋体" w:cs="宋体"/>
                <w:color w:val="auto"/>
                <w:kern w:val="0"/>
                <w:szCs w:val="21"/>
                <w:highlight w:val="none"/>
                <w:lang w:bidi="ar"/>
              </w:rPr>
              <w:br w:type="textWrapping"/>
            </w:r>
            <w:r>
              <w:rPr>
                <w:rFonts w:hint="eastAsia" w:ascii="宋体" w:hAnsi="宋体"/>
                <w:b/>
                <w:bCs/>
                <w:color w:val="auto"/>
                <w:szCs w:val="21"/>
                <w:highlight w:val="none"/>
              </w:rPr>
              <w:t>★</w:t>
            </w:r>
            <w:r>
              <w:rPr>
                <w:rFonts w:hint="eastAsia" w:ascii="宋体" w:hAnsi="宋体" w:cs="宋体"/>
                <w:color w:val="auto"/>
                <w:kern w:val="0"/>
                <w:szCs w:val="21"/>
                <w:highlight w:val="none"/>
                <w:lang w:bidi="ar"/>
              </w:rPr>
              <w:t>4.内存：16GB 笔记本内存或以上配置。</w:t>
            </w:r>
            <w:r>
              <w:rPr>
                <w:rFonts w:hint="eastAsia" w:ascii="宋体" w:hAnsi="宋体" w:cs="宋体"/>
                <w:color w:val="auto"/>
                <w:kern w:val="0"/>
                <w:szCs w:val="21"/>
                <w:highlight w:val="none"/>
                <w:lang w:bidi="ar"/>
              </w:rPr>
              <w:br w:type="textWrapping"/>
            </w:r>
            <w:r>
              <w:rPr>
                <w:rFonts w:hint="eastAsia" w:ascii="宋体" w:hAnsi="宋体"/>
                <w:b/>
                <w:bCs/>
                <w:color w:val="auto"/>
                <w:szCs w:val="21"/>
                <w:highlight w:val="none"/>
              </w:rPr>
              <w:t>★</w:t>
            </w:r>
            <w:r>
              <w:rPr>
                <w:rFonts w:hint="eastAsia" w:ascii="宋体" w:hAnsi="宋体" w:cs="宋体"/>
                <w:color w:val="auto"/>
                <w:kern w:val="0"/>
                <w:szCs w:val="21"/>
                <w:highlight w:val="none"/>
                <w:lang w:bidi="ar"/>
              </w:rPr>
              <w:t>5.硬盘：512 GB或以上SSD固态硬盘配置。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6.机身采用热浸镀锌金属材质，采用智能风扇低噪音散热设计,模块主体尺寸不小于22cm*17cm*3cm以预留足够散热空间，确保封闭空间内有效散热。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7.和整机的连接采用万兆级接口，传输速率≥10Gbps。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8.具有独立非外扩展的视频输出接口：≥1路HDMI ，≥3路USB。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9.PC模块的USB接口须为冗余备份接口，在正常使用整机的内置摄像头、内置麦克风功能时，USB接口不被占用，确保教师有足够的接口外接存储设备及显示设备。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10.安全性保障：具有标准PC防盗锁孔。</w:t>
            </w:r>
          </w:p>
          <w:p>
            <w:pPr>
              <w:pStyle w:val="18"/>
              <w:numPr>
                <w:ilvl w:val="0"/>
                <w:numId w:val="3"/>
              </w:numPr>
              <w:ind w:firstLine="0" w:firstLineChars="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预装正版windows10及以上操作系统</w:t>
            </w:r>
            <w:r>
              <w:rPr>
                <w:rFonts w:hint="eastAsia" w:ascii="宋体" w:hAnsi="宋体" w:cs="宋体"/>
                <w:color w:val="auto"/>
                <w:kern w:val="0"/>
                <w:szCs w:val="21"/>
                <w:highlight w:val="none"/>
                <w:lang w:val="en-US" w:eastAsia="zh-CN" w:bidi="ar"/>
              </w:rPr>
              <w:t>并永久激活</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（二）嵌入式系统要求</w:t>
            </w:r>
            <w:r>
              <w:rPr>
                <w:rFonts w:hint="eastAsia" w:ascii="宋体" w:hAnsi="宋体" w:cs="宋体"/>
                <w:color w:val="auto"/>
                <w:kern w:val="0"/>
                <w:szCs w:val="21"/>
                <w:highlight w:val="none"/>
                <w:lang w:bidi="ar"/>
              </w:rPr>
              <w:br w:type="textWrapping"/>
            </w:r>
            <w:r>
              <w:rPr>
                <w:rFonts w:hint="eastAsia" w:ascii="宋体" w:hAnsi="宋体" w:cs="宋体"/>
                <w:bCs/>
                <w:color w:val="auto"/>
                <w:kern w:val="0"/>
                <w:szCs w:val="21"/>
                <w:highlight w:val="none"/>
              </w:rPr>
              <w:t>▲</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rPr>
              <w:t>嵌入式系统版本≥Android 1</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；主频≥1.8GHz；内存≥2GB；存储空间≥8GB。</w:t>
            </w:r>
            <w:r>
              <w:rPr>
                <w:rFonts w:hint="eastAsia" w:ascii="宋体" w:hAnsi="宋体" w:cs="宋体"/>
                <w:strike/>
                <w:color w:val="auto"/>
                <w:kern w:val="0"/>
                <w:szCs w:val="21"/>
                <w:highlight w:val="none"/>
                <w:lang w:bidi="ar"/>
              </w:rPr>
              <w:br w:type="textWrapping"/>
            </w:r>
            <w:r>
              <w:rPr>
                <w:rFonts w:hint="eastAsia" w:ascii="宋体" w:hAnsi="宋体" w:cs="宋体"/>
                <w:color w:val="auto"/>
                <w:kern w:val="0"/>
                <w:szCs w:val="21"/>
                <w:highlight w:val="none"/>
                <w:lang w:bidi="ar"/>
              </w:rPr>
              <w:t>2.无PC状态下，嵌入式Android操作系统下可实现windows系统中常用的教学应用功能，如白板书写、WPS软件使用、网页浏览。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具备电视遥控功能和电脑键盘常用的F1至F12功能键及Alt+F4.Alt+Tab、Space、Enter、windows等快捷按键，可实现一键开启交互白板软件、PPT上下翻页、一键锁定/解锁触摸及整机实体按键、一键冻结屏幕、一键查看整机温度的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4.嵌入式Android操作系统下，互动白板支持不同背景颜色，同时提供学科专用背景，如：五线谱、信纸、田字格、英文格、篮球和足球场地平面图。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5.在嵌入式Android操作系统下，能对TV多媒体USB所读取到的文件进行自动归类，可快速分类查找文档、板书、音视频，检索后可直接在界面中打开。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无PC状态下，嵌入式系统内置互动白板支持十笔书写及手掌擦除（手掌擦除面积根据手掌与屏幕的接触面大小自动调整），白板书写内容可导出PDF、IWB、SVG格式。支持10种以上平面图形工具，支持8种以上立体图形工具。</w:t>
            </w:r>
            <w:r>
              <w:rPr>
                <w:rFonts w:hint="eastAsia" w:ascii="宋体" w:hAnsi="宋体" w:cs="宋体"/>
                <w:strike/>
                <w:color w:val="auto"/>
                <w:kern w:val="0"/>
                <w:szCs w:val="21"/>
                <w:highlight w:val="none"/>
                <w:lang w:bidi="ar"/>
              </w:rPr>
              <w:br w:type="textWrapping"/>
            </w:r>
            <w:r>
              <w:rPr>
                <w:rFonts w:hint="eastAsia" w:ascii="宋体" w:hAnsi="宋体" w:cs="宋体"/>
                <w:color w:val="auto"/>
                <w:kern w:val="0"/>
                <w:szCs w:val="21"/>
                <w:highlight w:val="none"/>
                <w:lang w:bidi="ar"/>
              </w:rPr>
              <w:t>7.无PC状态下，嵌入式系统内置互动白板支持全局漫游，并能在工具栏中对全局内容进行预览和移动。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三、前置面板性能要求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1.整机具备至少6个前置按键，实现老师开关机、调出中控菜单、音量+/-、护眼、录屏的操作。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2.智能电子产品一键式设计：三合一电源按键，同一电源物理按键完成Android系统和Windows系统的开机、节能熄屏、关机操作；关机状态下按按键开机；开机状态下按按键实现节能熄屏/唤醒，长按按键实现关机。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3.一键录屏功能：设备支持通过前置面板物理按键一键启动录屏功能，可将屏幕中显示的课件、音频内容与人声同时录制。</w:t>
            </w:r>
            <w:r>
              <w:rPr>
                <w:rFonts w:hint="eastAsia" w:ascii="宋体" w:hAnsi="宋体" w:cs="宋体"/>
                <w:strike/>
                <w:color w:val="auto"/>
                <w:kern w:val="0"/>
                <w:szCs w:val="21"/>
                <w:highlight w:val="none"/>
                <w:lang w:bidi="ar"/>
              </w:rPr>
              <w:br w:type="textWrapping"/>
            </w:r>
            <w:r>
              <w:rPr>
                <w:rFonts w:hint="eastAsia" w:ascii="宋体" w:hAnsi="宋体" w:cs="宋体"/>
                <w:color w:val="auto"/>
                <w:kern w:val="0"/>
                <w:szCs w:val="21"/>
                <w:highlight w:val="none"/>
                <w:lang w:bidi="ar"/>
              </w:rPr>
              <w:t>4.一键护眼功能：可通过前置面板物理功能按键一键启用经典护眼模式。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5.支持锁定屏幕触摸和整机前置按键，可通过遥控器、十指长按屏幕5秒、软件菜单（调试菜单）实现该功能，也可通过前置面板的物理按键以组合按键的形式进行锁定/解锁。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设备支持自定义前置“设置"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7.整机关机状态下，通过长按电源键进入设置界面后，可点击屏幕选择故障检测、系统还原功能。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四、整机接口功能要求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（一）前置Type-C接口要求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1.支持前置Type-C接口，通过Type-C接口实现音视频输入，外接电脑设备通过双头TypeC线连接至整机，即可把外接电脑设备画面投到整机上，同时在整机上操作画面，可实现触摸电脑的操作，无需再连接触控USB线。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2.外接电脑设备通过机外TypeC线连接至整机Type-C口，可直接调用整机内置的摄像头、麦克风、扬声器，在外接电脑可拍摄教室画面。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3.前置Type-C接口，支持通过外部线缆，实现外接电脑HDMI信号的接入显示。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4.外接电脑设备通过双头Type-C数据线连接至整机，可调用整机内置的摄像头、麦克风、扬声器，可在外接电脑上控制整机拍摄教室画面。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（二）USB接口要求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1.外接电脑设备连接整机且触摸信号连通时，外接电脑设备可直接读取整机前置USB接口的移动存储设备数据，连接整机前置USB接口的翻页笔和无线键鼠可直接使用于外接电脑。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2.前置USB接口支持Android、Windows系统读取外接移动存储设备。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3.在Android系统下，能对TV多媒体USB所读取到的文件进行自动归类，可分类查找文档、板书、图片、音视频，检索后可直接在界面中打开。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整机支持同一品牌的视频展台通过USB等方式连接，支持一键打开/关闭展台软件；在任意通道下均可实时查看视频展台连接状态，当设备连接/断开连接时，提供实时反馈提示；同时支持读取视频展台设备型号，对应显示设备实物图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（三）其他接口要求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1.外接电脑设备通过HDMI线投送画面至整机时，再连接TypeB USB线至整机触控输出接口，即可直接调用整机内置的摄像头、麦克风、扬声器，在外接电脑即可拍摄教室画面。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2.支持通道自动跳转功能，如整机处于正常使用状态，HDMI信号接入时，能自动识别并切换到对应的HDMI信号源通道，且断开后能回到上一通道，自动跳转前支持选择确认，待确认后再跳转。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3.支持外接信号输入时自动唤醒功能，整机处于关机通电状态，外接电脑显示信号通过HDMI传输线连接至整机时，整机可智能识别外接电脑设备信号输入并自动开机。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4.具备≥2路HDMI，≥1路RS232接口。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五、主屏要求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（一）显示系统配置要求</w:t>
            </w:r>
            <w:r>
              <w:rPr>
                <w:rFonts w:hint="eastAsia" w:ascii="宋体" w:hAnsi="宋体" w:cs="宋体"/>
                <w:color w:val="auto"/>
                <w:kern w:val="0"/>
                <w:szCs w:val="21"/>
                <w:highlight w:val="none"/>
                <w:lang w:bidi="ar"/>
              </w:rPr>
              <w:br w:type="textWrapping"/>
            </w:r>
            <w:r>
              <w:rPr>
                <w:rFonts w:hint="eastAsia" w:ascii="宋体" w:hAnsi="宋体"/>
                <w:b/>
                <w:bCs/>
                <w:color w:val="auto"/>
                <w:szCs w:val="21"/>
                <w:highlight w:val="none"/>
              </w:rPr>
              <w:t>★</w:t>
            </w:r>
            <w:r>
              <w:rPr>
                <w:rFonts w:hint="eastAsia" w:ascii="宋体" w:hAnsi="宋体" w:cs="宋体"/>
                <w:color w:val="auto"/>
                <w:kern w:val="0"/>
                <w:szCs w:val="21"/>
                <w:highlight w:val="none"/>
                <w:lang w:bidi="ar"/>
              </w:rPr>
              <w:t>1.采用UHD超高清LED液晶屏，尺寸≥86吋，显示比例16:9，分辨率3840×2160，显示灰度等级≥256。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2.整机视网膜蓝光危害（蓝光加权辐射亮度LB）满足IEC TR 62778:2014蓝光危害RG0级别。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3.蓝光占比（有害蓝光415～455nm能量综合）/（整体蓝光400～500能量综合）＜50%。</w:t>
            </w:r>
          </w:p>
          <w:p>
            <w:pPr>
              <w:pStyle w:val="18"/>
              <w:ind w:firstLine="0" w:firstLineChars="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4.整机能感应并自动调节屏幕亮度来达到在不同光照环境下的不同亮度显示效果。此功能可自行开启或关闭。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5.整机支持色彩空间可选，包含标准模式和sRGB模式，在sRGB模式下可做到高色准△E≤1.5。</w:t>
            </w:r>
          </w:p>
          <w:p>
            <w:pPr>
              <w:pStyle w:val="18"/>
              <w:ind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6.支持标准、多媒体和节能三种图像模式调节；支持可自定义图像设置，可对对比度、屏幕色温、图像亮度、亮度范围、色彩空间进行调节设置。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（二）触控书写系统配置要求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rPr>
              <w:t>采用电容触控方式，支持Windows系统中进行40点或以上触控，支持Android系统中进行40点或以上触控。</w:t>
            </w:r>
          </w:p>
          <w:p>
            <w:pPr>
              <w:pStyle w:val="18"/>
              <w:ind w:firstLine="0" w:firstLineChars="0"/>
              <w:rPr>
                <w:color w:val="auto"/>
                <w:highlight w:val="none"/>
              </w:rPr>
            </w:pPr>
            <w:r>
              <w:rPr>
                <w:rFonts w:hint="eastAsia" w:ascii="宋体" w:hAnsi="宋体" w:cs="宋体"/>
                <w:color w:val="auto"/>
                <w:kern w:val="0"/>
                <w:szCs w:val="21"/>
                <w:highlight w:val="none"/>
                <w:lang w:bidi="ar"/>
              </w:rPr>
              <w:t>2.从内部Android通道切换到内部PC通道后，触摸框在1s内达到可触控状态；从内部PC通道切换到外部通道后，触摸框在3s内达到可触控状态。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3.触摸分辨率32768×32768；触摸屏具有防遮挡功能，触摸接收器在单点或多点遮挡后仍能正常书写。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4.触摸屏在照度80K LUX（勒克司）环境下仍能正常工作。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5.Windows 7.Windows 8.Windows 10.Linux、Mac Os系统外置电脑操作系统接入时，无需安装触摸驱动。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六、整机副屏要求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1.整机设备副屏光泽度符合GB 28231-2011《书写板安全卫生要求》，粉笔板书写面的光泽度应在6光泽单位以下，不应有因粉笔板本身的原因产生眩光。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2.整机两侧副屏可支持以下媒介（普通粉笔、液体粉笔、成膜笔）进行板书书写。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3.整机设备副屏光泽度符合GB 28231-2011《书写板安全卫生要求》，粉笔板书写面的光泽度应在6光泽单位以下，不应有因粉笔板本身的原因产生眩光。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4.整机设备副屏甲醛释放限量符合GB 28231-2011《书写板安全卫生要求》，甲醛释放限量应不大于1.5mg/L。</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七、整机内置功能要求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（一）摄像头配置要求</w:t>
            </w:r>
          </w:p>
          <w:p>
            <w:pPr>
              <w:widowControl/>
              <w:ind w:firstLine="0" w:firstLineChars="0"/>
              <w:rPr>
                <w:rFonts w:hint="eastAsia" w:ascii="宋体" w:hAnsi="宋体" w:cs="宋体"/>
                <w:color w:val="auto"/>
                <w:kern w:val="0"/>
                <w:szCs w:val="21"/>
                <w:highlight w:val="none"/>
              </w:rPr>
            </w:pPr>
            <w:r>
              <w:rPr>
                <w:rFonts w:hint="eastAsia" w:ascii="宋体" w:hAnsi="宋体" w:cs="宋体"/>
                <w:bCs/>
                <w:color w:val="auto"/>
                <w:kern w:val="0"/>
                <w:szCs w:val="21"/>
                <w:highlight w:val="none"/>
              </w:rPr>
              <w:t>▲</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rPr>
              <w:t>整机上边框内置非独立摄像头，采用一体化集成设计，摄像头数量≥4个。视场角≥141度且水平视场角≥139度，可拍摄≥1600万像素的照片，支持输出8192×2048分辨率的照片和视频，支持画面畸变矫正功能。支持同时输出至少 3 路视频流，同时支持课堂远程巡课、课堂教学数据采集、本地画面预览（拍照或视频录制）。</w:t>
            </w:r>
          </w:p>
          <w:p>
            <w:pPr>
              <w:widowControl/>
              <w:ind w:firstLine="0" w:firstLineChars="0"/>
              <w:rPr>
                <w:rFonts w:hint="eastAsia" w:ascii="宋体" w:hAnsi="宋体" w:cs="宋体"/>
                <w:strike/>
                <w:color w:val="auto"/>
                <w:kern w:val="0"/>
                <w:szCs w:val="21"/>
                <w:highlight w:val="none"/>
                <w:lang w:bidi="ar"/>
              </w:rPr>
            </w:pPr>
            <w:r>
              <w:rPr>
                <w:rFonts w:hint="eastAsia" w:ascii="宋体" w:hAnsi="宋体" w:cs="宋体"/>
                <w:color w:val="auto"/>
                <w:kern w:val="0"/>
                <w:szCs w:val="21"/>
                <w:highlight w:val="none"/>
                <w:lang w:bidi="ar"/>
              </w:rPr>
              <w:t>2.整机摄像头支持人脸识别、快速点人数、随机抽人；识别所有学生，显示标记，然后随机抽选，同时显示标记不少于50人。</w:t>
            </w:r>
          </w:p>
          <w:p>
            <w:pPr>
              <w:widowControl/>
              <w:ind w:firstLine="0" w:firstLineChars="0"/>
              <w:rPr>
                <w:rFonts w:hint="eastAsia" w:ascii="宋体" w:hAnsi="宋体" w:cs="宋体"/>
                <w:color w:val="auto"/>
                <w:kern w:val="0"/>
                <w:szCs w:val="21"/>
                <w:highlight w:val="none"/>
              </w:rPr>
            </w:pPr>
            <w:r>
              <w:rPr>
                <w:rFonts w:hint="eastAsia" w:ascii="宋体" w:hAnsi="宋体" w:cs="宋体"/>
                <w:bCs/>
                <w:color w:val="auto"/>
                <w:kern w:val="0"/>
                <w:szCs w:val="21"/>
                <w:highlight w:val="none"/>
              </w:rPr>
              <w:t>▲</w:t>
            </w:r>
            <w:r>
              <w:rPr>
                <w:rFonts w:hint="eastAsia" w:ascii="宋体" w:hAnsi="宋体" w:cs="宋体"/>
                <w:color w:val="auto"/>
                <w:kern w:val="0"/>
                <w:szCs w:val="21"/>
                <w:highlight w:val="none"/>
                <w:lang w:bidi="ar"/>
              </w:rPr>
              <w:t>3.整机上边框内置非独式广角摄像头和智能拼接摄像头， 均支持 3D 降噪算法和数字宽动态范围成像WDR 技术，支持输出 MJPG、 H.264 视频格式。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4.支持在设备上获取并自动识别教室内所有人员，可通过随机算法抽选1人，辅助教学活动的举行。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w:t>
            </w:r>
            <w:r>
              <w:rPr>
                <w:rFonts w:hint="eastAsia" w:ascii="宋体" w:hAnsi="宋体" w:cs="宋体"/>
                <w:color w:val="auto"/>
                <w:kern w:val="0"/>
                <w:szCs w:val="21"/>
                <w:highlight w:val="none"/>
              </w:rPr>
              <w:t>整机摄像头支持环境色温判断，根据环境调节合适的显示图像效果。</w:t>
            </w:r>
          </w:p>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（二）音频配置要求</w:t>
            </w:r>
            <w:r>
              <w:rPr>
                <w:rFonts w:hint="eastAsia" w:ascii="宋体" w:hAnsi="宋体" w:cs="宋体"/>
                <w:color w:val="auto"/>
                <w:kern w:val="0"/>
                <w:szCs w:val="21"/>
                <w:highlight w:val="none"/>
                <w:lang w:bidi="ar"/>
              </w:rPr>
              <w:br w:type="textWrapping"/>
            </w:r>
            <w:r>
              <w:rPr>
                <w:rFonts w:hint="eastAsia" w:ascii="宋体" w:hAnsi="宋体" w:cs="宋体"/>
                <w:bCs/>
                <w:color w:val="auto"/>
                <w:kern w:val="0"/>
                <w:szCs w:val="21"/>
                <w:highlight w:val="none"/>
              </w:rPr>
              <w:t>1</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rPr>
              <w:t>整机内置非独立外扩展的8阵列麦克风，拾音角度≥180°，可用于对教室环境音频进行采集，拾音距离≥12m。</w:t>
            </w:r>
            <w:r>
              <w:rPr>
                <w:rFonts w:hint="eastAsia" w:ascii="宋体" w:hAnsi="宋体" w:cs="宋体"/>
                <w:strike/>
                <w:color w:val="auto"/>
                <w:kern w:val="0"/>
                <w:szCs w:val="21"/>
                <w:highlight w:val="none"/>
                <w:lang w:bidi="ar"/>
              </w:rPr>
              <w:br w:type="textWrapping"/>
            </w:r>
            <w:r>
              <w:rPr>
                <w:rFonts w:hint="eastAsia" w:ascii="宋体" w:hAnsi="宋体" w:cs="宋体"/>
                <w:bCs/>
                <w:color w:val="auto"/>
                <w:kern w:val="0"/>
                <w:szCs w:val="21"/>
                <w:highlight w:val="none"/>
              </w:rPr>
              <w:t>▲</w:t>
            </w:r>
            <w:r>
              <w:rPr>
                <w:rFonts w:hint="eastAsia" w:ascii="宋体" w:hAnsi="宋体" w:cs="宋体"/>
                <w:color w:val="auto"/>
                <w:kern w:val="0"/>
                <w:szCs w:val="21"/>
                <w:highlight w:val="none"/>
                <w:lang w:bidi="ar"/>
              </w:rPr>
              <w:t>2.整机内置至少2.2声道扬声器，前发声，≥10W高音扬声器2个，≥20W中低音扬声器2个，额定总功率≥60W。</w:t>
            </w:r>
          </w:p>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3.整机内置扬声器采用缝隙发声技术，喇叭采用槽式开口设计，不大于5.8mm；在100%音量下，可做到1米处声压级≥88db，10米处声压级≥73dB。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4.支持高级音效设置，可以调节左右声道平衡；在中低频段125Hz～1KHz，高频段2KHz～16KHz分别有-12dB～12dB范围的调节功能。</w:t>
            </w:r>
          </w:p>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5.整机扬声器采用模块化设计，无需打开背板即可单独拆卸。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（三）网络功能要求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1.整机内置无线网络模块，PC模块无任何外接或转接天线、网卡可实现Wi-Fi无线上网连接和AP无线热点发射。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2.Wi-Fi和AP热点均支持频段 2.4GHz/5GHz ，Wi-Fi制式支持IEEE 802.11 a/b/g/n/ac/ax；支持版本Wi-Fi6。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3.Wi-Fi和AP热点工作距离≥10米。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4.整机无需外接无线网卡，在Windows系统下接入无线网络，切换到嵌入式Android系统下可直接实现无线上网功能，不需手动重复设置。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5.部署单根网线可实现Android、Windows双系统有线网络连通。</w:t>
            </w:r>
          </w:p>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bCs/>
                <w:color w:val="auto"/>
                <w:kern w:val="0"/>
                <w:szCs w:val="21"/>
                <w:highlight w:val="none"/>
              </w:rPr>
              <w:t>▲</w:t>
            </w:r>
            <w:r>
              <w:rPr>
                <w:rFonts w:hint="eastAsia" w:ascii="宋体" w:hAnsi="宋体" w:cs="宋体"/>
                <w:color w:val="auto"/>
                <w:kern w:val="0"/>
                <w:szCs w:val="21"/>
                <w:highlight w:val="none"/>
                <w:lang w:bidi="ar"/>
              </w:rPr>
              <w:t>6.整机支持发出频率为18kHz-22kHz超声波信号，智能手机通过麦克风接收后，智能手机与整机无需在同一局域网内，可实现配对，一键投屏，用户无需手动输入投屏码或扫码获取投屏码；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（四）蓝牙配置要求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1.整机支持蓝牙Bluetooth 5.2标准，固件版本号HCI11.20/LMP11.20。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2.整机支持主动发现蓝牙外设从而连接（无需整机进入发现模式），支持连接外部蓝牙音箱播放音频。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（五）NFC配置要求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1.整机支持搭配具有NFC功能的手机、平板，通过接触整机设备上的NFC标签，即可实现手机、平板与大屏的连接并同步手机、平板的画面到设备上，无需其它操作设置，支持不少于4台手机、平板同时连接并显示。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（六）侧边栏教学功能要求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1.整机全通道侧边栏快捷菜单中应用软件可进行实时切换并打开，无需退出当前全屏模式的应用软件再选择更换；可实时查看物联设备的连接情况，点击任意一台设备图标即可调出中控菜单进行管控。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2.整机全通道侧边栏支持秒表正计时，点击开始计时便自动开始，并实时显示时间。整机全通道侧边栏支持倒计时，输入某特定时间值，可精确到秒，点击开始进入倒计时。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3.整机全通道侧边栏支持自主选择所需截取的屏幕范围，点击截屏可成功截取屏幕，并自动保存。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4.整机全通道侧边栏快捷菜单中支持切换智能息屏、纸质护眼模式、经典护眼模式、自动亮度模式，并可调节音量、亮度。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5.整机全通道侧边栏快捷菜单包含如下小工具：批注、截屏、计时、降半屏、放大镜、日历。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6.整机全通道侧边栏支持在任意通道、页面使用批注小工具进行批注讲解，可切换书写笔颜色、截屏保存批注内容、快速清屏，可根据手与屏幕的接触面积自动调整板擦工具的大小。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7.整机全通道侧边栏支持放大任意区域内容，并可支持对未选中区域关灯处理，实现聚光灯效果。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8.整机全通道侧边栏支持快速将设备屏幕降低为半屏幕状态，点击上半屏幕可快速返回全屏状态。</w:t>
            </w:r>
          </w:p>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bCs/>
                <w:color w:val="auto"/>
                <w:kern w:val="0"/>
                <w:szCs w:val="21"/>
                <w:highlight w:val="none"/>
              </w:rPr>
              <w:t>▲</w:t>
            </w:r>
            <w:r>
              <w:rPr>
                <w:rFonts w:hint="eastAsia" w:ascii="宋体" w:hAnsi="宋体" w:cs="宋体"/>
                <w:color w:val="auto"/>
                <w:kern w:val="0"/>
                <w:szCs w:val="21"/>
                <w:highlight w:val="none"/>
                <w:lang w:bidi="ar"/>
              </w:rPr>
              <w:t>9.整机侧边栏内置朗读工具，通过整机麦克风监测教室中学生的朗读情况，并以游戏化界面反馈学生朗读音量大小。侧边栏同时内置自习工具，通过整机麦克风监测教室中学生音量大小，当学生音量大于阈值时，屏幕自动弹窗提醒进行自习纪律干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（七）其他功能要求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1.内置触摸中控菜单，将信号源通道切换、护眼、声音调节整合到同一菜单下，无须实体按键，在任意显示通道下均可通过手势在屏幕上调取该触摸菜单。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2.支持半屏模式，将Windows显示画面上半部分下拉到显示屏的下半部分显示，此时依然可以正常触控操作Windows系统；点击非Windows显示画面区域，即可退出该模式，无需其他设置。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3.支持智能U盘锁功能，整机可设置触摸及按键锁定，锁定后无法随意自由操作，需要使用时插入USB key可解锁。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4.整机具备智能手势识别功能，在任意信号源通道下可识别五指上、下、左、右方向手势，左右晃动调用相应功能，支持将各手势滑动方向自定义设置为无操作、熄屏、批注、桌面、半屏模式。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5.支持统一互通的用户身份认证服务，账号登录后，打开教学白板软件、学生行为评价软件的教学应用工具时无需再次输入账号密码重复登录。</w:t>
            </w:r>
            <w:r>
              <w:rPr>
                <w:rFonts w:hint="eastAsia" w:ascii="宋体" w:hAnsi="宋体" w:cs="宋体"/>
                <w:color w:val="auto"/>
                <w:kern w:val="0"/>
                <w:szCs w:val="21"/>
                <w:highlight w:val="none"/>
                <w:lang w:bidi="ar"/>
              </w:rPr>
              <w:br w:type="textWrapping"/>
            </w:r>
            <w:r>
              <w:rPr>
                <w:rFonts w:hint="eastAsia" w:ascii="宋体" w:hAnsi="宋体" w:cs="宋体"/>
                <w:bCs/>
                <w:color w:val="auto"/>
                <w:kern w:val="0"/>
                <w:szCs w:val="21"/>
                <w:highlight w:val="none"/>
              </w:rPr>
              <w:t>▲</w:t>
            </w:r>
            <w:r>
              <w:rPr>
                <w:rFonts w:hint="eastAsia" w:ascii="宋体" w:hAnsi="宋体" w:cs="宋体"/>
                <w:color w:val="auto"/>
                <w:kern w:val="0"/>
                <w:szCs w:val="21"/>
                <w:highlight w:val="none"/>
                <w:lang w:bidi="ar"/>
              </w:rPr>
              <w:t>6.教师在整机设备教学桌面登录账号后，可自动获取并在桌面显示最近使用的教学课件，点击任意课件可直接进入授课模式。支持查看所有个人教学课件资源。</w:t>
            </w:r>
          </w:p>
          <w:p>
            <w:pPr>
              <w:widowControl/>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7、投屏功能要求：台式机、笔记本电脑、手机等设备可以实现投屏功能。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pStyle w:val="21"/>
              <w:ind w:firstLine="0" w:firstLineChars="0"/>
              <w:rPr>
                <w:rFonts w:hint="eastAsia" w:hAnsi="宋体"/>
                <w:color w:val="auto"/>
                <w:sz w:val="21"/>
                <w:szCs w:val="21"/>
                <w:highlight w:val="none"/>
              </w:rPr>
            </w:pPr>
            <w:r>
              <w:rPr>
                <w:rFonts w:hint="eastAsia" w:hAnsi="宋体"/>
                <w:color w:val="auto"/>
                <w:sz w:val="21"/>
                <w:szCs w:val="21"/>
                <w:highlight w:val="none"/>
              </w:rPr>
              <w:t>2</w:t>
            </w:r>
          </w:p>
        </w:tc>
        <w:tc>
          <w:tcPr>
            <w:tcW w:w="888" w:type="dxa"/>
          </w:tcPr>
          <w:p>
            <w:pPr>
              <w:pStyle w:val="21"/>
              <w:ind w:firstLine="0" w:firstLineChars="0"/>
              <w:rPr>
                <w:rFonts w:hint="eastAsia" w:hAnsi="宋体"/>
                <w:color w:val="auto"/>
                <w:sz w:val="21"/>
                <w:szCs w:val="21"/>
                <w:highlight w:val="none"/>
              </w:rPr>
            </w:pPr>
            <w:r>
              <w:rPr>
                <w:rFonts w:hint="eastAsia" w:hAnsi="宋体"/>
                <w:color w:val="auto"/>
                <w:sz w:val="21"/>
                <w:szCs w:val="21"/>
                <w:highlight w:val="none"/>
              </w:rPr>
              <w:t>壁挂式视频展台</w:t>
            </w:r>
          </w:p>
        </w:tc>
        <w:tc>
          <w:tcPr>
            <w:tcW w:w="630" w:type="dxa"/>
            <w:gridSpan w:val="2"/>
          </w:tcPr>
          <w:p>
            <w:pPr>
              <w:pStyle w:val="21"/>
              <w:ind w:firstLine="0" w:firstLineChars="0"/>
              <w:rPr>
                <w:rFonts w:hint="eastAsia" w:hAnsi="宋体"/>
                <w:color w:val="auto"/>
                <w:sz w:val="21"/>
                <w:szCs w:val="21"/>
                <w:highlight w:val="none"/>
              </w:rPr>
            </w:pPr>
            <w:r>
              <w:rPr>
                <w:rFonts w:hint="eastAsia" w:hAnsi="宋体"/>
                <w:color w:val="auto"/>
                <w:sz w:val="21"/>
                <w:szCs w:val="21"/>
                <w:highlight w:val="none"/>
              </w:rPr>
              <w:t>台</w:t>
            </w:r>
          </w:p>
        </w:tc>
        <w:tc>
          <w:tcPr>
            <w:tcW w:w="645" w:type="dxa"/>
          </w:tcPr>
          <w:p>
            <w:pPr>
              <w:pStyle w:val="21"/>
              <w:ind w:firstLine="0" w:firstLineChars="0"/>
              <w:rPr>
                <w:rFonts w:hint="eastAsia" w:hAnsi="宋体"/>
                <w:color w:val="auto"/>
                <w:sz w:val="21"/>
                <w:szCs w:val="21"/>
                <w:highlight w:val="none"/>
              </w:rPr>
            </w:pPr>
            <w:r>
              <w:rPr>
                <w:rFonts w:hint="eastAsia" w:hAnsi="宋体"/>
                <w:color w:val="auto"/>
                <w:sz w:val="21"/>
                <w:szCs w:val="21"/>
                <w:highlight w:val="none"/>
              </w:rPr>
              <w:t>58</w:t>
            </w:r>
          </w:p>
        </w:tc>
        <w:tc>
          <w:tcPr>
            <w:tcW w:w="7265" w:type="dxa"/>
          </w:tcPr>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1.整机采用圆弧式无锐角无利边设计，有效防止师生刮伤。壁挂式安装，防盗防破坏。</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2.采用≥800万像素摄像头；可拍摄 A4幅面；支持延迟拍照功能。</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3.采用 USB电源直接供电，无需额外配置电源适配器；箱内USB连线采用隐藏式设计，箱内无可见连线且USB口下出。便于布线且有效防尘积灰。</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4.摄像头支持自动对焦；摄像头外壳防护等级IP4X。带保护镜片密封，防止灰尘沾染摄像头。</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5.展示托板正上方具备LED补光灯补光灯开关采用触摸按键设计，同时可通过视频展台软件直接控制开关；</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5.支持展台画面实时批注，预设多种笔划粗细及颜色供选择，且支持对展台画面联同批注内容进行同步缩放、移动。</w:t>
            </w:r>
          </w:p>
          <w:p>
            <w:pPr>
              <w:spacing w:line="360" w:lineRule="auto"/>
              <w:ind w:firstLine="0" w:firstLineChars="0"/>
              <w:jc w:val="left"/>
              <w:rPr>
                <w:rFonts w:hint="eastAsia" w:ascii="宋体" w:hAnsi="宋体" w:cs="宋体"/>
                <w:color w:val="auto"/>
                <w:kern w:val="0"/>
                <w:szCs w:val="21"/>
                <w:highlight w:val="none"/>
                <w:lang w:bidi="ar"/>
              </w:rPr>
            </w:pPr>
            <w:r>
              <w:rPr>
                <w:rFonts w:hint="eastAsia" w:ascii="宋体" w:hAnsi="宋体" w:cs="宋体"/>
                <w:color w:val="auto"/>
                <w:szCs w:val="21"/>
                <w:highlight w:val="none"/>
              </w:rPr>
              <w:t>6.支持故障自动检测，在软件无法出现展台拍摄画面时，自动出现检测链接，检测“无画面”的原因，并给出引导性解决方案。可判断硬件连接、显卡驱动、摄像头占用、软件版本等问题。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pStyle w:val="21"/>
              <w:ind w:firstLine="0" w:firstLineChars="0"/>
              <w:rPr>
                <w:rFonts w:hint="eastAsia" w:hAnsi="宋体"/>
                <w:color w:val="auto"/>
                <w:sz w:val="21"/>
                <w:szCs w:val="21"/>
                <w:highlight w:val="none"/>
              </w:rPr>
            </w:pPr>
            <w:r>
              <w:rPr>
                <w:rFonts w:hint="eastAsia" w:hAnsi="宋体"/>
                <w:color w:val="auto"/>
                <w:sz w:val="21"/>
                <w:szCs w:val="21"/>
                <w:highlight w:val="none"/>
              </w:rPr>
              <w:t>3</w:t>
            </w:r>
          </w:p>
        </w:tc>
        <w:tc>
          <w:tcPr>
            <w:tcW w:w="888" w:type="dxa"/>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有源音响</w:t>
            </w:r>
          </w:p>
        </w:tc>
        <w:tc>
          <w:tcPr>
            <w:tcW w:w="630" w:type="dxa"/>
            <w:gridSpan w:val="2"/>
          </w:tcPr>
          <w:p>
            <w:pPr>
              <w:pStyle w:val="21"/>
              <w:ind w:firstLine="0" w:firstLineChars="0"/>
              <w:rPr>
                <w:rFonts w:hint="eastAsia" w:hAnsi="宋体"/>
                <w:color w:val="auto"/>
                <w:sz w:val="21"/>
                <w:szCs w:val="21"/>
                <w:highlight w:val="none"/>
              </w:rPr>
            </w:pPr>
            <w:r>
              <w:rPr>
                <w:rFonts w:hint="eastAsia" w:hAnsi="宋体"/>
                <w:color w:val="auto"/>
                <w:sz w:val="21"/>
                <w:szCs w:val="21"/>
                <w:highlight w:val="none"/>
              </w:rPr>
              <w:t>个</w:t>
            </w:r>
          </w:p>
        </w:tc>
        <w:tc>
          <w:tcPr>
            <w:tcW w:w="645" w:type="dxa"/>
          </w:tcPr>
          <w:p>
            <w:pPr>
              <w:pStyle w:val="21"/>
              <w:ind w:firstLine="0" w:firstLineChars="0"/>
              <w:rPr>
                <w:rFonts w:hint="eastAsia" w:hAnsi="宋体"/>
                <w:color w:val="auto"/>
                <w:sz w:val="21"/>
                <w:szCs w:val="21"/>
                <w:highlight w:val="none"/>
              </w:rPr>
            </w:pPr>
            <w:r>
              <w:rPr>
                <w:rFonts w:hint="eastAsia" w:hAnsi="宋体"/>
                <w:color w:val="auto"/>
                <w:sz w:val="21"/>
                <w:szCs w:val="21"/>
                <w:highlight w:val="none"/>
              </w:rPr>
              <w:t>58</w:t>
            </w:r>
          </w:p>
        </w:tc>
        <w:tc>
          <w:tcPr>
            <w:tcW w:w="7265" w:type="dxa"/>
            <w:vAlign w:val="center"/>
          </w:tcPr>
          <w:p>
            <w:pPr>
              <w:widowControl/>
              <w:ind w:firstLine="0" w:firstLineChars="0"/>
              <w:jc w:val="left"/>
              <w:rPr>
                <w:rFonts w:hint="eastAsia" w:ascii="宋体" w:hAnsi="宋体" w:cs="宋体"/>
                <w:b/>
                <w:bCs/>
                <w:color w:val="auto"/>
                <w:szCs w:val="21"/>
                <w:highlight w:val="none"/>
              </w:rPr>
            </w:pPr>
            <w:r>
              <w:rPr>
                <w:rFonts w:hint="eastAsia" w:ascii="宋体" w:hAnsi="宋体" w:cs="宋体"/>
                <w:color w:val="auto"/>
                <w:kern w:val="0"/>
                <w:szCs w:val="21"/>
                <w:highlight w:val="none"/>
                <w:lang w:bidi="ar"/>
              </w:rPr>
              <w:t>1.采用功放与有源音箱一体化设计，内置麦克风无线接收模块，帮助教师实现多媒体扩音以及本地扩声功能。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2.输出额定功率≥ 2x15W。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3.音箱灵敏度≥85dB，1W/1M。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4.信噪比≥80dB@额定功率、A计权。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5.全频喇叭单元尺寸≥5英寸。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6.THD+N≤1%。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7.声频响110Hz-16kHz。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8.距离音箱10米处声压级≥75dB。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9.具备≥1路电源开关、1路LINE IN、1路USB 接口。USB接口可外接U盘设备对音箱固件进行升级。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10.支持无线麦克风扩音接收，采用Wi-Fi射频2.4GHz与 5GHz双频段传输，有效避免环境中运营商U段（700MHz）的信号干扰。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11.采用红外对码方式，避免连接到其他教室音箱。可快速完成与教学扩声麦克风对码，无需繁琐操作。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12.配置独立音频数字信号处理芯片，支持啸叫抑制功能。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13.持蓝牙无线接收，可分享移动设备上的音频。支持密码模式，防止学生连接。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14.支持安卓手机通过蓝牙无线连接音箱，实现控制有源音箱的音量、设置蓝牙名称、设置蓝牙密码等功能，方便教师对音箱的管控。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15.主音箱与副音箱采用有线连接，音箱采用木质材质，保证声音还原度。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16.为确保与教室白色墙面一致，音箱采取白色外观设计，更加美观。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4</w:t>
            </w:r>
          </w:p>
        </w:tc>
        <w:tc>
          <w:tcPr>
            <w:tcW w:w="888" w:type="dxa"/>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无线麦克风</w:t>
            </w:r>
          </w:p>
        </w:tc>
        <w:tc>
          <w:tcPr>
            <w:tcW w:w="630" w:type="dxa"/>
            <w:gridSpan w:val="2"/>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支</w:t>
            </w:r>
          </w:p>
        </w:tc>
        <w:tc>
          <w:tcPr>
            <w:tcW w:w="645" w:type="dxa"/>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58</w:t>
            </w:r>
          </w:p>
        </w:tc>
        <w:tc>
          <w:tcPr>
            <w:tcW w:w="7265" w:type="dxa"/>
          </w:tcPr>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1.无线麦克风集音频发射处理器、天线、电池、拾音麦克风于一体，配合一体化有源音箱，无需任何外接辅助设备即可实现本地扩声功能。</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2.采样率≥48KHz，16bit；扩音增益≥15dB；声频响100Hz-16kHz，底噪≤100uVrms，声信噪比≥60dB；配合一体化有源音箱，扩音延时≤35ms。</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3.用Wi-Fi射频频段传输，有效避免环境中运营商U段（700MHz）信号干扰。</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4.支持2.4GHz与5G双频段工作，信道数量≥26个。</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5.电续航时间≥5小时，满电状态可满足一天内7节课（45分钟/一节课）的高频授课，充电10分钟满足一节课（45分钟/一节课）授课时间。</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6.采用红外对码方式连接，避免连接到其他教室音箱。可在5S内快速完成与教学扩声音箱对码，无需繁琐操作。</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7.支持两个无线麦克风同时配对一个一体化有源音箱使用，实现两个麦克风混音输出进行扩音。</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8.具备Type-c外置麦克风接口，与充电接口复用。可搭配Type-C接口的麦克风进行使用，比如头戴式、挂耳式的外置麦克风。</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9.空旷无干扰的环境，无线传输有效距离≥15 米。</w:t>
            </w:r>
          </w:p>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10.一体化领夹设计，无需额外配件便可实现麦克风的领夹式使用。</w:t>
            </w:r>
          </w:p>
          <w:p>
            <w:pPr>
              <w:spacing w:line="360" w:lineRule="auto"/>
              <w:ind w:firstLine="0" w:firstLineChars="0"/>
              <w:jc w:val="left"/>
              <w:rPr>
                <w:color w:val="auto"/>
                <w:highlight w:val="none"/>
              </w:rPr>
            </w:pPr>
            <w:r>
              <w:rPr>
                <w:rFonts w:hint="eastAsia" w:ascii="宋体" w:hAnsi="宋体" w:cs="宋体"/>
                <w:color w:val="auto"/>
                <w:szCs w:val="21"/>
                <w:highlight w:val="none"/>
              </w:rPr>
              <w:t>11.外壳防火等级≥V1。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5</w:t>
            </w:r>
          </w:p>
        </w:tc>
        <w:tc>
          <w:tcPr>
            <w:tcW w:w="888" w:type="dxa"/>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无线键盘鼠标</w:t>
            </w:r>
          </w:p>
        </w:tc>
        <w:tc>
          <w:tcPr>
            <w:tcW w:w="630" w:type="dxa"/>
            <w:gridSpan w:val="2"/>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套</w:t>
            </w:r>
          </w:p>
        </w:tc>
        <w:tc>
          <w:tcPr>
            <w:tcW w:w="645" w:type="dxa"/>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58</w:t>
            </w:r>
          </w:p>
        </w:tc>
        <w:tc>
          <w:tcPr>
            <w:tcW w:w="7265" w:type="dxa"/>
          </w:tcPr>
          <w:p>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6</w:t>
            </w:r>
          </w:p>
        </w:tc>
        <w:tc>
          <w:tcPr>
            <w:tcW w:w="888" w:type="dxa"/>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安装要求</w:t>
            </w:r>
          </w:p>
        </w:tc>
        <w:tc>
          <w:tcPr>
            <w:tcW w:w="630" w:type="dxa"/>
            <w:gridSpan w:val="2"/>
          </w:tcPr>
          <w:p>
            <w:pPr>
              <w:pStyle w:val="21"/>
              <w:ind w:firstLine="0" w:firstLineChars="0"/>
              <w:rPr>
                <w:rFonts w:hint="eastAsia" w:hAnsi="宋体"/>
                <w:color w:val="auto"/>
                <w:sz w:val="21"/>
                <w:szCs w:val="21"/>
                <w:highlight w:val="none"/>
                <w:lang w:bidi="ar"/>
              </w:rPr>
            </w:pPr>
          </w:p>
        </w:tc>
        <w:tc>
          <w:tcPr>
            <w:tcW w:w="645" w:type="dxa"/>
          </w:tcPr>
          <w:p>
            <w:pPr>
              <w:pStyle w:val="21"/>
              <w:ind w:firstLine="0" w:firstLineChars="0"/>
              <w:rPr>
                <w:rFonts w:hint="eastAsia" w:hAnsi="宋体"/>
                <w:color w:val="auto"/>
                <w:sz w:val="21"/>
                <w:szCs w:val="21"/>
                <w:highlight w:val="none"/>
                <w:lang w:bidi="ar"/>
              </w:rPr>
            </w:pPr>
            <w:r>
              <w:rPr>
                <w:rFonts w:hint="eastAsia" w:hAnsi="宋体"/>
                <w:color w:val="auto"/>
                <w:sz w:val="21"/>
                <w:szCs w:val="21"/>
                <w:highlight w:val="none"/>
                <w:lang w:bidi="ar"/>
              </w:rPr>
              <w:t>58</w:t>
            </w:r>
          </w:p>
        </w:tc>
        <w:tc>
          <w:tcPr>
            <w:tcW w:w="7265" w:type="dxa"/>
          </w:tcPr>
          <w:p>
            <w:pPr>
              <w:numPr>
                <w:ilvl w:val="0"/>
                <w:numId w:val="0"/>
              </w:num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独立2P空开控制一体机及音响电源。</w:t>
            </w:r>
          </w:p>
          <w:p>
            <w:pPr>
              <w:pStyle w:val="61"/>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2P空开加装可上锁设施。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0" w:type="dxa"/>
            <w:gridSpan w:val="6"/>
            <w:vAlign w:val="center"/>
          </w:tcPr>
          <w:p>
            <w:pPr>
              <w:widowControl/>
              <w:ind w:firstLine="0" w:firstLineChars="0"/>
              <w:jc w:val="left"/>
              <w:textAlignment w:val="top"/>
              <w:rPr>
                <w:rFonts w:hint="eastAsia" w:ascii="宋体" w:hAnsi="宋体" w:cs="宋体"/>
                <w:color w:val="auto"/>
                <w:kern w:val="0"/>
                <w:szCs w:val="21"/>
                <w:highlight w:val="none"/>
                <w:lang w:bidi="ar"/>
              </w:rPr>
            </w:pPr>
            <w:r>
              <w:rPr>
                <w:rFonts w:hint="eastAsia" w:ascii="宋体" w:hAnsi="宋体" w:cs="宋体"/>
                <w:b/>
                <w:bCs/>
                <w:color w:val="auto"/>
                <w:szCs w:val="21"/>
                <w:highlight w:val="none"/>
              </w:rPr>
              <w:t>商务要求：</w:t>
            </w:r>
          </w:p>
        </w:tc>
      </w:tr>
      <w:bookmark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57" w:type="dxa"/>
            <w:gridSpan w:val="3"/>
            <w:vAlign w:val="center"/>
          </w:tcPr>
          <w:p>
            <w:pPr>
              <w:widowControl/>
              <w:ind w:firstLine="0" w:firstLineChars="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合同签订期</w:t>
            </w:r>
          </w:p>
        </w:tc>
        <w:tc>
          <w:tcPr>
            <w:tcW w:w="8403" w:type="dxa"/>
            <w:gridSpan w:val="3"/>
            <w:vAlign w:val="center"/>
          </w:tcPr>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自中标通知书发出之日起15日内。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57" w:type="dxa"/>
            <w:gridSpan w:val="3"/>
            <w:vAlign w:val="center"/>
          </w:tcPr>
          <w:p>
            <w:pPr>
              <w:widowControl/>
              <w:ind w:firstLine="0" w:firstLineChars="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交货时间及地点</w:t>
            </w:r>
          </w:p>
        </w:tc>
        <w:tc>
          <w:tcPr>
            <w:tcW w:w="8403" w:type="dxa"/>
            <w:gridSpan w:val="3"/>
            <w:vAlign w:val="center"/>
          </w:tcPr>
          <w:p>
            <w:pPr>
              <w:widowControl/>
              <w:ind w:firstLine="0" w:firstLineChars="0"/>
              <w:jc w:val="left"/>
              <w:rPr>
                <w:color w:val="auto"/>
                <w:highlight w:val="none"/>
              </w:rPr>
            </w:pPr>
            <w:r>
              <w:rPr>
                <w:rFonts w:hint="eastAsia" w:ascii="宋体" w:hAnsi="宋体" w:cs="宋体"/>
                <w:color w:val="auto"/>
                <w:kern w:val="0"/>
                <w:szCs w:val="21"/>
                <w:highlight w:val="none"/>
                <w:lang w:bidi="ar"/>
              </w:rPr>
              <w:t>1.交货期：</w:t>
            </w:r>
            <w:r>
              <w:rPr>
                <w:rFonts w:hint="eastAsia"/>
                <w:color w:val="auto"/>
                <w:highlight w:val="none"/>
              </w:rPr>
              <w:t>合同签订之日起30个日历日内。</w:t>
            </w:r>
            <w:r>
              <w:rPr>
                <w:color w:val="auto"/>
                <w:highlight w:val="none"/>
              </w:rPr>
              <w:t xml:space="preserve"> </w:t>
            </w:r>
          </w:p>
          <w:p>
            <w:pPr>
              <w:widowControl/>
              <w:ind w:firstLine="0" w:firstLineChars="0"/>
              <w:jc w:val="left"/>
              <w:rPr>
                <w:color w:val="auto"/>
                <w:highlight w:val="none"/>
              </w:rPr>
            </w:pPr>
            <w:r>
              <w:rPr>
                <w:rFonts w:hint="eastAsia" w:ascii="宋体" w:hAnsi="宋体" w:cs="宋体"/>
                <w:color w:val="auto"/>
                <w:kern w:val="0"/>
                <w:szCs w:val="21"/>
                <w:highlight w:val="none"/>
                <w:lang w:bidi="ar"/>
              </w:rPr>
              <w:t>2.交货地点：采购人指定地点（钦州市浦北县）；</w:t>
            </w:r>
          </w:p>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3.交货方式：现场交货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gridSpan w:val="3"/>
            <w:vAlign w:val="center"/>
          </w:tcPr>
          <w:p>
            <w:pPr>
              <w:widowControl/>
              <w:ind w:firstLine="0" w:firstLineChars="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质保期限</w:t>
            </w:r>
          </w:p>
        </w:tc>
        <w:tc>
          <w:tcPr>
            <w:tcW w:w="8403" w:type="dxa"/>
            <w:gridSpan w:val="3"/>
            <w:vAlign w:val="center"/>
          </w:tcPr>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按国家有关产品“三包”规定执行“三包”，自货物验收合格之日起计算，产品质保期最短不少于 1 年（“技术参数要求”有要求的则按其要求）。若厂家质保期超过此年限的，合同履行过程中按厂家规定执行。质保期满后，终身维护。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57" w:type="dxa"/>
            <w:gridSpan w:val="3"/>
            <w:vAlign w:val="center"/>
          </w:tcPr>
          <w:p>
            <w:pPr>
              <w:widowControl/>
              <w:ind w:firstLine="0" w:firstLineChars="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售后服务要求</w:t>
            </w:r>
          </w:p>
        </w:tc>
        <w:tc>
          <w:tcPr>
            <w:tcW w:w="8403" w:type="dxa"/>
            <w:gridSpan w:val="3"/>
            <w:vAlign w:val="center"/>
          </w:tcPr>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1.中标人按采购人指定的地点负责送货上门、安装、调试，负责培训使用人员和维护人员。 </w:t>
            </w:r>
          </w:p>
          <w:p>
            <w:pPr>
              <w:widowControl/>
              <w:ind w:firstLine="0" w:firstLineChars="0"/>
              <w:jc w:val="left"/>
              <w:rPr>
                <w:color w:val="auto"/>
                <w:highlight w:val="none"/>
              </w:rPr>
            </w:pPr>
            <w:r>
              <w:rPr>
                <w:rFonts w:hint="eastAsia" w:ascii="宋体" w:hAnsi="宋体" w:cs="宋体"/>
                <w:color w:val="auto"/>
                <w:kern w:val="0"/>
                <w:szCs w:val="21"/>
                <w:highlight w:val="none"/>
                <w:lang w:bidi="ar"/>
              </w:rPr>
              <w:t>2.中标人</w:t>
            </w:r>
            <w:r>
              <w:rPr>
                <w:rFonts w:hint="eastAsia" w:ascii="宋体" w:hAnsi="宋体" w:cs="宋体"/>
                <w:color w:val="auto"/>
                <w:kern w:val="0"/>
                <w:szCs w:val="21"/>
                <w:highlight w:val="none"/>
                <w:lang w:val="en-US" w:eastAsia="zh-CN" w:bidi="ar"/>
              </w:rPr>
              <w:t>需</w:t>
            </w:r>
            <w:r>
              <w:rPr>
                <w:rFonts w:hint="eastAsia" w:ascii="宋体" w:hAnsi="宋体" w:cs="宋体"/>
                <w:color w:val="auto"/>
                <w:kern w:val="0"/>
                <w:szCs w:val="21"/>
                <w:highlight w:val="none"/>
                <w:lang w:bidi="ar"/>
              </w:rPr>
              <w:t xml:space="preserve">提供安装、配线以及软硬件的测试和调整服务。系统安装之前，应先对用户人员进行现场培训。开始安装时，应让用户的硬软件和系统集成人员参与安装、检测和排除故障。中标人在施工、安装、调试等全过程中接受采购人的监督。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3.在中标人承诺的质保期内，设备保修包换所需要的配件均是原厂原装，不得使用兼容货物。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4.售后服务按厂家承诺执行。中标人超过厂家承诺标准的，按中标人提交的售后服务承诺书执行。中标人定期回访以及对设备进行维护；质保期后中标人需提供维修维护服务。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5.中标人在质量保证期内应当为采购人提供以下技术支持和服务：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（1）电话咨询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中标人应当为采购人提供技术援助电话，解答采购人在使用中遇到的问题，及时为采购人提出解决问题的建议。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（2）服务响应时间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质保期内，采购人遇到使用或技术问题，电话咨询不能解决的，中标人应在 8小时内到达现场进行处理，到达现场后 5 小时内排除故障，恢复正常使用。保证采购人正常使用，产生的一切费用由中标人承担。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（3）技术升级 </w:t>
            </w:r>
          </w:p>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在质保期内，如果中标人的产品或服务升级，中标人应及时通知采购人，如采购人有相应要求，中标人应对采购人购买的产品或服务进行升级。</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6.质保期外服务要求质量保证期过后，采购人需要继续由原中标人提供售后服务的，中标人应提供电话咨询服务，并应承诺提供产品或服务上门维护，中标人和制造商应以优惠价格提供售后服务。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7.备品备件及易损件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中标人售后服务中，维修使用的备品备件及易损件应为原厂配件，未经采购人同意不得使用非原厂配件。 </w:t>
            </w:r>
          </w:p>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8.培训要求：中标人对其提供产品或服务的使用和操作应尽培训义务。中标人应提供对本项目的使用单位进行培训服务，涉及的相关费用应计算在项目报价内，并使使用人员能独立、熟练操作系统。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gridSpan w:val="3"/>
            <w:vAlign w:val="center"/>
          </w:tcPr>
          <w:p>
            <w:pPr>
              <w:widowControl/>
              <w:ind w:firstLine="0" w:firstLineChars="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付款方式</w:t>
            </w:r>
          </w:p>
        </w:tc>
        <w:tc>
          <w:tcPr>
            <w:tcW w:w="8403" w:type="dxa"/>
            <w:gridSpan w:val="3"/>
            <w:vAlign w:val="center"/>
          </w:tcPr>
          <w:p>
            <w:pPr>
              <w:ind w:firstLine="0" w:firstLineChars="0"/>
              <w:jc w:val="left"/>
              <w:rPr>
                <w:rFonts w:hint="eastAsia" w:ascii="宋体" w:hAnsi="宋体" w:eastAsia="宋体" w:cs="宋体"/>
                <w:color w:val="auto"/>
                <w:kern w:val="0"/>
                <w:szCs w:val="21"/>
                <w:highlight w:val="none"/>
                <w:lang w:val="en-US" w:eastAsia="zh-CN" w:bidi="ar"/>
              </w:rPr>
            </w:pPr>
            <w:r>
              <w:rPr>
                <w:rFonts w:hint="eastAsia" w:ascii="宋体" w:hAnsi="宋体" w:cs="宋体"/>
                <w:color w:val="auto"/>
                <w:szCs w:val="21"/>
                <w:highlight w:val="none"/>
              </w:rPr>
              <w:t>付款方式:项目按采购人要求,安装调试验收合格后,中标人开具合同全额发票，采购人原则上应当自收到发票后10个工作日内将资金支付</w:t>
            </w:r>
            <w:r>
              <w:rPr>
                <w:rFonts w:hint="eastAsia" w:ascii="宋体" w:hAnsi="宋体" w:cs="宋体"/>
                <w:color w:val="auto"/>
                <w:szCs w:val="21"/>
                <w:highlight w:val="none"/>
                <w:lang w:val="en-US" w:eastAsia="zh-CN"/>
              </w:rPr>
              <w:t>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gridSpan w:val="3"/>
            <w:vAlign w:val="center"/>
          </w:tcPr>
          <w:p>
            <w:pPr>
              <w:widowControl/>
              <w:ind w:firstLine="0" w:firstLineChars="0"/>
              <w:jc w:val="center"/>
              <w:rPr>
                <w:color w:val="auto"/>
                <w:highlight w:val="none"/>
              </w:rPr>
            </w:pPr>
            <w:r>
              <w:rPr>
                <w:rFonts w:hint="eastAsia" w:ascii="宋体" w:hAnsi="宋体" w:cs="宋体"/>
                <w:color w:val="auto"/>
                <w:kern w:val="0"/>
                <w:szCs w:val="21"/>
                <w:highlight w:val="none"/>
                <w:lang w:bidi="ar"/>
              </w:rPr>
              <w:t>报价要求</w:t>
            </w:r>
          </w:p>
          <w:p>
            <w:pPr>
              <w:widowControl/>
              <w:ind w:firstLine="0" w:firstLineChars="0"/>
              <w:jc w:val="center"/>
              <w:rPr>
                <w:rFonts w:hint="eastAsia" w:ascii="宋体" w:hAnsi="宋体" w:cs="宋体"/>
                <w:color w:val="auto"/>
                <w:kern w:val="0"/>
                <w:szCs w:val="21"/>
                <w:highlight w:val="none"/>
                <w:lang w:bidi="ar"/>
              </w:rPr>
            </w:pPr>
          </w:p>
        </w:tc>
        <w:tc>
          <w:tcPr>
            <w:tcW w:w="8403" w:type="dxa"/>
            <w:gridSpan w:val="3"/>
            <w:vAlign w:val="center"/>
          </w:tcPr>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为采购人指定地点的现场交货价，包括但不限于：投标报价包含货物采购、备品备件、工具、运抵指定交货地点、装卸费、现场安装、调试及验收的各种费用和售后服务、保险、税金、培训及其他所有成本费用的总和。项目实施过程中产生的所有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gridSpan w:val="3"/>
            <w:vAlign w:val="center"/>
          </w:tcPr>
          <w:p>
            <w:pPr>
              <w:widowControl/>
              <w:ind w:firstLine="0" w:firstLineChars="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备品备件及耗材等要求</w:t>
            </w:r>
          </w:p>
        </w:tc>
        <w:tc>
          <w:tcPr>
            <w:tcW w:w="8403" w:type="dxa"/>
            <w:gridSpan w:val="3"/>
            <w:vAlign w:val="center"/>
          </w:tcPr>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有稳定的备件供应渠道，并从设备厂商的中国公司及其分销商购置整机和备件补充，可以满足客户的设备在升级、扩充和保修服务配件及消耗品等多方面的需求，中标人就相关备品备件及耗材价格与采购人友好协商，应以优惠价格提供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gridSpan w:val="3"/>
            <w:vAlign w:val="center"/>
          </w:tcPr>
          <w:p>
            <w:pPr>
              <w:widowControl/>
              <w:ind w:firstLine="0" w:firstLineChars="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规范标准</w:t>
            </w:r>
          </w:p>
        </w:tc>
        <w:tc>
          <w:tcPr>
            <w:tcW w:w="8403" w:type="dxa"/>
            <w:gridSpan w:val="3"/>
            <w:vAlign w:val="center"/>
          </w:tcPr>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采购标的需执行的国家标准、行业标准、地方标准或者其他标准、规范。多项标准的，按最新标准或较高标准执行。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gridSpan w:val="3"/>
            <w:vAlign w:val="center"/>
          </w:tcPr>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验收标准及要求</w:t>
            </w:r>
          </w:p>
        </w:tc>
        <w:tc>
          <w:tcPr>
            <w:tcW w:w="8403" w:type="dxa"/>
            <w:gridSpan w:val="3"/>
          </w:tcPr>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1.验收依据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按合同要求及国家标准进行验收。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2.验收标准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（1）所供产品的规格、数量、功能、材质、颜色等符合招标文件采购需求及采购合同约定的要求。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（2）所供产品的外观完好，无严重碰撞、表皮脱落、五金件生锈等明显瑕疵。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（3）所供产品结构牢固，无安全隐患。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（4）如有抽检要求的，检测结果符合招标文件采购需求及采购合同约定的要求。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（5）所有产品均已运输至指定地点，并安装调试完毕。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（6）招标文件采购需求及采购合同约定的附件、工具、技术资料等齐全；提供产品使用说明书、合格证。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3.验收要求 </w:t>
            </w:r>
          </w:p>
          <w:p>
            <w:pPr>
              <w:widowControl/>
              <w:ind w:firstLine="0" w:firstLineChars="0"/>
              <w:jc w:val="left"/>
              <w:rPr>
                <w:color w:val="auto"/>
                <w:highlight w:val="none"/>
              </w:rPr>
            </w:pPr>
            <w:r>
              <w:rPr>
                <w:rFonts w:hint="eastAsia" w:ascii="宋体" w:hAnsi="宋体" w:cs="宋体"/>
                <w:color w:val="auto"/>
                <w:kern w:val="0"/>
                <w:szCs w:val="21"/>
                <w:highlight w:val="none"/>
                <w:lang w:bidi="ar"/>
              </w:rPr>
              <w:t>（1）采购人可以根据采购项目具体情况自行组织验收，或者委托第三方机构或部门开展采购项目履约验收工作。</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2）本项目验收如委托第三方机构组织实施的，由验收小组对照招标文件的技术参数要求核对检验，如不符合招标文件的技术参数要求的，按合同约定执行，中标人承担所有责任和费用。采购人保留进一步追究责任的权利。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①验收活动开始前，中标人应对货物作出全面检查和对验收文件进行整理，并列出清单，作为采购人收货验收和使用的技术条件依据。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②因验收不合格的，需要再次组织验收的，由此产生相关成本费用由中标人承担。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（3）验收时中标人提供验收文档，具体如下：技术方案、实施方案、售后服务方案、培训方案、系统部署文档、测试文档、使用说明书、电子文档等。 </w:t>
            </w:r>
          </w:p>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4）对所有要求出具的证明文件的原件进行核查，如不符合招标文件的技术需求及要求，以及提供虚假承诺的，按相关规定做退货处理及违约处理，中标人承担所有责任和费用，采购人保留进一步追究责任的权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gridSpan w:val="3"/>
            <w:vAlign w:val="center"/>
          </w:tcPr>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核心产品</w:t>
            </w:r>
          </w:p>
        </w:tc>
        <w:tc>
          <w:tcPr>
            <w:tcW w:w="8403" w:type="dxa"/>
            <w:gridSpan w:val="3"/>
          </w:tcPr>
          <w:p>
            <w:pPr>
              <w:widowControl/>
              <w:ind w:firstLine="0" w:firstLineChars="0"/>
              <w:jc w:val="left"/>
              <w:rPr>
                <w:color w:val="auto"/>
                <w:highlight w:val="none"/>
              </w:rPr>
            </w:pPr>
            <w:r>
              <w:rPr>
                <w:rFonts w:hint="eastAsia" w:ascii="宋体" w:hAnsi="宋体" w:cs="宋体"/>
                <w:b/>
                <w:bCs/>
                <w:color w:val="auto"/>
                <w:kern w:val="0"/>
                <w:szCs w:val="21"/>
                <w:highlight w:val="none"/>
                <w:lang w:bidi="ar"/>
              </w:rPr>
              <w:t xml:space="preserve">本分标 第 </w:t>
            </w:r>
            <w:r>
              <w:rPr>
                <w:rFonts w:hint="eastAsia" w:ascii="宋体" w:hAnsi="宋体" w:cs="宋体"/>
                <w:b/>
                <w:bCs/>
                <w:color w:val="auto"/>
                <w:kern w:val="0"/>
                <w:szCs w:val="21"/>
                <w:highlight w:val="none"/>
                <w:u w:val="single"/>
                <w:lang w:bidi="ar"/>
              </w:rPr>
              <w:t xml:space="preserve">  1  </w:t>
            </w:r>
            <w:r>
              <w:rPr>
                <w:rFonts w:hint="eastAsia" w:ascii="宋体" w:hAnsi="宋体" w:cs="宋体"/>
                <w:b/>
                <w:bCs/>
                <w:color w:val="auto"/>
                <w:kern w:val="0"/>
                <w:szCs w:val="21"/>
                <w:highlight w:val="none"/>
                <w:lang w:bidi="ar"/>
              </w:rPr>
              <w:t>项产品“</w:t>
            </w:r>
            <w:r>
              <w:rPr>
                <w:rFonts w:hint="eastAsia" w:ascii="宋体" w:hAnsi="宋体" w:cs="宋体"/>
                <w:b/>
                <w:bCs/>
                <w:color w:val="auto"/>
                <w:kern w:val="0"/>
                <w:szCs w:val="21"/>
                <w:highlight w:val="none"/>
                <w:u w:val="single"/>
                <w:lang w:bidi="ar"/>
              </w:rPr>
              <w:t>86 英寸电容智慧黑板</w:t>
            </w:r>
            <w:r>
              <w:rPr>
                <w:rFonts w:hint="eastAsia" w:ascii="宋体" w:hAnsi="宋体" w:cs="宋体"/>
                <w:b/>
                <w:bCs/>
                <w:color w:val="auto"/>
                <w:kern w:val="0"/>
                <w:szCs w:val="21"/>
                <w:highlight w:val="none"/>
                <w:lang w:bidi="ar"/>
              </w:rPr>
              <w:t xml:space="preserve">”为核心产品。 </w:t>
            </w:r>
          </w:p>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多家投标人提供的核心产品品牌相同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gridSpan w:val="3"/>
            <w:vAlign w:val="center"/>
          </w:tcPr>
          <w:p>
            <w:pPr>
              <w:widowControl/>
              <w:ind w:firstLine="0" w:firstLineChars="0"/>
              <w:jc w:val="left"/>
              <w:rPr>
                <w:rFonts w:hint="eastAsia" w:ascii="宋体" w:hAnsi="宋体" w:cs="宋体"/>
                <w:color w:val="auto"/>
                <w:kern w:val="0"/>
                <w:szCs w:val="21"/>
                <w:highlight w:val="none"/>
                <w:lang w:bidi="ar"/>
              </w:rPr>
            </w:pPr>
            <w:bookmarkStart w:id="79" w:name="OLE_LINK20" w:colFirst="0" w:colLast="1"/>
            <w:r>
              <w:rPr>
                <w:rFonts w:hint="eastAsia" w:ascii="宋体" w:hAnsi="宋体" w:cs="宋体"/>
                <w:b w:val="0"/>
                <w:bCs w:val="0"/>
                <w:color w:val="auto"/>
                <w:kern w:val="0"/>
                <w:sz w:val="21"/>
                <w:szCs w:val="21"/>
                <w:highlight w:val="none"/>
                <w:lang w:val="en-US" w:eastAsia="zh-CN" w:bidi="ar"/>
              </w:rPr>
              <w:t>现场踏勘</w:t>
            </w:r>
          </w:p>
        </w:tc>
        <w:tc>
          <w:tcPr>
            <w:tcW w:w="8403" w:type="dxa"/>
            <w:gridSpan w:val="3"/>
            <w:vAlign w:val="top"/>
          </w:tcPr>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为保证报价符合采购需求，投标人应在采购人组织下进行实地勘查了解现场实际情况。供应商的现场踏勘实行自愿原则，费用自理。现场勘查须携带的资料：供应商代表持获取采购文件回执函、单位介绍信原件或授权委托书、个人身份证原件。</w:t>
            </w:r>
          </w:p>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踏勘时间：202</w:t>
            </w:r>
            <w:r>
              <w:rPr>
                <w:rFonts w:hint="eastAsia" w:ascii="宋体" w:hAnsi="宋体" w:cs="宋体"/>
                <w:color w:val="auto"/>
                <w:spacing w:val="0"/>
                <w:kern w:val="2"/>
                <w:sz w:val="22"/>
                <w:szCs w:val="24"/>
                <w:highlight w:val="none"/>
                <w:lang w:val="en-US" w:eastAsia="zh-CN" w:bidi="ar-SA"/>
              </w:rPr>
              <w:t>5</w:t>
            </w:r>
            <w:r>
              <w:rPr>
                <w:rFonts w:hint="eastAsia" w:ascii="宋体" w:hAnsi="宋体" w:eastAsia="宋体" w:cs="宋体"/>
                <w:color w:val="auto"/>
                <w:spacing w:val="0"/>
                <w:kern w:val="2"/>
                <w:sz w:val="22"/>
                <w:szCs w:val="24"/>
                <w:highlight w:val="none"/>
                <w:lang w:val="en-US" w:eastAsia="zh-CN" w:bidi="ar-SA"/>
              </w:rPr>
              <w:t>年</w:t>
            </w:r>
            <w:r>
              <w:rPr>
                <w:rFonts w:hint="eastAsia" w:ascii="宋体" w:hAnsi="宋体" w:cs="宋体"/>
                <w:color w:val="auto"/>
                <w:spacing w:val="0"/>
                <w:kern w:val="2"/>
                <w:sz w:val="22"/>
                <w:szCs w:val="24"/>
                <w:highlight w:val="none"/>
                <w:lang w:val="en-US" w:eastAsia="zh-CN" w:bidi="ar-SA"/>
              </w:rPr>
              <w:t>10</w:t>
            </w:r>
            <w:r>
              <w:rPr>
                <w:rFonts w:hint="eastAsia" w:ascii="宋体" w:hAnsi="宋体" w:eastAsia="宋体" w:cs="宋体"/>
                <w:color w:val="auto"/>
                <w:spacing w:val="0"/>
                <w:kern w:val="2"/>
                <w:sz w:val="22"/>
                <w:szCs w:val="24"/>
                <w:highlight w:val="none"/>
                <w:lang w:val="en-US" w:eastAsia="zh-CN" w:bidi="ar-SA"/>
              </w:rPr>
              <w:t>月</w:t>
            </w:r>
            <w:r>
              <w:rPr>
                <w:rFonts w:hint="eastAsia" w:ascii="宋体" w:hAnsi="宋体" w:cs="宋体"/>
                <w:color w:val="auto"/>
                <w:spacing w:val="0"/>
                <w:kern w:val="2"/>
                <w:sz w:val="22"/>
                <w:szCs w:val="24"/>
                <w:highlight w:val="none"/>
                <w:lang w:val="en-US" w:eastAsia="zh-CN" w:bidi="ar-SA"/>
              </w:rPr>
              <w:t>16</w:t>
            </w:r>
            <w:r>
              <w:rPr>
                <w:rFonts w:hint="eastAsia" w:ascii="宋体" w:hAnsi="宋体" w:eastAsia="宋体" w:cs="宋体"/>
                <w:color w:val="auto"/>
                <w:spacing w:val="0"/>
                <w:kern w:val="2"/>
                <w:sz w:val="22"/>
                <w:szCs w:val="24"/>
                <w:highlight w:val="none"/>
                <w:lang w:val="en-US" w:eastAsia="zh-CN" w:bidi="ar-SA"/>
              </w:rPr>
              <w:t>日上午10:50分（逾期不候）</w:t>
            </w:r>
          </w:p>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集合地点：浦北县县城金浦新区科园路1号  </w:t>
            </w:r>
          </w:p>
          <w:p>
            <w:pPr>
              <w:pStyle w:val="20"/>
              <w:ind w:firstLine="44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现场踏勘联系人及电话：</w:t>
            </w:r>
            <w:r>
              <w:rPr>
                <w:rFonts w:hint="eastAsia" w:ascii="宋体" w:hAnsi="宋体" w:cs="宋体"/>
                <w:color w:val="auto"/>
                <w:spacing w:val="0"/>
                <w:kern w:val="2"/>
                <w:sz w:val="22"/>
                <w:szCs w:val="24"/>
                <w:highlight w:val="none"/>
                <w:lang w:val="en-US" w:eastAsia="zh-CN" w:bidi="ar-SA"/>
              </w:rPr>
              <w:t>谢老师</w:t>
            </w:r>
            <w:r>
              <w:rPr>
                <w:rFonts w:hint="eastAsia" w:ascii="宋体" w:hAnsi="宋体" w:eastAsia="宋体" w:cs="宋体"/>
                <w:color w:val="auto"/>
                <w:spacing w:val="0"/>
                <w:kern w:val="2"/>
                <w:sz w:val="22"/>
                <w:szCs w:val="24"/>
                <w:highlight w:val="none"/>
                <w:lang w:val="en-US" w:eastAsia="zh-CN" w:bidi="ar-SA"/>
              </w:rPr>
              <w:t xml:space="preserve">，18778872765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gridSpan w:val="3"/>
            <w:vAlign w:val="top"/>
          </w:tcPr>
          <w:p>
            <w:pPr>
              <w:spacing w:line="400" w:lineRule="exact"/>
              <w:ind w:left="0" w:leftChars="0" w:firstLine="0" w:firstLineChars="0"/>
              <w:jc w:val="left"/>
              <w:rPr>
                <w:rFonts w:hint="eastAsia" w:ascii="宋体" w:hAnsi="宋体" w:cs="宋体"/>
                <w:b w:val="0"/>
                <w:bCs w:val="0"/>
                <w:color w:val="auto"/>
                <w:kern w:val="0"/>
                <w:sz w:val="21"/>
                <w:szCs w:val="21"/>
                <w:highlight w:val="none"/>
                <w:lang w:val="en-US" w:eastAsia="zh-CN" w:bidi="ar"/>
              </w:rPr>
            </w:pPr>
            <w:r>
              <w:rPr>
                <w:rFonts w:hint="eastAsia" w:ascii="宋体" w:hAnsi="宋体" w:cs="宋体"/>
                <w:color w:val="auto"/>
                <w:spacing w:val="0"/>
                <w:kern w:val="2"/>
                <w:sz w:val="21"/>
                <w:szCs w:val="21"/>
                <w:highlight w:val="none"/>
                <w:lang w:val="en-US" w:eastAsia="zh-CN" w:bidi="ar-SA"/>
              </w:rPr>
              <w:t>其他要求</w:t>
            </w:r>
          </w:p>
        </w:tc>
        <w:tc>
          <w:tcPr>
            <w:tcW w:w="8403" w:type="dxa"/>
            <w:gridSpan w:val="3"/>
            <w:vAlign w:val="top"/>
          </w:tcPr>
          <w:p>
            <w:pPr>
              <w:spacing w:line="400" w:lineRule="exact"/>
              <w:ind w:firstLine="42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cs="宋体"/>
                <w:color w:val="auto"/>
                <w:spacing w:val="0"/>
                <w:kern w:val="2"/>
                <w:sz w:val="21"/>
                <w:szCs w:val="21"/>
                <w:highlight w:val="none"/>
                <w:lang w:val="en-US" w:eastAsia="zh-CN" w:bidi="ar-SA"/>
              </w:rPr>
              <w:t>投标人在政府采购活动中提供任何虚假材料，以及提供的产品技术参数不如实说明，报监管部门查处。</w:t>
            </w:r>
          </w:p>
        </w:tc>
      </w:tr>
      <w:bookmarkEnd w:id="79"/>
    </w:tbl>
    <w:p>
      <w:pPr>
        <w:ind w:firstLine="0" w:firstLineChars="0"/>
        <w:rPr>
          <w:rFonts w:hint="eastAsia" w:ascii="宋体" w:hAnsi="宋体"/>
          <w:szCs w:val="21"/>
        </w:rPr>
      </w:pPr>
      <w:r>
        <w:rPr>
          <w:rFonts w:hint="eastAsia" w:ascii="宋体" w:hAnsi="宋体"/>
          <w:szCs w:val="21"/>
        </w:rPr>
        <w:br w:type="page"/>
      </w:r>
      <w:bookmarkEnd w:id="75"/>
    </w:p>
    <w:p>
      <w:pPr>
        <w:ind w:firstLine="422"/>
        <w:rPr>
          <w:rFonts w:hint="eastAsia" w:ascii="宋体" w:hAnsi="宋体"/>
          <w:b/>
          <w:bCs/>
          <w:szCs w:val="21"/>
        </w:rPr>
      </w:pPr>
      <w:bookmarkStart w:id="80" w:name="OLE_LINK11"/>
      <w:r>
        <w:rPr>
          <w:rFonts w:hint="eastAsia" w:ascii="宋体" w:hAnsi="宋体"/>
          <w:b/>
          <w:bCs/>
          <w:szCs w:val="21"/>
        </w:rPr>
        <w:t>标项二：校园监控系统建设</w:t>
      </w:r>
    </w:p>
    <w:p>
      <w:pPr>
        <w:ind w:firstLine="420"/>
        <w:rPr>
          <w:rFonts w:hint="eastAsia" w:ascii="宋体" w:hAnsi="宋体"/>
          <w:szCs w:val="21"/>
        </w:rPr>
      </w:pPr>
      <w:r>
        <w:rPr>
          <w:rFonts w:hint="eastAsia" w:ascii="宋体" w:hAnsi="宋体"/>
          <w:szCs w:val="21"/>
        </w:rPr>
        <w:t>预算金额：陆拾伍万元整（</w:t>
      </w:r>
      <w:r>
        <w:rPr>
          <w:rFonts w:hint="eastAsia" w:ascii="宋体" w:hAnsi="宋体"/>
          <w:szCs w:val="21"/>
          <w:u w:val="single"/>
        </w:rPr>
        <w:t>￥650000.00</w:t>
      </w:r>
      <w:r>
        <w:rPr>
          <w:rFonts w:hint="eastAsia" w:ascii="宋体" w:hAnsi="宋体"/>
          <w:szCs w:val="21"/>
        </w:rPr>
        <w:t>）</w:t>
      </w:r>
    </w:p>
    <w:tbl>
      <w:tblPr>
        <w:tblStyle w:val="50"/>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
        <w:gridCol w:w="432"/>
        <w:gridCol w:w="888"/>
        <w:gridCol w:w="396"/>
        <w:gridCol w:w="234"/>
        <w:gridCol w:w="645"/>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90" w:hRule="atLeast"/>
        </w:trPr>
        <w:tc>
          <w:tcPr>
            <w:tcW w:w="432" w:type="dxa"/>
          </w:tcPr>
          <w:p>
            <w:pPr>
              <w:pStyle w:val="21"/>
              <w:ind w:firstLine="0" w:firstLineChars="0"/>
              <w:rPr>
                <w:rFonts w:hint="eastAsia" w:hAnsi="宋体"/>
                <w:color w:val="auto"/>
                <w:sz w:val="21"/>
                <w:szCs w:val="21"/>
              </w:rPr>
            </w:pPr>
            <w:r>
              <w:rPr>
                <w:rFonts w:hint="eastAsia" w:hAnsi="宋体"/>
                <w:color w:val="auto"/>
                <w:sz w:val="21"/>
                <w:szCs w:val="21"/>
                <w:lang w:bidi="ar"/>
              </w:rPr>
              <w:t>序号</w:t>
            </w:r>
          </w:p>
        </w:tc>
        <w:tc>
          <w:tcPr>
            <w:tcW w:w="888" w:type="dxa"/>
          </w:tcPr>
          <w:p>
            <w:pPr>
              <w:pStyle w:val="21"/>
              <w:ind w:firstLine="0" w:firstLineChars="0"/>
              <w:rPr>
                <w:rFonts w:hint="eastAsia" w:hAnsi="宋体"/>
                <w:color w:val="auto"/>
                <w:sz w:val="21"/>
                <w:szCs w:val="21"/>
              </w:rPr>
            </w:pPr>
            <w:r>
              <w:rPr>
                <w:rFonts w:hint="eastAsia" w:hAnsi="宋体"/>
                <w:color w:val="auto"/>
                <w:sz w:val="21"/>
                <w:szCs w:val="21"/>
                <w:lang w:bidi="ar"/>
              </w:rPr>
              <w:t>货物名称</w:t>
            </w:r>
          </w:p>
        </w:tc>
        <w:tc>
          <w:tcPr>
            <w:tcW w:w="630" w:type="dxa"/>
            <w:gridSpan w:val="2"/>
          </w:tcPr>
          <w:p>
            <w:pPr>
              <w:pStyle w:val="21"/>
              <w:ind w:firstLine="0" w:firstLineChars="0"/>
              <w:rPr>
                <w:rFonts w:hint="eastAsia" w:hAnsi="宋体"/>
                <w:color w:val="auto"/>
                <w:sz w:val="21"/>
                <w:szCs w:val="21"/>
              </w:rPr>
            </w:pPr>
            <w:r>
              <w:rPr>
                <w:rFonts w:hint="eastAsia" w:hAnsi="宋体"/>
                <w:color w:val="auto"/>
                <w:sz w:val="21"/>
                <w:szCs w:val="21"/>
                <w:lang w:bidi="ar"/>
              </w:rPr>
              <w:t>单位</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lang w:bidi="ar"/>
              </w:rPr>
              <w:t>数量</w:t>
            </w:r>
          </w:p>
        </w:tc>
        <w:tc>
          <w:tcPr>
            <w:tcW w:w="7265" w:type="dxa"/>
          </w:tcPr>
          <w:p>
            <w:pPr>
              <w:pStyle w:val="21"/>
              <w:ind w:firstLine="308" w:firstLineChars="147"/>
              <w:rPr>
                <w:rFonts w:hint="eastAsia" w:hAnsi="宋体"/>
                <w:color w:val="auto"/>
                <w:sz w:val="21"/>
                <w:szCs w:val="21"/>
              </w:rPr>
            </w:pPr>
            <w:r>
              <w:rPr>
                <w:rFonts w:hint="eastAsia" w:hAnsi="宋体"/>
                <w:color w:val="auto"/>
                <w:sz w:val="21"/>
                <w:szCs w:val="21"/>
                <w:lang w:bidi="ar"/>
              </w:rPr>
              <w:t>技术参数、规格及要求</w:t>
            </w:r>
          </w:p>
        </w:tc>
      </w:tr>
      <w:bookmark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1</w:t>
            </w:r>
          </w:p>
        </w:tc>
        <w:tc>
          <w:tcPr>
            <w:tcW w:w="888" w:type="dxa"/>
          </w:tcPr>
          <w:p>
            <w:pPr>
              <w:pStyle w:val="21"/>
              <w:ind w:firstLine="0" w:firstLineChars="0"/>
              <w:rPr>
                <w:rFonts w:hint="eastAsia" w:hAnsi="宋体"/>
                <w:color w:val="auto"/>
                <w:sz w:val="21"/>
                <w:szCs w:val="21"/>
              </w:rPr>
            </w:pPr>
            <w:r>
              <w:rPr>
                <w:rFonts w:hAnsi="宋体"/>
                <w:color w:val="auto"/>
                <w:sz w:val="21"/>
                <w:szCs w:val="21"/>
              </w:rPr>
              <w:t>400万全彩筒机</w:t>
            </w:r>
          </w:p>
        </w:tc>
        <w:tc>
          <w:tcPr>
            <w:tcW w:w="630" w:type="dxa"/>
            <w:gridSpan w:val="2"/>
          </w:tcPr>
          <w:p>
            <w:pPr>
              <w:pStyle w:val="21"/>
              <w:ind w:firstLine="0" w:firstLineChars="0"/>
              <w:rPr>
                <w:rFonts w:hint="eastAsia" w:hAnsi="宋体"/>
                <w:color w:val="auto"/>
                <w:sz w:val="21"/>
                <w:szCs w:val="21"/>
              </w:rPr>
            </w:pPr>
            <w:r>
              <w:rPr>
                <w:rFonts w:hint="eastAsia" w:hAnsi="宋体"/>
                <w:color w:val="auto"/>
                <w:sz w:val="21"/>
                <w:szCs w:val="21"/>
              </w:rPr>
              <w:t>个</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rPr>
              <w:t>96</w:t>
            </w:r>
          </w:p>
        </w:tc>
        <w:tc>
          <w:tcPr>
            <w:tcW w:w="7265" w:type="dxa"/>
          </w:tcPr>
          <w:p>
            <w:pPr>
              <w:widowControl/>
              <w:spacing w:line="360" w:lineRule="auto"/>
              <w:ind w:firstLine="0" w:firstLineChars="0"/>
              <w:jc w:val="left"/>
              <w:rPr>
                <w:rFonts w:hint="eastAsia" w:ascii="宋体" w:hAnsi="宋体" w:cs="宋体"/>
                <w:szCs w:val="21"/>
              </w:rPr>
            </w:pPr>
            <w:r>
              <w:rPr>
                <w:rFonts w:hint="eastAsia" w:ascii="宋体" w:hAnsi="宋体" w:cs="宋体"/>
                <w:kern w:val="0"/>
                <w:szCs w:val="21"/>
              </w:rPr>
              <w:t>1、</w:t>
            </w:r>
            <w:r>
              <w:rPr>
                <w:rFonts w:hint="eastAsia" w:ascii="宋体" w:hAnsi="宋体"/>
                <w:b/>
                <w:bCs/>
                <w:szCs w:val="21"/>
              </w:rPr>
              <w:t>★</w:t>
            </w:r>
            <w:r>
              <w:rPr>
                <w:rFonts w:hint="eastAsia" w:ascii="宋体" w:hAnsi="宋体" w:cs="宋体"/>
                <w:kern w:val="0"/>
                <w:szCs w:val="21"/>
              </w:rPr>
              <w:t>分辨率≥</w:t>
            </w:r>
            <w:r>
              <w:rPr>
                <w:rFonts w:ascii="宋体" w:hAnsi="宋体" w:cs="宋体"/>
                <w:kern w:val="0"/>
                <w:szCs w:val="21"/>
              </w:rPr>
              <w:t>2560×1440</w:t>
            </w:r>
            <w:r>
              <w:rPr>
                <w:rFonts w:hint="eastAsia" w:ascii="宋体" w:hAnsi="宋体" w:cs="宋体"/>
                <w:kern w:val="0"/>
                <w:szCs w:val="21"/>
              </w:rPr>
              <w:t>，具有CMOS传感器，靶面尺寸≥1/2.7"。</w:t>
            </w:r>
            <w:r>
              <w:rPr>
                <w:rFonts w:hint="eastAsia" w:ascii="宋体" w:hAnsi="宋体" w:cs="宋体"/>
                <w:kern w:val="0"/>
                <w:szCs w:val="21"/>
              </w:rPr>
              <w:br w:type="textWrapping"/>
            </w:r>
            <w:r>
              <w:rPr>
                <w:rFonts w:hint="eastAsia" w:ascii="宋体" w:hAnsi="宋体" w:cs="宋体"/>
                <w:kern w:val="0"/>
                <w:szCs w:val="21"/>
              </w:rPr>
              <w:t>2、最低照度彩色≤0.0005 lx，黑白≤0.0001 lx，最大光圈约F1.0。</w:t>
            </w:r>
            <w:r>
              <w:rPr>
                <w:rFonts w:hint="eastAsia" w:ascii="宋体" w:hAnsi="宋体" w:cs="宋体"/>
                <w:kern w:val="0"/>
                <w:szCs w:val="21"/>
              </w:rPr>
              <w:br w:type="textWrapping"/>
            </w:r>
            <w:r>
              <w:rPr>
                <w:rFonts w:hint="eastAsia" w:ascii="宋体" w:hAnsi="宋体" w:cs="宋体"/>
                <w:kern w:val="0"/>
                <w:szCs w:val="21"/>
              </w:rPr>
              <w:t>3、支持H.264、H.265、MJPEG视频编码格式，且具有High Profile编码能力。</w:t>
            </w:r>
            <w:r>
              <w:rPr>
                <w:rFonts w:hint="eastAsia" w:ascii="宋体" w:hAnsi="宋体" w:cs="宋体"/>
                <w:kern w:val="0"/>
                <w:szCs w:val="21"/>
              </w:rPr>
              <w:br w:type="textWrapping"/>
            </w:r>
            <w:r>
              <w:rPr>
                <w:rFonts w:hint="eastAsia" w:ascii="宋体" w:hAnsi="宋体" w:cs="宋体"/>
                <w:kern w:val="0"/>
                <w:szCs w:val="21"/>
              </w:rPr>
              <w:t>4、支持三码流技术，主码流帧率分辨率≥1920 × 1080@25fps，子码流帧率分辨率≥640 × 480@25fps。</w:t>
            </w:r>
            <w:r>
              <w:rPr>
                <w:rFonts w:hint="eastAsia" w:ascii="宋体" w:hAnsi="宋体" w:cs="宋体"/>
                <w:kern w:val="0"/>
                <w:szCs w:val="21"/>
              </w:rPr>
              <w:br w:type="textWrapping"/>
            </w:r>
            <w:r>
              <w:rPr>
                <w:rFonts w:hint="eastAsia" w:ascii="宋体" w:hAnsi="宋体" w:cs="宋体"/>
                <w:kern w:val="0"/>
                <w:szCs w:val="21"/>
              </w:rPr>
              <w:t>5、支持背光补偿、强光抑制、3D数字降噪、透雾等功能。</w:t>
            </w:r>
            <w:r>
              <w:rPr>
                <w:rFonts w:hint="eastAsia" w:ascii="宋体" w:hAnsi="宋体" w:cs="宋体"/>
                <w:kern w:val="0"/>
                <w:szCs w:val="21"/>
              </w:rPr>
              <w:br w:type="textWrapping"/>
            </w:r>
            <w:r>
              <w:rPr>
                <w:rFonts w:hint="eastAsia" w:ascii="宋体" w:hAnsi="宋体" w:cs="宋体"/>
                <w:kern w:val="0"/>
                <w:szCs w:val="21"/>
              </w:rPr>
              <w:t>6、可通过浏览器或客户端调节饱和度、亮度、对比度、锐度、白平衡等参数。</w:t>
            </w:r>
            <w:r>
              <w:rPr>
                <w:rFonts w:hint="eastAsia" w:ascii="宋体" w:hAnsi="宋体" w:cs="宋体"/>
                <w:kern w:val="0"/>
                <w:szCs w:val="21"/>
              </w:rPr>
              <w:br w:type="textWrapping"/>
            </w:r>
            <w:r>
              <w:rPr>
                <w:rFonts w:hint="eastAsia" w:ascii="宋体" w:hAnsi="宋体" w:cs="宋体"/>
                <w:kern w:val="0"/>
                <w:szCs w:val="21"/>
              </w:rPr>
              <w:t>7、支持场景变更侦测，区域入侵侦测，越界侦测，进入区域侦测，离开区域侦测功能。</w:t>
            </w:r>
            <w:r>
              <w:rPr>
                <w:rFonts w:hint="eastAsia" w:ascii="宋体" w:hAnsi="宋体" w:cs="宋体"/>
                <w:kern w:val="0"/>
                <w:szCs w:val="21"/>
              </w:rPr>
              <w:br w:type="textWrapping"/>
            </w:r>
            <w:r>
              <w:rPr>
                <w:rFonts w:hint="eastAsia" w:ascii="宋体" w:hAnsi="宋体" w:cs="宋体"/>
                <w:kern w:val="0"/>
                <w:szCs w:val="21"/>
              </w:rPr>
              <w:t>8、支持快捷配置功能，可在预览画面页开启/关闭“快捷配置”页面，可支持配置场景参数、常用图像参数、OSD配置、视音频参数、智能资源分配模式、智能资源参数等，并支持恢复默认操作，支持像素数显示功能，可通过IE浏览器显示监视画面中鼠标所选区域水平及垂直方向的像素数。</w:t>
            </w:r>
            <w:r>
              <w:rPr>
                <w:rFonts w:hint="eastAsia" w:ascii="宋体" w:hAnsi="宋体" w:cs="宋体"/>
                <w:kern w:val="0"/>
                <w:szCs w:val="21"/>
              </w:rPr>
              <w:br w:type="textWrapping"/>
            </w:r>
            <w:r>
              <w:rPr>
                <w:rFonts w:hint="eastAsia" w:ascii="宋体" w:hAnsi="宋体" w:cs="宋体"/>
                <w:kern w:val="0"/>
                <w:szCs w:val="21"/>
              </w:rPr>
              <w:t>9、具有移动侦测报警触发功能，能对画面物体的移动进行分析，并及时发出报警信息。</w:t>
            </w:r>
            <w:r>
              <w:rPr>
                <w:rFonts w:hint="eastAsia" w:ascii="宋体" w:hAnsi="宋体" w:cs="宋体"/>
                <w:kern w:val="0"/>
                <w:szCs w:val="21"/>
              </w:rPr>
              <w:br w:type="textWrapping"/>
            </w:r>
            <w:r>
              <w:rPr>
                <w:rFonts w:hint="eastAsia" w:ascii="宋体" w:hAnsi="宋体" w:cs="宋体"/>
                <w:kern w:val="0"/>
                <w:szCs w:val="21"/>
              </w:rPr>
              <w:t>10、同一静止场景相同图像质量下，设备在H.264或H.265编码方式时，开启智能编码功能和不开启智能编码相比，码率节约≥80%。</w:t>
            </w:r>
            <w:r>
              <w:rPr>
                <w:rFonts w:hint="eastAsia" w:ascii="宋体" w:hAnsi="宋体" w:cs="宋体"/>
                <w:kern w:val="0"/>
                <w:szCs w:val="21"/>
              </w:rPr>
              <w:br w:type="textWrapping"/>
            </w:r>
            <w:r>
              <w:rPr>
                <w:rFonts w:hint="eastAsia" w:ascii="宋体" w:hAnsi="宋体" w:cs="宋体"/>
                <w:kern w:val="0"/>
                <w:szCs w:val="21"/>
              </w:rPr>
              <w:t>14、</w:t>
            </w:r>
            <w:r>
              <w:rPr>
                <w:rFonts w:hint="eastAsia" w:ascii="宋体" w:hAnsi="宋体"/>
                <w:b/>
                <w:bCs/>
                <w:szCs w:val="21"/>
              </w:rPr>
              <w:t>★</w:t>
            </w:r>
            <w:r>
              <w:rPr>
                <w:rFonts w:hint="eastAsia" w:ascii="宋体" w:hAnsi="宋体" w:cs="宋体"/>
                <w:kern w:val="0"/>
                <w:szCs w:val="21"/>
              </w:rPr>
              <w:t>内置≥1个麦克风。</w:t>
            </w:r>
            <w:r>
              <w:rPr>
                <w:rFonts w:hint="eastAsia" w:ascii="宋体" w:hAnsi="宋体" w:cs="宋体"/>
                <w:kern w:val="0"/>
                <w:szCs w:val="21"/>
              </w:rPr>
              <w:br w:type="textWrapping"/>
            </w:r>
            <w:r>
              <w:rPr>
                <w:rFonts w:hint="eastAsia" w:ascii="宋体" w:hAnsi="宋体" w:cs="宋体"/>
                <w:kern w:val="0"/>
                <w:szCs w:val="21"/>
              </w:rPr>
              <w:t>15、防护等级≥IP67，支持DC12V供电，且在DC12V±25%范围内变化时可以正常工作。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2</w:t>
            </w:r>
          </w:p>
        </w:tc>
        <w:tc>
          <w:tcPr>
            <w:tcW w:w="888" w:type="dxa"/>
          </w:tcPr>
          <w:p>
            <w:pPr>
              <w:pStyle w:val="21"/>
              <w:ind w:firstLine="0" w:firstLineChars="0"/>
              <w:rPr>
                <w:rFonts w:hint="eastAsia" w:hAnsi="宋体"/>
                <w:color w:val="auto"/>
                <w:sz w:val="21"/>
                <w:szCs w:val="21"/>
              </w:rPr>
            </w:pPr>
            <w:r>
              <w:rPr>
                <w:rFonts w:hint="eastAsia" w:hAnsi="宋体"/>
                <w:sz w:val="21"/>
                <w:szCs w:val="21"/>
              </w:rPr>
              <w:t>400万全彩半球</w:t>
            </w:r>
          </w:p>
        </w:tc>
        <w:tc>
          <w:tcPr>
            <w:tcW w:w="630" w:type="dxa"/>
            <w:gridSpan w:val="2"/>
          </w:tcPr>
          <w:p>
            <w:pPr>
              <w:pStyle w:val="21"/>
              <w:ind w:firstLine="0" w:firstLineChars="0"/>
              <w:rPr>
                <w:rFonts w:hint="eastAsia" w:hAnsi="宋体"/>
                <w:color w:val="auto"/>
                <w:sz w:val="21"/>
                <w:szCs w:val="21"/>
              </w:rPr>
            </w:pPr>
            <w:r>
              <w:rPr>
                <w:rFonts w:hint="eastAsia" w:hAnsi="宋体"/>
                <w:color w:val="auto"/>
                <w:sz w:val="21"/>
                <w:szCs w:val="21"/>
              </w:rPr>
              <w:t>个</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rPr>
              <w:t>52</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w:t>
            </w:r>
            <w:r>
              <w:rPr>
                <w:rFonts w:hint="eastAsia" w:ascii="宋体" w:hAnsi="宋体"/>
                <w:b/>
                <w:bCs/>
                <w:szCs w:val="21"/>
              </w:rPr>
              <w:t>★</w:t>
            </w:r>
            <w:r>
              <w:rPr>
                <w:rFonts w:hint="eastAsia" w:ascii="宋体" w:hAnsi="宋体" w:cs="宋体"/>
                <w:kern w:val="0"/>
                <w:szCs w:val="21"/>
              </w:rPr>
              <w:t>具有400万像素CMOS传感器，靶面尺寸≥1/3"，分辨率≥2560×1440。</w:t>
            </w:r>
            <w:r>
              <w:rPr>
                <w:rFonts w:hint="eastAsia" w:ascii="宋体" w:hAnsi="宋体" w:cs="宋体"/>
                <w:kern w:val="0"/>
                <w:szCs w:val="21"/>
              </w:rPr>
              <w:br w:type="textWrapping"/>
            </w:r>
            <w:r>
              <w:rPr>
                <w:rFonts w:hint="eastAsia" w:ascii="宋体" w:hAnsi="宋体" w:cs="宋体"/>
                <w:kern w:val="0"/>
                <w:szCs w:val="21"/>
              </w:rPr>
              <w:t>2、最低照度彩色≤0.005lx，宽动态≥120 dB，最大亮度鉴别等级≥11级。</w:t>
            </w:r>
            <w:r>
              <w:rPr>
                <w:rFonts w:hint="eastAsia" w:ascii="宋体" w:hAnsi="宋体" w:cs="宋体"/>
                <w:kern w:val="0"/>
                <w:szCs w:val="21"/>
              </w:rPr>
              <w:br w:type="textWrapping"/>
            </w:r>
            <w:r>
              <w:rPr>
                <w:rFonts w:hint="eastAsia" w:ascii="宋体" w:hAnsi="宋体" w:cs="宋体"/>
                <w:kern w:val="0"/>
                <w:szCs w:val="21"/>
              </w:rPr>
              <w:t>3、支持H.264、H.265、MJPEG视频编码格式，具有HighProfile编码能力。</w:t>
            </w:r>
            <w:r>
              <w:rPr>
                <w:rFonts w:hint="eastAsia" w:ascii="宋体" w:hAnsi="宋体" w:cs="宋体"/>
                <w:kern w:val="0"/>
                <w:szCs w:val="21"/>
              </w:rPr>
              <w:br w:type="textWrapping"/>
            </w:r>
            <w:r>
              <w:rPr>
                <w:rFonts w:hint="eastAsia" w:ascii="宋体" w:hAnsi="宋体" w:cs="宋体"/>
                <w:kern w:val="0"/>
                <w:szCs w:val="21"/>
              </w:rPr>
              <w:t>4、支持背光补偿，强光抑制，3D数字降噪。</w:t>
            </w:r>
            <w:r>
              <w:rPr>
                <w:rFonts w:hint="eastAsia" w:ascii="宋体" w:hAnsi="宋体" w:cs="宋体"/>
                <w:kern w:val="0"/>
                <w:szCs w:val="21"/>
              </w:rPr>
              <w:br w:type="textWrapping"/>
            </w:r>
            <w:r>
              <w:rPr>
                <w:rFonts w:hint="eastAsia" w:ascii="宋体" w:hAnsi="宋体" w:cs="宋体"/>
                <w:kern w:val="0"/>
                <w:szCs w:val="21"/>
              </w:rPr>
              <w:t>5、图像设置支持饱和度、亮度、对比度、锐度、AGC、白平衡通过客户端或者浏览器可调。</w:t>
            </w:r>
            <w:r>
              <w:rPr>
                <w:rFonts w:hint="eastAsia" w:ascii="宋体" w:hAnsi="宋体" w:cs="宋体"/>
                <w:kern w:val="0"/>
                <w:szCs w:val="21"/>
              </w:rPr>
              <w:br w:type="textWrapping"/>
            </w:r>
            <w:r>
              <w:rPr>
                <w:rFonts w:hint="eastAsia" w:ascii="宋体" w:hAnsi="宋体" w:cs="宋体"/>
                <w:kern w:val="0"/>
                <w:szCs w:val="21"/>
              </w:rPr>
              <w:t>6、支持≥8行字符显示，字体颜色可设置，支持图片叠加到视频画面功能。</w:t>
            </w:r>
            <w:r>
              <w:rPr>
                <w:rFonts w:hint="eastAsia" w:ascii="宋体" w:hAnsi="宋体" w:cs="宋体"/>
                <w:kern w:val="0"/>
                <w:szCs w:val="21"/>
              </w:rPr>
              <w:br w:type="textWrapping"/>
            </w:r>
            <w:r>
              <w:rPr>
                <w:rFonts w:hint="eastAsia" w:ascii="宋体" w:hAnsi="宋体" w:cs="宋体"/>
                <w:kern w:val="0"/>
                <w:szCs w:val="21"/>
              </w:rPr>
              <w:t>7、支持场景变更侦测，区域入侵侦测，越界侦测，进入/离开区域侦测，物品遗留/拿取侦测，徘徊侦测，停车侦测，人员聚集侦测，快速移动侦测，音频异常侦测，音频抖升/抖降侦测。</w:t>
            </w:r>
            <w:r>
              <w:rPr>
                <w:rFonts w:hint="eastAsia" w:ascii="宋体" w:hAnsi="宋体" w:cs="宋体"/>
                <w:kern w:val="0"/>
                <w:szCs w:val="21"/>
              </w:rPr>
              <w:br w:type="textWrapping"/>
            </w:r>
            <w:r>
              <w:rPr>
                <w:rFonts w:hint="eastAsia" w:ascii="宋体" w:hAnsi="宋体" w:cs="宋体"/>
                <w:kern w:val="0"/>
                <w:szCs w:val="21"/>
              </w:rPr>
              <w:t>8、支持移动侦测、遮挡报警、异常等报警触发功能。</w:t>
            </w:r>
            <w:r>
              <w:rPr>
                <w:rFonts w:hint="eastAsia" w:ascii="宋体" w:hAnsi="宋体" w:cs="宋体"/>
                <w:kern w:val="0"/>
                <w:szCs w:val="21"/>
              </w:rPr>
              <w:br w:type="textWrapping"/>
            </w:r>
            <w:r>
              <w:rPr>
                <w:rFonts w:hint="eastAsia" w:ascii="宋体" w:hAnsi="宋体" w:cs="宋体"/>
                <w:kern w:val="0"/>
                <w:szCs w:val="21"/>
              </w:rPr>
              <w:t>9、</w:t>
            </w:r>
            <w:r>
              <w:rPr>
                <w:rFonts w:hint="eastAsia" w:ascii="宋体" w:hAnsi="宋体"/>
                <w:b/>
                <w:bCs/>
                <w:szCs w:val="21"/>
              </w:rPr>
              <w:t>★</w:t>
            </w:r>
            <w:r>
              <w:rPr>
                <w:rFonts w:hint="eastAsia" w:ascii="宋体" w:hAnsi="宋体" w:cs="宋体"/>
                <w:kern w:val="0"/>
                <w:szCs w:val="21"/>
              </w:rPr>
              <w:t>具有≥1个内置麦克风。</w:t>
            </w:r>
            <w:r>
              <w:rPr>
                <w:rFonts w:hint="eastAsia" w:ascii="宋体" w:hAnsi="宋体" w:cs="宋体"/>
                <w:kern w:val="0"/>
                <w:szCs w:val="21"/>
              </w:rPr>
              <w:br w:type="textWrapping"/>
            </w:r>
            <w:r>
              <w:rPr>
                <w:rFonts w:hint="eastAsia" w:ascii="宋体" w:hAnsi="宋体" w:cs="宋体"/>
                <w:kern w:val="0"/>
                <w:szCs w:val="21"/>
              </w:rPr>
              <w:t>10、红外照射距离≥30米，支持DC12V供电，且在DC12V±25%范围内变化时可以正常工作。</w:t>
            </w:r>
            <w:r>
              <w:rPr>
                <w:rFonts w:hint="eastAsia" w:ascii="宋体" w:hAnsi="宋体" w:cs="宋体"/>
                <w:kern w:val="0"/>
                <w:szCs w:val="21"/>
              </w:rPr>
              <w:br w:type="textWrapping"/>
            </w:r>
            <w:r>
              <w:rPr>
                <w:rFonts w:hint="eastAsia" w:ascii="宋体" w:hAnsi="宋体" w:cs="宋体"/>
                <w:kern w:val="0"/>
                <w:szCs w:val="21"/>
              </w:rPr>
              <w:t>11、防护等级≥IP66，支持在-30℃~60℃温度变化范围内正常稳定工作。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3</w:t>
            </w:r>
          </w:p>
        </w:tc>
        <w:tc>
          <w:tcPr>
            <w:tcW w:w="888" w:type="dxa"/>
          </w:tcPr>
          <w:p>
            <w:pPr>
              <w:pStyle w:val="21"/>
              <w:ind w:firstLine="0" w:firstLineChars="0"/>
              <w:rPr>
                <w:rFonts w:hint="eastAsia" w:hAnsi="宋体"/>
                <w:color w:val="auto"/>
                <w:sz w:val="21"/>
                <w:szCs w:val="21"/>
              </w:rPr>
            </w:pPr>
            <w:r>
              <w:rPr>
                <w:rFonts w:hAnsi="宋体"/>
                <w:color w:val="auto"/>
                <w:sz w:val="21"/>
                <w:szCs w:val="21"/>
              </w:rPr>
              <w:t>400万全彩警戒筒机</w:t>
            </w:r>
          </w:p>
        </w:tc>
        <w:tc>
          <w:tcPr>
            <w:tcW w:w="630" w:type="dxa"/>
            <w:gridSpan w:val="2"/>
          </w:tcPr>
          <w:p>
            <w:pPr>
              <w:pStyle w:val="21"/>
              <w:ind w:firstLine="0" w:firstLineChars="0"/>
              <w:rPr>
                <w:rFonts w:hint="eastAsia" w:hAnsi="宋体"/>
                <w:color w:val="auto"/>
                <w:sz w:val="21"/>
                <w:szCs w:val="21"/>
              </w:rPr>
            </w:pPr>
            <w:r>
              <w:rPr>
                <w:rFonts w:hint="eastAsia" w:hAnsi="宋体"/>
                <w:color w:val="auto"/>
                <w:sz w:val="21"/>
                <w:szCs w:val="21"/>
              </w:rPr>
              <w:t>个</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rPr>
              <w:t>11</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w:t>
            </w:r>
            <w:r>
              <w:rPr>
                <w:rFonts w:hint="eastAsia" w:ascii="宋体" w:hAnsi="宋体"/>
                <w:b/>
                <w:bCs/>
                <w:szCs w:val="21"/>
              </w:rPr>
              <w:t>★</w:t>
            </w:r>
            <w:r>
              <w:rPr>
                <w:rFonts w:hint="eastAsia" w:ascii="宋体" w:hAnsi="宋体" w:cs="宋体"/>
                <w:kern w:val="0"/>
                <w:szCs w:val="21"/>
              </w:rPr>
              <w:t>分辨率≥2560×1440，具有CMOS传感器，靶面尺寸≥1/3"。</w:t>
            </w:r>
            <w:r>
              <w:rPr>
                <w:rFonts w:hint="eastAsia" w:ascii="宋体" w:hAnsi="宋体" w:cs="宋体"/>
                <w:kern w:val="0"/>
                <w:szCs w:val="21"/>
              </w:rPr>
              <w:br w:type="textWrapping"/>
            </w:r>
            <w:r>
              <w:rPr>
                <w:rFonts w:hint="eastAsia" w:ascii="宋体" w:hAnsi="宋体" w:cs="宋体"/>
                <w:kern w:val="0"/>
                <w:szCs w:val="21"/>
              </w:rPr>
              <w:t>2、最低照度彩色≤0.0005lx，黑白≤0.0001lx，宽动态≥120dB。</w:t>
            </w:r>
            <w:r>
              <w:rPr>
                <w:rFonts w:hint="eastAsia" w:ascii="宋体" w:hAnsi="宋体" w:cs="宋体"/>
                <w:kern w:val="0"/>
                <w:szCs w:val="21"/>
              </w:rPr>
              <w:br w:type="textWrapping"/>
            </w:r>
            <w:r>
              <w:rPr>
                <w:rFonts w:hint="eastAsia" w:ascii="宋体" w:hAnsi="宋体" w:cs="宋体"/>
                <w:kern w:val="0"/>
                <w:szCs w:val="21"/>
              </w:rPr>
              <w:t>3、支持H.264、H.265视频编码格式，且具有High Profile编码能力。</w:t>
            </w:r>
            <w:r>
              <w:rPr>
                <w:rFonts w:hint="eastAsia" w:ascii="宋体" w:hAnsi="宋体" w:cs="宋体"/>
                <w:kern w:val="0"/>
                <w:szCs w:val="21"/>
              </w:rPr>
              <w:br w:type="textWrapping"/>
            </w:r>
            <w:r>
              <w:rPr>
                <w:rFonts w:hint="eastAsia" w:ascii="宋体" w:hAnsi="宋体" w:cs="宋体"/>
                <w:kern w:val="0"/>
                <w:szCs w:val="21"/>
              </w:rPr>
              <w:t>4、支持三码流技术，可同时输出三路码流，主码流≥2688×1520@30fps，第三码流≥1280×720 @ 30fps，子码流≥640×480@30fps。</w:t>
            </w:r>
            <w:r>
              <w:rPr>
                <w:rFonts w:hint="eastAsia" w:ascii="宋体" w:hAnsi="宋体" w:cs="宋体"/>
                <w:kern w:val="0"/>
                <w:szCs w:val="21"/>
              </w:rPr>
              <w:br w:type="textWrapping"/>
            </w:r>
            <w:r>
              <w:rPr>
                <w:rFonts w:hint="eastAsia" w:ascii="宋体" w:hAnsi="宋体" w:cs="宋体"/>
                <w:kern w:val="0"/>
                <w:szCs w:val="21"/>
              </w:rPr>
              <w:t>5、</w:t>
            </w:r>
            <w:r>
              <w:rPr>
                <w:rFonts w:hint="eastAsia" w:ascii="宋体" w:hAnsi="宋体" w:cs="宋体"/>
                <w:bCs/>
                <w:kern w:val="0"/>
                <w:szCs w:val="21"/>
              </w:rPr>
              <w:t>▲</w:t>
            </w:r>
            <w:r>
              <w:rPr>
                <w:rFonts w:hint="eastAsia" w:ascii="宋体" w:hAnsi="宋体" w:cs="宋体"/>
                <w:kern w:val="0"/>
                <w:szCs w:val="21"/>
              </w:rPr>
              <w:t>支持智能报警防干扰功能，当智能分析行为类型为区域入侵、越界、进入区域、离开区域时，报警检测目标设置为人体或车辆时，在设定的检测区域内出现光线明暗变化，篮球滚动，狗行走，树摇晃情况时，不触发报警，当报警产生时，可触发联动声音警报，报警声音类型不低于</w:t>
            </w:r>
            <w:r>
              <w:rPr>
                <w:rFonts w:hint="eastAsia" w:ascii="宋体" w:hAnsi="宋体" w:cs="宋体"/>
                <w:kern w:val="0"/>
                <w:szCs w:val="21"/>
                <w:lang w:val="en-US" w:eastAsia="zh-CN"/>
              </w:rPr>
              <w:t>3</w:t>
            </w:r>
            <w:r>
              <w:rPr>
                <w:rFonts w:hint="eastAsia" w:ascii="宋体" w:hAnsi="宋体" w:cs="宋体"/>
                <w:kern w:val="0"/>
                <w:szCs w:val="21"/>
              </w:rPr>
              <w:t>种，并支持导入自定义语音，报警音量和重复次数可设置。</w:t>
            </w:r>
            <w:r>
              <w:rPr>
                <w:rFonts w:hint="eastAsia" w:ascii="宋体" w:hAnsi="宋体" w:cs="宋体"/>
                <w:kern w:val="0"/>
                <w:szCs w:val="21"/>
              </w:rPr>
              <w:br w:type="textWrapping"/>
            </w:r>
            <w:r>
              <w:rPr>
                <w:rFonts w:hint="eastAsia" w:ascii="宋体" w:hAnsi="宋体" w:cs="宋体"/>
                <w:kern w:val="0"/>
                <w:szCs w:val="21"/>
              </w:rPr>
              <w:t>6、支持背光补偿、强光抑制、3D数字降噪、透雾等功能，支持智能补光，可切换白光灯、红外灯。</w:t>
            </w:r>
            <w:r>
              <w:rPr>
                <w:rFonts w:hint="eastAsia" w:ascii="宋体" w:hAnsi="宋体" w:cs="宋体"/>
                <w:kern w:val="0"/>
                <w:szCs w:val="21"/>
              </w:rPr>
              <w:br w:type="textWrapping"/>
            </w:r>
            <w:r>
              <w:rPr>
                <w:rFonts w:hint="eastAsia" w:ascii="宋体" w:hAnsi="宋体" w:cs="宋体"/>
                <w:kern w:val="0"/>
                <w:szCs w:val="21"/>
              </w:rPr>
              <w:t>7、</w:t>
            </w:r>
            <w:r>
              <w:rPr>
                <w:rFonts w:hint="eastAsia" w:ascii="宋体" w:hAnsi="宋体" w:cs="宋体"/>
                <w:bCs/>
                <w:kern w:val="0"/>
                <w:szCs w:val="21"/>
              </w:rPr>
              <w:t>▲</w:t>
            </w:r>
            <w:r>
              <w:rPr>
                <w:rFonts w:hint="eastAsia" w:ascii="宋体" w:hAnsi="宋体" w:cs="宋体"/>
                <w:kern w:val="0"/>
                <w:szCs w:val="21"/>
              </w:rPr>
              <w:t>支持像素数显示功能，可通过IE浏览器显示监视画面中鼠标所选区域水平及垂直方向的像素数，可在预览画面页开启/关闭“快捷配置”页面，页面打开后，支持配置场景参数、常用图像参数、OSD配置、音视频参数、智能资源分配参数等，并支持恢复默认操作。</w:t>
            </w:r>
            <w:r>
              <w:rPr>
                <w:rFonts w:hint="eastAsia" w:ascii="宋体" w:hAnsi="宋体" w:cs="宋体"/>
                <w:kern w:val="0"/>
                <w:szCs w:val="21"/>
              </w:rPr>
              <w:br w:type="textWrapping"/>
            </w:r>
            <w:r>
              <w:rPr>
                <w:rFonts w:hint="eastAsia" w:ascii="宋体" w:hAnsi="宋体" w:cs="宋体"/>
                <w:kern w:val="0"/>
                <w:szCs w:val="21"/>
              </w:rPr>
              <w:t>8、可通过浏览器或客户端调节饱和度、亮度、对比度、锐度、白平衡等参数。</w:t>
            </w:r>
            <w:r>
              <w:rPr>
                <w:rFonts w:hint="eastAsia" w:ascii="宋体" w:hAnsi="宋体" w:cs="宋体"/>
                <w:kern w:val="0"/>
                <w:szCs w:val="21"/>
              </w:rPr>
              <w:br w:type="textWrapping"/>
            </w:r>
            <w:r>
              <w:rPr>
                <w:rFonts w:hint="eastAsia" w:ascii="宋体" w:hAnsi="宋体" w:cs="宋体"/>
                <w:kern w:val="0"/>
                <w:szCs w:val="21"/>
              </w:rPr>
              <w:t>9、支持场景变更侦测，区域入侵侦测，越界侦测，进入区域侦测，离开区域侦测功能，支持音频异常侦测，音频抖升侦测，音频抖降侦测。</w:t>
            </w:r>
            <w:r>
              <w:rPr>
                <w:rFonts w:hint="eastAsia" w:ascii="宋体" w:hAnsi="宋体" w:cs="宋体"/>
                <w:kern w:val="0"/>
                <w:szCs w:val="21"/>
              </w:rPr>
              <w:br w:type="textWrapping"/>
            </w:r>
            <w:r>
              <w:rPr>
                <w:rFonts w:hint="eastAsia" w:ascii="宋体" w:hAnsi="宋体" w:cs="宋体"/>
                <w:kern w:val="0"/>
                <w:szCs w:val="21"/>
              </w:rPr>
              <w:t>10、支持虚焦侦测功能，当调整焦距使监视画面不清晰时，可通过IE浏览器给出报警提示。</w:t>
            </w:r>
            <w:r>
              <w:rPr>
                <w:rFonts w:hint="eastAsia" w:ascii="宋体" w:hAnsi="宋体" w:cs="宋体"/>
                <w:kern w:val="0"/>
                <w:szCs w:val="21"/>
              </w:rPr>
              <w:br w:type="textWrapping"/>
            </w:r>
            <w:r>
              <w:rPr>
                <w:rFonts w:hint="eastAsia" w:ascii="宋体" w:hAnsi="宋体" w:cs="宋体"/>
                <w:kern w:val="0"/>
                <w:szCs w:val="21"/>
              </w:rPr>
              <w:t>11、</w:t>
            </w:r>
            <w:r>
              <w:rPr>
                <w:rFonts w:hint="eastAsia" w:ascii="宋体" w:hAnsi="宋体" w:cs="宋体"/>
                <w:bCs/>
                <w:kern w:val="0"/>
                <w:szCs w:val="21"/>
              </w:rPr>
              <w:t>▲</w:t>
            </w:r>
            <w:r>
              <w:rPr>
                <w:rFonts w:hint="eastAsia" w:ascii="宋体" w:hAnsi="宋体" w:cs="宋体"/>
                <w:kern w:val="0"/>
                <w:szCs w:val="21"/>
              </w:rPr>
              <w:t>可对出现在监控场景内的两眼瞳距不小于19像素的人脸进行检验，并叠加目标提示框，人脸检测可联动上传中心，并将抓拍图片上传FTP服务器/SD卡/NAS服务器，设备可显示并抓拍监视画面中喜、怒、哀、乐≥四种表情的人脸，并可将抓拍图片上传服务器，上传时间不大于2s。</w:t>
            </w:r>
            <w:r>
              <w:rPr>
                <w:rFonts w:hint="eastAsia" w:ascii="宋体" w:hAnsi="宋体" w:cs="宋体"/>
                <w:kern w:val="0"/>
                <w:szCs w:val="21"/>
              </w:rPr>
              <w:br w:type="textWrapping"/>
            </w:r>
            <w:r>
              <w:rPr>
                <w:rFonts w:hint="eastAsia" w:ascii="宋体" w:hAnsi="宋体" w:cs="宋体"/>
                <w:kern w:val="0"/>
                <w:szCs w:val="21"/>
              </w:rPr>
              <w:t>12、具有移动侦测报警触发功能，能对画面物体的移动进行分析，并及时发出报警信息。</w:t>
            </w:r>
            <w:r>
              <w:rPr>
                <w:rFonts w:hint="eastAsia" w:ascii="宋体" w:hAnsi="宋体" w:cs="宋体"/>
                <w:kern w:val="0"/>
                <w:szCs w:val="21"/>
              </w:rPr>
              <w:br w:type="textWrapping"/>
            </w:r>
            <w:r>
              <w:rPr>
                <w:rFonts w:hint="eastAsia" w:ascii="宋体" w:hAnsi="宋体" w:cs="宋体"/>
                <w:kern w:val="0"/>
                <w:szCs w:val="21"/>
              </w:rPr>
              <w:t>13、支持多路访问功能，在同一客户端上，可最多同时开启≥6个视频窗口进行画面浏览。</w:t>
            </w:r>
            <w:r>
              <w:rPr>
                <w:rFonts w:hint="eastAsia" w:ascii="宋体" w:hAnsi="宋体" w:cs="宋体"/>
                <w:kern w:val="0"/>
                <w:szCs w:val="21"/>
              </w:rPr>
              <w:br w:type="textWrapping"/>
            </w:r>
            <w:r>
              <w:rPr>
                <w:rFonts w:hint="eastAsia" w:ascii="宋体" w:hAnsi="宋体" w:cs="宋体"/>
                <w:kern w:val="0"/>
                <w:szCs w:val="21"/>
              </w:rPr>
              <w:t>14、内置≥1个麦克风，≥1个扬声器，≥1路报警输入，≥1路报警输出，≥1路音频输入，≥1路音频输出，支持双向语音对讲。</w:t>
            </w:r>
            <w:r>
              <w:rPr>
                <w:rFonts w:hint="eastAsia" w:ascii="宋体" w:hAnsi="宋体" w:cs="宋体"/>
                <w:kern w:val="0"/>
                <w:szCs w:val="21"/>
              </w:rPr>
              <w:br w:type="textWrapping"/>
            </w:r>
            <w:r>
              <w:rPr>
                <w:rFonts w:hint="eastAsia" w:ascii="宋体" w:hAnsi="宋体" w:cs="宋体"/>
                <w:kern w:val="0"/>
                <w:szCs w:val="21"/>
              </w:rPr>
              <w:t>15、防护等级≥IP66，支持POE、DC12V供电，且在DC12V±25%范围内变化时可以正常工作。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4</w:t>
            </w:r>
          </w:p>
        </w:tc>
        <w:tc>
          <w:tcPr>
            <w:tcW w:w="888" w:type="dxa"/>
          </w:tcPr>
          <w:p>
            <w:pPr>
              <w:pStyle w:val="21"/>
              <w:ind w:firstLine="0" w:firstLineChars="0"/>
              <w:rPr>
                <w:rFonts w:hint="eastAsia" w:hAnsi="宋体"/>
                <w:color w:val="auto"/>
                <w:sz w:val="21"/>
                <w:szCs w:val="21"/>
              </w:rPr>
            </w:pPr>
            <w:r>
              <w:rPr>
                <w:rFonts w:hAnsi="宋体"/>
                <w:color w:val="auto"/>
                <w:sz w:val="21"/>
                <w:szCs w:val="21"/>
              </w:rPr>
              <w:t>周界警戒相机</w:t>
            </w:r>
          </w:p>
        </w:tc>
        <w:tc>
          <w:tcPr>
            <w:tcW w:w="630" w:type="dxa"/>
            <w:gridSpan w:val="2"/>
          </w:tcPr>
          <w:p>
            <w:pPr>
              <w:pStyle w:val="21"/>
              <w:ind w:firstLine="0" w:firstLineChars="0"/>
              <w:rPr>
                <w:rFonts w:hint="eastAsia" w:hAnsi="宋体"/>
                <w:color w:val="auto"/>
                <w:sz w:val="21"/>
                <w:szCs w:val="21"/>
              </w:rPr>
            </w:pPr>
            <w:r>
              <w:rPr>
                <w:rFonts w:hint="eastAsia" w:hAnsi="宋体"/>
                <w:color w:val="auto"/>
                <w:sz w:val="21"/>
                <w:szCs w:val="21"/>
              </w:rPr>
              <w:t>台</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rPr>
              <w:t>1</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w:t>
            </w:r>
            <w:r>
              <w:rPr>
                <w:rFonts w:hint="eastAsia" w:ascii="宋体" w:hAnsi="宋体"/>
                <w:b/>
                <w:bCs/>
                <w:szCs w:val="21"/>
              </w:rPr>
              <w:t>★</w:t>
            </w:r>
            <w:r>
              <w:rPr>
                <w:rFonts w:hint="eastAsia" w:ascii="宋体" w:hAnsi="宋体" w:cs="宋体"/>
                <w:kern w:val="0"/>
                <w:szCs w:val="21"/>
              </w:rPr>
              <w:t>具有不小于1/1.8"靶面尺寸，镜头光圈≥F1.0，内置≥1颗GPU芯片。</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2、最低照度彩色：0.0002lx，黑白:0.0001lx。</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3、在彩色模式下，当环境照度降低至设定阈值，可自动开启白光补光灯，在白天、夜晚均可输出彩色视频图像。</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4、中心水平分辨率达到1500线(2688*1520)、视频最大帧率≥30fps。</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5、具有低温低气压适应性，可在不高于-45℃和气压70kPa环境下正常工作。</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6、具有≥1个RS485接口、≥1个报警输入接口、≥1个报警输出接口、≥1个音频输入接口、≥1个音频输出接口。</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7、具有AI-ISP图像质量提升功能，在低照度环境下，可自动调节预览场景视频画面中人脸、人体、车辆等目标及预览场景视频画面的区域曝光、亮度、色彩饱和、度、对比度、锐度等。</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8、▲设备内置容量为≥8GB的eMMC芯片，存储大模型算法及数据。</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9、▲设备内置大模型算法芯片，运用大模型算法检测并分类识别目标。</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、▲摄像机采用鳞镜式补光灯，补光灯开启后，正面不可见补光灯灯珠，补光亮度均匀，无明显波纹状、圆环状、麻点状、条纹状及不规则亮斑。</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1</w:t>
            </w:r>
            <w:r>
              <w:rPr>
                <w:rFonts w:hint="eastAsia" w:ascii="宋体" w:hAnsi="宋体" w:cs="宋体"/>
                <w:kern w:val="0"/>
                <w:szCs w:val="21"/>
              </w:rPr>
              <w:t>、▲设备在水平视场角不小于90°时，</w:t>
            </w:r>
            <w:bookmarkStart w:id="81" w:name="OLE_LINK21"/>
            <w:r>
              <w:rPr>
                <w:rFonts w:hint="eastAsia" w:ascii="宋体" w:hAnsi="宋体" w:cs="宋体"/>
                <w:kern w:val="0"/>
                <w:szCs w:val="21"/>
              </w:rPr>
              <w:t>可检测距离样机60m处肩宽不超过</w:t>
            </w:r>
            <w:r>
              <w:rPr>
                <w:rFonts w:hint="eastAsia" w:ascii="宋体" w:hAnsi="宋体" w:cs="宋体"/>
                <w:kern w:val="0"/>
                <w:szCs w:val="21"/>
                <w:lang w:val="en-US" w:eastAsia="zh-CN"/>
              </w:rPr>
              <w:t>19</w:t>
            </w:r>
            <w:r>
              <w:rPr>
                <w:rFonts w:hint="eastAsia" w:ascii="宋体" w:hAnsi="宋体" w:cs="宋体"/>
                <w:kern w:val="0"/>
                <w:szCs w:val="21"/>
              </w:rPr>
              <w:t>像素的行人。</w:t>
            </w:r>
            <w:bookmarkEnd w:id="81"/>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ascii="宋体" w:hAnsi="宋体" w:cs="宋体"/>
                <w:kern w:val="0"/>
                <w:szCs w:val="21"/>
              </w:rPr>
              <w:t>、设备在水平视场角不小于90°时，可检测距离样机70m处车头宽度不超过40像素的机动车。</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3</w:t>
            </w:r>
            <w:r>
              <w:rPr>
                <w:rFonts w:hint="eastAsia" w:ascii="宋体" w:hAnsi="宋体" w:cs="宋体"/>
                <w:kern w:val="0"/>
                <w:szCs w:val="21"/>
              </w:rPr>
              <w:t>、设备采用智能大模型算法，当检测区域存在晃动的树叶、光影时，可对人员，机动车，狗进行目标检测。</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4</w:t>
            </w:r>
            <w:r>
              <w:rPr>
                <w:rFonts w:hint="eastAsia" w:ascii="宋体" w:hAnsi="宋体" w:cs="宋体"/>
                <w:kern w:val="0"/>
                <w:szCs w:val="21"/>
              </w:rPr>
              <w:t>、在IE浏览器下，具有设备重启和布防动态报警数据感知与记录功能，布防动态报警数据包括异常掉线、历史布防、实时布防3种类型；可记录报警的开始时间、结束时间、布防类型、报警链路地址、端口、链路续传。</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5</w:t>
            </w:r>
            <w:r>
              <w:rPr>
                <w:rFonts w:hint="eastAsia" w:ascii="宋体" w:hAnsi="宋体" w:cs="宋体"/>
                <w:kern w:val="0"/>
                <w:szCs w:val="21"/>
              </w:rPr>
              <w:t>、支持通过IE浏览器设置登录超时时间，当登录后无操作时长达到设置阈值后，设备自动退出并重新进入登录界面。</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6</w:t>
            </w:r>
            <w:r>
              <w:rPr>
                <w:rFonts w:hint="eastAsia" w:ascii="宋体" w:hAnsi="宋体" w:cs="宋体"/>
                <w:kern w:val="0"/>
                <w:szCs w:val="21"/>
              </w:rPr>
              <w:t>、设备具有耀光抑制功能，耀光区域≤1%。</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7</w:t>
            </w:r>
            <w:r>
              <w:rPr>
                <w:rFonts w:hint="eastAsia" w:ascii="宋体" w:hAnsi="宋体" w:cs="宋体"/>
                <w:kern w:val="0"/>
                <w:szCs w:val="21"/>
              </w:rPr>
              <w:t>、不低于IP67防尘防水等级。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5</w:t>
            </w:r>
          </w:p>
        </w:tc>
        <w:tc>
          <w:tcPr>
            <w:tcW w:w="888" w:type="dxa"/>
          </w:tcPr>
          <w:p>
            <w:pPr>
              <w:pStyle w:val="21"/>
              <w:ind w:firstLine="0" w:firstLineChars="0"/>
              <w:rPr>
                <w:rFonts w:hint="eastAsia" w:hAnsi="宋体"/>
                <w:color w:val="auto"/>
                <w:sz w:val="21"/>
                <w:szCs w:val="21"/>
              </w:rPr>
            </w:pPr>
            <w:r>
              <w:rPr>
                <w:rFonts w:hAnsi="宋体"/>
                <w:color w:val="auto"/>
                <w:sz w:val="21"/>
                <w:szCs w:val="21"/>
              </w:rPr>
              <w:t>磁盘阵列</w:t>
            </w:r>
          </w:p>
        </w:tc>
        <w:tc>
          <w:tcPr>
            <w:tcW w:w="630" w:type="dxa"/>
            <w:gridSpan w:val="2"/>
          </w:tcPr>
          <w:p>
            <w:pPr>
              <w:pStyle w:val="21"/>
              <w:ind w:firstLine="0" w:firstLineChars="0"/>
              <w:rPr>
                <w:rFonts w:hint="eastAsia" w:hAnsi="宋体"/>
                <w:color w:val="auto"/>
                <w:sz w:val="21"/>
                <w:szCs w:val="21"/>
              </w:rPr>
            </w:pPr>
            <w:r>
              <w:rPr>
                <w:rFonts w:hint="eastAsia" w:hAnsi="宋体"/>
                <w:color w:val="auto"/>
                <w:sz w:val="21"/>
                <w:szCs w:val="21"/>
              </w:rPr>
              <w:t>套</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rPr>
              <w:t>1</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设备配置：≥1颗64位多核处理器，≥8GB内存，内存支持扩展到≥256GB，内置SSD固态硬盘（可以扩展到4个SSD作为缓存盘），配置≥8个风扇，风扇支持热插拔并可冗余温控调速；支持热插拔1+1AC220V电源或1+1直流冗余电源供电。</w:t>
            </w:r>
            <w:r>
              <w:rPr>
                <w:rFonts w:hint="eastAsia" w:ascii="宋体" w:hAnsi="宋体" w:cs="宋体"/>
                <w:kern w:val="0"/>
                <w:szCs w:val="21"/>
              </w:rPr>
              <w:br w:type="textWrapping"/>
            </w:r>
            <w:r>
              <w:rPr>
                <w:rFonts w:hint="eastAsia" w:ascii="宋体" w:hAnsi="宋体" w:cs="宋体"/>
                <w:kern w:val="0"/>
                <w:szCs w:val="21"/>
              </w:rPr>
              <w:t>2、▲设备标配：≥4个2.5Gb网口，支持≥2个前置 USB2.0接口、≥2个后置USB3.0接口，支持≥1个前置VGA接口、≥1个后置HDMI接口，支持≥1个RS-232串口，支持≥4个PCI-E3.0。</w:t>
            </w:r>
            <w:r>
              <w:rPr>
                <w:rFonts w:hint="eastAsia" w:ascii="宋体" w:hAnsi="宋体" w:cs="宋体"/>
                <w:kern w:val="0"/>
                <w:szCs w:val="21"/>
              </w:rPr>
              <w:br w:type="textWrapping"/>
            </w:r>
            <w:r>
              <w:rPr>
                <w:rFonts w:hint="eastAsia" w:ascii="宋体" w:hAnsi="宋体" w:cs="宋体"/>
                <w:kern w:val="0"/>
                <w:szCs w:val="21"/>
              </w:rPr>
              <w:t>3、具有48个硬盘热插拔插槽；支持硬盘热插拔设备在读写数据时，热插拔设备内的任意块硬盘，设备正常运行不宕机，硬盘不损坏，数据不丢失，业务不中断；设备含≥48块16T企业级IOT硬盘。</w:t>
            </w:r>
            <w:r>
              <w:rPr>
                <w:rFonts w:hint="eastAsia" w:ascii="宋体" w:hAnsi="宋体" w:cs="宋体"/>
                <w:kern w:val="0"/>
                <w:szCs w:val="21"/>
              </w:rPr>
              <w:br w:type="textWrapping"/>
            </w:r>
            <w:r>
              <w:rPr>
                <w:rFonts w:hint="eastAsia" w:ascii="宋体" w:hAnsi="宋体" w:cs="宋体"/>
                <w:kern w:val="0"/>
                <w:szCs w:val="21"/>
              </w:rPr>
              <w:t>4、▲设备具备≥1个定位灯、≥1个电源灯、≥1个设备报警灯、≥1个就绪灯、≥1个网络状态灯、≥1个系统盘状态灯、≥1个硬盘状态灯，机箱具备防尘滤网，采用双立柱防震设计。设备左右侧面各有抬手，具备前面板抽拉标签卡。</w:t>
            </w:r>
            <w:r>
              <w:rPr>
                <w:rFonts w:hint="eastAsia" w:ascii="宋体" w:hAnsi="宋体" w:cs="宋体"/>
                <w:kern w:val="0"/>
                <w:szCs w:val="21"/>
              </w:rPr>
              <w:br w:type="textWrapping"/>
            </w:r>
            <w:r>
              <w:rPr>
                <w:rFonts w:hint="eastAsia" w:ascii="宋体" w:hAnsi="宋体" w:cs="宋体"/>
                <w:kern w:val="0"/>
                <w:szCs w:val="21"/>
              </w:rPr>
              <w:t>5、▲每个控制单元支持双系统应用，外置系统盘支持RAID1模式，系统盘支持热插拔，当主系统出现故障时，备用系统可接管工作；支持系统盘为独立的2块HDD（SATA、SAS）或SSD盘，组成RAID1。</w:t>
            </w:r>
            <w:r>
              <w:rPr>
                <w:rFonts w:hint="eastAsia" w:ascii="宋体" w:hAnsi="宋体" w:cs="宋体"/>
                <w:kern w:val="0"/>
                <w:szCs w:val="21"/>
              </w:rPr>
              <w:br w:type="textWrapping"/>
            </w:r>
            <w:r>
              <w:rPr>
                <w:rFonts w:hint="eastAsia" w:ascii="宋体" w:hAnsi="宋体" w:cs="宋体"/>
                <w:kern w:val="0"/>
                <w:szCs w:val="21"/>
              </w:rPr>
              <w:t>6、▲可接入2T/3T/4T/6T/8T/10T/12T/14T/16T/18T/20T/25T/26T/30T SATA/SAS硬盘；支持NL-SAS 硬盘、HDD硬盘、SSD硬盘、氦气硬盘、空气硬盘；支持 CMR或SMR硬盘；支持硬盘交错/分时启动。</w:t>
            </w:r>
            <w:r>
              <w:rPr>
                <w:rFonts w:hint="eastAsia" w:ascii="宋体" w:hAnsi="宋体" w:cs="宋体"/>
                <w:kern w:val="0"/>
                <w:szCs w:val="21"/>
              </w:rPr>
              <w:br w:type="textWrapping"/>
            </w:r>
            <w:r>
              <w:rPr>
                <w:rFonts w:hint="eastAsia" w:ascii="宋体" w:hAnsi="宋体" w:cs="宋体"/>
                <w:kern w:val="0"/>
                <w:szCs w:val="21"/>
              </w:rPr>
              <w:t>7、支持视音频、图片、智能数据流进行混合直存，无需存储服务器和图片服务器的参与，平台服务器宕机时，存储业务正常；支持国际GB/T 28181和Onvif视频流直存模式；支持iSCSI直存功能，前端网络摄像机和设备之间可直接通过iSCSI协议进行块存储</w:t>
            </w:r>
            <w:r>
              <w:rPr>
                <w:rFonts w:hint="eastAsia" w:ascii="宋体" w:hAnsi="宋体" w:cs="宋体"/>
                <w:kern w:val="0"/>
                <w:szCs w:val="21"/>
              </w:rPr>
              <w:br w:type="textWrapping"/>
            </w:r>
            <w:r>
              <w:rPr>
                <w:rFonts w:hint="eastAsia" w:ascii="宋体" w:hAnsi="宋体" w:cs="宋体"/>
                <w:kern w:val="0"/>
                <w:szCs w:val="21"/>
              </w:rPr>
              <w:t>8、支持 ONVIF、PSIA、TCP/IP、UDP、SIP、SIP2.0、RTSP、RTP、RTCP、iSCSI、CIFS(SMB)、NFS、FTP、HTTP、AFP、RSYNC、SNMP、IPV4、IPV6、HLS、S3、OSS等协议，支持IP组播</w:t>
            </w:r>
            <w:r>
              <w:rPr>
                <w:rFonts w:hint="eastAsia" w:ascii="宋体" w:hAnsi="宋体" w:cs="宋体"/>
                <w:kern w:val="0"/>
                <w:szCs w:val="21"/>
              </w:rPr>
              <w:br w:type="textWrapping"/>
            </w:r>
            <w:r>
              <w:rPr>
                <w:rFonts w:hint="eastAsia" w:ascii="宋体" w:hAnsi="宋体" w:cs="宋体"/>
                <w:kern w:val="0"/>
                <w:szCs w:val="21"/>
              </w:rPr>
              <w:t>9、支持网络RAID纠删码技术，多台存储设备组建网络RAID，设置为负载均衡；单台或多台存储设备组建网络RAID，允许每组RAID中任意1—18个磁盘发生故障，数据不丢失，存储服务不中断；允许每组RAID中任意20块硬盘发生故障，业务不中断</w:t>
            </w:r>
            <w:r>
              <w:rPr>
                <w:rFonts w:hint="eastAsia" w:ascii="宋体" w:hAnsi="宋体" w:cs="宋体"/>
                <w:kern w:val="0"/>
                <w:szCs w:val="21"/>
              </w:rPr>
              <w:br w:type="textWrapping"/>
            </w:r>
            <w:r>
              <w:rPr>
                <w:rFonts w:hint="eastAsia" w:ascii="宋体" w:hAnsi="宋体" w:cs="宋体"/>
                <w:kern w:val="0"/>
                <w:szCs w:val="21"/>
              </w:rPr>
              <w:t>10、▲设备支持版本回退功能，在当前版本出现故障或操作失误后，可进行回退到历史版本，回退后录像正常回放，且历史录像完整。</w:t>
            </w:r>
          </w:p>
          <w:p>
            <w:pPr>
              <w:widowControl/>
              <w:spacing w:line="360" w:lineRule="auto"/>
              <w:ind w:firstLine="0" w:firstLineChars="0"/>
              <w:jc w:val="left"/>
              <w:rPr>
                <w:rFonts w:hint="eastAsia" w:ascii="宋体" w:hAnsi="宋体" w:cs="宋体"/>
                <w:kern w:val="0"/>
                <w:szCs w:val="21"/>
              </w:rPr>
            </w:pPr>
            <w:r>
              <w:rPr>
                <w:rFonts w:ascii="宋体" w:hAnsi="宋体" w:cs="宋体"/>
                <w:kern w:val="0"/>
                <w:szCs w:val="21"/>
              </w:rPr>
              <w:t>11</w:t>
            </w:r>
            <w:r>
              <w:rPr>
                <w:rFonts w:hint="eastAsia" w:ascii="宋体" w:hAnsi="宋体" w:cs="宋体"/>
                <w:kern w:val="0"/>
                <w:szCs w:val="21"/>
              </w:rPr>
              <w:t>、设备支持MAID2.0磁盘节能功能，当磁盘不工作时，可根据设置的时间自动启动磁盘降速或磁盘休眠指令，降低磁盘驱动能耗</w:t>
            </w:r>
            <w:r>
              <w:rPr>
                <w:rFonts w:hint="eastAsia" w:ascii="宋体" w:hAnsi="宋体" w:cs="宋体"/>
                <w:kern w:val="0"/>
                <w:szCs w:val="21"/>
              </w:rPr>
              <w:br w:type="textWrapping"/>
            </w:r>
            <w:r>
              <w:rPr>
                <w:rFonts w:hint="eastAsia" w:ascii="宋体" w:hAnsi="宋体" w:cs="宋体"/>
                <w:kern w:val="0"/>
                <w:szCs w:val="21"/>
              </w:rPr>
              <w:t>12、▲设备支持硬盘的多级工作模式，包括性能模式、空闲模式（A\B\C，A：硬盘短时空闲，可以正常响应IO；B：较多空闲，磁头不再移动，硬盘满转；C：硬盘完全空闲，磁头不再移动，硬盘降速）、休眠模式（硬盘不再旋转，新下发IO需要唤醒）。</w:t>
            </w:r>
            <w:r>
              <w:rPr>
                <w:rFonts w:hint="eastAsia" w:ascii="宋体" w:hAnsi="宋体" w:cs="宋体"/>
                <w:kern w:val="0"/>
                <w:szCs w:val="21"/>
              </w:rPr>
              <w:br w:type="textWrapping"/>
            </w:r>
            <w:r>
              <w:rPr>
                <w:rFonts w:hint="eastAsia" w:ascii="宋体" w:hAnsi="宋体" w:cs="宋体"/>
                <w:kern w:val="0"/>
                <w:szCs w:val="21"/>
              </w:rPr>
              <w:t>13、▲BMC支持复杂密码，设备首次使用默认密码登录BMC时，提示修改密码，并且需要强制修改完密码后重新登录，否则无法进入BMC web。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6</w:t>
            </w:r>
          </w:p>
        </w:tc>
        <w:tc>
          <w:tcPr>
            <w:tcW w:w="888" w:type="dxa"/>
          </w:tcPr>
          <w:p>
            <w:pPr>
              <w:pStyle w:val="21"/>
              <w:ind w:firstLine="0" w:firstLineChars="0"/>
              <w:rPr>
                <w:rFonts w:hint="eastAsia" w:hAnsi="宋体"/>
                <w:color w:val="auto"/>
                <w:sz w:val="21"/>
                <w:szCs w:val="21"/>
              </w:rPr>
            </w:pPr>
            <w:r>
              <w:rPr>
                <w:rFonts w:hAnsi="宋体"/>
                <w:color w:val="auto"/>
                <w:sz w:val="21"/>
                <w:szCs w:val="21"/>
              </w:rPr>
              <w:t>超高清解码器</w:t>
            </w:r>
          </w:p>
        </w:tc>
        <w:tc>
          <w:tcPr>
            <w:tcW w:w="630" w:type="dxa"/>
            <w:gridSpan w:val="2"/>
          </w:tcPr>
          <w:p>
            <w:pPr>
              <w:pStyle w:val="21"/>
              <w:ind w:firstLine="0" w:firstLineChars="0"/>
              <w:rPr>
                <w:rFonts w:hint="eastAsia" w:hAnsi="宋体"/>
                <w:color w:val="auto"/>
                <w:sz w:val="21"/>
                <w:szCs w:val="21"/>
              </w:rPr>
            </w:pPr>
            <w:r>
              <w:rPr>
                <w:rFonts w:hint="eastAsia" w:hAnsi="宋体"/>
                <w:color w:val="auto"/>
                <w:sz w:val="21"/>
                <w:szCs w:val="21"/>
              </w:rPr>
              <w:t>台</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rPr>
              <w:t>1</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1、采用嵌入式架构，专用Linux操作系统，支持对实时视频流以及录像文件进行解码输出。</w:t>
            </w:r>
            <w:r>
              <w:rPr>
                <w:rFonts w:hint="eastAsia" w:ascii="宋体" w:hAnsi="宋体" w:cs="宋体"/>
                <w:kern w:val="0"/>
                <w:szCs w:val="21"/>
              </w:rPr>
              <w:br w:type="textWrapping"/>
            </w:r>
            <w:r>
              <w:rPr>
                <w:rFonts w:hint="eastAsia" w:ascii="宋体" w:hAnsi="宋体" w:cs="宋体"/>
                <w:kern w:val="0"/>
                <w:szCs w:val="21"/>
              </w:rPr>
              <w:t>2、支持≥16路HDMI输出，≥8路报警输入，≥8路报警输出，≥16路音频输出，≥1个RS485接口。</w:t>
            </w:r>
            <w:r>
              <w:rPr>
                <w:rFonts w:hint="eastAsia" w:ascii="宋体" w:hAnsi="宋体" w:cs="宋体"/>
                <w:kern w:val="0"/>
                <w:szCs w:val="21"/>
              </w:rPr>
              <w:br w:type="textWrapping"/>
            </w:r>
            <w:r>
              <w:rPr>
                <w:rFonts w:hint="eastAsia" w:ascii="宋体" w:hAnsi="宋体" w:cs="宋体"/>
                <w:kern w:val="0"/>
                <w:szCs w:val="21"/>
              </w:rPr>
              <w:t>3、具有开窗漫游功能，任意一路信号显示画面可进行任意漫游、缩放，可在单屏或者多屏的任意位置上叠加显示，图层不少于64层。</w:t>
            </w:r>
            <w:r>
              <w:rPr>
                <w:rFonts w:hint="eastAsia" w:ascii="宋体" w:hAnsi="宋体" w:cs="宋体"/>
                <w:kern w:val="0"/>
                <w:szCs w:val="21"/>
              </w:rPr>
              <w:br w:type="textWrapping"/>
            </w:r>
            <w:r>
              <w:rPr>
                <w:rFonts w:hint="eastAsia" w:ascii="宋体" w:hAnsi="宋体" w:cs="宋体"/>
                <w:kern w:val="0"/>
                <w:szCs w:val="21"/>
              </w:rPr>
              <w:t>4、▲支持黑白名单功能，可设置≥256个黑白名单，当设置白名单时，只允许白名单IP访问设备，当设置黑名单时，黑名单内IP无法访问设备，支持1、2、4、6、8、9、10、12、16、25、36画面分割显示，支持平均分割，支持分割线开启、关闭设置，支持底色设置。</w:t>
            </w:r>
            <w:r>
              <w:rPr>
                <w:rFonts w:hint="eastAsia" w:ascii="宋体" w:hAnsi="宋体" w:cs="宋体"/>
                <w:kern w:val="0"/>
                <w:szCs w:val="21"/>
              </w:rPr>
              <w:br w:type="textWrapping"/>
            </w:r>
            <w:r>
              <w:rPr>
                <w:rFonts w:hint="eastAsia" w:ascii="宋体" w:hAnsi="宋体" w:cs="宋体"/>
                <w:kern w:val="0"/>
                <w:szCs w:val="21"/>
              </w:rPr>
              <w:t>5、支持客户端软件设置底色，当无解码画面时，设置输出显示该底色，支持场景切换，各个大屏可同时切换，切换时间≤1秒。</w:t>
            </w:r>
            <w:r>
              <w:rPr>
                <w:rFonts w:hint="eastAsia" w:ascii="宋体" w:hAnsi="宋体" w:cs="宋体"/>
                <w:kern w:val="0"/>
                <w:szCs w:val="21"/>
              </w:rPr>
              <w:br w:type="textWrapping"/>
            </w:r>
            <w:r>
              <w:rPr>
                <w:rFonts w:hint="eastAsia" w:ascii="宋体" w:hAnsi="宋体" w:cs="宋体"/>
                <w:kern w:val="0"/>
                <w:szCs w:val="21"/>
              </w:rPr>
              <w:t>6、可通过客户端软件将显示窗口在多个显示屏间进行拖动或跨屏显示，并可调节显示窗口大小。</w:t>
            </w:r>
            <w:r>
              <w:rPr>
                <w:rFonts w:hint="eastAsia" w:ascii="宋体" w:hAnsi="宋体" w:cs="宋体"/>
                <w:kern w:val="0"/>
                <w:szCs w:val="21"/>
              </w:rPr>
              <w:br w:type="textWrapping"/>
            </w:r>
            <w:r>
              <w:rPr>
                <w:rFonts w:hint="eastAsia" w:ascii="宋体" w:hAnsi="宋体" w:cs="宋体"/>
                <w:kern w:val="0"/>
                <w:szCs w:val="21"/>
              </w:rPr>
              <w:t>7、支持NTP校时及客户端软件手动校时两种校时方式，可通过客户端软件对设备进行恢复出厂设置。</w:t>
            </w:r>
            <w:r>
              <w:rPr>
                <w:rFonts w:hint="eastAsia" w:ascii="宋体" w:hAnsi="宋体" w:cs="宋体"/>
                <w:kern w:val="0"/>
                <w:szCs w:val="21"/>
              </w:rPr>
              <w:br w:type="textWrapping"/>
            </w:r>
            <w:r>
              <w:rPr>
                <w:rFonts w:hint="eastAsia" w:ascii="宋体" w:hAnsi="宋体" w:cs="宋体"/>
                <w:kern w:val="0"/>
                <w:szCs w:val="21"/>
              </w:rPr>
              <w:t>8、▲输入信号接入解码器后上墙显示，支持YUV422上墙显示，可将设备当前的解码输出模式设置为≥1个场景，设备可保存多个场景，场景数量≥45个，并可通过客户端软件切换设备场景。</w:t>
            </w:r>
            <w:r>
              <w:rPr>
                <w:rFonts w:hint="eastAsia" w:ascii="宋体" w:hAnsi="宋体" w:cs="宋体"/>
                <w:kern w:val="0"/>
                <w:szCs w:val="21"/>
              </w:rPr>
              <w:br w:type="textWrapping"/>
            </w:r>
            <w:r>
              <w:rPr>
                <w:rFonts w:hint="eastAsia" w:ascii="宋体" w:hAnsi="宋体" w:cs="宋体"/>
                <w:kern w:val="0"/>
                <w:szCs w:val="21"/>
              </w:rPr>
              <w:t>9、解码能力支持≥16路分辨率为4000*3000（20fps）的H.264、H.265视频图像，≥32路分辨率为4096*2160（25fps）的H.264、H.265视频图像，≥32路分辨率为3840*2160（25fps）的H.264、H.265视频图像，≥48路分辨率为2592*1944（30fps）的H.264、H.265视频图像，≥128路分辨率为1920*1080（30fps）的H.264、H.265视频图像，≥256路分辨率为1280*720（30fps）的H.264、H.265视频图像。</w:t>
            </w:r>
            <w:r>
              <w:rPr>
                <w:rFonts w:hint="eastAsia" w:ascii="宋体" w:hAnsi="宋体" w:cs="宋体"/>
                <w:kern w:val="0"/>
                <w:szCs w:val="21"/>
              </w:rPr>
              <w:br w:type="textWrapping"/>
            </w:r>
            <w:r>
              <w:rPr>
                <w:rFonts w:hint="eastAsia" w:ascii="宋体" w:hAnsi="宋体" w:cs="宋体"/>
                <w:kern w:val="0"/>
                <w:szCs w:val="21"/>
              </w:rPr>
              <w:t>10、支持在超出设备解码能力时，在显示输出窗口叠加提示信息，支持回形拼接，支持对解码的IPC输出的画面进行旋转，支持≥90°、≥180°左旋和≥90°、≥180°右旋。</w:t>
            </w:r>
            <w:r>
              <w:rPr>
                <w:rFonts w:hint="eastAsia" w:ascii="宋体" w:hAnsi="宋体" w:cs="宋体"/>
                <w:kern w:val="0"/>
                <w:szCs w:val="21"/>
              </w:rPr>
              <w:br w:type="textWrapping"/>
            </w:r>
            <w:r>
              <w:rPr>
                <w:rFonts w:hint="eastAsia" w:ascii="宋体" w:hAnsi="宋体" w:cs="宋体"/>
                <w:kern w:val="0"/>
                <w:szCs w:val="21"/>
              </w:rPr>
              <w:t>11、▲音频解码格式支持G.722、G.711A、G.726、G.711U、MPEG2-L2、AAC，支持对输入的视频画面进行≥90°、≥180°、≥270°旋转显示，支持通过IE浏览器进行网络模式设置，包括设置为流畅性优先、实时性优先。</w:t>
            </w:r>
            <w:r>
              <w:rPr>
                <w:rFonts w:hint="eastAsia" w:ascii="宋体" w:hAnsi="宋体" w:cs="宋体"/>
                <w:kern w:val="0"/>
                <w:szCs w:val="21"/>
              </w:rPr>
              <w:br w:type="textWrapping"/>
            </w:r>
            <w:r>
              <w:rPr>
                <w:rFonts w:hint="eastAsia" w:ascii="宋体" w:hAnsi="宋体" w:cs="宋体"/>
                <w:kern w:val="0"/>
                <w:szCs w:val="21"/>
              </w:rPr>
              <w:t>12、支持实时视频流及录像文件同时解码输出显示，历史解码能力与实时流解码能力一致。</w:t>
            </w:r>
            <w:r>
              <w:rPr>
                <w:rFonts w:hint="eastAsia" w:ascii="宋体" w:hAnsi="宋体" w:cs="宋体"/>
                <w:kern w:val="0"/>
                <w:szCs w:val="21"/>
              </w:rPr>
              <w:br w:type="textWrapping"/>
            </w:r>
            <w:r>
              <w:rPr>
                <w:rFonts w:hint="eastAsia" w:ascii="宋体" w:hAnsi="宋体" w:cs="宋体"/>
                <w:kern w:val="0"/>
                <w:szCs w:val="21"/>
              </w:rPr>
              <w:t>13、▲通过设备抓屏软件，可将远程电脑桌面实时解码上墙显示，画面帧率≥30fps，支持PC软件客户端、WEB浏览器客户端、平台客户端、IPAD、可视化触控平台方式访问管理。</w:t>
            </w:r>
            <w:r>
              <w:rPr>
                <w:rFonts w:hint="eastAsia" w:ascii="宋体" w:hAnsi="宋体" w:cs="宋体"/>
                <w:kern w:val="0"/>
                <w:szCs w:val="21"/>
              </w:rPr>
              <w:br w:type="textWrapping"/>
            </w:r>
            <w:r>
              <w:rPr>
                <w:rFonts w:hint="eastAsia" w:ascii="宋体" w:hAnsi="宋体" w:cs="宋体"/>
                <w:kern w:val="0"/>
                <w:szCs w:val="21"/>
              </w:rPr>
              <w:t>14、可通过有线网络模式访问设备，通过客户端软件导入和导出设备配置参数。</w:t>
            </w:r>
            <w:r>
              <w:rPr>
                <w:rFonts w:hint="eastAsia" w:ascii="宋体" w:hAnsi="宋体" w:cs="宋体"/>
                <w:kern w:val="0"/>
                <w:szCs w:val="21"/>
              </w:rPr>
              <w:br w:type="textWrapping"/>
            </w:r>
            <w:r>
              <w:rPr>
                <w:rFonts w:hint="eastAsia" w:ascii="宋体" w:hAnsi="宋体" w:cs="宋体"/>
                <w:kern w:val="0"/>
                <w:szCs w:val="21"/>
              </w:rPr>
              <w:t>15、设备在-10℃～50℃温度变化范围内，可保持正常工作。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7</w:t>
            </w:r>
          </w:p>
        </w:tc>
        <w:tc>
          <w:tcPr>
            <w:tcW w:w="888" w:type="dxa"/>
          </w:tcPr>
          <w:p>
            <w:pPr>
              <w:pStyle w:val="21"/>
              <w:ind w:firstLine="0" w:firstLineChars="0"/>
              <w:rPr>
                <w:rFonts w:hint="eastAsia" w:hAnsi="宋体"/>
                <w:color w:val="auto"/>
                <w:sz w:val="21"/>
                <w:szCs w:val="21"/>
              </w:rPr>
            </w:pPr>
            <w:bookmarkStart w:id="82" w:name="OLE_LINK22"/>
            <w:r>
              <w:rPr>
                <w:rFonts w:hAnsi="宋体"/>
                <w:color w:val="auto"/>
                <w:sz w:val="21"/>
                <w:szCs w:val="21"/>
              </w:rPr>
              <w:t>综合安防管理一体机</w:t>
            </w:r>
            <w:bookmarkEnd w:id="82"/>
          </w:p>
        </w:tc>
        <w:tc>
          <w:tcPr>
            <w:tcW w:w="630" w:type="dxa"/>
            <w:gridSpan w:val="2"/>
          </w:tcPr>
          <w:p>
            <w:pPr>
              <w:pStyle w:val="21"/>
              <w:ind w:firstLine="0" w:firstLineChars="0"/>
              <w:rPr>
                <w:rFonts w:hint="eastAsia" w:hAnsi="宋体"/>
                <w:color w:val="auto"/>
                <w:sz w:val="21"/>
                <w:szCs w:val="21"/>
              </w:rPr>
            </w:pPr>
            <w:r>
              <w:rPr>
                <w:rFonts w:hint="eastAsia" w:hAnsi="宋体"/>
                <w:color w:val="auto"/>
                <w:sz w:val="21"/>
                <w:szCs w:val="21"/>
              </w:rPr>
              <w:t>台</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rPr>
              <w:t>1</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1、▲设备具有≥1个DP接口、≥2个HDMI接口，≥1个VGA口、≥4个RJ45 10/100/1000Mbps 自适应以太网口、≥7个USB接口（其中至少≥5个USB2.0接口， ≥2个USB3.0接口）、≥1个RS-485接口、≥1个RS-232接口、≥16路报警输入接口、≥4路报警输出接口、≥ 5个SATA 3.0接口；具有≥2路音频输入（其中至少≥1路3.5mm，≥1路RCA），≥2路音频输出（其中至少≥1路3.5mm、≥1路RCA）。</w:t>
            </w:r>
            <w:r>
              <w:rPr>
                <w:rFonts w:hint="eastAsia" w:ascii="宋体" w:hAnsi="宋体" w:cs="宋体"/>
                <w:kern w:val="0"/>
                <w:szCs w:val="21"/>
              </w:rPr>
              <w:br w:type="textWrapping"/>
            </w:r>
            <w:r>
              <w:rPr>
                <w:rFonts w:hint="eastAsia" w:ascii="宋体" w:hAnsi="宋体" w:cs="宋体"/>
                <w:kern w:val="0"/>
                <w:szCs w:val="21"/>
              </w:rPr>
              <w:t>2、支持对用户、角色、组织、区域、人员、车辆、卡片、设备等基础资源进行管理调配。</w:t>
            </w:r>
            <w:r>
              <w:rPr>
                <w:rFonts w:hint="eastAsia" w:ascii="宋体" w:hAnsi="宋体" w:cs="宋体"/>
                <w:kern w:val="0"/>
                <w:szCs w:val="21"/>
              </w:rPr>
              <w:br w:type="textWrapping"/>
            </w:r>
            <w:r>
              <w:rPr>
                <w:rFonts w:hint="eastAsia" w:ascii="宋体" w:hAnsi="宋体" w:cs="宋体"/>
                <w:kern w:val="0"/>
                <w:szCs w:val="21"/>
              </w:rPr>
              <w:t>3、▲支持人员信息采集，可对人脸照片质量进行评价（合格/不合格），采集方式包括：①通过多功能采集仪在线采集人脸、指纹、身份证信息；②在公网或内网环境下，通过APP实现人脸照片采集；③通过人证比对设备实现离线或在线采集人脸照片；④通过平台批量导入人脸照片，并验证人脸照片命名、大小和质量是否符合要求。</w:t>
            </w:r>
          </w:p>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4、运行管理中心提供统一的认证、授权管理机制，支持HTTPS以及密码安全加密访问认证。</w:t>
            </w:r>
            <w:r>
              <w:rPr>
                <w:rFonts w:hint="eastAsia" w:ascii="宋体" w:hAnsi="宋体" w:cs="宋体"/>
                <w:kern w:val="0"/>
                <w:szCs w:val="21"/>
              </w:rPr>
              <w:br w:type="textWrapping"/>
            </w:r>
            <w:r>
              <w:rPr>
                <w:rFonts w:hint="eastAsia" w:ascii="宋体" w:hAnsi="宋体" w:cs="宋体"/>
                <w:kern w:val="0"/>
                <w:szCs w:val="21"/>
              </w:rPr>
              <w:t>5、支持业务应用组件化，各组件独立运行、维护，支持独立安装或卸载。</w:t>
            </w:r>
            <w:r>
              <w:rPr>
                <w:rFonts w:hint="eastAsia" w:ascii="宋体" w:hAnsi="宋体" w:cs="宋体"/>
                <w:kern w:val="0"/>
                <w:szCs w:val="21"/>
              </w:rPr>
              <w:br w:type="textWrapping"/>
            </w:r>
            <w:r>
              <w:rPr>
                <w:rFonts w:hint="eastAsia" w:ascii="宋体" w:hAnsi="宋体" w:cs="宋体"/>
                <w:kern w:val="0"/>
                <w:szCs w:val="21"/>
              </w:rPr>
              <w:t>6、▲支持多类数据自定义扩展，包括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w:t>
            </w:r>
            <w:r>
              <w:rPr>
                <w:rFonts w:hint="eastAsia" w:ascii="宋体" w:hAnsi="宋体" w:cs="宋体"/>
                <w:kern w:val="0"/>
                <w:szCs w:val="21"/>
              </w:rPr>
              <w:br w:type="textWrapping"/>
            </w:r>
            <w:r>
              <w:rPr>
                <w:rFonts w:hint="eastAsia" w:ascii="宋体" w:hAnsi="宋体" w:cs="宋体"/>
                <w:kern w:val="0"/>
                <w:szCs w:val="21"/>
              </w:rPr>
              <w:t>7、</w:t>
            </w:r>
            <w:r>
              <w:rPr>
                <w:rFonts w:hint="eastAsia" w:ascii="宋体" w:hAnsi="宋体"/>
                <w:b/>
                <w:bCs/>
                <w:szCs w:val="21"/>
              </w:rPr>
              <w:t>★</w:t>
            </w:r>
            <w:r>
              <w:rPr>
                <w:rFonts w:hint="eastAsia" w:ascii="宋体" w:hAnsi="宋体" w:cs="宋体"/>
                <w:kern w:val="0"/>
                <w:szCs w:val="21"/>
              </w:rPr>
              <w:t>监控点管理容量为≥1000路。</w:t>
            </w:r>
            <w:r>
              <w:rPr>
                <w:rFonts w:hint="eastAsia" w:ascii="宋体" w:hAnsi="宋体" w:cs="宋体"/>
                <w:kern w:val="0"/>
                <w:szCs w:val="21"/>
              </w:rPr>
              <w:br w:type="textWrapping"/>
            </w:r>
            <w:r>
              <w:rPr>
                <w:rFonts w:hint="eastAsia" w:ascii="宋体" w:hAnsi="宋体" w:cs="宋体"/>
                <w:kern w:val="0"/>
                <w:szCs w:val="21"/>
              </w:rPr>
              <w:t>8、客户端支持在1/2/3/4/6/8/9/10/13/14/16/17/24/25画面分割模式下进行监控点轮巡预览，轮巡时间可设置，支持全屏显示</w:t>
            </w:r>
            <w:r>
              <w:rPr>
                <w:rFonts w:hint="eastAsia" w:ascii="宋体" w:hAnsi="宋体" w:cs="宋体"/>
                <w:kern w:val="0"/>
                <w:szCs w:val="21"/>
              </w:rPr>
              <w:br w:type="textWrapping"/>
            </w:r>
            <w:r>
              <w:rPr>
                <w:rFonts w:hint="eastAsia" w:ascii="宋体" w:hAnsi="宋体" w:cs="宋体"/>
                <w:kern w:val="0"/>
                <w:szCs w:val="21"/>
              </w:rPr>
              <w:t>9、支持在视频预览、录像回放、即时回放、录像剪辑、手动录像和录像下载时叠加水印</w:t>
            </w:r>
            <w:r>
              <w:rPr>
                <w:rFonts w:hint="eastAsia" w:ascii="宋体" w:hAnsi="宋体" w:cs="宋体"/>
                <w:kern w:val="0"/>
                <w:szCs w:val="21"/>
              </w:rPr>
              <w:br w:type="textWrapping"/>
            </w:r>
            <w:r>
              <w:rPr>
                <w:rFonts w:hint="eastAsia" w:ascii="宋体" w:hAnsi="宋体" w:cs="宋体"/>
                <w:kern w:val="0"/>
                <w:szCs w:val="21"/>
              </w:rPr>
              <w:t>10、支持管理≥10个电视墙，监控点上墙出图像耗时小于3秒，支持电视墙场景管理和场景切换</w:t>
            </w:r>
            <w:r>
              <w:rPr>
                <w:rFonts w:hint="eastAsia" w:ascii="宋体" w:hAnsi="宋体" w:cs="宋体"/>
                <w:kern w:val="0"/>
                <w:szCs w:val="21"/>
              </w:rPr>
              <w:br w:type="textWrapping"/>
            </w:r>
            <w:r>
              <w:rPr>
                <w:rFonts w:hint="eastAsia" w:ascii="宋体" w:hAnsi="宋体" w:cs="宋体"/>
                <w:kern w:val="0"/>
                <w:szCs w:val="21"/>
              </w:rPr>
              <w:t>11、▲支持大屏控制，可对大屏进行1/4/9/16/25分屏、拼接、开窗、窗口漫游的操作，通过客户端支持电视墙开窗后支持分割，并可将大屏分屏配置另保存为场景，支持在iPad上操作监控点上墙、拼接、分屏、漫游、预案切换等操作。</w:t>
            </w:r>
            <w:r>
              <w:rPr>
                <w:rFonts w:hint="eastAsia" w:ascii="宋体" w:hAnsi="宋体" w:cs="宋体"/>
                <w:kern w:val="0"/>
                <w:szCs w:val="21"/>
              </w:rPr>
              <w:br w:type="textWrapping"/>
            </w:r>
            <w:r>
              <w:rPr>
                <w:rFonts w:hint="eastAsia" w:ascii="宋体" w:hAnsi="宋体" w:cs="宋体"/>
                <w:kern w:val="0"/>
                <w:szCs w:val="21"/>
              </w:rPr>
              <w:t>12、通过客户端支持预览上墙、回放上墙、轮巡上墙、报警联动上墙，通过配置窗口分屏数（1/4/9/16/25），使预览上墙分割数等于或大于配置的数时上墙子码流，低于配置的分屏数时上墙主码流</w:t>
            </w:r>
            <w:r>
              <w:rPr>
                <w:rFonts w:hint="eastAsia" w:ascii="宋体" w:hAnsi="宋体" w:cs="宋体"/>
                <w:kern w:val="0"/>
                <w:szCs w:val="21"/>
              </w:rPr>
              <w:br w:type="textWrapping"/>
            </w:r>
            <w:r>
              <w:rPr>
                <w:rFonts w:hint="eastAsia" w:ascii="宋体" w:hAnsi="宋体" w:cs="宋体"/>
                <w:kern w:val="0"/>
                <w:szCs w:val="21"/>
              </w:rPr>
              <w:t>13、支持在线和离线GIS地图、静态地图导入，同时支持对一个区域添加多张静态地图，支持在地图上添加标记、收藏、测量、放大缩小等基本地图工具，支持地图上资源点的搜索，实现在地图上资源的快速定位，支持资源点报警时，在地图上发生颜色变化，按不同等级的报警显示报警数，并显示报警列表</w:t>
            </w:r>
            <w:r>
              <w:rPr>
                <w:rFonts w:hint="eastAsia" w:ascii="宋体" w:hAnsi="宋体" w:cs="宋体"/>
                <w:kern w:val="0"/>
                <w:szCs w:val="21"/>
              </w:rPr>
              <w:br w:type="textWrapping"/>
            </w:r>
            <w:r>
              <w:rPr>
                <w:rFonts w:hint="eastAsia" w:ascii="宋体" w:hAnsi="宋体" w:cs="宋体"/>
                <w:kern w:val="0"/>
                <w:szCs w:val="21"/>
              </w:rPr>
              <w:t>14、▲支持以脸搜脸的多脸模式，上传一张图片中有多个人脸时，可对图片中的多个人脸一次识别后依次选择进行以脸搜脸，无需多次上传，人脸数最大不超过五个。</w:t>
            </w:r>
            <w:r>
              <w:rPr>
                <w:rFonts w:hint="eastAsia" w:ascii="宋体" w:hAnsi="宋体" w:cs="宋体"/>
                <w:kern w:val="0"/>
                <w:szCs w:val="21"/>
              </w:rPr>
              <w:br w:type="textWrapping"/>
            </w:r>
            <w:r>
              <w:rPr>
                <w:rFonts w:hint="eastAsia" w:ascii="宋体" w:hAnsi="宋体" w:cs="宋体"/>
                <w:kern w:val="0"/>
                <w:szCs w:val="21"/>
              </w:rPr>
              <w:t>15、</w:t>
            </w:r>
            <w:r>
              <w:rPr>
                <w:rFonts w:hint="eastAsia" w:ascii="宋体" w:hAnsi="宋体"/>
                <w:b/>
                <w:bCs/>
                <w:szCs w:val="21"/>
              </w:rPr>
              <w:t>★</w:t>
            </w:r>
            <w:r>
              <w:rPr>
                <w:rFonts w:hint="eastAsia" w:ascii="宋体" w:hAnsi="宋体" w:cs="宋体"/>
                <w:kern w:val="0"/>
                <w:szCs w:val="21"/>
              </w:rPr>
              <w:t>支持管理门禁点数量≥</w:t>
            </w:r>
            <w:r>
              <w:rPr>
                <w:rFonts w:hint="eastAsia" w:ascii="宋体" w:hAnsi="宋体" w:cs="宋体"/>
                <w:kern w:val="0"/>
                <w:szCs w:val="21"/>
                <w:lang w:val="en-US" w:eastAsia="zh-CN"/>
              </w:rPr>
              <w:t>4</w:t>
            </w:r>
            <w:r>
              <w:rPr>
                <w:rFonts w:hint="eastAsia" w:ascii="宋体" w:hAnsi="宋体" w:cs="宋体"/>
                <w:kern w:val="0"/>
                <w:szCs w:val="21"/>
              </w:rPr>
              <w:t>00个</w:t>
            </w:r>
            <w:r>
              <w:rPr>
                <w:rFonts w:hint="eastAsia" w:ascii="宋体" w:hAnsi="宋体" w:cs="宋体"/>
                <w:kern w:val="0"/>
                <w:szCs w:val="21"/>
              </w:rPr>
              <w:br w:type="textWrapping"/>
            </w:r>
            <w:r>
              <w:rPr>
                <w:rFonts w:hint="eastAsia" w:ascii="宋体" w:hAnsi="宋体" w:cs="宋体"/>
                <w:kern w:val="0"/>
                <w:szCs w:val="21"/>
              </w:rPr>
              <w:t>16、支持多种事件类型配置联动规则，事件源包含：通用视频事件、入侵报警事件、IO事件、门禁事件、停车场事件、可视对讲事件、园区卡口事件、行车监控事件、梯控事件、动环事件、人脸识别事件、消防事件、热成像事件、行为分析事件；支持自定义事件等级</w:t>
            </w:r>
            <w:r>
              <w:rPr>
                <w:rFonts w:hint="eastAsia" w:ascii="宋体" w:hAnsi="宋体" w:cs="宋体"/>
                <w:kern w:val="0"/>
                <w:szCs w:val="21"/>
              </w:rPr>
              <w:br w:type="textWrapping"/>
            </w:r>
            <w:r>
              <w:rPr>
                <w:rFonts w:hint="eastAsia" w:ascii="宋体" w:hAnsi="宋体" w:cs="宋体"/>
                <w:kern w:val="0"/>
                <w:szCs w:val="21"/>
              </w:rPr>
              <w:t>17、支持报警预案功能，配置事件联动时可以自定义输入预案</w:t>
            </w:r>
            <w:r>
              <w:rPr>
                <w:rFonts w:hint="eastAsia" w:ascii="宋体" w:hAnsi="宋体" w:cs="宋体"/>
                <w:kern w:val="0"/>
                <w:szCs w:val="21"/>
              </w:rPr>
              <w:br w:type="textWrapping"/>
            </w:r>
            <w:r>
              <w:rPr>
                <w:rFonts w:hint="eastAsia" w:ascii="宋体" w:hAnsi="宋体" w:cs="宋体"/>
                <w:kern w:val="0"/>
                <w:szCs w:val="21"/>
              </w:rPr>
              <w:t>18、▲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w:t>
            </w:r>
            <w:r>
              <w:rPr>
                <w:rFonts w:hint="eastAsia" w:ascii="宋体" w:hAnsi="宋体" w:cs="宋体"/>
                <w:kern w:val="0"/>
                <w:szCs w:val="21"/>
              </w:rPr>
              <w:br w:type="textWrapping"/>
            </w:r>
            <w:r>
              <w:rPr>
                <w:rFonts w:hint="eastAsia" w:ascii="宋体" w:hAnsi="宋体" w:cs="宋体"/>
                <w:kern w:val="0"/>
                <w:szCs w:val="21"/>
              </w:rPr>
              <w:t>19、支持对历史录像的完整率进行监控，统计项包括录像完整数、录像丢失数、巡检失败数、未检测数、监控点总数；支持以统计图展现指定区域的录像完整情况，支持报表展示视频质量统计、录像完整率统计、区域运维考核结果统计，支持设备巡检计划配置，包括计划名称、巡检类型、采集对象、巡检时间、巡检频率、状态，并以列表形式展现</w:t>
            </w:r>
            <w:r>
              <w:rPr>
                <w:rFonts w:hint="eastAsia" w:ascii="宋体" w:hAnsi="宋体" w:cs="宋体"/>
                <w:kern w:val="0"/>
                <w:szCs w:val="21"/>
              </w:rPr>
              <w:br w:type="textWrapping"/>
            </w:r>
            <w:r>
              <w:rPr>
                <w:rFonts w:hint="eastAsia" w:ascii="宋体" w:hAnsi="宋体" w:cs="宋体"/>
                <w:kern w:val="0"/>
                <w:szCs w:val="21"/>
              </w:rPr>
              <w:t>20、支持GB/T 28181-2011/2016协议平台级联配置</w:t>
            </w:r>
            <w:r>
              <w:rPr>
                <w:rFonts w:hint="eastAsia" w:ascii="宋体" w:hAnsi="宋体" w:cs="宋体"/>
                <w:kern w:val="0"/>
                <w:szCs w:val="21"/>
              </w:rPr>
              <w:br w:type="textWrapping"/>
            </w:r>
            <w:r>
              <w:rPr>
                <w:rFonts w:hint="eastAsia" w:ascii="宋体" w:hAnsi="宋体" w:cs="宋体"/>
                <w:kern w:val="0"/>
                <w:szCs w:val="21"/>
              </w:rPr>
              <w:t>21、▲支持开启SVC解码功能，可同时回放≥5路400W分辨率、H.264/H.265编码格式的视频图像，解码总资源≥10个1920×1080格式的视频图像。</w:t>
            </w:r>
            <w:r>
              <w:rPr>
                <w:rFonts w:hint="eastAsia" w:ascii="宋体" w:hAnsi="宋体" w:cs="宋体"/>
                <w:kern w:val="0"/>
                <w:szCs w:val="21"/>
              </w:rPr>
              <w:br w:type="textWrapping"/>
            </w:r>
            <w:r>
              <w:rPr>
                <w:rFonts w:hint="eastAsia" w:ascii="宋体" w:hAnsi="宋体" w:cs="宋体"/>
                <w:kern w:val="0"/>
                <w:szCs w:val="21"/>
              </w:rPr>
              <w:t>22、显示输出分辨率具有1024×768/60Hz、1280×720/60Hz、1280×1024/60Hz、1600×1200/60Hz、1920×1080/60Hz、2560×1440/60Hz、4K(3840×2160)/30Hz、4K(4096×2160)/30Hz设置选项</w:t>
            </w:r>
            <w:r>
              <w:rPr>
                <w:rFonts w:hint="eastAsia" w:ascii="宋体" w:hAnsi="宋体" w:cs="宋体"/>
                <w:kern w:val="0"/>
                <w:szCs w:val="21"/>
              </w:rPr>
              <w:br w:type="textWrapping"/>
            </w:r>
            <w:r>
              <w:rPr>
                <w:rFonts w:hint="eastAsia" w:ascii="宋体" w:hAnsi="宋体" w:cs="宋体"/>
                <w:kern w:val="0"/>
                <w:szCs w:val="21"/>
              </w:rPr>
              <w:t>23、智能后检索：接入支持智能分析功能的IPC，录像回放时，可设置移动侦测区域、越界/区域入侵区域并进行检索，可自动跳过未触发设定规则的录像，只播放触发规则的录像，并且播放速度可设置</w:t>
            </w:r>
            <w:r>
              <w:rPr>
                <w:rFonts w:hint="eastAsia" w:ascii="宋体" w:hAnsi="宋体" w:cs="宋体"/>
                <w:kern w:val="0"/>
                <w:szCs w:val="21"/>
              </w:rPr>
              <w:br w:type="textWrapping"/>
            </w:r>
            <w:r>
              <w:rPr>
                <w:rFonts w:hint="eastAsia" w:ascii="宋体" w:hAnsi="宋体" w:cs="宋体"/>
                <w:kern w:val="0"/>
                <w:szCs w:val="21"/>
              </w:rPr>
              <w:t>24、网络容错：可将多个网口设置同一IP地址，其中任一网口损坏时，仍能正常工作</w:t>
            </w:r>
            <w:r>
              <w:rPr>
                <w:rFonts w:hint="eastAsia" w:ascii="宋体" w:hAnsi="宋体" w:cs="宋体"/>
                <w:kern w:val="0"/>
                <w:szCs w:val="21"/>
              </w:rPr>
              <w:br w:type="textWrapping"/>
            </w:r>
            <w:r>
              <w:rPr>
                <w:rFonts w:hint="eastAsia" w:ascii="宋体" w:hAnsi="宋体" w:cs="宋体"/>
                <w:kern w:val="0"/>
                <w:szCs w:val="21"/>
              </w:rPr>
              <w:t>25、可对IPC的参数配置进行修改，可设置曝光、日夜转换、背光、图像增强、分辨率、码率、帧率、字符叠加、隐私遮盖等；并支持将IPC参数配置到其他通道</w:t>
            </w:r>
            <w:r>
              <w:rPr>
                <w:rFonts w:hint="eastAsia" w:ascii="宋体" w:hAnsi="宋体" w:cs="宋体"/>
                <w:kern w:val="0"/>
                <w:szCs w:val="21"/>
              </w:rPr>
              <w:br w:type="textWrapping"/>
            </w:r>
            <w:r>
              <w:rPr>
                <w:rFonts w:hint="eastAsia" w:ascii="宋体" w:hAnsi="宋体" w:cs="宋体"/>
                <w:kern w:val="0"/>
                <w:szCs w:val="21"/>
              </w:rPr>
              <w:t xml:space="preserve">26、▲支持接入高级移动侦测的相机，移动侦测报警能够区分是人、车还是其他目标产生，可录像和记录报警信息。 </w:t>
            </w:r>
            <w:r>
              <w:rPr>
                <w:rFonts w:hint="eastAsia" w:ascii="宋体" w:hAnsi="宋体" w:cs="宋体"/>
                <w:kern w:val="0"/>
                <w:szCs w:val="21"/>
              </w:rPr>
              <w:br w:type="textWrapping"/>
            </w:r>
            <w:r>
              <w:rPr>
                <w:rFonts w:hint="eastAsia" w:ascii="宋体" w:hAnsi="宋体" w:cs="宋体"/>
                <w:kern w:val="0"/>
                <w:szCs w:val="21"/>
              </w:rPr>
              <w:t>27、接入警戒摄像机，支持对IPC的声音和闪光参数进行配置， 支持通过移动侦测、区域入侵、越界侦测、进入区域和离开区域事件联动一个或多个IPC的声光报警，可以对声光联动一键撤防</w:t>
            </w:r>
            <w:r>
              <w:rPr>
                <w:rFonts w:hint="eastAsia" w:ascii="宋体" w:hAnsi="宋体" w:cs="宋体"/>
                <w:kern w:val="0"/>
                <w:szCs w:val="21"/>
              </w:rPr>
              <w:br w:type="textWrapping"/>
            </w:r>
            <w:r>
              <w:rPr>
                <w:rFonts w:hint="eastAsia" w:ascii="宋体" w:hAnsi="宋体" w:cs="宋体"/>
                <w:kern w:val="0"/>
                <w:szCs w:val="21"/>
              </w:rPr>
              <w:t>28、人脸侦测：接入带有人脸侦测报警功能的IPC，当触发报警时，样机可联动录像、抓拍并保存图片、弹出报警画面、声音警告、上传中心、发送邮件、触发报警输出，可联动外接球机预置点、球机轮巡、球机轨迹</w:t>
            </w:r>
            <w:r>
              <w:rPr>
                <w:rFonts w:hint="eastAsia" w:ascii="宋体" w:hAnsi="宋体" w:cs="宋体"/>
                <w:kern w:val="0"/>
                <w:szCs w:val="21"/>
              </w:rPr>
              <w:br w:type="textWrapping"/>
            </w:r>
            <w:r>
              <w:rPr>
                <w:rFonts w:hint="eastAsia" w:ascii="宋体" w:hAnsi="宋体" w:cs="宋体"/>
                <w:kern w:val="0"/>
                <w:szCs w:val="21"/>
              </w:rPr>
              <w:t>29、车牌侦测：接入带有车牌侦测报警功能的IPC，可导入导出车牌黑白名单，可单独设置黑白名单报警联动、白名单报警联动，可设置图片叠加监测点编号、监测点信息、设备编号、车牌号码、抓拍时间等信息，当触发报警时，可联动录像、抓拍并保存图片，同时弹出报警画面、声音警告、上传中心、发送邮件、触发报警输出；可联动球机预置点、球机轮巡、球机轨迹，并可按通道、时间、车牌号码检索图片</w:t>
            </w:r>
            <w:r>
              <w:rPr>
                <w:rFonts w:hint="eastAsia" w:ascii="宋体" w:hAnsi="宋体" w:cs="宋体"/>
                <w:kern w:val="0"/>
                <w:szCs w:val="21"/>
              </w:rPr>
              <w:br w:type="textWrapping"/>
            </w:r>
            <w:r>
              <w:rPr>
                <w:rFonts w:hint="eastAsia" w:ascii="宋体" w:hAnsi="宋体" w:cs="宋体"/>
                <w:kern w:val="0"/>
                <w:szCs w:val="21"/>
              </w:rPr>
              <w:t>30、支持将多路通道的视频画面合并为一个画面，用单个通道的带宽在客户端软件中查看，并可设置帧率、码率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8</w:t>
            </w:r>
          </w:p>
        </w:tc>
        <w:tc>
          <w:tcPr>
            <w:tcW w:w="888" w:type="dxa"/>
          </w:tcPr>
          <w:p>
            <w:pPr>
              <w:pStyle w:val="21"/>
              <w:ind w:firstLine="0" w:firstLineChars="0"/>
              <w:rPr>
                <w:rFonts w:hint="eastAsia" w:hAnsi="宋体"/>
                <w:color w:val="auto"/>
                <w:sz w:val="21"/>
                <w:szCs w:val="21"/>
              </w:rPr>
            </w:pPr>
            <w:r>
              <w:rPr>
                <w:rFonts w:hAnsi="宋体"/>
                <w:color w:val="auto"/>
                <w:sz w:val="21"/>
                <w:szCs w:val="21"/>
              </w:rPr>
              <w:t>55寸拼接屏</w:t>
            </w:r>
          </w:p>
        </w:tc>
        <w:tc>
          <w:tcPr>
            <w:tcW w:w="630" w:type="dxa"/>
            <w:gridSpan w:val="2"/>
          </w:tcPr>
          <w:p>
            <w:pPr>
              <w:pStyle w:val="21"/>
              <w:ind w:firstLine="0" w:firstLineChars="0"/>
              <w:rPr>
                <w:rFonts w:hint="eastAsia" w:hAnsi="宋体"/>
                <w:color w:val="auto"/>
                <w:sz w:val="21"/>
                <w:szCs w:val="21"/>
              </w:rPr>
            </w:pPr>
            <w:r>
              <w:rPr>
                <w:rFonts w:hint="eastAsia" w:hAnsi="宋体"/>
                <w:color w:val="auto"/>
                <w:sz w:val="21"/>
                <w:szCs w:val="21"/>
              </w:rPr>
              <w:t>台</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rPr>
              <w:t>15</w:t>
            </w:r>
          </w:p>
        </w:tc>
        <w:tc>
          <w:tcPr>
            <w:tcW w:w="7265" w:type="dxa"/>
            <w:vAlign w:val="center"/>
          </w:tcPr>
          <w:p>
            <w:pPr>
              <w:widowControl/>
              <w:spacing w:line="36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1、55寸原装A+级液晶面板，支持4K高清显示</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2、尺寸：1213.5(H)×684.3(V)</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3、物理拼缝：3.5mm</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4、对比度：4500:1</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5、分辨率：最大支持3840*2160显示</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6、亮度：≥500cd/m2 ；LED背光（直下式）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7、可视角度：178°(横向和纵向)，全彩16.7M色</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8、响应时间：6ms，显示比例：16:9</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9、输入输出端口：HDMI、DVI、USB、RJ45</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10、输入电压100V-220V AC，待机功耗＜0.5W，功耗：170W，整机重量：约20KG</w:t>
            </w:r>
          </w:p>
          <w:p>
            <w:pPr>
              <w:pStyle w:val="20"/>
              <w:spacing w:line="360" w:lineRule="auto"/>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11.</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投标文件中必须提供该项产品由国家确定的认证机构出具的处于有效期之内的节能产品认证证书并加盖投标人公章。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9</w:t>
            </w:r>
          </w:p>
        </w:tc>
        <w:tc>
          <w:tcPr>
            <w:tcW w:w="888" w:type="dxa"/>
            <w:vAlign w:val="center"/>
          </w:tcPr>
          <w:p>
            <w:pPr>
              <w:widowControl/>
              <w:spacing w:line="360" w:lineRule="auto"/>
              <w:ind w:firstLine="0" w:firstLineChars="0"/>
              <w:rPr>
                <w:rFonts w:hint="eastAsia" w:ascii="宋体" w:hAnsi="宋体" w:cs="宋体"/>
                <w:kern w:val="0"/>
                <w:szCs w:val="21"/>
              </w:rPr>
            </w:pPr>
            <w:r>
              <w:rPr>
                <w:rFonts w:hint="eastAsia" w:ascii="宋体" w:hAnsi="宋体" w:cs="宋体"/>
                <w:kern w:val="0"/>
                <w:szCs w:val="21"/>
              </w:rPr>
              <w:t>落地机柜支架</w:t>
            </w:r>
          </w:p>
        </w:tc>
        <w:tc>
          <w:tcPr>
            <w:tcW w:w="630" w:type="dxa"/>
            <w:gridSpan w:val="2"/>
          </w:tcPr>
          <w:p>
            <w:pPr>
              <w:pStyle w:val="21"/>
              <w:spacing w:line="360" w:lineRule="auto"/>
              <w:ind w:firstLine="0" w:firstLineChars="0"/>
              <w:rPr>
                <w:rFonts w:hint="eastAsia" w:hAnsi="宋体"/>
                <w:color w:val="auto"/>
                <w:sz w:val="21"/>
                <w:szCs w:val="21"/>
              </w:rPr>
            </w:pPr>
            <w:r>
              <w:rPr>
                <w:rFonts w:hint="eastAsia" w:hAnsi="宋体"/>
                <w:color w:val="auto"/>
                <w:sz w:val="21"/>
                <w:szCs w:val="21"/>
              </w:rPr>
              <w:t>台</w:t>
            </w:r>
          </w:p>
        </w:tc>
        <w:tc>
          <w:tcPr>
            <w:tcW w:w="645" w:type="dxa"/>
          </w:tcPr>
          <w:p>
            <w:pPr>
              <w:pStyle w:val="21"/>
              <w:spacing w:line="360" w:lineRule="auto"/>
              <w:ind w:firstLine="0" w:firstLineChars="0"/>
              <w:rPr>
                <w:rFonts w:hint="eastAsia" w:hAnsi="宋体"/>
                <w:color w:val="auto"/>
                <w:sz w:val="21"/>
                <w:szCs w:val="21"/>
              </w:rPr>
            </w:pPr>
            <w:r>
              <w:rPr>
                <w:rFonts w:hint="eastAsia" w:hAnsi="宋体"/>
                <w:color w:val="auto"/>
                <w:sz w:val="21"/>
                <w:szCs w:val="21"/>
              </w:rPr>
              <w:t>15</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全工业设计，组合式结构，可对照图纸装配，方便快捷，易于安装与拆卸；液晶拼接专用支架，采用加厚五金固件加工而成，坚固耐用，不易变形，耐腐蚀，防静电。&lt;可定制&gt;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10</w:t>
            </w:r>
          </w:p>
        </w:tc>
        <w:tc>
          <w:tcPr>
            <w:tcW w:w="888" w:type="dxa"/>
          </w:tcPr>
          <w:p>
            <w:pPr>
              <w:pStyle w:val="21"/>
              <w:spacing w:line="360" w:lineRule="auto"/>
              <w:ind w:firstLine="0" w:firstLineChars="0"/>
              <w:rPr>
                <w:rFonts w:hint="eastAsia" w:hAnsi="宋体"/>
                <w:color w:val="auto"/>
                <w:sz w:val="21"/>
                <w:szCs w:val="21"/>
              </w:rPr>
            </w:pPr>
            <w:r>
              <w:rPr>
                <w:rFonts w:hint="eastAsia" w:hAnsi="宋体"/>
                <w:sz w:val="21"/>
                <w:szCs w:val="21"/>
              </w:rPr>
              <w:t>拼接单元配件</w:t>
            </w:r>
          </w:p>
        </w:tc>
        <w:tc>
          <w:tcPr>
            <w:tcW w:w="630" w:type="dxa"/>
            <w:gridSpan w:val="2"/>
          </w:tcPr>
          <w:p>
            <w:pPr>
              <w:pStyle w:val="21"/>
              <w:spacing w:line="360" w:lineRule="auto"/>
              <w:ind w:firstLine="0" w:firstLineChars="0"/>
              <w:rPr>
                <w:rFonts w:hint="eastAsia" w:hAnsi="宋体"/>
                <w:color w:val="auto"/>
                <w:sz w:val="21"/>
                <w:szCs w:val="21"/>
              </w:rPr>
            </w:pPr>
            <w:r>
              <w:rPr>
                <w:rFonts w:hint="eastAsia" w:hAnsi="宋体"/>
                <w:color w:val="auto"/>
                <w:sz w:val="21"/>
                <w:szCs w:val="21"/>
              </w:rPr>
              <w:t>台</w:t>
            </w:r>
          </w:p>
        </w:tc>
        <w:tc>
          <w:tcPr>
            <w:tcW w:w="645" w:type="dxa"/>
          </w:tcPr>
          <w:p>
            <w:pPr>
              <w:pStyle w:val="21"/>
              <w:spacing w:line="360" w:lineRule="auto"/>
              <w:ind w:firstLine="0" w:firstLineChars="0"/>
              <w:rPr>
                <w:rFonts w:hint="eastAsia" w:hAnsi="宋体"/>
                <w:color w:val="auto"/>
                <w:sz w:val="21"/>
                <w:szCs w:val="21"/>
              </w:rPr>
            </w:pPr>
            <w:r>
              <w:rPr>
                <w:rFonts w:hint="eastAsia" w:hAnsi="宋体"/>
                <w:color w:val="auto"/>
                <w:sz w:val="21"/>
                <w:szCs w:val="21"/>
              </w:rPr>
              <w:t>15</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含高清信号线、整套设备所需电源线、网络控制线、排插等（高品质信号线，信号传输稳定及图像色彩高保真，有效隔绝电磁、射频等干扰）。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11</w:t>
            </w:r>
          </w:p>
        </w:tc>
        <w:tc>
          <w:tcPr>
            <w:tcW w:w="888" w:type="dxa"/>
          </w:tcPr>
          <w:p>
            <w:pPr>
              <w:pStyle w:val="21"/>
              <w:spacing w:line="360" w:lineRule="auto"/>
              <w:ind w:firstLine="0" w:firstLineChars="0"/>
              <w:rPr>
                <w:rFonts w:hint="eastAsia" w:hAnsi="宋体"/>
                <w:color w:val="auto"/>
                <w:sz w:val="21"/>
                <w:szCs w:val="21"/>
              </w:rPr>
            </w:pPr>
            <w:r>
              <w:rPr>
                <w:rFonts w:hint="eastAsia" w:hAnsi="宋体"/>
                <w:sz w:val="21"/>
                <w:szCs w:val="21"/>
              </w:rPr>
              <w:t>43寸监视器</w:t>
            </w:r>
          </w:p>
        </w:tc>
        <w:tc>
          <w:tcPr>
            <w:tcW w:w="630" w:type="dxa"/>
            <w:gridSpan w:val="2"/>
          </w:tcPr>
          <w:p>
            <w:pPr>
              <w:pStyle w:val="21"/>
              <w:spacing w:line="360" w:lineRule="auto"/>
              <w:ind w:firstLine="0" w:firstLineChars="0"/>
              <w:rPr>
                <w:rFonts w:hint="eastAsia" w:hAnsi="宋体"/>
                <w:color w:val="auto"/>
                <w:sz w:val="21"/>
                <w:szCs w:val="21"/>
              </w:rPr>
            </w:pPr>
            <w:r>
              <w:rPr>
                <w:rFonts w:hint="eastAsia" w:hAnsi="宋体"/>
                <w:color w:val="auto"/>
                <w:sz w:val="21"/>
                <w:szCs w:val="21"/>
              </w:rPr>
              <w:t>台</w:t>
            </w:r>
          </w:p>
        </w:tc>
        <w:tc>
          <w:tcPr>
            <w:tcW w:w="645" w:type="dxa"/>
          </w:tcPr>
          <w:p>
            <w:pPr>
              <w:pStyle w:val="21"/>
              <w:spacing w:line="360" w:lineRule="auto"/>
              <w:ind w:firstLine="0" w:firstLineChars="0"/>
              <w:rPr>
                <w:rFonts w:hint="eastAsia" w:hAnsi="宋体"/>
                <w:color w:val="auto"/>
                <w:sz w:val="21"/>
                <w:szCs w:val="21"/>
              </w:rPr>
            </w:pPr>
            <w:r>
              <w:rPr>
                <w:rFonts w:hint="eastAsia" w:hAnsi="宋体"/>
                <w:color w:val="auto"/>
                <w:sz w:val="21"/>
                <w:szCs w:val="21"/>
              </w:rPr>
              <w:t>1</w:t>
            </w:r>
          </w:p>
        </w:tc>
        <w:tc>
          <w:tcPr>
            <w:tcW w:w="7265" w:type="dxa"/>
            <w:vAlign w:val="center"/>
          </w:tcPr>
          <w:p>
            <w:pPr>
              <w:widowControl/>
              <w:numPr>
                <w:ilvl w:val="0"/>
                <w:numId w:val="4"/>
              </w:numPr>
              <w:spacing w:line="360" w:lineRule="auto"/>
              <w:ind w:firstLine="0" w:firstLineChars="0"/>
              <w:jc w:val="left"/>
              <w:rPr>
                <w:rFonts w:hint="eastAsia" w:ascii="宋体" w:hAnsi="宋体" w:cs="宋体"/>
                <w:szCs w:val="21"/>
                <w:highlight w:val="none"/>
              </w:rPr>
            </w:pPr>
            <w:r>
              <w:rPr>
                <w:rFonts w:hint="eastAsia" w:ascii="宋体" w:hAnsi="宋体" w:cs="宋体"/>
                <w:szCs w:val="21"/>
                <w:highlight w:val="none"/>
              </w:rPr>
              <w:t>尺寸≥43英寸                                                                                                                                                                           2.显示模式： 16:9；</w:t>
            </w:r>
            <w:r>
              <w:rPr>
                <w:rFonts w:hint="eastAsia" w:ascii="宋体" w:hAnsi="宋体" w:cs="宋体"/>
                <w:szCs w:val="21"/>
                <w:highlight w:val="none"/>
              </w:rPr>
              <w:br w:type="textWrapping"/>
            </w:r>
            <w:r>
              <w:rPr>
                <w:rFonts w:hint="eastAsia" w:ascii="宋体" w:hAnsi="宋体" w:cs="宋体"/>
                <w:szCs w:val="21"/>
                <w:highlight w:val="none"/>
              </w:rPr>
              <w:t>2.亮度：400cd/㎡；                                                                                                                                                                                         3.对比度：3000:1；                                                                                                                                                             4.响应时间：5 ms；</w:t>
            </w:r>
            <w:r>
              <w:rPr>
                <w:rFonts w:hint="eastAsia" w:ascii="宋体" w:hAnsi="宋体" w:cs="宋体"/>
                <w:szCs w:val="21"/>
                <w:highlight w:val="none"/>
              </w:rPr>
              <w:br w:type="textWrapping"/>
            </w:r>
            <w:r>
              <w:rPr>
                <w:rFonts w:hint="eastAsia" w:ascii="宋体" w:hAnsi="宋体" w:cs="宋体"/>
                <w:szCs w:val="21"/>
                <w:highlight w:val="none"/>
              </w:rPr>
              <w:t>5.输入接口:RCA≥3，VGA≥1，HDMI≥1、USB≥1</w:t>
            </w:r>
            <w:r>
              <w:rPr>
                <w:rFonts w:hint="eastAsia" w:ascii="宋体" w:hAnsi="宋体" w:cs="宋体"/>
                <w:szCs w:val="21"/>
                <w:highlight w:val="none"/>
              </w:rPr>
              <w:br w:type="textWrapping"/>
            </w:r>
            <w:r>
              <w:rPr>
                <w:rFonts w:hint="eastAsia" w:ascii="宋体" w:hAnsi="宋体" w:cs="宋体"/>
                <w:szCs w:val="21"/>
                <w:highlight w:val="none"/>
              </w:rPr>
              <w:t>6.供电电源：AC100V～240V 100W；</w:t>
            </w:r>
            <w:r>
              <w:rPr>
                <w:rFonts w:hint="eastAsia" w:ascii="宋体" w:hAnsi="宋体" w:cs="宋体"/>
                <w:szCs w:val="21"/>
                <w:highlight w:val="none"/>
              </w:rPr>
              <w:br w:type="textWrapping"/>
            </w:r>
            <w:r>
              <w:rPr>
                <w:rFonts w:hint="eastAsia" w:ascii="宋体" w:hAnsi="宋体" w:cs="宋体"/>
                <w:szCs w:val="21"/>
                <w:highlight w:val="none"/>
              </w:rPr>
              <w:t>7.安装方式：桌面式底座、嵌入式、壁挂式、吊装式；</w:t>
            </w:r>
            <w:r>
              <w:rPr>
                <w:rFonts w:hint="eastAsia" w:ascii="宋体" w:hAnsi="宋体" w:cs="宋体"/>
                <w:szCs w:val="21"/>
                <w:highlight w:val="none"/>
              </w:rPr>
              <w:br w:type="textWrapping"/>
            </w:r>
            <w:r>
              <w:rPr>
                <w:rFonts w:hint="eastAsia" w:ascii="宋体" w:hAnsi="宋体" w:cs="宋体"/>
                <w:szCs w:val="21"/>
                <w:highlight w:val="none"/>
              </w:rPr>
              <w:t>8.外壳材质：钣金+塑料边框；带遥控器。</w:t>
            </w:r>
          </w:p>
          <w:p>
            <w:pPr>
              <w:pStyle w:val="20"/>
              <w:spacing w:line="360" w:lineRule="auto"/>
              <w:ind w:firstLine="0" w:firstLineChars="0"/>
              <w:rPr>
                <w:rFonts w:hint="eastAsia" w:ascii="宋体" w:hAnsi="宋体" w:cs="宋体"/>
                <w:sz w:val="21"/>
                <w:szCs w:val="21"/>
                <w:highlight w:val="none"/>
              </w:rPr>
            </w:pPr>
            <w:r>
              <w:rPr>
                <w:rFonts w:hint="eastAsia" w:ascii="宋体" w:hAnsi="宋体" w:cs="宋体"/>
                <w:sz w:val="21"/>
                <w:szCs w:val="21"/>
                <w:highlight w:val="none"/>
              </w:rPr>
              <w:t>9.</w:t>
            </w:r>
            <w:r>
              <w:rPr>
                <w:rFonts w:hint="eastAsia" w:ascii="宋体" w:hAnsi="宋体"/>
                <w:b/>
                <w:bCs/>
                <w:szCs w:val="21"/>
                <w:highlight w:val="none"/>
              </w:rPr>
              <w:t>★</w:t>
            </w:r>
            <w:r>
              <w:rPr>
                <w:rFonts w:hint="eastAsia" w:ascii="宋体" w:hAnsi="宋体" w:cs="宋体"/>
                <w:sz w:val="21"/>
                <w:szCs w:val="21"/>
                <w:highlight w:val="none"/>
              </w:rPr>
              <w:t>投标文件中必须提供该项产品由国家确定的认证机构出具的处于有效期之内的节能产品认证证书并加盖投标人公章。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12</w:t>
            </w:r>
          </w:p>
        </w:tc>
        <w:tc>
          <w:tcPr>
            <w:tcW w:w="888" w:type="dxa"/>
          </w:tcPr>
          <w:p>
            <w:pPr>
              <w:pStyle w:val="21"/>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安防操作终端</w:t>
            </w:r>
          </w:p>
        </w:tc>
        <w:tc>
          <w:tcPr>
            <w:tcW w:w="630" w:type="dxa"/>
            <w:gridSpan w:val="2"/>
          </w:tcPr>
          <w:p>
            <w:pPr>
              <w:pStyle w:val="21"/>
              <w:spacing w:line="360" w:lineRule="auto"/>
              <w:ind w:firstLine="0" w:firstLineChars="0"/>
              <w:rPr>
                <w:rFonts w:hint="eastAsia" w:hAnsi="宋体"/>
                <w:color w:val="auto"/>
                <w:sz w:val="21"/>
                <w:szCs w:val="21"/>
              </w:rPr>
            </w:pPr>
            <w:r>
              <w:rPr>
                <w:rFonts w:hint="eastAsia" w:hAnsi="宋体"/>
                <w:color w:val="auto"/>
                <w:sz w:val="21"/>
                <w:szCs w:val="21"/>
              </w:rPr>
              <w:t>台</w:t>
            </w:r>
          </w:p>
        </w:tc>
        <w:tc>
          <w:tcPr>
            <w:tcW w:w="645" w:type="dxa"/>
          </w:tcPr>
          <w:p>
            <w:pPr>
              <w:pStyle w:val="21"/>
              <w:spacing w:line="360" w:lineRule="auto"/>
              <w:ind w:firstLine="0" w:firstLineChars="0"/>
              <w:rPr>
                <w:rFonts w:hint="eastAsia" w:hAnsi="宋体"/>
                <w:color w:val="auto"/>
                <w:sz w:val="21"/>
                <w:szCs w:val="21"/>
              </w:rPr>
            </w:pPr>
            <w:r>
              <w:rPr>
                <w:rFonts w:hint="eastAsia" w:hAnsi="宋体"/>
                <w:color w:val="auto"/>
                <w:sz w:val="21"/>
                <w:szCs w:val="21"/>
              </w:rPr>
              <w:t>1</w:t>
            </w:r>
          </w:p>
        </w:tc>
        <w:tc>
          <w:tcPr>
            <w:tcW w:w="7265" w:type="dxa"/>
            <w:vAlign w:val="center"/>
          </w:tcPr>
          <w:p>
            <w:pPr>
              <w:widowControl/>
              <w:spacing w:line="360" w:lineRule="auto"/>
              <w:ind w:firstLine="0" w:firstLineChars="0"/>
              <w:jc w:val="left"/>
              <w:rPr>
                <w:rFonts w:hint="eastAsia"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、内存：≥8GB，最大可扩展支持64GB ；处理器：主频≥2.5Ghz，6核12线程。</w:t>
            </w:r>
            <w:r>
              <w:rPr>
                <w:rFonts w:hint="eastAsia" w:ascii="宋体" w:hAnsi="宋体" w:cs="宋体"/>
                <w:kern w:val="0"/>
                <w:szCs w:val="21"/>
                <w:highlight w:val="none"/>
              </w:rPr>
              <w:br w:type="textWrapping"/>
            </w:r>
            <w:r>
              <w:rPr>
                <w:rFonts w:ascii="宋体" w:hAnsi="宋体" w:cs="宋体"/>
                <w:kern w:val="0"/>
                <w:szCs w:val="21"/>
                <w:highlight w:val="none"/>
              </w:rPr>
              <w:t>2</w:t>
            </w:r>
            <w:r>
              <w:rPr>
                <w:rFonts w:hint="eastAsia" w:ascii="宋体" w:hAnsi="宋体" w:cs="宋体"/>
                <w:kern w:val="0"/>
                <w:szCs w:val="21"/>
                <w:highlight w:val="none"/>
              </w:rPr>
              <w:t>、不小于256G SATA SSD，硬盘需与主机同一品牌；支持SSD与HDD同时接入，支持不低于4个SATA 3.0接口，1个M.2接口。</w:t>
            </w:r>
            <w:r>
              <w:rPr>
                <w:rFonts w:hint="eastAsia" w:ascii="宋体" w:hAnsi="宋体" w:cs="宋体"/>
                <w:kern w:val="0"/>
                <w:szCs w:val="21"/>
                <w:highlight w:val="none"/>
              </w:rPr>
              <w:br w:type="textWrapping"/>
            </w:r>
            <w:r>
              <w:rPr>
                <w:rFonts w:ascii="宋体" w:hAnsi="宋体" w:cs="宋体"/>
                <w:kern w:val="0"/>
                <w:szCs w:val="21"/>
                <w:highlight w:val="none"/>
              </w:rPr>
              <w:t>3</w:t>
            </w:r>
            <w:r>
              <w:rPr>
                <w:rFonts w:hint="eastAsia" w:ascii="宋体" w:hAnsi="宋体" w:cs="宋体"/>
                <w:kern w:val="0"/>
                <w:szCs w:val="21"/>
                <w:highlight w:val="none"/>
              </w:rPr>
              <w:t>、USB接口≥10个，其中USB3.0接口≥4个，机箱后置USB接口≥6个；1个VGA+1个HDMI+1个DP接口，主板原生接口不可使用转接口；预留DVD刻录机位置，可内嵌DVD刻录机。</w:t>
            </w:r>
            <w:r>
              <w:rPr>
                <w:rFonts w:hint="eastAsia" w:ascii="宋体" w:hAnsi="宋体" w:cs="宋体"/>
                <w:kern w:val="0"/>
                <w:szCs w:val="21"/>
                <w:highlight w:val="none"/>
              </w:rPr>
              <w:br w:type="textWrapping"/>
            </w:r>
            <w:r>
              <w:rPr>
                <w:rFonts w:ascii="宋体" w:hAnsi="宋体" w:cs="宋体"/>
                <w:kern w:val="0"/>
                <w:szCs w:val="21"/>
                <w:highlight w:val="none"/>
              </w:rPr>
              <w:t>4</w:t>
            </w:r>
            <w:r>
              <w:rPr>
                <w:rFonts w:hint="eastAsia" w:ascii="宋体" w:hAnsi="宋体" w:cs="宋体"/>
                <w:kern w:val="0"/>
                <w:szCs w:val="21"/>
                <w:highlight w:val="none"/>
              </w:rPr>
              <w:t>、配置≥23.8寸显示器，支持1920*1080分辨率。</w:t>
            </w:r>
            <w:r>
              <w:rPr>
                <w:rFonts w:hint="eastAsia" w:ascii="宋体" w:hAnsi="宋体" w:cs="宋体"/>
                <w:kern w:val="0"/>
                <w:szCs w:val="21"/>
                <w:highlight w:val="none"/>
              </w:rPr>
              <w:br w:type="textWrapping"/>
            </w:r>
            <w:r>
              <w:rPr>
                <w:rFonts w:ascii="宋体" w:hAnsi="宋体" w:cs="宋体"/>
                <w:kern w:val="0"/>
                <w:szCs w:val="21"/>
                <w:highlight w:val="none"/>
              </w:rPr>
              <w:t>5</w:t>
            </w:r>
            <w:r>
              <w:rPr>
                <w:rFonts w:hint="eastAsia" w:ascii="宋体" w:hAnsi="宋体" w:cs="宋体"/>
                <w:kern w:val="0"/>
                <w:szCs w:val="21"/>
                <w:highlight w:val="none"/>
              </w:rPr>
              <w:t>、音频接口：后置≥1个IN接口、≥1个OUT接口、≥1个MIC接口。前置≥</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 xml:space="preserve">1个MIC接口、≥1个耳机接口。 </w:t>
            </w:r>
            <w:r>
              <w:rPr>
                <w:rFonts w:hint="eastAsia" w:ascii="宋体" w:hAnsi="宋体" w:cs="宋体"/>
                <w:kern w:val="0"/>
                <w:szCs w:val="21"/>
                <w:highlight w:val="none"/>
              </w:rPr>
              <w:br w:type="textWrapping"/>
            </w:r>
            <w:r>
              <w:rPr>
                <w:rFonts w:ascii="宋体" w:hAnsi="宋体" w:cs="宋体"/>
                <w:kern w:val="0"/>
                <w:szCs w:val="21"/>
                <w:highlight w:val="none"/>
              </w:rPr>
              <w:t>6</w:t>
            </w:r>
            <w:r>
              <w:rPr>
                <w:rFonts w:hint="eastAsia" w:ascii="宋体" w:hAnsi="宋体" w:cs="宋体"/>
                <w:kern w:val="0"/>
                <w:szCs w:val="21"/>
                <w:highlight w:val="none"/>
              </w:rPr>
              <w:t>、硬盘断电保护：可支持硬盘数据及时还原，还原到指定还原点；支持硬盘断电保护；支持双网口绑定、双网口使用。</w:t>
            </w:r>
            <w:r>
              <w:rPr>
                <w:rFonts w:hint="eastAsia" w:ascii="宋体" w:hAnsi="宋体" w:cs="宋体"/>
                <w:kern w:val="0"/>
                <w:szCs w:val="21"/>
                <w:highlight w:val="none"/>
              </w:rPr>
              <w:br w:type="textWrapping"/>
            </w:r>
            <w:r>
              <w:rPr>
                <w:rFonts w:ascii="宋体" w:hAnsi="宋体" w:cs="宋体"/>
                <w:kern w:val="0"/>
                <w:szCs w:val="21"/>
                <w:highlight w:val="none"/>
              </w:rPr>
              <w:t>7</w:t>
            </w:r>
            <w:r>
              <w:rPr>
                <w:rFonts w:hint="eastAsia" w:ascii="宋体" w:hAnsi="宋体" w:cs="宋体"/>
                <w:kern w:val="0"/>
                <w:szCs w:val="21"/>
                <w:highlight w:val="none"/>
              </w:rPr>
              <w:t>、可支持远程开关机，支持远程唤醒。</w:t>
            </w:r>
            <w:r>
              <w:rPr>
                <w:rFonts w:hint="eastAsia" w:ascii="宋体" w:hAnsi="宋体" w:cs="宋体"/>
                <w:kern w:val="0"/>
                <w:szCs w:val="21"/>
                <w:highlight w:val="none"/>
              </w:rPr>
              <w:br w:type="textWrapping"/>
            </w:r>
            <w:r>
              <w:rPr>
                <w:rFonts w:ascii="宋体" w:hAnsi="宋体" w:cs="宋体"/>
                <w:kern w:val="0"/>
                <w:szCs w:val="21"/>
                <w:highlight w:val="none"/>
              </w:rPr>
              <w:t>8</w:t>
            </w:r>
            <w:r>
              <w:rPr>
                <w:rFonts w:hint="eastAsia" w:ascii="宋体" w:hAnsi="宋体" w:cs="宋体"/>
                <w:kern w:val="0"/>
                <w:szCs w:val="21"/>
                <w:highlight w:val="none"/>
              </w:rPr>
              <w:t>、▲安防配套：支持应用软件向导式启动，支持更新升级；支持windows应用虚拟化；支持双系统同时开机同时使用；支持对操作系统进行镜像备份和恢复。</w:t>
            </w:r>
            <w:r>
              <w:rPr>
                <w:rFonts w:hint="eastAsia" w:ascii="宋体" w:hAnsi="宋体" w:cs="宋体"/>
                <w:kern w:val="0"/>
                <w:szCs w:val="21"/>
                <w:highlight w:val="none"/>
              </w:rPr>
              <w:br w:type="textWrapping"/>
            </w:r>
            <w:r>
              <w:rPr>
                <w:rFonts w:ascii="宋体" w:hAnsi="宋体" w:cs="宋体"/>
                <w:kern w:val="0"/>
                <w:szCs w:val="21"/>
                <w:highlight w:val="none"/>
              </w:rPr>
              <w:t>9</w:t>
            </w:r>
            <w:r>
              <w:rPr>
                <w:rFonts w:hint="eastAsia" w:ascii="宋体" w:hAnsi="宋体" w:cs="宋体"/>
                <w:kern w:val="0"/>
                <w:szCs w:val="21"/>
                <w:highlight w:val="none"/>
              </w:rPr>
              <w:t>、▲倍速播放：支持多窗口播放：可进行16个窗口同时1或2倍速播放，9个窗口同时4倍速播放，4个窗口同时8倍速或16倍速播放。</w:t>
            </w:r>
            <w:r>
              <w:rPr>
                <w:rFonts w:hint="eastAsia" w:ascii="宋体" w:hAnsi="宋体" w:cs="宋体"/>
                <w:kern w:val="0"/>
                <w:szCs w:val="21"/>
                <w:highlight w:val="none"/>
              </w:rPr>
              <w:br w:type="textWrapping"/>
            </w:r>
            <w:r>
              <w:rPr>
                <w:rFonts w:hint="eastAsia" w:ascii="宋体" w:hAnsi="宋体" w:cs="宋体"/>
                <w:kern w:val="0"/>
                <w:szCs w:val="21"/>
                <w:highlight w:val="none"/>
              </w:rPr>
              <w:t>1</w:t>
            </w:r>
            <w:r>
              <w:rPr>
                <w:rFonts w:ascii="宋体" w:hAnsi="宋体" w:cs="宋体"/>
                <w:kern w:val="0"/>
                <w:szCs w:val="21"/>
                <w:highlight w:val="none"/>
              </w:rPr>
              <w:t>0</w:t>
            </w:r>
            <w:r>
              <w:rPr>
                <w:rFonts w:hint="eastAsia" w:ascii="宋体" w:hAnsi="宋体" w:cs="宋体"/>
                <w:kern w:val="0"/>
                <w:szCs w:val="21"/>
                <w:highlight w:val="none"/>
              </w:rPr>
              <w:t>、▲分屏播放：系统需支持GA/T1154.2-2014中4.4.2.1规定的70种视频格式文件等多种安防视频格式文件功能，支持全屏、单屏、2分屏、4分屏、9分屏、16分屏播放。</w:t>
            </w:r>
            <w:r>
              <w:rPr>
                <w:rFonts w:hint="eastAsia" w:ascii="宋体" w:hAnsi="宋体" w:cs="宋体"/>
                <w:kern w:val="0"/>
                <w:szCs w:val="21"/>
                <w:highlight w:val="none"/>
              </w:rPr>
              <w:br w:type="textWrapping"/>
            </w:r>
            <w:r>
              <w:rPr>
                <w:rFonts w:hint="eastAsia" w:ascii="宋体" w:hAnsi="宋体" w:cs="宋体"/>
                <w:kern w:val="0"/>
                <w:szCs w:val="21"/>
                <w:highlight w:val="none"/>
              </w:rPr>
              <w:t>1</w:t>
            </w:r>
            <w:r>
              <w:rPr>
                <w:rFonts w:ascii="宋体" w:hAnsi="宋体" w:cs="宋体"/>
                <w:kern w:val="0"/>
                <w:szCs w:val="21"/>
                <w:highlight w:val="none"/>
              </w:rPr>
              <w:t>1</w:t>
            </w:r>
            <w:r>
              <w:rPr>
                <w:rFonts w:hint="eastAsia" w:ascii="宋体" w:hAnsi="宋体" w:cs="宋体"/>
                <w:kern w:val="0"/>
                <w:szCs w:val="21"/>
                <w:highlight w:val="none"/>
              </w:rPr>
              <w:t>、▲转码能力：系统支持对GA/T1154.2-2014中4.4.2.1规定的70种视频格式文件转码成MP4，AVI，WMV，GIF。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13</w:t>
            </w:r>
          </w:p>
        </w:tc>
        <w:tc>
          <w:tcPr>
            <w:tcW w:w="888" w:type="dxa"/>
          </w:tcPr>
          <w:p>
            <w:pPr>
              <w:pStyle w:val="21"/>
              <w:ind w:firstLine="0" w:firstLineChars="0"/>
              <w:rPr>
                <w:rFonts w:hint="eastAsia" w:hAnsi="宋体"/>
                <w:color w:val="auto"/>
                <w:sz w:val="21"/>
                <w:szCs w:val="21"/>
              </w:rPr>
            </w:pPr>
            <w:r>
              <w:rPr>
                <w:rFonts w:hAnsi="宋体"/>
                <w:color w:val="auto"/>
                <w:sz w:val="21"/>
                <w:szCs w:val="21"/>
              </w:rPr>
              <w:t>网络电源防雷器</w:t>
            </w:r>
          </w:p>
        </w:tc>
        <w:tc>
          <w:tcPr>
            <w:tcW w:w="630" w:type="dxa"/>
            <w:gridSpan w:val="2"/>
          </w:tcPr>
          <w:p>
            <w:pPr>
              <w:pStyle w:val="21"/>
              <w:ind w:firstLine="0" w:firstLineChars="0"/>
              <w:rPr>
                <w:rFonts w:hint="eastAsia" w:hAnsi="宋体"/>
                <w:color w:val="auto"/>
                <w:sz w:val="21"/>
                <w:szCs w:val="21"/>
              </w:rPr>
            </w:pPr>
            <w:r>
              <w:rPr>
                <w:rFonts w:hint="eastAsia" w:hAnsi="宋体"/>
                <w:color w:val="auto"/>
                <w:sz w:val="21"/>
                <w:szCs w:val="21"/>
              </w:rPr>
              <w:t>台</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rPr>
              <w:t>3</w:t>
            </w:r>
          </w:p>
        </w:tc>
        <w:tc>
          <w:tcPr>
            <w:tcW w:w="7265" w:type="dxa"/>
            <w:vAlign w:val="center"/>
          </w:tcPr>
          <w:p>
            <w:pPr>
              <w:widowControl/>
              <w:spacing w:line="360" w:lineRule="auto"/>
              <w:ind w:firstLine="0" w:firstLineChars="0"/>
              <w:jc w:val="left"/>
              <w:rPr>
                <w:rFonts w:hint="eastAsia" w:ascii="宋体" w:hAnsi="宋体" w:eastAsia="宋体" w:cs="宋体"/>
                <w:highlight w:val="none"/>
              </w:rPr>
            </w:pPr>
            <w:r>
              <w:rPr>
                <w:rFonts w:hint="eastAsia" w:ascii="宋体" w:hAnsi="宋体" w:eastAsia="宋体" w:cs="宋体"/>
                <w:kern w:val="0"/>
                <w:szCs w:val="21"/>
                <w:highlight w:val="none"/>
              </w:rPr>
              <w:t>千兆二合一网络电源防雷</w:t>
            </w:r>
          </w:p>
          <w:p>
            <w:pPr>
              <w:widowControl/>
              <w:spacing w:line="360" w:lineRule="auto"/>
              <w:ind w:firstLine="0" w:firstLineChars="0"/>
              <w:jc w:val="left"/>
              <w:rPr>
                <w:rFonts w:hint="eastAsia" w:ascii="宋体" w:hAnsi="宋体" w:eastAsia="宋体" w:cs="宋体"/>
                <w:highlight w:val="none"/>
              </w:rPr>
            </w:pPr>
            <w:r>
              <w:rPr>
                <w:rFonts w:hint="eastAsia" w:ascii="宋体" w:hAnsi="宋体" w:eastAsia="宋体" w:cs="宋体"/>
                <w:highlight w:val="none"/>
              </w:rPr>
              <w:t>标称工作电压：5V</w:t>
            </w:r>
          </w:p>
          <w:p>
            <w:pPr>
              <w:widowControl/>
              <w:spacing w:line="360" w:lineRule="auto"/>
              <w:ind w:firstLine="0" w:firstLineChars="0"/>
              <w:jc w:val="left"/>
              <w:rPr>
                <w:rFonts w:hint="eastAsia" w:ascii="宋体" w:hAnsi="宋体" w:eastAsia="宋体" w:cs="宋体"/>
                <w:highlight w:val="none"/>
              </w:rPr>
            </w:pPr>
            <w:r>
              <w:rPr>
                <w:rFonts w:hint="eastAsia" w:ascii="宋体" w:hAnsi="宋体" w:eastAsia="宋体" w:cs="宋体"/>
                <w:highlight w:val="none"/>
              </w:rPr>
              <w:t>标称通流容量：5KA</w:t>
            </w:r>
          </w:p>
          <w:p>
            <w:pPr>
              <w:pStyle w:val="61"/>
              <w:ind w:firstLine="0" w:firstLineChars="0"/>
              <w:rPr>
                <w:rFonts w:hint="eastAsia" w:ascii="宋体" w:hAnsi="宋体" w:eastAsia="宋体" w:cs="宋体"/>
                <w:highlight w:val="none"/>
              </w:rPr>
            </w:pPr>
            <w:r>
              <w:rPr>
                <w:rFonts w:hint="eastAsia" w:ascii="宋体" w:hAnsi="宋体" w:eastAsia="宋体" w:cs="宋体"/>
                <w:highlight w:val="none"/>
              </w:rPr>
              <w:t>最大放电电流：10KA</w:t>
            </w:r>
          </w:p>
          <w:p>
            <w:pPr>
              <w:pStyle w:val="61"/>
              <w:ind w:firstLine="0" w:firstLineChars="0"/>
              <w:rPr>
                <w:rFonts w:hint="eastAsia" w:ascii="宋体" w:hAnsi="宋体" w:eastAsia="宋体" w:cs="宋体"/>
                <w:highlight w:val="none"/>
              </w:rPr>
            </w:pPr>
            <w:r>
              <w:rPr>
                <w:rFonts w:hint="eastAsia" w:ascii="宋体" w:hAnsi="宋体" w:eastAsia="宋体" w:cs="宋体"/>
                <w:highlight w:val="none"/>
              </w:rPr>
              <w:t>响应时间：≤1ns</w:t>
            </w:r>
          </w:p>
          <w:p>
            <w:pPr>
              <w:pStyle w:val="61"/>
              <w:ind w:firstLine="0" w:firstLineChars="0"/>
              <w:rPr>
                <w:rFonts w:hint="eastAsia" w:ascii="宋体" w:hAnsi="宋体" w:eastAsia="宋体" w:cs="宋体"/>
                <w:highlight w:val="none"/>
              </w:rPr>
            </w:pPr>
            <w:r>
              <w:rPr>
                <w:rFonts w:hint="eastAsia" w:ascii="宋体" w:hAnsi="宋体" w:eastAsia="宋体" w:cs="宋体"/>
                <w:highlight w:val="none"/>
              </w:rPr>
              <w:t>接口方式：RJ45</w:t>
            </w:r>
          </w:p>
          <w:p>
            <w:pPr>
              <w:pStyle w:val="61"/>
              <w:ind w:firstLine="0" w:firstLineChars="0"/>
              <w:rPr>
                <w:rFonts w:hint="eastAsia" w:ascii="宋体" w:hAnsi="宋体" w:eastAsia="宋体" w:cs="宋体"/>
                <w:kern w:val="0"/>
                <w:szCs w:val="21"/>
                <w:highlight w:val="none"/>
              </w:rPr>
            </w:pPr>
            <w:r>
              <w:rPr>
                <w:rFonts w:hint="eastAsia" w:ascii="宋体" w:hAnsi="宋体" w:eastAsia="宋体" w:cs="宋体"/>
                <w:highlight w:val="none"/>
              </w:rPr>
              <w:t>适应环境：温度-40~85℃，相对湿度≤95%(25℃)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spacing w:line="360" w:lineRule="auto"/>
              <w:ind w:firstLine="0" w:firstLineChars="0"/>
              <w:rPr>
                <w:rFonts w:hint="eastAsia" w:hAnsi="宋体"/>
                <w:color w:val="auto"/>
                <w:sz w:val="21"/>
                <w:szCs w:val="21"/>
              </w:rPr>
            </w:pPr>
            <w:r>
              <w:rPr>
                <w:rFonts w:hint="eastAsia" w:hAnsi="宋体"/>
                <w:color w:val="auto"/>
                <w:sz w:val="21"/>
                <w:szCs w:val="21"/>
              </w:rPr>
              <w:t>14</w:t>
            </w:r>
          </w:p>
        </w:tc>
        <w:tc>
          <w:tcPr>
            <w:tcW w:w="888" w:type="dxa"/>
            <w:vAlign w:val="center"/>
          </w:tcPr>
          <w:p>
            <w:pPr>
              <w:widowControl/>
              <w:spacing w:line="360" w:lineRule="auto"/>
              <w:ind w:firstLine="0" w:firstLineChars="0"/>
              <w:rPr>
                <w:rFonts w:hint="eastAsia" w:ascii="宋体" w:hAnsi="宋体" w:cs="宋体"/>
                <w:szCs w:val="21"/>
              </w:rPr>
            </w:pPr>
            <w:r>
              <w:rPr>
                <w:rFonts w:hint="eastAsia" w:ascii="宋体" w:hAnsi="宋体" w:cs="宋体"/>
                <w:kern w:val="0"/>
                <w:szCs w:val="21"/>
              </w:rPr>
              <w:t>防水箱</w:t>
            </w:r>
          </w:p>
        </w:tc>
        <w:tc>
          <w:tcPr>
            <w:tcW w:w="630" w:type="dxa"/>
            <w:gridSpan w:val="2"/>
            <w:vAlign w:val="center"/>
          </w:tcPr>
          <w:p>
            <w:pPr>
              <w:pStyle w:val="21"/>
              <w:ind w:firstLine="0" w:firstLineChars="0"/>
              <w:rPr>
                <w:rFonts w:hint="eastAsia" w:hAnsi="宋体"/>
                <w:color w:val="auto"/>
                <w:sz w:val="21"/>
                <w:szCs w:val="21"/>
              </w:rPr>
            </w:pPr>
            <w:r>
              <w:rPr>
                <w:rFonts w:hint="eastAsia" w:hAnsi="宋体"/>
                <w:color w:val="auto"/>
                <w:sz w:val="21"/>
                <w:szCs w:val="21"/>
              </w:rPr>
              <w:t>个</w:t>
            </w:r>
          </w:p>
        </w:tc>
        <w:tc>
          <w:tcPr>
            <w:tcW w:w="645" w:type="dxa"/>
            <w:vAlign w:val="center"/>
          </w:tcPr>
          <w:p>
            <w:pPr>
              <w:pStyle w:val="21"/>
              <w:ind w:firstLine="0" w:firstLineChars="0"/>
              <w:rPr>
                <w:rFonts w:hint="eastAsia" w:hAnsi="宋体"/>
                <w:color w:val="auto"/>
                <w:sz w:val="21"/>
                <w:szCs w:val="21"/>
              </w:rPr>
            </w:pPr>
            <w:r>
              <w:rPr>
                <w:rFonts w:hint="eastAsia" w:hAnsi="宋体"/>
                <w:color w:val="auto"/>
                <w:sz w:val="21"/>
                <w:szCs w:val="21"/>
              </w:rPr>
              <w:t>26</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CCTV铁制监控防水箱  材质：铁镀锌  烤漆285*195*100mm/400*280*125mm/现场定制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spacing w:line="360" w:lineRule="auto"/>
              <w:ind w:firstLine="0" w:firstLineChars="0"/>
              <w:rPr>
                <w:rFonts w:hint="eastAsia" w:hAnsi="宋体"/>
                <w:color w:val="auto"/>
                <w:sz w:val="21"/>
                <w:szCs w:val="21"/>
              </w:rPr>
            </w:pPr>
            <w:r>
              <w:rPr>
                <w:rFonts w:hint="eastAsia" w:hAnsi="宋体"/>
                <w:color w:val="auto"/>
                <w:sz w:val="21"/>
                <w:szCs w:val="21"/>
              </w:rPr>
              <w:t>15</w:t>
            </w:r>
          </w:p>
        </w:tc>
        <w:tc>
          <w:tcPr>
            <w:tcW w:w="888" w:type="dxa"/>
            <w:vAlign w:val="center"/>
          </w:tcPr>
          <w:p>
            <w:pPr>
              <w:widowControl/>
              <w:spacing w:line="360" w:lineRule="auto"/>
              <w:ind w:firstLine="0" w:firstLineChars="0"/>
              <w:rPr>
                <w:rFonts w:hint="eastAsia" w:ascii="宋体" w:hAnsi="宋体" w:cs="宋体"/>
                <w:szCs w:val="21"/>
              </w:rPr>
            </w:pPr>
            <w:r>
              <w:rPr>
                <w:rFonts w:hint="eastAsia" w:ascii="宋体" w:hAnsi="宋体" w:cs="宋体"/>
                <w:kern w:val="0"/>
                <w:szCs w:val="21"/>
              </w:rPr>
              <w:t>8+2 POE交换机</w:t>
            </w:r>
          </w:p>
        </w:tc>
        <w:tc>
          <w:tcPr>
            <w:tcW w:w="630" w:type="dxa"/>
            <w:gridSpan w:val="2"/>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台</w:t>
            </w:r>
          </w:p>
        </w:tc>
        <w:tc>
          <w:tcPr>
            <w:tcW w:w="645" w:type="dxa"/>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18</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1.支持≥10个10/100M自适应RJ45端口，每端口均支持MDI/MDIX自动翻转及自协商                                                                                                                                                                                                                                                             2.支持≥8个POE供电端口                                                                                                                                          3.整机最大电源输出：≥65W，单口PoE≥15.4W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spacing w:line="360" w:lineRule="auto"/>
              <w:ind w:firstLine="0" w:firstLineChars="0"/>
              <w:rPr>
                <w:rFonts w:hint="eastAsia" w:hAnsi="宋体"/>
                <w:color w:val="auto"/>
                <w:sz w:val="21"/>
                <w:szCs w:val="21"/>
              </w:rPr>
            </w:pPr>
            <w:r>
              <w:rPr>
                <w:rFonts w:hint="eastAsia" w:hAnsi="宋体"/>
                <w:color w:val="auto"/>
                <w:sz w:val="21"/>
                <w:szCs w:val="21"/>
              </w:rPr>
              <w:t>16</w:t>
            </w:r>
          </w:p>
        </w:tc>
        <w:tc>
          <w:tcPr>
            <w:tcW w:w="888" w:type="dxa"/>
            <w:vAlign w:val="center"/>
          </w:tcPr>
          <w:p>
            <w:pPr>
              <w:widowControl/>
              <w:spacing w:line="360" w:lineRule="auto"/>
              <w:ind w:firstLine="0" w:firstLineChars="0"/>
              <w:rPr>
                <w:rFonts w:hint="eastAsia" w:ascii="宋体" w:hAnsi="宋体" w:cs="宋体"/>
                <w:szCs w:val="21"/>
              </w:rPr>
            </w:pPr>
            <w:r>
              <w:rPr>
                <w:rFonts w:hint="eastAsia" w:ascii="宋体" w:hAnsi="宋体" w:cs="宋体"/>
                <w:kern w:val="0"/>
                <w:szCs w:val="21"/>
              </w:rPr>
              <w:t>4+2 POE交换机</w:t>
            </w:r>
          </w:p>
        </w:tc>
        <w:tc>
          <w:tcPr>
            <w:tcW w:w="630" w:type="dxa"/>
            <w:gridSpan w:val="2"/>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台</w:t>
            </w:r>
          </w:p>
        </w:tc>
        <w:tc>
          <w:tcPr>
            <w:tcW w:w="645" w:type="dxa"/>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26</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 xml:space="preserve">1.支持≥6个10/100M自适应RJ45端口，每端口均支持MDI/MDIX自动翻转及自协商                                                                                                                                                                                                                                                            </w:t>
            </w:r>
            <w:r>
              <w:rPr>
                <w:rFonts w:hint="eastAsia" w:ascii="宋体" w:hAnsi="宋体" w:cs="宋体"/>
                <w:kern w:val="0"/>
                <w:szCs w:val="21"/>
              </w:rPr>
              <w:br w:type="textWrapping"/>
            </w:r>
            <w:r>
              <w:rPr>
                <w:rFonts w:hint="eastAsia" w:ascii="宋体" w:hAnsi="宋体" w:cs="宋体"/>
                <w:kern w:val="0"/>
                <w:szCs w:val="21"/>
              </w:rPr>
              <w:t>2.支持≥4个POE供电端口                                                                                                                                          3.整机最大电源输出：≥43W，单口PoE≥15.4W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spacing w:line="360" w:lineRule="auto"/>
              <w:ind w:firstLine="0" w:firstLineChars="0"/>
              <w:rPr>
                <w:rFonts w:hint="eastAsia" w:hAnsi="宋体"/>
                <w:color w:val="auto"/>
                <w:sz w:val="21"/>
                <w:szCs w:val="21"/>
              </w:rPr>
            </w:pPr>
            <w:r>
              <w:rPr>
                <w:rFonts w:hint="eastAsia" w:hAnsi="宋体"/>
                <w:color w:val="auto"/>
                <w:sz w:val="21"/>
                <w:szCs w:val="21"/>
              </w:rPr>
              <w:t>17</w:t>
            </w:r>
          </w:p>
        </w:tc>
        <w:tc>
          <w:tcPr>
            <w:tcW w:w="888" w:type="dxa"/>
            <w:vAlign w:val="center"/>
          </w:tcPr>
          <w:p>
            <w:pPr>
              <w:widowControl/>
              <w:spacing w:line="360" w:lineRule="auto"/>
              <w:ind w:firstLine="0" w:firstLineChars="0"/>
              <w:rPr>
                <w:rFonts w:hint="eastAsia" w:ascii="宋体" w:hAnsi="宋体" w:cs="宋体"/>
                <w:szCs w:val="21"/>
              </w:rPr>
            </w:pPr>
            <w:r>
              <w:rPr>
                <w:rFonts w:hint="eastAsia" w:ascii="宋体" w:hAnsi="宋体" w:cs="宋体"/>
                <w:kern w:val="0"/>
                <w:szCs w:val="21"/>
              </w:rPr>
              <w:t>5口千兆交换机</w:t>
            </w:r>
          </w:p>
        </w:tc>
        <w:tc>
          <w:tcPr>
            <w:tcW w:w="630" w:type="dxa"/>
            <w:gridSpan w:val="2"/>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台</w:t>
            </w:r>
          </w:p>
        </w:tc>
        <w:tc>
          <w:tcPr>
            <w:tcW w:w="645" w:type="dxa"/>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5</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1、配置：可用千兆电接口数量≥5。</w:t>
            </w:r>
            <w:r>
              <w:rPr>
                <w:rFonts w:hint="eastAsia" w:ascii="宋体" w:hAnsi="宋体" w:cs="宋体"/>
                <w:kern w:val="0"/>
                <w:szCs w:val="21"/>
              </w:rPr>
              <w:br w:type="textWrapping"/>
            </w:r>
            <w:r>
              <w:rPr>
                <w:rFonts w:hint="eastAsia" w:ascii="宋体" w:hAnsi="宋体" w:cs="宋体"/>
                <w:kern w:val="0"/>
                <w:szCs w:val="21"/>
              </w:rPr>
              <w:t>2、交换容量≥10Gbps，转发性能≥7.44Mpps。</w:t>
            </w:r>
            <w:r>
              <w:rPr>
                <w:rFonts w:hint="eastAsia" w:ascii="宋体" w:hAnsi="宋体" w:cs="宋体"/>
                <w:kern w:val="0"/>
                <w:szCs w:val="21"/>
              </w:rPr>
              <w:br w:type="textWrapping"/>
            </w:r>
            <w:r>
              <w:rPr>
                <w:rFonts w:hint="eastAsia" w:ascii="宋体" w:hAnsi="宋体" w:cs="宋体"/>
                <w:kern w:val="0"/>
                <w:szCs w:val="21"/>
              </w:rPr>
              <w:t>3、支持浪涌防护。</w:t>
            </w:r>
            <w:r>
              <w:rPr>
                <w:rFonts w:hint="eastAsia" w:ascii="宋体" w:hAnsi="宋体" w:cs="宋体"/>
                <w:kern w:val="0"/>
                <w:szCs w:val="21"/>
              </w:rPr>
              <w:br w:type="textWrapping"/>
            </w:r>
            <w:r>
              <w:rPr>
                <w:rFonts w:hint="eastAsia" w:ascii="宋体" w:hAnsi="宋体" w:cs="宋体"/>
                <w:kern w:val="0"/>
                <w:szCs w:val="21"/>
              </w:rPr>
              <w:t>4、工作温度：0 °C ~ 40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18</w:t>
            </w:r>
          </w:p>
        </w:tc>
        <w:tc>
          <w:tcPr>
            <w:tcW w:w="888" w:type="dxa"/>
            <w:vAlign w:val="center"/>
          </w:tcPr>
          <w:p>
            <w:pPr>
              <w:widowControl/>
              <w:spacing w:line="360" w:lineRule="auto"/>
              <w:ind w:firstLine="0" w:firstLineChars="0"/>
              <w:rPr>
                <w:rFonts w:hint="eastAsia" w:ascii="宋体" w:hAnsi="宋体" w:cs="宋体"/>
                <w:kern w:val="0"/>
                <w:szCs w:val="21"/>
              </w:rPr>
            </w:pPr>
            <w:r>
              <w:rPr>
                <w:rFonts w:hint="eastAsia" w:ascii="宋体" w:hAnsi="宋体" w:cs="宋体"/>
                <w:kern w:val="0"/>
                <w:szCs w:val="21"/>
              </w:rPr>
              <w:t>8口千兆交换机</w:t>
            </w:r>
          </w:p>
        </w:tc>
        <w:tc>
          <w:tcPr>
            <w:tcW w:w="630" w:type="dxa"/>
            <w:gridSpan w:val="2"/>
            <w:vAlign w:val="center"/>
          </w:tcPr>
          <w:p>
            <w:pPr>
              <w:widowControl/>
              <w:spacing w:line="360" w:lineRule="auto"/>
              <w:ind w:firstLine="0" w:firstLineChars="0"/>
              <w:rPr>
                <w:rFonts w:hint="eastAsia" w:hAnsi="宋体" w:cs="宋体"/>
                <w:szCs w:val="21"/>
              </w:rPr>
            </w:pPr>
            <w:r>
              <w:rPr>
                <w:rFonts w:hint="eastAsia" w:ascii="宋体" w:hAnsi="宋体" w:cs="宋体"/>
                <w:kern w:val="0"/>
                <w:szCs w:val="21"/>
              </w:rPr>
              <w:t>台</w:t>
            </w:r>
          </w:p>
        </w:tc>
        <w:tc>
          <w:tcPr>
            <w:tcW w:w="645" w:type="dxa"/>
            <w:vAlign w:val="center"/>
          </w:tcPr>
          <w:p>
            <w:pPr>
              <w:widowControl/>
              <w:spacing w:line="360" w:lineRule="auto"/>
              <w:ind w:firstLine="0" w:firstLineChars="0"/>
              <w:rPr>
                <w:rFonts w:hint="eastAsia" w:hAnsi="宋体" w:cs="宋体"/>
                <w:szCs w:val="21"/>
              </w:rPr>
            </w:pPr>
            <w:r>
              <w:rPr>
                <w:rFonts w:hint="eastAsia" w:ascii="宋体" w:hAnsi="宋体" w:cs="宋体"/>
                <w:kern w:val="0"/>
                <w:szCs w:val="21"/>
              </w:rPr>
              <w:t>12</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1、配置：可用千兆电接口数量≥8。</w:t>
            </w:r>
            <w:r>
              <w:rPr>
                <w:rFonts w:hint="eastAsia" w:ascii="宋体" w:hAnsi="宋体" w:cs="宋体"/>
                <w:kern w:val="0"/>
                <w:szCs w:val="21"/>
              </w:rPr>
              <w:br w:type="textWrapping"/>
            </w:r>
            <w:r>
              <w:rPr>
                <w:rFonts w:hint="eastAsia" w:ascii="宋体" w:hAnsi="宋体" w:cs="宋体"/>
                <w:kern w:val="0"/>
                <w:szCs w:val="21"/>
              </w:rPr>
              <w:t>2、交换容量≥16Gbps， 转发性能≥14.88Mpps。</w:t>
            </w:r>
            <w:r>
              <w:rPr>
                <w:rFonts w:hint="eastAsia" w:ascii="宋体" w:hAnsi="宋体" w:cs="宋体"/>
                <w:kern w:val="0"/>
                <w:szCs w:val="21"/>
              </w:rPr>
              <w:br w:type="textWrapping"/>
            </w:r>
            <w:r>
              <w:rPr>
                <w:rFonts w:hint="eastAsia" w:ascii="宋体" w:hAnsi="宋体" w:cs="宋体"/>
                <w:kern w:val="0"/>
                <w:szCs w:val="21"/>
              </w:rPr>
              <w:t>3、支持浪涌防护。</w:t>
            </w:r>
            <w:r>
              <w:rPr>
                <w:rFonts w:hint="eastAsia" w:ascii="宋体" w:hAnsi="宋体" w:cs="宋体"/>
                <w:kern w:val="0"/>
                <w:szCs w:val="21"/>
              </w:rPr>
              <w:br w:type="textWrapping"/>
            </w:r>
            <w:r>
              <w:rPr>
                <w:rFonts w:hint="eastAsia" w:ascii="宋体" w:hAnsi="宋体" w:cs="宋体"/>
                <w:kern w:val="0"/>
                <w:szCs w:val="21"/>
              </w:rPr>
              <w:t>4、工作温度：0 °C ~ 40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19</w:t>
            </w:r>
          </w:p>
        </w:tc>
        <w:tc>
          <w:tcPr>
            <w:tcW w:w="888" w:type="dxa"/>
            <w:vAlign w:val="center"/>
          </w:tcPr>
          <w:p>
            <w:pPr>
              <w:widowControl/>
              <w:spacing w:line="360" w:lineRule="auto"/>
              <w:ind w:firstLine="0" w:firstLineChars="0"/>
              <w:rPr>
                <w:rFonts w:hint="eastAsia" w:ascii="宋体" w:hAnsi="宋体" w:cs="宋体"/>
                <w:kern w:val="0"/>
                <w:szCs w:val="21"/>
              </w:rPr>
            </w:pPr>
            <w:r>
              <w:rPr>
                <w:rFonts w:hint="eastAsia" w:ascii="宋体" w:hAnsi="宋体" w:cs="宋体"/>
                <w:kern w:val="0"/>
                <w:szCs w:val="21"/>
              </w:rPr>
              <w:t>汇聚交换机</w:t>
            </w:r>
          </w:p>
        </w:tc>
        <w:tc>
          <w:tcPr>
            <w:tcW w:w="630" w:type="dxa"/>
            <w:gridSpan w:val="2"/>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台</w:t>
            </w:r>
          </w:p>
        </w:tc>
        <w:tc>
          <w:tcPr>
            <w:tcW w:w="645" w:type="dxa"/>
            <w:vAlign w:val="center"/>
          </w:tcPr>
          <w:p>
            <w:pPr>
              <w:widowControl/>
              <w:spacing w:line="360" w:lineRule="auto"/>
              <w:ind w:firstLine="0" w:firstLineChars="0"/>
              <w:rPr>
                <w:rFonts w:hint="eastAsia" w:hAnsi="宋体" w:cs="宋体"/>
                <w:szCs w:val="21"/>
              </w:rPr>
            </w:pPr>
            <w:r>
              <w:rPr>
                <w:rFonts w:hint="eastAsia" w:ascii="宋体" w:hAnsi="宋体" w:cs="宋体"/>
                <w:kern w:val="0"/>
                <w:szCs w:val="21"/>
              </w:rPr>
              <w:t>3</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1、可用千兆电接口数量≥24，可用万兆光接口数量≥4。</w:t>
            </w:r>
            <w:r>
              <w:rPr>
                <w:rFonts w:hint="eastAsia" w:ascii="宋体" w:hAnsi="宋体" w:cs="宋体"/>
                <w:kern w:val="0"/>
                <w:szCs w:val="21"/>
              </w:rPr>
              <w:br w:type="textWrapping"/>
            </w:r>
            <w:r>
              <w:rPr>
                <w:rFonts w:hint="eastAsia" w:ascii="宋体" w:hAnsi="宋体" w:cs="宋体"/>
                <w:kern w:val="0"/>
                <w:szCs w:val="21"/>
              </w:rPr>
              <w:t>2、支持IEEE 802.3、IEEE 802.3u、IEEE802.3x、IEEE 802.3ab、IEEE 802.3z标准。                                                                                                                                                            3.背板带宽≥336Gbps                                                                                                                                                                       4.包转发率≥42Mpps                                                                                                                                                                                                                                                                                                                                                  5.工作温度：0-50℃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20</w:t>
            </w:r>
          </w:p>
        </w:tc>
        <w:tc>
          <w:tcPr>
            <w:tcW w:w="888" w:type="dxa"/>
            <w:vAlign w:val="center"/>
          </w:tcPr>
          <w:p>
            <w:pPr>
              <w:widowControl/>
              <w:spacing w:line="360" w:lineRule="auto"/>
              <w:ind w:firstLine="0" w:firstLineChars="0"/>
              <w:rPr>
                <w:rFonts w:hint="eastAsia" w:ascii="宋体" w:hAnsi="宋体" w:cs="宋体"/>
                <w:kern w:val="0"/>
                <w:szCs w:val="21"/>
              </w:rPr>
            </w:pPr>
            <w:r>
              <w:rPr>
                <w:rFonts w:hint="eastAsia" w:ascii="宋体" w:hAnsi="宋体" w:cs="宋体"/>
                <w:kern w:val="0"/>
                <w:szCs w:val="21"/>
              </w:rPr>
              <w:t>核心交换机</w:t>
            </w:r>
          </w:p>
        </w:tc>
        <w:tc>
          <w:tcPr>
            <w:tcW w:w="630" w:type="dxa"/>
            <w:gridSpan w:val="2"/>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台</w:t>
            </w:r>
          </w:p>
        </w:tc>
        <w:tc>
          <w:tcPr>
            <w:tcW w:w="645" w:type="dxa"/>
            <w:vAlign w:val="center"/>
          </w:tcPr>
          <w:p>
            <w:pPr>
              <w:widowControl/>
              <w:spacing w:line="360" w:lineRule="auto"/>
              <w:ind w:firstLine="0" w:firstLineChars="0"/>
              <w:rPr>
                <w:rFonts w:hint="eastAsia" w:hAnsi="宋体" w:cs="宋体"/>
                <w:szCs w:val="21"/>
              </w:rPr>
            </w:pPr>
            <w:r>
              <w:rPr>
                <w:rFonts w:hint="eastAsia" w:ascii="宋体" w:hAnsi="宋体" w:cs="宋体"/>
                <w:kern w:val="0"/>
                <w:szCs w:val="21"/>
              </w:rPr>
              <w:t>1</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1、可用千兆电接口数量≥24，可用万兆光接口数量≥4。</w:t>
            </w:r>
            <w:r>
              <w:rPr>
                <w:rFonts w:hint="eastAsia" w:ascii="宋体" w:hAnsi="宋体" w:cs="宋体"/>
                <w:kern w:val="0"/>
                <w:szCs w:val="21"/>
              </w:rPr>
              <w:br w:type="textWrapping"/>
            </w:r>
            <w:r>
              <w:rPr>
                <w:rFonts w:hint="eastAsia" w:ascii="宋体" w:hAnsi="宋体" w:cs="宋体"/>
                <w:kern w:val="0"/>
                <w:szCs w:val="21"/>
              </w:rPr>
              <w:t>2、支持模块化电源数量≥2，配置电源数≥1。</w:t>
            </w:r>
            <w:r>
              <w:rPr>
                <w:rFonts w:hint="eastAsia" w:ascii="宋体" w:hAnsi="宋体" w:cs="宋体"/>
                <w:kern w:val="0"/>
                <w:szCs w:val="21"/>
              </w:rPr>
              <w:br w:type="textWrapping"/>
            </w:r>
            <w:r>
              <w:rPr>
                <w:rFonts w:hint="eastAsia" w:ascii="宋体" w:hAnsi="宋体" w:cs="宋体"/>
                <w:kern w:val="0"/>
                <w:szCs w:val="21"/>
              </w:rPr>
              <w:t>3、支持风扇数量≥2。</w:t>
            </w:r>
            <w:r>
              <w:rPr>
                <w:rFonts w:hint="eastAsia" w:ascii="宋体" w:hAnsi="宋体" w:cs="宋体"/>
                <w:kern w:val="0"/>
                <w:szCs w:val="21"/>
              </w:rPr>
              <w:br w:type="textWrapping"/>
            </w:r>
            <w:r>
              <w:rPr>
                <w:rFonts w:hint="eastAsia" w:ascii="宋体" w:hAnsi="宋体" w:cs="宋体"/>
                <w:kern w:val="0"/>
                <w:szCs w:val="21"/>
              </w:rPr>
              <w:t>4、支持独立的console管理串口。</w:t>
            </w:r>
            <w:r>
              <w:rPr>
                <w:rFonts w:hint="eastAsia" w:ascii="宋体" w:hAnsi="宋体" w:cs="宋体"/>
                <w:kern w:val="0"/>
                <w:szCs w:val="21"/>
              </w:rPr>
              <w:br w:type="textWrapping"/>
            </w:r>
            <w:r>
              <w:rPr>
                <w:rFonts w:hint="eastAsia" w:ascii="宋体" w:hAnsi="宋体" w:cs="宋体"/>
                <w:kern w:val="0"/>
                <w:szCs w:val="21"/>
              </w:rPr>
              <w:t>5、交换容量≥688 Gbps/6.88Tbps，包转发率≥171Mpps/297Mpps。</w:t>
            </w:r>
            <w:r>
              <w:rPr>
                <w:rFonts w:hint="eastAsia" w:ascii="宋体" w:hAnsi="宋体" w:cs="宋体"/>
                <w:kern w:val="0"/>
                <w:szCs w:val="21"/>
              </w:rPr>
              <w:br w:type="textWrapping"/>
            </w:r>
            <w:r>
              <w:rPr>
                <w:rFonts w:hint="eastAsia" w:ascii="宋体" w:hAnsi="宋体" w:cs="宋体"/>
                <w:kern w:val="0"/>
                <w:szCs w:val="21"/>
              </w:rPr>
              <w:t>6、支持 IPv4/IPv6 静态路由，支持OSPFv3、BGP4+、IS-ISv6，支持STP、RSTP、MSTP、ERPS功能。</w:t>
            </w:r>
            <w:r>
              <w:rPr>
                <w:rFonts w:hint="eastAsia" w:ascii="宋体" w:hAnsi="宋体" w:cs="宋体"/>
                <w:kern w:val="0"/>
                <w:szCs w:val="21"/>
              </w:rPr>
              <w:br w:type="textWrapping"/>
            </w:r>
            <w:r>
              <w:rPr>
                <w:rFonts w:hint="eastAsia" w:ascii="宋体" w:hAnsi="宋体" w:cs="宋体"/>
                <w:kern w:val="0"/>
                <w:szCs w:val="21"/>
              </w:rPr>
              <w:t>7、支持零配置启动(TFTP方式)功能；支持OSPF FRR 功能。</w:t>
            </w:r>
            <w:r>
              <w:rPr>
                <w:rFonts w:hint="eastAsia" w:ascii="宋体" w:hAnsi="宋体" w:cs="宋体"/>
                <w:kern w:val="0"/>
                <w:szCs w:val="21"/>
              </w:rPr>
              <w:br w:type="textWrapping"/>
            </w:r>
            <w:r>
              <w:rPr>
                <w:rFonts w:hint="eastAsia" w:ascii="宋体" w:hAnsi="宋体" w:cs="宋体"/>
                <w:kern w:val="0"/>
                <w:szCs w:val="21"/>
              </w:rPr>
              <w:t>8、支持IRF本地负载分担、IRF单点管理功能；支持堆叠链路负载分担；支持链路聚合及聚合零丢包功能。</w:t>
            </w:r>
            <w:r>
              <w:rPr>
                <w:rFonts w:hint="eastAsia" w:ascii="宋体" w:hAnsi="宋体" w:cs="宋体"/>
                <w:kern w:val="0"/>
                <w:szCs w:val="21"/>
              </w:rPr>
              <w:br w:type="textWrapping"/>
            </w:r>
            <w:r>
              <w:rPr>
                <w:rFonts w:hint="eastAsia" w:ascii="宋体" w:hAnsi="宋体" w:cs="宋体"/>
                <w:kern w:val="0"/>
                <w:szCs w:val="21"/>
              </w:rPr>
              <w:t>9、设备支持流镜像、端口镜像、远程镜像功能；支持BFD for IPv4路由功能、支持BFD for IPv6路由功能。</w:t>
            </w:r>
            <w:r>
              <w:rPr>
                <w:rFonts w:hint="eastAsia" w:ascii="宋体" w:hAnsi="宋体" w:cs="宋体"/>
                <w:kern w:val="0"/>
                <w:szCs w:val="21"/>
              </w:rPr>
              <w:br w:type="textWrapping"/>
            </w:r>
            <w:r>
              <w:rPr>
                <w:rFonts w:hint="eastAsia" w:ascii="宋体" w:hAnsi="宋体" w:cs="宋体"/>
                <w:kern w:val="0"/>
                <w:szCs w:val="21"/>
              </w:rPr>
              <w:t>10、设备支持多个配置文件本地保存，支持配置回滚；支持命令行(CLI)配置。</w:t>
            </w:r>
            <w:r>
              <w:rPr>
                <w:rFonts w:hint="eastAsia" w:ascii="宋体" w:hAnsi="宋体" w:cs="宋体"/>
                <w:kern w:val="0"/>
                <w:szCs w:val="21"/>
              </w:rPr>
              <w:br w:type="textWrapping"/>
            </w:r>
            <w:r>
              <w:rPr>
                <w:rFonts w:hint="eastAsia" w:ascii="宋体" w:hAnsi="宋体" w:cs="宋体"/>
                <w:kern w:val="0"/>
                <w:szCs w:val="21"/>
              </w:rPr>
              <w:t>11、支持IPv4路由≥12K条；IPv6路由≥4K条。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21</w:t>
            </w:r>
          </w:p>
        </w:tc>
        <w:tc>
          <w:tcPr>
            <w:tcW w:w="888" w:type="dxa"/>
            <w:vAlign w:val="center"/>
          </w:tcPr>
          <w:p>
            <w:pPr>
              <w:widowControl/>
              <w:spacing w:line="360" w:lineRule="auto"/>
              <w:ind w:firstLine="0" w:firstLineChars="0"/>
              <w:rPr>
                <w:rFonts w:hint="eastAsia" w:ascii="宋体" w:hAnsi="宋体" w:cs="宋体"/>
                <w:kern w:val="0"/>
                <w:szCs w:val="21"/>
              </w:rPr>
            </w:pPr>
            <w:r>
              <w:rPr>
                <w:rFonts w:hint="eastAsia" w:ascii="宋体" w:hAnsi="宋体" w:cs="宋体"/>
                <w:kern w:val="0"/>
                <w:szCs w:val="21"/>
              </w:rPr>
              <w:t>光纤</w:t>
            </w:r>
          </w:p>
        </w:tc>
        <w:tc>
          <w:tcPr>
            <w:tcW w:w="630" w:type="dxa"/>
            <w:gridSpan w:val="2"/>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米</w:t>
            </w:r>
          </w:p>
        </w:tc>
        <w:tc>
          <w:tcPr>
            <w:tcW w:w="645" w:type="dxa"/>
            <w:vAlign w:val="center"/>
          </w:tcPr>
          <w:p>
            <w:pPr>
              <w:widowControl/>
              <w:spacing w:line="360" w:lineRule="auto"/>
              <w:ind w:firstLine="0" w:firstLineChars="0"/>
              <w:rPr>
                <w:rFonts w:hint="eastAsia" w:hAnsi="宋体" w:cs="宋体"/>
                <w:szCs w:val="21"/>
              </w:rPr>
            </w:pPr>
            <w:r>
              <w:rPr>
                <w:rFonts w:hint="eastAsia" w:ascii="宋体" w:hAnsi="宋体" w:cs="宋体"/>
                <w:kern w:val="0"/>
                <w:szCs w:val="21"/>
              </w:rPr>
              <w:t>6000</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户外4芯单模光纤                                                                                                                                                              波长： 1300nm、1550nm                                                                                                                                                       损耗： 850/3.5dB/km、1300/1.0dB/km、1550/0.26dB/km                                                                                                                                       工作温度： -30℃-60℃                                                                                                                                                                 工作湿度： 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22</w:t>
            </w:r>
          </w:p>
        </w:tc>
        <w:tc>
          <w:tcPr>
            <w:tcW w:w="888" w:type="dxa"/>
            <w:vAlign w:val="center"/>
          </w:tcPr>
          <w:p>
            <w:pPr>
              <w:widowControl/>
              <w:spacing w:line="360" w:lineRule="auto"/>
              <w:ind w:firstLine="0" w:firstLineChars="0"/>
              <w:rPr>
                <w:rFonts w:hint="eastAsia" w:ascii="宋体" w:hAnsi="宋体" w:cs="宋体"/>
                <w:kern w:val="0"/>
                <w:szCs w:val="21"/>
              </w:rPr>
            </w:pPr>
            <w:r>
              <w:rPr>
                <w:rFonts w:hint="eastAsia" w:ascii="宋体" w:hAnsi="宋体" w:cs="宋体"/>
                <w:kern w:val="0"/>
                <w:szCs w:val="21"/>
              </w:rPr>
              <w:t>光纤收发器</w:t>
            </w:r>
          </w:p>
        </w:tc>
        <w:tc>
          <w:tcPr>
            <w:tcW w:w="630" w:type="dxa"/>
            <w:gridSpan w:val="2"/>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对</w:t>
            </w:r>
          </w:p>
        </w:tc>
        <w:tc>
          <w:tcPr>
            <w:tcW w:w="645" w:type="dxa"/>
            <w:vAlign w:val="center"/>
          </w:tcPr>
          <w:p>
            <w:pPr>
              <w:widowControl/>
              <w:spacing w:line="360" w:lineRule="auto"/>
              <w:ind w:firstLine="0" w:firstLineChars="0"/>
              <w:rPr>
                <w:rFonts w:hint="eastAsia" w:hAnsi="宋体" w:cs="宋体"/>
                <w:szCs w:val="21"/>
              </w:rPr>
            </w:pPr>
            <w:r>
              <w:rPr>
                <w:rFonts w:hint="eastAsia" w:ascii="宋体" w:hAnsi="宋体" w:cs="宋体"/>
                <w:kern w:val="0"/>
                <w:szCs w:val="21"/>
              </w:rPr>
              <w:t>25</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1.符合协议标准 IEEE802.3，IEEE802.3u，IEEE802.3ab，IEEE802.3z，IEEE802.3x</w:t>
            </w:r>
            <w:r>
              <w:rPr>
                <w:rFonts w:hint="eastAsia" w:ascii="宋体" w:hAnsi="宋体" w:cs="宋体"/>
                <w:kern w:val="0"/>
                <w:szCs w:val="21"/>
              </w:rPr>
              <w:br w:type="textWrapping"/>
            </w:r>
            <w:r>
              <w:rPr>
                <w:rFonts w:hint="eastAsia" w:ascii="宋体" w:hAnsi="宋体" w:cs="宋体"/>
                <w:kern w:val="0"/>
                <w:szCs w:val="21"/>
              </w:rPr>
              <w:t>2.传输速率 10/100/1000Mbps</w:t>
            </w:r>
            <w:r>
              <w:rPr>
                <w:rFonts w:hint="eastAsia" w:ascii="宋体" w:hAnsi="宋体" w:cs="宋体"/>
                <w:kern w:val="0"/>
                <w:szCs w:val="21"/>
              </w:rPr>
              <w:br w:type="textWrapping"/>
            </w:r>
            <w:r>
              <w:rPr>
                <w:rFonts w:hint="eastAsia" w:ascii="宋体" w:hAnsi="宋体" w:cs="宋体"/>
                <w:kern w:val="0"/>
                <w:szCs w:val="21"/>
              </w:rPr>
              <w:t>3.最大传输距离 3000米                                                                                                                                                                                                                                                                                                                            4.工作温度 -20℃～60℃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23</w:t>
            </w:r>
          </w:p>
        </w:tc>
        <w:tc>
          <w:tcPr>
            <w:tcW w:w="888" w:type="dxa"/>
            <w:vAlign w:val="center"/>
          </w:tcPr>
          <w:p>
            <w:pPr>
              <w:widowControl/>
              <w:spacing w:line="360" w:lineRule="auto"/>
              <w:ind w:firstLine="0" w:firstLineChars="0"/>
              <w:rPr>
                <w:rFonts w:hint="eastAsia" w:ascii="宋体" w:hAnsi="宋体" w:cs="宋体"/>
                <w:kern w:val="0"/>
                <w:szCs w:val="21"/>
              </w:rPr>
            </w:pPr>
            <w:r>
              <w:rPr>
                <w:rFonts w:hint="eastAsia" w:ascii="宋体" w:hAnsi="宋体" w:cs="宋体"/>
                <w:kern w:val="0"/>
                <w:szCs w:val="21"/>
              </w:rPr>
              <w:t>网线</w:t>
            </w:r>
          </w:p>
        </w:tc>
        <w:tc>
          <w:tcPr>
            <w:tcW w:w="630" w:type="dxa"/>
            <w:gridSpan w:val="2"/>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箱</w:t>
            </w:r>
          </w:p>
        </w:tc>
        <w:tc>
          <w:tcPr>
            <w:tcW w:w="645" w:type="dxa"/>
            <w:vAlign w:val="center"/>
          </w:tcPr>
          <w:p>
            <w:pPr>
              <w:widowControl/>
              <w:spacing w:line="360" w:lineRule="auto"/>
              <w:ind w:firstLine="0" w:firstLineChars="0"/>
              <w:rPr>
                <w:rFonts w:hint="eastAsia" w:hAnsi="宋体" w:cs="宋体"/>
                <w:szCs w:val="21"/>
              </w:rPr>
            </w:pPr>
            <w:r>
              <w:rPr>
                <w:rFonts w:hint="eastAsia" w:ascii="宋体" w:hAnsi="宋体" w:cs="宋体"/>
                <w:kern w:val="0"/>
                <w:szCs w:val="21"/>
              </w:rPr>
              <w:t>45</w:t>
            </w:r>
          </w:p>
        </w:tc>
        <w:tc>
          <w:tcPr>
            <w:tcW w:w="7265" w:type="dxa"/>
            <w:vAlign w:val="center"/>
          </w:tcPr>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超5类网线,Cat5e非屏蔽双绞线</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标准：符合ISO/IEC 11801、TIA-568.2-D、GB/T 18015.5要求,所用材料符合RoHS要求，性能指标优于现行5e类线缆100MHz标准；</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标准装箱长度:305m±1.5m；</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芯线规格:24AWG,无氧铜；</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线缆结构：4对8芯双绞线,每芯均有颜色区分,外皮印有厂商标识及电缆编码，有撕裂绳；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24</w:t>
            </w:r>
          </w:p>
        </w:tc>
        <w:tc>
          <w:tcPr>
            <w:tcW w:w="888" w:type="dxa"/>
            <w:vAlign w:val="center"/>
          </w:tcPr>
          <w:p>
            <w:pPr>
              <w:widowControl/>
              <w:spacing w:line="360" w:lineRule="auto"/>
              <w:ind w:firstLine="0" w:firstLineChars="0"/>
              <w:rPr>
                <w:rFonts w:hint="eastAsia" w:ascii="宋体" w:hAnsi="宋体" w:cs="宋体"/>
                <w:kern w:val="0"/>
                <w:szCs w:val="21"/>
              </w:rPr>
            </w:pPr>
            <w:r>
              <w:rPr>
                <w:rFonts w:hint="eastAsia" w:ascii="宋体" w:hAnsi="宋体" w:cs="宋体"/>
                <w:kern w:val="0"/>
                <w:szCs w:val="21"/>
              </w:rPr>
              <w:t>电源线</w:t>
            </w:r>
          </w:p>
        </w:tc>
        <w:tc>
          <w:tcPr>
            <w:tcW w:w="630" w:type="dxa"/>
            <w:gridSpan w:val="2"/>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卷</w:t>
            </w:r>
          </w:p>
        </w:tc>
        <w:tc>
          <w:tcPr>
            <w:tcW w:w="645" w:type="dxa"/>
            <w:vAlign w:val="center"/>
          </w:tcPr>
          <w:p>
            <w:pPr>
              <w:widowControl/>
              <w:spacing w:line="360" w:lineRule="auto"/>
              <w:ind w:firstLine="0" w:firstLineChars="0"/>
              <w:rPr>
                <w:rFonts w:hint="eastAsia" w:hAnsi="宋体" w:cs="宋体"/>
                <w:szCs w:val="21"/>
              </w:rPr>
            </w:pPr>
            <w:r>
              <w:rPr>
                <w:rFonts w:hint="eastAsia" w:ascii="宋体" w:hAnsi="宋体" w:cs="宋体"/>
                <w:kern w:val="0"/>
                <w:szCs w:val="21"/>
              </w:rPr>
              <w:t>23</w:t>
            </w:r>
          </w:p>
        </w:tc>
        <w:tc>
          <w:tcPr>
            <w:tcW w:w="7265" w:type="dxa"/>
            <w:vAlign w:val="center"/>
          </w:tcPr>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RVV2*1.0/RVV2*1.5/现场定制 200米/卷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25</w:t>
            </w:r>
          </w:p>
        </w:tc>
        <w:tc>
          <w:tcPr>
            <w:tcW w:w="888" w:type="dxa"/>
            <w:vAlign w:val="center"/>
          </w:tcPr>
          <w:p>
            <w:pPr>
              <w:widowControl/>
              <w:spacing w:line="360" w:lineRule="auto"/>
              <w:ind w:firstLine="0" w:firstLineChars="0"/>
              <w:rPr>
                <w:rFonts w:hint="eastAsia" w:ascii="宋体" w:hAnsi="宋体" w:cs="宋体"/>
                <w:kern w:val="0"/>
                <w:szCs w:val="21"/>
              </w:rPr>
            </w:pPr>
            <w:r>
              <w:rPr>
                <w:rFonts w:hint="eastAsia" w:ascii="宋体" w:hAnsi="宋体" w:cs="宋体"/>
                <w:kern w:val="0"/>
                <w:szCs w:val="21"/>
              </w:rPr>
              <w:t>机柜</w:t>
            </w:r>
          </w:p>
        </w:tc>
        <w:tc>
          <w:tcPr>
            <w:tcW w:w="630" w:type="dxa"/>
            <w:gridSpan w:val="2"/>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个</w:t>
            </w:r>
          </w:p>
        </w:tc>
        <w:tc>
          <w:tcPr>
            <w:tcW w:w="645" w:type="dxa"/>
            <w:vAlign w:val="center"/>
          </w:tcPr>
          <w:p>
            <w:pPr>
              <w:widowControl/>
              <w:spacing w:line="360" w:lineRule="auto"/>
              <w:ind w:firstLine="0" w:firstLineChars="0"/>
              <w:rPr>
                <w:rFonts w:hint="eastAsia" w:hAnsi="宋体" w:cs="宋体"/>
                <w:szCs w:val="21"/>
              </w:rPr>
            </w:pPr>
            <w:r>
              <w:rPr>
                <w:rFonts w:hint="eastAsia" w:ascii="宋体" w:hAnsi="宋体" w:cs="宋体"/>
                <w:kern w:val="0"/>
                <w:szCs w:val="21"/>
              </w:rPr>
              <w:t>1</w:t>
            </w:r>
          </w:p>
        </w:tc>
        <w:tc>
          <w:tcPr>
            <w:tcW w:w="7265" w:type="dxa"/>
            <w:vAlign w:val="center"/>
          </w:tcPr>
          <w:p>
            <w:pPr>
              <w:widowControl/>
              <w:spacing w:line="360" w:lineRule="auto"/>
              <w:ind w:firstLine="0" w:firstLineChars="0"/>
              <w:jc w:val="left"/>
              <w:rPr>
                <w:rFonts w:hint="eastAsia"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、42U，网孔门，落地机柜</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2、承重：静态≥800KG</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3、前后门材质：前单开网孔门，后双开网孔门，冷轧板 T≥1.2</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4、门敞开百分比：前门≥78%，后门≥77.2%</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5、侧门材质：冷轧板 T≥1.0</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6、门框左右立柱材质：冷轧板 T≥1.2（框架）</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7、左右支架：冷轧板 T≥2.0</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8、横梁：冷轧板 T≥1.2</w:t>
            </w:r>
          </w:p>
          <w:p>
            <w:pPr>
              <w:widowControl/>
              <w:spacing w:line="360" w:lineRule="auto"/>
              <w:ind w:firstLine="0" w:firstLineChars="0"/>
              <w:jc w:val="left"/>
              <w:rPr>
                <w:rFonts w:hint="eastAsia" w:ascii="宋体" w:hAnsi="宋体" w:cs="宋体"/>
                <w:kern w:val="0"/>
                <w:szCs w:val="21"/>
                <w:highlight w:val="none"/>
              </w:rPr>
            </w:pPr>
            <w:r>
              <w:rPr>
                <w:rFonts w:ascii="宋体" w:hAnsi="宋体" w:cs="宋体"/>
                <w:kern w:val="0"/>
                <w:szCs w:val="21"/>
                <w:highlight w:val="none"/>
              </w:rPr>
              <w:t>9</w:t>
            </w:r>
            <w:r>
              <w:rPr>
                <w:rFonts w:hint="eastAsia" w:ascii="宋体" w:hAnsi="宋体" w:cs="宋体"/>
                <w:kern w:val="0"/>
                <w:szCs w:val="21"/>
                <w:highlight w:val="none"/>
              </w:rPr>
              <w:t>、PDU：≥1个，≥8口PDU，输入10A，带2M线</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0</w:t>
            </w:r>
            <w:r>
              <w:rPr>
                <w:rFonts w:hint="eastAsia" w:ascii="宋体" w:hAnsi="宋体" w:cs="宋体"/>
                <w:kern w:val="0"/>
                <w:szCs w:val="21"/>
                <w:highlight w:val="none"/>
              </w:rPr>
              <w:t>、滚轮：支持，4个</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1</w:t>
            </w:r>
            <w:r>
              <w:rPr>
                <w:rFonts w:hint="eastAsia" w:ascii="宋体" w:hAnsi="宋体" w:cs="宋体"/>
                <w:kern w:val="0"/>
                <w:szCs w:val="21"/>
                <w:highlight w:val="none"/>
              </w:rPr>
              <w:t>、脚撑：支持，4个</w:t>
            </w:r>
          </w:p>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2</w:t>
            </w:r>
            <w:r>
              <w:rPr>
                <w:rFonts w:hint="eastAsia" w:ascii="宋体" w:hAnsi="宋体" w:cs="宋体"/>
                <w:kern w:val="0"/>
                <w:szCs w:val="21"/>
                <w:highlight w:val="none"/>
              </w:rPr>
              <w:t>、尺寸（宽*深*高）：</w:t>
            </w:r>
            <w:r>
              <w:rPr>
                <w:rFonts w:hint="eastAsia" w:ascii="Segoe UI Symbol" w:hAnsi="Segoe UI Symbol" w:cs="Segoe UI Symbol"/>
                <w:kern w:val="0"/>
                <w:szCs w:val="21"/>
                <w:highlight w:val="none"/>
              </w:rPr>
              <w:t>约</w:t>
            </w:r>
            <w:r>
              <w:rPr>
                <w:rFonts w:hint="eastAsia" w:ascii="宋体" w:hAnsi="宋体" w:cs="宋体"/>
                <w:kern w:val="0"/>
                <w:szCs w:val="21"/>
                <w:highlight w:val="none"/>
              </w:rPr>
              <w:t>600*800*2000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26</w:t>
            </w:r>
          </w:p>
        </w:tc>
        <w:tc>
          <w:tcPr>
            <w:tcW w:w="888" w:type="dxa"/>
            <w:vAlign w:val="center"/>
          </w:tcPr>
          <w:p>
            <w:pPr>
              <w:widowControl/>
              <w:spacing w:line="360" w:lineRule="auto"/>
              <w:ind w:firstLine="0" w:firstLineChars="0"/>
              <w:rPr>
                <w:rFonts w:hint="eastAsia" w:ascii="宋体" w:hAnsi="宋体" w:cs="宋体"/>
                <w:kern w:val="0"/>
                <w:szCs w:val="21"/>
              </w:rPr>
            </w:pPr>
            <w:r>
              <w:rPr>
                <w:rFonts w:hint="eastAsia" w:ascii="宋体" w:hAnsi="宋体" w:cs="宋体"/>
                <w:kern w:val="0"/>
                <w:szCs w:val="21"/>
              </w:rPr>
              <w:t>PVC线管</w:t>
            </w:r>
          </w:p>
        </w:tc>
        <w:tc>
          <w:tcPr>
            <w:tcW w:w="630" w:type="dxa"/>
            <w:gridSpan w:val="2"/>
            <w:vAlign w:val="center"/>
          </w:tcPr>
          <w:p>
            <w:pPr>
              <w:pStyle w:val="21"/>
              <w:spacing w:line="360" w:lineRule="auto"/>
              <w:ind w:firstLine="0" w:firstLineChars="0"/>
              <w:rPr>
                <w:rFonts w:hint="eastAsia" w:hAnsi="宋体"/>
                <w:color w:val="auto"/>
                <w:sz w:val="21"/>
                <w:szCs w:val="21"/>
              </w:rPr>
            </w:pPr>
            <w:r>
              <w:rPr>
                <w:rFonts w:hint="eastAsia" w:hAnsi="宋体"/>
                <w:color w:val="auto"/>
                <w:sz w:val="21"/>
                <w:szCs w:val="21"/>
              </w:rPr>
              <w:t>米</w:t>
            </w:r>
          </w:p>
        </w:tc>
        <w:tc>
          <w:tcPr>
            <w:tcW w:w="645" w:type="dxa"/>
            <w:vAlign w:val="center"/>
          </w:tcPr>
          <w:p>
            <w:pPr>
              <w:widowControl/>
              <w:spacing w:line="360" w:lineRule="auto"/>
              <w:ind w:firstLine="0" w:firstLineChars="0"/>
              <w:rPr>
                <w:rFonts w:hint="eastAsia" w:hAnsi="宋体" w:cs="宋体"/>
                <w:szCs w:val="21"/>
              </w:rPr>
            </w:pPr>
            <w:r>
              <w:rPr>
                <w:rFonts w:hint="eastAsia" w:ascii="宋体" w:hAnsi="宋体" w:cs="宋体"/>
                <w:kern w:val="0"/>
                <w:szCs w:val="21"/>
              </w:rPr>
              <w:t>5400</w:t>
            </w:r>
          </w:p>
        </w:tc>
        <w:tc>
          <w:tcPr>
            <w:tcW w:w="7265" w:type="dxa"/>
            <w:vAlign w:val="center"/>
          </w:tcPr>
          <w:p>
            <w:pPr>
              <w:widowControl/>
              <w:spacing w:line="360" w:lineRule="auto"/>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Φ16mm/Φ20mm/Φ25mm/Φ32mm/现场定制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27</w:t>
            </w:r>
          </w:p>
        </w:tc>
        <w:tc>
          <w:tcPr>
            <w:tcW w:w="888" w:type="dxa"/>
            <w:vAlign w:val="center"/>
          </w:tcPr>
          <w:p>
            <w:pPr>
              <w:widowControl/>
              <w:spacing w:line="360" w:lineRule="auto"/>
              <w:ind w:firstLine="0" w:firstLineChars="0"/>
              <w:rPr>
                <w:rFonts w:hint="eastAsia" w:ascii="宋体" w:hAnsi="宋体" w:cs="宋体"/>
                <w:szCs w:val="21"/>
              </w:rPr>
            </w:pPr>
            <w:r>
              <w:rPr>
                <w:rFonts w:hint="eastAsia" w:ascii="宋体" w:hAnsi="宋体" w:cs="宋体"/>
                <w:kern w:val="0"/>
                <w:szCs w:val="21"/>
              </w:rPr>
              <w:t>其他辅材</w:t>
            </w:r>
          </w:p>
        </w:tc>
        <w:tc>
          <w:tcPr>
            <w:tcW w:w="630" w:type="dxa"/>
            <w:gridSpan w:val="2"/>
          </w:tcPr>
          <w:p>
            <w:pPr>
              <w:pStyle w:val="21"/>
              <w:spacing w:line="360" w:lineRule="auto"/>
              <w:ind w:firstLine="0" w:firstLineChars="0"/>
              <w:rPr>
                <w:rFonts w:hint="eastAsia" w:hAnsi="宋体"/>
                <w:color w:val="auto"/>
                <w:sz w:val="21"/>
                <w:szCs w:val="21"/>
              </w:rPr>
            </w:pPr>
            <w:r>
              <w:rPr>
                <w:rFonts w:hint="eastAsia" w:hAnsi="宋体"/>
                <w:color w:val="auto"/>
                <w:sz w:val="21"/>
                <w:szCs w:val="21"/>
              </w:rPr>
              <w:t>批</w:t>
            </w:r>
          </w:p>
        </w:tc>
        <w:tc>
          <w:tcPr>
            <w:tcW w:w="645" w:type="dxa"/>
          </w:tcPr>
          <w:p>
            <w:pPr>
              <w:pStyle w:val="21"/>
              <w:spacing w:line="360" w:lineRule="auto"/>
              <w:ind w:firstLine="0" w:firstLineChars="0"/>
              <w:rPr>
                <w:rFonts w:hint="eastAsia" w:hAnsi="宋体"/>
                <w:color w:val="auto"/>
                <w:sz w:val="21"/>
                <w:szCs w:val="21"/>
              </w:rPr>
            </w:pPr>
            <w:r>
              <w:rPr>
                <w:rFonts w:hint="eastAsia" w:hAnsi="宋体"/>
                <w:color w:val="auto"/>
                <w:sz w:val="21"/>
                <w:szCs w:val="21"/>
              </w:rPr>
              <w:t>1</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满足安装所需用到的五金材料、建筑材料、摄像头支架、光模块、水晶头、电源插座、胶布、线扎等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1"/>
              <w:ind w:firstLine="0" w:firstLineChars="0"/>
              <w:rPr>
                <w:rFonts w:hint="eastAsia" w:hAnsi="宋体"/>
                <w:color w:val="auto"/>
                <w:sz w:val="21"/>
                <w:szCs w:val="21"/>
              </w:rPr>
            </w:pPr>
            <w:r>
              <w:rPr>
                <w:rFonts w:hint="eastAsia" w:hAnsi="宋体"/>
                <w:color w:val="auto"/>
                <w:sz w:val="21"/>
                <w:szCs w:val="21"/>
              </w:rPr>
              <w:t>28</w:t>
            </w:r>
          </w:p>
        </w:tc>
        <w:tc>
          <w:tcPr>
            <w:tcW w:w="888" w:type="dxa"/>
            <w:vAlign w:val="center"/>
          </w:tcPr>
          <w:p>
            <w:pPr>
              <w:widowControl/>
              <w:spacing w:line="360" w:lineRule="auto"/>
              <w:ind w:firstLine="0" w:firstLineChars="0"/>
              <w:rPr>
                <w:rFonts w:hint="eastAsia" w:ascii="宋体" w:hAnsi="宋体" w:cs="宋体"/>
                <w:szCs w:val="21"/>
              </w:rPr>
            </w:pPr>
            <w:r>
              <w:rPr>
                <w:rFonts w:hint="eastAsia" w:ascii="宋体" w:hAnsi="宋体" w:cs="宋体"/>
                <w:kern w:val="0"/>
                <w:szCs w:val="21"/>
              </w:rPr>
              <w:t>系统施工技术服务</w:t>
            </w:r>
          </w:p>
        </w:tc>
        <w:tc>
          <w:tcPr>
            <w:tcW w:w="630" w:type="dxa"/>
            <w:gridSpan w:val="2"/>
          </w:tcPr>
          <w:p>
            <w:pPr>
              <w:pStyle w:val="21"/>
              <w:spacing w:line="360" w:lineRule="auto"/>
              <w:ind w:firstLine="0" w:firstLineChars="0"/>
              <w:rPr>
                <w:rFonts w:hint="eastAsia" w:hAnsi="宋体"/>
                <w:color w:val="auto"/>
                <w:sz w:val="21"/>
                <w:szCs w:val="21"/>
              </w:rPr>
            </w:pPr>
            <w:r>
              <w:rPr>
                <w:rFonts w:hint="eastAsia" w:hAnsi="宋体"/>
                <w:color w:val="auto"/>
                <w:sz w:val="21"/>
                <w:szCs w:val="21"/>
              </w:rPr>
              <w:t>项</w:t>
            </w:r>
          </w:p>
        </w:tc>
        <w:tc>
          <w:tcPr>
            <w:tcW w:w="645" w:type="dxa"/>
          </w:tcPr>
          <w:p>
            <w:pPr>
              <w:pStyle w:val="21"/>
              <w:spacing w:line="360" w:lineRule="auto"/>
              <w:ind w:firstLine="0" w:firstLineChars="0"/>
              <w:rPr>
                <w:rFonts w:hint="eastAsia" w:hAnsi="宋体"/>
                <w:color w:val="auto"/>
                <w:sz w:val="21"/>
                <w:szCs w:val="21"/>
              </w:rPr>
            </w:pPr>
            <w:r>
              <w:rPr>
                <w:rFonts w:hint="eastAsia" w:hAnsi="宋体"/>
                <w:color w:val="auto"/>
                <w:sz w:val="21"/>
                <w:szCs w:val="21"/>
              </w:rPr>
              <w:t>1</w:t>
            </w:r>
          </w:p>
        </w:tc>
        <w:tc>
          <w:tcPr>
            <w:tcW w:w="7265" w:type="dxa"/>
            <w:vAlign w:val="center"/>
          </w:tcPr>
          <w:p>
            <w:pPr>
              <w:widowControl/>
              <w:spacing w:line="360" w:lineRule="auto"/>
              <w:ind w:firstLine="0" w:firstLineChars="0"/>
              <w:jc w:val="left"/>
              <w:rPr>
                <w:rFonts w:hint="eastAsia" w:ascii="宋体" w:hAnsi="宋体" w:cs="宋体"/>
                <w:kern w:val="0"/>
                <w:szCs w:val="21"/>
              </w:rPr>
            </w:pPr>
            <w:r>
              <w:rPr>
                <w:rFonts w:hint="eastAsia" w:ascii="宋体" w:hAnsi="宋体" w:cs="宋体"/>
                <w:kern w:val="0"/>
                <w:szCs w:val="21"/>
              </w:rPr>
              <w:t>货物包装卸运、货到就位以及安装、调试、培训及各类设备安装、施工，一年免费上门售后服务。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457" w:hRule="atLeast"/>
        </w:trPr>
        <w:tc>
          <w:tcPr>
            <w:tcW w:w="9860" w:type="dxa"/>
            <w:gridSpan w:val="6"/>
          </w:tcPr>
          <w:p>
            <w:pPr>
              <w:widowControl/>
              <w:spacing w:line="240" w:lineRule="auto"/>
              <w:ind w:firstLine="0" w:firstLineChars="0"/>
              <w:jc w:val="left"/>
              <w:rPr>
                <w:rFonts w:hint="eastAsia" w:ascii="宋体" w:hAnsi="宋体" w:cs="宋体"/>
                <w:kern w:val="0"/>
                <w:szCs w:val="21"/>
              </w:rPr>
            </w:pPr>
            <w:r>
              <w:rPr>
                <w:rFonts w:hint="eastAsia" w:ascii="宋体" w:hAnsi="宋体" w:cs="宋体"/>
                <w:b/>
                <w:bCs/>
                <w:sz w:val="24"/>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vAlign w:val="center"/>
          </w:tcPr>
          <w:p>
            <w:pPr>
              <w:widowControl/>
              <w:ind w:firstLine="0" w:firstLineChars="0"/>
              <w:rPr>
                <w:highlight w:val="none"/>
              </w:rPr>
            </w:pPr>
            <w:r>
              <w:rPr>
                <w:rFonts w:hint="eastAsia" w:ascii="宋体" w:hAnsi="宋体" w:cs="宋体"/>
                <w:kern w:val="0"/>
                <w:szCs w:val="21"/>
                <w:highlight w:val="none"/>
                <w:lang w:bidi="ar"/>
              </w:rPr>
              <w:t>合同签订期</w:t>
            </w:r>
          </w:p>
        </w:tc>
        <w:tc>
          <w:tcPr>
            <w:tcW w:w="8144" w:type="dxa"/>
            <w:gridSpan w:val="3"/>
            <w:vAlign w:val="center"/>
          </w:tcPr>
          <w:p>
            <w:pPr>
              <w:widowControl/>
              <w:ind w:firstLine="0" w:firstLineChars="0"/>
              <w:jc w:val="left"/>
              <w:rPr>
                <w:highlight w:val="none"/>
              </w:rPr>
            </w:pPr>
            <w:r>
              <w:rPr>
                <w:rFonts w:hint="eastAsia" w:ascii="宋体" w:hAnsi="宋体" w:cs="宋体"/>
                <w:kern w:val="0"/>
                <w:szCs w:val="21"/>
                <w:highlight w:val="none"/>
                <w:lang w:bidi="ar"/>
              </w:rPr>
              <w:t>自中标通知书发出之日起15日内。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vAlign w:val="center"/>
          </w:tcPr>
          <w:p>
            <w:pPr>
              <w:widowControl/>
              <w:ind w:firstLine="0" w:firstLineChars="0"/>
              <w:jc w:val="center"/>
              <w:rPr>
                <w:highlight w:val="none"/>
              </w:rPr>
            </w:pPr>
            <w:r>
              <w:rPr>
                <w:rFonts w:hint="eastAsia" w:ascii="宋体" w:hAnsi="宋体" w:cs="宋体"/>
                <w:kern w:val="0"/>
                <w:szCs w:val="21"/>
                <w:highlight w:val="none"/>
                <w:lang w:bidi="ar"/>
              </w:rPr>
              <w:t>交货时间及地点</w:t>
            </w:r>
          </w:p>
        </w:tc>
        <w:tc>
          <w:tcPr>
            <w:tcW w:w="8144" w:type="dxa"/>
            <w:gridSpan w:val="3"/>
            <w:vAlign w:val="center"/>
          </w:tcPr>
          <w:p>
            <w:pPr>
              <w:widowControl/>
              <w:ind w:firstLine="0" w:firstLineChars="0"/>
              <w:jc w:val="left"/>
              <w:rPr>
                <w:highlight w:val="none"/>
              </w:rPr>
            </w:pPr>
            <w:r>
              <w:rPr>
                <w:rFonts w:hint="eastAsia" w:ascii="宋体" w:hAnsi="宋体" w:cs="宋体"/>
                <w:kern w:val="0"/>
                <w:szCs w:val="21"/>
                <w:highlight w:val="none"/>
                <w:lang w:bidi="ar"/>
              </w:rPr>
              <w:t>1.交货期：</w:t>
            </w:r>
            <w:r>
              <w:rPr>
                <w:rFonts w:hint="eastAsia" w:ascii="宋体" w:hAnsi="宋体"/>
                <w:szCs w:val="21"/>
                <w:highlight w:val="none"/>
              </w:rPr>
              <w:t>自合同签订之日2个月内，完成全部货物的交付、安装、调试并达到初验条件。</w:t>
            </w:r>
            <w:r>
              <w:rPr>
                <w:highlight w:val="none"/>
              </w:rPr>
              <w:t xml:space="preserve"> </w:t>
            </w:r>
          </w:p>
          <w:p>
            <w:pPr>
              <w:widowControl/>
              <w:ind w:firstLine="0" w:firstLineChars="0"/>
              <w:jc w:val="left"/>
              <w:rPr>
                <w:highlight w:val="none"/>
              </w:rPr>
            </w:pPr>
            <w:r>
              <w:rPr>
                <w:rFonts w:hint="eastAsia" w:ascii="宋体" w:hAnsi="宋体" w:cs="宋体"/>
                <w:kern w:val="0"/>
                <w:szCs w:val="21"/>
                <w:highlight w:val="none"/>
                <w:lang w:bidi="ar"/>
              </w:rPr>
              <w:t>2.交货地点：采购人指定地点（钦州市浦北县）；</w:t>
            </w:r>
          </w:p>
          <w:p>
            <w:pPr>
              <w:widowControl/>
              <w:ind w:firstLine="0" w:firstLineChars="0"/>
              <w:jc w:val="left"/>
              <w:rPr>
                <w:highlight w:val="none"/>
              </w:rPr>
            </w:pPr>
            <w:r>
              <w:rPr>
                <w:rFonts w:hint="eastAsia" w:ascii="宋体" w:hAnsi="宋体" w:cs="宋体"/>
                <w:kern w:val="0"/>
                <w:szCs w:val="21"/>
                <w:highlight w:val="none"/>
                <w:lang w:bidi="ar"/>
              </w:rPr>
              <w:t>3.交货方式：现场交货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vAlign w:val="center"/>
          </w:tcPr>
          <w:p>
            <w:pPr>
              <w:widowControl/>
              <w:ind w:firstLine="0" w:firstLineChars="0"/>
              <w:jc w:val="center"/>
              <w:rPr>
                <w:rFonts w:hint="eastAsia" w:ascii="宋体" w:hAnsi="宋体" w:cs="宋体"/>
                <w:kern w:val="0"/>
                <w:szCs w:val="21"/>
                <w:highlight w:val="none"/>
                <w:lang w:bidi="ar"/>
              </w:rPr>
            </w:pPr>
            <w:r>
              <w:rPr>
                <w:rFonts w:hint="eastAsia" w:ascii="宋体" w:hAnsi="宋体" w:cs="宋体"/>
                <w:kern w:val="0"/>
                <w:szCs w:val="21"/>
                <w:highlight w:val="none"/>
                <w:lang w:bidi="ar"/>
              </w:rPr>
              <w:t>付款方式及条件</w:t>
            </w:r>
          </w:p>
        </w:tc>
        <w:tc>
          <w:tcPr>
            <w:tcW w:w="8144" w:type="dxa"/>
            <w:gridSpan w:val="3"/>
            <w:vAlign w:val="center"/>
          </w:tcPr>
          <w:p>
            <w:pPr>
              <w:widowControl/>
              <w:ind w:firstLine="0" w:firstLineChars="0"/>
              <w:jc w:val="left"/>
              <w:rPr>
                <w:rFonts w:hint="default" w:ascii="宋体" w:hAnsi="宋体" w:eastAsia="宋体" w:cs="宋体"/>
                <w:kern w:val="0"/>
                <w:szCs w:val="21"/>
                <w:highlight w:val="none"/>
                <w:lang w:val="en-US" w:eastAsia="zh-CN" w:bidi="ar"/>
              </w:rPr>
            </w:pPr>
            <w:r>
              <w:rPr>
                <w:rFonts w:ascii="宋体" w:hAnsi="宋体"/>
                <w:bCs/>
                <w:highlight w:val="none"/>
              </w:rPr>
              <w:t>本项目无预付款，</w:t>
            </w:r>
            <w:r>
              <w:rPr>
                <w:rFonts w:hint="eastAsia" w:ascii="宋体" w:hAnsi="宋体"/>
                <w:bCs/>
                <w:highlight w:val="none"/>
                <w:lang w:val="en-US" w:eastAsia="zh-CN"/>
              </w:rPr>
              <w:t>中标供应商</w:t>
            </w:r>
            <w:r>
              <w:rPr>
                <w:rFonts w:ascii="宋体" w:hAnsi="宋体"/>
                <w:bCs/>
                <w:highlight w:val="none"/>
              </w:rPr>
              <w:t>交货完毕</w:t>
            </w:r>
            <w:r>
              <w:rPr>
                <w:rFonts w:hint="eastAsia" w:ascii="宋体" w:hAnsi="宋体"/>
                <w:bCs/>
                <w:highlight w:val="none"/>
                <w:lang w:eastAsia="zh-CN"/>
              </w:rPr>
              <w:t>，</w:t>
            </w:r>
            <w:r>
              <w:rPr>
                <w:rFonts w:ascii="宋体" w:hAnsi="宋体"/>
                <w:bCs/>
                <w:highlight w:val="none"/>
              </w:rPr>
              <w:t>经</w:t>
            </w:r>
            <w:r>
              <w:rPr>
                <w:rFonts w:hint="eastAsia" w:ascii="宋体" w:hAnsi="宋体"/>
                <w:bCs/>
                <w:highlight w:val="none"/>
                <w:lang w:val="en-US" w:eastAsia="zh-CN"/>
              </w:rPr>
              <w:t>采购人</w:t>
            </w:r>
            <w:r>
              <w:rPr>
                <w:rFonts w:ascii="宋体" w:hAnsi="宋体"/>
                <w:bCs/>
                <w:highlight w:val="none"/>
              </w:rPr>
              <w:t>验收合格后且收到</w:t>
            </w:r>
            <w:r>
              <w:rPr>
                <w:rFonts w:hint="eastAsia" w:ascii="宋体" w:hAnsi="宋体"/>
                <w:bCs/>
                <w:highlight w:val="none"/>
                <w:lang w:val="en-US" w:eastAsia="zh-CN"/>
              </w:rPr>
              <w:t>中标供应商</w:t>
            </w:r>
            <w:r>
              <w:rPr>
                <w:rFonts w:ascii="宋体" w:hAnsi="宋体"/>
                <w:bCs/>
                <w:highlight w:val="none"/>
              </w:rPr>
              <w:t>开具的发票，</w:t>
            </w:r>
            <w:r>
              <w:rPr>
                <w:rFonts w:hint="eastAsia" w:ascii="宋体" w:hAnsi="宋体"/>
                <w:bCs/>
                <w:highlight w:val="none"/>
              </w:rPr>
              <w:t>采购人原则上应当自收到发票后10个工作日内将资金支付</w:t>
            </w:r>
            <w:r>
              <w:rPr>
                <w:rFonts w:hint="eastAsia" w:ascii="宋体" w:hAnsi="宋体"/>
                <w:bCs/>
                <w:highlight w:val="none"/>
                <w:lang w:val="en-US" w:eastAsia="zh-CN"/>
              </w:rPr>
              <w:t>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32" w:type="dxa"/>
            <w:gridSpan w:val="4"/>
          </w:tcPr>
          <w:p>
            <w:pPr>
              <w:ind w:firstLine="0" w:firstLineChars="0"/>
            </w:pPr>
            <w:r>
              <w:rPr>
                <w:rFonts w:hint="eastAsia"/>
              </w:rPr>
              <w:t>质保期</w:t>
            </w:r>
          </w:p>
        </w:tc>
        <w:tc>
          <w:tcPr>
            <w:tcW w:w="8144" w:type="dxa"/>
            <w:gridSpan w:val="3"/>
          </w:tcPr>
          <w:p>
            <w:pPr>
              <w:wordWrap w:val="0"/>
              <w:ind w:firstLine="0" w:firstLineChars="0"/>
              <w:jc w:val="left"/>
            </w:pPr>
            <w:r>
              <w:rPr>
                <w:rFonts w:hint="eastAsia" w:ascii="宋体" w:hAnsi="宋体"/>
                <w:bCs/>
              </w:rPr>
              <w:t>按国家有关产品“三包”规定执行“三包”，质保期除特别注明外，</w:t>
            </w:r>
            <w:r>
              <w:rPr>
                <w:rFonts w:hint="eastAsia" w:ascii="宋体" w:hAnsi="宋体"/>
              </w:rPr>
              <w:t>最短不得少于1</w:t>
            </w:r>
            <w:r>
              <w:rPr>
                <w:rFonts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tcPr>
          <w:p>
            <w:pPr>
              <w:ind w:firstLine="0" w:firstLineChars="0"/>
            </w:pPr>
            <w:r>
              <w:rPr>
                <w:rFonts w:hint="eastAsia"/>
              </w:rPr>
              <w:t>售后服务要求</w:t>
            </w:r>
          </w:p>
        </w:tc>
        <w:tc>
          <w:tcPr>
            <w:tcW w:w="8144" w:type="dxa"/>
            <w:gridSpan w:val="3"/>
          </w:tcPr>
          <w:p>
            <w:pPr>
              <w:wordWrap w:val="0"/>
              <w:ind w:firstLine="0" w:firstLineChars="0"/>
              <w:jc w:val="left"/>
              <w:rPr>
                <w:rFonts w:hint="eastAsia" w:ascii="宋体" w:hAnsi="宋体"/>
              </w:rPr>
            </w:pPr>
            <w:r>
              <w:rPr>
                <w:rFonts w:ascii="宋体" w:hAnsi="宋体"/>
              </w:rPr>
              <w:t>1、中标</w:t>
            </w:r>
            <w:r>
              <w:rPr>
                <w:rFonts w:hint="eastAsia" w:ascii="宋体" w:hAnsi="宋体"/>
              </w:rPr>
              <w:t>人</w:t>
            </w:r>
            <w:r>
              <w:rPr>
                <w:rFonts w:ascii="宋体" w:hAnsi="宋体"/>
              </w:rPr>
              <w:t>应提供7×24 小时咨询服务，对于系统设备在使用过程中出现的问题，在4 小时内响应，如遇与所供产品有关的问题无法远程解决的，在接用户通知后,10小时内赶到现场提供免费服务；12小时内未解决的中标人应提供详细的应急解决方案，24小时内修复使用，若48 小时内无法排除故障的，则应提供相应的备用设备以保证采购方的正常使用，因中标人工作延误，造成采购人损失的，中标人应负赔偿责任。</w:t>
            </w:r>
          </w:p>
          <w:p>
            <w:pPr>
              <w:wordWrap w:val="0"/>
              <w:ind w:firstLine="0" w:firstLineChars="0"/>
              <w:jc w:val="left"/>
              <w:rPr>
                <w:rFonts w:hint="eastAsia" w:ascii="宋体" w:hAnsi="宋体"/>
              </w:rPr>
            </w:pPr>
            <w:r>
              <w:rPr>
                <w:rFonts w:ascii="宋体" w:hAnsi="宋体"/>
              </w:rPr>
              <w:t>2、投标文件中应注明维修保养期及维保范围，提供免费保修年限、上门保修服务及货物保养服务说明，超过免费保修期之后，紧急情况下如何处理问题的说明。</w:t>
            </w:r>
          </w:p>
          <w:p>
            <w:pPr>
              <w:wordWrap w:val="0"/>
              <w:ind w:firstLine="0" w:firstLineChars="0"/>
              <w:jc w:val="left"/>
            </w:pPr>
            <w:r>
              <w:rPr>
                <w:rFonts w:ascii="宋体" w:hAnsi="宋体"/>
              </w:rPr>
              <w:t>3、在质量保证期内货物非因人为及不可抗拒因素的原因而引起损坏或质量问题，中标供应商应免费予以技术服务、维修或货物更换，并承担相应费用和零部件的费用。中标供应商须负责设备的免费安装调试和免费的技术培训，解决货物的使用过程出现的各种问题及提供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tcPr>
          <w:p>
            <w:pPr>
              <w:ind w:firstLine="0" w:firstLineChars="0"/>
            </w:pPr>
            <w:r>
              <w:rPr>
                <w:rFonts w:hint="eastAsia"/>
              </w:rPr>
              <w:t>验收标准</w:t>
            </w:r>
          </w:p>
        </w:tc>
        <w:tc>
          <w:tcPr>
            <w:tcW w:w="8144" w:type="dxa"/>
            <w:gridSpan w:val="3"/>
          </w:tcPr>
          <w:p>
            <w:pPr>
              <w:ind w:firstLine="0" w:firstLineChars="0"/>
            </w:pPr>
            <w:r>
              <w:rPr>
                <w:rFonts w:hint="eastAsia"/>
              </w:rPr>
              <w:t>验收时，采购人对中标人所交货物依照中标人的投标文件所承诺的技术规格要求和国家有关标准进行现场验收。性能达到技术要求的给予签收，若有一项指标不满足其投标承诺的不予签收，并按照政府采购相关法律法规和合同约定条款进行处罚，由此造成的项目延误等所有责任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tcPr>
          <w:p>
            <w:pPr>
              <w:ind w:firstLine="0" w:firstLineChars="0"/>
              <w:rPr>
                <w:rFonts w:hint="eastAsia" w:ascii="宋体" w:hAnsi="宋体" w:cs="宋体"/>
                <w:bCs/>
              </w:rPr>
            </w:pPr>
            <w:bookmarkStart w:id="83" w:name="OLE_LINK13" w:colFirst="0" w:colLast="0"/>
            <w:r>
              <w:rPr>
                <w:rFonts w:hint="eastAsia" w:ascii="宋体" w:hAnsi="宋体" w:cs="宋体"/>
                <w:bCs/>
              </w:rPr>
              <w:t>其他要求</w:t>
            </w:r>
          </w:p>
        </w:tc>
        <w:tc>
          <w:tcPr>
            <w:tcW w:w="8144" w:type="dxa"/>
            <w:gridSpan w:val="3"/>
          </w:tcPr>
          <w:p>
            <w:pPr>
              <w:wordWrap w:val="0"/>
              <w:ind w:firstLine="0" w:firstLineChars="0"/>
              <w:jc w:val="left"/>
              <w:rPr>
                <w:rFonts w:hint="eastAsia" w:ascii="宋体" w:hAnsi="宋体" w:cs="宋体"/>
                <w:bCs/>
                <w:color w:val="auto"/>
                <w:highlight w:val="none"/>
              </w:rPr>
            </w:pPr>
            <w:r>
              <w:rPr>
                <w:rFonts w:hint="eastAsia" w:ascii="宋体" w:hAnsi="宋体" w:cs="宋体"/>
                <w:bCs/>
                <w:color w:val="auto"/>
                <w:highlight w:val="none"/>
              </w:rPr>
              <w:t>1.根据项目需要，提供1名项目经理，同时具有通信类职称证书和中华人民共和国通信行政主管部门核发的有效的安全生产考核合格证的优先考虑。</w:t>
            </w:r>
            <w:r>
              <w:rPr>
                <w:rFonts w:hint="eastAsia" w:ascii="宋体" w:hAnsi="宋体" w:cs="宋体"/>
                <w:bCs/>
                <w:color w:val="auto"/>
                <w:highlight w:val="none"/>
                <w:lang w:val="en-US" w:eastAsia="zh-CN"/>
              </w:rPr>
              <w:t>4</w:t>
            </w:r>
            <w:r>
              <w:rPr>
                <w:rFonts w:hint="eastAsia" w:ascii="宋体" w:hAnsi="宋体" w:cs="宋体"/>
                <w:bCs/>
                <w:color w:val="auto"/>
                <w:highlight w:val="none"/>
              </w:rPr>
              <w:t>名施工人员，同时具备国家行政主管部门颁发的电工作业操作证（低压电工作业）、高处作业证（高处安装、维护、拆除作业）的优先考虑；</w:t>
            </w:r>
            <w:r>
              <w:rPr>
                <w:rFonts w:hint="eastAsia" w:ascii="宋体" w:hAnsi="宋体" w:cs="宋体"/>
                <w:bCs/>
                <w:color w:val="auto"/>
                <w:highlight w:val="none"/>
                <w:lang w:val="en-US" w:eastAsia="zh-CN"/>
              </w:rPr>
              <w:t>1</w:t>
            </w:r>
            <w:r>
              <w:rPr>
                <w:rFonts w:hint="eastAsia" w:ascii="宋体" w:hAnsi="宋体" w:cs="宋体"/>
                <w:bCs/>
                <w:color w:val="auto"/>
                <w:highlight w:val="none"/>
              </w:rPr>
              <w:t>名技术支持人员，具备信息化安全类相关专业中级工程师证书或系统集成项目管理工程师证书的优先考虑；提供</w:t>
            </w:r>
            <w:r>
              <w:rPr>
                <w:rFonts w:hint="eastAsia" w:ascii="宋体" w:hAnsi="宋体" w:cs="宋体"/>
                <w:bCs/>
                <w:color w:val="auto"/>
                <w:highlight w:val="none"/>
                <w:lang w:val="en-US" w:eastAsia="zh-CN"/>
              </w:rPr>
              <w:t>1</w:t>
            </w:r>
            <w:r>
              <w:rPr>
                <w:rFonts w:hint="eastAsia" w:ascii="宋体" w:hAnsi="宋体" w:cs="宋体"/>
                <w:bCs/>
                <w:color w:val="auto"/>
                <w:highlight w:val="none"/>
              </w:rPr>
              <w:t>辆施工车辆</w:t>
            </w:r>
            <w:r>
              <w:rPr>
                <w:rFonts w:hint="eastAsia" w:ascii="宋体" w:hAnsi="宋体" w:cs="宋体"/>
                <w:bCs/>
                <w:color w:val="auto"/>
                <w:szCs w:val="21"/>
                <w:highlight w:val="none"/>
              </w:rPr>
              <w:t>。</w:t>
            </w:r>
          </w:p>
          <w:p>
            <w:pPr>
              <w:wordWrap w:val="0"/>
              <w:ind w:firstLine="0" w:firstLineChars="0"/>
              <w:jc w:val="left"/>
              <w:rPr>
                <w:rFonts w:hint="eastAsia" w:ascii="宋体" w:hAnsi="宋体" w:cs="宋体"/>
                <w:bCs/>
                <w:color w:val="auto"/>
                <w:highlight w:val="none"/>
              </w:rPr>
            </w:pPr>
            <w:r>
              <w:rPr>
                <w:rFonts w:hint="eastAsia" w:ascii="宋体" w:hAnsi="宋体" w:cs="宋体"/>
                <w:bCs/>
                <w:color w:val="auto"/>
                <w:highlight w:val="none"/>
              </w:rPr>
              <w:t>2.投标人承诺所提供的投标材料均为厂家官网下载或通过正规渠道获取，投标人未进行篡改，如有发现承诺文件的内容与设备实际功能不相符，追究投标人虚假应标的法律责任。</w:t>
            </w:r>
          </w:p>
          <w:p>
            <w:pPr>
              <w:ind w:firstLine="0" w:firstLineChars="0"/>
              <w:rPr>
                <w:rFonts w:hint="eastAsia" w:ascii="宋体" w:hAnsi="宋体" w:cs="宋体"/>
                <w:bCs/>
                <w:color w:val="auto"/>
                <w:highlight w:val="none"/>
              </w:rPr>
            </w:pPr>
            <w:r>
              <w:rPr>
                <w:rFonts w:hint="eastAsia" w:ascii="宋体" w:hAnsi="宋体" w:cs="宋体"/>
                <w:bCs/>
                <w:color w:val="auto"/>
                <w:highlight w:val="none"/>
              </w:rPr>
              <w:t>3.投标人须确保所投标产品参数的真实性，投标人所投设备的各项功能和性能技术指标满足采购人的实际功能要求，否则采购人有权报相关政府采购监督管理部门进行处理，并保留追究法律责任的权利。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tcPr>
          <w:p>
            <w:pPr>
              <w:ind w:firstLine="0" w:firstLineChars="0"/>
              <w:rPr>
                <w:rFonts w:hint="eastAsia" w:ascii="宋体" w:hAnsi="宋体"/>
                <w:b/>
              </w:rPr>
            </w:pPr>
            <w:r>
              <w:rPr>
                <w:rFonts w:hint="eastAsia" w:ascii="宋体" w:hAnsi="宋体"/>
                <w:bCs/>
              </w:rPr>
              <w:t>核心产品</w:t>
            </w:r>
          </w:p>
        </w:tc>
        <w:tc>
          <w:tcPr>
            <w:tcW w:w="8144" w:type="dxa"/>
            <w:gridSpan w:val="3"/>
          </w:tcPr>
          <w:p>
            <w:pPr>
              <w:widowControl/>
              <w:ind w:firstLine="0" w:firstLineChars="0"/>
              <w:jc w:val="left"/>
              <w:rPr>
                <w:rFonts w:hint="eastAsia" w:ascii="宋体" w:hAnsi="宋体"/>
              </w:rPr>
            </w:pPr>
            <w:r>
              <w:rPr>
                <w:rFonts w:hint="eastAsia" w:ascii="宋体" w:hAnsi="宋体" w:cs="宋体"/>
                <w:b/>
                <w:bCs/>
                <w:kern w:val="0"/>
                <w:szCs w:val="21"/>
                <w:lang w:bidi="ar"/>
              </w:rPr>
              <w:t xml:space="preserve">本分标 第 </w:t>
            </w:r>
            <w:r>
              <w:rPr>
                <w:rFonts w:hint="eastAsia" w:ascii="宋体" w:hAnsi="宋体" w:cs="宋体"/>
                <w:b/>
                <w:bCs/>
                <w:kern w:val="0"/>
                <w:szCs w:val="21"/>
                <w:u w:val="single"/>
                <w:lang w:bidi="ar"/>
              </w:rPr>
              <w:t xml:space="preserve"> 1 </w:t>
            </w:r>
            <w:r>
              <w:rPr>
                <w:rFonts w:hint="eastAsia" w:ascii="宋体" w:hAnsi="宋体" w:cs="宋体"/>
                <w:b/>
                <w:bCs/>
                <w:kern w:val="0"/>
                <w:szCs w:val="21"/>
                <w:lang w:bidi="ar"/>
              </w:rPr>
              <w:t>项产品“</w:t>
            </w:r>
            <w:r>
              <w:rPr>
                <w:rFonts w:hint="eastAsia" w:ascii="宋体" w:hAnsi="宋体" w:cs="宋体"/>
                <w:b/>
                <w:bCs/>
                <w:kern w:val="0"/>
                <w:szCs w:val="21"/>
                <w:highlight w:val="none"/>
                <w:u w:val="single"/>
                <w:lang w:bidi="ar"/>
              </w:rPr>
              <w:t xml:space="preserve"> </w:t>
            </w:r>
            <w:r>
              <w:rPr>
                <w:rFonts w:hint="eastAsia" w:ascii="宋体" w:hAnsi="宋体" w:cs="宋体"/>
                <w:b/>
                <w:bCs/>
                <w:color w:val="FF0000"/>
                <w:kern w:val="0"/>
                <w:szCs w:val="21"/>
                <w:highlight w:val="none"/>
                <w:u w:val="single"/>
                <w:lang w:bidi="ar"/>
              </w:rPr>
              <w:t>400万全彩筒机</w:t>
            </w:r>
            <w:r>
              <w:rPr>
                <w:rFonts w:hint="eastAsia" w:ascii="宋体" w:hAnsi="宋体" w:cs="宋体"/>
                <w:b/>
                <w:bCs/>
                <w:kern w:val="0"/>
                <w:szCs w:val="21"/>
                <w:highlight w:val="none"/>
                <w:u w:val="single"/>
                <w:lang w:bidi="ar"/>
              </w:rPr>
              <w:t xml:space="preserve">  </w:t>
            </w:r>
            <w:r>
              <w:rPr>
                <w:rFonts w:hint="eastAsia" w:ascii="宋体" w:hAnsi="宋体" w:cs="宋体"/>
                <w:b/>
                <w:bCs/>
                <w:kern w:val="0"/>
                <w:szCs w:val="21"/>
                <w:lang w:bidi="ar"/>
              </w:rPr>
              <w:t xml:space="preserve">”为核心产品。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vAlign w:val="center"/>
          </w:tcPr>
          <w:p>
            <w:pPr>
              <w:widowControl/>
              <w:ind w:firstLine="0" w:firstLineChars="0"/>
              <w:jc w:val="left"/>
              <w:rPr>
                <w:rFonts w:hint="eastAsia" w:ascii="宋体" w:hAnsi="宋体"/>
                <w:bCs/>
                <w:highlight w:val="none"/>
              </w:rPr>
            </w:pPr>
            <w:r>
              <w:rPr>
                <w:rFonts w:hint="eastAsia" w:ascii="宋体" w:hAnsi="宋体" w:cs="宋体"/>
                <w:b w:val="0"/>
                <w:bCs w:val="0"/>
                <w:color w:val="auto"/>
                <w:kern w:val="0"/>
                <w:sz w:val="21"/>
                <w:szCs w:val="21"/>
                <w:highlight w:val="none"/>
                <w:lang w:val="en-US" w:eastAsia="zh-CN" w:bidi="ar"/>
              </w:rPr>
              <w:t>现场踏勘</w:t>
            </w:r>
          </w:p>
        </w:tc>
        <w:tc>
          <w:tcPr>
            <w:tcW w:w="8144" w:type="dxa"/>
            <w:gridSpan w:val="3"/>
            <w:vAlign w:val="top"/>
          </w:tcPr>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为保证报价符合采购需求，投标人应在采购人组织下进行实地勘查了解现场实际情况。供应商的现场踏勘实行自愿原则，费用自理。现场勘查须携带的资料：供应商代表持获取采购文件回执函、单位介绍信原件或授权委托书、个人身份证原件。</w:t>
            </w:r>
          </w:p>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踏勘时间：202</w:t>
            </w:r>
            <w:r>
              <w:rPr>
                <w:rFonts w:hint="eastAsia" w:ascii="宋体" w:hAnsi="宋体" w:cs="宋体"/>
                <w:color w:val="auto"/>
                <w:spacing w:val="0"/>
                <w:kern w:val="2"/>
                <w:sz w:val="22"/>
                <w:szCs w:val="24"/>
                <w:highlight w:val="none"/>
                <w:lang w:val="en-US" w:eastAsia="zh-CN" w:bidi="ar-SA"/>
              </w:rPr>
              <w:t>5</w:t>
            </w:r>
            <w:r>
              <w:rPr>
                <w:rFonts w:hint="eastAsia" w:ascii="宋体" w:hAnsi="宋体" w:eastAsia="宋体" w:cs="宋体"/>
                <w:color w:val="auto"/>
                <w:spacing w:val="0"/>
                <w:kern w:val="2"/>
                <w:sz w:val="22"/>
                <w:szCs w:val="24"/>
                <w:highlight w:val="none"/>
                <w:lang w:val="en-US" w:eastAsia="zh-CN" w:bidi="ar-SA"/>
              </w:rPr>
              <w:t>年</w:t>
            </w:r>
            <w:r>
              <w:rPr>
                <w:rFonts w:hint="eastAsia" w:ascii="宋体" w:hAnsi="宋体" w:cs="宋体"/>
                <w:color w:val="auto"/>
                <w:spacing w:val="0"/>
                <w:kern w:val="2"/>
                <w:sz w:val="22"/>
                <w:szCs w:val="24"/>
                <w:highlight w:val="none"/>
                <w:lang w:val="en-US" w:eastAsia="zh-CN" w:bidi="ar-SA"/>
              </w:rPr>
              <w:t>10</w:t>
            </w:r>
            <w:r>
              <w:rPr>
                <w:rFonts w:hint="eastAsia" w:ascii="宋体" w:hAnsi="宋体" w:eastAsia="宋体" w:cs="宋体"/>
                <w:color w:val="auto"/>
                <w:spacing w:val="0"/>
                <w:kern w:val="2"/>
                <w:sz w:val="22"/>
                <w:szCs w:val="24"/>
                <w:highlight w:val="none"/>
                <w:lang w:val="en-US" w:eastAsia="zh-CN" w:bidi="ar-SA"/>
              </w:rPr>
              <w:t>月</w:t>
            </w:r>
            <w:r>
              <w:rPr>
                <w:rFonts w:hint="eastAsia" w:ascii="宋体" w:hAnsi="宋体" w:cs="宋体"/>
                <w:color w:val="auto"/>
                <w:spacing w:val="0"/>
                <w:kern w:val="2"/>
                <w:sz w:val="22"/>
                <w:szCs w:val="24"/>
                <w:highlight w:val="none"/>
                <w:lang w:val="en-US" w:eastAsia="zh-CN" w:bidi="ar-SA"/>
              </w:rPr>
              <w:t>16</w:t>
            </w:r>
            <w:r>
              <w:rPr>
                <w:rFonts w:hint="eastAsia" w:ascii="宋体" w:hAnsi="宋体" w:eastAsia="宋体" w:cs="宋体"/>
                <w:color w:val="auto"/>
                <w:spacing w:val="0"/>
                <w:kern w:val="2"/>
                <w:sz w:val="22"/>
                <w:szCs w:val="24"/>
                <w:highlight w:val="none"/>
                <w:lang w:val="en-US" w:eastAsia="zh-CN" w:bidi="ar-SA"/>
              </w:rPr>
              <w:t>日上午10:50分（逾期不候）</w:t>
            </w:r>
          </w:p>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集合地点：浦北县县城金浦新区科园路1号  </w:t>
            </w:r>
          </w:p>
          <w:p>
            <w:pPr>
              <w:pStyle w:val="20"/>
              <w:ind w:firstLine="440" w:firstLineChars="200"/>
              <w:rPr>
                <w:rFonts w:hint="eastAsia" w:ascii="宋体" w:hAnsi="宋体" w:cs="宋体"/>
                <w:b/>
                <w:bCs/>
                <w:kern w:val="0"/>
                <w:szCs w:val="21"/>
                <w:highlight w:val="none"/>
                <w:lang w:bidi="ar"/>
              </w:rPr>
            </w:pPr>
            <w:r>
              <w:rPr>
                <w:rFonts w:hint="eastAsia" w:ascii="宋体" w:hAnsi="宋体" w:eastAsia="宋体" w:cs="宋体"/>
                <w:color w:val="auto"/>
                <w:spacing w:val="0"/>
                <w:kern w:val="2"/>
                <w:sz w:val="22"/>
                <w:szCs w:val="24"/>
                <w:highlight w:val="none"/>
                <w:lang w:val="en-US" w:eastAsia="zh-CN" w:bidi="ar-SA"/>
              </w:rPr>
              <w:t>现场踏勘联系人及电话：</w:t>
            </w:r>
            <w:r>
              <w:rPr>
                <w:rFonts w:hint="eastAsia" w:ascii="宋体" w:hAnsi="宋体" w:cs="宋体"/>
                <w:color w:val="auto"/>
                <w:spacing w:val="0"/>
                <w:kern w:val="2"/>
                <w:sz w:val="22"/>
                <w:szCs w:val="24"/>
                <w:highlight w:val="none"/>
                <w:lang w:val="en-US" w:eastAsia="zh-CN" w:bidi="ar-SA"/>
              </w:rPr>
              <w:t>谢老师</w:t>
            </w:r>
            <w:r>
              <w:rPr>
                <w:rFonts w:hint="eastAsia" w:ascii="宋体" w:hAnsi="宋体" w:eastAsia="宋体" w:cs="宋体"/>
                <w:color w:val="auto"/>
                <w:spacing w:val="0"/>
                <w:kern w:val="2"/>
                <w:sz w:val="22"/>
                <w:szCs w:val="24"/>
                <w:highlight w:val="none"/>
                <w:lang w:val="en-US" w:eastAsia="zh-CN" w:bidi="ar-SA"/>
              </w:rPr>
              <w:t xml:space="preserve">，18778872765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vAlign w:val="top"/>
          </w:tcPr>
          <w:p>
            <w:pPr>
              <w:tabs>
                <w:tab w:val="left" w:pos="370"/>
              </w:tabs>
              <w:spacing w:line="400" w:lineRule="exact"/>
              <w:ind w:left="0" w:leftChars="0" w:firstLine="0" w:firstLineChars="0"/>
              <w:jc w:val="left"/>
              <w:rPr>
                <w:rFonts w:hint="eastAsia" w:ascii="宋体" w:hAnsi="宋体" w:cs="宋体"/>
                <w:b w:val="0"/>
                <w:bCs w:val="0"/>
                <w:color w:val="auto"/>
                <w:kern w:val="0"/>
                <w:sz w:val="21"/>
                <w:szCs w:val="21"/>
                <w:highlight w:val="none"/>
                <w:lang w:val="en-US" w:eastAsia="zh-CN" w:bidi="ar"/>
              </w:rPr>
            </w:pPr>
            <w:r>
              <w:rPr>
                <w:rFonts w:hint="eastAsia" w:ascii="宋体" w:hAnsi="宋体" w:cs="宋体"/>
                <w:color w:val="auto"/>
                <w:spacing w:val="0"/>
                <w:kern w:val="2"/>
                <w:sz w:val="21"/>
                <w:szCs w:val="21"/>
                <w:highlight w:val="none"/>
                <w:lang w:val="en-US" w:eastAsia="zh-CN" w:bidi="ar-SA"/>
              </w:rPr>
              <w:t>其他要求</w:t>
            </w:r>
          </w:p>
        </w:tc>
        <w:tc>
          <w:tcPr>
            <w:tcW w:w="8144" w:type="dxa"/>
            <w:gridSpan w:val="3"/>
            <w:vAlign w:val="top"/>
          </w:tcPr>
          <w:p>
            <w:pPr>
              <w:spacing w:line="400" w:lineRule="exact"/>
              <w:ind w:firstLine="42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cs="宋体"/>
                <w:color w:val="auto"/>
                <w:spacing w:val="0"/>
                <w:kern w:val="2"/>
                <w:sz w:val="21"/>
                <w:szCs w:val="21"/>
                <w:highlight w:val="none"/>
                <w:lang w:val="en-US" w:eastAsia="zh-CN" w:bidi="ar-SA"/>
              </w:rPr>
              <w:t>投标人在政府采购活动中提供任何虚假材料，以及提供的产品技术参数不如实说明，报监管部门查处。</w:t>
            </w:r>
          </w:p>
        </w:tc>
      </w:tr>
      <w:bookmarkEnd w:id="83"/>
    </w:tbl>
    <w:p>
      <w:pPr>
        <w:ind w:firstLine="420"/>
      </w:pPr>
      <w:r>
        <w:rPr>
          <w:rFonts w:hint="eastAsia"/>
        </w:rPr>
        <w:br w:type="page"/>
      </w:r>
    </w:p>
    <w:p>
      <w:pPr>
        <w:ind w:firstLine="422"/>
        <w:rPr>
          <w:rFonts w:hint="eastAsia" w:ascii="宋体" w:hAnsi="宋体"/>
          <w:b/>
          <w:bCs/>
          <w:szCs w:val="21"/>
        </w:rPr>
      </w:pPr>
      <w:bookmarkStart w:id="84" w:name="OLE_LINK12"/>
      <w:r>
        <w:rPr>
          <w:rFonts w:hint="eastAsia" w:ascii="宋体" w:hAnsi="宋体"/>
          <w:b/>
          <w:bCs/>
          <w:szCs w:val="21"/>
        </w:rPr>
        <w:t>标项三：校园智慧办公系统建设</w:t>
      </w:r>
    </w:p>
    <w:p>
      <w:pPr>
        <w:ind w:firstLine="420"/>
        <w:rPr>
          <w:rFonts w:hint="eastAsia" w:ascii="宋体" w:hAnsi="宋体"/>
          <w:szCs w:val="21"/>
        </w:rPr>
      </w:pPr>
      <w:r>
        <w:rPr>
          <w:rFonts w:hint="eastAsia" w:ascii="宋体" w:hAnsi="宋体"/>
          <w:szCs w:val="21"/>
        </w:rPr>
        <w:t>预算金额：肆拾伍万元整（</w:t>
      </w:r>
      <w:r>
        <w:rPr>
          <w:rFonts w:hint="eastAsia" w:ascii="宋体" w:hAnsi="宋体"/>
          <w:szCs w:val="21"/>
          <w:u w:val="single"/>
        </w:rPr>
        <w:t>￥450000.00</w:t>
      </w:r>
      <w:r>
        <w:rPr>
          <w:rFonts w:hint="eastAsia" w:ascii="宋体" w:hAnsi="宋体"/>
          <w:szCs w:val="21"/>
        </w:rPr>
        <w:t>）</w:t>
      </w:r>
    </w:p>
    <w:bookmarkEnd w:id="84"/>
    <w:tbl>
      <w:tblPr>
        <w:tblStyle w:val="49"/>
        <w:tblpPr w:leftFromText="180" w:rightFromText="180" w:vertAnchor="text" w:horzAnchor="page" w:tblpX="1278" w:tblpY="458"/>
        <w:tblOverlap w:val="never"/>
        <w:tblW w:w="9357"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655"/>
        <w:gridCol w:w="125"/>
        <w:gridCol w:w="1971"/>
        <w:gridCol w:w="660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序号</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系统设计</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具体要求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10" w:hRule="atLeast"/>
        </w:trPr>
        <w:tc>
          <w:tcPr>
            <w:tcW w:w="935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bookmarkStart w:id="85" w:name="_Toc14747"/>
            <w:bookmarkStart w:id="86" w:name="_Toc2313"/>
            <w:r>
              <w:rPr>
                <w:rFonts w:hint="eastAsia" w:ascii="宋体" w:hAnsi="宋体" w:eastAsia="宋体" w:cs="宋体"/>
                <w:b w:val="0"/>
                <w:bCs w:val="0"/>
                <w:color w:val="auto"/>
                <w:kern w:val="0"/>
                <w:sz w:val="21"/>
                <w:szCs w:val="21"/>
                <w:highlight w:val="none"/>
                <w:lang w:val="en-US" w:eastAsia="zh-CN" w:bidi="ar"/>
              </w:rPr>
              <w:t>（一）系统设计整体要求</w:t>
            </w:r>
            <w:bookmarkEnd w:id="85"/>
            <w:bookmarkEnd w:id="86"/>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运行环境</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教务软件支持</w:t>
            </w:r>
            <w:r>
              <w:rPr>
                <w:rFonts w:hint="eastAsia" w:ascii="宋体" w:hAnsi="宋体" w:eastAsia="宋体" w:cs="宋体"/>
                <w:b w:val="0"/>
                <w:bCs w:val="0"/>
                <w:color w:val="auto"/>
                <w:kern w:val="0"/>
                <w:sz w:val="21"/>
                <w:szCs w:val="21"/>
                <w:highlight w:val="none"/>
                <w:lang w:val="en-US" w:eastAsia="zh-CN" w:bidi="ar"/>
              </w:rPr>
              <w:t>Linux</w:t>
            </w:r>
            <w:r>
              <w:rPr>
                <w:rFonts w:hint="eastAsia" w:ascii="宋体" w:hAnsi="宋体" w:eastAsia="宋体" w:cs="宋体"/>
                <w:b w:val="0"/>
                <w:bCs w:val="0"/>
                <w:color w:val="auto"/>
                <w:kern w:val="0"/>
                <w:sz w:val="21"/>
                <w:szCs w:val="21"/>
                <w:highlight w:val="none"/>
                <w:lang w:val="zh-TW" w:eastAsia="zh-TW" w:bidi="ar"/>
              </w:rPr>
              <w:t>以及</w:t>
            </w:r>
            <w:r>
              <w:rPr>
                <w:rFonts w:hint="eastAsia" w:ascii="宋体" w:hAnsi="宋体" w:eastAsia="宋体" w:cs="宋体"/>
                <w:b w:val="0"/>
                <w:bCs w:val="0"/>
                <w:color w:val="auto"/>
                <w:kern w:val="0"/>
                <w:sz w:val="21"/>
                <w:szCs w:val="21"/>
                <w:highlight w:val="none"/>
                <w:lang w:val="en-US" w:eastAsia="zh-CN" w:bidi="ar"/>
              </w:rPr>
              <w:t>Windows</w:t>
            </w:r>
            <w:r>
              <w:rPr>
                <w:rFonts w:hint="eastAsia" w:ascii="宋体" w:hAnsi="宋体" w:eastAsia="宋体" w:cs="宋体"/>
                <w:b w:val="0"/>
                <w:bCs w:val="0"/>
                <w:color w:val="auto"/>
                <w:kern w:val="0"/>
                <w:sz w:val="21"/>
                <w:szCs w:val="21"/>
                <w:highlight w:val="none"/>
                <w:lang w:val="zh-TW" w:eastAsia="zh-TW" w:bidi="ar"/>
              </w:rPr>
              <w:t>操作系统。系统采用</w:t>
            </w:r>
            <w:r>
              <w:rPr>
                <w:rFonts w:hint="eastAsia" w:ascii="宋体" w:hAnsi="宋体" w:eastAsia="宋体" w:cs="宋体"/>
                <w:b w:val="0"/>
                <w:bCs w:val="0"/>
                <w:color w:val="auto"/>
                <w:kern w:val="0"/>
                <w:sz w:val="21"/>
                <w:szCs w:val="21"/>
                <w:highlight w:val="none"/>
                <w:lang w:val="en-US" w:eastAsia="zh-CN" w:bidi="ar"/>
              </w:rPr>
              <w:t>B/S</w:t>
            </w:r>
            <w:r>
              <w:rPr>
                <w:rFonts w:hint="eastAsia" w:ascii="宋体" w:hAnsi="宋体" w:eastAsia="宋体" w:cs="宋体"/>
                <w:b w:val="0"/>
                <w:bCs w:val="0"/>
                <w:color w:val="auto"/>
                <w:kern w:val="0"/>
                <w:sz w:val="21"/>
                <w:szCs w:val="21"/>
                <w:highlight w:val="none"/>
                <w:lang w:val="zh-TW" w:eastAsia="zh-TW" w:bidi="ar"/>
              </w:rPr>
              <w:t>架构，支持版本自动更新功能。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668"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移动</w:t>
            </w:r>
            <w:r>
              <w:rPr>
                <w:rFonts w:hint="eastAsia" w:ascii="宋体" w:hAnsi="宋体" w:eastAsia="宋体" w:cs="宋体"/>
                <w:b w:val="0"/>
                <w:bCs w:val="0"/>
                <w:color w:val="auto"/>
                <w:kern w:val="0"/>
                <w:sz w:val="21"/>
                <w:szCs w:val="21"/>
                <w:highlight w:val="none"/>
                <w:lang w:val="en-US" w:eastAsia="zh-CN" w:bidi="ar"/>
              </w:rPr>
              <w:t>教学</w:t>
            </w:r>
            <w:r>
              <w:rPr>
                <w:rFonts w:hint="eastAsia" w:ascii="宋体" w:hAnsi="宋体" w:eastAsia="宋体" w:cs="宋体"/>
                <w:b w:val="0"/>
                <w:bCs w:val="0"/>
                <w:color w:val="auto"/>
                <w:kern w:val="0"/>
                <w:sz w:val="21"/>
                <w:szCs w:val="21"/>
                <w:highlight w:val="none"/>
                <w:lang w:val="zh-TW" w:eastAsia="zh-TW" w:bidi="ar"/>
              </w:rPr>
              <w:t>教务</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zh-TW" w:eastAsia="zh-CN" w:bidi="ar"/>
              </w:rPr>
            </w:pPr>
            <w:r>
              <w:rPr>
                <w:rFonts w:hint="eastAsia" w:ascii="宋体" w:hAnsi="宋体" w:eastAsia="宋体" w:cs="宋体"/>
                <w:b w:val="0"/>
                <w:bCs w:val="0"/>
                <w:color w:val="auto"/>
                <w:kern w:val="0"/>
                <w:sz w:val="21"/>
                <w:szCs w:val="21"/>
                <w:highlight w:val="none"/>
                <w:lang w:val="zh-TW" w:eastAsia="zh-TW" w:bidi="ar"/>
              </w:rPr>
              <w:t>系统部分功能，例如课表查询，调课、代课申请，学生成绩查询等，支持在手机或平板等移动端设备使用。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并发用户数</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支持</w:t>
            </w:r>
            <w:r>
              <w:rPr>
                <w:rFonts w:hint="eastAsia" w:ascii="宋体" w:hAnsi="宋体" w:eastAsia="宋体" w:cs="宋体"/>
                <w:b w:val="0"/>
                <w:bCs w:val="0"/>
                <w:color w:val="auto"/>
                <w:kern w:val="0"/>
                <w:sz w:val="21"/>
                <w:szCs w:val="21"/>
                <w:highlight w:val="none"/>
                <w:lang w:val="en-US" w:eastAsia="zh-CN" w:bidi="ar"/>
              </w:rPr>
              <w:t>5000</w:t>
            </w:r>
            <w:r>
              <w:rPr>
                <w:rFonts w:hint="eastAsia" w:ascii="宋体" w:hAnsi="宋体" w:eastAsia="宋体" w:cs="宋体"/>
                <w:b w:val="0"/>
                <w:bCs w:val="0"/>
                <w:color w:val="auto"/>
                <w:kern w:val="0"/>
                <w:sz w:val="21"/>
                <w:szCs w:val="21"/>
                <w:highlight w:val="none"/>
                <w:lang w:val="zh-TW" w:eastAsia="zh-TW" w:bidi="ar"/>
              </w:rPr>
              <w:t>名学生</w:t>
            </w:r>
            <w:r>
              <w:rPr>
                <w:rFonts w:hint="eastAsia" w:ascii="宋体" w:hAnsi="宋体" w:eastAsia="宋体" w:cs="宋体"/>
                <w:b w:val="0"/>
                <w:bCs w:val="0"/>
                <w:color w:val="auto"/>
                <w:kern w:val="0"/>
                <w:sz w:val="21"/>
                <w:szCs w:val="21"/>
                <w:highlight w:val="none"/>
                <w:lang w:val="en-US" w:eastAsia="zh-CN" w:bidi="ar"/>
              </w:rPr>
              <w:t>同时进行在线选课</w:t>
            </w:r>
            <w:r>
              <w:rPr>
                <w:rFonts w:hint="eastAsia" w:ascii="宋体" w:hAnsi="宋体" w:eastAsia="宋体" w:cs="宋体"/>
                <w:b w:val="0"/>
                <w:bCs w:val="0"/>
                <w:color w:val="auto"/>
                <w:kern w:val="0"/>
                <w:sz w:val="21"/>
                <w:szCs w:val="21"/>
                <w:highlight w:val="none"/>
                <w:lang w:val="zh-TW" w:eastAsia="zh-CN" w:bidi="ar"/>
              </w:rPr>
              <w:t>、</w:t>
            </w:r>
            <w:r>
              <w:rPr>
                <w:rFonts w:hint="eastAsia" w:ascii="宋体" w:hAnsi="宋体" w:eastAsia="宋体" w:cs="宋体"/>
                <w:b w:val="0"/>
                <w:bCs w:val="0"/>
                <w:color w:val="auto"/>
                <w:kern w:val="0"/>
                <w:sz w:val="21"/>
                <w:szCs w:val="21"/>
                <w:highlight w:val="none"/>
                <w:lang w:val="en-US" w:eastAsia="zh-CN" w:bidi="ar"/>
              </w:rPr>
              <w:t>2000</w:t>
            </w:r>
            <w:r>
              <w:rPr>
                <w:rFonts w:hint="eastAsia" w:ascii="宋体" w:hAnsi="宋体" w:eastAsia="宋体" w:cs="宋体"/>
                <w:b w:val="0"/>
                <w:bCs w:val="0"/>
                <w:color w:val="auto"/>
                <w:kern w:val="0"/>
                <w:sz w:val="21"/>
                <w:szCs w:val="21"/>
                <w:highlight w:val="none"/>
                <w:lang w:val="zh-TW" w:eastAsia="zh-TW" w:bidi="ar"/>
              </w:rPr>
              <w:t>名教师同时进行</w:t>
            </w:r>
            <w:r>
              <w:rPr>
                <w:rFonts w:hint="eastAsia" w:ascii="宋体" w:hAnsi="宋体" w:eastAsia="宋体" w:cs="宋体"/>
                <w:b w:val="0"/>
                <w:bCs w:val="0"/>
                <w:color w:val="auto"/>
                <w:kern w:val="0"/>
                <w:sz w:val="21"/>
                <w:szCs w:val="21"/>
                <w:highlight w:val="none"/>
                <w:lang w:val="en-US" w:eastAsia="zh-CN" w:bidi="ar"/>
              </w:rPr>
              <w:t>在线</w:t>
            </w:r>
            <w:r>
              <w:rPr>
                <w:rFonts w:hint="eastAsia" w:ascii="宋体" w:hAnsi="宋体" w:eastAsia="宋体" w:cs="宋体"/>
                <w:b w:val="0"/>
                <w:bCs w:val="0"/>
                <w:color w:val="auto"/>
                <w:kern w:val="0"/>
                <w:sz w:val="21"/>
                <w:szCs w:val="21"/>
                <w:highlight w:val="none"/>
                <w:lang w:val="zh-TW" w:eastAsia="zh-TW" w:bidi="ar"/>
              </w:rPr>
              <w:t>成绩录入等操作。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通用数据接口</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zh-TW" w:eastAsia="zh-TW" w:bidi="ar"/>
              </w:rPr>
              <w:t>教务系统开放部分接口，提供第三方应用系统轻量级查询与数据更新操作功能。</w:t>
            </w:r>
            <w:r>
              <w:rPr>
                <w:rFonts w:hint="eastAsia" w:ascii="宋体" w:hAnsi="宋体" w:eastAsia="宋体" w:cs="宋体"/>
                <w:b w:val="0"/>
                <w:bCs w:val="0"/>
                <w:color w:val="auto"/>
                <w:kern w:val="0"/>
                <w:sz w:val="21"/>
                <w:szCs w:val="21"/>
                <w:highlight w:val="none"/>
                <w:lang w:val="zh-TW" w:eastAsia="zh-CN" w:bidi="ar"/>
              </w:rPr>
              <w:t>可对接学校的网络教学平台，确保线上平台的成绩数据、学生数据、课程数据与教务系统无缝对接。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6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门户平台</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提供门户平台，将教务系统中针对教师和学生开发的查询、统计等程序接入门户平台。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8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安全</w:t>
            </w:r>
            <w:r>
              <w:rPr>
                <w:rFonts w:hint="eastAsia" w:ascii="宋体" w:hAnsi="宋体" w:eastAsia="宋体" w:cs="宋体"/>
                <w:b w:val="0"/>
                <w:bCs w:val="0"/>
                <w:color w:val="auto"/>
                <w:kern w:val="0"/>
                <w:sz w:val="21"/>
                <w:szCs w:val="21"/>
                <w:highlight w:val="none"/>
                <w:lang w:val="zh-TW" w:eastAsia="zh-CN" w:bidi="ar"/>
              </w:rPr>
              <w:t>性</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具有严格的安全机制，包括真正的三层结构（数据层、应用层、</w:t>
            </w:r>
            <w:r>
              <w:rPr>
                <w:rFonts w:hint="eastAsia" w:ascii="宋体" w:hAnsi="宋体" w:eastAsia="宋体" w:cs="宋体"/>
                <w:b w:val="0"/>
                <w:bCs w:val="0"/>
                <w:color w:val="auto"/>
                <w:kern w:val="0"/>
                <w:sz w:val="21"/>
                <w:szCs w:val="21"/>
                <w:highlight w:val="none"/>
                <w:lang w:val="en-US" w:eastAsia="zh-CN" w:bidi="ar"/>
              </w:rPr>
              <w:t>WEB</w:t>
            </w:r>
            <w:r>
              <w:rPr>
                <w:rFonts w:hint="eastAsia" w:ascii="宋体" w:hAnsi="宋体" w:eastAsia="宋体" w:cs="宋体"/>
                <w:b w:val="0"/>
                <w:bCs w:val="0"/>
                <w:color w:val="auto"/>
                <w:kern w:val="0"/>
                <w:sz w:val="21"/>
                <w:szCs w:val="21"/>
                <w:highlight w:val="none"/>
                <w:lang w:val="zh-TW" w:eastAsia="zh-TW" w:bidi="ar"/>
              </w:rPr>
              <w:t>层）、严格的身份授权机制（绑定</w:t>
            </w:r>
            <w:r>
              <w:rPr>
                <w:rFonts w:hint="eastAsia" w:ascii="宋体" w:hAnsi="宋体" w:eastAsia="宋体" w:cs="宋体"/>
                <w:b w:val="0"/>
                <w:bCs w:val="0"/>
                <w:color w:val="auto"/>
                <w:kern w:val="0"/>
                <w:sz w:val="21"/>
                <w:szCs w:val="21"/>
                <w:highlight w:val="none"/>
                <w:lang w:val="en-US" w:eastAsia="zh-CN" w:bidi="ar"/>
              </w:rPr>
              <w:t>MAC</w:t>
            </w:r>
            <w:r>
              <w:rPr>
                <w:rFonts w:hint="eastAsia" w:ascii="宋体" w:hAnsi="宋体" w:eastAsia="宋体" w:cs="宋体"/>
                <w:b w:val="0"/>
                <w:bCs w:val="0"/>
                <w:color w:val="auto"/>
                <w:kern w:val="0"/>
                <w:sz w:val="21"/>
                <w:szCs w:val="21"/>
                <w:highlight w:val="none"/>
                <w:lang w:val="zh-TW" w:eastAsia="zh-TW" w:bidi="ar"/>
              </w:rPr>
              <w:t>地址、按角色、数据表、字段等授权）等。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兼容性</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保证对多种浏览器（如：</w:t>
            </w:r>
            <w:r>
              <w:rPr>
                <w:rFonts w:hint="eastAsia" w:ascii="宋体" w:hAnsi="宋体" w:eastAsia="宋体" w:cs="宋体"/>
                <w:b w:val="0"/>
                <w:bCs w:val="0"/>
                <w:color w:val="auto"/>
                <w:kern w:val="0"/>
                <w:sz w:val="21"/>
                <w:szCs w:val="21"/>
                <w:highlight w:val="none"/>
                <w:lang w:val="en-US" w:eastAsia="zh-CN" w:bidi="ar"/>
              </w:rPr>
              <w:t xml:space="preserve"> firefox</w:t>
            </w:r>
            <w:r>
              <w:rPr>
                <w:rFonts w:hint="eastAsia" w:ascii="宋体" w:hAnsi="宋体" w:eastAsia="宋体" w:cs="宋体"/>
                <w:b w:val="0"/>
                <w:bCs w:val="0"/>
                <w:color w:val="auto"/>
                <w:kern w:val="0"/>
                <w:sz w:val="21"/>
                <w:szCs w:val="21"/>
                <w:highlight w:val="none"/>
                <w:lang w:val="zh-TW" w:eastAsia="zh-TW" w:bidi="ar"/>
              </w:rPr>
              <w:t>，</w:t>
            </w:r>
            <w:r>
              <w:rPr>
                <w:rFonts w:hint="eastAsia" w:ascii="宋体" w:hAnsi="宋体" w:eastAsia="宋体" w:cs="宋体"/>
                <w:b w:val="0"/>
                <w:bCs w:val="0"/>
                <w:color w:val="auto"/>
                <w:kern w:val="0"/>
                <w:sz w:val="21"/>
                <w:szCs w:val="21"/>
                <w:highlight w:val="none"/>
                <w:lang w:val="en-US" w:eastAsia="zh-CN" w:bidi="ar"/>
              </w:rPr>
              <w:t>chrome</w:t>
            </w:r>
            <w:r>
              <w:rPr>
                <w:rFonts w:hint="eastAsia" w:ascii="宋体" w:hAnsi="宋体" w:eastAsia="宋体" w:cs="宋体"/>
                <w:b w:val="0"/>
                <w:bCs w:val="0"/>
                <w:color w:val="auto"/>
                <w:kern w:val="0"/>
                <w:sz w:val="21"/>
                <w:szCs w:val="21"/>
                <w:highlight w:val="none"/>
                <w:lang w:val="zh-TW" w:eastAsia="zh-TW" w:bidi="ar"/>
              </w:rPr>
              <w:t>等）的兼容。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8</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CN" w:bidi="ar"/>
              </w:rPr>
              <w:t>数据</w:t>
            </w:r>
            <w:r>
              <w:rPr>
                <w:rFonts w:hint="eastAsia" w:ascii="宋体" w:hAnsi="宋体" w:eastAsia="宋体" w:cs="宋体"/>
                <w:b w:val="0"/>
                <w:bCs w:val="0"/>
                <w:color w:val="auto"/>
                <w:kern w:val="0"/>
                <w:sz w:val="21"/>
                <w:szCs w:val="21"/>
                <w:highlight w:val="none"/>
                <w:lang w:val="zh-TW" w:eastAsia="zh-TW" w:bidi="ar"/>
              </w:rPr>
              <w:t>备份</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提供可靠的服务器架构方案，可实现服务器系统</w:t>
            </w:r>
            <w:r>
              <w:rPr>
                <w:rFonts w:hint="eastAsia" w:ascii="宋体" w:hAnsi="宋体" w:eastAsia="宋体" w:cs="宋体"/>
                <w:b w:val="0"/>
                <w:bCs w:val="0"/>
                <w:color w:val="auto"/>
                <w:kern w:val="0"/>
                <w:sz w:val="21"/>
                <w:szCs w:val="21"/>
                <w:highlight w:val="none"/>
                <w:lang w:val="zh-TW" w:eastAsia="zh-CN" w:bidi="ar"/>
              </w:rPr>
              <w:t>和</w:t>
            </w:r>
            <w:r>
              <w:rPr>
                <w:rFonts w:hint="eastAsia" w:ascii="宋体" w:hAnsi="宋体" w:eastAsia="宋体" w:cs="宋体"/>
                <w:b w:val="0"/>
                <w:bCs w:val="0"/>
                <w:color w:val="auto"/>
                <w:kern w:val="0"/>
                <w:sz w:val="21"/>
                <w:szCs w:val="21"/>
                <w:highlight w:val="none"/>
                <w:lang w:val="zh-TW" w:eastAsia="zh-TW" w:bidi="ar"/>
              </w:rPr>
              <w:t>数据库的优化、安全冗余、备份，可实现双机热备。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935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numPr>
                <w:ilvl w:val="1"/>
                <w:numId w:val="0"/>
              </w:numPr>
              <w:spacing w:before="156" w:after="156" w:line="240" w:lineRule="auto"/>
              <w:rPr>
                <w:rFonts w:hint="eastAsia" w:ascii="宋体" w:hAnsi="宋体" w:eastAsia="宋体" w:cs="宋体"/>
                <w:kern w:val="0"/>
                <w:sz w:val="21"/>
                <w:szCs w:val="21"/>
                <w:lang w:val="zh-TW"/>
              </w:rPr>
            </w:pPr>
            <w:bookmarkStart w:id="87" w:name="_Toc20377"/>
            <w:bookmarkStart w:id="88" w:name="_Toc6012"/>
            <w:r>
              <w:rPr>
                <w:rFonts w:hint="eastAsia" w:ascii="宋体" w:hAnsi="宋体" w:eastAsia="宋体" w:cs="宋体"/>
                <w:sz w:val="21"/>
                <w:szCs w:val="21"/>
                <w:lang w:val="zh-TW"/>
              </w:rPr>
              <w:t>（</w:t>
            </w:r>
            <w:r>
              <w:rPr>
                <w:rFonts w:hint="eastAsia" w:ascii="宋体" w:hAnsi="宋体" w:eastAsia="宋体" w:cs="宋体"/>
                <w:sz w:val="21"/>
                <w:szCs w:val="21"/>
              </w:rPr>
              <w:t>二</w:t>
            </w:r>
            <w:r>
              <w:rPr>
                <w:rFonts w:hint="eastAsia" w:ascii="宋体" w:hAnsi="宋体" w:eastAsia="宋体" w:cs="宋体"/>
                <w:sz w:val="21"/>
                <w:szCs w:val="21"/>
                <w:lang w:val="zh-TW"/>
              </w:rPr>
              <w:t>）微服务架构</w:t>
            </w:r>
            <w:bookmarkEnd w:id="87"/>
            <w:bookmarkEnd w:id="88"/>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1</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统计分析</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服务平台后台管理首页提供大数据统计分析，充分利用云计算、大数据、人工智能等新技术，构建全方位、全过程、全天候的数据支持体系，学校管理员只需进入管理后台，即可看到本校的用户行为数据分析，主要包括：用户行为统计、用户统计分析、平台使用量、发现检索统计、阅读统计、基础数据统计、教学统计、教师行为分析、移动课堂使用统计分析。</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除了提供统一的分析模块外，数据统计分析还支持统计模块的自主添加，方便接入微服务平台以外的第三方应用数据的分析，作为学校管理者查看数据的统一入口，还支持统计模块显示顺序、显示状态、编辑等操作，满足学校根据重要次序、不同时期关注点不同等自身需求进行调整。</w:t>
            </w:r>
          </w:p>
          <w:p>
            <w:pPr>
              <w:spacing w:line="360" w:lineRule="auto"/>
              <w:ind w:firstLine="420"/>
              <w:rPr>
                <w:rFonts w:hint="eastAsia" w:ascii="宋体" w:hAnsi="宋体" w:cs="宋体"/>
                <w:kern w:val="0"/>
                <w:szCs w:val="21"/>
                <w:lang w:val="zh-CN"/>
              </w:rPr>
            </w:pPr>
            <w:r>
              <w:rPr>
                <w:rFonts w:hint="eastAsia" w:ascii="宋体" w:hAnsi="宋体" w:cs="宋体"/>
                <w:kern w:val="0"/>
                <w:szCs w:val="21"/>
                <w:lang w:val="zh-TW"/>
              </w:rPr>
              <w:t>大数据分析通过数据清洗、深度的机器学习，有效剔除冗余数据，优化数据结构，实现高效的统计分析功能，以及进行有效的数据挖掘。通过对用户行为的统计分析，帮助管理者实时掌握动态数据，便于学校优化平台建设和运营方向，实现学校业务管理、教学管理等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2</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用户管理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CN"/>
              </w:rPr>
            </w:pPr>
            <w:r>
              <w:rPr>
                <w:rFonts w:hint="eastAsia" w:ascii="宋体" w:hAnsi="宋体" w:cs="宋体"/>
                <w:kern w:val="0"/>
                <w:szCs w:val="21"/>
                <w:lang w:val="zh-TW"/>
              </w:rPr>
              <w:t>用户管理实现学校对本单位组织架构、用户基本信息、用户扩展属性、用户角色、移动端通讯录进行管理。学校可以根据自身的情况，在平台上进行组织架构的个性化管理，并且支持单次管理和批量管理，为学校提供导入模板，满足学校批量录入信息的需求，自动生成学校的组织架构和人员信息。同时，平台上的应用只要涉及到人员架构信息，都会从组织架构里统一调取。</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3</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应用管理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支持针对学校实际需求，可以通过系统提供不同的引擎类型进行自建应用，包含表单、审批、图表、活动、座位预约、信息查询等，如通过表单引擎配置教学常规管理。支持通过自建方式对接其它第三方应用。</w:t>
            </w:r>
          </w:p>
          <w:p>
            <w:pPr>
              <w:spacing w:line="360" w:lineRule="auto"/>
              <w:ind w:firstLine="420"/>
              <w:rPr>
                <w:rFonts w:hint="eastAsia" w:ascii="宋体" w:hAnsi="宋体" w:cs="宋体"/>
                <w:szCs w:val="21"/>
                <w:lang w:val="zh-CN"/>
              </w:rPr>
            </w:pPr>
            <w:r>
              <w:rPr>
                <w:rFonts w:hint="eastAsia" w:ascii="宋体" w:hAnsi="宋体" w:cs="宋体"/>
                <w:kern w:val="0"/>
                <w:szCs w:val="21"/>
                <w:lang w:val="zh-TW"/>
              </w:rPr>
              <w:t>管理员进入应用管理后，可以通过应用市场和自建应用两种方式来添加本单位应用。在添加好所需应用后，可以自定义应用分类，同时满足学校对应用分类和应用进行增加、删除和修改；也支持学校对单个应用修改基本信息、设置可见范围、设置二级管理员；</w:t>
            </w:r>
            <w:r>
              <w:rPr>
                <w:rFonts w:hint="eastAsia" w:ascii="宋体" w:hAnsi="宋体" w:cs="宋体"/>
                <w:kern w:val="0"/>
                <w:szCs w:val="21"/>
              </w:rPr>
              <w:t>应用和应用分类创建完成后，管理员可在业务系统配置中设置不同角色可见的应用分类</w:t>
            </w:r>
            <w:r>
              <w:rPr>
                <w:rFonts w:hint="eastAsia" w:ascii="宋体" w:hAnsi="宋体" w:cs="宋体"/>
                <w:kern w:val="0"/>
                <w:szCs w:val="21"/>
                <w:lang w:val="zh-TW"/>
              </w:rPr>
              <w:t>；另外，管理员也可以从应用管理直接进入每个应用的后台。设置完成后，可以通过界面管理中学校空间配置和移动端配置调整应用显示顺序及效果，已达到预期的界面效果。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4</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界面管理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服务平台提供灵活的界面管理工具，具备可视化全功能后台，用户可以自定义设置单位门户、移动端功能界面、个人空间、大数据屏、微信端的配置。考虑到学校可能会面临技术问题，平台专门提供了多种界面模版，用户只需选择模板，通过拖拽的方式，即可对单位门户进行个性化的管理和设计，真正实现了无需技术，就能拥有属于专属单位门户。不仅如此，用户还可以通过界面管理，设置移动端功能界面、管理移动端首页门户，以及管理注册流程。另外，用户还可以对个人空间进行界面管理，实现菜单定制化，首页定制化。</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通过界面管理，真正将管理权限交给用户，将大部分的代码工作提升到界面可视化管理层面，操作简单，快速上手，最大限度地方便用户自主化管理，随时随地进行门户、移动端界面、个人空间、大数据屏的个性化建设。</w:t>
            </w:r>
          </w:p>
          <w:p>
            <w:pPr>
              <w:pStyle w:val="322"/>
              <w:numPr>
                <w:ilvl w:val="0"/>
                <w:numId w:val="5"/>
              </w:numPr>
              <w:spacing w:line="360" w:lineRule="auto"/>
              <w:ind w:firstLineChars="0"/>
              <w:rPr>
                <w:rFonts w:hint="eastAsia" w:ascii="宋体" w:hAnsi="宋体" w:cs="宋体"/>
                <w:kern w:val="0"/>
                <w:szCs w:val="21"/>
                <w:lang w:val="zh-TW"/>
              </w:rPr>
            </w:pPr>
            <w:r>
              <w:rPr>
                <w:rFonts w:hint="eastAsia" w:ascii="宋体" w:hAnsi="宋体" w:cs="宋体"/>
                <w:kern w:val="0"/>
                <w:szCs w:val="21"/>
                <w:lang w:val="zh-TW"/>
              </w:rPr>
              <w:t>移动端管理：主要包含功能界面配置、注册流程管理、首页门户设置三大功能</w:t>
            </w:r>
          </w:p>
          <w:p>
            <w:pPr>
              <w:pStyle w:val="322"/>
              <w:numPr>
                <w:ilvl w:val="0"/>
                <w:numId w:val="5"/>
              </w:numPr>
              <w:spacing w:line="360" w:lineRule="auto"/>
              <w:ind w:firstLineChars="0"/>
              <w:rPr>
                <w:rFonts w:hint="eastAsia" w:ascii="宋体" w:hAnsi="宋体" w:cs="宋体"/>
                <w:kern w:val="0"/>
                <w:szCs w:val="21"/>
                <w:lang w:val="zh-TW"/>
              </w:rPr>
            </w:pPr>
            <w:r>
              <w:rPr>
                <w:rFonts w:hint="eastAsia" w:ascii="宋体" w:hAnsi="宋体" w:cs="宋体"/>
                <w:kern w:val="0"/>
                <w:szCs w:val="21"/>
                <w:lang w:val="zh-TW"/>
              </w:rPr>
              <w:t>个人空间管理：主要包含左侧菜单定制和首页定制两大功能</w:t>
            </w:r>
          </w:p>
          <w:p>
            <w:pPr>
              <w:pStyle w:val="322"/>
              <w:numPr>
                <w:ilvl w:val="0"/>
                <w:numId w:val="5"/>
              </w:numPr>
              <w:spacing w:line="360" w:lineRule="auto"/>
              <w:ind w:firstLineChars="0"/>
              <w:rPr>
                <w:rFonts w:hint="eastAsia" w:ascii="宋体" w:hAnsi="宋体" w:cs="宋体"/>
                <w:kern w:val="0"/>
                <w:szCs w:val="21"/>
                <w:lang w:val="zh-TW"/>
              </w:rPr>
            </w:pPr>
            <w:r>
              <w:rPr>
                <w:rFonts w:hint="eastAsia" w:ascii="宋体" w:hAnsi="宋体" w:cs="宋体"/>
                <w:kern w:val="0"/>
                <w:szCs w:val="21"/>
                <w:lang w:val="zh-TW"/>
              </w:rPr>
              <w:t>门户管理：主要包含域名定制和界面定制两大功能</w:t>
            </w:r>
          </w:p>
          <w:p>
            <w:pPr>
              <w:pStyle w:val="322"/>
              <w:numPr>
                <w:ilvl w:val="0"/>
                <w:numId w:val="5"/>
              </w:numPr>
              <w:spacing w:line="360" w:lineRule="auto"/>
              <w:ind w:firstLineChars="0"/>
              <w:rPr>
                <w:rFonts w:hint="eastAsia" w:ascii="宋体" w:hAnsi="宋体" w:cs="宋体"/>
                <w:kern w:val="0"/>
                <w:szCs w:val="21"/>
                <w:lang w:val="zh-CN"/>
              </w:rPr>
            </w:pPr>
            <w:r>
              <w:rPr>
                <w:rFonts w:hint="eastAsia" w:ascii="宋体" w:hAnsi="宋体" w:cs="宋体"/>
                <w:kern w:val="0"/>
                <w:szCs w:val="21"/>
                <w:lang w:val="zh-TW"/>
              </w:rPr>
              <w:t>大数据屏管理：主要包括版面布局、模块管理和地址管理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5</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数据管理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CN"/>
              </w:rPr>
            </w:pPr>
            <w:r>
              <w:rPr>
                <w:rFonts w:hint="eastAsia" w:ascii="宋体" w:hAnsi="宋体" w:cs="宋体"/>
                <w:kern w:val="0"/>
                <w:szCs w:val="21"/>
                <w:lang w:val="zh-TW"/>
              </w:rPr>
              <w:t>基于微服务思想，每个应用独立闭环，每个应用对应一张数据表，为每个应用建立一个数据块，为所有应用建立一个集合数据中心。留存每个应用所产生的过程数据及结果数据，同时提供开放api供第三方应用或行为分析系统调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6</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开放平台</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为打造可持续演进、生态化的智慧校园应用体系，本项目要求基于微服务架构构建一个安全、稳定、高效、易用的统一开放平台（Open API Platform）。该平台的核心目标是打破各业务系统（如教务、学工、办公、后勤等）间的数据孤岛和应用壁垒，为校内各部门、第三方开发者及合作企业提供标准化的应用集成、数据共享和能力输出服务。</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1. 核心定位与目标</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枢纽性： 作为校园数字中枢，是所有后端微服务能力面向前端应用（如门户、APP、小程序）和第三方系统集成的唯一出口。</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标准化： 提供完全符合RESTful规范、基于HTTP/HTTPS和JSON数据格式的API接口，确保接口的通用性和易用性。</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生态化： 支持将现有业务系统（特别是教务系统）中的核心业务功能（如信息查询、数据统计等）快速封装成API服务，并便捷地接入到统一信息门户平台中，实现单点登录和界面集成，为用户提供一站式服务体验。</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2. 具体功能要求</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2.1 API全生命周期管理</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API网关：</w:t>
            </w:r>
            <w:r>
              <w:rPr>
                <w:rFonts w:hint="eastAsia" w:ascii="宋体" w:hAnsi="宋体" w:cs="宋体"/>
                <w:color w:val="auto"/>
                <w:kern w:val="0"/>
                <w:szCs w:val="21"/>
                <w:lang w:val="en-US" w:eastAsia="zh-CN"/>
              </w:rPr>
              <w:t>需</w:t>
            </w:r>
            <w:r>
              <w:rPr>
                <w:rFonts w:hint="eastAsia" w:ascii="宋体" w:hAnsi="宋体" w:cs="宋体"/>
                <w:color w:val="auto"/>
                <w:kern w:val="0"/>
                <w:szCs w:val="21"/>
                <w:lang w:val="zh-CN"/>
              </w:rPr>
              <w:t>部署高性能API网关，作为所有内部API流量的统一入口，负责路由转发、协议转换、负载均衡和灰度发布。</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API创建与发布： 提供可视化界面，支持开发人员快速将数据库操作、业务逻辑或已有服务包装成RESTful API，并发布到API市场。</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API文档自动化： 支持通过Swagger/OpenAPI 3.0等标准工具自动生成、维护并发布交互式API文档，降低对接成本。</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API市场： 建立校内API市场，所有经审核的API接口需在市场上架，清晰展示功能、参数、调用方式和计费策略（如有），方便校内授权用户检索和申请调用。</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2.2 安全与权限控制</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身份认证：</w:t>
            </w:r>
            <w:r>
              <w:rPr>
                <w:rFonts w:hint="eastAsia" w:ascii="宋体" w:hAnsi="宋体" w:cs="宋体"/>
                <w:color w:val="auto"/>
                <w:kern w:val="0"/>
                <w:szCs w:val="21"/>
                <w:lang w:val="en-US" w:eastAsia="zh-CN"/>
              </w:rPr>
              <w:t>需</w:t>
            </w:r>
            <w:r>
              <w:rPr>
                <w:rFonts w:hint="eastAsia" w:ascii="宋体" w:hAnsi="宋体" w:cs="宋体"/>
                <w:color w:val="auto"/>
                <w:kern w:val="0"/>
                <w:szCs w:val="21"/>
                <w:lang w:val="zh-CN"/>
              </w:rPr>
              <w:t>与学校统一身份认证中心无缝集成，支持OAuth 2.0、JWT等标准认证协议，确保所有API调用均经过身份合法性校验。</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授权管理： 提供精细化的访问控制：</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应用授权： 为需要接入的第三方应用（如门户平台）分配唯一的AppKey和AppSecret。</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API授权： 支持对具体API接口进行授权，控制哪些应用可以调用哪些API。</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流量控制： 支持基于应用、用户或IP地址的API调用频率和并发数限制，防止恶意调用和资源滥用。</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权限隔离： 严格遵循“最小权限原则”，确保不同角色（如教师、学生、管理员）通过同一应用调用API时，只能访问其权限范围内的数据。</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2.3 监控与运维</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调用监控：提供实时仪表盘，监控API调用量、响应时间、成功率、异常状态等关键指标。</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日志审计：完整记录所有API的调用日志，包括调用方、时间、接口、参数、响应结果和IP地址，满足安全审计和故障排查需求。</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告警机制：支持设置阈值告警，当API出现高延迟、高错误率或流量异常时，能通过短信、邮件、钉钉等方式通知运维人员。</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3. 针对教务系统接入门户的具体实施要求</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本项目要求利用此开放平台，重点实现教务系统相关服务能力对门户平台的输出。</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接口封装：供应商需负责将现有教务系统中涉及教师和学生的核心查询与统计功能，封装成一系列独立的、可复用的API服务。至少包括但不限于：</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教师信息查询API：提供课表查询、教学任务查询、成绩录入状态查询、教室申请查询等。</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学生信息查询API：提供个人课表查询、考试成绩查询、学分统计查询、考试安排查询、空教室查询等。</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统计报表API：提供班级成绩分布统计、课程出勤率统计、教学评价统计等（数据需脱敏，且按权限开放）。</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门户接入：门户平台的开发团队通过调用上述封装好的API，在门户的个人中心、相关应用模块中，直接获取并展示实时数据，避免数据的二次开发和重复建设。</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体验保障：通过开放平台提供的服务，</w:t>
            </w:r>
            <w:r>
              <w:rPr>
                <w:rFonts w:hint="eastAsia" w:ascii="宋体" w:hAnsi="宋体" w:cs="宋体"/>
                <w:color w:val="auto"/>
                <w:kern w:val="0"/>
                <w:szCs w:val="21"/>
                <w:lang w:val="en-US" w:eastAsia="zh-CN"/>
              </w:rPr>
              <w:t>需</w:t>
            </w:r>
            <w:r>
              <w:rPr>
                <w:rFonts w:hint="eastAsia" w:ascii="宋体" w:hAnsi="宋体" w:cs="宋体"/>
                <w:color w:val="auto"/>
                <w:kern w:val="0"/>
                <w:szCs w:val="21"/>
                <w:lang w:val="zh-CN"/>
              </w:rPr>
              <w:t>确保教师在门户中查询课表、学生在门户中查询成绩等高频操作的体验，与直接访问原教务系统无差异，且响应延迟应低于200毫秒。</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4. 技术指标</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性能： API网关集群需支持每秒处理不少于1000个并发请求，平均响应时间&lt;50ms。</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可用性： 平台整体可用性不低于99.9%，支持高可用和负载均衡部署。</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兼容性：</w:t>
            </w:r>
            <w:r>
              <w:rPr>
                <w:rFonts w:hint="eastAsia" w:ascii="宋体" w:hAnsi="宋体" w:cs="宋体"/>
                <w:color w:val="auto"/>
                <w:kern w:val="0"/>
                <w:szCs w:val="21"/>
                <w:lang w:val="en-US" w:eastAsia="zh-CN"/>
              </w:rPr>
              <w:t>需</w:t>
            </w:r>
            <w:r>
              <w:rPr>
                <w:rFonts w:hint="eastAsia" w:ascii="宋体" w:hAnsi="宋体" w:cs="宋体"/>
                <w:color w:val="auto"/>
                <w:kern w:val="0"/>
                <w:szCs w:val="21"/>
                <w:lang w:val="zh-CN"/>
              </w:rPr>
              <w:t>支持HTTP/HTTPS协议，兼容主流开发语言（Java, Python, PHP, .NET, Go等）进行调用。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7</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lang w:val="zh-CN"/>
              </w:rPr>
            </w:pPr>
            <w:r>
              <w:rPr>
                <w:rFonts w:ascii="宋体" w:hAnsi="宋体" w:eastAsia="宋体" w:cs="宋体"/>
                <w:color w:val="auto"/>
                <w:lang w:val="zh-CN"/>
              </w:rPr>
              <w:t>三大引擎</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微服务平台提供包括资源、工具、流程在内的三大引擎，用户使用三大引擎工具可快速构建学校的业务应用。</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（1）资源引擎</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强大丰富的资源，包含图书、专题、报纸、期刊、视频、课程等，可满足学校各种教学场景的随时调用。</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（2）工具引擎</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拥有众多优质产品，教学工具、专题工具、表单工具、速课工具、课件制作工具、通知工具、转发工具、云盘、直播、投屏等，帮助学校构建业务体系。</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（3）流程引擎</w:t>
            </w:r>
          </w:p>
          <w:p>
            <w:pPr>
              <w:spacing w:line="360" w:lineRule="auto"/>
              <w:ind w:firstLine="420"/>
              <w:rPr>
                <w:rFonts w:hint="eastAsia" w:ascii="宋体" w:hAnsi="宋体" w:cs="宋体"/>
                <w:kern w:val="0"/>
                <w:szCs w:val="21"/>
                <w:lang w:val="zh-CN"/>
              </w:rPr>
            </w:pPr>
            <w:r>
              <w:rPr>
                <w:rFonts w:hint="eastAsia" w:ascii="宋体" w:hAnsi="宋体" w:cs="宋体"/>
                <w:kern w:val="0"/>
                <w:szCs w:val="21"/>
                <w:lang w:val="zh-TW"/>
              </w:rPr>
              <w:t>基于流程管理的办公系统，如请假，报销等，能够帮助学校迅速构建自己的办公管理后台。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8</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应用服务</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CN"/>
              </w:rPr>
            </w:pPr>
            <w:r>
              <w:rPr>
                <w:rFonts w:hint="eastAsia" w:ascii="宋体" w:hAnsi="宋体" w:cs="宋体"/>
                <w:kern w:val="0"/>
                <w:szCs w:val="21"/>
                <w:lang w:val="zh-TW"/>
              </w:rPr>
              <w:t>以实际应用场景为出发点，用“工具+内容+服务”解决学校信息化场景中的闭环问题，通过这样的方式去响应师生和业务部门在日常生活、办公、教学中的一些已经发现或者暂未凸显出来的信息化诉求，完善和扩展学校的信息化建设场景，强化用户体验，提高软件的可用性和易用性，让师生切实感受到信息化建设带来的有益改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935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4"/>
              <w:numPr>
                <w:ilvl w:val="1"/>
                <w:numId w:val="0"/>
              </w:numPr>
              <w:spacing w:before="156" w:after="156" w:line="240" w:lineRule="auto"/>
              <w:rPr>
                <w:rFonts w:hint="eastAsia" w:ascii="宋体" w:hAnsi="宋体" w:eastAsia="宋体" w:cs="宋体"/>
                <w:kern w:val="0"/>
                <w:sz w:val="21"/>
                <w:szCs w:val="21"/>
                <w:lang w:val="zh-CN"/>
              </w:rPr>
            </w:pPr>
            <w:bookmarkStart w:id="89" w:name="_Toc9212"/>
            <w:bookmarkStart w:id="90" w:name="_Toc10972"/>
            <w:r>
              <w:rPr>
                <w:rFonts w:hint="eastAsia" w:ascii="宋体" w:hAnsi="宋体" w:eastAsia="宋体" w:cs="宋体"/>
                <w:sz w:val="21"/>
                <w:szCs w:val="21"/>
                <w:lang w:val="zh-TW"/>
              </w:rPr>
              <w:t>（</w:t>
            </w:r>
            <w:r>
              <w:rPr>
                <w:rFonts w:hint="eastAsia" w:ascii="宋体" w:hAnsi="宋体" w:eastAsia="宋体" w:cs="宋体"/>
                <w:sz w:val="21"/>
                <w:szCs w:val="21"/>
              </w:rPr>
              <w:t>三</w:t>
            </w:r>
            <w:r>
              <w:rPr>
                <w:rFonts w:hint="eastAsia" w:ascii="宋体" w:hAnsi="宋体" w:eastAsia="宋体" w:cs="宋体"/>
                <w:sz w:val="21"/>
                <w:szCs w:val="21"/>
                <w:lang w:val="zh-TW"/>
              </w:rPr>
              <w:t>）</w:t>
            </w:r>
            <w:r>
              <w:rPr>
                <w:rFonts w:hint="eastAsia" w:ascii="宋体" w:hAnsi="宋体" w:eastAsia="宋体" w:cs="宋体"/>
                <w:sz w:val="21"/>
                <w:szCs w:val="21"/>
                <w:lang w:val="zh-TW" w:eastAsia="zh-TW"/>
              </w:rPr>
              <w:t>教务管理</w:t>
            </w:r>
            <w:r>
              <w:rPr>
                <w:rFonts w:hint="eastAsia" w:ascii="宋体" w:hAnsi="宋体" w:eastAsia="宋体" w:cs="宋体"/>
                <w:sz w:val="21"/>
                <w:szCs w:val="21"/>
                <w:lang w:val="zh-TW"/>
              </w:rPr>
              <w:t>模块</w:t>
            </w:r>
            <w:bookmarkEnd w:id="89"/>
            <w:bookmarkEnd w:id="90"/>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r>
              <w:rPr>
                <w:rFonts w:ascii="宋体" w:hAnsi="宋体" w:eastAsia="宋体" w:cs="宋体"/>
                <w:color w:val="auto"/>
                <w:lang w:val="zh-TW" w:eastAsia="zh-TW"/>
              </w:rPr>
              <w:t>1</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jc w:val="left"/>
              <w:rPr>
                <w:rFonts w:hint="eastAsia" w:hAnsi="宋体" w:cs="宋体"/>
                <w:kern w:val="0"/>
                <w:sz w:val="21"/>
                <w:szCs w:val="21"/>
                <w:lang w:val="zh-TW" w:eastAsia="zh-TW"/>
              </w:rPr>
            </w:pPr>
            <w:r>
              <w:rPr>
                <w:rFonts w:hint="eastAsia" w:hAnsi="宋体" w:cs="宋体"/>
                <w:sz w:val="21"/>
                <w:szCs w:val="21"/>
                <w:lang w:val="zh-CN"/>
              </w:rPr>
              <w:t>基础信息管理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61"/>
              <w:spacing w:line="360" w:lineRule="auto"/>
              <w:ind w:firstLine="0" w:firstLineChars="0"/>
              <w:rPr>
                <w:rFonts w:hint="eastAsia" w:ascii="宋体" w:hAnsi="宋体" w:cs="宋体"/>
                <w:color w:val="FF0000"/>
                <w:szCs w:val="21"/>
              </w:rPr>
            </w:pPr>
            <w:r>
              <w:rPr>
                <w:rFonts w:hint="eastAsia" w:ascii="宋体" w:hAnsi="宋体" w:cs="宋体"/>
                <w:szCs w:val="21"/>
              </w:rPr>
              <w:t>基础数据管理：支持根据业务的需要，进行系统字典、用户/学校基础数据等内容字段的增删改操作，包含常用中间件，包括单行输入、多行输入、数字输入、下拉框、多级下拉等基础字段，同时包括矩阵单选、子表单、计算公式等高级字段，只需进行“拖、拉、拽”等操作，无需进行二次代码开发。并可将采集的基础数据形成如雷达图、指标图、柱形图等展示。</w:t>
            </w:r>
          </w:p>
          <w:p>
            <w:pPr>
              <w:pStyle w:val="61"/>
              <w:spacing w:line="360" w:lineRule="auto"/>
              <w:ind w:firstLine="0" w:firstLineChars="0"/>
              <w:rPr>
                <w:rFonts w:hint="eastAsia" w:ascii="宋体" w:hAnsi="宋体" w:cs="宋体"/>
                <w:szCs w:val="21"/>
              </w:rPr>
            </w:pPr>
            <w:r>
              <w:rPr>
                <w:rFonts w:hint="eastAsia" w:ascii="宋体" w:hAnsi="宋体" w:cs="宋体"/>
                <w:szCs w:val="21"/>
              </w:rPr>
              <w:t>权限管理：可为不同角色分配每个业务模块、菜单及操作按钮的访问和使用等权限。</w:t>
            </w:r>
          </w:p>
          <w:p>
            <w:pPr>
              <w:pStyle w:val="61"/>
              <w:spacing w:line="360" w:lineRule="auto"/>
              <w:ind w:firstLine="0" w:firstLineChars="0"/>
              <w:rPr>
                <w:rFonts w:hint="eastAsia" w:ascii="宋体" w:hAnsi="宋体" w:cs="宋体"/>
                <w:szCs w:val="21"/>
              </w:rPr>
            </w:pPr>
            <w:r>
              <w:rPr>
                <w:rFonts w:hint="eastAsia" w:ascii="宋体" w:hAnsi="宋体" w:cs="宋体"/>
                <w:szCs w:val="21"/>
              </w:rPr>
              <w:t>1.系统字典管理</w:t>
            </w:r>
          </w:p>
          <w:p>
            <w:pPr>
              <w:pStyle w:val="61"/>
              <w:spacing w:line="360" w:lineRule="auto"/>
              <w:ind w:firstLine="0" w:firstLineChars="0"/>
              <w:rPr>
                <w:rFonts w:hint="eastAsia" w:ascii="宋体" w:hAnsi="宋体" w:cs="宋体"/>
                <w:szCs w:val="21"/>
              </w:rPr>
            </w:pPr>
            <w:r>
              <w:rPr>
                <w:rFonts w:hint="eastAsia" w:ascii="宋体" w:hAnsi="宋体" w:cs="宋体"/>
                <w:szCs w:val="21"/>
              </w:rPr>
              <w:t>包含公共字典和业务字典两部分，提供多个系统所需字段的字典值，支持用户对字典进行自定义配置；</w:t>
            </w:r>
          </w:p>
          <w:p>
            <w:pPr>
              <w:pStyle w:val="61"/>
              <w:spacing w:line="360" w:lineRule="auto"/>
              <w:ind w:firstLine="0" w:firstLineChars="0"/>
              <w:rPr>
                <w:rFonts w:hint="eastAsia" w:ascii="宋体" w:hAnsi="宋体" w:cs="宋体"/>
                <w:szCs w:val="21"/>
              </w:rPr>
            </w:pPr>
            <w:r>
              <w:rPr>
                <w:rFonts w:hint="eastAsia" w:ascii="宋体" w:hAnsi="宋体" w:cs="宋体"/>
                <w:szCs w:val="21"/>
              </w:rPr>
              <w:t>2.学校基础数据管理</w:t>
            </w:r>
          </w:p>
          <w:p>
            <w:pPr>
              <w:pStyle w:val="61"/>
              <w:spacing w:line="360" w:lineRule="auto"/>
              <w:ind w:firstLine="0" w:firstLineChars="0"/>
              <w:rPr>
                <w:rFonts w:hint="eastAsia" w:ascii="宋体" w:hAnsi="宋体" w:cs="宋体"/>
                <w:szCs w:val="21"/>
              </w:rPr>
            </w:pPr>
            <w:r>
              <w:rPr>
                <w:rFonts w:hint="eastAsia" w:ascii="宋体" w:hAnsi="宋体" w:cs="宋体"/>
                <w:szCs w:val="21"/>
              </w:rPr>
              <w:t>1）支持对学校数据、年级数据、校区数据、学年学期、部门数据、教研室数据、系部数据、班级信息、教学楼、教室信息等基础业务数据进行维护和管理；</w:t>
            </w:r>
          </w:p>
          <w:p>
            <w:pPr>
              <w:pStyle w:val="61"/>
              <w:spacing w:line="360" w:lineRule="auto"/>
              <w:ind w:firstLine="0" w:firstLineChars="0"/>
              <w:rPr>
                <w:rFonts w:hint="eastAsia" w:ascii="宋体" w:hAnsi="宋体" w:cs="宋体"/>
                <w:szCs w:val="21"/>
              </w:rPr>
            </w:pPr>
            <w:r>
              <w:rPr>
                <w:rFonts w:hint="eastAsia" w:ascii="宋体" w:hAnsi="宋体" w:cs="宋体"/>
                <w:szCs w:val="21"/>
              </w:rPr>
              <w:t>2）支持数据的逐条添加、批量导入、批量导出、批量删除、对某些字段的批量编辑等多种功能；</w:t>
            </w:r>
          </w:p>
          <w:p>
            <w:pPr>
              <w:pStyle w:val="61"/>
              <w:spacing w:line="360" w:lineRule="auto"/>
              <w:ind w:firstLine="0" w:firstLineChars="0"/>
              <w:rPr>
                <w:rFonts w:hint="eastAsia" w:ascii="宋体" w:hAnsi="宋体" w:cs="宋体"/>
                <w:szCs w:val="21"/>
              </w:rPr>
            </w:pPr>
            <w:r>
              <w:rPr>
                <w:rFonts w:hint="eastAsia" w:ascii="宋体" w:hAnsi="宋体" w:cs="宋体"/>
                <w:szCs w:val="21"/>
              </w:rPr>
              <w:t>3）支持用户对菜单名称、字段名称进行自定义修改和维护，以满足学校个性化的要求；</w:t>
            </w:r>
          </w:p>
          <w:p>
            <w:pPr>
              <w:pStyle w:val="61"/>
              <w:spacing w:line="360" w:lineRule="auto"/>
              <w:ind w:firstLine="0" w:firstLineChars="0"/>
              <w:rPr>
                <w:rFonts w:hint="eastAsia" w:ascii="宋体" w:hAnsi="宋体" w:cs="宋体"/>
                <w:szCs w:val="21"/>
              </w:rPr>
            </w:pPr>
            <w:r>
              <w:rPr>
                <w:rFonts w:hint="eastAsia" w:ascii="宋体" w:hAnsi="宋体" w:cs="宋体"/>
                <w:szCs w:val="21"/>
              </w:rPr>
              <w:t>3.师资管理</w:t>
            </w:r>
          </w:p>
          <w:p>
            <w:pPr>
              <w:pStyle w:val="61"/>
              <w:spacing w:line="360" w:lineRule="auto"/>
              <w:ind w:firstLine="0" w:firstLineChars="0"/>
              <w:rPr>
                <w:rFonts w:hint="eastAsia" w:ascii="宋体" w:hAnsi="宋体" w:cs="宋体"/>
                <w:szCs w:val="21"/>
              </w:rPr>
            </w:pPr>
            <w:r>
              <w:rPr>
                <w:rFonts w:hint="eastAsia" w:ascii="宋体" w:hAnsi="宋体" w:cs="宋体"/>
                <w:szCs w:val="21"/>
              </w:rPr>
              <w:t>1）支持对老师的基本信息（姓名、性别、工号、联系电话等个人信息）和任职信息（教师所属的系部、部门等）进行维护和管理。支持逐条添加和批量导入的方式；</w:t>
            </w:r>
          </w:p>
          <w:p>
            <w:pPr>
              <w:pStyle w:val="61"/>
              <w:spacing w:line="360" w:lineRule="auto"/>
              <w:ind w:firstLine="0" w:firstLineChars="0"/>
              <w:rPr>
                <w:rFonts w:hint="eastAsia" w:ascii="宋体" w:hAnsi="宋体" w:cs="宋体"/>
                <w:szCs w:val="21"/>
              </w:rPr>
            </w:pPr>
            <w:r>
              <w:rPr>
                <w:rFonts w:hint="eastAsia" w:ascii="宋体" w:hAnsi="宋体" w:cs="宋体"/>
                <w:szCs w:val="21"/>
              </w:rPr>
              <w:t>2）支持添加或导入教师基本信息后，给老师生成对应的用户账号，如果维护了手机号，支持给生成的用户账号绑定手机号；</w:t>
            </w:r>
          </w:p>
          <w:p>
            <w:pPr>
              <w:pStyle w:val="61"/>
              <w:spacing w:line="360" w:lineRule="auto"/>
              <w:ind w:firstLine="0" w:firstLineChars="0"/>
              <w:rPr>
                <w:rFonts w:hint="eastAsia" w:ascii="宋体" w:hAnsi="宋体" w:cs="宋体"/>
                <w:szCs w:val="21"/>
              </w:rPr>
            </w:pPr>
            <w:r>
              <w:rPr>
                <w:rFonts w:hint="eastAsia" w:ascii="宋体" w:hAnsi="宋体" w:cs="宋体"/>
                <w:szCs w:val="21"/>
              </w:rPr>
              <w:t>3）支持对教师的角色（例如班主任、教学秘书等）进行维护，维护后可直接将对应教师添加到对应角色下，直接开通对应角色的权限；</w:t>
            </w:r>
          </w:p>
          <w:p>
            <w:pPr>
              <w:pStyle w:val="61"/>
              <w:spacing w:line="360" w:lineRule="auto"/>
              <w:ind w:firstLine="0" w:firstLineChars="0"/>
              <w:rPr>
                <w:rFonts w:hint="eastAsia" w:ascii="宋体" w:hAnsi="宋体" w:cs="宋体"/>
                <w:szCs w:val="21"/>
              </w:rPr>
            </w:pPr>
            <w:r>
              <w:rPr>
                <w:rFonts w:hint="eastAsia" w:ascii="宋体" w:hAnsi="宋体" w:cs="宋体"/>
                <w:szCs w:val="21"/>
              </w:rPr>
              <w:t>4）支持教师对自己的个人信息进行查询和维护；</w:t>
            </w:r>
          </w:p>
          <w:p>
            <w:pPr>
              <w:pStyle w:val="61"/>
              <w:spacing w:line="360" w:lineRule="auto"/>
              <w:ind w:firstLine="0" w:firstLineChars="0"/>
              <w:rPr>
                <w:rFonts w:hint="eastAsia" w:ascii="宋体" w:hAnsi="宋体" w:cs="宋体"/>
                <w:szCs w:val="21"/>
              </w:rPr>
            </w:pPr>
            <w:r>
              <w:rPr>
                <w:rFonts w:hint="eastAsia" w:ascii="宋体" w:hAnsi="宋体" w:cs="宋体"/>
                <w:szCs w:val="21"/>
              </w:rPr>
              <w:t>5）支持查询某一周，一个或多个老师，在该周的空闲时间；</w:t>
            </w:r>
          </w:p>
          <w:p>
            <w:pPr>
              <w:pStyle w:val="61"/>
              <w:spacing w:line="360" w:lineRule="auto"/>
              <w:ind w:firstLine="0" w:firstLineChars="0"/>
              <w:rPr>
                <w:rFonts w:hint="eastAsia" w:ascii="宋体" w:hAnsi="宋体" w:cs="宋体"/>
                <w:szCs w:val="21"/>
              </w:rPr>
            </w:pPr>
            <w:r>
              <w:rPr>
                <w:rFonts w:hint="eastAsia" w:ascii="宋体" w:hAnsi="宋体" w:cs="宋体"/>
                <w:szCs w:val="21"/>
              </w:rPr>
              <w:t>4.学籍管理</w:t>
            </w:r>
          </w:p>
          <w:p>
            <w:pPr>
              <w:pStyle w:val="61"/>
              <w:spacing w:line="360" w:lineRule="auto"/>
              <w:ind w:firstLine="0" w:firstLineChars="0"/>
              <w:rPr>
                <w:rFonts w:hint="eastAsia" w:ascii="宋体" w:hAnsi="宋体" w:cs="宋体"/>
                <w:szCs w:val="21"/>
              </w:rPr>
            </w:pPr>
            <w:r>
              <w:rPr>
                <w:rFonts w:hint="eastAsia" w:ascii="宋体" w:hAnsi="宋体" w:cs="宋体"/>
                <w:szCs w:val="21"/>
              </w:rPr>
              <w:t>1）支持对学生的基本信息（姓名、学号、性别、联系电话等个人信息）和学籍信息（学生所属的年级、班级、专业等）进行维护和管理。支持逐条添加和批量导入的方式；</w:t>
            </w:r>
          </w:p>
          <w:p>
            <w:pPr>
              <w:pStyle w:val="61"/>
              <w:spacing w:line="360" w:lineRule="auto"/>
              <w:ind w:firstLine="0" w:firstLineChars="0"/>
              <w:rPr>
                <w:rFonts w:hint="eastAsia" w:ascii="宋体" w:hAnsi="宋体" w:cs="宋体"/>
                <w:szCs w:val="21"/>
              </w:rPr>
            </w:pPr>
            <w:r>
              <w:rPr>
                <w:rFonts w:hint="eastAsia" w:ascii="宋体" w:hAnsi="宋体" w:cs="宋体"/>
                <w:szCs w:val="21"/>
              </w:rPr>
              <w:t>2）支持添加或导入学生基本信息后，给对应学生生成对应的用户账号，如果维护了手机号，支持给生成的用户账号绑定手机号；</w:t>
            </w:r>
          </w:p>
          <w:p>
            <w:pPr>
              <w:pStyle w:val="61"/>
              <w:spacing w:line="360" w:lineRule="auto"/>
              <w:ind w:firstLine="0" w:firstLineChars="0"/>
              <w:rPr>
                <w:rFonts w:hint="eastAsia" w:ascii="宋体" w:hAnsi="宋体" w:cs="宋体"/>
                <w:szCs w:val="21"/>
              </w:rPr>
            </w:pPr>
            <w:r>
              <w:rPr>
                <w:rFonts w:hint="eastAsia" w:ascii="宋体" w:hAnsi="宋体" w:cs="宋体"/>
                <w:szCs w:val="21"/>
              </w:rPr>
              <w:t>3）支持学生对自己的个人信息进行查询和维护；</w:t>
            </w:r>
          </w:p>
          <w:p>
            <w:pPr>
              <w:pStyle w:val="61"/>
              <w:spacing w:line="360" w:lineRule="auto"/>
              <w:ind w:firstLine="0" w:firstLineChars="0"/>
              <w:rPr>
                <w:rFonts w:hint="eastAsia" w:ascii="宋体" w:hAnsi="宋体" w:cs="宋体"/>
                <w:szCs w:val="21"/>
              </w:rPr>
            </w:pPr>
            <w:r>
              <w:rPr>
                <w:rFonts w:hint="eastAsia" w:ascii="宋体" w:hAnsi="宋体" w:cs="宋体"/>
                <w:szCs w:val="21"/>
              </w:rPr>
              <w:t>4）支持学生学籍异动的申请和审批，支持自定义配置审批流程，支持批量导入来实现批量异动，异动后学生基本信息的相关字段内容自动变更；</w:t>
            </w:r>
          </w:p>
          <w:p>
            <w:pPr>
              <w:pStyle w:val="61"/>
              <w:spacing w:line="360" w:lineRule="auto"/>
              <w:ind w:firstLine="0" w:firstLineChars="0"/>
              <w:rPr>
                <w:rFonts w:hint="eastAsia" w:ascii="宋体" w:hAnsi="宋体" w:cs="宋体"/>
                <w:szCs w:val="21"/>
              </w:rPr>
            </w:pPr>
            <w:r>
              <w:rPr>
                <w:rFonts w:hint="eastAsia" w:ascii="宋体" w:hAnsi="宋体" w:cs="宋体"/>
                <w:szCs w:val="21"/>
              </w:rPr>
              <w:t>5）支持班主任仅查看自己班级学生信息；</w:t>
            </w:r>
          </w:p>
          <w:p>
            <w:pPr>
              <w:pStyle w:val="61"/>
              <w:spacing w:line="360" w:lineRule="auto"/>
              <w:ind w:firstLine="0" w:firstLineChars="0"/>
              <w:rPr>
                <w:rFonts w:hint="eastAsia" w:ascii="宋体" w:hAnsi="宋体" w:cs="宋体"/>
                <w:szCs w:val="21"/>
              </w:rPr>
            </w:pPr>
            <w:r>
              <w:rPr>
                <w:rFonts w:hint="eastAsia" w:ascii="宋体" w:hAnsi="宋体" w:cs="宋体"/>
                <w:szCs w:val="21"/>
              </w:rPr>
              <w:t>5.留级名单管理</w:t>
            </w:r>
          </w:p>
          <w:p>
            <w:pPr>
              <w:pStyle w:val="61"/>
              <w:spacing w:line="360" w:lineRule="auto"/>
              <w:ind w:firstLine="0" w:firstLineChars="0"/>
              <w:rPr>
                <w:rFonts w:hint="eastAsia" w:ascii="宋体" w:hAnsi="宋体" w:cs="宋体"/>
                <w:szCs w:val="21"/>
              </w:rPr>
            </w:pPr>
            <w:r>
              <w:rPr>
                <w:rFonts w:hint="eastAsia" w:ascii="宋体" w:hAnsi="宋体" w:cs="宋体"/>
                <w:szCs w:val="21"/>
              </w:rPr>
              <w:t>1）支持配置留级名单生成规则；</w:t>
            </w:r>
          </w:p>
          <w:p>
            <w:pPr>
              <w:pStyle w:val="61"/>
              <w:spacing w:line="360" w:lineRule="auto"/>
              <w:ind w:firstLine="0" w:firstLineChars="0"/>
              <w:rPr>
                <w:rFonts w:hint="eastAsia" w:ascii="宋体" w:hAnsi="宋体" w:cs="宋体"/>
                <w:szCs w:val="21"/>
              </w:rPr>
            </w:pPr>
            <w:r>
              <w:rPr>
                <w:rFonts w:hint="eastAsia" w:ascii="宋体" w:hAnsi="宋体" w:cs="宋体"/>
                <w:szCs w:val="21"/>
              </w:rPr>
              <w:t>2）支持按照预设规则一键生成留级名单；</w:t>
            </w:r>
          </w:p>
          <w:p>
            <w:pPr>
              <w:pStyle w:val="61"/>
              <w:spacing w:line="360" w:lineRule="auto"/>
              <w:ind w:firstLine="0" w:firstLineChars="0"/>
              <w:rPr>
                <w:rFonts w:hint="eastAsia" w:ascii="宋体" w:hAnsi="宋体" w:cs="宋体"/>
                <w:szCs w:val="21"/>
              </w:rPr>
            </w:pPr>
            <w:r>
              <w:rPr>
                <w:rFonts w:hint="eastAsia" w:ascii="宋体" w:hAnsi="宋体" w:cs="宋体"/>
                <w:szCs w:val="21"/>
              </w:rPr>
              <w:t>3）支持留级名单的查询和导出；</w:t>
            </w:r>
          </w:p>
          <w:p>
            <w:pPr>
              <w:pStyle w:val="61"/>
              <w:spacing w:line="360" w:lineRule="auto"/>
              <w:ind w:firstLine="0" w:firstLineChars="0"/>
              <w:rPr>
                <w:rFonts w:hint="eastAsia" w:ascii="宋体" w:hAnsi="宋体" w:cs="宋体"/>
                <w:szCs w:val="21"/>
              </w:rPr>
            </w:pPr>
            <w:r>
              <w:rPr>
                <w:rFonts w:hint="eastAsia" w:ascii="宋体" w:hAnsi="宋体" w:cs="宋体"/>
                <w:szCs w:val="21"/>
              </w:rPr>
              <w:t>6.学籍预警</w:t>
            </w:r>
          </w:p>
          <w:p>
            <w:pPr>
              <w:pStyle w:val="61"/>
              <w:spacing w:line="360" w:lineRule="auto"/>
              <w:ind w:firstLine="0" w:firstLineChars="0"/>
              <w:rPr>
                <w:rFonts w:hint="eastAsia" w:ascii="宋体" w:hAnsi="宋体" w:cs="宋体"/>
                <w:szCs w:val="21"/>
              </w:rPr>
            </w:pPr>
            <w:r>
              <w:rPr>
                <w:rFonts w:hint="eastAsia" w:ascii="宋体" w:hAnsi="宋体" w:cs="宋体"/>
                <w:szCs w:val="21"/>
              </w:rPr>
              <w:t>1）支持对不同学生维度设置学籍预警和预警规则；</w:t>
            </w:r>
          </w:p>
          <w:p>
            <w:pPr>
              <w:pStyle w:val="61"/>
              <w:spacing w:line="360" w:lineRule="auto"/>
              <w:ind w:firstLine="0" w:firstLineChars="0"/>
              <w:rPr>
                <w:rFonts w:hint="eastAsia" w:ascii="宋体" w:hAnsi="宋体" w:cs="宋体"/>
                <w:szCs w:val="21"/>
              </w:rPr>
            </w:pPr>
            <w:r>
              <w:rPr>
                <w:rFonts w:hint="eastAsia" w:ascii="宋体" w:hAnsi="宋体" w:cs="宋体"/>
                <w:szCs w:val="21"/>
              </w:rPr>
              <w:t>2）支持生成不同级别的学生学籍预警名单；</w:t>
            </w:r>
          </w:p>
          <w:p>
            <w:pPr>
              <w:pStyle w:val="61"/>
              <w:spacing w:line="360" w:lineRule="auto"/>
              <w:ind w:firstLine="0" w:firstLineChars="0"/>
              <w:rPr>
                <w:rFonts w:hint="eastAsia" w:ascii="宋体" w:hAnsi="宋体" w:cs="宋体"/>
                <w:szCs w:val="21"/>
              </w:rPr>
            </w:pPr>
            <w:r>
              <w:rPr>
                <w:rFonts w:hint="eastAsia" w:ascii="宋体" w:hAnsi="宋体" w:cs="宋体"/>
                <w:szCs w:val="21"/>
              </w:rPr>
              <w:t>3）支持给学生、班主任发送学籍预警通知；</w:t>
            </w:r>
          </w:p>
          <w:p>
            <w:pPr>
              <w:pStyle w:val="61"/>
              <w:spacing w:line="360" w:lineRule="auto"/>
              <w:ind w:firstLine="0" w:firstLineChars="0"/>
              <w:rPr>
                <w:rFonts w:hint="eastAsia" w:ascii="宋体" w:hAnsi="宋体" w:cs="宋体"/>
                <w:szCs w:val="21"/>
              </w:rPr>
            </w:pPr>
            <w:r>
              <w:rPr>
                <w:rFonts w:hint="eastAsia" w:ascii="宋体" w:hAnsi="宋体" w:cs="宋体"/>
                <w:szCs w:val="21"/>
              </w:rPr>
              <w:t>7.校历管理</w:t>
            </w:r>
          </w:p>
          <w:p>
            <w:pPr>
              <w:pStyle w:val="61"/>
              <w:spacing w:line="360" w:lineRule="auto"/>
              <w:ind w:firstLine="0" w:firstLineChars="0"/>
              <w:rPr>
                <w:rFonts w:hint="eastAsia" w:ascii="宋体" w:hAnsi="宋体" w:cs="宋体"/>
                <w:szCs w:val="21"/>
              </w:rPr>
            </w:pPr>
            <w:r>
              <w:rPr>
                <w:rFonts w:hint="eastAsia" w:ascii="宋体" w:hAnsi="宋体" w:cs="宋体"/>
                <w:szCs w:val="21"/>
              </w:rPr>
              <w:t>1）支持根据学年学期中预设的参数一键生成校历；</w:t>
            </w:r>
          </w:p>
          <w:p>
            <w:pPr>
              <w:pStyle w:val="61"/>
              <w:spacing w:line="360" w:lineRule="auto"/>
              <w:ind w:firstLine="0" w:firstLineChars="0"/>
              <w:rPr>
                <w:rFonts w:hint="eastAsia" w:ascii="宋体" w:hAnsi="宋体" w:cs="宋体"/>
                <w:szCs w:val="21"/>
              </w:rPr>
            </w:pPr>
            <w:r>
              <w:rPr>
                <w:rFonts w:hint="eastAsia" w:ascii="宋体" w:hAnsi="宋体" w:cs="宋体"/>
                <w:szCs w:val="21"/>
              </w:rPr>
              <w:t>2）支持在校历上标记特殊日程（例如校庆日，运动会等），支持在校历上一键停课；</w:t>
            </w:r>
          </w:p>
          <w:p>
            <w:pPr>
              <w:pStyle w:val="61"/>
              <w:spacing w:line="360" w:lineRule="auto"/>
              <w:ind w:firstLine="0" w:firstLineChars="0"/>
              <w:rPr>
                <w:rFonts w:hint="eastAsia" w:ascii="宋体" w:hAnsi="宋体" w:cs="宋体"/>
                <w:szCs w:val="21"/>
              </w:rPr>
            </w:pPr>
            <w:r>
              <w:rPr>
                <w:rFonts w:hint="eastAsia" w:ascii="宋体" w:hAnsi="宋体" w:cs="宋体"/>
                <w:szCs w:val="21"/>
              </w:rPr>
              <w:t>3）支持在校历上针对不同学生范围按照周次设置实训周和非实训周；</w:t>
            </w:r>
          </w:p>
          <w:p>
            <w:pPr>
              <w:pStyle w:val="61"/>
              <w:spacing w:line="360" w:lineRule="auto"/>
              <w:ind w:firstLine="0" w:firstLineChars="0"/>
              <w:rPr>
                <w:rFonts w:hint="eastAsia" w:ascii="宋体" w:hAnsi="宋体" w:cs="宋体"/>
                <w:szCs w:val="21"/>
              </w:rPr>
            </w:pPr>
            <w:r>
              <w:rPr>
                <w:rFonts w:hint="eastAsia" w:ascii="宋体" w:hAnsi="宋体" w:cs="宋体"/>
                <w:szCs w:val="21"/>
              </w:rPr>
              <w:t>4）支持按照院系维度查询教学校历，并支持导出excel格式的教学校历；</w:t>
            </w:r>
          </w:p>
          <w:p>
            <w:pPr>
              <w:pStyle w:val="61"/>
              <w:spacing w:line="360" w:lineRule="auto"/>
              <w:ind w:firstLine="0" w:firstLineChars="0"/>
              <w:rPr>
                <w:rFonts w:hint="eastAsia" w:ascii="宋体" w:hAnsi="宋体" w:cs="宋体"/>
                <w:szCs w:val="21"/>
              </w:rPr>
            </w:pPr>
            <w:r>
              <w:rPr>
                <w:rFonts w:hint="eastAsia" w:ascii="宋体" w:hAnsi="宋体" w:cs="宋体"/>
                <w:szCs w:val="21"/>
              </w:rPr>
              <w:t>8.课表结构管理</w:t>
            </w:r>
          </w:p>
          <w:p>
            <w:pPr>
              <w:pStyle w:val="61"/>
              <w:spacing w:line="360" w:lineRule="auto"/>
              <w:ind w:firstLine="0" w:firstLineChars="0"/>
              <w:rPr>
                <w:rFonts w:hint="eastAsia" w:ascii="宋体" w:hAnsi="宋体" w:cs="宋体"/>
                <w:szCs w:val="21"/>
              </w:rPr>
            </w:pPr>
            <w:r>
              <w:rPr>
                <w:rFonts w:hint="eastAsia" w:ascii="宋体" w:hAnsi="宋体" w:cs="宋体"/>
                <w:szCs w:val="21"/>
              </w:rPr>
              <w:t>支持根据冬夏令时设置课表结构，可根据切换时间自动切换课表结构。</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rPr>
            </w:pPr>
          </w:p>
          <w:p>
            <w:pPr>
              <w:pStyle w:val="340"/>
              <w:framePr w:wrap="auto" w:vAnchor="margin" w:hAnchor="text" w:yAlign="inline"/>
              <w:jc w:val="left"/>
              <w:rPr>
                <w:rFonts w:ascii="宋体" w:hAnsi="宋体" w:eastAsia="宋体" w:cs="宋体"/>
                <w:color w:val="auto"/>
              </w:rPr>
            </w:pPr>
            <w:r>
              <w:rPr>
                <w:rFonts w:ascii="宋体" w:hAnsi="宋体" w:eastAsia="宋体" w:cs="宋体"/>
              </w:rPr>
              <w:t>2</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lang w:val="zh-TW" w:eastAsia="zh-TW"/>
              </w:rPr>
            </w:pPr>
            <w:bookmarkStart w:id="91" w:name="_Toc31794"/>
            <w:r>
              <w:rPr>
                <w:rFonts w:hint="eastAsia" w:hAnsi="宋体" w:cs="宋体"/>
                <w:sz w:val="21"/>
                <w:szCs w:val="21"/>
              </w:rPr>
              <w:t>培养过程管理</w:t>
            </w:r>
            <w:bookmarkEnd w:id="91"/>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61"/>
              <w:spacing w:line="360" w:lineRule="auto"/>
              <w:ind w:firstLine="0" w:firstLineChars="0"/>
              <w:rPr>
                <w:rFonts w:hint="eastAsia" w:ascii="宋体" w:hAnsi="宋体" w:cs="宋体"/>
                <w:szCs w:val="21"/>
              </w:rPr>
            </w:pPr>
            <w:r>
              <w:rPr>
                <w:rFonts w:hint="eastAsia" w:ascii="宋体" w:hAnsi="宋体" w:cs="宋体"/>
                <w:szCs w:val="21"/>
              </w:rPr>
              <w:t>培养</w:t>
            </w:r>
            <w:r>
              <w:rPr>
                <w:rFonts w:hint="eastAsia" w:ascii="宋体" w:hAnsi="宋体" w:cs="宋体"/>
                <w:szCs w:val="21"/>
                <w:u w:color="000000"/>
                <w:lang w:val="zh-CN"/>
              </w:rPr>
              <w:t>过程管理：</w:t>
            </w:r>
            <w:r>
              <w:rPr>
                <w:rFonts w:hint="eastAsia" w:ascii="宋体" w:hAnsi="宋体" w:cs="宋体"/>
                <w:szCs w:val="21"/>
                <w:u w:color="000000"/>
              </w:rPr>
              <w:t>支持教务开课后将课程信息和教学班学生信息一键推送至教学平台，在教学平台批量</w:t>
            </w:r>
            <w:r>
              <w:rPr>
                <w:rFonts w:hint="eastAsia" w:ascii="宋体" w:hAnsi="宋体" w:cs="宋体"/>
                <w:szCs w:val="21"/>
              </w:rPr>
              <w:t>开设网络课程和对应班级。</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课程库管理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zh-CN" w:eastAsia="zh-CN"/>
              </w:rPr>
              <w:t>1）支持对全校的课程信息（课程名称、编号、学分、学时等）进行维护，支持逐条添加和批量导入；</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2）支持按照开课系部进行数据权限控制；</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2.培养方案管理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1）支持按照不同年级、专业建立培养方案，支持逐条添加和批量导入；</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2）支持给每个培养方案下添加课程，支持逐条添加、批量导入、通过教学进程表添加；支持同一门课程在多个学期开设；</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3）支持培养方案的复制，并同步复制教学进程表；</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4）支持按照培养方案设置的课程进行毕业学分要求的计算；</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5）支持培养方案查询的权限控制和培养方案制定的审核流程自定义；</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6）支持培养方案管理的撤回和打回</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7）支持培养方案的导出和打印</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8）支持培养方案修订完成之后的修改，支持自定义设置人培方案修改的审核流程</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9）支持学生在PC端查询人培方案中课程的进度情况</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3.教学计划管理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1）支持按照培养方案，一键生成某一个或多个学期的教学计划；</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2）支持对教学计划进行调整，支持逐条添加和批量导入、批量编辑等方式；</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3）支持按照单班、合班、拆班等多种方式生成教学班，支持批量生成教学班；</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4）支持教学计划查询的权限控制和教学计划制定的审核流程自定义；</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7）支持教学计划开班之后，进行撤销开班</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8）支持教学计划制定完成之后的修改，支持自定义设置教学计划修改的审核流程</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4.开课管理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1）给在教学计划中生成的教学班进行授课教师、周次、周学时、教室的等开课信息的设置；支持逐条设置和批量设置；</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2）支持不通过教学计划生成，直接通过班课速配的方式快速设置教学班（即批量给班级添加课程，给课程添加班级）；</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3）支持开课管理查询的权限控制和开课管理审核流程自定义；</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4）支持开课设置之后，撤销开课</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5）支持在开课管理里面查看授课教师以及班级目前开课学时情况</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5.开课信息表</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1）支持直接在开课信息表中添加开课信息，可以不通过开课生成；支持逐条添加和批量导入的方式；</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2）支持查看和导出教学班学生名单；支持对教学班学生进行调整；</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3）支持批量编辑和修改开课信息；</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6.编组管理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支持给同类型教学班信息进行编组供排课、选课、成绩录入等模块使用；</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7.开课统计</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1）支持按教师维度和行政班维度统计学期开课信息明细和学期开课信息汇总；</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2）支持主讲教师和助教分别统计；</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3）支持统计结果数据的查看和导出；</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8.板块管理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1）支持自定义添加板块类型，板块下课程</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2）支持维护板块对象、上课时间以及上课教师、教室等信息</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3）支持将板块下的课程进行选课</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9.教学任务落实</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1）支持按照学年学期查询需要落实的课程情况</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2）支持对未落实的课程进行开课设置的落实</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3</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lang w:val="zh-TW" w:eastAsia="zh-TW"/>
              </w:rPr>
            </w:pPr>
            <w:bookmarkStart w:id="92" w:name="_Toc20680"/>
            <w:r>
              <w:rPr>
                <w:rFonts w:hint="eastAsia" w:hAnsi="宋体" w:cs="宋体"/>
                <w:sz w:val="21"/>
                <w:szCs w:val="21"/>
                <w:lang w:val="zh-TW" w:eastAsia="zh-TW"/>
              </w:rPr>
              <w:t>排课管理</w:t>
            </w:r>
            <w:bookmarkEnd w:id="92"/>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课管理：支持PC端自定义名称维度查看全校课表、班级课表、教室课表、老师课表、学生课表，并支持自定义导出字段进行课表内容导出，支持老师、教室维度的无课查询。支持移动端APP查看全校课表、班级课表、教室课表、老师课表、学生课表。</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课表结构</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1）支持设置每周上课天数，晨读、上午、下午、晚自习等每天每个时段的节数，上课时间，每节时长，课间时间等参数，一键生成课表结构；</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2）支持添加课间操，午休等自定义时段；生成课表结构后支持对节次时间进行自定义编辑；</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3）支持为不同校区设置不同课表结构</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2.课表导入</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支持校方已排好的课表按照系统模板格式整理后导入系统；</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3.排课规则</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1）支持对一个或多个班级/老师/教室/课程，在某个节次时段进行禁排；</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2）支持对单个或多个课程/老师在某个节次时段进行预排，支持优先排入和必须排入两种规则；</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3）支持课程互斥规则，两门及以上课程不排在同一时段；</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4）支持教师互斥规则，两个及以上的教师不排在某一节；</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5）支持校区互斥规则，两个及以上的校区不排在同一时段；</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6）支持对连堂规则进行设置</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7）支持对排课均衡性规则进行配置，如老师最大日课时数</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8）每种规则都支持自定义规则描述，自定义标签是否显示；</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4.自动排课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1）支持按照预设规则一键自动排课，自动排课会进行规则校验、冲突校验；</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2）自动排课前支持先手动预排部分课程，并作预排标签标记；</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5.手动排课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1）自动排课的结果支持手动调整；</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2）支持直接进行手动排课；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3）支持按周次排课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4）支持进行冲突强排，并做强排标签；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5）支持按班级、按老师、按教室三种不同维度的手动排课；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6）手动排课也会进行冲突和规则校验，通过颜色标识和弹窗提示；</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7）每种排课维度可以查看另外两种维度的辅助课表来查看具体冲突明细；</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8）支持每次调整后系统自动进行调整日志记录；</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9）支持一键清除课表；</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10）支持通过护眼模式调整页面颜色样式；</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11）支持课程名称、班级名称、周次、教室等字段内容是否显示的控制；</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12）支持老师课表、班级课表、学生课表、教室课表等维度的预览；</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6.课表保存与恢复</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支持用户自主保存课表，并在发布课表等重要节点自动保存课表，支持恢复已保存的课表.</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7.课表查询与导出</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1）支持全校课表、班级课表、老师课表、教室课表、学生课表、课程课表、班主任课表等维度的课表查询和导出；</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2）支持不同样式的全校课表导出；支持导出字段的控制</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3）支持移动端个人课表，老师课表，班级课表，学生课表，课程课表，班主任课表的查看；支持移动端课表课堂记录填写；课堂记录字段支持自定义配置；</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8.调代课/停复课</w:t>
            </w:r>
          </w:p>
          <w:p>
            <w:pPr>
              <w:pStyle w:val="341"/>
              <w:framePr w:wrap="auto" w:vAnchor="margin" w:hAnchor="text" w:yAlign="inline"/>
              <w:widowControl w:val="0"/>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支持移动端调课、代课、停复补课等各类申请审批自定义，并发送通知到审批人和申请人，调代课通过后自动更新课表和结果数据，结果数据可用于教师工作量统计。</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1）支持管理端进行调课、代课、跨周调课、停课、复课、补课；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2）支持移动端教师自行发起调课、代课、跨周调课、停课、复课、补课申请；</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3）支持调代课审批，且支持流程的自定义配置；</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4）支持调代课记录的查询和导出；</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5）支持管理端调代课通知设置，添加抄送。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4</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sz w:val="21"/>
                <w:szCs w:val="21"/>
              </w:rPr>
            </w:pPr>
            <w:r>
              <w:rPr>
                <w:rFonts w:hint="eastAsia" w:hAnsi="宋体" w:cs="宋体"/>
                <w:sz w:val="21"/>
                <w:szCs w:val="21"/>
              </w:rPr>
              <w:t>新版选课管理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w:t>
            </w:r>
            <w:r>
              <w:rPr>
                <w:rFonts w:hint="eastAsia" w:ascii="宋体" w:hAnsi="宋体" w:cs="宋体"/>
                <w:kern w:val="0"/>
                <w:szCs w:val="21"/>
                <w:lang w:bidi="ar"/>
              </w:rPr>
              <w:t>支持从开课管理生成选修课、从开课信息表导入选修课，和老师自主申报选修课</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color w:val="000000"/>
                <w:kern w:val="0"/>
                <w:szCs w:val="21"/>
                <w:shd w:val="clear" w:color="auto" w:fill="FFFFFF"/>
              </w:rPr>
            </w:pPr>
            <w:r>
              <w:rPr>
                <w:rFonts w:hint="eastAsia" w:ascii="宋体" w:hAnsi="宋体" w:cs="宋体"/>
                <w:color w:val="000000"/>
                <w:szCs w:val="21"/>
                <w:shd w:val="clear" w:color="auto" w:fill="FFFFFF"/>
              </w:rPr>
              <w:t>2）</w:t>
            </w:r>
            <w:r>
              <w:rPr>
                <w:rFonts w:hint="eastAsia" w:ascii="宋体" w:hAnsi="宋体" w:cs="宋体"/>
                <w:kern w:val="0"/>
                <w:szCs w:val="21"/>
                <w:lang w:bidi="ar"/>
              </w:rPr>
              <w:t>支持按学期、分批次进行选课，支持不同校区、年级、院系、专业的学生在同一学期开展多批次选课</w:t>
            </w:r>
            <w:r>
              <w:rPr>
                <w:rFonts w:hint="eastAsia" w:ascii="宋体" w:hAnsi="宋体" w:cs="宋体"/>
                <w:color w:val="000000"/>
                <w:kern w:val="0"/>
                <w:szCs w:val="21"/>
                <w:shd w:val="clear" w:color="auto" w:fill="FFFFFF"/>
              </w:rPr>
              <w:t>；</w:t>
            </w:r>
          </w:p>
          <w:p>
            <w:pPr>
              <w:pStyle w:val="61"/>
              <w:spacing w:line="360" w:lineRule="auto"/>
              <w:ind w:firstLine="0" w:firstLineChars="0"/>
              <w:rPr>
                <w:rFonts w:hint="eastAsia" w:ascii="宋体" w:hAnsi="宋体" w:cs="宋体"/>
                <w:szCs w:val="21"/>
              </w:rPr>
            </w:pPr>
            <w:r>
              <w:rPr>
                <w:rFonts w:hint="eastAsia" w:ascii="宋体" w:hAnsi="宋体" w:cs="宋体"/>
                <w:color w:val="000000"/>
                <w:kern w:val="0"/>
                <w:szCs w:val="21"/>
                <w:shd w:val="clear" w:color="auto" w:fill="FFFFFF"/>
              </w:rPr>
              <w:t>3）支持对专业选修课、公共选修课、分项课程建立选课计划进行选课，支持重修选课</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4）</w:t>
            </w:r>
            <w:r>
              <w:rPr>
                <w:rFonts w:hint="eastAsia" w:ascii="宋体" w:hAnsi="宋体" w:cs="宋体"/>
                <w:kern w:val="0"/>
                <w:szCs w:val="21"/>
                <w:lang w:bidi="ar"/>
              </w:rPr>
              <w:t>支持对选课计划设置可选课程范围，满足多种课程性质同时选课。支持通过excel表导入可选课程</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5）</w:t>
            </w:r>
            <w:r>
              <w:rPr>
                <w:rFonts w:hint="eastAsia" w:ascii="宋体" w:hAnsi="宋体" w:cs="宋体"/>
                <w:kern w:val="0"/>
                <w:szCs w:val="21"/>
                <w:lang w:bidi="ar"/>
              </w:rPr>
              <w:t>支持对选课计划设置学分门数要求，支持不同年级、院系、专业、班级的学生设置不同的学分门数要求。支持单独设置学分、门数要求，支持同时对学分、门数设置要求</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6）</w:t>
            </w:r>
            <w:r>
              <w:rPr>
                <w:rFonts w:hint="eastAsia" w:ascii="宋体" w:hAnsi="宋体" w:cs="宋体"/>
                <w:kern w:val="0"/>
                <w:szCs w:val="21"/>
                <w:lang w:bidi="ar"/>
              </w:rPr>
              <w:t>支持选择是否允许学生重复选课，支持限制学生某个时间段内不可重复选课</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7）</w:t>
            </w:r>
            <w:r>
              <w:rPr>
                <w:rFonts w:hint="eastAsia" w:ascii="宋体" w:hAnsi="宋体" w:cs="宋体"/>
                <w:kern w:val="0"/>
                <w:szCs w:val="21"/>
                <w:lang w:bidi="ar"/>
              </w:rPr>
              <w:t>支持对选修课进行性别限制</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8）</w:t>
            </w:r>
            <w:r>
              <w:rPr>
                <w:rFonts w:hint="eastAsia" w:ascii="宋体" w:hAnsi="宋体" w:cs="宋体"/>
                <w:kern w:val="0"/>
                <w:szCs w:val="21"/>
                <w:lang w:bidi="ar"/>
              </w:rPr>
              <w:t>支持对选修课设置同组选课数量限制、前置先修课程以及先修课程成绩限制</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9）</w:t>
            </w:r>
            <w:r>
              <w:rPr>
                <w:rFonts w:hint="eastAsia" w:ascii="宋体" w:hAnsi="宋体" w:cs="宋体"/>
                <w:kern w:val="0"/>
                <w:szCs w:val="21"/>
                <w:lang w:bidi="ar"/>
              </w:rPr>
              <w:t>支持单独为每门选修课设置面向或限制的学生，满足不同课程面向不同年级、院系、专业、班级学生的场景</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10）</w:t>
            </w:r>
            <w:r>
              <w:rPr>
                <w:rFonts w:hint="eastAsia" w:ascii="宋体" w:hAnsi="宋体" w:cs="宋体"/>
                <w:kern w:val="0"/>
                <w:szCs w:val="21"/>
                <w:lang w:bidi="ar"/>
              </w:rPr>
              <w:t>支持每门选修课按班级分配选课名额，指定每个班可选此课的学生数量</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11）</w:t>
            </w:r>
            <w:r>
              <w:rPr>
                <w:rFonts w:hint="eastAsia" w:ascii="宋体" w:hAnsi="宋体" w:cs="宋体"/>
                <w:kern w:val="0"/>
                <w:szCs w:val="21"/>
                <w:lang w:bidi="ar"/>
              </w:rPr>
              <w:t>支持将历史选课计划中已修读的某门课的学生同步到本计划某门课中，无需学生再次选课</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12）</w:t>
            </w:r>
            <w:r>
              <w:rPr>
                <w:rFonts w:hint="eastAsia" w:ascii="宋体" w:hAnsi="宋体" w:cs="宋体"/>
                <w:kern w:val="0"/>
                <w:szCs w:val="21"/>
                <w:lang w:bidi="ar"/>
              </w:rPr>
              <w:t>支持学生在PC端和移动端选课，支持课表模式选课和普通列表模式选课</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13）</w:t>
            </w:r>
            <w:r>
              <w:rPr>
                <w:rFonts w:hint="eastAsia" w:ascii="宋体" w:hAnsi="宋体" w:cs="宋体"/>
                <w:kern w:val="0"/>
                <w:szCs w:val="21"/>
                <w:lang w:bidi="ar"/>
              </w:rPr>
              <w:t>支持管理人员对学生选课结果进行管理，帮学生选课、退课</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14）</w:t>
            </w:r>
            <w:r>
              <w:rPr>
                <w:rFonts w:hint="eastAsia" w:ascii="宋体" w:hAnsi="宋体" w:cs="宋体"/>
                <w:kern w:val="0"/>
                <w:szCs w:val="21"/>
                <w:lang w:bidi="ar"/>
              </w:rPr>
              <w:t>支持按照学生、课程多维度查看选课结果</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15）</w:t>
            </w:r>
            <w:r>
              <w:rPr>
                <w:rFonts w:hint="eastAsia" w:ascii="宋体" w:hAnsi="宋体" w:cs="宋体"/>
                <w:kern w:val="0"/>
                <w:szCs w:val="21"/>
                <w:lang w:bidi="ar"/>
              </w:rPr>
              <w:t>支持按教学班或行政班维度导出选课名单</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16）</w:t>
            </w:r>
            <w:r>
              <w:rPr>
                <w:rFonts w:hint="eastAsia" w:ascii="宋体" w:hAnsi="宋体" w:cs="宋体"/>
                <w:kern w:val="0"/>
                <w:szCs w:val="21"/>
                <w:lang w:bidi="ar"/>
              </w:rPr>
              <w:t>支持在选课计划开始前和结束前给管理人员和学生发送通知提醒，支持给没有完成选课计划的学生发送通知提醒</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17）</w:t>
            </w:r>
            <w:r>
              <w:rPr>
                <w:rFonts w:hint="eastAsia" w:ascii="宋体" w:hAnsi="宋体" w:cs="宋体"/>
                <w:kern w:val="0"/>
                <w:szCs w:val="21"/>
                <w:lang w:bidi="ar"/>
              </w:rPr>
              <w:t>支持管理人员查看学生退课申请，并进行退课审核</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18）</w:t>
            </w:r>
            <w:r>
              <w:rPr>
                <w:rFonts w:hint="eastAsia" w:ascii="宋体" w:hAnsi="宋体" w:cs="宋体"/>
                <w:kern w:val="0"/>
                <w:szCs w:val="21"/>
                <w:lang w:bidi="ar"/>
              </w:rPr>
              <w:t>支持取消未达到开课标准的课，给学生发送课程被取消通知</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19）</w:t>
            </w:r>
            <w:r>
              <w:rPr>
                <w:rFonts w:hint="eastAsia" w:ascii="宋体" w:hAnsi="宋体" w:cs="宋体"/>
                <w:kern w:val="0"/>
                <w:szCs w:val="21"/>
                <w:lang w:bidi="ar"/>
              </w:rPr>
              <w:t>支持在正式选课计划结束后开启补选，方便没有完成选课计划的学生再次选课</w:t>
            </w:r>
            <w:r>
              <w:rPr>
                <w:rFonts w:hint="eastAsia" w:ascii="宋体" w:hAnsi="宋体" w:cs="宋体"/>
                <w:color w:val="000000"/>
                <w:kern w:val="0"/>
                <w:szCs w:val="21"/>
                <w:shd w:val="clear" w:color="auto" w:fill="FFFFFF"/>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5</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rPr>
            </w:pPr>
            <w:bookmarkStart w:id="93" w:name="_Toc12158"/>
            <w:r>
              <w:rPr>
                <w:rFonts w:hint="eastAsia" w:hAnsi="宋体" w:cs="宋体"/>
                <w:sz w:val="21"/>
                <w:szCs w:val="21"/>
              </w:rPr>
              <w:t>教学常规管理</w:t>
            </w:r>
            <w:bookmarkEnd w:id="93"/>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44"/>
              <w:shd w:val="clear" w:color="auto" w:fill="FFFFFF"/>
              <w:spacing w:before="0" w:beforeAutospacing="0" w:after="0" w:afterAutospacing="0" w:line="360" w:lineRule="auto"/>
              <w:ind w:firstLine="0" w:firstLineChars="0"/>
              <w:jc w:val="both"/>
              <w:rPr>
                <w:rFonts w:hint="eastAsia" w:cs="宋体"/>
                <w:color w:val="000000"/>
                <w:sz w:val="21"/>
                <w:szCs w:val="21"/>
                <w:shd w:val="clear" w:color="auto" w:fill="FFFFFF"/>
              </w:rPr>
            </w:pPr>
            <w:r>
              <w:rPr>
                <w:rFonts w:hint="eastAsia" w:cs="宋体"/>
                <w:color w:val="000000"/>
                <w:sz w:val="21"/>
                <w:szCs w:val="21"/>
                <w:shd w:val="clear" w:color="auto" w:fill="FFFFFF"/>
              </w:rPr>
              <w:t>1.教师获奖管理</w:t>
            </w:r>
          </w:p>
          <w:p>
            <w:pPr>
              <w:widowControl/>
              <w:spacing w:line="360" w:lineRule="auto"/>
              <w:ind w:firstLine="0" w:firstLineChars="0"/>
              <w:jc w:val="left"/>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1）支持教职工提交国家、省、市和校级获奖信息；</w:t>
            </w:r>
          </w:p>
          <w:p>
            <w:pPr>
              <w:widowControl/>
              <w:spacing w:line="360" w:lineRule="auto"/>
              <w:ind w:firstLine="0" w:firstLineChars="0"/>
              <w:jc w:val="left"/>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2）支持管理人员审核提交的相关材料；</w:t>
            </w:r>
          </w:p>
          <w:p>
            <w:pPr>
              <w:widowControl/>
              <w:spacing w:line="360" w:lineRule="auto"/>
              <w:ind w:firstLine="0" w:firstLineChars="0"/>
              <w:jc w:val="left"/>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3）支持多维度查询获奖情况；</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2.课题管理</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1）支持把国家、省、市、校级课题纳入管理范畴，教职工可以提交课题名称、类型、级别、负责人、经费、支出经费和相关附件材料；</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2）支持管理人员审核提交的相关课题材料，支持多维度查询课题情况。</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3.论文管理</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1）支持对教职工发表的论文进行登记统计管理；</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2）支持教职工填报提交包括论文标题、级别、刊名，发表时间、字数和相关附件材料；</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3）支持管理人员审核提交的相关论文材料，支持多维度查询论文情况；</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4.证书管理</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1）支持教职工上传提交各类证书，如毕业证、教师资格证和各类获奖证书等；</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2）支持相关部门对证书审核。系统支持多维度查询证书情况</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5.师资培训管理</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1）支持教师新增参与过的各种培训，填写培训内容，上传培训证书和培训总结，由管理人员审核培训材料；</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2）支持下载培训证书和培训总结；</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6</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rPr>
            </w:pPr>
            <w:bookmarkStart w:id="94" w:name="_Toc11399"/>
            <w:r>
              <w:rPr>
                <w:rFonts w:hint="eastAsia" w:hAnsi="宋体" w:cs="宋体"/>
                <w:sz w:val="21"/>
                <w:szCs w:val="21"/>
              </w:rPr>
              <w:t>考务管理</w:t>
            </w:r>
            <w:bookmarkEnd w:id="94"/>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341"/>
              <w:framePr w:wrap="auto" w:vAnchor="margin" w:hAnchor="text" w:yAlign="inline"/>
              <w:widowControl w:val="0"/>
              <w:spacing w:line="360" w:lineRule="auto"/>
              <w:rPr>
                <w:rFonts w:hint="eastAsia" w:ascii="宋体" w:hAnsi="宋体" w:eastAsia="宋体" w:cs="宋体"/>
                <w:color w:val="FF0000"/>
                <w:kern w:val="2"/>
                <w:sz w:val="21"/>
                <w:szCs w:val="21"/>
                <w:lang w:val="en-US" w:eastAsia="zh-CN"/>
              </w:rPr>
            </w:pPr>
            <w:r>
              <w:rPr>
                <w:rFonts w:hint="eastAsia" w:ascii="宋体" w:hAnsi="宋体" w:eastAsia="宋体" w:cs="宋体"/>
                <w:kern w:val="2"/>
                <w:sz w:val="21"/>
                <w:szCs w:val="21"/>
                <w:lang w:val="en-US" w:eastAsia="zh-CN"/>
              </w:rPr>
              <w:t xml:space="preserve"> 支持教务系统排考数据一键推送到考试系统，考试成绩数据一键同步到教务系统成绩模块。</w:t>
            </w:r>
          </w:p>
          <w:p>
            <w:pPr>
              <w:pStyle w:val="341"/>
              <w:framePr w:wrap="auto" w:vAnchor="margin" w:hAnchor="text" w:yAlign="inline"/>
              <w:widowControl w:val="0"/>
              <w:spacing w:line="360" w:lineRule="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.考务基础数据</w:t>
            </w:r>
          </w:p>
          <w:p>
            <w:pPr>
              <w:pStyle w:val="341"/>
              <w:framePr w:wrap="auto" w:vAnchor="margin" w:hAnchor="text" w:yAlign="inline"/>
              <w:widowControl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1）支持创建考试批次，自定义考试批次名称、类型、开始时间、结束时间；</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2）支持单条/导入创建考试场次，自定义考试场次名称、开始时间、结束时间，同时支持继承历史考试批次中的场次记录；</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3）支持从教师基本信息同步监考教师信息；</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4）支持从教室信息同步考场信息，支持考场容量自定义设置；</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2.考试任务</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1）支持从开课信息转入考试任务；</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2）支持添加和导入考试任务及考试学生名单；</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3.排考规则</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1）支持设置多维度按教学班、行政班学生排考方式</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2）支持自动按照设置的考场容量范围批量拆分考试数据；</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3）支持同个考场自定义监考教师数量</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4）支持教师、教室跨校区排考规则；</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5）支持设置监考教师监考范围</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6）支持设置一个或多个教师/考场在某个场次的禁排；</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7）支持排考任务发布后，自动发送排考信息给各个角色；</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4.安排考试</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1）支持自动排考；</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2）支持手动图形化排考；</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3）支持调整考试学生名单；</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5.排考结果</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支持对排考结果进行查询及全校考表的导出；</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6.监考工作量</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支持对教师监考场次、时长进行自动统计，查询及导出；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7</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lang w:val="zh-TW" w:eastAsia="zh-TW"/>
              </w:rPr>
            </w:pPr>
            <w:bookmarkStart w:id="95" w:name="_Toc2563"/>
            <w:r>
              <w:rPr>
                <w:rFonts w:hint="eastAsia" w:hAnsi="宋体" w:cs="宋体"/>
                <w:sz w:val="21"/>
                <w:szCs w:val="21"/>
                <w:lang w:val="zh-TW" w:eastAsia="zh-TW"/>
              </w:rPr>
              <w:t>成绩管理</w:t>
            </w:r>
            <w:bookmarkEnd w:id="95"/>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341"/>
              <w:framePr w:wrap="auto" w:vAnchor="margin" w:hAnchor="text" w:yAlign="inline"/>
              <w:widowControl w:val="0"/>
              <w:spacing w:line="360" w:lineRule="auto"/>
              <w:jc w:val="both"/>
              <w:rPr>
                <w:rFonts w:hint="eastAsia" w:ascii="宋体" w:hAnsi="宋体" w:eastAsia="宋体" w:cs="宋体"/>
                <w:color w:val="FF0000"/>
                <w:sz w:val="21"/>
                <w:szCs w:val="21"/>
              </w:rPr>
            </w:pPr>
            <w:r>
              <w:rPr>
                <w:rFonts w:hint="eastAsia" w:ascii="宋体" w:hAnsi="宋体" w:eastAsia="宋体" w:cs="宋体"/>
                <w:color w:val="auto"/>
                <w:sz w:val="21"/>
                <w:szCs w:val="21"/>
                <w:lang w:val="en-US" w:eastAsia="zh-CN"/>
              </w:rPr>
              <w:t>成绩管理：成绩管理模块通过线上方式去管理每个环节的成绩，系统支持录入前的规则配置、录入中的相关操作(正考、补考、重修、毕业考试)、录入后的结果处理 (成绩优化、成绩查询、成绩统计、成绩分析..... ）</w:t>
            </w:r>
          </w:p>
          <w:p>
            <w:pPr>
              <w:pStyle w:val="341"/>
              <w:framePr w:wrap="auto" w:vAnchor="margin" w:hAnchor="text" w:yAlign="inline"/>
              <w:widowControl w:val="0"/>
              <w:numPr>
                <w:ilvl w:val="0"/>
                <w:numId w:val="6"/>
              </w:num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成绩参数设置</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满足管理员对成绩基本规则的配置，可以控制教师录入成绩的开始时间、结束时间及各种成绩录入的参数（分项、级制、计算规则、学分规则、绩点规则、其他规则设置等）</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1）支持设置一次性录入或按照分项分批次录入，支持设置录入开始时间、结束时间；</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2）支持设置成绩分项、自定义分项名称；支持给分项设置二级分项；</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3）支持按照分数制、等级制来自定义设置级制；支持设置分数等级的换算关系、支持根据培养层次设置正考合格标准；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4）支持设置多种成绩计算规则模板；支持使用公式编辑让二级分项也参与计算规则；支持任课教师自行创建成绩计算规则；支持设置综合成绩保留小数位数、是否需要四舍五入；</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5）支持设置绩点规则、设置绩点与分数之间的对应关系；支持计算平均学分绩点；</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6）支持根据正考、补考、重修、毕业考试等不同的成绩类型设置不同的学分规则；支持按照分数、等级、计算公式设置课程学分规则；</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7）支持自定义特殊成绩标识（例如缓考、作弊、休学等）；支持自定义成绩质量分析标题；支持自定义成绩质量分析标题；支持配置成绩查询显示内容；</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8）支持成绩一体化对接，教学平台的学习成绩、考试系统的成绩都可以自动与教务成绩进行对接，免手工录入</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2.正考成绩管理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1）支持从开课数据自动同步待录入成绩数据；</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2）支持批量配置成绩计算规则（选择模板规则或自行创建)；</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3）支持给教师发送通知催促成绩录入；</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4）支持查看录入情况，录入百分比；</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5）支持解除已提交成绩的锁定状态以进行修改或重新录入；支持填写解锁理由；支持锁定成绩；</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6）支持发布、取消发布成绩，供学生查询；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7）支持教学班成绩的批量导出；</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8）支持成绩分析报告的导出；</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9）支持查看分析内容录入情况，录入百分比；</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10）支持教师端录入正考成绩，做相应权限控制；支持逐条录入和按班级导入；支持对成绩结果一键优化，按等级、按分数、按排名优化正考成绩结果；</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color w:val="auto"/>
                <w:sz w:val="21"/>
                <w:szCs w:val="21"/>
                <w:lang w:val="en-US" w:eastAsia="zh-CN"/>
              </w:rPr>
              <w:t>支持查看教学班各分项成绩统计结果，包括应考人数、实考人数、缺考人数、缓考人数、免考人数、总分、平均分、标准差、及格率、优秀率，分数区间人数等指标统计；</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12）支持控制管理端和教师端顶部筛选、顶部按键、列表字段、右侧按键的显隐规则、锁定状态</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3.补考成绩管理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1）支持设置补考名单生成规则；支持按照规则一键生成补考名单；</w:t>
            </w:r>
          </w:p>
          <w:p>
            <w:pPr>
              <w:pStyle w:val="341"/>
              <w:framePr w:wrap="auto" w:vAnchor="margin" w:hAnchor="text" w:yAlign="inline"/>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sz w:val="21"/>
                <w:szCs w:val="21"/>
              </w:rPr>
              <w:t>支持自定义补考计算规则（各分项的录入计算比例），可以继承正考的分项成绩作为补考成绩的分项成绩；</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3）支持设置补考成绩录入规则、最终成绩展示与补考成绩的关系；支持按照教学班设置合格标准；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4）支持不同角色（管理员、班主任、老师）按照行政班、教学班、学生三个维度来进行补考成绩的录入、查询、导出；支持老师改变合格分数线，提高学生及格率；</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4.重修成绩管理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1）支持设置重修名单生成规则；支持按照规则一键生成重修名单；</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2）支持设置重修成绩录入规则、最终成绩展示与重修成绩的关系；支持按照教学班设置合格标准；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3）支持不同角色（管理员、班主任、老师）按照教学班维度、学生维度来进行重修成绩的录入、查询、导出；支持老师改变合格分数线，提高学生及格率；</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5.毕业考试成绩管理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1）支持设置毕业考试名单生成规则；支持按照规则一键生成毕业考试名单；</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2）支持设置毕业考试成绩录入规则、最终成绩展示与毕业考试成绩的关系；支持按照教学班设置合格标准；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3）支持不同角色（管理员、班主任、老师）按教学班维度、学生维度来进行毕业考试成绩的录入、查询、导出；</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6.成绩分析</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以升学或就业为目标，对学生成绩进行个性化的/针对性的分析:行政班统计分析、教学班对比分析、行政班对比分析</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1）支持按照行政班维度来进行成绩统计分析；</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2）支持统计班级学生排名、班级总分、平均分、各科目优秀率、及格率等；</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按照教学班、行政班维度来进行对比分析；教学班对比分析可以提供给教师对同一教学班不同学期、不同教学班同一学期的成绩结果进行对比分析；行政班对比分析可灵活选择行政班和对比批次，进行同一行政班多个批次、多个行政班同一批次、多个行政班多个批次的均分、均差对比分析；</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4）支持折线图、柱状图等分析样式；</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7.成绩查询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1）支持按照学期进行班级成绩查询；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2）支持按照学年进行班级成绩查询；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3）支持按照学生维度进行毕业成绩单查询；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8.移动端成绩查询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支持教师、学生在手机、平板等移动端设备进行成绩查询；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9.日志</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支持记录和查询数据日志和操作日志，支持成绩恢复；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8</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rPr>
            </w:pPr>
            <w:bookmarkStart w:id="96" w:name="_Toc6070"/>
            <w:r>
              <w:rPr>
                <w:rFonts w:hint="eastAsia" w:hAnsi="宋体" w:cs="宋体"/>
                <w:sz w:val="21"/>
                <w:szCs w:val="21"/>
                <w:lang w:val="zh-TW" w:eastAsia="zh-TW"/>
              </w:rPr>
              <w:t>教材管理</w:t>
            </w:r>
            <w:bookmarkEnd w:id="96"/>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1.基础数据管理</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1）支持对学期开课的课程进行管理，对学年学期，课程名称，课程编号，开课院系，班级，班级人数等进行基本参数设置；</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2）支持对学期学生课程进行管理，对学年学期，学生姓名，学号，年级，课程编号，校区，院系，专业等进行基本参数设置；</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3）支持对教材出版社，教材名称，教材编号，ISBN，教材出版社，教材作者，出版年月，单价，折扣等进行基本参数设置；</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4）支持对供应商名称，地址，联系人，电话，手机，传真，电子邮件，邮编等进行基本参数设置；</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5）支持新增教材申请审批设置，可由教师端填写需要新增入库的教材，管理端进行审批；</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6）支持新增教材批量导入；</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2.课程教材管理</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1）支持统计各班级课程的教材申请情况；</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2）支持教材计划的申请审批设置，可由教师在移动端或电脑端填写课程、班级以及对应的教材，管理员进行审批，审批流程可设置；</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3）支持按部门统计教材申请的情况；</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3.教材征订</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支持按班级、教师部门进行教材征订，可以批量指定供应商，支持学校设置额外征订的教材（留存）；</w:t>
            </w:r>
          </w:p>
          <w:p>
            <w:pPr>
              <w:pStyle w:val="340"/>
              <w:framePr w:wrap="auto" w:vAnchor="margin" w:hAnchor="text" w:yAlign="inline"/>
              <w:numPr>
                <w:ilvl w:val="0"/>
                <w:numId w:val="7"/>
              </w:numPr>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教材征订汇总</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支持根据提交的班级、教师、留存教材征订信息，按供应商及教材进行汇总，包含征订总量、学生征订数量、教师征订数量及额外征订数量；</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5.教材领取结算管理</w:t>
            </w:r>
          </w:p>
          <w:p>
            <w:pPr>
              <w:pStyle w:val="340"/>
              <w:framePr w:wrap="auto" w:vAnchor="margin" w:hAnchor="text" w:yAlign="inline"/>
              <w:spacing w:line="360" w:lineRule="auto"/>
              <w:rPr>
                <w:rFonts w:ascii="宋体" w:hAnsi="宋体" w:eastAsia="宋体" w:cs="宋体"/>
                <w:color w:val="auto"/>
              </w:rPr>
            </w:pPr>
            <w:r>
              <w:rPr>
                <w:rFonts w:ascii="宋体" w:hAnsi="宋体" w:eastAsia="宋体" w:cs="宋体"/>
                <w:color w:val="000000" w:themeColor="text1"/>
                <w14:textFill>
                  <w14:solidFill>
                    <w14:schemeClr w14:val="tx1"/>
                  </w14:solidFill>
                </w14:textFill>
              </w:rPr>
              <w:t>可以按班级、教师部门、供应商角度维护教材的领取数量，并计算教材费用，支持学生自主查询教材费用明细，支持班级教材签收单的打印；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9</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rPr>
            </w:pPr>
            <w:bookmarkStart w:id="97" w:name="_Toc20566"/>
            <w:r>
              <w:rPr>
                <w:rFonts w:hint="eastAsia" w:hAnsi="宋体" w:cs="宋体"/>
                <w:sz w:val="21"/>
                <w:szCs w:val="21"/>
                <w:lang w:val="zh-TW" w:eastAsia="zh-TW"/>
              </w:rPr>
              <w:t>评价</w:t>
            </w:r>
            <w:bookmarkEnd w:id="97"/>
            <w:r>
              <w:rPr>
                <w:rFonts w:hint="eastAsia" w:hAnsi="宋体" w:cs="宋体"/>
                <w:sz w:val="21"/>
                <w:szCs w:val="21"/>
                <w:lang w:val="zh-TW"/>
              </w:rPr>
              <w:t>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0" w:firstLineChars="0"/>
              <w:rPr>
                <w:rFonts w:hint="eastAsia" w:ascii="宋体" w:hAnsi="宋体" w:cs="宋体"/>
                <w:szCs w:val="21"/>
              </w:rPr>
            </w:pPr>
            <w:r>
              <w:rPr>
                <w:rFonts w:hint="eastAsia" w:ascii="宋体" w:hAnsi="宋体" w:cs="宋体"/>
                <w:szCs w:val="21"/>
              </w:rPr>
              <w:t>评价问卷发放支持多种方式及业务，至少包括为：公开问卷、评价教师、评价学生、评价课程、评价课堂、听评课问卷；发放督导评教问卷时可选择某个或者某几个督导分类进行定向投放。支持PC端、移动端APP提交评价。</w:t>
            </w:r>
          </w:p>
          <w:p>
            <w:pPr>
              <w:spacing w:line="360" w:lineRule="auto"/>
              <w:ind w:firstLine="420"/>
              <w:rPr>
                <w:rFonts w:hint="eastAsia" w:ascii="宋体" w:hAnsi="宋体" w:cs="宋体"/>
                <w:szCs w:val="21"/>
                <w:lang w:eastAsia="zh-Hans"/>
              </w:rPr>
            </w:pPr>
            <w:r>
              <w:rPr>
                <w:rFonts w:hint="eastAsia" w:ascii="宋体" w:hAnsi="宋体" w:cs="宋体"/>
                <w:szCs w:val="21"/>
              </w:rPr>
              <w:t>1.</w:t>
            </w:r>
            <w:r>
              <w:rPr>
                <w:rFonts w:hint="eastAsia" w:ascii="宋体" w:hAnsi="宋体" w:cs="宋体"/>
                <w:szCs w:val="21"/>
                <w:lang w:eastAsia="zh-Hans"/>
              </w:rPr>
              <w:t>听评课管理</w:t>
            </w:r>
          </w:p>
          <w:p>
            <w:pPr>
              <w:spacing w:line="360" w:lineRule="auto"/>
              <w:ind w:firstLine="420"/>
              <w:rPr>
                <w:rFonts w:hint="eastAsia" w:ascii="宋体" w:hAnsi="宋体" w:cs="宋体"/>
                <w:szCs w:val="21"/>
                <w:lang w:eastAsia="zh-Hans"/>
              </w:rPr>
            </w:pPr>
            <w:r>
              <w:rPr>
                <w:rFonts w:hint="eastAsia" w:ascii="宋体" w:hAnsi="宋体" w:cs="宋体"/>
                <w:szCs w:val="21"/>
              </w:rPr>
              <w:t>1）</w:t>
            </w:r>
            <w:r>
              <w:rPr>
                <w:rFonts w:hint="eastAsia" w:ascii="宋体" w:hAnsi="宋体" w:cs="宋体"/>
                <w:szCs w:val="21"/>
                <w:lang w:eastAsia="zh-Hans"/>
              </w:rPr>
              <w:t>全局设置</w:t>
            </w:r>
          </w:p>
          <w:p>
            <w:pPr>
              <w:spacing w:line="360" w:lineRule="auto"/>
              <w:ind w:firstLine="420"/>
              <w:rPr>
                <w:rFonts w:hint="eastAsia" w:ascii="宋体" w:hAnsi="宋体" w:cs="宋体"/>
                <w:szCs w:val="21"/>
              </w:rPr>
            </w:pPr>
            <w:r>
              <w:rPr>
                <w:rFonts w:hint="eastAsia" w:ascii="宋体" w:hAnsi="宋体" w:cs="宋体"/>
                <w:szCs w:val="21"/>
                <w:lang w:eastAsia="zh-Hans"/>
              </w:rPr>
              <w:t>支持管理员在后台设置教师被听评次数上限，</w:t>
            </w:r>
            <w:r>
              <w:rPr>
                <w:rFonts w:hint="eastAsia" w:ascii="宋体" w:hAnsi="宋体" w:cs="宋体"/>
                <w:szCs w:val="21"/>
              </w:rPr>
              <w:t>以“教师+课程”为单位设置被听评次数上限，管理员可自主设定上限值，“大于等于”上限值后用户将无法对其进行评价</w:t>
            </w:r>
            <w:r>
              <w:rPr>
                <w:rFonts w:hint="eastAsia" w:ascii="宋体" w:hAnsi="宋体" w:cs="宋体"/>
                <w:szCs w:val="21"/>
                <w:lang w:eastAsia="zh-Hans"/>
              </w:rPr>
              <w:t>；</w:t>
            </w:r>
          </w:p>
          <w:p>
            <w:pPr>
              <w:spacing w:line="360" w:lineRule="auto"/>
              <w:ind w:firstLine="420"/>
              <w:rPr>
                <w:rFonts w:hint="eastAsia" w:ascii="宋体" w:hAnsi="宋体" w:cs="宋体"/>
                <w:szCs w:val="21"/>
                <w:lang w:eastAsia="zh-Hans"/>
              </w:rPr>
            </w:pPr>
            <w:r>
              <w:rPr>
                <w:rFonts w:hint="eastAsia" w:ascii="宋体" w:hAnsi="宋体" w:cs="宋体"/>
                <w:szCs w:val="21"/>
                <w:lang w:eastAsia="zh-Hans"/>
              </w:rPr>
              <w:t>支持设置新教工课程，</w:t>
            </w:r>
            <w:r>
              <w:rPr>
                <w:rFonts w:hint="eastAsia" w:ascii="宋体" w:hAnsi="宋体" w:cs="宋体"/>
                <w:szCs w:val="21"/>
              </w:rPr>
              <w:t>根据教师的入职时间，系统自行核算，判断在职时长"小于"X年的为新教师，此时该教师的课程将被标记为新教工课程</w:t>
            </w:r>
            <w:r>
              <w:rPr>
                <w:rFonts w:hint="eastAsia" w:ascii="宋体" w:hAnsi="宋体" w:cs="宋体"/>
                <w:szCs w:val="21"/>
                <w:lang w:eastAsia="zh-Hans"/>
              </w:rPr>
              <w:t>。</w:t>
            </w:r>
          </w:p>
          <w:p>
            <w:pPr>
              <w:spacing w:line="360" w:lineRule="auto"/>
              <w:ind w:firstLine="420"/>
              <w:rPr>
                <w:rFonts w:hint="eastAsia" w:ascii="宋体" w:hAnsi="宋体" w:cs="宋体"/>
                <w:szCs w:val="21"/>
                <w:lang w:eastAsia="zh-Hans"/>
              </w:rPr>
            </w:pPr>
            <w:r>
              <w:rPr>
                <w:rFonts w:hint="eastAsia" w:ascii="宋体" w:hAnsi="宋体" w:cs="宋体"/>
                <w:szCs w:val="21"/>
              </w:rPr>
              <w:t>2）</w:t>
            </w:r>
            <w:r>
              <w:rPr>
                <w:rFonts w:hint="eastAsia" w:ascii="宋体" w:hAnsi="宋体" w:cs="宋体"/>
                <w:szCs w:val="21"/>
                <w:lang w:eastAsia="zh-Hans"/>
              </w:rPr>
              <w:t>重点课程</w:t>
            </w:r>
          </w:p>
          <w:p>
            <w:pPr>
              <w:spacing w:line="360" w:lineRule="auto"/>
              <w:ind w:firstLine="420"/>
              <w:rPr>
                <w:rFonts w:hint="eastAsia" w:ascii="宋体" w:hAnsi="宋体" w:cs="宋体"/>
                <w:szCs w:val="21"/>
                <w:lang w:eastAsia="zh-Hans"/>
              </w:rPr>
            </w:pPr>
            <w:r>
              <w:rPr>
                <w:rFonts w:hint="eastAsia" w:ascii="宋体" w:hAnsi="宋体" w:cs="宋体"/>
                <w:szCs w:val="21"/>
                <w:lang w:eastAsia="zh-Hans"/>
              </w:rPr>
              <w:t>支持管理员在后台设置重点课程名单，设置完成后督导评课页面，对应的课程将被标记为重点课程。</w:t>
            </w:r>
          </w:p>
          <w:p>
            <w:pPr>
              <w:spacing w:line="360" w:lineRule="auto"/>
              <w:ind w:firstLine="420"/>
              <w:rPr>
                <w:rFonts w:hint="eastAsia" w:ascii="宋体" w:hAnsi="宋体" w:cs="宋体"/>
                <w:szCs w:val="21"/>
                <w:lang w:eastAsia="zh-Hans"/>
              </w:rPr>
            </w:pPr>
            <w:r>
              <w:rPr>
                <w:rFonts w:hint="eastAsia" w:ascii="宋体" w:hAnsi="宋体" w:cs="宋体"/>
                <w:szCs w:val="21"/>
              </w:rPr>
              <w:t>3）</w:t>
            </w:r>
            <w:r>
              <w:rPr>
                <w:rFonts w:hint="eastAsia" w:ascii="宋体" w:hAnsi="宋体" w:cs="宋体"/>
                <w:szCs w:val="21"/>
                <w:lang w:eastAsia="zh-Hans"/>
              </w:rPr>
              <w:t>查看上诉</w:t>
            </w:r>
          </w:p>
          <w:p>
            <w:pPr>
              <w:spacing w:line="360" w:lineRule="auto"/>
              <w:ind w:firstLine="420"/>
              <w:rPr>
                <w:rFonts w:hint="eastAsia" w:ascii="宋体" w:hAnsi="宋体" w:cs="宋体"/>
                <w:szCs w:val="21"/>
                <w:lang w:eastAsia="zh-Hans"/>
              </w:rPr>
            </w:pPr>
            <w:r>
              <w:rPr>
                <w:rFonts w:hint="eastAsia" w:ascii="宋体" w:hAnsi="宋体" w:cs="宋体"/>
                <w:szCs w:val="21"/>
                <w:lang w:eastAsia="zh-Hans"/>
              </w:rPr>
              <w:t>支持教师在查看个人被评记录后提交上诉，管理员可在后台查看上诉记录。</w:t>
            </w:r>
          </w:p>
          <w:p>
            <w:pPr>
              <w:spacing w:line="360" w:lineRule="auto"/>
              <w:ind w:firstLine="420"/>
              <w:rPr>
                <w:rFonts w:hint="eastAsia" w:ascii="宋体" w:hAnsi="宋体" w:cs="宋体"/>
                <w:szCs w:val="21"/>
              </w:rPr>
            </w:pPr>
            <w:r>
              <w:rPr>
                <w:rFonts w:hint="eastAsia" w:ascii="宋体" w:hAnsi="宋体" w:cs="宋体"/>
                <w:szCs w:val="21"/>
              </w:rPr>
              <w:t>2.评价问卷建设与发放</w:t>
            </w:r>
          </w:p>
          <w:p>
            <w:pPr>
              <w:spacing w:line="360" w:lineRule="auto"/>
              <w:ind w:firstLine="420"/>
              <w:rPr>
                <w:rFonts w:hint="eastAsia" w:ascii="宋体" w:hAnsi="宋体" w:cs="宋体"/>
                <w:szCs w:val="21"/>
              </w:rPr>
            </w:pPr>
            <w:r>
              <w:rPr>
                <w:rFonts w:hint="eastAsia" w:ascii="宋体" w:hAnsi="宋体" w:cs="宋体"/>
                <w:szCs w:val="21"/>
              </w:rPr>
              <w:t>1）指标管理</w:t>
            </w:r>
          </w:p>
          <w:p>
            <w:pPr>
              <w:spacing w:line="360" w:lineRule="auto"/>
              <w:ind w:firstLine="420"/>
              <w:rPr>
                <w:rFonts w:hint="eastAsia" w:ascii="宋体" w:hAnsi="宋体" w:cs="宋体"/>
                <w:szCs w:val="21"/>
              </w:rPr>
            </w:pPr>
            <w:r>
              <w:rPr>
                <w:rFonts w:hint="eastAsia" w:ascii="宋体" w:hAnsi="宋体" w:cs="宋体"/>
                <w:szCs w:val="21"/>
              </w:rPr>
              <w:t>可以新建评价指标，支持单个添加或批量导入，可以对指标进行分类。指标题型包括单选、多选、填空、简答、打分题、星级评定题、量表题、滑动题等题型。可以根据指标内容选择题型，并添加指标标题和具体内容，每个指标内不同选项可对应不同分值。</w:t>
            </w:r>
          </w:p>
          <w:p>
            <w:pPr>
              <w:spacing w:line="360" w:lineRule="auto"/>
              <w:ind w:firstLine="420"/>
              <w:rPr>
                <w:rFonts w:hint="eastAsia" w:ascii="宋体" w:hAnsi="宋体" w:cs="宋体"/>
                <w:szCs w:val="21"/>
              </w:rPr>
            </w:pPr>
            <w:r>
              <w:rPr>
                <w:rFonts w:hint="eastAsia" w:ascii="宋体" w:hAnsi="宋体" w:cs="宋体"/>
                <w:szCs w:val="21"/>
              </w:rPr>
              <w:t>支持对已建指标进行编辑、删除、查找等操作。</w:t>
            </w:r>
          </w:p>
          <w:p>
            <w:pPr>
              <w:spacing w:line="360" w:lineRule="auto"/>
              <w:ind w:firstLine="420"/>
              <w:rPr>
                <w:rFonts w:hint="eastAsia" w:ascii="宋体" w:hAnsi="宋体" w:cs="宋体"/>
                <w:szCs w:val="21"/>
              </w:rPr>
            </w:pPr>
            <w:r>
              <w:rPr>
                <w:rFonts w:hint="eastAsia" w:ascii="宋体" w:hAnsi="宋体" w:cs="宋体"/>
                <w:szCs w:val="21"/>
              </w:rPr>
              <w:t>2）问卷管理</w:t>
            </w:r>
          </w:p>
          <w:p>
            <w:pPr>
              <w:spacing w:line="360" w:lineRule="auto"/>
              <w:ind w:firstLine="420"/>
              <w:rPr>
                <w:rFonts w:hint="eastAsia" w:ascii="宋体" w:hAnsi="宋体" w:cs="宋体"/>
                <w:szCs w:val="21"/>
              </w:rPr>
            </w:pPr>
            <w:r>
              <w:rPr>
                <w:rFonts w:hint="eastAsia" w:ascii="宋体" w:hAnsi="宋体" w:cs="宋体"/>
                <w:szCs w:val="21"/>
              </w:rPr>
              <w:t>学校可自主搭建不同的指标体系。支持新建问卷，支持输入标题、分类、说明信息，添加指标模块名称，比如：教师师德、教学效果等，可以在每个指标模块下直接录入子指标，或直接从指标库添加指标。</w:t>
            </w:r>
          </w:p>
          <w:p>
            <w:pPr>
              <w:spacing w:line="360" w:lineRule="auto"/>
              <w:ind w:firstLine="420"/>
              <w:rPr>
                <w:rFonts w:hint="eastAsia" w:ascii="宋体" w:hAnsi="宋体" w:cs="宋体"/>
                <w:szCs w:val="21"/>
              </w:rPr>
            </w:pPr>
            <w:r>
              <w:rPr>
                <w:rFonts w:hint="eastAsia" w:ascii="宋体" w:hAnsi="宋体" w:cs="宋体"/>
                <w:szCs w:val="21"/>
              </w:rPr>
              <w:t>支持对已有问卷进行编辑、预览、删除以及复制等操作。</w:t>
            </w:r>
          </w:p>
          <w:p>
            <w:pPr>
              <w:spacing w:line="360" w:lineRule="auto"/>
              <w:ind w:firstLine="420"/>
              <w:rPr>
                <w:rFonts w:hint="eastAsia" w:ascii="宋体" w:hAnsi="宋体" w:cs="宋体"/>
                <w:szCs w:val="21"/>
              </w:rPr>
            </w:pPr>
            <w:r>
              <w:rPr>
                <w:rFonts w:hint="eastAsia" w:ascii="宋体" w:hAnsi="宋体" w:cs="宋体"/>
                <w:szCs w:val="21"/>
              </w:rPr>
              <w:t>可对问卷类型进行定义，例如：评教，评学，活动反馈等等。</w:t>
            </w:r>
          </w:p>
          <w:p>
            <w:pPr>
              <w:spacing w:line="360" w:lineRule="auto"/>
              <w:ind w:firstLine="420"/>
              <w:rPr>
                <w:rFonts w:hint="eastAsia" w:ascii="宋体" w:hAnsi="宋体" w:cs="宋体"/>
                <w:szCs w:val="21"/>
                <w:lang w:eastAsia="zh-Hans"/>
              </w:rPr>
            </w:pPr>
            <w:r>
              <w:rPr>
                <w:rFonts w:hint="eastAsia" w:ascii="宋体" w:hAnsi="宋体" w:cs="宋体"/>
                <w:szCs w:val="21"/>
                <w:lang w:eastAsia="zh-Hans"/>
              </w:rPr>
              <w:t>可对问卷中指标设置指标权重，达到不同指标在问卷中权重不同的效果。</w:t>
            </w:r>
          </w:p>
          <w:p>
            <w:pPr>
              <w:spacing w:line="360" w:lineRule="auto"/>
              <w:ind w:firstLine="420"/>
              <w:rPr>
                <w:rFonts w:hint="eastAsia" w:ascii="宋体" w:hAnsi="宋体" w:cs="宋体"/>
                <w:szCs w:val="21"/>
              </w:rPr>
            </w:pPr>
            <w:r>
              <w:rPr>
                <w:rFonts w:hint="eastAsia" w:ascii="宋体" w:hAnsi="宋体" w:cs="宋体"/>
                <w:szCs w:val="21"/>
              </w:rPr>
              <w:t>3）评价问卷发放管理</w:t>
            </w:r>
          </w:p>
          <w:p>
            <w:pPr>
              <w:spacing w:line="360" w:lineRule="auto"/>
              <w:ind w:firstLine="420"/>
              <w:rPr>
                <w:rFonts w:hint="eastAsia" w:ascii="宋体" w:hAnsi="宋体" w:cs="宋体"/>
                <w:szCs w:val="21"/>
              </w:rPr>
            </w:pPr>
            <w:r>
              <w:rPr>
                <w:rFonts w:hint="eastAsia" w:ascii="宋体" w:hAnsi="宋体" w:cs="宋体"/>
                <w:szCs w:val="21"/>
              </w:rPr>
              <w:t>（1）问卷发放方式</w:t>
            </w:r>
          </w:p>
          <w:p>
            <w:pPr>
              <w:spacing w:line="360" w:lineRule="auto"/>
              <w:ind w:firstLine="420"/>
              <w:rPr>
                <w:rFonts w:hint="eastAsia" w:ascii="宋体" w:hAnsi="宋体" w:cs="宋体"/>
                <w:szCs w:val="21"/>
              </w:rPr>
            </w:pPr>
            <w:r>
              <w:rPr>
                <w:rFonts w:hint="eastAsia" w:ascii="宋体" w:hAnsi="宋体" w:cs="宋体"/>
                <w:szCs w:val="21"/>
              </w:rPr>
              <w:t>问卷发放支持多种方式及业务，至少包括为：公开问卷、评价教师、评价学生、评价课程、评价课堂、听评课问卷；发放督导评教问卷时可选择某个或者某几个督导分类进行定向投放。</w:t>
            </w:r>
          </w:p>
          <w:p>
            <w:pPr>
              <w:spacing w:line="360" w:lineRule="auto"/>
              <w:ind w:firstLine="420"/>
              <w:rPr>
                <w:rFonts w:hint="eastAsia" w:ascii="宋体" w:hAnsi="宋体" w:cs="宋体"/>
                <w:szCs w:val="21"/>
              </w:rPr>
            </w:pPr>
            <w:r>
              <w:rPr>
                <w:rFonts w:hint="eastAsia" w:ascii="宋体" w:hAnsi="宋体" w:cs="宋体"/>
                <w:szCs w:val="21"/>
              </w:rPr>
              <w:t>发放公开问卷</w:t>
            </w:r>
          </w:p>
          <w:p>
            <w:pPr>
              <w:spacing w:line="360" w:lineRule="auto"/>
              <w:ind w:firstLine="420"/>
              <w:rPr>
                <w:rFonts w:hint="eastAsia" w:ascii="宋体" w:hAnsi="宋体" w:cs="宋体"/>
                <w:szCs w:val="21"/>
              </w:rPr>
            </w:pPr>
            <w:r>
              <w:rPr>
                <w:rFonts w:hint="eastAsia" w:ascii="宋体" w:hAnsi="宋体" w:cs="宋体"/>
                <w:szCs w:val="21"/>
              </w:rPr>
              <w:t>问卷发放成功后，自动生成的二维码及链接，支持发到微信群聊或者朋友圈，所有的人都可以提交评价。支持查看问卷的被评价情况，包括问卷的平均分、已评人数、以及问卷各指标选项的被提交占比。支持导出EXCEL和WORD两种格式的结果文档。</w:t>
            </w:r>
          </w:p>
          <w:p>
            <w:pPr>
              <w:spacing w:line="360" w:lineRule="auto"/>
              <w:ind w:firstLine="420"/>
              <w:rPr>
                <w:rFonts w:hint="eastAsia" w:ascii="宋体" w:hAnsi="宋体" w:cs="宋体"/>
                <w:szCs w:val="21"/>
              </w:rPr>
            </w:pPr>
            <w:r>
              <w:rPr>
                <w:rFonts w:hint="eastAsia" w:ascii="宋体" w:hAnsi="宋体" w:cs="宋体"/>
                <w:szCs w:val="21"/>
              </w:rPr>
              <w:t>评价教师</w:t>
            </w:r>
          </w:p>
          <w:p>
            <w:pPr>
              <w:spacing w:line="360" w:lineRule="auto"/>
              <w:ind w:firstLine="420"/>
              <w:rPr>
                <w:rFonts w:hint="eastAsia" w:ascii="宋体" w:hAnsi="宋体" w:cs="宋体"/>
                <w:szCs w:val="21"/>
              </w:rPr>
            </w:pPr>
            <w:r>
              <w:rPr>
                <w:rFonts w:hint="eastAsia" w:ascii="宋体" w:hAnsi="宋体" w:cs="宋体"/>
                <w:szCs w:val="21"/>
              </w:rPr>
              <w:t>支持教师自评、同行互评、学生评价、管理员评价等多种场景，管理员可自定义选择评价人和被评价人，也可以根据学生选表数据生成评价关系。同行评价支持教师随机互评，可自定义设置每人被评次数。</w:t>
            </w:r>
          </w:p>
          <w:p>
            <w:pPr>
              <w:spacing w:line="360" w:lineRule="auto"/>
              <w:ind w:firstLine="420"/>
              <w:rPr>
                <w:rFonts w:hint="eastAsia" w:ascii="宋体" w:hAnsi="宋体" w:cs="宋体"/>
                <w:szCs w:val="21"/>
              </w:rPr>
            </w:pPr>
            <w:r>
              <w:rPr>
                <w:rFonts w:hint="eastAsia" w:ascii="宋体" w:hAnsi="宋体" w:cs="宋体"/>
                <w:szCs w:val="21"/>
              </w:rPr>
              <w:t>评价学生</w:t>
            </w:r>
          </w:p>
          <w:p>
            <w:pPr>
              <w:spacing w:line="360" w:lineRule="auto"/>
              <w:ind w:firstLine="420"/>
              <w:rPr>
                <w:rFonts w:hint="eastAsia" w:ascii="宋体" w:hAnsi="宋体" w:cs="宋体"/>
                <w:szCs w:val="21"/>
              </w:rPr>
            </w:pPr>
            <w:r>
              <w:rPr>
                <w:rFonts w:hint="eastAsia" w:ascii="宋体" w:hAnsi="宋体" w:cs="宋体"/>
                <w:szCs w:val="21"/>
              </w:rPr>
              <w:t>支持按人评价和按班级评价，评价方式支持学生自评、学生随机互评、教师评价、管理员评价。管理员可自定义选择评价人和被评价人，也可以根据学生选表数据生成评价关系。</w:t>
            </w:r>
          </w:p>
          <w:p>
            <w:pPr>
              <w:spacing w:line="360" w:lineRule="auto"/>
              <w:ind w:firstLine="420"/>
              <w:rPr>
                <w:rFonts w:hint="eastAsia" w:ascii="宋体" w:hAnsi="宋体" w:cs="宋体"/>
                <w:szCs w:val="21"/>
              </w:rPr>
            </w:pPr>
            <w:r>
              <w:rPr>
                <w:rFonts w:hint="eastAsia" w:ascii="宋体" w:hAnsi="宋体" w:cs="宋体"/>
                <w:szCs w:val="21"/>
              </w:rPr>
              <w:t>评价课程</w:t>
            </w:r>
          </w:p>
          <w:p>
            <w:pPr>
              <w:spacing w:line="360" w:lineRule="auto"/>
              <w:ind w:firstLine="420"/>
              <w:rPr>
                <w:rFonts w:hint="eastAsia" w:ascii="宋体" w:hAnsi="宋体" w:cs="宋体"/>
                <w:szCs w:val="21"/>
              </w:rPr>
            </w:pPr>
            <w:r>
              <w:rPr>
                <w:rFonts w:hint="eastAsia" w:ascii="宋体" w:hAnsi="宋体" w:cs="宋体"/>
                <w:szCs w:val="21"/>
              </w:rPr>
              <w:t>支持选课学生评价课程、自选学生评价课程、教师评价课程和管理员评价课程等几种方式。</w:t>
            </w:r>
          </w:p>
          <w:p>
            <w:pPr>
              <w:spacing w:line="360" w:lineRule="auto"/>
              <w:ind w:firstLine="420"/>
              <w:rPr>
                <w:rFonts w:hint="eastAsia" w:ascii="宋体" w:hAnsi="宋体" w:cs="宋体"/>
                <w:szCs w:val="21"/>
              </w:rPr>
            </w:pPr>
            <w:r>
              <w:rPr>
                <w:rFonts w:hint="eastAsia" w:ascii="宋体" w:hAnsi="宋体" w:cs="宋体"/>
                <w:szCs w:val="21"/>
              </w:rPr>
              <w:t>评价课堂</w:t>
            </w:r>
          </w:p>
          <w:p>
            <w:pPr>
              <w:spacing w:line="360" w:lineRule="auto"/>
              <w:ind w:firstLine="420"/>
              <w:rPr>
                <w:rFonts w:hint="eastAsia" w:ascii="宋体" w:hAnsi="宋体" w:cs="宋体"/>
                <w:szCs w:val="21"/>
              </w:rPr>
            </w:pPr>
            <w:r>
              <w:rPr>
                <w:rFonts w:hint="eastAsia" w:ascii="宋体" w:hAnsi="宋体" w:cs="宋体"/>
                <w:szCs w:val="21"/>
              </w:rPr>
              <w:t>支持学生随堂评价教师，根据课程表上课时间，在每堂课结束后自动发放问卷。</w:t>
            </w:r>
          </w:p>
          <w:p>
            <w:pPr>
              <w:spacing w:line="360" w:lineRule="auto"/>
              <w:ind w:firstLine="420"/>
              <w:rPr>
                <w:rFonts w:hint="eastAsia" w:ascii="宋体" w:hAnsi="宋体" w:cs="宋体"/>
                <w:szCs w:val="21"/>
              </w:rPr>
            </w:pPr>
            <w:r>
              <w:rPr>
                <w:rFonts w:hint="eastAsia" w:ascii="宋体" w:hAnsi="宋体" w:cs="宋体"/>
                <w:szCs w:val="21"/>
              </w:rPr>
              <w:t>支持学生按照课程周期评价教师，管理员可自定义课程时间阶段设置问卷发放， 比如设置当课程学时完成20%和40%时，系统自动发放评价问卷。</w:t>
            </w:r>
          </w:p>
          <w:p>
            <w:pPr>
              <w:spacing w:line="360" w:lineRule="auto"/>
              <w:ind w:firstLine="420"/>
              <w:rPr>
                <w:rFonts w:hint="eastAsia" w:ascii="宋体" w:hAnsi="宋体" w:cs="宋体"/>
                <w:szCs w:val="21"/>
              </w:rPr>
            </w:pPr>
            <w:r>
              <w:rPr>
                <w:rFonts w:hint="eastAsia" w:ascii="宋体" w:hAnsi="宋体" w:cs="宋体"/>
                <w:szCs w:val="21"/>
              </w:rPr>
              <w:t>支持课程开始后随机发放问卷，可根据选课表上的时间，设置随机发放次数。</w:t>
            </w:r>
          </w:p>
          <w:p>
            <w:pPr>
              <w:spacing w:line="360" w:lineRule="auto"/>
              <w:ind w:firstLine="420"/>
              <w:rPr>
                <w:rFonts w:hint="eastAsia" w:ascii="宋体" w:hAnsi="宋体" w:cs="宋体"/>
                <w:szCs w:val="21"/>
              </w:rPr>
            </w:pPr>
            <w:r>
              <w:rPr>
                <w:rFonts w:hint="eastAsia" w:ascii="宋体" w:hAnsi="宋体" w:cs="宋体"/>
                <w:szCs w:val="21"/>
              </w:rPr>
              <w:t>以上方式都能够查询添和批量添加被评教师，设置每份问卷作答的有效期，或设置问卷当天有效，有效日期截止到当天的24:00。</w:t>
            </w:r>
          </w:p>
          <w:p>
            <w:pPr>
              <w:spacing w:line="360" w:lineRule="auto"/>
              <w:ind w:firstLine="420"/>
              <w:rPr>
                <w:rFonts w:hint="eastAsia" w:ascii="宋体" w:hAnsi="宋体" w:cs="宋体"/>
                <w:szCs w:val="21"/>
              </w:rPr>
            </w:pPr>
            <w:r>
              <w:rPr>
                <w:rFonts w:hint="eastAsia" w:ascii="宋体" w:hAnsi="宋体" w:cs="宋体"/>
                <w:szCs w:val="21"/>
              </w:rPr>
              <w:t>听评课</w:t>
            </w:r>
          </w:p>
          <w:p>
            <w:pPr>
              <w:spacing w:line="360" w:lineRule="auto"/>
              <w:ind w:firstLine="420"/>
              <w:rPr>
                <w:rFonts w:hint="eastAsia" w:ascii="宋体" w:hAnsi="宋体" w:cs="宋体"/>
                <w:szCs w:val="21"/>
              </w:rPr>
            </w:pPr>
            <w:r>
              <w:rPr>
                <w:rFonts w:hint="eastAsia" w:ascii="宋体" w:hAnsi="宋体" w:cs="宋体"/>
                <w:szCs w:val="21"/>
              </w:rPr>
              <w:t>支持督导、</w:t>
            </w:r>
            <w:r>
              <w:rPr>
                <w:rFonts w:hint="eastAsia" w:ascii="宋体" w:hAnsi="宋体" w:cs="宋体"/>
                <w:szCs w:val="21"/>
                <w:lang w:eastAsia="zh-Hans"/>
              </w:rPr>
              <w:t>领带、</w:t>
            </w:r>
            <w:r>
              <w:rPr>
                <w:rFonts w:hint="eastAsia" w:ascii="宋体" w:hAnsi="宋体" w:cs="宋体"/>
                <w:szCs w:val="21"/>
              </w:rPr>
              <w:t>同行教师对教师的课堂进行听评课。可搜索添加某个督导或直接添加某个分类下的督导人员；同行听评课权限可设置同院系、跨院系、全部院系。</w:t>
            </w:r>
          </w:p>
          <w:p>
            <w:pPr>
              <w:spacing w:line="360" w:lineRule="auto"/>
              <w:ind w:firstLine="420"/>
              <w:rPr>
                <w:rFonts w:hint="eastAsia" w:ascii="宋体" w:hAnsi="宋体" w:cs="宋体"/>
                <w:szCs w:val="21"/>
              </w:rPr>
            </w:pPr>
            <w:r>
              <w:rPr>
                <w:rFonts w:hint="eastAsia" w:ascii="宋体" w:hAnsi="宋体" w:cs="宋体"/>
                <w:szCs w:val="21"/>
              </w:rPr>
              <w:t>（2）问卷发放设置</w:t>
            </w:r>
          </w:p>
          <w:p>
            <w:pPr>
              <w:spacing w:line="360" w:lineRule="auto"/>
              <w:ind w:firstLine="420"/>
              <w:rPr>
                <w:rFonts w:hint="eastAsia" w:ascii="宋体" w:hAnsi="宋体" w:cs="宋体"/>
                <w:szCs w:val="21"/>
              </w:rPr>
            </w:pPr>
            <w:r>
              <w:rPr>
                <w:rFonts w:hint="eastAsia" w:ascii="宋体" w:hAnsi="宋体" w:cs="宋体"/>
                <w:szCs w:val="21"/>
              </w:rPr>
              <w:t>问卷发放时间：可自定义设置问卷的发放时间及截止时间。</w:t>
            </w:r>
          </w:p>
          <w:p>
            <w:pPr>
              <w:spacing w:line="360" w:lineRule="auto"/>
              <w:ind w:firstLine="420"/>
              <w:rPr>
                <w:rFonts w:hint="eastAsia" w:ascii="宋体" w:hAnsi="宋体" w:cs="宋体"/>
                <w:szCs w:val="21"/>
              </w:rPr>
            </w:pPr>
            <w:r>
              <w:rPr>
                <w:rFonts w:hint="eastAsia" w:ascii="宋体" w:hAnsi="宋体" w:cs="宋体"/>
                <w:szCs w:val="21"/>
              </w:rPr>
              <w:t>问卷过滤设置：支持去掉评价的最高分及最低分，可自定义设置去掉的占比。</w:t>
            </w:r>
          </w:p>
          <w:p>
            <w:pPr>
              <w:spacing w:line="360" w:lineRule="auto"/>
              <w:ind w:firstLine="420"/>
              <w:rPr>
                <w:rFonts w:hint="eastAsia" w:ascii="宋体" w:hAnsi="宋体" w:cs="宋体"/>
                <w:szCs w:val="21"/>
              </w:rPr>
            </w:pPr>
            <w:r>
              <w:rPr>
                <w:rFonts w:hint="eastAsia" w:ascii="宋体" w:hAnsi="宋体" w:cs="宋体"/>
                <w:szCs w:val="21"/>
              </w:rPr>
              <w:t>问卷隐私设置：支持设置是否允许被评对象查看评价结果，是否允许评价成员查看评价统计。支持评价成员匿名评价，管理员可以查看评价人信息，被评对象和评价人查看评价结果时匿名。</w:t>
            </w:r>
          </w:p>
          <w:p>
            <w:pPr>
              <w:spacing w:line="360" w:lineRule="auto"/>
              <w:ind w:firstLine="420"/>
              <w:rPr>
                <w:rFonts w:hint="eastAsia" w:ascii="宋体" w:hAnsi="宋体" w:cs="宋体"/>
                <w:szCs w:val="21"/>
              </w:rPr>
            </w:pPr>
            <w:r>
              <w:rPr>
                <w:rFonts w:hint="eastAsia" w:ascii="宋体" w:hAnsi="宋体" w:cs="宋体"/>
                <w:szCs w:val="21"/>
              </w:rPr>
              <w:t>问卷提交设置：移动端提交评价时支持定位评价人。</w:t>
            </w:r>
          </w:p>
          <w:p>
            <w:pPr>
              <w:spacing w:line="360" w:lineRule="auto"/>
              <w:ind w:firstLine="420"/>
              <w:rPr>
                <w:rFonts w:hint="eastAsia" w:ascii="宋体" w:hAnsi="宋体" w:cs="宋体"/>
                <w:szCs w:val="21"/>
              </w:rPr>
            </w:pPr>
            <w:r>
              <w:rPr>
                <w:rFonts w:hint="eastAsia" w:ascii="宋体" w:hAnsi="宋体" w:cs="宋体"/>
                <w:szCs w:val="21"/>
              </w:rPr>
              <w:t>教师预警：教师综合得分低于某个分值时，系统可自动给教师发放预警通知；</w:t>
            </w:r>
          </w:p>
          <w:p>
            <w:pPr>
              <w:spacing w:line="360" w:lineRule="auto"/>
              <w:ind w:firstLine="420"/>
              <w:rPr>
                <w:rFonts w:hint="eastAsia" w:ascii="宋体" w:hAnsi="宋体" w:cs="宋体"/>
                <w:szCs w:val="21"/>
              </w:rPr>
            </w:pPr>
            <w:r>
              <w:rPr>
                <w:rFonts w:hint="eastAsia" w:ascii="宋体" w:hAnsi="宋体" w:cs="宋体"/>
                <w:szCs w:val="21"/>
              </w:rPr>
              <w:t>（3）已发放问卷设置更改</w:t>
            </w:r>
          </w:p>
          <w:p>
            <w:pPr>
              <w:spacing w:line="360" w:lineRule="auto"/>
              <w:ind w:firstLine="420"/>
              <w:rPr>
                <w:rFonts w:hint="eastAsia" w:ascii="宋体" w:hAnsi="宋体" w:cs="宋体"/>
                <w:szCs w:val="21"/>
              </w:rPr>
            </w:pPr>
            <w:r>
              <w:rPr>
                <w:rFonts w:hint="eastAsia" w:ascii="宋体" w:hAnsi="宋体" w:cs="宋体"/>
                <w:szCs w:val="21"/>
              </w:rPr>
              <w:t>①支持发放时间更改。支持对已发放问卷重新设定时间，管理员可随时自主延长或缩短问卷的“截止时间”，问卷的状态也会随时间而变化（进行中、已结束等）。</w:t>
            </w:r>
          </w:p>
          <w:p>
            <w:pPr>
              <w:spacing w:line="360" w:lineRule="auto"/>
              <w:ind w:firstLine="420"/>
              <w:rPr>
                <w:rFonts w:hint="eastAsia" w:ascii="宋体" w:hAnsi="宋体" w:cs="宋体"/>
                <w:szCs w:val="21"/>
              </w:rPr>
            </w:pPr>
            <w:r>
              <w:rPr>
                <w:rFonts w:hint="eastAsia" w:ascii="宋体" w:hAnsi="宋体" w:cs="宋体"/>
                <w:szCs w:val="21"/>
              </w:rPr>
              <w:t>②支持评价设置更改：管理员可对已发放问卷的设置进行重新设定。</w:t>
            </w:r>
          </w:p>
          <w:p>
            <w:pPr>
              <w:spacing w:line="360" w:lineRule="auto"/>
              <w:ind w:firstLine="420"/>
              <w:rPr>
                <w:rFonts w:hint="eastAsia" w:ascii="宋体" w:hAnsi="宋体" w:cs="宋体"/>
                <w:szCs w:val="21"/>
              </w:rPr>
            </w:pPr>
            <w:r>
              <w:rPr>
                <w:rFonts w:hint="eastAsia" w:ascii="宋体" w:hAnsi="宋体" w:cs="宋体"/>
                <w:szCs w:val="21"/>
              </w:rPr>
              <w:t>③未评督促设置：支持给当前问卷中所有的未评价人一键发布督促通知，可自定义通知内容</w:t>
            </w:r>
          </w:p>
          <w:p>
            <w:pPr>
              <w:spacing w:line="360" w:lineRule="auto"/>
              <w:ind w:firstLine="420"/>
              <w:rPr>
                <w:rFonts w:hint="eastAsia" w:ascii="宋体" w:hAnsi="宋体" w:cs="宋体"/>
                <w:szCs w:val="21"/>
              </w:rPr>
            </w:pPr>
            <w:r>
              <w:rPr>
                <w:rFonts w:hint="eastAsia" w:ascii="宋体" w:hAnsi="宋体" w:cs="宋体"/>
                <w:szCs w:val="21"/>
              </w:rPr>
              <w:t>3.师生评价</w:t>
            </w:r>
          </w:p>
          <w:p>
            <w:pPr>
              <w:spacing w:line="360" w:lineRule="auto"/>
              <w:ind w:firstLine="420"/>
              <w:rPr>
                <w:rFonts w:hint="eastAsia" w:ascii="宋体" w:hAnsi="宋体" w:cs="宋体"/>
                <w:szCs w:val="21"/>
              </w:rPr>
            </w:pPr>
            <w:r>
              <w:rPr>
                <w:rFonts w:hint="eastAsia" w:ascii="宋体" w:hAnsi="宋体" w:cs="宋体"/>
                <w:szCs w:val="21"/>
              </w:rPr>
              <w:t>1）评价问卷填写</w:t>
            </w:r>
          </w:p>
          <w:p>
            <w:pPr>
              <w:spacing w:line="360" w:lineRule="auto"/>
              <w:ind w:firstLine="420"/>
              <w:rPr>
                <w:rFonts w:hint="eastAsia" w:ascii="宋体" w:hAnsi="宋体" w:cs="宋体"/>
                <w:szCs w:val="21"/>
              </w:rPr>
            </w:pPr>
            <w:r>
              <w:rPr>
                <w:rFonts w:hint="eastAsia" w:ascii="宋体" w:hAnsi="宋体" w:cs="宋体"/>
                <w:szCs w:val="21"/>
              </w:rPr>
              <w:t>教师和学生在个人空间中，可看到个人相关的评价任务信息，可通过评价类型、评价任务状态、评价开始时间、结束时间、评价任务的标题等关键词进行搜索查看对应的评价任务。</w:t>
            </w:r>
          </w:p>
          <w:p>
            <w:pPr>
              <w:spacing w:line="360" w:lineRule="auto"/>
              <w:ind w:firstLine="420"/>
              <w:rPr>
                <w:rFonts w:hint="eastAsia" w:ascii="宋体" w:hAnsi="宋体" w:cs="宋体"/>
                <w:szCs w:val="21"/>
              </w:rPr>
            </w:pPr>
            <w:r>
              <w:rPr>
                <w:rFonts w:hint="eastAsia" w:ascii="宋体" w:hAnsi="宋体" w:cs="宋体"/>
                <w:szCs w:val="21"/>
              </w:rPr>
              <w:t>评价问卷填写时，可以暂时保存评价内容或直接提交。</w:t>
            </w:r>
          </w:p>
          <w:p>
            <w:pPr>
              <w:spacing w:line="360" w:lineRule="auto"/>
              <w:ind w:firstLine="420"/>
              <w:rPr>
                <w:rFonts w:hint="eastAsia" w:ascii="宋体" w:hAnsi="宋体" w:cs="宋体"/>
                <w:szCs w:val="21"/>
              </w:rPr>
            </w:pPr>
            <w:r>
              <w:rPr>
                <w:rFonts w:hint="eastAsia" w:ascii="宋体" w:hAnsi="宋体" w:cs="宋体"/>
                <w:szCs w:val="21"/>
              </w:rPr>
              <w:t>完成评价后，用户可查看对应评价问卷的结果，评价结果包括用户个人的评价平均分、整张评价问卷的平均分以及已经参评的对象的信息，可查看问卷中每道题的个人回答情况以及全部评价对象的回答情况，如果是选择题可看到每道题的选择情况，打分题可以看到每道题的平均分信息。</w:t>
            </w:r>
          </w:p>
          <w:p>
            <w:pPr>
              <w:spacing w:line="360" w:lineRule="auto"/>
              <w:ind w:firstLine="420"/>
              <w:rPr>
                <w:rFonts w:hint="eastAsia" w:ascii="宋体" w:hAnsi="宋体" w:cs="宋体"/>
                <w:szCs w:val="21"/>
              </w:rPr>
            </w:pPr>
            <w:r>
              <w:rPr>
                <w:rFonts w:hint="eastAsia" w:ascii="宋体" w:hAnsi="宋体" w:cs="宋体"/>
                <w:szCs w:val="21"/>
              </w:rPr>
              <w:t>教师和学生可查看自己的被评记录，包括被评问卷的详情，每道题评价情况以及评价结果统计。</w:t>
            </w:r>
          </w:p>
          <w:p>
            <w:pPr>
              <w:spacing w:line="360" w:lineRule="auto"/>
              <w:ind w:firstLine="420"/>
              <w:rPr>
                <w:rFonts w:hint="eastAsia" w:ascii="宋体" w:hAnsi="宋体" w:cs="宋体"/>
                <w:szCs w:val="21"/>
              </w:rPr>
            </w:pPr>
            <w:r>
              <w:rPr>
                <w:rFonts w:hint="eastAsia" w:ascii="宋体" w:hAnsi="宋体" w:cs="宋体"/>
                <w:szCs w:val="21"/>
              </w:rPr>
              <w:t>评价终端支持移动端和pc端，且数据互通。</w:t>
            </w:r>
          </w:p>
          <w:p>
            <w:pPr>
              <w:spacing w:line="360" w:lineRule="auto"/>
              <w:ind w:firstLine="420"/>
              <w:rPr>
                <w:rFonts w:hint="eastAsia" w:ascii="宋体" w:hAnsi="宋体" w:cs="宋体"/>
                <w:szCs w:val="21"/>
              </w:rPr>
            </w:pPr>
            <w:r>
              <w:rPr>
                <w:rFonts w:hint="eastAsia" w:ascii="宋体" w:hAnsi="宋体" w:cs="宋体"/>
                <w:szCs w:val="21"/>
              </w:rPr>
              <w:t>2）</w:t>
            </w:r>
            <w:r>
              <w:rPr>
                <w:rFonts w:hint="eastAsia" w:ascii="宋体" w:hAnsi="宋体" w:cs="宋体"/>
                <w:szCs w:val="21"/>
                <w:lang w:eastAsia="zh-Hans"/>
              </w:rPr>
              <w:t>教师被评报告</w:t>
            </w:r>
          </w:p>
          <w:p>
            <w:pPr>
              <w:spacing w:line="360" w:lineRule="auto"/>
              <w:ind w:firstLine="420"/>
              <w:rPr>
                <w:rFonts w:hint="eastAsia" w:ascii="宋体" w:hAnsi="宋体" w:cs="宋体"/>
                <w:szCs w:val="21"/>
              </w:rPr>
            </w:pPr>
            <w:r>
              <w:rPr>
                <w:rFonts w:hint="eastAsia" w:ascii="宋体" w:hAnsi="宋体" w:cs="宋体"/>
                <w:szCs w:val="21"/>
                <w:lang w:eastAsia="zh-Hans"/>
              </w:rPr>
              <w:t>教师可在PC端个人空间及移动端查看被评报告，包括教师个人得分、全校教师平均分、院系排名、全校排名、课堂得分对比、课程得分对比、指标得分对比、教师优良率统计、多学期指标得分对比等</w:t>
            </w:r>
          </w:p>
          <w:p>
            <w:pPr>
              <w:spacing w:line="360" w:lineRule="auto"/>
              <w:ind w:firstLine="420"/>
              <w:rPr>
                <w:rFonts w:hint="eastAsia" w:ascii="宋体" w:hAnsi="宋体" w:cs="宋体"/>
                <w:szCs w:val="21"/>
              </w:rPr>
            </w:pPr>
            <w:r>
              <w:rPr>
                <w:rFonts w:hint="eastAsia" w:ascii="宋体" w:hAnsi="宋体" w:cs="宋体"/>
                <w:szCs w:val="21"/>
              </w:rPr>
              <w:t>3）评价过程监控</w:t>
            </w:r>
          </w:p>
          <w:p>
            <w:pPr>
              <w:spacing w:line="360" w:lineRule="auto"/>
              <w:ind w:firstLine="420"/>
              <w:rPr>
                <w:rFonts w:hint="eastAsia" w:ascii="宋体" w:hAnsi="宋体" w:cs="宋体"/>
                <w:szCs w:val="21"/>
              </w:rPr>
            </w:pPr>
            <w:r>
              <w:rPr>
                <w:rFonts w:hint="eastAsia" w:ascii="宋体" w:hAnsi="宋体" w:cs="宋体"/>
                <w:szCs w:val="21"/>
              </w:rPr>
              <w:t>支持在系统上直接查看评价进程，可按照评价人、班级、院系不同维度查询，包括应答问卷次数、已答问卷次数、已答率，支持一键导出。</w:t>
            </w:r>
          </w:p>
          <w:p>
            <w:pPr>
              <w:spacing w:line="360" w:lineRule="auto"/>
              <w:ind w:firstLine="420"/>
              <w:rPr>
                <w:rFonts w:hint="eastAsia" w:ascii="宋体" w:hAnsi="宋体" w:cs="宋体"/>
                <w:szCs w:val="21"/>
              </w:rPr>
            </w:pPr>
            <w:r>
              <w:rPr>
                <w:rFonts w:hint="eastAsia" w:ascii="宋体" w:hAnsi="宋体" w:cs="宋体"/>
                <w:szCs w:val="21"/>
              </w:rPr>
              <w:t>4）</w:t>
            </w:r>
            <w:r>
              <w:rPr>
                <w:rFonts w:hint="eastAsia" w:ascii="宋体" w:hAnsi="宋体" w:cs="宋体"/>
                <w:szCs w:val="21"/>
                <w:lang w:eastAsia="zh-Hans"/>
              </w:rPr>
              <w:t>教师个人发问卷</w:t>
            </w:r>
          </w:p>
          <w:p>
            <w:pPr>
              <w:spacing w:line="360" w:lineRule="auto"/>
              <w:ind w:firstLine="420"/>
              <w:rPr>
                <w:rFonts w:hint="eastAsia" w:ascii="宋体" w:hAnsi="宋体" w:cs="宋体"/>
                <w:szCs w:val="21"/>
              </w:rPr>
            </w:pPr>
            <w:r>
              <w:rPr>
                <w:rFonts w:hint="eastAsia" w:ascii="宋体" w:hAnsi="宋体" w:cs="宋体"/>
                <w:szCs w:val="21"/>
              </w:rPr>
              <w:t>支持</w:t>
            </w:r>
            <w:r>
              <w:rPr>
                <w:rFonts w:hint="eastAsia" w:ascii="宋体" w:hAnsi="宋体" w:cs="宋体"/>
                <w:szCs w:val="21"/>
                <w:lang w:eastAsia="zh-Hans"/>
              </w:rPr>
              <w:t>教师个人组建问卷，可选择自主添加指标或选择管理员预置指标，组建完成后可发给个人的授课班级，查看学生作答详情；同时后台可记录所有教师的发放次数及发放记录。</w:t>
            </w:r>
          </w:p>
          <w:p>
            <w:pPr>
              <w:spacing w:line="360" w:lineRule="auto"/>
              <w:ind w:firstLine="420"/>
              <w:rPr>
                <w:rFonts w:hint="eastAsia" w:ascii="宋体" w:hAnsi="宋体" w:cs="宋体"/>
                <w:szCs w:val="21"/>
              </w:rPr>
            </w:pPr>
            <w:r>
              <w:rPr>
                <w:rFonts w:hint="eastAsia" w:ascii="宋体" w:hAnsi="宋体" w:cs="宋体"/>
                <w:szCs w:val="21"/>
              </w:rPr>
              <w:t>4.教学听评课</w:t>
            </w:r>
          </w:p>
          <w:p>
            <w:pPr>
              <w:spacing w:line="360" w:lineRule="auto"/>
              <w:ind w:firstLine="420"/>
              <w:rPr>
                <w:rFonts w:hint="eastAsia" w:ascii="宋体" w:hAnsi="宋体" w:cs="宋体"/>
                <w:szCs w:val="21"/>
              </w:rPr>
            </w:pPr>
            <w:r>
              <w:rPr>
                <w:rFonts w:hint="eastAsia" w:ascii="宋体" w:hAnsi="宋体" w:cs="宋体"/>
                <w:szCs w:val="21"/>
              </w:rPr>
              <w:t>1）移动听评课</w:t>
            </w:r>
          </w:p>
          <w:p>
            <w:pPr>
              <w:spacing w:line="360" w:lineRule="auto"/>
              <w:ind w:firstLine="420"/>
              <w:rPr>
                <w:rFonts w:hint="eastAsia" w:ascii="宋体" w:hAnsi="宋体" w:cs="宋体"/>
                <w:szCs w:val="21"/>
              </w:rPr>
            </w:pPr>
            <w:r>
              <w:rPr>
                <w:rFonts w:hint="eastAsia" w:ascii="宋体" w:hAnsi="宋体" w:cs="宋体"/>
                <w:szCs w:val="21"/>
              </w:rPr>
              <w:t>作为移动评课的工具，通过现场观听，普通教师、学校管理者、督导员、学生就可以在手机上完成对上课教师某一方面、多方面或全方面的评价，并留存数据。</w:t>
            </w:r>
          </w:p>
          <w:p>
            <w:pPr>
              <w:spacing w:line="360" w:lineRule="auto"/>
              <w:ind w:firstLine="420"/>
              <w:rPr>
                <w:rFonts w:hint="eastAsia" w:ascii="宋体" w:hAnsi="宋体" w:cs="宋体"/>
                <w:szCs w:val="21"/>
              </w:rPr>
            </w:pPr>
            <w:r>
              <w:rPr>
                <w:rFonts w:hint="eastAsia" w:ascii="宋体" w:hAnsi="宋体" w:cs="宋体"/>
                <w:szCs w:val="21"/>
              </w:rPr>
              <w:t>（1）选择听课</w:t>
            </w:r>
            <w:r>
              <w:rPr>
                <w:rFonts w:hint="eastAsia" w:ascii="宋体" w:hAnsi="宋体" w:cs="宋体"/>
                <w:szCs w:val="21"/>
                <w:lang w:eastAsia="zh-Hans"/>
              </w:rPr>
              <w:t>：</w:t>
            </w:r>
            <w:r>
              <w:rPr>
                <w:rFonts w:hint="eastAsia" w:ascii="宋体" w:hAnsi="宋体" w:cs="宋体"/>
                <w:szCs w:val="21"/>
              </w:rPr>
              <w:t>督导登录移动端，进入评课页面，可查看其督导范围下的排课安排，默认展示当天的数据，可通过教师院系、课程名称、教师姓名、地点等筛选条件，定位到要听评的对象，点击进入评课页面。</w:t>
            </w:r>
          </w:p>
          <w:p>
            <w:pPr>
              <w:spacing w:line="360" w:lineRule="auto"/>
              <w:ind w:firstLine="420"/>
              <w:rPr>
                <w:rFonts w:hint="eastAsia" w:ascii="宋体" w:hAnsi="宋体" w:cs="宋体"/>
                <w:szCs w:val="21"/>
              </w:rPr>
            </w:pPr>
            <w:r>
              <w:rPr>
                <w:rFonts w:hint="eastAsia" w:ascii="宋体" w:hAnsi="宋体" w:cs="宋体"/>
                <w:szCs w:val="21"/>
              </w:rPr>
              <w:t>（2）填写评课</w:t>
            </w:r>
            <w:r>
              <w:rPr>
                <w:rFonts w:hint="eastAsia" w:ascii="宋体" w:hAnsi="宋体" w:cs="宋体"/>
                <w:szCs w:val="21"/>
                <w:lang w:eastAsia="zh-Hans"/>
              </w:rPr>
              <w:t>：</w:t>
            </w:r>
            <w:r>
              <w:rPr>
                <w:rFonts w:hint="eastAsia" w:ascii="宋体" w:hAnsi="宋体" w:cs="宋体"/>
                <w:szCs w:val="21"/>
              </w:rPr>
              <w:t>不显示在教务系统中的排课，可输入节次信息，包括“课程名称、教师姓名、教学班级、上课地点、上课节次”等信息，填写后可进行评课。</w:t>
            </w:r>
          </w:p>
          <w:p>
            <w:pPr>
              <w:spacing w:line="360" w:lineRule="auto"/>
              <w:ind w:firstLine="420"/>
              <w:rPr>
                <w:rFonts w:hint="eastAsia" w:ascii="宋体" w:hAnsi="宋体" w:cs="宋体"/>
                <w:szCs w:val="21"/>
              </w:rPr>
            </w:pPr>
            <w:r>
              <w:rPr>
                <w:rFonts w:hint="eastAsia" w:ascii="宋体" w:hAnsi="宋体" w:cs="宋体"/>
                <w:szCs w:val="21"/>
              </w:rPr>
              <w:t>（3）评课计划</w:t>
            </w:r>
            <w:r>
              <w:rPr>
                <w:rFonts w:hint="eastAsia" w:ascii="宋体" w:hAnsi="宋体" w:cs="宋体"/>
                <w:szCs w:val="21"/>
                <w:lang w:eastAsia="zh-Hans"/>
              </w:rPr>
              <w:t>：</w:t>
            </w:r>
            <w:r>
              <w:rPr>
                <w:rFonts w:hint="eastAsia" w:ascii="宋体" w:hAnsi="宋体" w:cs="宋体"/>
                <w:szCs w:val="21"/>
              </w:rPr>
              <w:t>督导可提前将想听评对象加入评课计划，到达指定时间后，无需再次查找听评对象，直接进入评课计划区域，填写问卷，提交评价。</w:t>
            </w:r>
          </w:p>
          <w:p>
            <w:pPr>
              <w:spacing w:line="360" w:lineRule="auto"/>
              <w:ind w:firstLine="420"/>
              <w:rPr>
                <w:rFonts w:hint="eastAsia" w:ascii="宋体" w:hAnsi="宋体" w:cs="宋体"/>
                <w:szCs w:val="21"/>
              </w:rPr>
            </w:pPr>
            <w:r>
              <w:rPr>
                <w:rFonts w:hint="eastAsia" w:ascii="宋体" w:hAnsi="宋体" w:cs="宋体"/>
                <w:szCs w:val="21"/>
              </w:rPr>
              <w:t>（4）管理员指派任务</w:t>
            </w:r>
            <w:r>
              <w:rPr>
                <w:rFonts w:hint="eastAsia" w:ascii="宋体" w:hAnsi="宋体" w:cs="宋体"/>
                <w:szCs w:val="21"/>
                <w:lang w:eastAsia="zh-Hans"/>
              </w:rPr>
              <w:t>：</w:t>
            </w:r>
            <w:r>
              <w:rPr>
                <w:rFonts w:hint="eastAsia" w:ascii="宋体" w:hAnsi="宋体" w:cs="宋体"/>
                <w:szCs w:val="21"/>
              </w:rPr>
              <w:t>管理员指派督导听课任务后，督导可进入“邀请我听”区域，查看管理员指派的记录，选择接受或者忽略。</w:t>
            </w:r>
          </w:p>
          <w:p>
            <w:pPr>
              <w:spacing w:line="360" w:lineRule="auto"/>
              <w:ind w:firstLine="420"/>
              <w:rPr>
                <w:rFonts w:hint="eastAsia" w:ascii="宋体" w:hAnsi="宋体" w:cs="宋体"/>
                <w:szCs w:val="21"/>
              </w:rPr>
            </w:pPr>
            <w:r>
              <w:rPr>
                <w:rFonts w:hint="eastAsia" w:ascii="宋体" w:hAnsi="宋体" w:cs="宋体"/>
                <w:szCs w:val="21"/>
              </w:rPr>
              <w:t>（5）教师邀请听课</w:t>
            </w:r>
            <w:r>
              <w:rPr>
                <w:rFonts w:hint="eastAsia" w:ascii="宋体" w:hAnsi="宋体" w:cs="宋体"/>
                <w:szCs w:val="21"/>
                <w:lang w:eastAsia="zh-Hans"/>
              </w:rPr>
              <w:t>：</w:t>
            </w:r>
            <w:r>
              <w:rPr>
                <w:rFonts w:hint="eastAsia" w:ascii="宋体" w:hAnsi="宋体" w:cs="宋体"/>
                <w:szCs w:val="21"/>
              </w:rPr>
              <w:t>教师可邀请督导听课，可进行课程邀请及节次邀请两种方式，邀请时可选择某一督导分类下的所有督导，也可选择单个督导进行邀请，输入邀请说明，完成邀请。督导可查看教师邀请的具体信息，包括课程名称、教师、班级、时间、地点等，选择接受或者忽略。</w:t>
            </w:r>
          </w:p>
          <w:p>
            <w:pPr>
              <w:spacing w:line="360" w:lineRule="auto"/>
              <w:ind w:firstLine="420"/>
              <w:rPr>
                <w:rFonts w:hint="eastAsia" w:ascii="宋体" w:hAnsi="宋体" w:cs="宋体"/>
                <w:szCs w:val="21"/>
              </w:rPr>
            </w:pPr>
            <w:r>
              <w:rPr>
                <w:rFonts w:hint="eastAsia" w:ascii="宋体" w:hAnsi="宋体" w:cs="宋体"/>
                <w:szCs w:val="21"/>
              </w:rPr>
              <w:t>（6）查看已评记录</w:t>
            </w:r>
            <w:r>
              <w:rPr>
                <w:rFonts w:hint="eastAsia" w:ascii="宋体" w:hAnsi="宋体" w:cs="宋体"/>
                <w:szCs w:val="21"/>
                <w:lang w:eastAsia="zh-Hans"/>
              </w:rPr>
              <w:t>：</w:t>
            </w:r>
            <w:r>
              <w:rPr>
                <w:rFonts w:hint="eastAsia" w:ascii="宋体" w:hAnsi="宋体" w:cs="宋体"/>
                <w:szCs w:val="21"/>
              </w:rPr>
              <w:t>督导可查看自己的已评记录详情。</w:t>
            </w:r>
          </w:p>
          <w:p>
            <w:pPr>
              <w:spacing w:line="360" w:lineRule="auto"/>
              <w:ind w:firstLine="420"/>
              <w:rPr>
                <w:rFonts w:hint="eastAsia" w:ascii="宋体" w:hAnsi="宋体" w:cs="宋体"/>
                <w:szCs w:val="21"/>
              </w:rPr>
            </w:pPr>
            <w:r>
              <w:rPr>
                <w:rFonts w:hint="eastAsia" w:ascii="宋体" w:hAnsi="宋体" w:cs="宋体"/>
                <w:szCs w:val="21"/>
              </w:rPr>
              <w:t>（7）督导查看评课报告</w:t>
            </w:r>
            <w:r>
              <w:rPr>
                <w:rFonts w:hint="eastAsia" w:ascii="宋体" w:hAnsi="宋体" w:cs="宋体"/>
                <w:szCs w:val="21"/>
                <w:lang w:eastAsia="zh-Hans"/>
              </w:rPr>
              <w:t>：</w:t>
            </w:r>
            <w:r>
              <w:rPr>
                <w:rFonts w:hint="eastAsia" w:ascii="宋体" w:hAnsi="宋体" w:cs="宋体"/>
                <w:szCs w:val="21"/>
              </w:rPr>
              <w:t>督导在进行评课后，将基于督导个人的评课记录生成统计报告；</w:t>
            </w:r>
            <w:r>
              <w:rPr>
                <w:rFonts w:hint="eastAsia" w:ascii="宋体" w:hAnsi="宋体" w:cs="宋体"/>
                <w:szCs w:val="21"/>
                <w:lang w:eastAsia="zh-Hans"/>
              </w:rPr>
              <w:t>可在PC个人空间及移动端</w:t>
            </w:r>
            <w:r>
              <w:rPr>
                <w:rFonts w:hint="eastAsia" w:ascii="宋体" w:hAnsi="宋体" w:cs="宋体"/>
                <w:szCs w:val="21"/>
              </w:rPr>
              <w:t>查看内容</w:t>
            </w:r>
            <w:r>
              <w:rPr>
                <w:rFonts w:hint="eastAsia" w:ascii="宋体" w:hAnsi="宋体" w:cs="宋体"/>
                <w:szCs w:val="21"/>
                <w:lang w:eastAsia="zh-Hans"/>
              </w:rPr>
              <w:t>，</w:t>
            </w:r>
            <w:r>
              <w:rPr>
                <w:rFonts w:hint="eastAsia" w:ascii="宋体" w:hAnsi="宋体" w:cs="宋体"/>
                <w:szCs w:val="21"/>
              </w:rPr>
              <w:t>包括督导应评次数、已评次数、完成率、各学院听评次数统计等。</w:t>
            </w:r>
          </w:p>
          <w:p>
            <w:pPr>
              <w:spacing w:line="360" w:lineRule="auto"/>
              <w:ind w:firstLine="420"/>
              <w:rPr>
                <w:rFonts w:hint="eastAsia" w:ascii="宋体" w:hAnsi="宋体" w:cs="宋体"/>
                <w:szCs w:val="21"/>
              </w:rPr>
            </w:pPr>
            <w:r>
              <w:rPr>
                <w:rFonts w:hint="eastAsia" w:ascii="宋体" w:hAnsi="宋体" w:cs="宋体"/>
                <w:szCs w:val="21"/>
              </w:rPr>
              <w:t>2） pc端听评课</w:t>
            </w:r>
          </w:p>
          <w:p>
            <w:pPr>
              <w:spacing w:line="360" w:lineRule="auto"/>
              <w:ind w:firstLine="420"/>
              <w:rPr>
                <w:rFonts w:hint="eastAsia" w:ascii="宋体" w:hAnsi="宋体" w:cs="宋体"/>
                <w:szCs w:val="21"/>
              </w:rPr>
            </w:pPr>
            <w:r>
              <w:rPr>
                <w:rFonts w:hint="eastAsia" w:ascii="宋体" w:hAnsi="宋体" w:cs="宋体"/>
                <w:szCs w:val="21"/>
              </w:rPr>
              <w:t>pc端除了支持选择听课、评课计划、完成指派评课任务、完成邀请听课、查看已评记录外，还支持查看教师网络课程建设情况，包括课程的基础数据、课程门户（进入课程门户）、班级任务、学情分析、课程日志信息等内容。</w:t>
            </w:r>
          </w:p>
          <w:p>
            <w:pPr>
              <w:spacing w:line="360" w:lineRule="auto"/>
              <w:ind w:firstLine="420"/>
              <w:rPr>
                <w:rFonts w:hint="eastAsia" w:ascii="宋体" w:hAnsi="宋体" w:cs="宋体"/>
                <w:szCs w:val="21"/>
              </w:rPr>
            </w:pPr>
            <w:r>
              <w:rPr>
                <w:rFonts w:hint="eastAsia" w:ascii="宋体" w:hAnsi="宋体" w:cs="宋体"/>
                <w:szCs w:val="21"/>
              </w:rPr>
              <w:t>5.问卷数据回收</w:t>
            </w:r>
          </w:p>
          <w:p>
            <w:pPr>
              <w:spacing w:line="360" w:lineRule="auto"/>
              <w:ind w:firstLine="420"/>
              <w:rPr>
                <w:rFonts w:hint="eastAsia" w:ascii="宋体" w:hAnsi="宋体" w:cs="宋体"/>
                <w:szCs w:val="21"/>
              </w:rPr>
            </w:pPr>
            <w:r>
              <w:rPr>
                <w:rFonts w:hint="eastAsia" w:ascii="宋体" w:hAnsi="宋体" w:cs="宋体"/>
                <w:szCs w:val="21"/>
              </w:rPr>
              <w:t>（1）问卷详情查看</w:t>
            </w:r>
          </w:p>
          <w:p>
            <w:pPr>
              <w:spacing w:line="360" w:lineRule="auto"/>
              <w:ind w:firstLine="420"/>
              <w:rPr>
                <w:rFonts w:hint="eastAsia" w:ascii="宋体" w:hAnsi="宋体" w:cs="宋体"/>
                <w:szCs w:val="21"/>
              </w:rPr>
            </w:pPr>
            <w:r>
              <w:rPr>
                <w:rFonts w:hint="eastAsia" w:ascii="宋体" w:hAnsi="宋体" w:cs="宋体"/>
                <w:szCs w:val="21"/>
              </w:rPr>
              <w:t>可以查看已发放问卷的详细信息和评价结果，可以看到各个评价人员列表，以及一些基本信息，包括被评对象、教师的账号、所属院系、评价人信息、问卷平均分、综合分数等。可以直接查看问卷内每一道题的得分情况和每个选项的占比。</w:t>
            </w:r>
          </w:p>
          <w:p>
            <w:pPr>
              <w:spacing w:line="360" w:lineRule="auto"/>
              <w:ind w:firstLine="420"/>
              <w:rPr>
                <w:rFonts w:hint="eastAsia" w:ascii="宋体" w:hAnsi="宋体" w:cs="宋体"/>
                <w:szCs w:val="21"/>
              </w:rPr>
            </w:pPr>
            <w:r>
              <w:rPr>
                <w:rFonts w:hint="eastAsia" w:ascii="宋体" w:hAnsi="宋体" w:cs="宋体"/>
                <w:szCs w:val="21"/>
              </w:rPr>
              <w:t>（2）问卷结果导出</w:t>
            </w:r>
          </w:p>
          <w:p>
            <w:pPr>
              <w:spacing w:line="360" w:lineRule="auto"/>
              <w:ind w:firstLine="420"/>
              <w:rPr>
                <w:rFonts w:hint="eastAsia" w:ascii="宋体" w:hAnsi="宋体" w:cs="宋体"/>
                <w:szCs w:val="21"/>
              </w:rPr>
            </w:pPr>
            <w:r>
              <w:rPr>
                <w:rFonts w:hint="eastAsia" w:ascii="宋体" w:hAnsi="宋体" w:cs="宋体"/>
                <w:szCs w:val="21"/>
              </w:rPr>
              <w:t>支持导出问卷详情，可通过邮箱的形式导出问卷的统计详情，也可通过word或excel表格的形式进行导出。导出的内容包括评价结果（被评对象信息、最终平均分）和评价记录详情（被评对象信息、评价人员信息、课程信息、时间、每个评价的指标和结果）。</w:t>
            </w:r>
          </w:p>
          <w:p>
            <w:pPr>
              <w:spacing w:line="360" w:lineRule="auto"/>
              <w:ind w:firstLine="420"/>
              <w:rPr>
                <w:rFonts w:hint="eastAsia" w:ascii="宋体" w:hAnsi="宋体" w:cs="宋体"/>
                <w:szCs w:val="21"/>
              </w:rPr>
            </w:pPr>
            <w:r>
              <w:rPr>
                <w:rFonts w:hint="eastAsia" w:ascii="宋体" w:hAnsi="宋体" w:cs="宋体"/>
                <w:szCs w:val="21"/>
              </w:rPr>
              <w:t>6.统计分析</w:t>
            </w:r>
          </w:p>
          <w:p>
            <w:pPr>
              <w:spacing w:line="360" w:lineRule="auto"/>
              <w:ind w:firstLine="420"/>
              <w:rPr>
                <w:rFonts w:hint="eastAsia" w:ascii="宋体" w:hAnsi="宋体" w:cs="宋体"/>
                <w:szCs w:val="21"/>
              </w:rPr>
            </w:pPr>
            <w:r>
              <w:rPr>
                <w:rFonts w:hint="eastAsia" w:ascii="宋体" w:hAnsi="宋体" w:cs="宋体"/>
                <w:szCs w:val="21"/>
              </w:rPr>
              <w:t>统计分析维度包括评价教师分析、评价课程分析、随堂评教分析、听评课分析</w:t>
            </w:r>
            <w:r>
              <w:rPr>
                <w:rFonts w:hint="eastAsia" w:ascii="宋体" w:hAnsi="宋体" w:cs="宋体"/>
                <w:szCs w:val="21"/>
                <w:lang w:eastAsia="zh-Hans"/>
              </w:rPr>
              <w:t>、评价班级分析</w:t>
            </w:r>
            <w:r>
              <w:rPr>
                <w:rFonts w:hint="eastAsia" w:ascii="宋体" w:hAnsi="宋体" w:cs="宋体"/>
                <w:szCs w:val="21"/>
              </w:rPr>
              <w:t>。</w:t>
            </w:r>
          </w:p>
          <w:p>
            <w:pPr>
              <w:spacing w:line="360" w:lineRule="auto"/>
              <w:ind w:firstLine="420"/>
              <w:rPr>
                <w:rFonts w:hint="eastAsia" w:ascii="宋体" w:hAnsi="宋体" w:cs="宋体"/>
                <w:szCs w:val="21"/>
              </w:rPr>
            </w:pPr>
            <w:r>
              <w:rPr>
                <w:rFonts w:hint="eastAsia" w:ascii="宋体" w:hAnsi="宋体" w:cs="宋体"/>
                <w:szCs w:val="21"/>
              </w:rPr>
              <w:t>可按照评价任务为单位查看每一次评价任务的评价情况，包括评价任务的完成情况、评价问卷的提交情况、被评对象的评分排序、被评对象的分数分布图、院系平均分。各项统计均以饼状图、柱状图等图形或展示方式直观统计展示。</w:t>
            </w:r>
          </w:p>
          <w:p>
            <w:pPr>
              <w:spacing w:line="360" w:lineRule="auto"/>
              <w:ind w:firstLine="420"/>
              <w:rPr>
                <w:rFonts w:hint="eastAsia" w:ascii="宋体" w:hAnsi="宋体" w:cs="宋体"/>
                <w:szCs w:val="21"/>
              </w:rPr>
            </w:pPr>
            <w:r>
              <w:rPr>
                <w:rFonts w:hint="eastAsia" w:ascii="宋体" w:hAnsi="宋体" w:cs="宋体"/>
                <w:szCs w:val="21"/>
              </w:rPr>
              <w:t>选择某份评价教师问卷，</w:t>
            </w:r>
            <w:r>
              <w:rPr>
                <w:rFonts w:hint="eastAsia" w:ascii="宋体" w:hAnsi="宋体" w:cs="宋体"/>
                <w:szCs w:val="21"/>
                <w:lang w:eastAsia="zh-Hans"/>
              </w:rPr>
              <w:t>可查看被评教师人数、参与评价人数、教师平均分、最高分、最低分、参评率、授课教师人数分布等，</w:t>
            </w:r>
            <w:r>
              <w:rPr>
                <w:rFonts w:hint="eastAsia" w:ascii="宋体" w:hAnsi="宋体" w:cs="宋体"/>
                <w:szCs w:val="21"/>
              </w:rPr>
              <w:t>可查看当前问卷各院系平均得分及各分数区间人数占比、及院系各指标平均得分分布图、以及可查看教师的得分排行并支持导出；可以置标准参评率，设置后只分析大于标准参评率的评价结果。针对评价教师分析，可选择多份问卷设置不同权重，得出教师的综合得分，并可按照院系、姓名、分数等级进行筛选查看。</w:t>
            </w:r>
          </w:p>
          <w:p>
            <w:pPr>
              <w:spacing w:line="360" w:lineRule="auto"/>
              <w:ind w:firstLine="420"/>
              <w:rPr>
                <w:rFonts w:hint="eastAsia" w:ascii="宋体" w:hAnsi="宋体" w:cs="宋体"/>
                <w:szCs w:val="21"/>
              </w:rPr>
            </w:pPr>
            <w:r>
              <w:rPr>
                <w:rFonts w:hint="eastAsia" w:ascii="宋体" w:hAnsi="宋体" w:cs="宋体"/>
                <w:szCs w:val="21"/>
              </w:rPr>
              <w:t>支持按照问卷、指标、时间段、时间点、学院、课程进行筛选，查看随堂评教问卷下，各院系的得分和折线图对比情况。支持查看某个班级对某个课程每节课的评价分数和参评率，可以以折线图的形式展现每节课对比情况。支持查看本学期随堂评教情况排名。</w:t>
            </w:r>
          </w:p>
          <w:p>
            <w:pPr>
              <w:spacing w:line="360" w:lineRule="auto"/>
              <w:ind w:firstLine="420"/>
              <w:rPr>
                <w:rFonts w:hint="eastAsia" w:ascii="宋体" w:hAnsi="宋体" w:cs="宋体"/>
                <w:szCs w:val="21"/>
              </w:rPr>
            </w:pPr>
            <w:r>
              <w:rPr>
                <w:rFonts w:hint="eastAsia" w:ascii="宋体" w:hAnsi="宋体" w:cs="宋体"/>
                <w:szCs w:val="21"/>
              </w:rPr>
              <w:t>支持管理员查看督导听评课任务完成情况、各院系听评课完成率对比、已评价课程/教师情况，也可以查看被听评教师按院系、按指标、按学院教师的得分情况以及总体分析。</w:t>
            </w:r>
          </w:p>
          <w:p>
            <w:pPr>
              <w:spacing w:line="360" w:lineRule="auto"/>
              <w:ind w:firstLine="420"/>
              <w:rPr>
                <w:rFonts w:hint="eastAsia" w:ascii="宋体" w:hAnsi="宋体" w:cs="宋体"/>
                <w:szCs w:val="21"/>
                <w:lang w:eastAsia="zh-Hans"/>
              </w:rPr>
            </w:pPr>
            <w:r>
              <w:rPr>
                <w:rFonts w:hint="eastAsia" w:ascii="宋体" w:hAnsi="宋体" w:cs="宋体"/>
                <w:szCs w:val="21"/>
              </w:rPr>
              <w:t>支持管理员</w:t>
            </w:r>
            <w:r>
              <w:rPr>
                <w:rFonts w:hint="eastAsia" w:ascii="宋体" w:hAnsi="宋体" w:cs="宋体"/>
                <w:szCs w:val="21"/>
                <w:lang w:eastAsia="zh-Hans"/>
              </w:rPr>
              <w:t>查看评价班级分析，包括被评班级总数、参与评价人数、班级平均分、参评率、各院系被评班级分布、各院系班级平均分及区间分布、各院系班级平均分排名、班级平均分排名等。</w:t>
            </w:r>
          </w:p>
          <w:p>
            <w:pPr>
              <w:spacing w:line="360" w:lineRule="auto"/>
              <w:ind w:firstLine="420"/>
              <w:rPr>
                <w:rFonts w:hint="eastAsia" w:ascii="宋体" w:hAnsi="宋体" w:cs="宋体"/>
                <w:szCs w:val="21"/>
              </w:rPr>
            </w:pPr>
            <w:r>
              <w:rPr>
                <w:rFonts w:hint="eastAsia" w:ascii="宋体" w:hAnsi="宋体" w:cs="宋体"/>
                <w:szCs w:val="21"/>
              </w:rPr>
              <w:t>7.听评课报告</w:t>
            </w:r>
          </w:p>
          <w:p>
            <w:pPr>
              <w:spacing w:line="360" w:lineRule="auto"/>
              <w:ind w:firstLine="420"/>
              <w:rPr>
                <w:rFonts w:hint="eastAsia" w:ascii="宋体" w:hAnsi="宋体" w:cs="宋体"/>
                <w:szCs w:val="21"/>
              </w:rPr>
            </w:pPr>
            <w:r>
              <w:rPr>
                <w:rFonts w:hint="eastAsia" w:ascii="宋体" w:hAnsi="宋体" w:cs="宋体"/>
                <w:szCs w:val="21"/>
                <w:lang w:eastAsia="zh-Hans"/>
              </w:rPr>
              <w:t>支持管理员在后台生成听评课校级报告，对督导领导的听课数据进行汇总分析，生在报告后支持在线编辑，同时支持导出word，报告包括：评价完成情况、教师覆盖情况分析、课程覆盖情况分析、教师教学质量分析、课程质量分析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10</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jc w:val="left"/>
              <w:rPr>
                <w:rFonts w:hint="eastAsia" w:hAnsi="宋体" w:cs="宋体"/>
                <w:sz w:val="21"/>
                <w:szCs w:val="21"/>
              </w:rPr>
            </w:pPr>
            <w:r>
              <w:rPr>
                <w:rFonts w:hint="eastAsia" w:hAnsi="宋体" w:cs="宋体"/>
                <w:sz w:val="21"/>
                <w:szCs w:val="21"/>
              </w:rPr>
              <w:t>学分管理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0" w:firstLineChars="0"/>
              <w:rPr>
                <w:rFonts w:hint="eastAsia" w:ascii="宋体" w:hAnsi="宋体" w:cs="宋体"/>
                <w:color w:val="FF0000"/>
                <w:szCs w:val="21"/>
              </w:rPr>
            </w:pPr>
            <w:r>
              <w:rPr>
                <w:rFonts w:hint="eastAsia" w:ascii="宋体" w:hAnsi="宋体" w:cs="宋体"/>
                <w:szCs w:val="21"/>
              </w:rPr>
              <w:t>学分管理：在学分制选课模式中，学校所有课程可参与选课，可根据学校针对必修/选修课程不同的学分要求进行设置选课计划，学生按照要求进行分别选择对应学分的必修/选修课程。</w:t>
            </w:r>
          </w:p>
          <w:p>
            <w:pPr>
              <w:spacing w:line="360" w:lineRule="auto"/>
              <w:ind w:firstLine="0" w:firstLineChars="0"/>
              <w:rPr>
                <w:rFonts w:hint="eastAsia" w:ascii="宋体" w:hAnsi="宋体" w:cs="宋体"/>
                <w:szCs w:val="21"/>
              </w:rPr>
            </w:pPr>
            <w:r>
              <w:rPr>
                <w:rFonts w:hint="eastAsia" w:ascii="宋体" w:hAnsi="宋体" w:cs="宋体"/>
                <w:szCs w:val="21"/>
              </w:rPr>
              <w:t>1.学分规则设置</w:t>
            </w:r>
          </w:p>
          <w:p>
            <w:pPr>
              <w:pStyle w:val="61"/>
              <w:spacing w:line="360" w:lineRule="auto"/>
              <w:ind w:firstLine="0" w:firstLineChars="0"/>
              <w:rPr>
                <w:rFonts w:hint="eastAsia" w:ascii="宋体" w:hAnsi="宋体" w:cs="宋体"/>
                <w:szCs w:val="21"/>
              </w:rPr>
            </w:pPr>
            <w:r>
              <w:rPr>
                <w:rFonts w:hint="eastAsia" w:ascii="宋体" w:hAnsi="宋体" w:cs="宋体"/>
                <w:szCs w:val="21"/>
              </w:rPr>
              <w:t>1）系统支持设置课程学分、竞赛学分、证书学分、实习学分、德育学分5种学分类型；</w:t>
            </w:r>
          </w:p>
          <w:p>
            <w:pPr>
              <w:pStyle w:val="61"/>
              <w:spacing w:line="360" w:lineRule="auto"/>
              <w:ind w:firstLine="0" w:firstLineChars="0"/>
              <w:rPr>
                <w:rFonts w:hint="eastAsia" w:ascii="宋体" w:hAnsi="宋体" w:cs="宋体"/>
                <w:szCs w:val="21"/>
                <w:highlight w:val="yellow"/>
              </w:rPr>
            </w:pPr>
            <w:r>
              <w:rPr>
                <w:rFonts w:hint="eastAsia" w:ascii="宋体" w:hAnsi="宋体" w:cs="宋体"/>
                <w:szCs w:val="21"/>
              </w:rPr>
              <w:t>2）对不在以上范围内的学分类型，系统支持自定义新建学分类型；</w:t>
            </w:r>
          </w:p>
          <w:p>
            <w:pPr>
              <w:pStyle w:val="61"/>
              <w:spacing w:line="360" w:lineRule="auto"/>
              <w:ind w:firstLine="0" w:firstLineChars="0"/>
              <w:rPr>
                <w:rFonts w:hint="eastAsia" w:ascii="宋体" w:hAnsi="宋体" w:cs="宋体"/>
                <w:szCs w:val="21"/>
              </w:rPr>
            </w:pPr>
            <w:r>
              <w:rPr>
                <w:rFonts w:hint="eastAsia" w:ascii="宋体" w:hAnsi="宋体" w:cs="宋体"/>
                <w:szCs w:val="21"/>
              </w:rPr>
              <w:t>3）支持设置各种学分类型的换算规则；</w:t>
            </w:r>
          </w:p>
          <w:p>
            <w:pPr>
              <w:pStyle w:val="61"/>
              <w:spacing w:line="360" w:lineRule="auto"/>
              <w:ind w:firstLine="0" w:firstLineChars="0"/>
              <w:rPr>
                <w:rFonts w:hint="eastAsia" w:ascii="宋体" w:hAnsi="宋体" w:cs="宋体"/>
                <w:szCs w:val="21"/>
              </w:rPr>
            </w:pPr>
            <w:r>
              <w:rPr>
                <w:rFonts w:hint="eastAsia" w:ascii="宋体" w:hAnsi="宋体" w:cs="宋体"/>
                <w:szCs w:val="21"/>
              </w:rPr>
              <w:t>4）支持分数、等级等多种类型成绩的学分换算规则</w:t>
            </w:r>
          </w:p>
          <w:p>
            <w:pPr>
              <w:pStyle w:val="61"/>
              <w:spacing w:line="360" w:lineRule="auto"/>
              <w:ind w:firstLine="0" w:firstLineChars="0"/>
              <w:rPr>
                <w:rFonts w:hint="eastAsia" w:ascii="宋体" w:hAnsi="宋体" w:cs="宋体"/>
                <w:szCs w:val="21"/>
              </w:rPr>
            </w:pPr>
            <w:r>
              <w:rPr>
                <w:rFonts w:hint="eastAsia" w:ascii="宋体" w:hAnsi="宋体" w:cs="宋体"/>
                <w:szCs w:val="21"/>
              </w:rPr>
              <w:t>2.学分登记与查询</w:t>
            </w:r>
          </w:p>
          <w:p>
            <w:pPr>
              <w:pStyle w:val="61"/>
              <w:spacing w:line="360" w:lineRule="auto"/>
              <w:ind w:firstLine="0" w:firstLineChars="0"/>
              <w:rPr>
                <w:rFonts w:hint="eastAsia" w:ascii="宋体" w:hAnsi="宋体" w:cs="宋体"/>
                <w:szCs w:val="21"/>
              </w:rPr>
            </w:pPr>
            <w:r>
              <w:rPr>
                <w:rFonts w:hint="eastAsia" w:ascii="宋体" w:hAnsi="宋体" w:cs="宋体"/>
                <w:szCs w:val="21"/>
              </w:rPr>
              <w:t>1）支持课程、竞赛、证书、实习、德育等多种类型的学分的登记；支持逐条添加和批量导入；</w:t>
            </w:r>
          </w:p>
          <w:p>
            <w:pPr>
              <w:pStyle w:val="61"/>
              <w:spacing w:line="360" w:lineRule="auto"/>
              <w:ind w:firstLine="0" w:firstLineChars="0"/>
              <w:rPr>
                <w:rFonts w:hint="eastAsia" w:ascii="宋体" w:hAnsi="宋体" w:cs="宋体"/>
                <w:szCs w:val="21"/>
              </w:rPr>
            </w:pPr>
            <w:r>
              <w:rPr>
                <w:rFonts w:hint="eastAsia" w:ascii="宋体" w:hAnsi="宋体" w:cs="宋体"/>
                <w:szCs w:val="21"/>
              </w:rPr>
              <w:t>2）支持学生自行申请登记；</w:t>
            </w:r>
          </w:p>
          <w:p>
            <w:pPr>
              <w:pStyle w:val="61"/>
              <w:spacing w:line="360" w:lineRule="auto"/>
              <w:ind w:firstLine="0" w:firstLineChars="0"/>
              <w:rPr>
                <w:rFonts w:hint="eastAsia" w:ascii="宋体" w:hAnsi="宋体" w:cs="宋体"/>
                <w:szCs w:val="21"/>
              </w:rPr>
            </w:pPr>
            <w:r>
              <w:rPr>
                <w:rFonts w:hint="eastAsia" w:ascii="宋体" w:hAnsi="宋体" w:cs="宋体"/>
                <w:szCs w:val="21"/>
              </w:rPr>
              <w:t>3）支持对各种类型的学分认定结果进行查询和导出；</w:t>
            </w:r>
          </w:p>
          <w:p>
            <w:pPr>
              <w:pStyle w:val="61"/>
              <w:spacing w:line="360" w:lineRule="auto"/>
              <w:ind w:firstLine="0" w:firstLineChars="0"/>
              <w:rPr>
                <w:rFonts w:hint="eastAsia" w:ascii="宋体" w:hAnsi="宋体" w:cs="宋体"/>
                <w:szCs w:val="21"/>
              </w:rPr>
            </w:pPr>
            <w:r>
              <w:rPr>
                <w:rFonts w:hint="eastAsia" w:ascii="宋体" w:hAnsi="宋体" w:cs="宋体"/>
                <w:szCs w:val="21"/>
              </w:rPr>
              <w:t>3.学分互认</w:t>
            </w:r>
          </w:p>
          <w:p>
            <w:pPr>
              <w:pStyle w:val="61"/>
              <w:spacing w:line="360" w:lineRule="auto"/>
              <w:ind w:firstLine="0" w:firstLineChars="0"/>
              <w:rPr>
                <w:rFonts w:hint="eastAsia" w:ascii="宋体" w:hAnsi="宋体" w:cs="宋体"/>
                <w:szCs w:val="21"/>
              </w:rPr>
            </w:pPr>
            <w:r>
              <w:rPr>
                <w:rFonts w:hint="eastAsia" w:ascii="宋体" w:hAnsi="宋体" w:cs="宋体"/>
                <w:szCs w:val="21"/>
              </w:rPr>
              <w:t>1）支持设置可进行学分互认的学生年级范围、课程范围；互认申请时间；学生是否可自行发起申请；</w:t>
            </w:r>
          </w:p>
          <w:p>
            <w:pPr>
              <w:pStyle w:val="61"/>
              <w:spacing w:line="360" w:lineRule="auto"/>
              <w:ind w:firstLine="0" w:firstLineChars="0"/>
              <w:rPr>
                <w:rFonts w:hint="eastAsia" w:ascii="宋体" w:hAnsi="宋体" w:cs="宋体"/>
                <w:szCs w:val="21"/>
              </w:rPr>
            </w:pPr>
            <w:r>
              <w:rPr>
                <w:rFonts w:hint="eastAsia" w:ascii="宋体" w:hAnsi="宋体" w:cs="宋体"/>
                <w:szCs w:val="21"/>
              </w:rPr>
              <w:t>2）支持管理端使用学生竞赛、证书等学分来认定未获取的课程学分；</w:t>
            </w:r>
          </w:p>
          <w:p>
            <w:pPr>
              <w:pStyle w:val="61"/>
              <w:spacing w:line="360" w:lineRule="auto"/>
              <w:ind w:firstLine="0" w:firstLineChars="0"/>
              <w:rPr>
                <w:rFonts w:hint="eastAsia" w:ascii="宋体" w:hAnsi="宋体" w:cs="宋体"/>
                <w:szCs w:val="21"/>
              </w:rPr>
            </w:pPr>
            <w:r>
              <w:rPr>
                <w:rFonts w:hint="eastAsia" w:ascii="宋体" w:hAnsi="宋体" w:cs="宋体"/>
                <w:szCs w:val="21"/>
              </w:rPr>
              <w:t>3）支持自定义设置审核流程；</w:t>
            </w:r>
          </w:p>
          <w:p>
            <w:pPr>
              <w:pStyle w:val="61"/>
              <w:spacing w:line="360" w:lineRule="auto"/>
              <w:ind w:firstLine="0" w:firstLineChars="0"/>
              <w:rPr>
                <w:rFonts w:hint="eastAsia" w:ascii="宋体" w:hAnsi="宋体" w:cs="宋体"/>
                <w:szCs w:val="21"/>
              </w:rPr>
            </w:pPr>
            <w:r>
              <w:rPr>
                <w:rFonts w:hint="eastAsia" w:ascii="宋体" w:hAnsi="宋体" w:cs="宋体"/>
                <w:szCs w:val="21"/>
              </w:rPr>
              <w:t>4）支持对认定结果进行查询和导出；</w:t>
            </w:r>
          </w:p>
          <w:p>
            <w:pPr>
              <w:pStyle w:val="61"/>
              <w:spacing w:line="360" w:lineRule="auto"/>
              <w:ind w:firstLine="0" w:firstLineChars="0"/>
              <w:rPr>
                <w:rFonts w:hint="eastAsia" w:ascii="宋体" w:hAnsi="宋体" w:cs="宋体"/>
                <w:szCs w:val="21"/>
              </w:rPr>
            </w:pPr>
            <w:r>
              <w:rPr>
                <w:rFonts w:hint="eastAsia" w:ascii="宋体" w:hAnsi="宋体" w:cs="宋体"/>
                <w:szCs w:val="21"/>
              </w:rPr>
              <w:t>4.学生学分查询</w:t>
            </w:r>
          </w:p>
          <w:p>
            <w:pPr>
              <w:pStyle w:val="61"/>
              <w:spacing w:line="360" w:lineRule="auto"/>
              <w:ind w:firstLine="0" w:firstLineChars="0"/>
              <w:rPr>
                <w:rFonts w:hint="eastAsia" w:ascii="宋体" w:hAnsi="宋体" w:cs="宋体"/>
                <w:szCs w:val="21"/>
              </w:rPr>
            </w:pPr>
            <w:r>
              <w:rPr>
                <w:rFonts w:hint="eastAsia" w:ascii="宋体" w:hAnsi="宋体" w:cs="宋体"/>
                <w:szCs w:val="21"/>
              </w:rPr>
              <w:t>1）支持按照学生维度对具体某个学生在校期间获取学分的情况进行查询；</w:t>
            </w:r>
          </w:p>
          <w:p>
            <w:pPr>
              <w:pStyle w:val="61"/>
              <w:spacing w:line="360" w:lineRule="auto"/>
              <w:ind w:firstLine="0" w:firstLineChars="0"/>
              <w:rPr>
                <w:rFonts w:hint="eastAsia" w:ascii="宋体" w:hAnsi="宋体" w:cs="宋体"/>
                <w:szCs w:val="21"/>
              </w:rPr>
            </w:pPr>
            <w:r>
              <w:rPr>
                <w:rFonts w:hint="eastAsia" w:ascii="宋体" w:hAnsi="宋体" w:cs="宋体"/>
                <w:szCs w:val="21"/>
              </w:rPr>
              <w:t>2）支持按照学期维度对某个学生获取学分的情况进行查询</w:t>
            </w:r>
          </w:p>
          <w:p>
            <w:pPr>
              <w:pStyle w:val="61"/>
              <w:spacing w:line="360" w:lineRule="auto"/>
              <w:ind w:firstLine="0" w:firstLineChars="0"/>
              <w:rPr>
                <w:rFonts w:hint="eastAsia" w:ascii="宋体" w:hAnsi="宋体" w:cs="宋体"/>
                <w:szCs w:val="21"/>
              </w:rPr>
            </w:pPr>
            <w:r>
              <w:rPr>
                <w:rFonts w:hint="eastAsia" w:ascii="宋体" w:hAnsi="宋体" w:cs="宋体"/>
                <w:szCs w:val="21"/>
              </w:rPr>
              <w:t>3）支持下载学分学分档案卡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10874"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11</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lang w:val="zh-TW" w:eastAsia="zh-TW"/>
              </w:rPr>
            </w:pPr>
            <w:bookmarkStart w:id="98" w:name="_Toc17593"/>
            <w:r>
              <w:rPr>
                <w:rFonts w:hint="eastAsia" w:hAnsi="宋体" w:cs="宋体"/>
                <w:sz w:val="21"/>
                <w:szCs w:val="21"/>
                <w:lang w:val="zh-TW" w:eastAsia="zh-TW"/>
              </w:rPr>
              <w:t>毕业管理</w:t>
            </w:r>
            <w:bookmarkEnd w:id="98"/>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340"/>
              <w:framePr w:wrap="auto" w:vAnchor="margin" w:hAnchor="text" w:yAlign="inline"/>
              <w:widowControl/>
              <w:spacing w:line="360" w:lineRule="auto"/>
              <w:jc w:val="left"/>
              <w:rPr>
                <w:rFonts w:ascii="宋体" w:hAnsi="宋体" w:eastAsia="宋体" w:cs="宋体"/>
                <w:color w:val="auto"/>
                <w:kern w:val="0"/>
                <w:lang w:val="zh-TW" w:eastAsia="zh-TW"/>
              </w:rPr>
            </w:pPr>
            <w:r>
              <w:rPr>
                <w:rFonts w:ascii="宋体" w:hAnsi="宋体" w:eastAsia="宋体" w:cs="宋体"/>
                <w:color w:val="auto"/>
                <w:kern w:val="0"/>
                <w:lang w:val="zh-TW" w:eastAsia="zh-TW"/>
              </w:rPr>
              <w:t>毕业学分</w:t>
            </w:r>
            <w:r>
              <w:rPr>
                <w:rFonts w:ascii="宋体" w:hAnsi="宋体" w:eastAsia="宋体" w:cs="宋体"/>
                <w:color w:val="auto"/>
                <w:kern w:val="0"/>
              </w:rPr>
              <w:t>条件</w:t>
            </w:r>
            <w:r>
              <w:rPr>
                <w:rFonts w:ascii="宋体" w:hAnsi="宋体" w:eastAsia="宋体" w:cs="宋体"/>
                <w:color w:val="auto"/>
                <w:kern w:val="0"/>
                <w:lang w:val="zh-TW" w:eastAsia="zh-TW"/>
              </w:rPr>
              <w:t>设置、毕业</w:t>
            </w:r>
            <w:r>
              <w:rPr>
                <w:rFonts w:ascii="宋体" w:hAnsi="宋体" w:eastAsia="宋体" w:cs="宋体"/>
                <w:color w:val="auto"/>
                <w:kern w:val="0"/>
              </w:rPr>
              <w:t>资格审查</w:t>
            </w:r>
            <w:r>
              <w:rPr>
                <w:rFonts w:ascii="宋体" w:hAnsi="宋体" w:eastAsia="宋体" w:cs="宋体"/>
                <w:color w:val="auto"/>
                <w:kern w:val="0"/>
                <w:lang w:val="zh-TW" w:eastAsia="zh-TW"/>
              </w:rPr>
              <w:t>、毕业数据处理、毕业统计分析。</w:t>
            </w:r>
          </w:p>
          <w:p>
            <w:pPr>
              <w:pStyle w:val="340"/>
              <w:framePr w:wrap="auto" w:vAnchor="margin" w:hAnchor="text" w:yAlign="inline"/>
              <w:widowControl/>
              <w:numPr>
                <w:ilvl w:val="0"/>
                <w:numId w:val="8"/>
              </w:numPr>
              <w:pBdr>
                <w:bottom w:val="single" w:color="auto" w:sz="6" w:space="1"/>
              </w:pBdr>
              <w:spacing w:line="360" w:lineRule="auto"/>
              <w:jc w:val="left"/>
              <w:rPr>
                <w:rFonts w:ascii="宋体" w:hAnsi="宋体" w:eastAsia="宋体" w:cs="宋体"/>
                <w:color w:val="auto"/>
                <w:kern w:val="0"/>
                <w:lang w:val="zh-TW" w:eastAsia="zh-TW"/>
              </w:rPr>
            </w:pPr>
            <w:r>
              <w:rPr>
                <w:rFonts w:ascii="宋体" w:hAnsi="宋体" w:eastAsia="宋体" w:cs="宋体"/>
                <w:color w:val="auto"/>
                <w:kern w:val="0"/>
                <w:lang w:val="zh-TW" w:eastAsia="zh-TW"/>
              </w:rPr>
              <w:t>支持</w:t>
            </w:r>
            <w:r>
              <w:rPr>
                <w:rFonts w:ascii="宋体" w:hAnsi="宋体" w:eastAsia="宋体" w:cs="宋体"/>
                <w:color w:val="auto"/>
                <w:kern w:val="0"/>
              </w:rPr>
              <w:t>按照专业维度自定义设置毕业课程条件、毕业学分条件、毕业证书条件，支持</w:t>
            </w:r>
            <w:r>
              <w:rPr>
                <w:rFonts w:ascii="宋体" w:hAnsi="宋体" w:eastAsia="宋体" w:cs="宋体"/>
                <w:color w:val="auto"/>
                <w:kern w:val="0"/>
                <w:lang w:val="zh-TW" w:eastAsia="zh-TW"/>
              </w:rPr>
              <w:t>添加技能等级考试证书加入学生毕业条件审核</w:t>
            </w:r>
            <w:r>
              <w:rPr>
                <w:rFonts w:ascii="宋体" w:hAnsi="宋体" w:eastAsia="宋体" w:cs="宋体"/>
                <w:color w:val="auto"/>
                <w:kern w:val="0"/>
                <w:lang w:val="zh-TW"/>
              </w:rPr>
              <w:t>。</w:t>
            </w:r>
          </w:p>
          <w:p>
            <w:pPr>
              <w:pStyle w:val="340"/>
              <w:framePr w:wrap="auto" w:vAnchor="margin" w:hAnchor="text" w:yAlign="inline"/>
              <w:widowControl/>
              <w:numPr>
                <w:ilvl w:val="0"/>
                <w:numId w:val="8"/>
              </w:numPr>
              <w:pBdr>
                <w:bottom w:val="single" w:color="auto" w:sz="6" w:space="1"/>
              </w:pBdr>
              <w:spacing w:line="360" w:lineRule="auto"/>
              <w:jc w:val="left"/>
              <w:rPr>
                <w:rFonts w:ascii="宋体" w:hAnsi="宋体" w:eastAsia="宋体" w:cs="宋体"/>
                <w:color w:val="auto"/>
                <w:kern w:val="0"/>
              </w:rPr>
            </w:pPr>
            <w:r>
              <w:rPr>
                <w:rFonts w:ascii="宋体" w:hAnsi="宋体" w:eastAsia="宋体" w:cs="宋体"/>
                <w:color w:val="auto"/>
                <w:kern w:val="0"/>
              </w:rPr>
              <w:t>可以针对各个课程性质单独进行毕业学分要求配置。</w:t>
            </w:r>
          </w:p>
          <w:p>
            <w:pPr>
              <w:pStyle w:val="340"/>
              <w:framePr w:wrap="auto" w:vAnchor="margin" w:hAnchor="text" w:yAlign="inline"/>
              <w:widowControl/>
              <w:pBdr>
                <w:bottom w:val="single" w:color="auto" w:sz="6" w:space="1"/>
              </w:pBdr>
              <w:spacing w:line="360" w:lineRule="auto"/>
              <w:ind w:firstLine="420" w:firstLineChars="200"/>
              <w:jc w:val="left"/>
              <w:rPr>
                <w:rFonts w:ascii="宋体" w:hAnsi="宋体" w:eastAsia="宋体" w:cs="宋体"/>
                <w:color w:val="auto"/>
                <w:kern w:val="0"/>
              </w:rPr>
            </w:pPr>
            <w:r>
              <w:rPr>
                <w:rFonts w:ascii="宋体" w:hAnsi="宋体" w:eastAsia="宋体" w:cs="宋体"/>
                <w:color w:val="auto"/>
                <w:kern w:val="0"/>
                <w:lang w:val="zh-TW" w:eastAsia="zh-TW"/>
              </w:rPr>
              <w:t>可批量设置毕业审核条件，也可为单个</w:t>
            </w:r>
            <w:r>
              <w:rPr>
                <w:rFonts w:ascii="宋体" w:hAnsi="宋体" w:eastAsia="宋体" w:cs="宋体"/>
                <w:color w:val="auto"/>
                <w:kern w:val="0"/>
              </w:rPr>
              <w:t>专业</w:t>
            </w:r>
            <w:r>
              <w:rPr>
                <w:rFonts w:ascii="宋体" w:hAnsi="宋体" w:eastAsia="宋体" w:cs="宋体"/>
                <w:color w:val="auto"/>
                <w:kern w:val="0"/>
                <w:lang w:val="zh-TW" w:eastAsia="zh-TW"/>
              </w:rPr>
              <w:t>设置毕业审核条件，符合学分制要求。</w:t>
            </w:r>
            <w:r>
              <w:rPr>
                <w:rFonts w:ascii="宋体" w:hAnsi="宋体" w:eastAsia="宋体" w:cs="宋体"/>
                <w:color w:val="auto"/>
                <w:kern w:val="0"/>
              </w:rPr>
              <w:t>毕业条件包括：</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修读总学分达到要求；</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不及格课程门数（必修）&lt; n门；</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不及格课程门数（选修）&lt; n门；</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毕业时无未撤销处分；</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必修课平均学分绩点≥ n分；</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拥有成绩课程门数 ≥ n门；</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选修课程各课程性质学分达到要求；</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平均学分绩点 &gt; n；</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毕业课程达到要求分数；</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英语六级成绩≥ n分；</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计算机二级成绩≥ n分。</w:t>
            </w:r>
          </w:p>
          <w:p>
            <w:pPr>
              <w:pStyle w:val="340"/>
              <w:framePr w:wrap="auto" w:vAnchor="margin" w:hAnchor="text" w:yAlign="inline"/>
              <w:widowControl/>
              <w:pBdr>
                <w:bottom w:val="single" w:color="auto" w:sz="6" w:space="1"/>
              </w:pBdr>
              <w:spacing w:line="360" w:lineRule="auto"/>
              <w:jc w:val="left"/>
              <w:rPr>
                <w:rFonts w:ascii="宋体" w:hAnsi="宋体" w:eastAsia="宋体" w:cs="宋体"/>
                <w:color w:val="auto"/>
                <w:kern w:val="0"/>
              </w:rPr>
            </w:pPr>
            <w:r>
              <w:rPr>
                <w:rFonts w:ascii="宋体" w:hAnsi="宋体" w:eastAsia="宋体" w:cs="宋体"/>
                <w:color w:val="auto"/>
                <w:kern w:val="0"/>
              </w:rPr>
              <w:t xml:space="preserve">   以上n值管理员可以根据需求自行配置。</w:t>
            </w:r>
          </w:p>
          <w:p>
            <w:pPr>
              <w:pStyle w:val="340"/>
              <w:framePr w:wrap="auto" w:vAnchor="margin" w:hAnchor="text" w:yAlign="inline"/>
              <w:widowControl/>
              <w:numPr>
                <w:ilvl w:val="0"/>
                <w:numId w:val="8"/>
              </w:numPr>
              <w:pBdr>
                <w:bottom w:val="single" w:color="auto" w:sz="6" w:space="1"/>
              </w:pBdr>
              <w:spacing w:line="360" w:lineRule="auto"/>
              <w:jc w:val="left"/>
              <w:rPr>
                <w:rFonts w:ascii="宋体" w:hAnsi="宋体" w:eastAsia="宋体" w:cs="宋体"/>
                <w:color w:val="auto"/>
                <w:kern w:val="0"/>
                <w:lang w:val="zh-TW" w:eastAsia="zh-TW"/>
              </w:rPr>
            </w:pPr>
            <w:r>
              <w:rPr>
                <w:rFonts w:ascii="宋体" w:hAnsi="宋体" w:eastAsia="宋体" w:cs="宋体"/>
                <w:color w:val="auto"/>
                <w:kern w:val="0"/>
                <w:lang w:val="zh-TW" w:eastAsia="zh-TW"/>
              </w:rPr>
              <w:t>支持一键审核毕业学生的毕业情况和学位情况，或单独处理某个毕业生的毕业情况，同时显示审核通过或不通过原因</w:t>
            </w:r>
          </w:p>
          <w:p>
            <w:pPr>
              <w:pStyle w:val="340"/>
              <w:framePr w:wrap="auto" w:vAnchor="margin" w:hAnchor="text" w:yAlign="inline"/>
              <w:widowControl/>
              <w:pBdr>
                <w:bottom w:val="single" w:color="auto" w:sz="6" w:space="1"/>
              </w:pBdr>
              <w:spacing w:line="360" w:lineRule="auto"/>
              <w:jc w:val="left"/>
              <w:rPr>
                <w:rFonts w:ascii="宋体" w:hAnsi="宋体" w:eastAsia="宋体" w:cs="宋体"/>
                <w:color w:val="auto"/>
                <w:kern w:val="0"/>
                <w:lang w:val="zh-TW" w:eastAsia="zh-TW"/>
              </w:rPr>
            </w:pPr>
            <w:r>
              <w:rPr>
                <w:rFonts w:ascii="宋体" w:hAnsi="宋体" w:eastAsia="宋体" w:cs="宋体"/>
                <w:color w:val="auto"/>
                <w:kern w:val="0"/>
              </w:rPr>
              <w:t>5）</w:t>
            </w:r>
            <w:r>
              <w:rPr>
                <w:rFonts w:ascii="宋体" w:hAnsi="宋体" w:eastAsia="宋体" w:cs="宋体"/>
                <w:color w:val="auto"/>
                <w:kern w:val="0"/>
                <w:lang w:val="zh-TW" w:eastAsia="zh-TW"/>
              </w:rPr>
              <w:t>支持输出毕业生名单，方便学校进行数据上报。</w:t>
            </w:r>
          </w:p>
          <w:p>
            <w:pPr>
              <w:pStyle w:val="340"/>
              <w:framePr w:wrap="auto" w:vAnchor="margin" w:hAnchor="text" w:yAlign="inline"/>
              <w:widowControl/>
              <w:pBdr>
                <w:bottom w:val="single" w:color="auto" w:sz="6" w:space="1"/>
              </w:pBdr>
              <w:spacing w:line="360" w:lineRule="auto"/>
              <w:jc w:val="left"/>
              <w:rPr>
                <w:rFonts w:ascii="宋体" w:hAnsi="宋体" w:eastAsia="宋体" w:cs="宋体"/>
                <w:color w:val="auto"/>
                <w:kern w:val="0"/>
                <w:lang w:val="zh-TW" w:eastAsia="zh-TW"/>
              </w:rPr>
            </w:pPr>
            <w:r>
              <w:rPr>
                <w:rFonts w:ascii="宋体" w:hAnsi="宋体" w:eastAsia="宋体" w:cs="宋体"/>
                <w:color w:val="auto"/>
                <w:kern w:val="0"/>
              </w:rPr>
              <w:t>6）支持毕业学生的统计查询，包括学院毕业人数汇总；历年毕业人数汇总；班级人数对比；明细表格。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12</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spacing w:val="-6"/>
                <w:sz w:val="21"/>
                <w:szCs w:val="21"/>
              </w:rPr>
            </w:pPr>
            <w:r>
              <w:rPr>
                <w:rFonts w:hint="eastAsia" w:hAnsi="宋体" w:cs="宋体"/>
                <w:sz w:val="21"/>
                <w:szCs w:val="21"/>
              </w:rPr>
              <w:t>教师工作量管理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1.计算规则设置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1）支持通过“数据工厂”工具来自定义配置统计工作量所需的数据来源表；</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2）支持通过“公式编辑”来自定义配置参与计算的字段、系数等；</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2.课时量数据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1）支持按周统计教师授课课时量数据；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2）支持按月统计教师授课课时量数据；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3）支持按学期统计教师授课课时量数据；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3.监考工作量数据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支持直接对接考务模块的监考工作量参与总工作量计算。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13</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firstLine="211" w:firstLineChars="100"/>
              <w:jc w:val="left"/>
              <w:rPr>
                <w:rFonts w:hint="eastAsia" w:hAnsi="宋体" w:cs="宋体"/>
                <w:sz w:val="21"/>
                <w:szCs w:val="21"/>
              </w:rPr>
            </w:pPr>
            <w:r>
              <w:rPr>
                <w:rFonts w:hint="eastAsia" w:hAnsi="宋体" w:cs="宋体"/>
                <w:sz w:val="21"/>
                <w:szCs w:val="21"/>
              </w:rPr>
              <w:t>其他</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在教务系统教师端和学生端中，提供网络云盘功能，PC端、移动端都可以使用，提供给全校师生进行资料上传、下载、相关学习文件保存和共享给其他人使用。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935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cs="宋体"/>
                <w:b/>
                <w:bCs/>
                <w:szCs w:val="21"/>
              </w:rPr>
            </w:pPr>
            <w:r>
              <w:rPr>
                <w:rFonts w:hint="eastAsia" w:ascii="宋体" w:hAnsi="宋体" w:cs="宋体"/>
                <w:b/>
                <w:bCs/>
                <w:szCs w:val="21"/>
              </w:rPr>
              <w:t>商务要求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rPr>
                <w:rFonts w:hint="eastAsia" w:ascii="宋体" w:hAnsi="宋体" w:cs="宋体"/>
                <w:szCs w:val="21"/>
              </w:rPr>
            </w:pPr>
            <w:r>
              <w:rPr>
                <w:rFonts w:hint="eastAsia" w:ascii="宋体" w:hAnsi="宋体" w:cs="宋体"/>
                <w:kern w:val="0"/>
                <w:szCs w:val="21"/>
                <w:lang w:bidi="ar"/>
              </w:rPr>
              <w:t>合同签订期</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自中标通知书发出之日起</w:t>
            </w:r>
            <w:r>
              <w:rPr>
                <w:rFonts w:hint="eastAsia" w:ascii="宋体" w:hAnsi="宋体" w:eastAsia="宋体" w:cs="宋体"/>
                <w:color w:val="auto"/>
                <w:kern w:val="0"/>
                <w:sz w:val="21"/>
                <w:szCs w:val="21"/>
                <w:highlight w:val="none"/>
                <w:lang w:bidi="ar"/>
              </w:rPr>
              <w:t>15</w:t>
            </w:r>
            <w:r>
              <w:rPr>
                <w:rFonts w:hint="eastAsia" w:ascii="宋体" w:hAnsi="宋体" w:eastAsia="宋体" w:cs="宋体"/>
                <w:color w:val="auto"/>
                <w:kern w:val="0"/>
                <w:sz w:val="21"/>
                <w:szCs w:val="21"/>
                <w:lang w:bidi="ar"/>
              </w:rPr>
              <w:t>日内。</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rPr>
                <w:rFonts w:hint="eastAsia" w:ascii="宋体" w:hAnsi="宋体" w:cs="宋体"/>
                <w:szCs w:val="21"/>
              </w:rPr>
            </w:pPr>
            <w:r>
              <w:rPr>
                <w:rFonts w:hint="eastAsia" w:ascii="宋体" w:hAnsi="宋体" w:cs="宋体"/>
                <w:kern w:val="0"/>
                <w:szCs w:val="21"/>
                <w:lang w:bidi="ar"/>
              </w:rPr>
              <w:t>交货时间及地点</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1.交货期：自合同签订之日2个月内，完成全部货物的交付、安装、调试并达到初验条件。</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2.地点：浦北县第一职业技术学校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jc w:val="center"/>
              <w:rPr>
                <w:rFonts w:hint="eastAsia" w:ascii="宋体" w:hAnsi="宋体" w:cs="宋体"/>
                <w:kern w:val="0"/>
                <w:szCs w:val="21"/>
                <w:lang w:bidi="ar"/>
              </w:rPr>
            </w:pPr>
            <w:r>
              <w:rPr>
                <w:rFonts w:hint="eastAsia" w:ascii="宋体" w:hAnsi="宋体" w:cs="宋体"/>
                <w:kern w:val="0"/>
                <w:szCs w:val="21"/>
                <w:highlight w:val="none"/>
                <w:lang w:bidi="ar"/>
              </w:rPr>
              <w:t>付款方式及条件</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color w:val="auto"/>
                <w:sz w:val="21"/>
                <w:szCs w:val="21"/>
              </w:rPr>
            </w:pPr>
            <w:r>
              <w:rPr>
                <w:rFonts w:ascii="宋体" w:hAnsi="宋体"/>
                <w:bCs/>
                <w:highlight w:val="none"/>
              </w:rPr>
              <w:t>本项目无预付款，</w:t>
            </w:r>
            <w:r>
              <w:rPr>
                <w:rFonts w:hint="eastAsia" w:ascii="宋体" w:hAnsi="宋体"/>
                <w:bCs/>
                <w:highlight w:val="none"/>
                <w:lang w:val="en-US" w:eastAsia="zh-CN"/>
              </w:rPr>
              <w:t>中标供应商</w:t>
            </w:r>
            <w:r>
              <w:rPr>
                <w:rFonts w:ascii="宋体" w:hAnsi="宋体"/>
                <w:bCs/>
                <w:highlight w:val="none"/>
              </w:rPr>
              <w:t>交货完毕</w:t>
            </w:r>
            <w:r>
              <w:rPr>
                <w:rFonts w:hint="eastAsia" w:ascii="宋体" w:hAnsi="宋体"/>
                <w:bCs/>
                <w:highlight w:val="none"/>
                <w:lang w:eastAsia="zh-CN"/>
              </w:rPr>
              <w:t>，</w:t>
            </w:r>
            <w:r>
              <w:rPr>
                <w:rFonts w:ascii="宋体" w:hAnsi="宋体"/>
                <w:bCs/>
                <w:highlight w:val="none"/>
              </w:rPr>
              <w:t>经</w:t>
            </w:r>
            <w:r>
              <w:rPr>
                <w:rFonts w:hint="eastAsia" w:ascii="宋体" w:hAnsi="宋体"/>
                <w:bCs/>
                <w:highlight w:val="none"/>
                <w:lang w:val="en-US" w:eastAsia="zh-CN"/>
              </w:rPr>
              <w:t>采购人</w:t>
            </w:r>
            <w:r>
              <w:rPr>
                <w:rFonts w:ascii="宋体" w:hAnsi="宋体"/>
                <w:bCs/>
                <w:highlight w:val="none"/>
              </w:rPr>
              <w:t>验收合格后且收到</w:t>
            </w:r>
            <w:r>
              <w:rPr>
                <w:rFonts w:hint="eastAsia" w:ascii="宋体" w:hAnsi="宋体"/>
                <w:bCs/>
                <w:highlight w:val="none"/>
                <w:lang w:val="en-US" w:eastAsia="zh-CN"/>
              </w:rPr>
              <w:t>中标供应商</w:t>
            </w:r>
            <w:r>
              <w:rPr>
                <w:rFonts w:ascii="宋体" w:hAnsi="宋体"/>
                <w:bCs/>
                <w:highlight w:val="none"/>
              </w:rPr>
              <w:t>开具的发票，</w:t>
            </w:r>
            <w:r>
              <w:rPr>
                <w:rFonts w:hint="eastAsia" w:ascii="宋体" w:hAnsi="宋体"/>
                <w:bCs/>
                <w:highlight w:val="none"/>
              </w:rPr>
              <w:t>采购人原则上应当自收到发票后10个工作日内将资金支付</w:t>
            </w:r>
            <w:r>
              <w:rPr>
                <w:rFonts w:hint="eastAsia" w:ascii="宋体" w:hAnsi="宋体"/>
                <w:bCs/>
                <w:highlight w:val="none"/>
                <w:lang w:val="en-US" w:eastAsia="zh-CN"/>
              </w:rPr>
              <w:t>给中标人。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rPr>
                <w:rFonts w:hint="eastAsia" w:ascii="宋体" w:hAnsi="宋体" w:cs="宋体"/>
                <w:szCs w:val="21"/>
              </w:rPr>
            </w:pPr>
            <w:r>
              <w:rPr>
                <w:rFonts w:hint="eastAsia"/>
              </w:rPr>
              <w:t>质保期</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软件系统质保：5年，包括免费升级、漏洞修复、技术支援、适应性调整；服务类质保：与软件系统同步，包括培训、继承、运维。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rPr>
                <w:rFonts w:hint="eastAsia" w:ascii="宋体" w:hAnsi="宋体" w:cs="宋体"/>
                <w:szCs w:val="21"/>
              </w:rPr>
            </w:pPr>
            <w:r>
              <w:rPr>
                <w:rFonts w:hint="eastAsia"/>
              </w:rPr>
              <w:t>售后服务要求</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一、 质量保证期（质保期）要求</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期限：要求5年的免费质量保证期，自项目最终验收合格之日起计算。</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范围： 质保范围涵盖所有硬件设备、软件平台、系统集成内容以及所提供的技术服务。</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全免费： 在质保期内，所有正常的设备维修、部件更换、软件维护、升级、技术支持等服务均不得收取任何费用（除非有特殊约定）。</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二、 技术服务与响应要求</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 响应时间：</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热线/远程支持： 提供 7×24小时 免费技术支持热线，对于一般性问题，要求 15分钟-2小时内 响应。</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现场响应： 对于无法远程解决的严重故障，要求提供现场服务。通常会分级要求：</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一级故障（系统瘫痪）： 2-4小时内 抵达现场。</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二级故障（部分功能失效）： 4-8小时内 抵达现场。</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三级故障（一般性问题）： 下一个工作日内 响应。</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 故障解决时限：</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要求承诺在规定的时限内（如24小时）修复故障或提供应急解决方案。</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 定期巡检与维护：</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要求供应商每季度或每半年提供一次免费的现场巡检服务。</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巡检内容需包括：检查系统运行状态、性能优化、日志分析、数据备份验证、硬件设备状态检查等，并提交正式的《巡检报告》。</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三、 软件系统维护与升级要求</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 系统优化与BUG修复： 免费及时提供系统漏洞补丁和BUG修复程序。</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 免费升级： 明确要求质保期内，提供软件系统同版本内的无限次免费升级（如从V1.0升级到所有V1.X版本）。</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 适应性维护： 因操作系统、数据库等底层平台升级而需要做的兼容性调整，应免费提供。</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 数据维护： 协助学校进行数据备份、迁移和恢复工作。</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四、 技术培训要求</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持续培训： 除了实施初期的培训外，应承诺在质保期内提供不少于每年2次的免费深化培训或新员工培训。</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培训形式： 可包括现场培训、集中培训、远程视频培训等。</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培训资料： 免费提供最新的电子版和纸质版培训手册、操作指南、系统管理员手册等。</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五、 质保期后的服务承诺</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延续服务选项： 要求投标方详细列出质保期结束后的服务内容和收费标准（通常要求每年费用不超过项目总价的某个百分比，如8%-10%）。</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技术延续性： 承诺保证在系统整个生命周期内都能继续提供服务，即使某些产品停产，也应提供功能替代产品。</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七、 组织与资源保障</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rPr>
              <w:t>支持： 对于核心软硬件，要求出具服务承诺函和项目授权书，确保服务来源可靠。</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应急方案：提供详细的重大故障应急处理预案。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rPr>
                <w:rFonts w:hint="eastAsia" w:ascii="宋体" w:hAnsi="宋体" w:cs="宋体"/>
                <w:szCs w:val="21"/>
              </w:rPr>
            </w:pPr>
            <w:r>
              <w:rPr>
                <w:rFonts w:hint="eastAsia"/>
              </w:rPr>
              <w:t>验收标准</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1.微服务框架基础平台验收标准</w:t>
            </w:r>
          </w:p>
          <w:tbl>
            <w:tblPr>
              <w:tblStyle w:val="49"/>
              <w:tblW w:w="8504" w:type="dxa"/>
              <w:tblInd w:w="0" w:type="dxa"/>
              <w:tblLayout w:type="fixed"/>
              <w:tblCellMar>
                <w:top w:w="0" w:type="dxa"/>
                <w:left w:w="0" w:type="dxa"/>
                <w:bottom w:w="0" w:type="dxa"/>
                <w:right w:w="1701" w:type="dxa"/>
              </w:tblCellMar>
            </w:tblPr>
            <w:tblGrid>
              <w:gridCol w:w="1721"/>
              <w:gridCol w:w="1721"/>
              <w:gridCol w:w="5062"/>
            </w:tblGrid>
            <w:tr>
              <w:tblPrEx>
                <w:tblCellMar>
                  <w:top w:w="0" w:type="dxa"/>
                  <w:left w:w="0" w:type="dxa"/>
                  <w:bottom w:w="0" w:type="dxa"/>
                  <w:right w:w="1701" w:type="dxa"/>
                </w:tblCellMar>
              </w:tblPrEx>
              <w:trPr>
                <w:trHeight w:val="462" w:hRule="atLeast"/>
              </w:trPr>
              <w:tc>
                <w:tcPr>
                  <w:tcW w:w="172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组件名称</w:t>
                  </w:r>
                </w:p>
              </w:tc>
              <w:tc>
                <w:tcPr>
                  <w:tcW w:w="172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验收项</w:t>
                  </w:r>
                </w:p>
              </w:tc>
              <w:tc>
                <w:tcPr>
                  <w:tcW w:w="506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right="-1693" w:rightChars="-806"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具体验收标准与方法</w:t>
                  </w:r>
                </w:p>
              </w:tc>
            </w:tr>
            <w:tr>
              <w:tblPrEx>
                <w:tblCellMar>
                  <w:top w:w="0" w:type="dxa"/>
                  <w:left w:w="0" w:type="dxa"/>
                  <w:bottom w:w="0" w:type="dxa"/>
                  <w:right w:w="1701" w:type="dxa"/>
                </w:tblCellMar>
              </w:tblPrEx>
              <w:trPr>
                <w:trHeight w:val="2801" w:hRule="atLeast"/>
              </w:trPr>
              <w:tc>
                <w:tcPr>
                  <w:tcW w:w="590"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通用要求</w:t>
                  </w:r>
                </w:p>
              </w:tc>
              <w:tc>
                <w:tcPr>
                  <w:tcW w:w="1721" w:type="dxa"/>
                  <w:tcBorders>
                    <w:top w:val="nil"/>
                    <w:left w:val="nil"/>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部署与高可用</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18" w:firstLineChars="9"/>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1.部署验证：</w:t>
                  </w:r>
                  <w:r>
                    <w:rPr>
                      <w:rFonts w:hint="eastAsia" w:ascii="宋体" w:hAnsi="宋体" w:eastAsia="宋体" w:cs="宋体"/>
                      <w:color w:val="auto"/>
                      <w:kern w:val="0"/>
                      <w:sz w:val="21"/>
                      <w:szCs w:val="21"/>
                    </w:rPr>
                    <w:t>提供完整的部署架构图，并在测试/生产环境成功部署全部微服务组件（包括注册中心、配置中心、API网关、服务实例等）。</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通用要求 部署与高可用 1.部署验证：提供完整的部署架构图，并在测试/生产环境成功部署全部微服务组件（包括注册中心、配置中心、API网关、服务实例等）。</w:t>
                  </w:r>
                  <w:r>
                    <w:rPr>
                      <w:rFonts w:hint="eastAsia" w:ascii="宋体" w:hAnsi="宋体" w:eastAsia="宋体" w:cs="宋体"/>
                      <w:color w:val="auto"/>
                      <w:kern w:val="0"/>
                      <w:sz w:val="21"/>
                      <w:szCs w:val="21"/>
                    </w:rPr>
                    <w:br w:type="textWrapping"/>
                  </w:r>
                  <w:r>
                    <w:rPr>
                      <w:rFonts w:hint="eastAsia" w:ascii="宋体" w:hAnsi="宋体" w:eastAsia="宋体" w:cs="宋体"/>
                      <w:bCs/>
                      <w:color w:val="auto"/>
                      <w:kern w:val="0"/>
                      <w:sz w:val="21"/>
                      <w:szCs w:val="21"/>
                    </w:rPr>
                    <w:t>2. 高可用测试：</w:t>
                  </w:r>
                  <w:r>
                    <w:rPr>
                      <w:rFonts w:hint="eastAsia" w:ascii="宋体" w:hAnsi="宋体" w:eastAsia="宋体" w:cs="宋体"/>
                      <w:color w:val="auto"/>
                      <w:kern w:val="0"/>
                      <w:sz w:val="21"/>
                      <w:szCs w:val="21"/>
                    </w:rPr>
                    <w:t xml:space="preserve"> 模拟任意一个服务实例或服务器节点宕机，系统能自动进行故障转移，核心业务无中断，API网关能自动剔除故障节点。系统整体可用性不低于99.9%。</w:t>
                  </w:r>
                </w:p>
              </w:tc>
            </w:tr>
            <w:tr>
              <w:tblPrEx>
                <w:tblCellMar>
                  <w:top w:w="0" w:type="dxa"/>
                  <w:left w:w="0" w:type="dxa"/>
                  <w:bottom w:w="0" w:type="dxa"/>
                  <w:right w:w="1701" w:type="dxa"/>
                </w:tblCellMar>
              </w:tblPrEx>
              <w:trPr>
                <w:trHeight w:val="2277" w:hRule="atLeast"/>
              </w:trPr>
              <w:tc>
                <w:tcPr>
                  <w:tcW w:w="590"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用户管理</w:t>
                  </w:r>
                </w:p>
              </w:tc>
              <w:tc>
                <w:tcPr>
                  <w:tcW w:w="1721" w:type="dxa"/>
                  <w:tcBorders>
                    <w:top w:val="nil"/>
                    <w:left w:val="nil"/>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统一身份认证</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1.对接成功：</w:t>
                  </w:r>
                  <w:r>
                    <w:rPr>
                      <w:rFonts w:hint="eastAsia" w:ascii="宋体" w:hAnsi="宋体" w:eastAsia="宋体" w:cs="宋体"/>
                      <w:color w:val="auto"/>
                      <w:kern w:val="0"/>
                      <w:sz w:val="21"/>
                      <w:szCs w:val="21"/>
                    </w:rPr>
                    <w:t>与学校现有统一身份认证系统（如CAS、OAuth2）无缝集成，实现单点登录（SSO）。在智慧办公平台登录后，可无缝访问已集成的其他应用。</w:t>
                  </w:r>
                  <w:r>
                    <w:rPr>
                      <w:rFonts w:hint="eastAsia" w:ascii="宋体" w:hAnsi="宋体" w:eastAsia="宋体" w:cs="宋体"/>
                      <w:color w:val="auto"/>
                      <w:kern w:val="0"/>
                      <w:sz w:val="21"/>
                      <w:szCs w:val="21"/>
                    </w:rPr>
                    <w:br w:type="textWrapping"/>
                  </w:r>
                  <w:r>
                    <w:rPr>
                      <w:rFonts w:hint="eastAsia" w:ascii="宋体" w:hAnsi="宋体" w:eastAsia="宋体" w:cs="宋体"/>
                      <w:bCs/>
                      <w:color w:val="auto"/>
                      <w:kern w:val="0"/>
                      <w:sz w:val="21"/>
                      <w:szCs w:val="21"/>
                    </w:rPr>
                    <w:t>2.全平台同步：</w:t>
                  </w:r>
                  <w:r>
                    <w:rPr>
                      <w:rFonts w:hint="eastAsia" w:ascii="宋体" w:hAnsi="宋体" w:eastAsia="宋体" w:cs="宋体"/>
                      <w:color w:val="auto"/>
                      <w:kern w:val="0"/>
                      <w:sz w:val="21"/>
                      <w:szCs w:val="21"/>
                    </w:rPr>
                    <w:t>在智慧办公平台中创建、禁用或修改用户账号后，其权限和状态能在所有接入的子系统（如教务管理模块）中实时同步生效。</w:t>
                  </w:r>
                  <w:r>
                    <w:rPr>
                      <w:rFonts w:hint="eastAsia" w:ascii="宋体" w:hAnsi="宋体" w:eastAsia="宋体" w:cs="宋体"/>
                      <w:color w:val="auto"/>
                      <w:kern w:val="0"/>
                      <w:sz w:val="21"/>
                      <w:szCs w:val="21"/>
                    </w:rPr>
                    <w:br w:type="textWrapping"/>
                  </w:r>
                  <w:r>
                    <w:rPr>
                      <w:rFonts w:hint="eastAsia" w:ascii="宋体" w:hAnsi="宋体" w:eastAsia="宋体" w:cs="宋体"/>
                      <w:bCs/>
                      <w:color w:val="auto"/>
                      <w:kern w:val="0"/>
                      <w:sz w:val="21"/>
                      <w:szCs w:val="21"/>
                    </w:rPr>
                    <w:t>3.角色权限：</w:t>
                  </w:r>
                  <w:r>
                    <w:rPr>
                      <w:rFonts w:hint="eastAsia" w:ascii="宋体" w:hAnsi="宋体" w:eastAsia="宋体" w:cs="宋体"/>
                      <w:color w:val="auto"/>
                      <w:kern w:val="0"/>
                      <w:sz w:val="21"/>
                      <w:szCs w:val="21"/>
                    </w:rPr>
                    <w:t>系统支持基于角色的访问控制（RBAC），能灵活配置教师、学生、行政人员、管理员等不同角色的菜单、操作和数据权限。</w:t>
                  </w:r>
                </w:p>
              </w:tc>
            </w:tr>
            <w:tr>
              <w:tblPrEx>
                <w:tblCellMar>
                  <w:top w:w="0" w:type="dxa"/>
                  <w:left w:w="0" w:type="dxa"/>
                  <w:bottom w:w="0" w:type="dxa"/>
                  <w:right w:w="1701" w:type="dxa"/>
                </w:tblCellMar>
              </w:tblPrEx>
              <w:trPr>
                <w:trHeight w:val="1125" w:hRule="atLeast"/>
              </w:trPr>
              <w:tc>
                <w:tcPr>
                  <w:tcW w:w="590"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应用管理</w:t>
                  </w:r>
                </w:p>
              </w:tc>
              <w:tc>
                <w:tcPr>
                  <w:tcW w:w="1721" w:type="dxa"/>
                  <w:tcBorders>
                    <w:top w:val="nil"/>
                    <w:left w:val="nil"/>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应用集成与分发</w:t>
                  </w:r>
                </w:p>
              </w:tc>
              <w:tc>
                <w:tcPr>
                  <w:tcW w:w="5062" w:type="dxa"/>
                  <w:tcBorders>
                    <w:top w:val="nil"/>
                    <w:left w:val="nil"/>
                    <w:bottom w:val="single" w:color="auto" w:sz="4" w:space="0"/>
                    <w:right w:val="single" w:color="auto" w:sz="4" w:space="0"/>
                  </w:tcBorders>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1.应用上架：</w:t>
                  </w:r>
                  <w:r>
                    <w:rPr>
                      <w:rFonts w:hint="eastAsia" w:ascii="宋体" w:hAnsi="宋体" w:eastAsia="宋体" w:cs="宋体"/>
                      <w:color w:val="auto"/>
                      <w:kern w:val="0"/>
                      <w:sz w:val="21"/>
                      <w:szCs w:val="21"/>
                    </w:rPr>
                    <w:t>能够将各个业务模块（如教务查询、流程申请）或第三方应用作为独立应用上架到应用中心。</w:t>
                  </w:r>
                  <w:r>
                    <w:rPr>
                      <w:rFonts w:hint="eastAsia" w:ascii="宋体" w:hAnsi="宋体" w:eastAsia="宋体" w:cs="宋体"/>
                      <w:color w:val="auto"/>
                      <w:kern w:val="0"/>
                      <w:sz w:val="21"/>
                      <w:szCs w:val="21"/>
                    </w:rPr>
                    <w:br w:type="textWrapping"/>
                  </w:r>
                  <w:r>
                    <w:rPr>
                      <w:rFonts w:hint="eastAsia" w:ascii="宋体" w:hAnsi="宋体" w:eastAsia="宋体" w:cs="宋体"/>
                      <w:bCs/>
                      <w:color w:val="auto"/>
                      <w:kern w:val="0"/>
                      <w:sz w:val="21"/>
                      <w:szCs w:val="21"/>
                    </w:rPr>
                    <w:t>2.一键访问：</w:t>
                  </w:r>
                  <w:r>
                    <w:rPr>
                      <w:rFonts w:hint="eastAsia" w:ascii="宋体" w:hAnsi="宋体" w:eastAsia="宋体" w:cs="宋体"/>
                      <w:color w:val="auto"/>
                      <w:kern w:val="0"/>
                      <w:sz w:val="21"/>
                      <w:szCs w:val="21"/>
                    </w:rPr>
                    <w:t>用户登录门户后，可根据权限在应用中心看到授权应用，并实现一键点击访问，无需二次登录。</w:t>
                  </w:r>
                  <w:r>
                    <w:rPr>
                      <w:rFonts w:hint="eastAsia" w:ascii="宋体" w:hAnsi="宋体" w:eastAsia="宋体" w:cs="宋体"/>
                      <w:color w:val="auto"/>
                      <w:kern w:val="0"/>
                      <w:sz w:val="21"/>
                      <w:szCs w:val="21"/>
                    </w:rPr>
                    <w:br w:type="textWrapping"/>
                  </w:r>
                  <w:r>
                    <w:rPr>
                      <w:rFonts w:hint="eastAsia" w:ascii="宋体" w:hAnsi="宋体" w:eastAsia="宋体" w:cs="宋体"/>
                      <w:bCs/>
                      <w:color w:val="auto"/>
                      <w:kern w:val="0"/>
                      <w:sz w:val="21"/>
                      <w:szCs w:val="21"/>
                    </w:rPr>
                    <w:t>3.生命周期管理：</w:t>
                  </w:r>
                  <w:r>
                    <w:rPr>
                      <w:rFonts w:hint="eastAsia" w:ascii="宋体" w:hAnsi="宋体" w:eastAsia="宋体" w:cs="宋体"/>
                      <w:color w:val="auto"/>
                      <w:kern w:val="0"/>
                      <w:sz w:val="21"/>
                      <w:szCs w:val="21"/>
                    </w:rPr>
                    <w:t>支持对应用进行启用、禁用、更新、下架等操作。</w:t>
                  </w:r>
                </w:p>
              </w:tc>
            </w:tr>
            <w:tr>
              <w:tblPrEx>
                <w:tblCellMar>
                  <w:top w:w="0" w:type="dxa"/>
                  <w:left w:w="0" w:type="dxa"/>
                  <w:bottom w:w="0" w:type="dxa"/>
                  <w:right w:w="1701" w:type="dxa"/>
                </w:tblCellMar>
              </w:tblPrEx>
              <w:trPr>
                <w:trHeight w:val="480" w:hRule="atLeast"/>
              </w:trPr>
              <w:tc>
                <w:tcPr>
                  <w:tcW w:w="5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界面管理</w:t>
                  </w: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门户自定义</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布局拖拽：</w:t>
                  </w:r>
                  <w:r>
                    <w:rPr>
                      <w:rFonts w:hint="eastAsia" w:ascii="宋体" w:hAnsi="宋体" w:eastAsia="宋体" w:cs="宋体"/>
                      <w:color w:val="auto"/>
                      <w:kern w:val="0"/>
                      <w:sz w:val="21"/>
                      <w:szCs w:val="21"/>
                    </w:rPr>
                    <w:t>提供可视化拖拽编辑界面，管理员可自定义门户首页的布局、主题色彩、学校Logo和横幅。</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内容挂载：</w:t>
                  </w:r>
                  <w:r>
                    <w:rPr>
                      <w:rFonts w:hint="eastAsia" w:ascii="宋体" w:hAnsi="宋体" w:eastAsia="宋体" w:cs="宋体"/>
                      <w:color w:val="auto"/>
                      <w:kern w:val="0"/>
                      <w:sz w:val="21"/>
                      <w:szCs w:val="21"/>
                    </w:rPr>
                    <w:t>能够将应用、待办事项、通知公告、数据报表等不同内容模块自由挂载到门户的不同区域。</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bCs/>
                      <w:color w:val="auto"/>
                      <w:kern w:val="0"/>
                      <w:sz w:val="21"/>
                      <w:szCs w:val="21"/>
                    </w:rPr>
                    <w:t>多终端适配：</w:t>
                  </w:r>
                  <w:r>
                    <w:rPr>
                      <w:rFonts w:hint="eastAsia" w:ascii="宋体" w:hAnsi="宋体" w:eastAsia="宋体" w:cs="宋体"/>
                      <w:color w:val="auto"/>
                      <w:kern w:val="0"/>
                      <w:sz w:val="21"/>
                      <w:szCs w:val="21"/>
                    </w:rPr>
                    <w:t>门户界面能自适应不同尺寸的屏幕，在PC、平板、手机端均有良好的显示和操作体验。</w:t>
                  </w:r>
                </w:p>
              </w:tc>
            </w:tr>
            <w:tr>
              <w:tblPrEx>
                <w:tblCellMar>
                  <w:top w:w="0" w:type="dxa"/>
                  <w:left w:w="0" w:type="dxa"/>
                  <w:bottom w:w="0" w:type="dxa"/>
                  <w:right w:w="1701" w:type="dxa"/>
                </w:tblCellMar>
              </w:tblPrEx>
              <w:trPr>
                <w:trHeight w:val="480" w:hRule="atLeast"/>
              </w:trPr>
              <w:tc>
                <w:tcPr>
                  <w:tcW w:w="5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数据管理</w:t>
                  </w: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数据交换与治理</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中心建设：</w:t>
                  </w:r>
                  <w:r>
                    <w:rPr>
                      <w:rFonts w:hint="eastAsia" w:ascii="宋体" w:hAnsi="宋体" w:eastAsia="宋体" w:cs="宋体"/>
                      <w:color w:val="auto"/>
                      <w:kern w:val="0"/>
                      <w:sz w:val="21"/>
                      <w:szCs w:val="21"/>
                    </w:rPr>
                    <w:t>建成统一数据中心，成功对接教务、人事、学工等至少3个核心业务系统的数据库。</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数据同步：</w:t>
                  </w:r>
                  <w:r>
                    <w:rPr>
                      <w:rFonts w:hint="eastAsia" w:ascii="宋体" w:hAnsi="宋体" w:eastAsia="宋体" w:cs="宋体"/>
                      <w:color w:val="auto"/>
                      <w:kern w:val="0"/>
                      <w:sz w:val="21"/>
                      <w:szCs w:val="21"/>
                    </w:rPr>
                    <w:t>制定并执行了定时增量/全量数据同步任务，验证源系统与中心数据的一致性。</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bCs/>
                      <w:color w:val="auto"/>
                      <w:kern w:val="0"/>
                      <w:sz w:val="21"/>
                      <w:szCs w:val="21"/>
                    </w:rPr>
                    <w:t>API提供：</w:t>
                  </w:r>
                  <w:r>
                    <w:rPr>
                      <w:rFonts w:hint="eastAsia" w:ascii="宋体" w:hAnsi="宋体" w:eastAsia="宋体" w:cs="宋体"/>
                      <w:color w:val="auto"/>
                      <w:kern w:val="0"/>
                      <w:sz w:val="21"/>
                      <w:szCs w:val="21"/>
                    </w:rPr>
                    <w:t>基于数据中心，提供至少5个标准API接口（如：组织机构API、人员基本信息API）供其他系统调用，接口文档清晰完备。</w:t>
                  </w:r>
                </w:p>
              </w:tc>
            </w:tr>
            <w:tr>
              <w:tblPrEx>
                <w:tblCellMar>
                  <w:top w:w="0" w:type="dxa"/>
                  <w:left w:w="0" w:type="dxa"/>
                  <w:bottom w:w="0" w:type="dxa"/>
                  <w:right w:w="1701" w:type="dxa"/>
                </w:tblCellMar>
              </w:tblPrEx>
              <w:trPr>
                <w:trHeight w:val="270" w:hRule="atLeast"/>
              </w:trPr>
              <w:tc>
                <w:tcPr>
                  <w:tcW w:w="5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开放平台</w:t>
                  </w: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API全生命周期管理</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API网关：</w:t>
                  </w:r>
                  <w:r>
                    <w:rPr>
                      <w:rFonts w:hint="eastAsia" w:ascii="宋体" w:hAnsi="宋体" w:eastAsia="宋体" w:cs="宋体"/>
                      <w:color w:val="auto"/>
                      <w:kern w:val="0"/>
                      <w:sz w:val="21"/>
                      <w:szCs w:val="21"/>
                    </w:rPr>
                    <w:t>所有对外接口必须通过API网关暴露，验证网关的路由、负载均衡功能正常。</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API文档：</w:t>
                  </w:r>
                  <w:r>
                    <w:rPr>
                      <w:rFonts w:hint="eastAsia" w:ascii="宋体" w:hAnsi="宋体" w:eastAsia="宋体" w:cs="宋体"/>
                      <w:color w:val="auto"/>
                      <w:kern w:val="0"/>
                      <w:sz w:val="21"/>
                      <w:szCs w:val="21"/>
                    </w:rPr>
                    <w:t>所有接口必须有基于Swagger/OpenAPI 3.0的自动化文档，文档与接口实际表现一致。</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bCs/>
                      <w:color w:val="auto"/>
                      <w:kern w:val="0"/>
                      <w:sz w:val="21"/>
                      <w:szCs w:val="21"/>
                    </w:rPr>
                    <w:t>安全授权：</w:t>
                  </w:r>
                  <w:r>
                    <w:rPr>
                      <w:rFonts w:hint="eastAsia" w:ascii="宋体" w:hAnsi="宋体" w:eastAsia="宋体" w:cs="宋体"/>
                      <w:color w:val="auto"/>
                      <w:kern w:val="0"/>
                      <w:sz w:val="21"/>
                      <w:szCs w:val="21"/>
                    </w:rPr>
                    <w:t>提供完整的应用(AppKey/Secret)管理机制，能对调用方进行认证、授权和访问次数限流。</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bCs/>
                      <w:color w:val="auto"/>
                      <w:kern w:val="0"/>
                      <w:sz w:val="21"/>
                      <w:szCs w:val="21"/>
                    </w:rPr>
                    <w:t>监控日志：</w:t>
                  </w:r>
                  <w:r>
                    <w:rPr>
                      <w:rFonts w:hint="eastAsia" w:ascii="宋体" w:hAnsi="宋体" w:eastAsia="宋体" w:cs="宋体"/>
                      <w:color w:val="auto"/>
                      <w:kern w:val="0"/>
                      <w:sz w:val="21"/>
                      <w:szCs w:val="21"/>
                    </w:rPr>
                    <w:t>可在管理后台查看所有API的实时调用情况、成功率、响应时间和详细日志，便于审计和排查问题。</w:t>
                  </w:r>
                </w:p>
              </w:tc>
            </w:tr>
            <w:tr>
              <w:tblPrEx>
                <w:tblCellMar>
                  <w:top w:w="0" w:type="dxa"/>
                  <w:left w:w="0" w:type="dxa"/>
                  <w:bottom w:w="0" w:type="dxa"/>
                  <w:right w:w="1701" w:type="dxa"/>
                </w:tblCellMar>
              </w:tblPrEx>
              <w:trPr>
                <w:trHeight w:val="480" w:hRule="atLeast"/>
              </w:trPr>
              <w:tc>
                <w:tcPr>
                  <w:tcW w:w="59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三大引擎</w:t>
                  </w: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流程引擎</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模型设计：</w:t>
                  </w:r>
                  <w:r>
                    <w:rPr>
                      <w:rFonts w:hint="eastAsia" w:ascii="宋体" w:hAnsi="宋体" w:eastAsia="宋体" w:cs="宋体"/>
                      <w:color w:val="auto"/>
                      <w:kern w:val="0"/>
                      <w:sz w:val="21"/>
                      <w:szCs w:val="21"/>
                    </w:rPr>
                    <w:t>使用可视化流程设计器，成功配置至少5个实际业务流程（如：请假审批、用品申购、维修上报）。</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流程执行：</w:t>
                  </w:r>
                  <w:r>
                    <w:rPr>
                      <w:rFonts w:hint="eastAsia" w:ascii="宋体" w:hAnsi="宋体" w:eastAsia="宋体" w:cs="宋体"/>
                      <w:color w:val="auto"/>
                      <w:kern w:val="0"/>
                      <w:sz w:val="21"/>
                      <w:szCs w:val="21"/>
                    </w:rPr>
                    <w:t>发起的流程能按预设节点自动流转，并能通过站内信、短信等方式通知审批人。</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bCs/>
                      <w:color w:val="auto"/>
                      <w:kern w:val="0"/>
                      <w:sz w:val="21"/>
                      <w:szCs w:val="21"/>
                    </w:rPr>
                    <w:t>处理能力：</w:t>
                  </w:r>
                  <w:r>
                    <w:rPr>
                      <w:rFonts w:hint="eastAsia" w:ascii="宋体" w:hAnsi="宋体" w:eastAsia="宋体" w:cs="宋体"/>
                      <w:color w:val="auto"/>
                      <w:kern w:val="0"/>
                      <w:sz w:val="21"/>
                      <w:szCs w:val="21"/>
                    </w:rPr>
                    <w:t>支持审批、驳回、转交、会签、抄送等常用操作。能够查看流程的实时状态和历史记录。</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工具引擎</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组件可用：</w:t>
                  </w:r>
                  <w:r>
                    <w:rPr>
                      <w:rFonts w:hint="eastAsia" w:ascii="宋体" w:hAnsi="宋体" w:eastAsia="宋体" w:cs="宋体"/>
                      <w:color w:val="auto"/>
                      <w:kern w:val="0"/>
                      <w:sz w:val="21"/>
                      <w:szCs w:val="21"/>
                    </w:rPr>
                    <w:t>系统提供丰富的表单设计组件（如输入框、下拉菜单、日期选择、附件上传），可用于快速构建业务流程表单。</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报表工具：</w:t>
                  </w:r>
                  <w:r>
                    <w:rPr>
                      <w:rFonts w:hint="eastAsia" w:ascii="宋体" w:hAnsi="宋体" w:eastAsia="宋体" w:cs="宋体"/>
                      <w:color w:val="auto"/>
                      <w:kern w:val="0"/>
                      <w:sz w:val="21"/>
                      <w:szCs w:val="21"/>
                    </w:rPr>
                    <w:t>提供简易的拖拽式报表设计工具，管理员可基于数据中心的数据，自定义创建统计图表（如柱状图、饼图、表格）。</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资源引擎</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统一存储：</w:t>
                  </w:r>
                  <w:r>
                    <w:rPr>
                      <w:rFonts w:hint="eastAsia" w:ascii="宋体" w:hAnsi="宋体" w:eastAsia="宋体" w:cs="宋体"/>
                      <w:color w:val="auto"/>
                      <w:kern w:val="0"/>
                      <w:sz w:val="21"/>
                      <w:szCs w:val="21"/>
                    </w:rPr>
                    <w:t>提供统一的文件服务器或对象存储服务，所有系统产生的附件、文档均存储于此。</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权限控制：</w:t>
                  </w:r>
                  <w:r>
                    <w:rPr>
                      <w:rFonts w:hint="eastAsia" w:ascii="宋体" w:hAnsi="宋体" w:eastAsia="宋体" w:cs="宋体"/>
                      <w:color w:val="auto"/>
                      <w:kern w:val="0"/>
                      <w:sz w:val="21"/>
                      <w:szCs w:val="21"/>
                    </w:rPr>
                    <w:t>上传的文件支持设置访问权限（如公开、私有、指定人可见），确保文件安全。</w:t>
                  </w:r>
                </w:p>
              </w:tc>
            </w:tr>
          </w:tbl>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 教务管理模块验收标准</w:t>
            </w:r>
          </w:p>
          <w:tbl>
            <w:tblPr>
              <w:tblStyle w:val="49"/>
              <w:tblW w:w="8564" w:type="dxa"/>
              <w:tblInd w:w="0" w:type="dxa"/>
              <w:tblLayout w:type="fixed"/>
              <w:tblCellMar>
                <w:top w:w="0" w:type="dxa"/>
                <w:left w:w="108" w:type="dxa"/>
                <w:bottom w:w="0" w:type="dxa"/>
                <w:right w:w="108" w:type="dxa"/>
              </w:tblCellMar>
            </w:tblPr>
            <w:tblGrid>
              <w:gridCol w:w="1080"/>
              <w:gridCol w:w="1080"/>
              <w:gridCol w:w="6404"/>
            </w:tblGrid>
            <w:tr>
              <w:tblPrEx>
                <w:tblCellMar>
                  <w:top w:w="0" w:type="dxa"/>
                  <w:left w:w="108" w:type="dxa"/>
                  <w:bottom w:w="0" w:type="dxa"/>
                  <w:right w:w="108" w:type="dxa"/>
                </w:tblCellMar>
              </w:tblPrEx>
              <w:trPr>
                <w:trHeight w:val="330"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功能模块</w:t>
                  </w:r>
                </w:p>
              </w:tc>
              <w:tc>
                <w:tcPr>
                  <w:tcW w:w="108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验收项</w:t>
                  </w:r>
                </w:p>
              </w:tc>
              <w:tc>
                <w:tcPr>
                  <w:tcW w:w="640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具体验收标准与方法</w:t>
                  </w:r>
                </w:p>
              </w:tc>
            </w:tr>
            <w:tr>
              <w:trPr>
                <w:trHeight w:val="1005" w:hRule="atLeast"/>
              </w:trPr>
              <w:tc>
                <w:tcPr>
                  <w:tcW w:w="10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核心功能</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信息查询</w:t>
                  </w: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教师端：</w:t>
                  </w:r>
                  <w:r>
                    <w:rPr>
                      <w:rFonts w:hint="eastAsia" w:ascii="宋体" w:hAnsi="宋体" w:eastAsia="宋体" w:cs="宋体"/>
                      <w:color w:val="auto"/>
                      <w:kern w:val="0"/>
                      <w:sz w:val="21"/>
                      <w:szCs w:val="21"/>
                    </w:rPr>
                    <w:t>教师成功通过门户查询本人的</w:t>
                  </w:r>
                  <w:r>
                    <w:rPr>
                      <w:rFonts w:hint="eastAsia" w:ascii="宋体" w:hAnsi="宋体" w:eastAsia="宋体" w:cs="宋体"/>
                      <w:bCs/>
                      <w:color w:val="auto"/>
                      <w:kern w:val="0"/>
                      <w:sz w:val="21"/>
                      <w:szCs w:val="21"/>
                    </w:rPr>
                    <w:t>课表</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教学班级花名册</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成绩录入入口</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考试安排</w:t>
                  </w:r>
                  <w:r>
                    <w:rPr>
                      <w:rFonts w:hint="eastAsia" w:ascii="宋体" w:hAnsi="宋体" w:eastAsia="宋体" w:cs="宋体"/>
                      <w:color w:val="auto"/>
                      <w:kern w:val="0"/>
                      <w:sz w:val="21"/>
                      <w:szCs w:val="21"/>
                    </w:rPr>
                    <w:t>。</w:t>
                  </w:r>
                </w:p>
              </w:tc>
            </w:tr>
            <w:tr>
              <w:trPr>
                <w:trHeight w:val="617"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学生端：</w:t>
                  </w:r>
                  <w:r>
                    <w:rPr>
                      <w:rFonts w:hint="eastAsia" w:ascii="宋体" w:hAnsi="宋体" w:eastAsia="宋体" w:cs="宋体"/>
                      <w:color w:val="auto"/>
                      <w:kern w:val="0"/>
                      <w:sz w:val="21"/>
                      <w:szCs w:val="21"/>
                    </w:rPr>
                    <w:t>学生成功通过门户查询本人的</w:t>
                  </w:r>
                  <w:r>
                    <w:rPr>
                      <w:rFonts w:hint="eastAsia" w:ascii="宋体" w:hAnsi="宋体" w:eastAsia="宋体" w:cs="宋体"/>
                      <w:bCs/>
                      <w:color w:val="auto"/>
                      <w:kern w:val="0"/>
                      <w:sz w:val="21"/>
                      <w:szCs w:val="21"/>
                    </w:rPr>
                    <w:t>课表</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实时成绩</w:t>
                  </w:r>
                  <w:r>
                    <w:rPr>
                      <w:rFonts w:hint="eastAsia" w:ascii="宋体" w:hAnsi="宋体" w:eastAsia="宋体" w:cs="宋体"/>
                      <w:color w:val="auto"/>
                      <w:kern w:val="0"/>
                      <w:sz w:val="21"/>
                      <w:szCs w:val="21"/>
                    </w:rPr>
                    <w:t>（图形化展示趋势）、</w:t>
                  </w:r>
                  <w:r>
                    <w:rPr>
                      <w:rFonts w:hint="eastAsia" w:ascii="宋体" w:hAnsi="宋体" w:eastAsia="宋体" w:cs="宋体"/>
                      <w:bCs/>
                      <w:color w:val="auto"/>
                      <w:kern w:val="0"/>
                      <w:sz w:val="21"/>
                      <w:szCs w:val="21"/>
                    </w:rPr>
                    <w:t>学分获得情况</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考试地点和时间</w:t>
                  </w:r>
                  <w:r>
                    <w:rPr>
                      <w:rFonts w:hint="eastAsia" w:ascii="宋体" w:hAnsi="宋体" w:eastAsia="宋体" w:cs="宋体"/>
                      <w:color w:val="auto"/>
                      <w:kern w:val="0"/>
                      <w:sz w:val="21"/>
                      <w:szCs w:val="21"/>
                    </w:rPr>
                    <w:t>。</w:t>
                  </w:r>
                </w:p>
              </w:tc>
            </w:tr>
            <w:tr>
              <w:tblPrEx>
                <w:tblCellMar>
                  <w:top w:w="0" w:type="dxa"/>
                  <w:left w:w="108" w:type="dxa"/>
                  <w:bottom w:w="0" w:type="dxa"/>
                  <w:right w:w="108" w:type="dxa"/>
                </w:tblCellMar>
              </w:tblPrEx>
              <w:trPr>
                <w:trHeight w:val="712"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（关键点：</w:t>
                  </w:r>
                  <w:r>
                    <w:rPr>
                      <w:rFonts w:hint="eastAsia" w:ascii="宋体" w:hAnsi="宋体" w:eastAsia="宋体" w:cs="宋体"/>
                      <w:color w:val="auto"/>
                      <w:kern w:val="0"/>
                      <w:sz w:val="21"/>
                      <w:szCs w:val="21"/>
                    </w:rPr>
                    <w:t>这些功能</w:t>
                  </w:r>
                  <w:r>
                    <w:rPr>
                      <w:rFonts w:hint="eastAsia" w:ascii="宋体" w:hAnsi="宋体" w:eastAsia="宋体" w:cs="宋体"/>
                      <w:bCs/>
                      <w:color w:val="auto"/>
                      <w:kern w:val="0"/>
                      <w:sz w:val="21"/>
                      <w:szCs w:val="21"/>
                    </w:rPr>
                    <w:t>必须</w:t>
                  </w:r>
                  <w:r>
                    <w:rPr>
                      <w:rFonts w:hint="eastAsia" w:ascii="宋体" w:hAnsi="宋体" w:eastAsia="宋体" w:cs="宋体"/>
                      <w:color w:val="auto"/>
                      <w:kern w:val="0"/>
                      <w:sz w:val="21"/>
                      <w:szCs w:val="21"/>
                    </w:rPr>
                    <w:t>是通过调用</w:t>
                  </w:r>
                  <w:r>
                    <w:rPr>
                      <w:rFonts w:hint="eastAsia" w:ascii="宋体" w:hAnsi="宋体" w:eastAsia="宋体" w:cs="宋体"/>
                      <w:bCs/>
                      <w:color w:val="auto"/>
                      <w:kern w:val="0"/>
                      <w:sz w:val="21"/>
                      <w:szCs w:val="21"/>
                    </w:rPr>
                    <w:t>开放平台</w:t>
                  </w:r>
                  <w:r>
                    <w:rPr>
                      <w:rFonts w:hint="eastAsia" w:ascii="宋体" w:hAnsi="宋体" w:eastAsia="宋体" w:cs="宋体"/>
                      <w:color w:val="auto"/>
                      <w:kern w:val="0"/>
                      <w:sz w:val="21"/>
                      <w:szCs w:val="21"/>
                    </w:rPr>
                    <w:t>提供的API实现，而非直接对接数据库。需验收接口调用的效率和数据准确性）</w:t>
                  </w:r>
                </w:p>
              </w:tc>
            </w:tr>
            <w:tr>
              <w:tblPrEx>
                <w:tblCellMar>
                  <w:top w:w="0" w:type="dxa"/>
                  <w:left w:w="108" w:type="dxa"/>
                  <w:bottom w:w="0" w:type="dxa"/>
                  <w:right w:w="108" w:type="dxa"/>
                </w:tblCellMar>
              </w:tblPrEx>
              <w:trPr>
                <w:trHeight w:val="1020"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统计报表</w:t>
                  </w: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权限隔离：</w:t>
                  </w:r>
                  <w:r>
                    <w:rPr>
                      <w:rFonts w:hint="eastAsia" w:ascii="宋体" w:hAnsi="宋体" w:eastAsia="宋体" w:cs="宋体"/>
                      <w:color w:val="auto"/>
                      <w:kern w:val="0"/>
                      <w:sz w:val="21"/>
                      <w:szCs w:val="21"/>
                    </w:rPr>
                    <w:t>教务处管理员可统计</w:t>
                  </w:r>
                  <w:r>
                    <w:rPr>
                      <w:rFonts w:hint="eastAsia" w:ascii="宋体" w:hAnsi="宋体" w:eastAsia="宋体" w:cs="宋体"/>
                      <w:bCs/>
                      <w:color w:val="auto"/>
                      <w:kern w:val="0"/>
                      <w:sz w:val="21"/>
                      <w:szCs w:val="21"/>
                    </w:rPr>
                    <w:t>全校</w:t>
                  </w:r>
                  <w:r>
                    <w:rPr>
                      <w:rFonts w:hint="eastAsia" w:ascii="宋体" w:hAnsi="宋体" w:eastAsia="宋体" w:cs="宋体"/>
                      <w:color w:val="auto"/>
                      <w:kern w:val="0"/>
                      <w:sz w:val="21"/>
                      <w:szCs w:val="21"/>
                    </w:rPr>
                    <w:t>班级成绩分布、教师工作量；专业部主任只能查看</w:t>
                  </w:r>
                  <w:r>
                    <w:rPr>
                      <w:rFonts w:hint="eastAsia" w:ascii="宋体" w:hAnsi="宋体" w:eastAsia="宋体" w:cs="宋体"/>
                      <w:bCs/>
                      <w:color w:val="auto"/>
                      <w:kern w:val="0"/>
                      <w:sz w:val="21"/>
                      <w:szCs w:val="21"/>
                    </w:rPr>
                    <w:t>本院系</w:t>
                  </w:r>
                  <w:r>
                    <w:rPr>
                      <w:rFonts w:hint="eastAsia" w:ascii="宋体" w:hAnsi="宋体" w:eastAsia="宋体" w:cs="宋体"/>
                      <w:color w:val="auto"/>
                      <w:kern w:val="0"/>
                      <w:sz w:val="21"/>
                      <w:szCs w:val="21"/>
                    </w:rPr>
                    <w:t>的数据；教师只能查看</w:t>
                  </w:r>
                  <w:r>
                    <w:rPr>
                      <w:rFonts w:hint="eastAsia" w:ascii="宋体" w:hAnsi="宋体" w:eastAsia="宋体" w:cs="宋体"/>
                      <w:bCs/>
                      <w:color w:val="auto"/>
                      <w:kern w:val="0"/>
                      <w:sz w:val="21"/>
                      <w:szCs w:val="21"/>
                    </w:rPr>
                    <w:t>本人所授课程</w:t>
                  </w:r>
                  <w:r>
                    <w:rPr>
                      <w:rFonts w:hint="eastAsia" w:ascii="宋体" w:hAnsi="宋体" w:eastAsia="宋体" w:cs="宋体"/>
                      <w:color w:val="auto"/>
                      <w:kern w:val="0"/>
                      <w:sz w:val="21"/>
                      <w:szCs w:val="21"/>
                    </w:rPr>
                    <w:t>的数据。</w:t>
                  </w:r>
                </w:p>
              </w:tc>
            </w:tr>
            <w:tr>
              <w:trPr>
                <w:trHeight w:val="780"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数据准确：</w:t>
                  </w:r>
                  <w:r>
                    <w:rPr>
                      <w:rFonts w:hint="eastAsia" w:ascii="宋体" w:hAnsi="宋体" w:eastAsia="宋体" w:cs="宋体"/>
                      <w:color w:val="auto"/>
                      <w:kern w:val="0"/>
                      <w:sz w:val="21"/>
                      <w:szCs w:val="21"/>
                    </w:rPr>
                    <w:t>统计报表中的数据与教务系统源头数据保持100%一致。</w:t>
                  </w:r>
                </w:p>
              </w:tc>
            </w:tr>
            <w:tr>
              <w:tblPrEx>
                <w:tblCellMar>
                  <w:top w:w="0" w:type="dxa"/>
                  <w:left w:w="108" w:type="dxa"/>
                  <w:bottom w:w="0" w:type="dxa"/>
                  <w:right w:w="108" w:type="dxa"/>
                </w:tblCellMar>
              </w:tblPrEx>
              <w:trPr>
                <w:trHeight w:val="795" w:hRule="atLeast"/>
              </w:trPr>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集成验收</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门户集成度</w:t>
                  </w: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单点登录：</w:t>
                  </w:r>
                  <w:r>
                    <w:rPr>
                      <w:rFonts w:hint="eastAsia" w:ascii="宋体" w:hAnsi="宋体" w:eastAsia="宋体" w:cs="宋体"/>
                      <w:color w:val="auto"/>
                      <w:kern w:val="0"/>
                      <w:sz w:val="21"/>
                      <w:szCs w:val="21"/>
                    </w:rPr>
                    <w:t>从门户点击任一教务查询应用，无需再次输入账号密码。</w:t>
                  </w:r>
                </w:p>
              </w:tc>
            </w:tr>
            <w:tr>
              <w:tblPrEx>
                <w:tblCellMar>
                  <w:top w:w="0" w:type="dxa"/>
                  <w:left w:w="108" w:type="dxa"/>
                  <w:bottom w:w="0" w:type="dxa"/>
                  <w:right w:w="108" w:type="dxa"/>
                </w:tblCellMar>
              </w:tblPrEx>
              <w:trPr>
                <w:trHeight w:val="9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界面融合：</w:t>
                  </w:r>
                  <w:r>
                    <w:rPr>
                      <w:rFonts w:hint="eastAsia" w:ascii="宋体" w:hAnsi="宋体" w:eastAsia="宋体" w:cs="宋体"/>
                      <w:color w:val="auto"/>
                      <w:kern w:val="0"/>
                      <w:sz w:val="21"/>
                      <w:szCs w:val="21"/>
                    </w:rPr>
                    <w:t>教务查询的应用界面风格与门户整体风格一致，无突兀感，仿佛是门户原生功能。</w:t>
                  </w:r>
                </w:p>
              </w:tc>
            </w:tr>
            <w:tr>
              <w:trPr>
                <w:trHeight w:val="78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bCs/>
                      <w:color w:val="auto"/>
                      <w:kern w:val="0"/>
                      <w:sz w:val="21"/>
                      <w:szCs w:val="21"/>
                    </w:rPr>
                    <w:t>待办集成：</w:t>
                  </w:r>
                  <w:r>
                    <w:rPr>
                      <w:rFonts w:hint="eastAsia" w:ascii="宋体" w:hAnsi="宋体" w:eastAsia="宋体" w:cs="宋体"/>
                      <w:color w:val="auto"/>
                      <w:kern w:val="0"/>
                      <w:sz w:val="21"/>
                      <w:szCs w:val="21"/>
                    </w:rPr>
                    <w:t>教师的成绩录入待办、学生的评教待办等，能准确显示在门户首页的待办事项组件中。</w:t>
                  </w:r>
                </w:p>
              </w:tc>
            </w:tr>
          </w:tbl>
          <w:p>
            <w:pPr>
              <w:pStyle w:val="61"/>
              <w:spacing w:line="240" w:lineRule="auto"/>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文档交付验收标准</w:t>
            </w:r>
          </w:p>
          <w:p>
            <w:pPr>
              <w:pStyle w:val="61"/>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需交付以下文档，且文档内容与系统实际运行情况完全一致：</w:t>
            </w:r>
          </w:p>
          <w:p>
            <w:pPr>
              <w:pStyle w:val="61"/>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《项目总体设计方案》</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《系统管理员操作手册》</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《用户使用手册》</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《API接口文档》（至关重要，必须包含所有接口的地址、参数、示例、错误码）</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《系统部署架构图及运维手册》</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《数据字典与数据库设计说明书》</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《测试报告》（包括功能、性能、安全测试）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pPr>
            <w:r>
              <w:rPr>
                <w:rFonts w:hint="eastAsia" w:ascii="宋体" w:hAnsi="宋体"/>
                <w:bCs/>
              </w:rPr>
              <w:t>核心产品</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cs="宋体"/>
                <w:szCs w:val="21"/>
              </w:rPr>
            </w:pPr>
            <w:r>
              <w:rPr>
                <w:rFonts w:hint="eastAsia" w:ascii="宋体" w:hAnsi="宋体" w:cs="宋体"/>
                <w:b/>
                <w:bCs/>
                <w:kern w:val="0"/>
                <w:szCs w:val="21"/>
                <w:lang w:bidi="ar"/>
              </w:rPr>
              <w:t xml:space="preserve">本分标 第 </w:t>
            </w:r>
            <w:r>
              <w:rPr>
                <w:rFonts w:hint="eastAsia" w:ascii="宋体" w:hAnsi="宋体" w:cs="宋体"/>
                <w:b/>
                <w:bCs/>
                <w:kern w:val="0"/>
                <w:szCs w:val="21"/>
                <w:u w:val="single"/>
                <w:lang w:eastAsia="zh-CN" w:bidi="ar"/>
              </w:rPr>
              <w:t>（</w:t>
            </w:r>
            <w:r>
              <w:rPr>
                <w:rFonts w:hint="eastAsia" w:ascii="宋体" w:hAnsi="宋体" w:cs="宋体"/>
                <w:b/>
                <w:bCs/>
                <w:kern w:val="0"/>
                <w:szCs w:val="21"/>
                <w:u w:val="single"/>
                <w:lang w:val="en-US" w:eastAsia="zh-CN" w:bidi="ar"/>
              </w:rPr>
              <w:t>三</w:t>
            </w:r>
            <w:r>
              <w:rPr>
                <w:rFonts w:hint="eastAsia" w:ascii="宋体" w:hAnsi="宋体" w:cs="宋体"/>
                <w:b/>
                <w:bCs/>
                <w:kern w:val="0"/>
                <w:szCs w:val="21"/>
                <w:u w:val="single"/>
                <w:lang w:eastAsia="zh-CN" w:bidi="ar"/>
              </w:rPr>
              <w:t>）</w:t>
            </w:r>
            <w:r>
              <w:rPr>
                <w:rFonts w:hint="eastAsia" w:ascii="宋体" w:hAnsi="宋体" w:cs="宋体"/>
                <w:b/>
                <w:bCs/>
                <w:kern w:val="0"/>
                <w:szCs w:val="21"/>
                <w:u w:val="single"/>
                <w:lang w:bidi="ar"/>
              </w:rPr>
              <w:t xml:space="preserve"> </w:t>
            </w:r>
            <w:r>
              <w:rPr>
                <w:rFonts w:hint="eastAsia" w:ascii="宋体" w:hAnsi="宋体" w:cs="宋体"/>
                <w:b/>
                <w:bCs/>
                <w:kern w:val="0"/>
                <w:szCs w:val="21"/>
                <w:lang w:bidi="ar"/>
              </w:rPr>
              <w:t>项产品“</w:t>
            </w:r>
            <w:r>
              <w:rPr>
                <w:rFonts w:hint="eastAsia" w:ascii="宋体" w:hAnsi="宋体" w:cs="宋体"/>
                <w:b/>
                <w:bCs/>
                <w:kern w:val="0"/>
                <w:szCs w:val="21"/>
                <w:u w:val="single"/>
                <w:lang w:bidi="ar"/>
              </w:rPr>
              <w:t>教务管理模块</w:t>
            </w:r>
            <w:r>
              <w:rPr>
                <w:rFonts w:hint="eastAsia" w:ascii="宋体" w:hAnsi="宋体" w:cs="宋体"/>
                <w:b/>
                <w:bCs/>
                <w:kern w:val="0"/>
                <w:szCs w:val="21"/>
                <w:lang w:bidi="ar"/>
              </w:rPr>
              <w:t>”为核心产品。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top"/>
          </w:tcPr>
          <w:p>
            <w:pPr>
              <w:spacing w:line="400" w:lineRule="exact"/>
              <w:ind w:left="0" w:leftChars="0" w:firstLine="0" w:firstLineChars="0"/>
              <w:jc w:val="left"/>
              <w:rPr>
                <w:rFonts w:hint="eastAsia" w:ascii="宋体" w:hAnsi="宋体"/>
                <w:bCs/>
              </w:rPr>
            </w:pPr>
            <w:r>
              <w:rPr>
                <w:rFonts w:hint="eastAsia" w:ascii="宋体" w:hAnsi="宋体" w:cs="宋体"/>
                <w:color w:val="auto"/>
                <w:spacing w:val="0"/>
                <w:kern w:val="2"/>
                <w:sz w:val="21"/>
                <w:szCs w:val="21"/>
                <w:highlight w:val="none"/>
                <w:lang w:val="en-US" w:eastAsia="zh-CN" w:bidi="ar-SA"/>
              </w:rPr>
              <w:t>其他要求</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400" w:lineRule="exact"/>
              <w:ind w:firstLine="420" w:firstLineChars="200"/>
              <w:jc w:val="left"/>
              <w:rPr>
                <w:rFonts w:hint="eastAsia" w:ascii="宋体" w:hAnsi="宋体" w:cs="宋体"/>
                <w:b/>
                <w:bCs/>
                <w:kern w:val="0"/>
                <w:szCs w:val="21"/>
                <w:lang w:bidi="ar"/>
              </w:rPr>
            </w:pPr>
            <w:r>
              <w:rPr>
                <w:rFonts w:hint="eastAsia" w:ascii="宋体" w:hAnsi="宋体" w:cs="宋体"/>
                <w:color w:val="auto"/>
                <w:spacing w:val="0"/>
                <w:kern w:val="2"/>
                <w:sz w:val="21"/>
                <w:szCs w:val="21"/>
                <w:highlight w:val="none"/>
                <w:lang w:val="en-US" w:eastAsia="zh-CN" w:bidi="ar-SA"/>
              </w:rPr>
              <w:t>投标人在政府采购活动中提供任何虚假材料，以及提供的产品技术参数不如实说明，报监管部门查处。</w:t>
            </w:r>
          </w:p>
        </w:tc>
      </w:tr>
    </w:tbl>
    <w:p>
      <w:pPr>
        <w:pStyle w:val="20"/>
        <w:ind w:firstLine="0" w:firstLineChars="0"/>
      </w:pPr>
    </w:p>
    <w:p>
      <w:pPr>
        <w:ind w:firstLine="420"/>
        <w:rPr>
          <w:rFonts w:hint="eastAsia" w:ascii="宋体" w:hAnsi="宋体"/>
          <w:b/>
          <w:bCs/>
          <w:szCs w:val="21"/>
        </w:rPr>
      </w:pPr>
      <w:r>
        <w:br w:type="page"/>
      </w:r>
      <w:r>
        <w:rPr>
          <w:rFonts w:hint="eastAsia" w:ascii="宋体" w:hAnsi="宋体"/>
          <w:b/>
          <w:bCs/>
          <w:szCs w:val="21"/>
        </w:rPr>
        <w:t>标项四：音乐展厅建设</w:t>
      </w:r>
    </w:p>
    <w:p>
      <w:pPr>
        <w:ind w:firstLine="420"/>
        <w:rPr>
          <w:rFonts w:hint="eastAsia" w:ascii="宋体" w:hAnsi="宋体"/>
          <w:szCs w:val="21"/>
        </w:rPr>
      </w:pPr>
      <w:r>
        <w:rPr>
          <w:rFonts w:hint="eastAsia" w:ascii="宋体" w:hAnsi="宋体"/>
          <w:szCs w:val="21"/>
        </w:rPr>
        <w:t>预算金额：壹拾万元整（</w:t>
      </w:r>
      <w:r>
        <w:rPr>
          <w:rFonts w:hint="eastAsia" w:ascii="宋体" w:hAnsi="宋体"/>
          <w:szCs w:val="21"/>
          <w:u w:val="single"/>
        </w:rPr>
        <w:t>￥100000.00</w:t>
      </w:r>
      <w:r>
        <w:rPr>
          <w:rFonts w:hint="eastAsia" w:ascii="宋体" w:hAnsi="宋体"/>
          <w:szCs w:val="21"/>
        </w:rPr>
        <w:t>）</w:t>
      </w:r>
    </w:p>
    <w:tbl>
      <w:tblPr>
        <w:tblStyle w:val="50"/>
        <w:tblpPr w:leftFromText="180" w:rightFromText="180" w:vertAnchor="text" w:horzAnchor="page" w:tblpX="1216" w:tblpY="371"/>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88"/>
        <w:gridCol w:w="630"/>
        <w:gridCol w:w="645"/>
        <w:gridCol w:w="7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rPr>
            </w:pPr>
            <w:r>
              <w:rPr>
                <w:rFonts w:hint="eastAsia" w:hAnsi="宋体"/>
                <w:color w:val="auto"/>
                <w:sz w:val="21"/>
                <w:szCs w:val="21"/>
                <w:lang w:bidi="ar"/>
              </w:rPr>
              <w:t>序号</w:t>
            </w:r>
          </w:p>
        </w:tc>
        <w:tc>
          <w:tcPr>
            <w:tcW w:w="888" w:type="dxa"/>
          </w:tcPr>
          <w:p>
            <w:pPr>
              <w:pStyle w:val="21"/>
              <w:ind w:firstLine="0" w:firstLineChars="0"/>
              <w:rPr>
                <w:rFonts w:hint="eastAsia" w:hAnsi="宋体"/>
                <w:color w:val="auto"/>
                <w:sz w:val="21"/>
                <w:szCs w:val="21"/>
              </w:rPr>
            </w:pPr>
            <w:r>
              <w:rPr>
                <w:rFonts w:hint="eastAsia" w:hAnsi="宋体"/>
                <w:color w:val="auto"/>
                <w:sz w:val="21"/>
                <w:szCs w:val="21"/>
                <w:lang w:bidi="ar"/>
              </w:rPr>
              <w:t>货物名称</w:t>
            </w:r>
          </w:p>
        </w:tc>
        <w:tc>
          <w:tcPr>
            <w:tcW w:w="630" w:type="dxa"/>
          </w:tcPr>
          <w:p>
            <w:pPr>
              <w:pStyle w:val="21"/>
              <w:ind w:firstLine="0" w:firstLineChars="0"/>
              <w:rPr>
                <w:rFonts w:hint="eastAsia" w:hAnsi="宋体"/>
                <w:color w:val="auto"/>
                <w:sz w:val="21"/>
                <w:szCs w:val="21"/>
              </w:rPr>
            </w:pPr>
            <w:r>
              <w:rPr>
                <w:rFonts w:hint="eastAsia" w:hAnsi="宋体"/>
                <w:color w:val="auto"/>
                <w:sz w:val="21"/>
                <w:szCs w:val="21"/>
                <w:lang w:bidi="ar"/>
              </w:rPr>
              <w:t>单位</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lang w:bidi="ar"/>
              </w:rPr>
              <w:t>数量</w:t>
            </w:r>
          </w:p>
        </w:tc>
        <w:tc>
          <w:tcPr>
            <w:tcW w:w="7090" w:type="dxa"/>
          </w:tcPr>
          <w:p>
            <w:pPr>
              <w:pStyle w:val="21"/>
              <w:ind w:firstLine="308" w:firstLineChars="147"/>
              <w:rPr>
                <w:rFonts w:hint="eastAsia" w:hAnsi="宋体"/>
                <w:color w:val="auto"/>
                <w:sz w:val="21"/>
                <w:szCs w:val="21"/>
              </w:rPr>
            </w:pPr>
            <w:r>
              <w:rPr>
                <w:rFonts w:hint="eastAsia" w:hAnsi="宋体"/>
                <w:color w:val="auto"/>
                <w:sz w:val="21"/>
                <w:szCs w:val="21"/>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1</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空调</w:t>
            </w:r>
          </w:p>
        </w:tc>
        <w:tc>
          <w:tcPr>
            <w:tcW w:w="630"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台</w:t>
            </w:r>
          </w:p>
        </w:tc>
        <w:tc>
          <w:tcPr>
            <w:tcW w:w="645"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2</w:t>
            </w:r>
          </w:p>
        </w:tc>
        <w:tc>
          <w:tcPr>
            <w:tcW w:w="7090" w:type="dxa"/>
            <w:vAlign w:val="center"/>
          </w:tcPr>
          <w:p>
            <w:pPr>
              <w:widowControl/>
              <w:spacing w:line="360" w:lineRule="auto"/>
              <w:ind w:firstLine="0" w:firstLineChars="0"/>
              <w:jc w:val="left"/>
              <w:textAlignment w:val="center"/>
              <w:rPr>
                <w:rFonts w:hint="eastAsia" w:ascii="宋体" w:hAnsi="宋体" w:eastAsia="宋体" w:cs="宋体"/>
                <w:highlight w:val="none"/>
              </w:rPr>
            </w:pPr>
            <w:r>
              <w:rPr>
                <w:rFonts w:hint="eastAsia" w:ascii="宋体" w:hAnsi="宋体" w:eastAsia="宋体" w:cs="宋体"/>
                <w:highlight w:val="none"/>
              </w:rPr>
              <w:t>品牌整机：</w:t>
            </w:r>
            <w:r>
              <w:rPr>
                <w:rFonts w:hint="eastAsia" w:ascii="宋体" w:hAnsi="宋体" w:eastAsia="宋体" w:cs="宋体"/>
                <w:highlight w:val="none"/>
              </w:rPr>
              <w:br w:type="textWrapping"/>
            </w:r>
            <w:r>
              <w:rPr>
                <w:rFonts w:hint="eastAsia" w:ascii="宋体" w:hAnsi="宋体" w:eastAsia="宋体" w:cs="宋体"/>
                <w:highlight w:val="none"/>
              </w:rPr>
              <w:t>1.规格：3匹冷暖变频柜式空调</w:t>
            </w:r>
            <w:r>
              <w:rPr>
                <w:rFonts w:hint="eastAsia" w:ascii="宋体" w:hAnsi="宋体" w:eastAsia="宋体" w:cs="宋体"/>
                <w:highlight w:val="none"/>
              </w:rPr>
              <w:br w:type="textWrapping"/>
            </w:r>
            <w:r>
              <w:rPr>
                <w:rFonts w:hint="eastAsia" w:ascii="宋体" w:hAnsi="宋体" w:eastAsia="宋体" w:cs="宋体"/>
                <w:highlight w:val="none"/>
              </w:rPr>
              <w:t>2.能效等级：2级以上</w:t>
            </w:r>
            <w:r>
              <w:rPr>
                <w:rFonts w:hint="eastAsia" w:ascii="宋体" w:hAnsi="宋体" w:eastAsia="宋体" w:cs="宋体"/>
                <w:highlight w:val="none"/>
              </w:rPr>
              <w:br w:type="textWrapping"/>
            </w:r>
            <w:r>
              <w:rPr>
                <w:rFonts w:hint="eastAsia" w:ascii="宋体" w:hAnsi="宋体" w:eastAsia="宋体" w:cs="宋体"/>
                <w:highlight w:val="none"/>
              </w:rPr>
              <w:t>3.能效比：3.39</w:t>
            </w:r>
            <w:r>
              <w:rPr>
                <w:rFonts w:hint="eastAsia" w:ascii="宋体" w:hAnsi="宋体" w:eastAsia="宋体" w:cs="宋体"/>
                <w:highlight w:val="none"/>
              </w:rPr>
              <w:br w:type="textWrapping"/>
            </w:r>
            <w:r>
              <w:rPr>
                <w:rFonts w:hint="eastAsia" w:ascii="宋体" w:hAnsi="宋体" w:eastAsia="宋体" w:cs="宋体"/>
                <w:highlight w:val="none"/>
              </w:rPr>
              <w:t>4.额定制冷量：</w:t>
            </w:r>
            <w:r>
              <w:rPr>
                <w:rFonts w:hint="eastAsia" w:ascii="宋体" w:hAnsi="宋体" w:eastAsia="宋体" w:cs="宋体"/>
                <w:highlight w:val="none"/>
                <w:lang w:val="en-US" w:eastAsia="zh-CN"/>
              </w:rPr>
              <w:t>≤</w:t>
            </w:r>
            <w:r>
              <w:rPr>
                <w:rFonts w:hint="eastAsia" w:ascii="宋体" w:hAnsi="宋体" w:eastAsia="宋体" w:cs="宋体"/>
                <w:highlight w:val="none"/>
              </w:rPr>
              <w:t>7350W</w:t>
            </w:r>
            <w:r>
              <w:rPr>
                <w:rFonts w:hint="eastAsia" w:ascii="宋体" w:hAnsi="宋体" w:eastAsia="宋体" w:cs="宋体"/>
                <w:highlight w:val="none"/>
              </w:rPr>
              <w:br w:type="textWrapping"/>
            </w:r>
            <w:r>
              <w:rPr>
                <w:rFonts w:hint="eastAsia" w:ascii="宋体" w:hAnsi="宋体" w:eastAsia="宋体" w:cs="宋体"/>
                <w:highlight w:val="none"/>
              </w:rPr>
              <w:t>5.额定制热量：</w:t>
            </w:r>
            <w:r>
              <w:rPr>
                <w:rFonts w:hint="eastAsia" w:ascii="宋体" w:hAnsi="宋体" w:eastAsia="宋体" w:cs="宋体"/>
                <w:highlight w:val="none"/>
                <w:lang w:val="en-US" w:eastAsia="zh-CN"/>
              </w:rPr>
              <w:t>≤</w:t>
            </w:r>
            <w:r>
              <w:rPr>
                <w:rFonts w:hint="eastAsia" w:ascii="宋体" w:hAnsi="宋体" w:eastAsia="宋体" w:cs="宋体"/>
                <w:highlight w:val="none"/>
              </w:rPr>
              <w:t>8200W</w:t>
            </w:r>
            <w:r>
              <w:rPr>
                <w:rFonts w:hint="eastAsia" w:ascii="宋体" w:hAnsi="宋体" w:eastAsia="宋体" w:cs="宋体"/>
                <w:highlight w:val="none"/>
              </w:rPr>
              <w:br w:type="textWrapping"/>
            </w:r>
            <w:r>
              <w:rPr>
                <w:rFonts w:hint="eastAsia" w:ascii="宋体" w:hAnsi="宋体" w:eastAsia="宋体" w:cs="宋体"/>
                <w:highlight w:val="none"/>
              </w:rPr>
              <w:t>6.额定制冷功率：</w:t>
            </w:r>
            <w:r>
              <w:rPr>
                <w:rFonts w:hint="eastAsia" w:ascii="宋体" w:hAnsi="宋体" w:eastAsia="宋体" w:cs="宋体"/>
                <w:highlight w:val="none"/>
                <w:lang w:val="en-US" w:eastAsia="zh-CN"/>
              </w:rPr>
              <w:t>≤</w:t>
            </w:r>
            <w:r>
              <w:rPr>
                <w:rFonts w:hint="eastAsia" w:ascii="宋体" w:hAnsi="宋体" w:eastAsia="宋体" w:cs="宋体"/>
                <w:highlight w:val="none"/>
              </w:rPr>
              <w:t>2170W</w:t>
            </w:r>
            <w:r>
              <w:rPr>
                <w:rFonts w:hint="eastAsia" w:ascii="宋体" w:hAnsi="宋体" w:eastAsia="宋体" w:cs="宋体"/>
                <w:highlight w:val="none"/>
              </w:rPr>
              <w:br w:type="textWrapping"/>
            </w:r>
            <w:r>
              <w:rPr>
                <w:rFonts w:hint="eastAsia" w:ascii="宋体" w:hAnsi="宋体" w:eastAsia="宋体" w:cs="宋体"/>
                <w:highlight w:val="none"/>
              </w:rPr>
              <w:t>7.额定制热功率：</w:t>
            </w:r>
            <w:r>
              <w:rPr>
                <w:rFonts w:hint="eastAsia" w:ascii="宋体" w:hAnsi="宋体" w:eastAsia="宋体" w:cs="宋体"/>
                <w:highlight w:val="none"/>
                <w:lang w:val="en-US" w:eastAsia="zh-CN"/>
              </w:rPr>
              <w:t>≤</w:t>
            </w:r>
            <w:r>
              <w:rPr>
                <w:rFonts w:hint="eastAsia" w:ascii="宋体" w:hAnsi="宋体" w:eastAsia="宋体" w:cs="宋体"/>
                <w:highlight w:val="none"/>
              </w:rPr>
              <w:t>2240W</w:t>
            </w:r>
            <w:r>
              <w:rPr>
                <w:rFonts w:hint="eastAsia" w:ascii="宋体" w:hAnsi="宋体" w:eastAsia="宋体" w:cs="宋体"/>
                <w:highlight w:val="none"/>
              </w:rPr>
              <w:br w:type="textWrapping"/>
            </w:r>
            <w:r>
              <w:rPr>
                <w:rFonts w:hint="eastAsia" w:ascii="宋体" w:hAnsi="宋体" w:eastAsia="宋体" w:cs="宋体"/>
                <w:highlight w:val="none"/>
              </w:rPr>
              <w:t>8.外机噪音：dB(A)56</w:t>
            </w:r>
            <w:r>
              <w:rPr>
                <w:rFonts w:hint="eastAsia" w:ascii="宋体" w:hAnsi="宋体" w:eastAsia="宋体" w:cs="宋体"/>
                <w:highlight w:val="none"/>
              </w:rPr>
              <w:br w:type="textWrapping"/>
            </w:r>
            <w:r>
              <w:rPr>
                <w:rFonts w:hint="eastAsia" w:ascii="宋体" w:hAnsi="宋体" w:eastAsia="宋体" w:cs="宋体"/>
                <w:highlight w:val="none"/>
              </w:rPr>
              <w:t>9.内机噪音dB(A)：41.5-45.5</w:t>
            </w:r>
            <w:r>
              <w:rPr>
                <w:rFonts w:hint="eastAsia" w:ascii="宋体" w:hAnsi="宋体" w:eastAsia="宋体" w:cs="宋体"/>
                <w:highlight w:val="none"/>
              </w:rPr>
              <w:br w:type="textWrapping"/>
            </w:r>
            <w:r>
              <w:rPr>
                <w:rFonts w:hint="eastAsia" w:ascii="宋体" w:hAnsi="宋体" w:eastAsia="宋体" w:cs="宋体"/>
                <w:highlight w:val="none"/>
              </w:rPr>
              <w:t>10.电源（V/Hz）：220/50</w:t>
            </w:r>
            <w:r>
              <w:rPr>
                <w:rFonts w:hint="eastAsia" w:ascii="宋体" w:hAnsi="宋体" w:eastAsia="宋体" w:cs="宋体"/>
                <w:highlight w:val="none"/>
              </w:rPr>
              <w:br w:type="textWrapping"/>
            </w:r>
            <w:r>
              <w:rPr>
                <w:rFonts w:hint="eastAsia" w:ascii="宋体" w:hAnsi="宋体" w:eastAsia="宋体" w:cs="宋体"/>
                <w:highlight w:val="none"/>
              </w:rPr>
              <w:t>11.标配4米铜管</w:t>
            </w:r>
          </w:p>
          <w:p>
            <w:pPr>
              <w:pStyle w:val="61"/>
              <w:ind w:firstLine="0" w:firstLineChars="0"/>
              <w:rPr>
                <w:rFonts w:hint="eastAsia" w:ascii="宋体" w:hAnsi="宋体" w:eastAsia="宋体" w:cs="宋体"/>
                <w:highlight w:val="none"/>
              </w:rPr>
            </w:pPr>
            <w:r>
              <w:rPr>
                <w:rFonts w:hint="eastAsia" w:ascii="宋体" w:hAnsi="宋体" w:eastAsia="宋体" w:cs="宋体"/>
                <w:color w:val="000000"/>
                <w:kern w:val="0"/>
                <w:szCs w:val="21"/>
                <w:highlight w:val="none"/>
                <w:lang w:bidi="ar"/>
              </w:rPr>
              <w:t>12.</w:t>
            </w:r>
            <w:r>
              <w:rPr>
                <w:rFonts w:hint="eastAsia" w:ascii="宋体" w:hAnsi="宋体" w:eastAsia="宋体" w:cs="宋体"/>
                <w:b/>
                <w:bCs/>
                <w:szCs w:val="21"/>
                <w:highlight w:val="none"/>
              </w:rPr>
              <w:t>★</w:t>
            </w:r>
            <w:r>
              <w:rPr>
                <w:rFonts w:hint="eastAsia" w:ascii="宋体" w:hAnsi="宋体" w:eastAsia="宋体" w:cs="宋体"/>
                <w:szCs w:val="21"/>
                <w:highlight w:val="none"/>
              </w:rPr>
              <w:t>投标文件中必须提供该项产品由国家确定的认证机构出具的处于有效期之内的节能产品认证证书并加盖投标人公章。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2</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环绕音箱</w:t>
            </w:r>
          </w:p>
        </w:tc>
        <w:tc>
          <w:tcPr>
            <w:tcW w:w="630"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个</w:t>
            </w:r>
          </w:p>
        </w:tc>
        <w:tc>
          <w:tcPr>
            <w:tcW w:w="645"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4</w:t>
            </w:r>
          </w:p>
        </w:tc>
        <w:tc>
          <w:tcPr>
            <w:tcW w:w="7090" w:type="dxa"/>
          </w:tcPr>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音箱与学校功放匹配,含音箱线、音箱支架、接头</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系统：2 WAY Fullrange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频率范围：55Hz-20KHz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低音单元：LF 10  高音单元：HF 1 DRIVER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阻抗：8Ω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灵敏度：97dB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最大声压：127dB                                                       额定功率：250W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覆盖角度：90*60°                            </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 xml:space="preserve">板材：18mm </w:t>
            </w:r>
            <w:r>
              <w:rPr>
                <w:rFonts w:hint="eastAsia"/>
                <w:highlight w:val="none"/>
              </w:rPr>
              <w:t>胶合板</w:t>
            </w:r>
            <w:r>
              <w:rPr>
                <w:rFonts w:hint="eastAsia" w:ascii="宋体" w:hAnsi="宋体" w:cs="宋体"/>
                <w:color w:val="000000"/>
                <w:kern w:val="0"/>
                <w:szCs w:val="21"/>
                <w:highlight w:val="none"/>
                <w:lang w:bidi="ar"/>
              </w:rPr>
              <w:t xml:space="preserve">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净重：</w:t>
            </w:r>
            <w:r>
              <w:rPr>
                <w:rFonts w:hint="eastAsia" w:ascii="宋体" w:hAnsi="宋体" w:cs="宋体"/>
                <w:color w:val="000000"/>
                <w:kern w:val="0"/>
                <w:szCs w:val="21"/>
                <w:highlight w:val="none"/>
                <w:lang w:val="en-US" w:eastAsia="zh-CN" w:bidi="ar"/>
              </w:rPr>
              <w:t>约</w:t>
            </w:r>
            <w:r>
              <w:rPr>
                <w:rFonts w:hint="eastAsia" w:ascii="宋体" w:hAnsi="宋体" w:cs="宋体"/>
                <w:color w:val="000000"/>
                <w:kern w:val="0"/>
                <w:szCs w:val="21"/>
                <w:highlight w:val="none"/>
                <w:lang w:bidi="ar"/>
              </w:rPr>
              <w:t xml:space="preserve">16.5kg                                      </w:t>
            </w:r>
          </w:p>
          <w:p>
            <w:pPr>
              <w:widowControl/>
              <w:spacing w:line="360" w:lineRule="auto"/>
              <w:ind w:firstLine="0" w:firstLineChars="0"/>
              <w:jc w:val="left"/>
              <w:textAlignment w:val="top"/>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尺寸：</w:t>
            </w:r>
            <w:r>
              <w:rPr>
                <w:rFonts w:hint="eastAsia" w:ascii="宋体" w:hAnsi="宋体" w:cs="宋体"/>
                <w:color w:val="000000"/>
                <w:kern w:val="0"/>
                <w:szCs w:val="21"/>
                <w:highlight w:val="none"/>
                <w:lang w:val="en-US" w:eastAsia="zh-CN" w:bidi="ar"/>
              </w:rPr>
              <w:t>约</w:t>
            </w:r>
            <w:r>
              <w:rPr>
                <w:rFonts w:hint="eastAsia" w:ascii="宋体" w:hAnsi="宋体" w:cs="宋体"/>
                <w:color w:val="000000"/>
                <w:kern w:val="0"/>
                <w:szCs w:val="21"/>
                <w:highlight w:val="none"/>
                <w:lang w:bidi="ar"/>
              </w:rPr>
              <w:t xml:space="preserve">450mm*300mm*590mm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3</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无线话筒套装</w:t>
            </w:r>
          </w:p>
        </w:tc>
        <w:tc>
          <w:tcPr>
            <w:tcW w:w="630"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对</w:t>
            </w:r>
          </w:p>
        </w:tc>
        <w:tc>
          <w:tcPr>
            <w:tcW w:w="645"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4</w:t>
            </w:r>
          </w:p>
        </w:tc>
        <w:tc>
          <w:tcPr>
            <w:tcW w:w="7090" w:type="dxa"/>
            <w:vAlign w:val="center"/>
          </w:tcPr>
          <w:p>
            <w:pPr>
              <w:widowControl/>
              <w:spacing w:line="360" w:lineRule="auto"/>
              <w:ind w:firstLine="0" w:firstLineChars="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一拖二UHF频段（可配选配头戴麦克风）</w:t>
            </w:r>
          </w:p>
          <w:p>
            <w:pPr>
              <w:widowControl/>
              <w:spacing w:line="360" w:lineRule="auto"/>
              <w:ind w:firstLine="0" w:firstLineChars="0"/>
              <w:jc w:val="left"/>
              <w:textAlignment w:val="center"/>
              <w:rPr>
                <w:rFonts w:hint="eastAsia" w:ascii="宋体" w:hAnsi="宋体" w:cs="宋体"/>
                <w:kern w:val="0"/>
                <w:szCs w:val="21"/>
                <w:lang w:bidi="ar"/>
              </w:rPr>
            </w:pPr>
            <w:r>
              <w:rPr>
                <w:rFonts w:hint="eastAsia" w:ascii="宋体" w:hAnsi="宋体" w:cs="宋体"/>
                <w:color w:val="000000"/>
                <w:kern w:val="0"/>
                <w:szCs w:val="21"/>
                <w:lang w:bidi="ar"/>
              </w:rPr>
              <w:t>一、性能描述：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1.2通道UHF无线系统，每通道100个频率可选；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2.配有LCD液晶显示，实时反馈系统工作状态；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3.采用数字音码锁定技术，有效阻隔使用环境中的杂讯干扰；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4.采用最新红外线自动对频（IR）与自动选频（AFS）技术，设定和操作更简便；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5.2支话筒可互换使用，手持管使用金属外观，经久耐用，性能更稳定，可选配手持式/领夹式/头戴式话筒；</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6.理想环境中，可叠用超过5台主机同时使用。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二、系统参数：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综合参数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1.频率范围: 640MHz-699MHz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2.调制方式: FM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3.信道数目:200个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4.信道间隔: 300KHZ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5.频率稳定度:±0.005%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6.动态范围: 100db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7.最大偏移:±45KHZ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8.音频频率响应:40HZ-18KHZ(±2db)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9.综合信噪比: &gt;105db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10.综合失真：≤0.5%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三、接收机指标：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1.天线：分体可拆卸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2.中频：110MHZ. 10.7MHZ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3.天线接入： TNC/50Ω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4.灵敏度：12dBuV(80db S/N)</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5.灵敏度调节范围：12-32dBuV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6.杂散抑制：≥75db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7.最大输出电平： +10dbv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8.供电方式：直流12V 400mA输入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四、发射机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1.输出功率：高功率30MW，低功率3MW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2.杂散抑制：-60db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3.供电： 2节5号1.5V碱性电池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4.电池寿命：正常功率发射时，可使用超过8小时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尺寸：</w:t>
            </w:r>
            <w:r>
              <w:rPr>
                <w:rFonts w:hint="eastAsia" w:ascii="宋体" w:hAnsi="宋体" w:eastAsia="宋体" w:cs="宋体"/>
                <w:i w:val="0"/>
                <w:iCs w:val="0"/>
                <w:color w:val="000000"/>
                <w:kern w:val="0"/>
                <w:sz w:val="21"/>
                <w:szCs w:val="21"/>
                <w:u w:val="none"/>
                <w:lang w:val="en-US" w:eastAsia="zh-CN" w:bidi="ar"/>
              </w:rPr>
              <w:t>480mm*44mm*172mm</w:t>
            </w:r>
            <w:r>
              <w:rPr>
                <w:rFonts w:hint="eastAsia"/>
                <w:lang w:eastAsia="zh-CN"/>
              </w:rPr>
              <w:t>，</w:t>
            </w:r>
            <w:r>
              <w:rPr>
                <w:rFonts w:hint="eastAsia" w:ascii="宋体" w:hAnsi="宋体" w:cs="宋体"/>
                <w:i w:val="0"/>
                <w:iCs w:val="0"/>
                <w:color w:val="000000"/>
                <w:kern w:val="0"/>
                <w:sz w:val="21"/>
                <w:szCs w:val="21"/>
                <w:u w:val="none"/>
                <w:lang w:val="en-US" w:eastAsia="zh-CN" w:bidi="ar"/>
              </w:rPr>
              <w:t>长宽高误差在±5mm</w:t>
            </w:r>
            <w:r>
              <w:rPr>
                <w:rFonts w:hint="eastAsia" w:ascii="宋体" w:hAnsi="宋体" w:eastAsia="宋体" w:cs="宋体"/>
                <w:i w:val="0"/>
                <w:iCs w:val="0"/>
                <w:color w:val="000000"/>
                <w:kern w:val="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4</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路由器9+网络布线</w:t>
            </w:r>
          </w:p>
        </w:tc>
        <w:tc>
          <w:tcPr>
            <w:tcW w:w="630"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台</w:t>
            </w:r>
          </w:p>
        </w:tc>
        <w:tc>
          <w:tcPr>
            <w:tcW w:w="645"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1</w:t>
            </w:r>
          </w:p>
        </w:tc>
        <w:tc>
          <w:tcPr>
            <w:tcW w:w="7090" w:type="dxa"/>
            <w:vAlign w:val="center"/>
          </w:tcPr>
          <w:p>
            <w:pPr>
              <w:widowControl/>
              <w:spacing w:line="360" w:lineRule="auto"/>
              <w:ind w:firstLine="0" w:firstLineChars="0"/>
              <w:jc w:val="left"/>
              <w:textAlignment w:val="center"/>
              <w:rPr>
                <w:rFonts w:hint="eastAsia" w:ascii="宋体" w:hAnsi="宋体" w:cs="宋体"/>
                <w:kern w:val="0"/>
                <w:szCs w:val="21"/>
                <w:lang w:bidi="ar"/>
              </w:rPr>
            </w:pPr>
            <w:r>
              <w:rPr>
                <w:rFonts w:hint="eastAsia" w:ascii="宋体" w:hAnsi="宋体" w:cs="宋体"/>
                <w:color w:val="000000"/>
                <w:kern w:val="0"/>
                <w:szCs w:val="21"/>
                <w:lang w:bidi="ar"/>
              </w:rPr>
              <w:t>1.网络带宽：千兆及以上</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2.Wifi速度：6+3000Mbps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3.支持产品间任意组合组网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5</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镜子</w:t>
            </w:r>
          </w:p>
        </w:tc>
        <w:tc>
          <w:tcPr>
            <w:tcW w:w="630"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面</w:t>
            </w:r>
          </w:p>
        </w:tc>
        <w:tc>
          <w:tcPr>
            <w:tcW w:w="645"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1</w:t>
            </w:r>
          </w:p>
        </w:tc>
        <w:tc>
          <w:tcPr>
            <w:tcW w:w="7090" w:type="dxa"/>
            <w:vAlign w:val="center"/>
          </w:tcPr>
          <w:p>
            <w:pPr>
              <w:widowControl/>
              <w:spacing w:line="360" w:lineRule="auto"/>
              <w:ind w:firstLine="0" w:firstLineChars="0"/>
              <w:jc w:val="left"/>
              <w:textAlignment w:val="center"/>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1.0厚镜子钛金拉丝脚线，尺寸：8.65*2.44=21.106平方，按采购人需求现场定制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6</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舞台灯光</w:t>
            </w:r>
          </w:p>
        </w:tc>
        <w:tc>
          <w:tcPr>
            <w:tcW w:w="630"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套</w:t>
            </w:r>
          </w:p>
        </w:tc>
        <w:tc>
          <w:tcPr>
            <w:tcW w:w="645"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2</w:t>
            </w:r>
          </w:p>
        </w:tc>
        <w:tc>
          <w:tcPr>
            <w:tcW w:w="7090" w:type="dxa"/>
            <w:vAlign w:val="center"/>
          </w:tcPr>
          <w:p>
            <w:pPr>
              <w:widowControl/>
              <w:spacing w:line="360" w:lineRule="auto"/>
              <w:ind w:firstLine="0" w:firstLineChars="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含灯架及简易控制器,2套4个</w:t>
            </w:r>
          </w:p>
          <w:p>
            <w:pPr>
              <w:widowControl/>
              <w:spacing w:line="360" w:lineRule="auto"/>
              <w:ind w:firstLine="0" w:firstLineChars="0"/>
              <w:jc w:val="left"/>
              <w:textAlignment w:val="center"/>
              <w:rPr>
                <w:rFonts w:hint="eastAsia" w:ascii="宋体" w:hAnsi="宋体" w:cs="宋体"/>
                <w:kern w:val="0"/>
                <w:szCs w:val="21"/>
                <w:lang w:bidi="ar"/>
              </w:rPr>
            </w:pPr>
            <w:r>
              <w:rPr>
                <w:rFonts w:hint="eastAsia" w:ascii="宋体" w:hAnsi="宋体" w:cs="宋体"/>
                <w:color w:val="000000"/>
                <w:kern w:val="0"/>
                <w:szCs w:val="21"/>
                <w:lang w:bidi="ar"/>
              </w:rPr>
              <w:t>输入电压：AC110-240V/50-60Hz.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功   率：200W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光   源：1颗200瓦进口灯珠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发光颜色：白光 暖白高显指95%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发光角度：60°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控制模式：DMX/主从</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通道：1-2-6CH通道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色   温：3200K-5600K</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流明：15000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外   壳：铝</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包装尺寸：53*53*39cm（4台/箱）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产品尺寸：23*22*21cm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净    重： 5.4kg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7</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音响布置安装、维修及配套服务</w:t>
            </w:r>
          </w:p>
        </w:tc>
        <w:tc>
          <w:tcPr>
            <w:tcW w:w="630"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项</w:t>
            </w:r>
          </w:p>
        </w:tc>
        <w:tc>
          <w:tcPr>
            <w:tcW w:w="645"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1</w:t>
            </w:r>
          </w:p>
        </w:tc>
        <w:tc>
          <w:tcPr>
            <w:tcW w:w="7090" w:type="dxa"/>
            <w:vAlign w:val="center"/>
          </w:tcPr>
          <w:p>
            <w:pPr>
              <w:pStyle w:val="61"/>
              <w:numPr>
                <w:ilvl w:val="0"/>
                <w:numId w:val="9"/>
              </w:numPr>
              <w:ind w:left="0" w:leftChars="0" w:firstLine="0" w:firstLineChars="0"/>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重新布置音响安装或维修及配套服务。如学校已有的点歌系统、功放、钢琴的安装服务</w:t>
            </w:r>
          </w:p>
          <w:p>
            <w:pPr>
              <w:pStyle w:val="61"/>
              <w:numPr>
                <w:ilvl w:val="0"/>
                <w:numId w:val="9"/>
              </w:numPr>
              <w:ind w:left="0" w:leftChars="0" w:firstLine="0" w:firstLineChars="0"/>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含人工费用</w:t>
            </w:r>
          </w:p>
          <w:p>
            <w:pPr>
              <w:pStyle w:val="61"/>
              <w:numPr>
                <w:ilvl w:val="0"/>
                <w:numId w:val="0"/>
              </w:numPr>
              <w:ind w:leftChars="0" w:right="181" w:rightChars="0"/>
              <w:rPr>
                <w:rFonts w:hint="eastAsia" w:ascii="宋体" w:hAnsi="宋体" w:eastAsia="宋体" w:cs="宋体"/>
                <w:i w:val="0"/>
                <w:iCs w:val="0"/>
                <w:color w:val="000000"/>
                <w:kern w:val="0"/>
                <w:sz w:val="21"/>
                <w:szCs w:val="21"/>
                <w:highlight w:val="none"/>
                <w:u w:val="none"/>
                <w:lang w:val="en-US" w:eastAsia="zh-CN" w:bidi="ar"/>
              </w:rPr>
            </w:pPr>
          </w:p>
          <w:p>
            <w:pPr>
              <w:pStyle w:val="61"/>
              <w:ind w:left="0" w:leftChars="0" w:right="181" w:rightChars="0" w:firstLine="0" w:firstLine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8</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一体机黑板</w:t>
            </w:r>
          </w:p>
        </w:tc>
        <w:tc>
          <w:tcPr>
            <w:tcW w:w="630"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套</w:t>
            </w:r>
          </w:p>
        </w:tc>
        <w:tc>
          <w:tcPr>
            <w:tcW w:w="645"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2</w:t>
            </w:r>
          </w:p>
        </w:tc>
        <w:tc>
          <w:tcPr>
            <w:tcW w:w="7090" w:type="dxa"/>
            <w:vAlign w:val="center"/>
          </w:tcPr>
          <w:p>
            <w:pPr>
              <w:widowControl/>
              <w:ind w:left="0" w:leftChars="0" w:firstLine="210" w:firstLineChars="10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一、整机规格</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1、整机屏幕采用86 英寸液晶显示器。</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2、整机采用超高清 LED 液晶显示屏，显示比例 16:9，分辨率 3840×2160。</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3、整机色域覆盖率（NTSC）72%</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4、整机背光系统支持 DC 调光方式，多级亮度调节，支持白颜色背景下最暗亮度100nit，用于提升显示对比度。</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5、灰阶等级256 级。</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6、整机屏幕蓝光占比（有害蓝光 415～455nm 能量综合）/（整体蓝光 400～500 能量综合）＜50%</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7、支持标准、多媒体和节能三种图像模式调节。</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8、支持自定义图像设置，可对对比度、屏幕色温、图像亮度、亮度范围、色彩空间调节设置。</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9、整机系统支持手势上滑调出人工智能画质调节模式（AI-PQ），在安卓通道下可根据屏幕内容自动调节画质参数，当屏幕出现人物、建筑、夜景等元素时，自动调整</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对比度、饱和度、锐利度、色调色相值、高光/阴影。</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10、整机视网膜蓝光危害（蓝光加权辐射亮度 LB）满足IEC TR 62778:2014 蓝光危害 RG0 级别</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11、整机全通道支持纸质护眼模式，可实现画面纹理的实时调整；支持纸质纹理：牛皮纸、素描纸、宣纸、水彩纸、水纹纸；支持透明度调节；支持色温调节。</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12、纸质护眼模式下，显示画面各像素点灰度不规则,减少背景干扰。</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二、整机接口设计与安全设计</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1、侧置输入接口具备 2 路 HDMI、1 路 RS232、1 路 USB 接口。</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2、侧置输出接口具备 1 路音频输出、1 路触控 USB 输出。</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3、前置输入接口 3 路 USB 接口（包含 1 路 Type-C、2 路USB）。</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4、支持通过 Type-C 接口 U 盘进行文件传输，兼容 Type-C接口手机充电。</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5、整机采用一体设计，外部无任何可见内部功能模块连接线。边角采用弧形设计，表面无尖锐边缘或凸起。</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6、整机采用全金属外壳设计，边框为金属一体成型。</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7、整机屏幕边缘采用金属圆角包边防护，整机背板采用金属材质，有效屏蔽内部电路器件辐射；防潮耐盐雾蚀锈，适应多种教学环境。</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三、整机系统设计</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（一）电脑系统</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1、CPU：搭载 Intel 酷睿系列= i7 CPU。</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2、内存 16GB DDR4 笔记本内存配置。</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3、硬盘：1TB  SSD 固态硬盘。</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4、采用按压式卡扣，无需工具即可快速拆卸电脑模块。</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5、PC 模块可抽拉式插入整机，可实现无单独接线的拔插。</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6、具有独立非外拓展的视频输出接口：1 路 HDMI。</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（二）触摸系统</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1、支持 Windows 7、Windows 8、Windows 10、Windows11、Linux、Mac Os、UOS 和麒麟系统外置电脑操作系统接入时，无需安装触摸驱动。</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2、触摸分辨率 32768×32768。</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3、书写触控延迟25ms</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4、整机触控书写功能集成预测算法，在书写速度50cm/s，支持笔迹距离笔的距离小于 20mm。</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5、触摸响应4ms。</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6、触摸最小识别物3mm。</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7、整机屏幕触摸有效识别高度 3mm，即触摸物体距离玻璃外表面高度 3mm 时，触摸屏识别为点击操作。</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8、整机支持提笔书写，在 Windows 系统下可实现无需点击任意功能入口，当检测到红外笔笔尖接触屏幕时，自动进入书写模式。</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9、整机支持手笔分离，通过提笔即写唤醒批注功能后，可进行手笔分离功能，使用笔正常书写，使用手指可以操作应用，进行点击操作。</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10、整机触摸支持动态压力感应，支持无任何电子功能的普通书写笔在整机上书写或点压时，整机能感应压力变化，书写或点压过程笔迹呈现不同粗细。</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11、支持同一支笔，笔头、笔尾书写不同的颜色，且颜色可自定义。</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12、支持智能板擦功能，系统可根据触控物体的形状自动识别出实物板擦，可擦除电子白板中的内容，无需依赖外部电子设备。</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13、触摸屏具有防遮挡功能，触摸接收器在单点或多点遮挡后仍能正常书写。</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14、采用红外触控技术，支持 Windows 系统中进行 40 点触控，支持在 Android 系统中进行 40 点触控。</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（三）安卓系统</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1、嵌入式系统版本 Android 13，内存2GB，存储空间8GB。</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2、嵌入式 Android 操作系统下，白板支持对已经书写的笔迹和形状和颜色进行更换。</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3、在嵌入式系统下使用白板软件时，整机可自行调节屏幕亮度。</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4、嵌入式 Android 操作系统下，互动白板支持不同背景颜色，同时提供学科背景，如：五线谱、信纸、田字格、英文格、篮球和足球场地平面图。</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5、无 PC 状态下，嵌入式系统内置互动白板支持十笔书写及手掌擦除（手掌擦除面积根据手掌与屏幕的接触面大小自动调整），白板书写内容可以 PDF、IWB 和 SVG 格式导出。支持 10 种平面图形工具。支持 8 种立体图形工具。</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6、无 PC 状态下，嵌入式系统内置互动白板支持全局漫游，并能在工具栏中对全局内容进行预览和移动。</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7、无 PC 状态下，嵌入式 Android 操作系统下可使用白板书写、WPS 软件和网页浏览</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8、在嵌入式 Android 操作系统下，能对 TV 多媒体 USB 所读取到的文件进行自动归类，可分类查找文档、板书、图片、音视频，检索后可直接在界面中打开。</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四、侧边栏教学设计要求</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1、整机全通道侧边栏快捷菜单包含如下小工具：批注、降半屏、截屏、放大镜、倒计时、日历、聚光灯、秒表、冻屏、倒数日、答题、节拍器</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2、整机全通道侧边栏快捷菜单小工具支持自定义，支持设置对应小工具的显示/隐藏。</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3、整机全通道侧边栏支持使用批注小工具进行批注讲解，可切换书写笔颜色、截屏保存批注内容、清屏，可根据手与屏幕的接触面积自动调整板擦工具的大小。</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4、整机全通道侧边栏支持将设备屏幕降低为半屏幕状态，点击上半屏幕可以返回全屏状态。</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5、整机全通道侧边栏支持自行选择所需截取屏幕范围，点击截屏即可成功截取屏幕，并自动保存。</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6、整机全通道侧边栏支持放大选中区域内容，并可支持对未选中区域关灯处理，实现聚光灯效果。</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7、整机全通道侧边栏支持倒计时、正计时功能；倒计时，输入某特定时间值，可精确到秒，点击开始进入倒计时；正计时，点击开始计时便自动开始，并实时显示时间。 </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8、整机全通道侧边栏支持打开日历，查看日期。</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9、整机全通道侧边栏支持聚光灯，支持聚光灯高亮区域大小调节、区域移动。</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10、整机全通道侧边栏支持冻屏，将屏幕画面进行缩放。</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11、整机安卓和外接通道下侧边栏支持设置倒数日。</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12、整机安卓和外接通道 下侧边栏支持通过扫描二维码加入班级，老师设置题型，学生回答后提交，教师查看正确率比例及详细讲解；支持随机抽选、实时弹幕；支持管</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理当前班级成员；支持导出学生报告。全通道下可支持通过自定义按键调出该功能。</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13、整机安卓和外接通道下侧边栏支持节拍器，支持设置节拍、轻重、节拍播放速度。全通道下可支持通过自定义按键调出该功能。</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14、整机支持在设备上通过摄像头获取教室内图像并自动识别图像内所有人员，并随机抽选 1 人。</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15、整机支持在设备上通过摄像头获取教室内图像并自动识别图像内所有人员，并自动进行人数统计。</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16、整机支持在设备上，通过侧边栏实现调用 windows 系统运行、打开文件夹、打开任务管理。</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17、整机 Windows 通道支持在通过侧边栏调取软键盘。</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18、整机 Windows 通道支持对当前运行中的应用进行窗口最大化、窗口最小化、应用强制关闭。</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19、整机处于非内置 PC 通道下，支持通过侧边栏进入 PC通道。</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20、整机全通道侧边栏快捷菜单支持快捷调节音量、亮度，支持自动亮度模式，支持点击静音按钮静音。</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21、整机全通道侧边栏快捷菜单中应用软件可以进行切换，无需在已经开启的应用软件全屏模式下退出当前应用再选择更换。</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22、整机全通道侧边栏支持自定义快捷菜单，支持 windows应用固定，可将应用固定后，在侧边栏进行快捷打开。</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23、整机全通道侧边栏快捷菜单中可实时查看物联设备的连接情况，点击设备图标即可调出中控菜单进行管控。</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24、整机全通道侧边栏快捷菜单支持简洁模式和常规模式切换。</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25、整机全通道侧边栏快捷菜单简洁模式，可进行打开批注、降半屏、主页的基础操作。</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五、教学桌面设计</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1、整机设备开机启动后，自动进入教学桌面，支持账号登录、退出，自动获取个人云端教学课件列表、并可进入全部课件列表。</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2、整机设备支持多种身份识别方式，支持通过账号登录、手机扫码登录，并支持账号安全登录检测。  </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3、整机设备支持统一互通的用户身份认证服务，账号登录后，打开教学白板软件教学应用工具时无需再次输入账号密码重复登录。</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4、整机设备教学桌面支持教学白板软件和文件管理软件；教学桌面首页支持自定义桌面应用，支持展示 8 个应用入口，并提供进入本机所有应用的入口。</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5、整机设备可将应用编辑到教学桌面首页，编辑方式支持从教学桌面首页进入编辑，支持在全部应用列表中进入编辑 2 种方式。教学桌面首页应用支持无需进入应用编辑页面，在首页指定应用上长按进行移除。</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6、整机设备教学桌面支持查看设备盘符，支持本地磁盘和外接 U 盘、移动硬盘，点击即可打开该磁盘查看磁盘文件。教学桌面支持显示存储空间状态，当存储空间即将满</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载时候进行红色标记明显提示。</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7、整机设备教学桌面支持进行应用卸载。</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8、整机设备教学桌面支持推荐应用，推荐应用支持移除。</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9、整机设备教学桌面的教师登录账号后，可自动获取并在桌面显示最近使用的教学课件，点击课件可直接进入授课模式；并支持查看所有个人教学课件资源。</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六、整机硬件设计</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1、三合一电源按键，同一电源物理按键完成 Android 系统和 Windows 系统的开机、节能熄屏、关机操作；关机状态下按按键开机；开机状态下按按键实现节能熄屏/唤醒，长按按键实现关机。</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2、整机具备 6 个前置按键，可实现开关机、调出中控菜单、音量+/-、护眼、录屏操作。</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3、支持经典护眼模式，可通过前置面板物理功能按键一键启用经典护眼模式。</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4、设备支持通过前置面板物理按键一键启动录屏功能，可将屏幕中显示的课件、音频内容与人声同时录制。</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5、前置 USB 接口具备防撞挡板设计，防撞挡板采用转轴式翻转。</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6、整机支持 5 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7、整机内置 2.2 声道扬声器，位于设备上边框，顶置朝前发声，前朝向 10W 高音扬声器 2 个，上朝向 20W 中低音扬声器 2 个，额定总功率 60W。</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8、整机可选择高级音效设置，支持在左右声道平衡显示范围中进行更改；中低频段显示调节范围 125Hz～1KHz，高频段显示调节范围 2KHz～16KHz，分贝显示-12dB～12dB 调节范围。</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9、整机内置非独立外扩展的 4 阵列麦克风，可用于对教室环境音频进行采集，麦克风拾音距离12 米。</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10、整机内置扬声器采用缝隙发声技术，喇叭采用槽式开口设计， 5.8mm</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11、整机扬声器在 100%音量下，可做到 1 米处声压级88db，10 米处声压级79dB</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12、内置摄像头、麦克风无需外接线材连接，无任何可见外接线材及模块化拼接痕迹，未占用整机设备端口。</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13、支持标准、听力、观影和 AI 空间感知音效模式，AI空间感知音效模式可通过内置麦克风采集教室物理环境声音，自动生成符合当前教室物理环境的频段、音量、音效。</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14、整机内置摄像头（非外扩），PC 通道下支持通过视频展台软件调用摄像头进行二维码扫码识别。</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15、具备摄像头工作指示灯，摄像头运行时，有指示灯提示。</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16、整机上边框内置非独立摄像头，采用一体化集成设计，可拍摄1300 万像素数的照片，可拍摄输出 4K 分辨率的视频。</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17、整机摄像头对角线视场角120 度</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18、整机内置非独立的高清摄像头，可用于远程巡课。</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19、整机摄像头支持人脸识别、清点人数、随机抽人；识别所有学生，显示标记，然后随机抽选，同时显示标记 60 人。</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20、整机支持通过人脸识别进行登录账号。</w:t>
            </w:r>
          </w:p>
          <w:p>
            <w:pPr>
              <w:spacing w:line="360" w:lineRule="auto"/>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21、整机摄像头支持环境色温判断，根据环境调节合适的显示图像效果。</w:t>
            </w:r>
          </w:p>
          <w:p>
            <w:pPr>
              <w:spacing w:line="360" w:lineRule="auto"/>
              <w:ind w:firstLine="420" w:firstLineChars="20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七、一体机移动支架</w:t>
            </w:r>
            <w:r>
              <w:rPr>
                <w:rFonts w:hint="eastAsia" w:ascii="宋体" w:hAnsi="宋体" w:cs="宋体"/>
                <w:color w:val="auto"/>
                <w:kern w:val="0"/>
                <w:sz w:val="21"/>
                <w:szCs w:val="21"/>
                <w:lang w:val="en-US" w:eastAsia="zh-CN" w:bidi="ar"/>
              </w:rPr>
              <w:t>：配合一体机黑板使用</w:t>
            </w:r>
            <w:r>
              <w:rPr>
                <w:rFonts w:hint="eastAsia" w:ascii="宋体" w:hAnsi="宋体" w:eastAsia="宋体" w:cs="宋体"/>
                <w:color w:val="auto"/>
                <w:kern w:val="0"/>
                <w:sz w:val="21"/>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9</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舞台后幕布</w:t>
            </w:r>
          </w:p>
        </w:tc>
        <w:tc>
          <w:tcPr>
            <w:tcW w:w="630"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米</w:t>
            </w:r>
          </w:p>
        </w:tc>
        <w:tc>
          <w:tcPr>
            <w:tcW w:w="645"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8</w:t>
            </w:r>
          </w:p>
        </w:tc>
        <w:tc>
          <w:tcPr>
            <w:tcW w:w="7090" w:type="dxa"/>
            <w:vAlign w:val="center"/>
          </w:tcPr>
          <w:p>
            <w:pPr>
              <w:widowControl/>
              <w:spacing w:line="360" w:lineRule="auto"/>
              <w:ind w:firstLine="0" w:firstLineChars="0"/>
              <w:jc w:val="left"/>
              <w:textAlignment w:val="center"/>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尺寸：8.65*3.32=28.718平方，按采购人需求现场定制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10</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其他耗材、配件</w:t>
            </w:r>
          </w:p>
        </w:tc>
        <w:tc>
          <w:tcPr>
            <w:tcW w:w="630"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批</w:t>
            </w:r>
          </w:p>
        </w:tc>
        <w:tc>
          <w:tcPr>
            <w:tcW w:w="645"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1</w:t>
            </w:r>
          </w:p>
        </w:tc>
        <w:tc>
          <w:tcPr>
            <w:tcW w:w="7090" w:type="dxa"/>
            <w:vAlign w:val="center"/>
          </w:tcPr>
          <w:p>
            <w:pPr>
              <w:widowControl/>
              <w:spacing w:line="360" w:lineRule="auto"/>
              <w:ind w:firstLine="0" w:firstLineChars="0"/>
              <w:jc w:val="left"/>
              <w:textAlignment w:val="center"/>
              <w:rPr>
                <w:rFonts w:hint="eastAsia" w:ascii="宋体" w:hAnsi="宋体" w:cs="宋体"/>
                <w:kern w:val="0"/>
                <w:szCs w:val="21"/>
                <w:lang w:bidi="ar"/>
              </w:rPr>
            </w:pPr>
            <w:r>
              <w:rPr>
                <w:rFonts w:hint="eastAsia" w:ascii="宋体" w:hAnsi="宋体" w:cs="宋体"/>
                <w:kern w:val="0"/>
                <w:szCs w:val="21"/>
                <w:lang w:bidi="ar"/>
              </w:rPr>
              <w:t>运输/备用配件/耗材/线材延长、插座扩展等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11</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钢琴凳</w:t>
            </w:r>
          </w:p>
        </w:tc>
        <w:tc>
          <w:tcPr>
            <w:tcW w:w="630"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张</w:t>
            </w:r>
          </w:p>
        </w:tc>
        <w:tc>
          <w:tcPr>
            <w:tcW w:w="645"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4</w:t>
            </w:r>
          </w:p>
        </w:tc>
        <w:tc>
          <w:tcPr>
            <w:tcW w:w="7090" w:type="dxa"/>
          </w:tcPr>
          <w:p>
            <w:pPr>
              <w:ind w:left="0" w:leftChars="0" w:firstLine="0" w:firstLineChars="0"/>
              <w:rPr>
                <w:rFonts w:hint="default" w:ascii="宋体" w:eastAsia="宋体" w:cs="宋体"/>
                <w:color w:val="auto"/>
                <w:sz w:val="21"/>
                <w:szCs w:val="21"/>
              </w:rPr>
            </w:pPr>
            <w:r>
              <w:rPr>
                <w:rFonts w:hint="default" w:ascii="宋体" w:eastAsia="宋体" w:cs="宋体"/>
                <w:color w:val="auto"/>
                <w:sz w:val="21"/>
                <w:szCs w:val="21"/>
              </w:rPr>
              <w:t>优质双人钢琴凳（带书箱）</w:t>
            </w:r>
          </w:p>
          <w:p>
            <w:pPr>
              <w:ind w:left="0" w:leftChars="0" w:firstLine="0" w:firstLineChars="0"/>
              <w:rPr>
                <w:rFonts w:hint="default" w:ascii="宋体" w:eastAsia="宋体" w:cs="宋体"/>
                <w:color w:val="auto"/>
                <w:sz w:val="21"/>
                <w:szCs w:val="21"/>
              </w:rPr>
            </w:pPr>
            <w:r>
              <w:rPr>
                <w:rFonts w:hint="default" w:ascii="宋体" w:eastAsia="宋体" w:cs="宋体"/>
                <w:color w:val="auto"/>
                <w:sz w:val="21"/>
                <w:szCs w:val="21"/>
              </w:rPr>
              <w:t>材质：铁、优质皮革、高密度海绵</w:t>
            </w:r>
          </w:p>
          <w:p>
            <w:pPr>
              <w:pStyle w:val="21"/>
              <w:rPr>
                <w:rFonts w:hint="eastAsia" w:hAnsi="宋体"/>
                <w:color w:val="auto"/>
                <w:sz w:val="21"/>
                <w:szCs w:val="21"/>
                <w:lang w:bidi="ar"/>
              </w:rPr>
            </w:pPr>
            <w:r>
              <w:rPr>
                <w:rFonts w:hint="default" w:ascii="宋体" w:eastAsia="宋体" w:cs="宋体"/>
                <w:color w:val="auto"/>
                <w:sz w:val="21"/>
                <w:szCs w:val="21"/>
              </w:rPr>
              <w:t>板面：700*335mm 高度 490mm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5" w:type="dxa"/>
            <w:gridSpan w:val="5"/>
          </w:tcPr>
          <w:p>
            <w:pPr>
              <w:pStyle w:val="21"/>
              <w:ind w:firstLine="0" w:firstLineChars="0"/>
              <w:rPr>
                <w:rFonts w:hint="eastAsia" w:hAnsi="宋体"/>
                <w:color w:val="auto"/>
                <w:sz w:val="21"/>
                <w:szCs w:val="21"/>
                <w:lang w:bidi="ar"/>
              </w:rPr>
            </w:pPr>
            <w:r>
              <w:rPr>
                <w:rFonts w:hint="eastAsia" w:hAnsi="宋体"/>
                <w:b/>
                <w:bCs/>
                <w:color w:val="auto"/>
                <w:sz w:val="21"/>
                <w:szCs w:val="21"/>
                <w:lang w:bidi="ar"/>
              </w:rPr>
              <w:t>商务要求</w:t>
            </w:r>
          </w:p>
        </w:tc>
      </w:tr>
    </w:tbl>
    <w:tbl>
      <w:tblPr>
        <w:tblStyle w:val="49"/>
        <w:tblpPr w:leftFromText="180" w:rightFromText="180" w:vertAnchor="text" w:horzAnchor="page" w:tblpX="1168" w:tblpY="458"/>
        <w:tblOverlap w:val="never"/>
        <w:tblW w:w="9705"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1980"/>
        <w:gridCol w:w="772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rPr>
                <w:rFonts w:hint="eastAsia" w:ascii="宋体" w:hAnsi="宋体" w:cs="宋体"/>
                <w:szCs w:val="21"/>
                <w:highlight w:val="none"/>
              </w:rPr>
            </w:pPr>
            <w:r>
              <w:rPr>
                <w:rFonts w:hint="eastAsia" w:ascii="宋体" w:hAnsi="宋体" w:cs="宋体"/>
                <w:kern w:val="0"/>
                <w:szCs w:val="21"/>
                <w:highlight w:val="none"/>
                <w:lang w:bidi="ar"/>
              </w:rPr>
              <w:t>合同签订期</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cs="宋体"/>
                <w:szCs w:val="21"/>
                <w:highlight w:val="none"/>
              </w:rPr>
            </w:pPr>
            <w:r>
              <w:rPr>
                <w:rFonts w:hint="eastAsia" w:ascii="宋体" w:hAnsi="宋体" w:eastAsia="宋体" w:cs="宋体"/>
                <w:sz w:val="21"/>
                <w:szCs w:val="21"/>
                <w:highlight w:val="none"/>
                <w:lang w:val="en-US" w:eastAsia="zh-CN"/>
              </w:rPr>
              <w:t>自中标通知书发出之日起15日内。</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rPr>
                <w:rFonts w:hint="eastAsia" w:ascii="宋体" w:hAnsi="宋体" w:cs="宋体"/>
                <w:szCs w:val="21"/>
              </w:rPr>
            </w:pPr>
            <w:r>
              <w:rPr>
                <w:rFonts w:hint="eastAsia" w:ascii="宋体" w:hAnsi="宋体" w:cs="宋体"/>
                <w:kern w:val="0"/>
                <w:szCs w:val="21"/>
                <w:lang w:bidi="ar"/>
              </w:rPr>
              <w:t>交货时间及地点</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cs="宋体"/>
                <w:szCs w:val="21"/>
              </w:rPr>
            </w:pPr>
            <w:r>
              <w:rPr>
                <w:rFonts w:hint="eastAsia" w:ascii="宋体" w:hAnsi="宋体" w:eastAsia="宋体" w:cs="宋体"/>
                <w:sz w:val="21"/>
                <w:szCs w:val="21"/>
                <w:lang w:val="en-US" w:eastAsia="zh-CN"/>
              </w:rPr>
              <w:t>自合同签订之日2个月内，完成全部货物的交付、安装、调试并达</w:t>
            </w:r>
            <w:r>
              <w:rPr>
                <w:rFonts w:hint="eastAsia" w:ascii="宋体" w:hAnsi="宋体" w:cs="宋体"/>
                <w:sz w:val="21"/>
                <w:szCs w:val="21"/>
                <w:lang w:val="en-US" w:eastAsia="zh-CN"/>
              </w:rPr>
              <w:t>初验水平。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jc w:val="both"/>
              <w:rPr>
                <w:rFonts w:hint="eastAsia" w:ascii="宋体" w:hAnsi="宋体" w:cs="宋体"/>
                <w:kern w:val="0"/>
                <w:szCs w:val="21"/>
                <w:lang w:bidi="ar"/>
              </w:rPr>
            </w:pPr>
            <w:r>
              <w:rPr>
                <w:rFonts w:hint="eastAsia" w:ascii="宋体" w:hAnsi="宋体" w:cs="宋体"/>
                <w:kern w:val="0"/>
                <w:szCs w:val="21"/>
                <w:highlight w:val="none"/>
                <w:lang w:bidi="ar"/>
              </w:rPr>
              <w:t>付款方式及条件</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sz w:val="21"/>
                <w:szCs w:val="21"/>
                <w:lang w:val="en-US" w:eastAsia="zh-CN"/>
              </w:rPr>
            </w:pPr>
            <w:r>
              <w:rPr>
                <w:rFonts w:ascii="宋体" w:hAnsi="宋体"/>
                <w:bCs/>
                <w:highlight w:val="none"/>
              </w:rPr>
              <w:t>本项目无预付款，</w:t>
            </w:r>
            <w:r>
              <w:rPr>
                <w:rFonts w:hint="eastAsia" w:ascii="宋体" w:hAnsi="宋体"/>
                <w:bCs/>
                <w:highlight w:val="none"/>
                <w:lang w:val="en-US" w:eastAsia="zh-CN"/>
              </w:rPr>
              <w:t>中标供应商</w:t>
            </w:r>
            <w:r>
              <w:rPr>
                <w:rFonts w:ascii="宋体" w:hAnsi="宋体"/>
                <w:bCs/>
                <w:highlight w:val="none"/>
              </w:rPr>
              <w:t>交货完毕</w:t>
            </w:r>
            <w:r>
              <w:rPr>
                <w:rFonts w:hint="eastAsia" w:ascii="宋体" w:hAnsi="宋体"/>
                <w:bCs/>
                <w:highlight w:val="none"/>
                <w:lang w:eastAsia="zh-CN"/>
              </w:rPr>
              <w:t>，</w:t>
            </w:r>
            <w:r>
              <w:rPr>
                <w:rFonts w:ascii="宋体" w:hAnsi="宋体"/>
                <w:bCs/>
                <w:highlight w:val="none"/>
              </w:rPr>
              <w:t>经</w:t>
            </w:r>
            <w:r>
              <w:rPr>
                <w:rFonts w:hint="eastAsia" w:ascii="宋体" w:hAnsi="宋体"/>
                <w:bCs/>
                <w:highlight w:val="none"/>
                <w:lang w:val="en-US" w:eastAsia="zh-CN"/>
              </w:rPr>
              <w:t>采购人</w:t>
            </w:r>
            <w:r>
              <w:rPr>
                <w:rFonts w:ascii="宋体" w:hAnsi="宋体"/>
                <w:bCs/>
                <w:highlight w:val="none"/>
              </w:rPr>
              <w:t>验收合格后且收到</w:t>
            </w:r>
            <w:r>
              <w:rPr>
                <w:rFonts w:hint="eastAsia" w:ascii="宋体" w:hAnsi="宋体"/>
                <w:bCs/>
                <w:highlight w:val="none"/>
                <w:lang w:val="en-US" w:eastAsia="zh-CN"/>
              </w:rPr>
              <w:t>中标供应商</w:t>
            </w:r>
            <w:r>
              <w:rPr>
                <w:rFonts w:ascii="宋体" w:hAnsi="宋体"/>
                <w:bCs/>
                <w:highlight w:val="none"/>
              </w:rPr>
              <w:t>开具的发票，</w:t>
            </w:r>
            <w:r>
              <w:rPr>
                <w:rFonts w:hint="eastAsia" w:ascii="宋体" w:hAnsi="宋体"/>
                <w:bCs/>
                <w:highlight w:val="none"/>
              </w:rPr>
              <w:t>采购人原则上应当自收到发票后10个工作日内将资金支付</w:t>
            </w:r>
            <w:r>
              <w:rPr>
                <w:rFonts w:hint="eastAsia" w:ascii="宋体" w:hAnsi="宋体"/>
                <w:bCs/>
                <w:highlight w:val="none"/>
                <w:lang w:val="en-US" w:eastAsia="zh-CN"/>
              </w:rPr>
              <w:t>给中标人。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rPr>
                <w:rFonts w:hint="eastAsia" w:ascii="宋体" w:hAnsi="宋体" w:cs="宋体"/>
                <w:szCs w:val="21"/>
              </w:rPr>
            </w:pPr>
            <w:r>
              <w:rPr>
                <w:rFonts w:hint="eastAsia"/>
              </w:rPr>
              <w:t>质保期</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right="181" w:rightChars="0" w:firstLine="0" w:firstLineChars="0"/>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保质期1年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rPr>
                <w:rFonts w:hint="eastAsia" w:ascii="宋体" w:hAnsi="宋体" w:cs="宋体"/>
                <w:szCs w:val="21"/>
                <w:highlight w:val="none"/>
              </w:rPr>
            </w:pPr>
            <w:r>
              <w:rPr>
                <w:rFonts w:hint="eastAsia"/>
                <w:highlight w:val="none"/>
              </w:rPr>
              <w:t>验收标准</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cs="宋体"/>
                <w:szCs w:val="21"/>
                <w:highlight w:val="none"/>
              </w:rPr>
            </w:pPr>
            <w:r>
              <w:rPr>
                <w:rFonts w:hint="eastAsia" w:ascii="宋体" w:hAnsi="宋体" w:cs="宋体"/>
                <w:sz w:val="21"/>
                <w:szCs w:val="21"/>
                <w:highlight w:val="none"/>
                <w:lang w:val="en-US" w:eastAsia="zh-CN"/>
              </w:rPr>
              <w:t>按货物清单满足</w:t>
            </w:r>
            <w:r>
              <w:rPr>
                <w:rFonts w:hint="eastAsia" w:ascii="宋体" w:hAnsi="宋体" w:eastAsia="宋体" w:cs="宋体"/>
                <w:b w:val="0"/>
                <w:bCs w:val="0"/>
                <w:color w:val="auto"/>
                <w:kern w:val="0"/>
                <w:sz w:val="21"/>
                <w:szCs w:val="21"/>
                <w:highlight w:val="none"/>
                <w:lang w:bidi="ar"/>
              </w:rPr>
              <w:t>技术参数、规格及要求</w:t>
            </w:r>
            <w:r>
              <w:rPr>
                <w:rFonts w:hint="eastAsia" w:ascii="宋体" w:hAnsi="宋体" w:cs="宋体"/>
                <w:b w:val="0"/>
                <w:bCs w:val="0"/>
                <w:color w:val="auto"/>
                <w:kern w:val="0"/>
                <w:sz w:val="21"/>
                <w:szCs w:val="21"/>
                <w:highlight w:val="none"/>
                <w:lang w:eastAsia="zh-CN" w:bidi="ar"/>
              </w:rPr>
              <w:t>，</w:t>
            </w:r>
            <w:r>
              <w:rPr>
                <w:rFonts w:hint="eastAsia" w:ascii="宋体" w:hAnsi="宋体" w:cs="宋体"/>
                <w:b w:val="0"/>
                <w:bCs w:val="0"/>
                <w:color w:val="auto"/>
                <w:kern w:val="0"/>
                <w:sz w:val="21"/>
                <w:szCs w:val="21"/>
                <w:highlight w:val="none"/>
                <w:lang w:val="en-US" w:eastAsia="zh-CN" w:bidi="ar"/>
              </w:rPr>
              <w:t>货物能正常使用。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pPr>
            <w:r>
              <w:rPr>
                <w:rFonts w:hint="eastAsia" w:ascii="宋体" w:hAnsi="宋体"/>
                <w:bCs/>
              </w:rPr>
              <w:t>核心产品</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cs="宋体"/>
                <w:szCs w:val="21"/>
              </w:rPr>
            </w:pPr>
            <w:r>
              <w:rPr>
                <w:rFonts w:hint="eastAsia" w:ascii="宋体" w:hAnsi="宋体" w:cs="宋体"/>
                <w:b/>
                <w:bCs/>
                <w:kern w:val="0"/>
                <w:szCs w:val="21"/>
                <w:lang w:bidi="ar"/>
              </w:rPr>
              <w:t xml:space="preserve">本分标 第 </w:t>
            </w:r>
            <w:r>
              <w:rPr>
                <w:rFonts w:hint="eastAsia" w:ascii="宋体" w:hAnsi="宋体" w:cs="宋体"/>
                <w:b/>
                <w:bCs/>
                <w:kern w:val="0"/>
                <w:szCs w:val="21"/>
                <w:u w:val="single"/>
                <w:lang w:val="en-US" w:eastAsia="zh-CN" w:bidi="ar"/>
              </w:rPr>
              <w:t>8</w:t>
            </w:r>
            <w:r>
              <w:rPr>
                <w:rFonts w:hint="eastAsia" w:ascii="宋体" w:hAnsi="宋体" w:cs="宋体"/>
                <w:b/>
                <w:bCs/>
                <w:kern w:val="0"/>
                <w:szCs w:val="21"/>
                <w:u w:val="single"/>
                <w:lang w:bidi="ar"/>
              </w:rPr>
              <w:t xml:space="preserve"> </w:t>
            </w:r>
            <w:r>
              <w:rPr>
                <w:rFonts w:hint="eastAsia" w:ascii="宋体" w:hAnsi="宋体" w:cs="宋体"/>
                <w:b/>
                <w:bCs/>
                <w:kern w:val="0"/>
                <w:szCs w:val="21"/>
                <w:lang w:bidi="ar"/>
              </w:rPr>
              <w:t>项产品“</w:t>
            </w:r>
            <w:r>
              <w:rPr>
                <w:rFonts w:hint="eastAsia" w:ascii="宋体" w:hAnsi="宋体" w:eastAsia="宋体" w:cs="宋体"/>
                <w:b/>
                <w:bCs/>
                <w:i w:val="0"/>
                <w:iCs w:val="0"/>
                <w:color w:val="000000"/>
                <w:kern w:val="0"/>
                <w:sz w:val="21"/>
                <w:szCs w:val="21"/>
                <w:u w:val="single"/>
                <w:lang w:val="en-US" w:eastAsia="zh-CN" w:bidi="ar"/>
              </w:rPr>
              <w:t>一体机黑板</w:t>
            </w:r>
            <w:r>
              <w:rPr>
                <w:rFonts w:hint="eastAsia" w:ascii="宋体" w:hAnsi="宋体" w:cs="宋体"/>
                <w:b/>
                <w:bCs/>
                <w:kern w:val="0"/>
                <w:szCs w:val="21"/>
                <w:lang w:bidi="ar"/>
              </w:rPr>
              <w:t>”为核心产品。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bCs/>
                <w:highlight w:val="none"/>
              </w:rPr>
            </w:pPr>
            <w:r>
              <w:rPr>
                <w:rFonts w:hint="eastAsia" w:ascii="宋体" w:hAnsi="宋体" w:cs="宋体"/>
                <w:color w:val="auto"/>
                <w:kern w:val="0"/>
                <w:szCs w:val="21"/>
                <w:highlight w:val="none"/>
                <w:lang w:bidi="ar"/>
              </w:rPr>
              <w:t>验收标准及要求</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top"/>
          </w:tcPr>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1.验收依据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按合同要求及国家标准进行验收。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2.验收标准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（1）所供产品的规格、数量、功能、材质、颜色等符合招标文件采购需求及采购合同约定的要求。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（2）所供产品的外观完好，无严重碰撞、表皮脱落、五金件生锈等明显瑕疵。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（3）所供产品结构牢固，无安全隐患。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（4）如有抽检要求的，检测结果符合招标文件采购需求及采购合同约定的要求。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（5）所有产品均已运输至指定地点，并安装调试完毕。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（6）招标文件采购需求及采购合同约定的附件、工具、技术资料等齐全；提供产品使用说明书、合格证。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3.验收要求 </w:t>
            </w:r>
          </w:p>
          <w:p>
            <w:pPr>
              <w:widowControl/>
              <w:ind w:firstLine="0" w:firstLineChars="0"/>
              <w:jc w:val="left"/>
              <w:rPr>
                <w:color w:val="auto"/>
                <w:highlight w:val="none"/>
              </w:rPr>
            </w:pPr>
            <w:r>
              <w:rPr>
                <w:rFonts w:hint="eastAsia" w:ascii="宋体" w:hAnsi="宋体" w:cs="宋体"/>
                <w:color w:val="auto"/>
                <w:kern w:val="0"/>
                <w:szCs w:val="21"/>
                <w:highlight w:val="none"/>
                <w:lang w:bidi="ar"/>
              </w:rPr>
              <w:t>（1）采购人可以根据采购项目具体情况自行组织验收，或者委托第三方机构或部门开展采购项目履约验收工作。</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2）本项目验收如委托第三方机构组织实施的，由验收小组对照招标文件的技术参数要求核对检验，如不符合招标文件的技术参数要求的，按合同约定执行，中标人承担所有责任和费用。采购人保留进一步追究责任的权利。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①验收活动开始前，中标人应对货物作出全面检查和对验收文件进行整理，并列出清单，作为采购人收货验收和使用的技术条件依据。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②因验收不合格的，需要再次组织验收的，由此产生相关成本费用由中标人承担。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（3）验收时中标人提供验收文档，具体如下：技术方案、实施方案、售后服务方案、培训方案、系统部署文档、测试文档、使用说明书、电子文档等。 </w:t>
            </w:r>
          </w:p>
          <w:p>
            <w:pPr>
              <w:widowControl/>
              <w:ind w:firstLine="0" w:firstLineChars="0"/>
              <w:jc w:val="left"/>
              <w:rPr>
                <w:rFonts w:hint="eastAsia" w:ascii="宋体" w:hAnsi="宋体" w:cs="宋体"/>
                <w:b/>
                <w:bCs/>
                <w:kern w:val="0"/>
                <w:szCs w:val="21"/>
                <w:highlight w:val="none"/>
                <w:lang w:bidi="ar"/>
              </w:rPr>
            </w:pPr>
            <w:r>
              <w:rPr>
                <w:rFonts w:hint="eastAsia" w:ascii="宋体" w:hAnsi="宋体" w:cs="宋体"/>
                <w:color w:val="auto"/>
                <w:kern w:val="0"/>
                <w:szCs w:val="21"/>
                <w:highlight w:val="none"/>
                <w:lang w:bidi="ar"/>
              </w:rPr>
              <w:t>（4）对所有要求出具的证明文件的原件进行核查</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提供虚假承诺的，按相关规定做退货处理及违约处理，中标人承担所有责任和费用，采购人保留进一步追究责任的权利。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b w:val="0"/>
                <w:bCs w:val="0"/>
                <w:color w:val="auto"/>
                <w:kern w:val="0"/>
                <w:sz w:val="21"/>
                <w:szCs w:val="21"/>
                <w:highlight w:val="none"/>
                <w:lang w:val="en-US" w:eastAsia="zh-CN" w:bidi="ar"/>
              </w:rPr>
              <w:t>现场踏勘</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为保证报价符合采购需求，投标人应在采购人组织下进行实地勘查了解现场实际情况。供应商的现场踏勘实行自愿原则，费用自理。现场勘查须携带的资料：供应商代表持获取采购文件回执函、单位介绍信原件或授权委托书、个人身份证原件。</w:t>
            </w:r>
          </w:p>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踏勘时间：202</w:t>
            </w:r>
            <w:r>
              <w:rPr>
                <w:rFonts w:hint="eastAsia" w:ascii="宋体" w:hAnsi="宋体" w:cs="宋体"/>
                <w:color w:val="auto"/>
                <w:spacing w:val="0"/>
                <w:kern w:val="2"/>
                <w:sz w:val="22"/>
                <w:szCs w:val="24"/>
                <w:highlight w:val="none"/>
                <w:lang w:val="en-US" w:eastAsia="zh-CN" w:bidi="ar-SA"/>
              </w:rPr>
              <w:t>5</w:t>
            </w:r>
            <w:r>
              <w:rPr>
                <w:rFonts w:hint="eastAsia" w:ascii="宋体" w:hAnsi="宋体" w:eastAsia="宋体" w:cs="宋体"/>
                <w:color w:val="auto"/>
                <w:spacing w:val="0"/>
                <w:kern w:val="2"/>
                <w:sz w:val="22"/>
                <w:szCs w:val="24"/>
                <w:highlight w:val="none"/>
                <w:lang w:val="en-US" w:eastAsia="zh-CN" w:bidi="ar-SA"/>
              </w:rPr>
              <w:t>年</w:t>
            </w:r>
            <w:r>
              <w:rPr>
                <w:rFonts w:hint="eastAsia" w:ascii="宋体" w:hAnsi="宋体" w:cs="宋体"/>
                <w:color w:val="auto"/>
                <w:spacing w:val="0"/>
                <w:kern w:val="2"/>
                <w:sz w:val="22"/>
                <w:szCs w:val="24"/>
                <w:highlight w:val="none"/>
                <w:lang w:val="en-US" w:eastAsia="zh-CN" w:bidi="ar-SA"/>
              </w:rPr>
              <w:t>10</w:t>
            </w:r>
            <w:r>
              <w:rPr>
                <w:rFonts w:hint="eastAsia" w:ascii="宋体" w:hAnsi="宋体" w:eastAsia="宋体" w:cs="宋体"/>
                <w:color w:val="auto"/>
                <w:spacing w:val="0"/>
                <w:kern w:val="2"/>
                <w:sz w:val="22"/>
                <w:szCs w:val="24"/>
                <w:highlight w:val="none"/>
                <w:lang w:val="en-US" w:eastAsia="zh-CN" w:bidi="ar-SA"/>
              </w:rPr>
              <w:t>月</w:t>
            </w:r>
            <w:r>
              <w:rPr>
                <w:rFonts w:hint="eastAsia" w:ascii="宋体" w:hAnsi="宋体" w:cs="宋体"/>
                <w:color w:val="auto"/>
                <w:spacing w:val="0"/>
                <w:kern w:val="2"/>
                <w:sz w:val="22"/>
                <w:szCs w:val="24"/>
                <w:highlight w:val="none"/>
                <w:lang w:val="en-US" w:eastAsia="zh-CN" w:bidi="ar-SA"/>
              </w:rPr>
              <w:t>16</w:t>
            </w:r>
            <w:r>
              <w:rPr>
                <w:rFonts w:hint="eastAsia" w:ascii="宋体" w:hAnsi="宋体" w:eastAsia="宋体" w:cs="宋体"/>
                <w:color w:val="auto"/>
                <w:spacing w:val="0"/>
                <w:kern w:val="2"/>
                <w:sz w:val="22"/>
                <w:szCs w:val="24"/>
                <w:highlight w:val="none"/>
                <w:lang w:val="en-US" w:eastAsia="zh-CN" w:bidi="ar-SA"/>
              </w:rPr>
              <w:t>日上午10:50分（逾期不候）</w:t>
            </w:r>
          </w:p>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集合地点：浦北县县城金浦新区科园路1号  </w:t>
            </w:r>
          </w:p>
          <w:p>
            <w:pPr>
              <w:pStyle w:val="20"/>
              <w:ind w:firstLine="440" w:firstLineChars="200"/>
              <w:rPr>
                <w:rFonts w:hint="eastAsia" w:ascii="宋体" w:hAnsi="宋体" w:cs="宋体"/>
                <w:color w:val="auto"/>
                <w:kern w:val="0"/>
                <w:szCs w:val="21"/>
                <w:highlight w:val="none"/>
                <w:lang w:bidi="ar"/>
              </w:rPr>
            </w:pPr>
            <w:r>
              <w:rPr>
                <w:rFonts w:hint="eastAsia" w:ascii="宋体" w:hAnsi="宋体" w:eastAsia="宋体" w:cs="宋体"/>
                <w:color w:val="auto"/>
                <w:spacing w:val="0"/>
                <w:kern w:val="2"/>
                <w:sz w:val="22"/>
                <w:szCs w:val="24"/>
                <w:highlight w:val="none"/>
                <w:lang w:val="en-US" w:eastAsia="zh-CN" w:bidi="ar-SA"/>
              </w:rPr>
              <w:t>现场踏勘联系人及电话：</w:t>
            </w:r>
            <w:r>
              <w:rPr>
                <w:rFonts w:hint="eastAsia" w:ascii="宋体" w:hAnsi="宋体" w:cs="宋体"/>
                <w:color w:val="auto"/>
                <w:spacing w:val="0"/>
                <w:kern w:val="2"/>
                <w:sz w:val="22"/>
                <w:szCs w:val="24"/>
                <w:highlight w:val="none"/>
                <w:lang w:val="en-US" w:eastAsia="zh-CN" w:bidi="ar-SA"/>
              </w:rPr>
              <w:t>谢老师</w:t>
            </w:r>
            <w:r>
              <w:rPr>
                <w:rFonts w:hint="eastAsia" w:ascii="宋体" w:hAnsi="宋体" w:eastAsia="宋体" w:cs="宋体"/>
                <w:color w:val="auto"/>
                <w:spacing w:val="0"/>
                <w:kern w:val="2"/>
                <w:sz w:val="22"/>
                <w:szCs w:val="24"/>
                <w:highlight w:val="none"/>
                <w:lang w:val="en-US" w:eastAsia="zh-CN" w:bidi="ar-SA"/>
              </w:rPr>
              <w:t xml:space="preserve">，18778872765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top"/>
          </w:tcPr>
          <w:p>
            <w:pPr>
              <w:tabs>
                <w:tab w:val="left" w:pos="361"/>
              </w:tabs>
              <w:spacing w:line="400" w:lineRule="exact"/>
              <w:ind w:left="0" w:leftChars="0" w:firstLine="0" w:firstLineChars="0"/>
              <w:jc w:val="left"/>
              <w:rPr>
                <w:rFonts w:hint="eastAsia" w:ascii="宋体" w:hAnsi="宋体" w:cs="宋体"/>
                <w:b w:val="0"/>
                <w:bCs w:val="0"/>
                <w:color w:val="auto"/>
                <w:kern w:val="0"/>
                <w:sz w:val="21"/>
                <w:szCs w:val="21"/>
                <w:highlight w:val="none"/>
                <w:lang w:val="en-US" w:eastAsia="zh-CN" w:bidi="ar"/>
              </w:rPr>
            </w:pPr>
            <w:r>
              <w:rPr>
                <w:rFonts w:hint="eastAsia" w:ascii="宋体" w:hAnsi="宋体" w:cs="宋体"/>
                <w:color w:val="auto"/>
                <w:spacing w:val="0"/>
                <w:kern w:val="2"/>
                <w:sz w:val="21"/>
                <w:szCs w:val="21"/>
                <w:highlight w:val="none"/>
                <w:lang w:val="en-US" w:eastAsia="zh-CN" w:bidi="ar-SA"/>
              </w:rPr>
              <w:t>其他要求</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400" w:lineRule="exact"/>
              <w:ind w:firstLine="42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cs="宋体"/>
                <w:color w:val="auto"/>
                <w:spacing w:val="0"/>
                <w:kern w:val="2"/>
                <w:sz w:val="21"/>
                <w:szCs w:val="21"/>
                <w:highlight w:val="none"/>
                <w:lang w:val="en-US" w:eastAsia="zh-CN" w:bidi="ar-SA"/>
              </w:rPr>
              <w:t>投标人在政府采购活动中提供任何虚假材料，以及提供的产品技术参数不如实说明，报监管部门查处。</w:t>
            </w:r>
          </w:p>
        </w:tc>
      </w:tr>
    </w:tbl>
    <w:p>
      <w:pPr>
        <w:ind w:firstLine="420"/>
      </w:pPr>
      <w:r>
        <w:br w:type="page"/>
      </w:r>
    </w:p>
    <w:p>
      <w:pPr>
        <w:pStyle w:val="61"/>
        <w:ind w:firstLine="420"/>
      </w:pPr>
    </w:p>
    <w:p>
      <w:pPr>
        <w:pStyle w:val="20"/>
        <w:ind w:firstLine="48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pStyle w:val="46"/>
        <w:ind w:left="0" w:leftChars="0" w:right="0" w:rightChars="0" w:firstLine="0" w:firstLineChars="0"/>
        <w:jc w:val="center"/>
      </w:pPr>
      <w:bookmarkStart w:id="99" w:name="_Toc91512285"/>
      <w:r>
        <w:rPr>
          <w:rFonts w:hint="eastAsia"/>
        </w:rPr>
        <w:t>第三章  投标人须知及前附表</w:t>
      </w:r>
      <w:bookmarkEnd w:id="74"/>
      <w:bookmarkEnd w:id="99"/>
    </w:p>
    <w:p>
      <w:pPr>
        <w:pStyle w:val="4"/>
        <w:ind w:firstLine="0" w:firstLineChars="0"/>
        <w:jc w:val="center"/>
        <w:rPr>
          <w:rFonts w:hint="eastAsia" w:ascii="宋体" w:hAnsi="宋体" w:eastAsia="宋体"/>
          <w:kern w:val="44"/>
          <w:sz w:val="44"/>
          <w:szCs w:val="44"/>
        </w:rPr>
      </w:pPr>
      <w:r>
        <w:rPr>
          <w:rFonts w:ascii="方正小标宋_GBK" w:hAnsi="方正小标宋_GBK" w:eastAsia="方正小标宋_GBK"/>
        </w:rPr>
        <w:br w:type="page"/>
      </w:r>
      <w:r>
        <w:rPr>
          <w:rFonts w:hint="eastAsia" w:ascii="宋体" w:hAnsi="宋体" w:eastAsia="宋体"/>
          <w:kern w:val="44"/>
          <w:sz w:val="44"/>
          <w:szCs w:val="44"/>
        </w:rPr>
        <w:t>投标人须知前附表</w:t>
      </w:r>
    </w:p>
    <w:tbl>
      <w:tblPr>
        <w:tblStyle w:val="49"/>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0" w:firstLineChars="0"/>
              <w:jc w:val="center"/>
              <w:rPr>
                <w:rFonts w:hint="eastAsia" w:ascii="宋体" w:hAnsi="宋体"/>
                <w:b/>
                <w:szCs w:val="21"/>
              </w:rPr>
            </w:pPr>
            <w:r>
              <w:rPr>
                <w:rFonts w:hint="eastAsia" w:ascii="宋体" w:hAnsi="宋体"/>
                <w:b/>
                <w:szCs w:val="21"/>
              </w:rPr>
              <w:t>序号</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0" w:firstLineChars="0"/>
              <w:jc w:val="center"/>
              <w:rPr>
                <w:rFonts w:hint="eastAsia" w:ascii="宋体" w:hAnsi="宋体"/>
                <w:b/>
                <w:szCs w:val="21"/>
              </w:rPr>
            </w:pPr>
            <w:r>
              <w:rPr>
                <w:rFonts w:hint="eastAsia" w:ascii="宋体" w:hAnsi="宋体"/>
                <w:b/>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pPr>
            <w:r>
              <w:t>1</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Style w:val="58"/>
                <w:rFonts w:hint="eastAsia" w:ascii="宋体" w:hAnsi="宋体" w:cs="Arial"/>
                <w:bCs/>
                <w:color w:val="auto"/>
                <w:szCs w:val="21"/>
                <w:u w:val="none"/>
              </w:rPr>
            </w:pPr>
            <w:r>
              <w:rPr>
                <w:rFonts w:hAnsi="宋体"/>
              </w:rPr>
              <w:fldChar w:fldCharType="begin"/>
            </w:r>
            <w:r>
              <w:rPr>
                <w:rFonts w:hAnsi="宋体"/>
              </w:rPr>
              <w:instrText xml:space="preserve"> </w:instrText>
            </w:r>
            <w:r>
              <w:rPr>
                <w:rFonts w:hint="eastAsia" w:hAnsi="宋体"/>
              </w:rPr>
              <w:instrText xml:space="preserve">HYPERLINK </w:instrText>
            </w:r>
            <w:r>
              <w:rPr>
                <w:rFonts w:hAnsi="宋体"/>
              </w:rPr>
              <w:instrText xml:space="preserve"> \l "_一、总__则" </w:instrText>
            </w:r>
            <w:r>
              <w:rPr>
                <w:rFonts w:hAnsi="宋体"/>
              </w:rPr>
              <w:fldChar w:fldCharType="separate"/>
            </w:r>
            <w:r>
              <w:rPr>
                <w:rStyle w:val="58"/>
                <w:rFonts w:hint="eastAsia" w:hAnsi="宋体"/>
                <w:color w:val="auto"/>
                <w:u w:val="none"/>
              </w:rPr>
              <w:t>项目名称：2025年中等职业学校办学条件达标项目建设</w:t>
            </w:r>
          </w:p>
          <w:p>
            <w:pPr>
              <w:snapToGrid w:val="0"/>
              <w:spacing w:line="340" w:lineRule="exact"/>
              <w:ind w:firstLine="8" w:firstLineChars="4"/>
              <w:rPr>
                <w:rFonts w:hint="eastAsia" w:hAnsi="宋体"/>
              </w:rPr>
            </w:pPr>
            <w:r>
              <w:rPr>
                <w:rStyle w:val="58"/>
                <w:rFonts w:hint="eastAsia" w:ascii="宋体" w:hAnsi="宋体"/>
                <w:color w:val="auto"/>
                <w:u w:val="none"/>
              </w:rPr>
              <w:t>项目编号：</w:t>
            </w:r>
            <w:r>
              <w:rPr>
                <w:rFonts w:hAnsi="宋体"/>
              </w:rPr>
              <w:fldChar w:fldCharType="end"/>
            </w:r>
            <w:r>
              <w:rPr>
                <w:rFonts w:hint="eastAsia" w:hAnsi="宋体"/>
              </w:rPr>
              <w:t>QZZC2025-G1-220187-QZSZ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pPr>
            <w:r>
              <w:t>2</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Style w:val="58"/>
                <w:rFonts w:hint="eastAsia" w:ascii="宋体" w:hAnsi="宋体"/>
                <w:color w:val="auto"/>
                <w:u w:val="none"/>
              </w:rPr>
            </w:pPr>
            <w:r>
              <w:rPr>
                <w:rStyle w:val="58"/>
                <w:rFonts w:ascii="宋体" w:hAnsi="宋体"/>
                <w:color w:val="auto"/>
                <w:u w:val="none"/>
              </w:rPr>
              <w:fldChar w:fldCharType="begin"/>
            </w:r>
            <w:r>
              <w:rPr>
                <w:rStyle w:val="58"/>
                <w:rFonts w:ascii="宋体" w:hAnsi="宋体"/>
                <w:color w:val="auto"/>
                <w:u w:val="none"/>
              </w:rPr>
              <w:instrText xml:space="preserve"> </w:instrText>
            </w:r>
            <w:r>
              <w:rPr>
                <w:rStyle w:val="58"/>
                <w:rFonts w:hint="eastAsia" w:ascii="宋体" w:hAnsi="宋体"/>
                <w:color w:val="auto"/>
                <w:u w:val="none"/>
              </w:rPr>
              <w:instrText xml:space="preserve">HYPERLINK </w:instrText>
            </w:r>
            <w:r>
              <w:rPr>
                <w:rStyle w:val="58"/>
                <w:rFonts w:ascii="宋体" w:hAnsi="宋体"/>
                <w:color w:val="auto"/>
                <w:u w:val="none"/>
              </w:rPr>
              <w:instrText xml:space="preserve"> \l "_一、总__则" </w:instrText>
            </w:r>
            <w:r>
              <w:rPr>
                <w:rStyle w:val="58"/>
                <w:rFonts w:ascii="宋体" w:hAnsi="宋体"/>
                <w:color w:val="auto"/>
                <w:u w:val="none"/>
              </w:rPr>
              <w:fldChar w:fldCharType="separate"/>
            </w:r>
            <w:r>
              <w:rPr>
                <w:rStyle w:val="58"/>
                <w:rFonts w:hint="eastAsia" w:ascii="宋体" w:hAnsi="宋体"/>
                <w:color w:val="auto"/>
                <w:u w:val="none"/>
              </w:rPr>
              <w:t>投标人资格：</w:t>
            </w:r>
          </w:p>
          <w:p>
            <w:pPr>
              <w:spacing w:line="340" w:lineRule="exact"/>
              <w:ind w:firstLine="0" w:firstLineChars="0"/>
              <w:rPr>
                <w:rStyle w:val="58"/>
                <w:rFonts w:hint="eastAsia" w:ascii="宋体" w:hAnsi="宋体"/>
                <w:color w:val="auto"/>
                <w:u w:val="none"/>
              </w:rPr>
            </w:pPr>
            <w:r>
              <w:rPr>
                <w:rStyle w:val="58"/>
                <w:rFonts w:hint="eastAsia" w:ascii="宋体" w:hAnsi="宋体"/>
                <w:color w:val="auto"/>
                <w:u w:val="none"/>
              </w:rPr>
              <w:t>1.满足《中华人民共和国政府采购法》第二十二条规定</w:t>
            </w:r>
          </w:p>
          <w:p>
            <w:pPr>
              <w:spacing w:line="340" w:lineRule="exact"/>
              <w:ind w:firstLine="0" w:firstLineChars="0"/>
              <w:rPr>
                <w:rStyle w:val="58"/>
                <w:rFonts w:hint="eastAsia" w:ascii="宋体" w:hAnsi="宋体"/>
                <w:color w:val="auto"/>
                <w:u w:val="none"/>
              </w:rPr>
            </w:pPr>
            <w:r>
              <w:rPr>
                <w:rStyle w:val="58"/>
                <w:rFonts w:hint="eastAsia" w:ascii="宋体" w:hAnsi="宋体"/>
                <w:color w:val="auto"/>
                <w:u w:val="none"/>
              </w:rPr>
              <w:t>2.落实政府采购政策需满足的资格要求：无</w:t>
            </w:r>
          </w:p>
          <w:p>
            <w:pPr>
              <w:spacing w:line="340" w:lineRule="exact"/>
              <w:ind w:firstLine="0" w:firstLineChars="0"/>
              <w:rPr>
                <w:rFonts w:hint="eastAsia" w:ascii="宋体" w:hAnsi="宋体"/>
              </w:rPr>
            </w:pPr>
            <w:r>
              <w:rPr>
                <w:rStyle w:val="58"/>
                <w:rFonts w:hint="eastAsia" w:ascii="宋体" w:hAnsi="宋体"/>
                <w:color w:val="auto"/>
                <w:u w:val="none"/>
              </w:rPr>
              <w:t>3.本项目的特定资格要求：无</w:t>
            </w:r>
            <w:r>
              <w:rPr>
                <w:rStyle w:val="58"/>
                <w:rFonts w:ascii="宋体" w:hAnsi="宋体"/>
                <w:color w:val="auto"/>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pPr>
            <w:r>
              <w:t>3</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szCs w:val="21"/>
              </w:rPr>
            </w:pPr>
            <w:r>
              <w:fldChar w:fldCharType="begin"/>
            </w:r>
            <w:r>
              <w:instrText xml:space="preserve"> HYPERLINK \l "_三、投标文件" </w:instrText>
            </w:r>
            <w:r>
              <w:fldChar w:fldCharType="separate"/>
            </w:r>
            <w:r>
              <w:rPr>
                <w:rStyle w:val="58"/>
                <w:rFonts w:hint="eastAsia" w:ascii="宋体" w:hAnsi="宋体"/>
                <w:color w:val="auto"/>
                <w:szCs w:val="21"/>
                <w:u w:val="none"/>
              </w:rPr>
              <w:t>投标文件组成</w:t>
            </w:r>
            <w:bookmarkStart w:id="100" w:name="_Hlt92979199"/>
            <w:r>
              <w:rPr>
                <w:rStyle w:val="58"/>
                <w:rFonts w:hint="eastAsia" w:ascii="宋体" w:hAnsi="宋体"/>
                <w:color w:val="auto"/>
                <w:szCs w:val="21"/>
                <w:u w:val="none"/>
              </w:rPr>
              <w:t>：</w:t>
            </w:r>
            <w:bookmarkEnd w:id="100"/>
            <w:r>
              <w:rPr>
                <w:rStyle w:val="58"/>
                <w:rFonts w:hint="eastAsia" w:ascii="宋体" w:hAnsi="宋体" w:cs="Arial"/>
                <w:color w:val="auto"/>
                <w:szCs w:val="21"/>
                <w:u w:val="none"/>
              </w:rPr>
              <w:t>资格</w:t>
            </w:r>
            <w:bookmarkStart w:id="101" w:name="_Hlt92979142"/>
            <w:r>
              <w:rPr>
                <w:rStyle w:val="58"/>
                <w:rFonts w:hint="eastAsia" w:ascii="宋体" w:hAnsi="宋体" w:cs="Arial"/>
                <w:color w:val="auto"/>
                <w:szCs w:val="21"/>
                <w:u w:val="none"/>
              </w:rPr>
              <w:t>文</w:t>
            </w:r>
            <w:bookmarkEnd w:id="101"/>
            <w:r>
              <w:rPr>
                <w:rStyle w:val="58"/>
                <w:rFonts w:hint="eastAsia" w:ascii="宋体" w:hAnsi="宋体" w:cs="Arial"/>
                <w:color w:val="auto"/>
                <w:szCs w:val="21"/>
                <w:u w:val="none"/>
              </w:rPr>
              <w:t>件、商务技术文件、</w:t>
            </w:r>
            <w:r>
              <w:rPr>
                <w:rStyle w:val="58"/>
                <w:rFonts w:hint="eastAsia" w:ascii="宋体" w:hAnsi="宋体"/>
                <w:color w:val="auto"/>
                <w:szCs w:val="21"/>
                <w:u w:val="none"/>
              </w:rPr>
              <w:t>报价文件。</w:t>
            </w:r>
            <w:r>
              <w:rPr>
                <w:rStyle w:val="58"/>
                <w:rFonts w:hint="eastAsia" w:ascii="宋体" w:hAnsi="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pPr>
            <w:r>
              <w:t>4</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hAnsi="宋体"/>
              </w:rPr>
            </w:pPr>
            <w:r>
              <w:fldChar w:fldCharType="begin"/>
            </w:r>
            <w:r>
              <w:instrText xml:space="preserve"> HYPERLINK \l "_（五）投标报价" </w:instrText>
            </w:r>
            <w:r>
              <w:fldChar w:fldCharType="separate"/>
            </w:r>
            <w:r>
              <w:rPr>
                <w:rStyle w:val="58"/>
                <w:rFonts w:hint="eastAsia" w:hAnsi="宋体"/>
                <w:color w:val="auto"/>
                <w:u w:val="none"/>
              </w:rPr>
              <w:t>投标报价：投标人</w:t>
            </w:r>
            <w:r>
              <w:rPr>
                <w:rStyle w:val="58"/>
                <w:rFonts w:hint="eastAsia"/>
                <w:color w:val="auto"/>
                <w:u w:val="none"/>
              </w:rPr>
              <w:t>必须就本项目/标项货物及服务内容作完整唯一报价，否则投标无效。</w:t>
            </w:r>
            <w:r>
              <w:rPr>
                <w:rStyle w:val="58"/>
                <w:rFonts w:hint="eastAsia"/>
                <w:color w:val="auto"/>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pPr>
            <w:r>
              <w:t>5</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hAnsi="宋体"/>
              </w:rPr>
            </w:pPr>
            <w:r>
              <w:fldChar w:fldCharType="begin"/>
            </w:r>
            <w:r>
              <w:instrText xml:space="preserve"> HYPERLINK \l "_（六）投标文件有效期" </w:instrText>
            </w:r>
            <w:r>
              <w:fldChar w:fldCharType="separate"/>
            </w:r>
            <w:r>
              <w:rPr>
                <w:rStyle w:val="58"/>
                <w:rFonts w:hint="eastAsia" w:hAnsi="宋体"/>
                <w:color w:val="auto"/>
                <w:u w:val="none"/>
              </w:rPr>
              <w:t>投标有效</w:t>
            </w:r>
            <w:bookmarkStart w:id="102" w:name="_Hlt113541150"/>
            <w:bookmarkStart w:id="103" w:name="_Hlt113541149"/>
            <w:r>
              <w:rPr>
                <w:rStyle w:val="58"/>
                <w:rFonts w:hint="eastAsia" w:hAnsi="宋体"/>
                <w:color w:val="auto"/>
                <w:u w:val="none"/>
              </w:rPr>
              <w:t>期</w:t>
            </w:r>
            <w:bookmarkEnd w:id="102"/>
            <w:bookmarkEnd w:id="103"/>
            <w:r>
              <w:rPr>
                <w:rStyle w:val="58"/>
                <w:rFonts w:hint="eastAsia" w:hAnsi="宋体"/>
                <w:color w:val="auto"/>
                <w:u w:val="none"/>
              </w:rPr>
              <w:t>：9</w:t>
            </w:r>
            <w:r>
              <w:rPr>
                <w:rStyle w:val="58"/>
                <w:rFonts w:hAnsi="宋体"/>
                <w:color w:val="auto"/>
                <w:u w:val="none"/>
              </w:rPr>
              <w:t>0</w:t>
            </w:r>
            <w:bookmarkStart w:id="104" w:name="_Hlt113541412"/>
            <w:r>
              <w:rPr>
                <w:rStyle w:val="58"/>
                <w:rFonts w:hint="eastAsia" w:hAnsi="宋体"/>
                <w:color w:val="auto"/>
                <w:u w:val="none"/>
              </w:rPr>
              <w:t>天</w:t>
            </w:r>
            <w:bookmarkEnd w:id="104"/>
            <w:r>
              <w:rPr>
                <w:rStyle w:val="58"/>
                <w:rFonts w:hint="eastAsia" w:hAnsi="宋体"/>
                <w:color w:val="auto"/>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pPr>
            <w:r>
              <w:t>6</w:t>
            </w:r>
          </w:p>
        </w:tc>
        <w:tc>
          <w:tcPr>
            <w:tcW w:w="921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Style w:val="58"/>
                <w:rFonts w:hint="eastAsia" w:ascii="宋体" w:hAnsi="宋体" w:cs="宋体"/>
                <w:color w:val="auto"/>
                <w:kern w:val="0"/>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"_（七）投标保证金" </w:instrText>
            </w:r>
            <w:r>
              <w:rPr>
                <w:rFonts w:ascii="宋体" w:hAnsi="宋体" w:cs="宋体"/>
                <w:kern w:val="0"/>
                <w:szCs w:val="21"/>
              </w:rPr>
              <w:fldChar w:fldCharType="separate"/>
            </w:r>
            <w:r>
              <w:rPr>
                <w:rStyle w:val="58"/>
                <w:rFonts w:hint="eastAsia" w:ascii="宋体" w:hAnsi="宋体" w:cs="宋体"/>
                <w:color w:val="auto"/>
                <w:kern w:val="0"/>
                <w:szCs w:val="21"/>
                <w:u w:val="none"/>
              </w:rPr>
              <w:t>投标保证金：标项一：贰万元整(￥20,000.00)、标项二：陆仟伍佰元整(￥6500.00)、</w:t>
            </w:r>
            <w:r>
              <w:rPr>
                <w:rFonts w:hint="eastAsia"/>
                <w:color w:val="000000"/>
              </w:rPr>
              <w:t>标项三：肆仟伍佰元整(￥4500.00)、标项四：壹仟元整(￥1000.00)</w:t>
            </w:r>
          </w:p>
          <w:p>
            <w:pPr>
              <w:widowControl/>
              <w:ind w:firstLine="0" w:firstLineChars="0"/>
              <w:rPr>
                <w:rStyle w:val="58"/>
                <w:rFonts w:ascii="宋体"/>
                <w:color w:val="auto"/>
                <w:szCs w:val="21"/>
                <w:u w:val="none"/>
              </w:rPr>
            </w:pPr>
            <w:r>
              <w:rPr>
                <w:rStyle w:val="58"/>
                <w:rFonts w:hint="eastAsia" w:ascii="宋体"/>
                <w:color w:val="auto"/>
                <w:szCs w:val="21"/>
                <w:u w:val="none"/>
              </w:rPr>
              <w:t>注：</w:t>
            </w:r>
            <w:r>
              <w:rPr>
                <w:rStyle w:val="58"/>
                <w:rFonts w:hint="eastAsia"/>
                <w:color w:val="auto"/>
                <w:szCs w:val="21"/>
                <w:u w:val="none"/>
              </w:rPr>
              <w:t>1.</w:t>
            </w:r>
            <w:r>
              <w:rPr>
                <w:rStyle w:val="58"/>
                <w:rFonts w:hint="eastAsia"/>
                <w:color w:val="auto"/>
                <w:u w:val="none"/>
              </w:rPr>
              <w:t>以支票、汇票、本票或者金融机构、担保机构出具的保函等形式提交保证金的，</w:t>
            </w:r>
            <w:r>
              <w:rPr>
                <w:rStyle w:val="58"/>
                <w:rFonts w:hint="eastAsia"/>
                <w:b/>
                <w:bCs/>
                <w:color w:val="auto"/>
                <w:u w:val="none"/>
              </w:rPr>
              <w:t>投标人必须将</w:t>
            </w:r>
            <w:bookmarkStart w:id="105" w:name="_Hlk94188895"/>
            <w:r>
              <w:rPr>
                <w:rStyle w:val="58"/>
                <w:rFonts w:hint="eastAsia"/>
                <w:b/>
                <w:bCs/>
                <w:color w:val="auto"/>
                <w:u w:val="none"/>
              </w:rPr>
              <w:t>票据、保函</w:t>
            </w:r>
            <w:bookmarkEnd w:id="105"/>
            <w:r>
              <w:rPr>
                <w:rStyle w:val="58"/>
                <w:rFonts w:hint="eastAsia"/>
                <w:b/>
                <w:bCs/>
                <w:color w:val="auto"/>
                <w:u w:val="none"/>
              </w:rPr>
              <w:t>等原件于投标文件提交截止时间前递交至本中心财务室</w:t>
            </w:r>
            <w:r>
              <w:rPr>
                <w:rStyle w:val="58"/>
                <w:rFonts w:hint="eastAsia"/>
                <w:color w:val="auto"/>
                <w:u w:val="none"/>
              </w:rPr>
              <w:t>。</w:t>
            </w:r>
          </w:p>
          <w:p>
            <w:pPr>
              <w:autoSpaceDE w:val="0"/>
              <w:autoSpaceDN w:val="0"/>
              <w:snapToGrid w:val="0"/>
              <w:ind w:firstLine="8" w:firstLineChars="4"/>
              <w:textAlignment w:val="bottom"/>
              <w:rPr>
                <w:rFonts w:hint="eastAsia" w:ascii="宋体" w:hAnsi="宋体"/>
                <w:szCs w:val="21"/>
              </w:rPr>
            </w:pPr>
            <w:r>
              <w:rPr>
                <w:rStyle w:val="58"/>
                <w:rFonts w:hint="eastAsia"/>
                <w:color w:val="auto"/>
                <w:u w:val="none"/>
              </w:rPr>
              <w:t>2.</w:t>
            </w:r>
            <w:r>
              <w:rPr>
                <w:rStyle w:val="58"/>
                <w:rFonts w:hint="eastAsia"/>
                <w:color w:val="auto"/>
                <w:szCs w:val="21"/>
                <w:u w:val="none"/>
              </w:rPr>
              <w:t>以网上银行</w:t>
            </w:r>
            <w:r>
              <w:rPr>
                <w:rStyle w:val="58"/>
                <w:rFonts w:hint="eastAsia" w:ascii="宋体" w:hAnsi="宋体"/>
                <w:color w:val="auto"/>
                <w:szCs w:val="21"/>
                <w:u w:val="none"/>
              </w:rPr>
              <w:t>形</w:t>
            </w:r>
            <w:r>
              <w:rPr>
                <w:rStyle w:val="58"/>
                <w:rFonts w:hint="eastAsia"/>
                <w:color w:val="auto"/>
                <w:szCs w:val="21"/>
                <w:u w:val="none"/>
              </w:rPr>
              <w:t>式提交保证金的，投标人必须于投标文件提交截止时间前从投标人账户缴存至本中心银行账户（以到</w:t>
            </w:r>
            <w:bookmarkStart w:id="106" w:name="_Hlt169688195"/>
            <w:r>
              <w:rPr>
                <w:rStyle w:val="58"/>
                <w:rFonts w:hint="eastAsia"/>
                <w:color w:val="auto"/>
                <w:szCs w:val="21"/>
                <w:u w:val="none"/>
              </w:rPr>
              <w:t>账</w:t>
            </w:r>
            <w:bookmarkEnd w:id="106"/>
            <w:r>
              <w:rPr>
                <w:rStyle w:val="58"/>
                <w:rFonts w:hint="eastAsia"/>
                <w:color w:val="auto"/>
                <w:szCs w:val="21"/>
                <w:u w:val="none"/>
              </w:rPr>
              <w:t>时间为准）。</w:t>
            </w:r>
            <w:r>
              <w:rPr>
                <w:rFonts w:ascii="宋体" w:hAnsi="宋体" w:cs="宋体"/>
                <w:kern w:val="0"/>
                <w:szCs w:val="21"/>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pPr>
            <w:r>
              <w:t>7</w:t>
            </w:r>
          </w:p>
        </w:tc>
        <w:tc>
          <w:tcPr>
            <w:tcW w:w="9214" w:type="dxa"/>
            <w:tcBorders>
              <w:top w:val="single" w:color="auto" w:sz="4" w:space="0"/>
              <w:left w:val="single" w:color="auto" w:sz="4" w:space="0"/>
              <w:bottom w:val="single" w:color="auto" w:sz="4" w:space="0"/>
              <w:right w:val="single" w:color="auto" w:sz="4" w:space="0"/>
            </w:tcBorders>
            <w:vAlign w:val="center"/>
          </w:tcPr>
          <w:p>
            <w:pPr>
              <w:pStyle w:val="28"/>
              <w:ind w:firstLine="8" w:firstLineChars="4"/>
            </w:pPr>
            <w:r>
              <w:rPr>
                <w:rFonts w:hint="eastAsia"/>
                <w:b/>
              </w:rPr>
              <w:t>投标文件提交截止时间及开标时间：</w:t>
            </w:r>
            <w:r>
              <w:rPr>
                <w:rFonts w:hint="eastAsia" w:hAnsi="宋体" w:cs="Arial"/>
              </w:rPr>
              <w:t>2025年</w:t>
            </w:r>
            <w:r>
              <w:rPr>
                <w:rFonts w:hint="eastAsia" w:hAnsi="宋体" w:cs="Arial"/>
                <w:lang w:val="en-US" w:eastAsia="zh-CN"/>
              </w:rPr>
              <w:t>10</w:t>
            </w:r>
            <w:r>
              <w:rPr>
                <w:rFonts w:hint="eastAsia" w:hAnsi="宋体" w:cs="Arial"/>
              </w:rPr>
              <w:t>月</w:t>
            </w:r>
            <w:r>
              <w:rPr>
                <w:rFonts w:hint="eastAsia" w:hAnsi="宋体" w:cs="Arial"/>
                <w:lang w:val="en-US" w:eastAsia="zh-CN"/>
              </w:rPr>
              <w:t>21</w:t>
            </w:r>
            <w:r>
              <w:rPr>
                <w:rFonts w:hint="eastAsia" w:hAnsi="宋体" w:cs="Arial"/>
              </w:rPr>
              <w:t>日09</w:t>
            </w:r>
            <w:r>
              <w:rPr>
                <w:rFonts w:hAnsi="宋体" w:cs="Arial"/>
              </w:rPr>
              <w:t>:</w:t>
            </w:r>
            <w:r>
              <w:rPr>
                <w:rFonts w:hint="eastAsia" w:hAnsi="宋体" w:cs="Arial"/>
              </w:rPr>
              <w:t>3</w:t>
            </w:r>
            <w:r>
              <w:rPr>
                <w:rFonts w:hAnsi="宋体" w:cs="Arial"/>
              </w:rPr>
              <w:t>0</w:t>
            </w:r>
            <w:r>
              <w:rPr>
                <w:rFonts w:hint="eastAsia"/>
              </w:rPr>
              <w:t>（北京时间）</w:t>
            </w:r>
          </w:p>
          <w:p>
            <w:pPr>
              <w:ind w:firstLine="8" w:firstLineChars="4"/>
              <w:rPr>
                <w:szCs w:val="21"/>
              </w:rPr>
            </w:pPr>
            <w:r>
              <w:rPr>
                <w:rFonts w:hint="eastAsia"/>
                <w:szCs w:val="21"/>
              </w:rPr>
              <w:t>投标地点(网址）：</w:t>
            </w:r>
            <w:r>
              <w:rPr>
                <w:rFonts w:hint="eastAsia" w:ascii="宋体" w:hAnsi="宋体" w:cs="Courier New"/>
                <w:szCs w:val="21"/>
              </w:rPr>
              <w:t>请登录广西政府采购云平台投标客户端投标</w:t>
            </w:r>
          </w:p>
          <w:p>
            <w:pPr>
              <w:ind w:firstLine="8" w:firstLineChars="4"/>
              <w:rPr>
                <w:szCs w:val="21"/>
              </w:rPr>
            </w:pPr>
            <w:r>
              <w:rPr>
                <w:rFonts w:hint="eastAsia"/>
                <w:szCs w:val="21"/>
              </w:rPr>
              <w:t>开标地点：</w:t>
            </w:r>
            <w:r>
              <w:rPr>
                <w:rFonts w:hint="eastAsia"/>
              </w:rPr>
              <w:t>广西钦州市金海湾东大</w:t>
            </w:r>
            <w:bookmarkStart w:id="107" w:name="_Hlt169688185"/>
            <w:r>
              <w:rPr>
                <w:rFonts w:hint="eastAsia"/>
              </w:rPr>
              <w:t>街</w:t>
            </w:r>
            <w:bookmarkEnd w:id="107"/>
            <w:r>
              <w:rPr>
                <w:rFonts w:hint="eastAsia"/>
              </w:rPr>
              <w:t>8号市</w:t>
            </w:r>
            <w:bookmarkStart w:id="108" w:name="_Hlt169688171"/>
            <w:bookmarkStart w:id="109" w:name="_Hlt169688172"/>
            <w:r>
              <w:rPr>
                <w:rFonts w:hint="eastAsia"/>
              </w:rPr>
              <w:t>政</w:t>
            </w:r>
            <w:bookmarkEnd w:id="108"/>
            <w:bookmarkEnd w:id="109"/>
            <w:r>
              <w:rPr>
                <w:rFonts w:hint="eastAsia"/>
              </w:rPr>
              <w:t>务服务中心三楼开标室</w:t>
            </w:r>
          </w:p>
          <w:p>
            <w:pPr>
              <w:ind w:firstLine="8" w:firstLineChars="4"/>
              <w:rPr>
                <w:b/>
                <w:bCs/>
              </w:rPr>
            </w:pPr>
            <w:r>
              <w:fldChar w:fldCharType="begin"/>
            </w:r>
            <w:r>
              <w:instrText xml:space="preserve"> HYPERLINK \l "_四、开标" </w:instrText>
            </w:r>
            <w:r>
              <w:fldChar w:fldCharType="separate"/>
            </w:r>
            <w:r>
              <w:rPr>
                <w:rStyle w:val="58"/>
                <w:rFonts w:hint="eastAsia"/>
                <w:b/>
                <w:bCs/>
                <w:color w:val="auto"/>
                <w:u w:val="none"/>
              </w:rPr>
              <w:t>注：</w:t>
            </w:r>
            <w:bookmarkStart w:id="110" w:name="_Hlk90299755"/>
            <w:r>
              <w:rPr>
                <w:rStyle w:val="58"/>
                <w:rFonts w:hint="eastAsia"/>
                <w:b/>
                <w:bCs/>
                <w:color w:val="auto"/>
                <w:u w:val="none"/>
              </w:rPr>
              <w:t>投标人法定代表人或委</w:t>
            </w:r>
            <w:bookmarkStart w:id="111" w:name="_Hlt169688258"/>
            <w:r>
              <w:rPr>
                <w:rStyle w:val="58"/>
                <w:rFonts w:hint="eastAsia"/>
                <w:b/>
                <w:bCs/>
                <w:color w:val="auto"/>
                <w:u w:val="none"/>
              </w:rPr>
              <w:t>托</w:t>
            </w:r>
            <w:bookmarkEnd w:id="111"/>
            <w:r>
              <w:rPr>
                <w:rStyle w:val="58"/>
                <w:rFonts w:hint="eastAsia"/>
                <w:b/>
                <w:bCs/>
                <w:color w:val="auto"/>
                <w:u w:val="none"/>
              </w:rPr>
              <w:t>代理人须按时登录</w:t>
            </w:r>
            <w:r>
              <w:rPr>
                <w:rStyle w:val="58"/>
                <w:rFonts w:hint="eastAsia" w:hAnsi="宋体"/>
                <w:b/>
                <w:bCs/>
                <w:color w:val="auto"/>
                <w:u w:val="none"/>
              </w:rPr>
              <w:t>政采云远程开标大厅</w:t>
            </w:r>
            <w:r>
              <w:rPr>
                <w:rStyle w:val="58"/>
                <w:rFonts w:hint="eastAsia"/>
                <w:b/>
                <w:bCs/>
                <w:color w:val="auto"/>
                <w:u w:val="none"/>
              </w:rPr>
              <w:t>，保持全程在线并关注开标评标进度，评标期间评标委员会提出澄清等要求时，投标人须在规定时间内进行在线应答，否则按招标文件或政采云平台的相关规定执行。</w:t>
            </w:r>
            <w:bookmarkEnd w:id="110"/>
            <w:r>
              <w:rPr>
                <w:rStyle w:val="58"/>
                <w:rFonts w:hint="eastAsia"/>
                <w:b/>
                <w:bCs/>
                <w:color w:val="auto"/>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pPr>
            <w:r>
              <w:t>8</w:t>
            </w:r>
          </w:p>
        </w:tc>
        <w:tc>
          <w:tcPr>
            <w:tcW w:w="9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40" w:lineRule="exact"/>
              <w:ind w:firstLine="0" w:firstLineChars="0"/>
              <w:textAlignment w:val="bottom"/>
              <w:rPr>
                <w:rFonts w:hint="eastAsia" w:ascii="宋体" w:hAnsi="宋体"/>
                <w:szCs w:val="21"/>
              </w:rPr>
            </w:pPr>
            <w:r>
              <w:fldChar w:fldCharType="begin"/>
            </w:r>
            <w:r>
              <w:instrText xml:space="preserve"> HYPERLINK \l "_五、评标" </w:instrText>
            </w:r>
            <w:r>
              <w:fldChar w:fldCharType="separate"/>
            </w:r>
            <w:r>
              <w:rPr>
                <w:rStyle w:val="58"/>
                <w:rFonts w:hint="eastAsia" w:ascii="宋体" w:hAnsi="宋体"/>
                <w:color w:val="auto"/>
                <w:szCs w:val="21"/>
                <w:u w:val="none"/>
              </w:rPr>
              <w:t>评标</w:t>
            </w:r>
            <w:bookmarkStart w:id="112" w:name="_Hlt111715137"/>
            <w:bookmarkStart w:id="113" w:name="_Hlt111715136"/>
            <w:r>
              <w:rPr>
                <w:rStyle w:val="58"/>
                <w:rFonts w:hint="eastAsia" w:ascii="宋体" w:hAnsi="宋体"/>
                <w:color w:val="auto"/>
                <w:szCs w:val="21"/>
                <w:u w:val="none"/>
              </w:rPr>
              <w:t>方</w:t>
            </w:r>
            <w:bookmarkEnd w:id="112"/>
            <w:bookmarkEnd w:id="113"/>
            <w:r>
              <w:rPr>
                <w:rStyle w:val="58"/>
                <w:rFonts w:hint="eastAsia" w:ascii="宋体" w:hAnsi="宋体"/>
                <w:color w:val="auto"/>
                <w:szCs w:val="21"/>
                <w:u w:val="none"/>
              </w:rPr>
              <w:t>法：</w:t>
            </w:r>
            <w:r>
              <w:rPr>
                <w:rStyle w:val="58"/>
                <w:rFonts w:hint="eastAsia"/>
                <w:color w:val="auto"/>
                <w:u w:val="none"/>
              </w:rPr>
              <w:t>综合评分法</w:t>
            </w:r>
            <w:r>
              <w:rPr>
                <w:rStyle w:val="58"/>
                <w:rFonts w:hint="eastAsia"/>
                <w:color w:val="auto"/>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5" w:type="dxa"/>
            <w:vAlign w:val="center"/>
          </w:tcPr>
          <w:p>
            <w:pPr>
              <w:ind w:left="-424" w:leftChars="-202" w:firstLine="420"/>
              <w:jc w:val="center"/>
            </w:pPr>
            <w:r>
              <w:t>9</w:t>
            </w:r>
          </w:p>
        </w:tc>
        <w:tc>
          <w:tcPr>
            <w:tcW w:w="9214" w:type="dxa"/>
            <w:vAlign w:val="center"/>
          </w:tcPr>
          <w:p>
            <w:pPr>
              <w:pStyle w:val="28"/>
              <w:spacing w:line="340" w:lineRule="exact"/>
              <w:ind w:firstLine="8" w:firstLineChars="4"/>
            </w:pPr>
            <w:bookmarkStart w:id="114" w:name="OLE_LINK5"/>
            <w:r>
              <w:rPr>
                <w:rFonts w:hAnsi="宋体"/>
              </w:rPr>
              <w:fldChar w:fldCharType="begin"/>
            </w:r>
            <w:r>
              <w:rPr>
                <w:rFonts w:hAnsi="宋体"/>
              </w:rPr>
              <w:instrText xml:space="preserve"> </w:instrText>
            </w:r>
            <w:r>
              <w:rPr>
                <w:rFonts w:hint="eastAsia" w:hAnsi="宋体"/>
              </w:rPr>
              <w:instrText xml:space="preserve">HYPERLINK </w:instrText>
            </w:r>
            <w:r>
              <w:rPr>
                <w:rFonts w:hAnsi="宋体"/>
              </w:rPr>
              <w:instrText xml:space="preserve"> \l "_九、其他事项" </w:instrText>
            </w:r>
            <w:r>
              <w:rPr>
                <w:rFonts w:hAnsi="宋体"/>
              </w:rPr>
              <w:fldChar w:fldCharType="separate"/>
            </w:r>
            <w:r>
              <w:rPr>
                <w:rStyle w:val="58"/>
                <w:rFonts w:hint="eastAsia" w:hAnsi="宋体"/>
                <w:color w:val="auto"/>
                <w:u w:val="none"/>
              </w:rPr>
              <w:t>代理服务费：本中心按钦州市物价局“钦市价费﹝2013﹞4号”文件规定向中标人收取代理服务费。中标人应向本中心一次性付清代理服务费。</w:t>
            </w:r>
            <w:r>
              <w:rPr>
                <w:rFonts w:hAnsi="宋体"/>
              </w:rPr>
              <w:fldChar w:fldCharType="end"/>
            </w:r>
            <w:bookmarkEnd w:id="114"/>
          </w:p>
        </w:tc>
      </w:tr>
    </w:tbl>
    <w:p>
      <w:pPr>
        <w:ind w:firstLine="0" w:firstLineChars="0"/>
        <w:jc w:val="left"/>
      </w:pPr>
      <w:r>
        <w:br w:type="page"/>
      </w:r>
      <w:bookmarkStart w:id="115" w:name="_Toc352578891"/>
      <w:bookmarkStart w:id="116" w:name="_Toc352578861"/>
      <w:bookmarkStart w:id="117" w:name="_Toc352700405"/>
      <w:bookmarkStart w:id="118" w:name="_Toc352578843"/>
      <w:bookmarkStart w:id="119" w:name="_Toc353785275"/>
    </w:p>
    <w:p>
      <w:pPr>
        <w:spacing w:line="520" w:lineRule="exact"/>
        <w:ind w:firstLine="0" w:firstLineChars="0"/>
        <w:jc w:val="center"/>
        <w:rPr>
          <w:rFonts w:hint="eastAsia" w:ascii="仿宋_GB2312" w:hAnsi="宋体" w:eastAsia="仿宋_GB2312"/>
          <w:b/>
          <w:sz w:val="44"/>
          <w:szCs w:val="44"/>
        </w:rPr>
      </w:pPr>
      <w:bookmarkStart w:id="120" w:name="_Hlk92374740"/>
      <w:r>
        <w:rPr>
          <w:rFonts w:hint="eastAsia"/>
          <w:b/>
          <w:sz w:val="44"/>
          <w:szCs w:val="44"/>
        </w:rPr>
        <w:t>投标人须知</w:t>
      </w:r>
      <w:bookmarkEnd w:id="115"/>
      <w:bookmarkEnd w:id="116"/>
      <w:bookmarkEnd w:id="117"/>
      <w:bookmarkEnd w:id="118"/>
      <w:bookmarkEnd w:id="119"/>
    </w:p>
    <w:p>
      <w:pPr>
        <w:pStyle w:val="4"/>
        <w:spacing w:before="0" w:after="0" w:line="410" w:lineRule="exact"/>
        <w:ind w:firstLine="0" w:firstLineChars="0"/>
        <w:rPr>
          <w:rFonts w:ascii="方正小标宋_GBK" w:eastAsia="方正小标宋_GBK"/>
          <w:sz w:val="24"/>
          <w:szCs w:val="24"/>
        </w:rPr>
      </w:pPr>
      <w:bookmarkStart w:id="121" w:name="_一、总__则"/>
      <w:bookmarkEnd w:id="121"/>
      <w:bookmarkStart w:id="122" w:name="_Toc353785276"/>
      <w:bookmarkStart w:id="123" w:name="_Toc352700406"/>
      <w:r>
        <w:rPr>
          <w:rFonts w:hint="eastAsia" w:ascii="方正小标宋_GBK" w:eastAsia="方正小标宋_GBK"/>
          <w:sz w:val="24"/>
          <w:szCs w:val="24"/>
        </w:rPr>
        <w:t>一、总  则</w:t>
      </w:r>
      <w:bookmarkEnd w:id="122"/>
      <w:bookmarkEnd w:id="123"/>
    </w:p>
    <w:p>
      <w:pPr>
        <w:spacing w:line="410" w:lineRule="exact"/>
        <w:ind w:firstLine="211" w:firstLineChars="100"/>
        <w:rPr>
          <w:b/>
          <w:bCs/>
        </w:rPr>
      </w:pPr>
      <w:r>
        <w:rPr>
          <w:rFonts w:hint="eastAsia"/>
          <w:b/>
          <w:bCs/>
        </w:rPr>
        <w:t>（一）适用范围</w:t>
      </w:r>
    </w:p>
    <w:p>
      <w:pPr>
        <w:spacing w:line="410" w:lineRule="exact"/>
        <w:ind w:firstLine="420"/>
      </w:pPr>
      <w:bookmarkStart w:id="124" w:name="_Toc254970669"/>
      <w:bookmarkStart w:id="125" w:name="_Toc254970528"/>
      <w:bookmarkStart w:id="126" w:name="_Toc353785278"/>
      <w:bookmarkStart w:id="127" w:name="_Toc352700408"/>
      <w:r>
        <w:rPr>
          <w:rFonts w:hint="eastAsia"/>
        </w:rPr>
        <w:t>1</w:t>
      </w:r>
      <w:r>
        <w:t>.</w:t>
      </w:r>
      <w:r>
        <w:rPr>
          <w:rFonts w:hint="eastAsia"/>
        </w:rPr>
        <w:t>项目名称：2025年中等职业学校办学条件达标项目建设</w:t>
      </w:r>
    </w:p>
    <w:p>
      <w:pPr>
        <w:spacing w:line="410" w:lineRule="exact"/>
        <w:ind w:firstLine="420"/>
      </w:pPr>
      <w:r>
        <w:t>2.</w:t>
      </w:r>
      <w:r>
        <w:rPr>
          <w:rFonts w:hint="eastAsia"/>
        </w:rPr>
        <w:t>项目编号：QZZC2025-G1-220187-QZSZ</w:t>
      </w:r>
    </w:p>
    <w:p>
      <w:pPr>
        <w:spacing w:line="410" w:lineRule="exact"/>
        <w:ind w:firstLine="420"/>
      </w:pPr>
      <w:r>
        <w:rPr>
          <w:rFonts w:hint="eastAsia"/>
        </w:rPr>
        <w:t>本招标文件仅适用于上述项目的招标、投标、评标、定标、验收、合同履约、付款等行为（法律、法规另有规定的，从其规定）。</w:t>
      </w:r>
    </w:p>
    <w:p>
      <w:pPr>
        <w:spacing w:line="410" w:lineRule="exact"/>
        <w:ind w:firstLine="211" w:firstLineChars="100"/>
        <w:rPr>
          <w:b/>
          <w:bCs/>
        </w:rPr>
      </w:pPr>
      <w:r>
        <w:rPr>
          <w:rFonts w:hint="eastAsia"/>
          <w:b/>
          <w:bCs/>
        </w:rPr>
        <w:t>（二）定义</w:t>
      </w:r>
      <w:bookmarkEnd w:id="124"/>
      <w:bookmarkEnd w:id="125"/>
      <w:bookmarkEnd w:id="126"/>
      <w:bookmarkEnd w:id="127"/>
    </w:p>
    <w:p>
      <w:pPr>
        <w:pStyle w:val="28"/>
        <w:snapToGrid w:val="0"/>
        <w:spacing w:line="410" w:lineRule="exact"/>
        <w:ind w:firstLine="420"/>
        <w:rPr>
          <w:rFonts w:hint="eastAsia" w:hAnsi="宋体"/>
        </w:rPr>
      </w:pPr>
      <w:bookmarkStart w:id="128" w:name="_Hlk92374304"/>
      <w:r>
        <w:rPr>
          <w:rFonts w:hAnsi="宋体"/>
          <w:bCs/>
        </w:rPr>
        <w:t>1.</w:t>
      </w:r>
      <w:r>
        <w:rPr>
          <w:rFonts w:hint="eastAsia" w:hAnsi="宋体"/>
          <w:bCs/>
        </w:rPr>
        <w:t>“采购人”系指</w:t>
      </w:r>
      <w:r>
        <w:rPr>
          <w:rFonts w:hAnsi="宋体"/>
        </w:rPr>
        <w:t>依法进行政府采购的国家机关、事业单位、团体组织</w:t>
      </w:r>
    </w:p>
    <w:p>
      <w:pPr>
        <w:pStyle w:val="28"/>
        <w:snapToGrid w:val="0"/>
        <w:spacing w:line="410" w:lineRule="exact"/>
        <w:ind w:firstLine="420"/>
        <w:rPr>
          <w:rFonts w:hint="eastAsia" w:hAnsi="宋体"/>
          <w:bCs/>
        </w:rPr>
      </w:pPr>
      <w:r>
        <w:rPr>
          <w:rFonts w:hAnsi="宋体"/>
          <w:bCs/>
        </w:rPr>
        <w:t>2.</w:t>
      </w:r>
      <w:r>
        <w:rPr>
          <w:rFonts w:hint="eastAsia" w:hAnsi="宋体"/>
          <w:bCs/>
        </w:rPr>
        <w:t>“投标人”系指向招标方提交投标文件的单位或自然人。</w:t>
      </w:r>
    </w:p>
    <w:p>
      <w:pPr>
        <w:pStyle w:val="28"/>
        <w:snapToGrid w:val="0"/>
        <w:spacing w:line="410" w:lineRule="exact"/>
        <w:ind w:firstLine="420"/>
        <w:rPr>
          <w:rFonts w:hint="eastAsia" w:hAnsi="宋体"/>
          <w:bCs/>
        </w:rPr>
      </w:pPr>
      <w:r>
        <w:rPr>
          <w:rFonts w:hAnsi="宋体"/>
          <w:bCs/>
        </w:rPr>
        <w:t>3.</w:t>
      </w:r>
      <w:r>
        <w:rPr>
          <w:rFonts w:hint="eastAsia" w:hAnsi="宋体"/>
          <w:bCs/>
        </w:rPr>
        <w:t>“采购代理机构”系指组织本次招标的钦州市政府采购中心（以下简称“本中心）。</w:t>
      </w:r>
    </w:p>
    <w:p>
      <w:pPr>
        <w:pStyle w:val="28"/>
        <w:snapToGrid w:val="0"/>
        <w:spacing w:line="410" w:lineRule="exact"/>
        <w:ind w:firstLine="420"/>
        <w:rPr>
          <w:rFonts w:hint="eastAsia" w:hAnsi="宋体"/>
          <w:bCs/>
        </w:rPr>
      </w:pPr>
      <w:r>
        <w:rPr>
          <w:rFonts w:hAnsi="宋体"/>
          <w:bCs/>
        </w:rPr>
        <w:t>4.</w:t>
      </w:r>
      <w:r>
        <w:rPr>
          <w:rFonts w:hint="eastAsia" w:hAnsi="宋体"/>
          <w:bCs/>
        </w:rPr>
        <w:t>“货物”系指各种形态和种类的物品，包括原材料、燃料、设备、产品等。</w:t>
      </w:r>
    </w:p>
    <w:p>
      <w:pPr>
        <w:pStyle w:val="28"/>
        <w:snapToGrid w:val="0"/>
        <w:spacing w:line="410" w:lineRule="exact"/>
        <w:ind w:firstLine="420"/>
        <w:rPr>
          <w:rFonts w:hint="eastAsia" w:hAnsi="宋体"/>
          <w:bCs/>
        </w:rPr>
      </w:pPr>
      <w:r>
        <w:rPr>
          <w:rFonts w:hAnsi="宋体"/>
          <w:bCs/>
        </w:rPr>
        <w:t>5.</w:t>
      </w:r>
      <w:r>
        <w:rPr>
          <w:rFonts w:hint="eastAsia" w:hAnsi="宋体"/>
          <w:bCs/>
        </w:rPr>
        <w:t>“服务”系指除货物和工程以外的其他政府采购对象。</w:t>
      </w:r>
    </w:p>
    <w:p>
      <w:pPr>
        <w:pStyle w:val="28"/>
        <w:snapToGrid w:val="0"/>
        <w:spacing w:line="410" w:lineRule="exact"/>
        <w:ind w:firstLine="420"/>
        <w:rPr>
          <w:rFonts w:hint="eastAsia" w:hAnsi="宋体"/>
          <w:bCs/>
        </w:rPr>
      </w:pPr>
      <w:r>
        <w:rPr>
          <w:rFonts w:hAnsi="宋体"/>
          <w:bCs/>
        </w:rPr>
        <w:t>6.</w:t>
      </w:r>
      <w:r>
        <w:rPr>
          <w:rFonts w:hint="eastAsia" w:hAnsi="宋体"/>
          <w:bCs/>
        </w:rPr>
        <w:t>“项目”系指投标人按招标文件规定向采购人提供的产品和服务。</w:t>
      </w:r>
    </w:p>
    <w:p>
      <w:pPr>
        <w:pStyle w:val="28"/>
        <w:snapToGrid w:val="0"/>
        <w:spacing w:line="410" w:lineRule="exact"/>
        <w:ind w:firstLine="420"/>
        <w:rPr>
          <w:rFonts w:hint="eastAsia" w:hAnsi="宋体"/>
          <w:bCs/>
        </w:rPr>
      </w:pPr>
      <w:r>
        <w:rPr>
          <w:rFonts w:hAnsi="宋体"/>
          <w:bCs/>
        </w:rPr>
        <w:t>7.</w:t>
      </w:r>
      <w:r>
        <w:rPr>
          <w:rFonts w:hint="eastAsia" w:hAnsi="宋体"/>
          <w:bCs/>
        </w:rPr>
        <w:t>“书面形式”</w:t>
      </w:r>
      <w:bookmarkEnd w:id="128"/>
      <w:r>
        <w:rPr>
          <w:rFonts w:hint="eastAsia" w:hAnsi="宋体"/>
          <w:bCs/>
        </w:rPr>
        <w:t>是合同书、信件、电报、电传、传真等可以有形地表现所载内容的形式。</w:t>
      </w:r>
    </w:p>
    <w:p>
      <w:pPr>
        <w:spacing w:line="410" w:lineRule="exact"/>
        <w:ind w:firstLine="211" w:firstLineChars="100"/>
        <w:rPr>
          <w:b/>
          <w:bCs/>
        </w:rPr>
      </w:pPr>
      <w:bookmarkStart w:id="129" w:name="_Toc353785279"/>
      <w:r>
        <w:rPr>
          <w:rFonts w:hint="eastAsia"/>
          <w:b/>
          <w:bCs/>
        </w:rPr>
        <w:t>（三）投标人资格</w:t>
      </w:r>
      <w:bookmarkEnd w:id="129"/>
    </w:p>
    <w:p>
      <w:pPr>
        <w:spacing w:line="412" w:lineRule="exact"/>
        <w:ind w:firstLine="420"/>
        <w:rPr>
          <w:b/>
        </w:rPr>
      </w:pPr>
      <w:bookmarkStart w:id="130" w:name="_Toc254970529"/>
      <w:bookmarkStart w:id="131" w:name="_Toc353785280"/>
      <w:bookmarkStart w:id="132" w:name="_Toc254970670"/>
      <w:bookmarkStart w:id="133" w:name="_Toc352700409"/>
      <w:bookmarkStart w:id="134" w:name="_Hlk92444465"/>
      <w:r>
        <w:rPr>
          <w:rFonts w:hint="eastAsia"/>
        </w:rPr>
        <w:t>1.满足《中华人民共和国政府采购法》第二十二条规定</w:t>
      </w:r>
    </w:p>
    <w:p>
      <w:pPr>
        <w:spacing w:line="412" w:lineRule="exact"/>
        <w:ind w:firstLine="420"/>
      </w:pPr>
      <w:r>
        <w:rPr>
          <w:rFonts w:hint="eastAsia"/>
        </w:rPr>
        <w:t>2.落实政府采购政策需满足的资格要求：无</w:t>
      </w:r>
    </w:p>
    <w:p>
      <w:pPr>
        <w:spacing w:line="410" w:lineRule="exact"/>
        <w:ind w:firstLine="420"/>
        <w:rPr>
          <w:rFonts w:hint="eastAsia" w:ascii="宋体" w:hAnsi="宋体"/>
        </w:rPr>
      </w:pPr>
      <w:r>
        <w:rPr>
          <w:rFonts w:hint="eastAsia"/>
        </w:rPr>
        <w:t>3.本项目的特定资格要求：无</w:t>
      </w:r>
    </w:p>
    <w:p>
      <w:pPr>
        <w:spacing w:line="410" w:lineRule="exact"/>
        <w:ind w:firstLine="211" w:firstLineChars="100"/>
        <w:rPr>
          <w:b/>
          <w:bCs/>
        </w:rPr>
      </w:pPr>
      <w:r>
        <w:rPr>
          <w:rFonts w:hint="eastAsia"/>
          <w:b/>
          <w:bCs/>
        </w:rPr>
        <w:t>（四）采购方式</w:t>
      </w:r>
      <w:bookmarkEnd w:id="130"/>
      <w:bookmarkEnd w:id="131"/>
      <w:bookmarkEnd w:id="132"/>
      <w:bookmarkEnd w:id="133"/>
    </w:p>
    <w:p>
      <w:pPr>
        <w:snapToGrid w:val="0"/>
        <w:spacing w:line="410" w:lineRule="exact"/>
        <w:ind w:firstLine="420"/>
        <w:rPr>
          <w:rFonts w:hint="eastAsia" w:ascii="宋体" w:hAnsi="宋体"/>
          <w:szCs w:val="21"/>
        </w:rPr>
      </w:pPr>
      <w:r>
        <w:rPr>
          <w:rFonts w:hint="eastAsia" w:ascii="宋体" w:hAnsi="宋体"/>
          <w:szCs w:val="21"/>
        </w:rPr>
        <w:t>公开招标方式。</w:t>
      </w:r>
    </w:p>
    <w:p>
      <w:pPr>
        <w:spacing w:line="410" w:lineRule="exact"/>
        <w:ind w:firstLine="211" w:firstLineChars="100"/>
        <w:rPr>
          <w:b/>
          <w:bCs/>
        </w:rPr>
      </w:pPr>
      <w:bookmarkStart w:id="135" w:name="_Toc353785281"/>
      <w:bookmarkStart w:id="136" w:name="_Toc254970671"/>
      <w:bookmarkStart w:id="137" w:name="_Toc254970530"/>
      <w:bookmarkStart w:id="138" w:name="_Toc352700410"/>
      <w:r>
        <w:rPr>
          <w:rFonts w:hint="eastAsia"/>
          <w:b/>
          <w:bCs/>
        </w:rPr>
        <w:t>（五）投标委托</w:t>
      </w:r>
      <w:bookmarkEnd w:id="135"/>
      <w:bookmarkEnd w:id="136"/>
      <w:bookmarkEnd w:id="137"/>
      <w:bookmarkEnd w:id="138"/>
    </w:p>
    <w:p>
      <w:pPr>
        <w:pStyle w:val="28"/>
        <w:snapToGrid w:val="0"/>
        <w:spacing w:line="410" w:lineRule="exact"/>
        <w:ind w:firstLine="420"/>
        <w:rPr>
          <w:rFonts w:hint="eastAsia" w:hAnsi="宋体"/>
          <w:bCs/>
        </w:rPr>
      </w:pPr>
      <w:r>
        <w:rPr>
          <w:rFonts w:hint="eastAsia" w:hAnsi="宋体"/>
          <w:bCs/>
        </w:rPr>
        <w:t>委托投标的投标人须提供授权委托书（格式见第六章）。</w:t>
      </w:r>
    </w:p>
    <w:p>
      <w:pPr>
        <w:spacing w:line="410" w:lineRule="exact"/>
        <w:ind w:firstLine="211" w:firstLineChars="100"/>
        <w:rPr>
          <w:b/>
          <w:bCs/>
        </w:rPr>
      </w:pPr>
      <w:bookmarkStart w:id="139" w:name="_Toc353785282"/>
      <w:bookmarkStart w:id="140" w:name="_Toc254970672"/>
      <w:bookmarkStart w:id="141" w:name="_Toc352700411"/>
      <w:bookmarkStart w:id="142" w:name="_Toc254970531"/>
      <w:r>
        <w:rPr>
          <w:rFonts w:hint="eastAsia"/>
          <w:b/>
          <w:bCs/>
        </w:rPr>
        <w:t>（六）投标费用</w:t>
      </w:r>
      <w:bookmarkEnd w:id="139"/>
      <w:bookmarkEnd w:id="140"/>
      <w:bookmarkEnd w:id="141"/>
      <w:bookmarkEnd w:id="142"/>
    </w:p>
    <w:p>
      <w:pPr>
        <w:snapToGrid w:val="0"/>
        <w:spacing w:line="410" w:lineRule="exact"/>
        <w:ind w:firstLine="420"/>
        <w:rPr>
          <w:rFonts w:hint="eastAsia" w:ascii="宋体" w:hAnsi="宋体"/>
          <w:szCs w:val="21"/>
        </w:rPr>
      </w:pPr>
      <w:r>
        <w:rPr>
          <w:rFonts w:hint="eastAsia" w:ascii="宋体" w:hAnsi="宋体"/>
          <w:szCs w:val="21"/>
        </w:rPr>
        <w:t>投标人自行承担所有与投标有关的全部费用。</w:t>
      </w:r>
    </w:p>
    <w:p>
      <w:pPr>
        <w:spacing w:line="410" w:lineRule="exact"/>
        <w:ind w:firstLine="211" w:firstLineChars="100"/>
        <w:rPr>
          <w:b/>
          <w:bCs/>
        </w:rPr>
      </w:pPr>
      <w:bookmarkStart w:id="143" w:name="_Toc353785283"/>
      <w:bookmarkStart w:id="144" w:name="_Toc352700413"/>
      <w:r>
        <w:rPr>
          <w:rFonts w:hint="eastAsia"/>
          <w:b/>
          <w:bCs/>
        </w:rPr>
        <w:t>（七）转包与分包</w:t>
      </w:r>
      <w:bookmarkEnd w:id="143"/>
      <w:bookmarkEnd w:id="144"/>
    </w:p>
    <w:p>
      <w:pPr>
        <w:snapToGrid w:val="0"/>
        <w:spacing w:line="410" w:lineRule="exact"/>
        <w:ind w:firstLine="42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pPr>
        <w:snapToGrid w:val="0"/>
        <w:spacing w:line="410" w:lineRule="exact"/>
        <w:ind w:firstLine="420"/>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采购人允许采用分包方式履行合同的，应当在采购文件中明确可以分包履行的具体内容、金额或者比例。采购合同分包履行的</w:t>
      </w:r>
      <w:r>
        <w:rPr>
          <w:rFonts w:hint="eastAsia" w:ascii="宋体" w:hAnsi="宋体"/>
          <w:kern w:val="0"/>
          <w:szCs w:val="21"/>
        </w:rPr>
        <w:t>，中标人就采购项目和分包项目向采购人负责，分包供应商就分包项目承担责任。</w:t>
      </w:r>
    </w:p>
    <w:p>
      <w:pPr>
        <w:snapToGrid w:val="0"/>
        <w:spacing w:line="410" w:lineRule="exact"/>
        <w:ind w:firstLine="420"/>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bookmarkEnd w:id="134"/>
    <w:p>
      <w:pPr>
        <w:spacing w:line="410" w:lineRule="exact"/>
        <w:ind w:firstLine="211" w:firstLineChars="100"/>
        <w:rPr>
          <w:b/>
          <w:bCs/>
        </w:rPr>
      </w:pPr>
      <w:bookmarkStart w:id="145" w:name="_Toc254970673"/>
      <w:bookmarkStart w:id="146" w:name="_Toc353785284"/>
      <w:bookmarkStart w:id="147" w:name="_Toc352700414"/>
      <w:bookmarkStart w:id="148" w:name="_Toc254970532"/>
      <w:bookmarkStart w:id="149" w:name="_Hlk92444771"/>
      <w:r>
        <w:rPr>
          <w:rFonts w:hint="eastAsia"/>
          <w:b/>
          <w:bCs/>
        </w:rPr>
        <w:t>（八）特别说明：</w:t>
      </w:r>
      <w:bookmarkEnd w:id="145"/>
      <w:bookmarkEnd w:id="146"/>
      <w:bookmarkEnd w:id="147"/>
      <w:bookmarkEnd w:id="148"/>
    </w:p>
    <w:p>
      <w:pPr>
        <w:pStyle w:val="20"/>
        <w:ind w:firstLine="420"/>
        <w:rPr>
          <w:rFonts w:hint="eastAsia" w:ascii="宋体" w:hAnsi="宋体" w:cs="宋体"/>
          <w:kern w:val="0"/>
          <w:sz w:val="21"/>
          <w:szCs w:val="21"/>
        </w:rPr>
      </w:pPr>
      <w:r>
        <w:rPr>
          <w:rFonts w:hint="eastAsia" w:ascii="宋体" w:hAnsi="宋体" w:cs="宋体"/>
          <w:kern w:val="0"/>
          <w:sz w:val="21"/>
          <w:szCs w:val="21"/>
        </w:rPr>
        <w:t>关联供应商不得参加同一合同项下政府采购活动，否则投标文件将被视为无效：</w:t>
      </w:r>
    </w:p>
    <w:p>
      <w:pPr>
        <w:pStyle w:val="20"/>
        <w:ind w:firstLine="480"/>
      </w:pPr>
    </w:p>
    <w:p>
      <w:pPr>
        <w:spacing w:line="410" w:lineRule="exact"/>
        <w:ind w:firstLine="210" w:firstLineChars="100"/>
        <w:rPr>
          <w:rFonts w:hint="eastAsia" w:ascii="宋体" w:hAnsi="宋体"/>
        </w:rPr>
      </w:pPr>
      <w:bookmarkStart w:id="150" w:name="_Toc353785285"/>
      <w:bookmarkStart w:id="151" w:name="_Toc254970674"/>
      <w:bookmarkStart w:id="152" w:name="_Toc254970533"/>
      <w:bookmarkStart w:id="153" w:name="_Toc352700415"/>
      <w:r>
        <w:rPr>
          <w:rFonts w:hint="eastAsia" w:ascii="宋体" w:hAnsi="宋体"/>
        </w:rPr>
        <w:t>1.单位负责人为同一人或者存在直接控股、管理关系的不同的投标人，不得参加同一合同项下的政府采购活动。</w:t>
      </w:r>
    </w:p>
    <w:p>
      <w:pPr>
        <w:spacing w:line="410" w:lineRule="exact"/>
        <w:ind w:firstLine="210" w:firstLineChars="100"/>
        <w:rPr>
          <w:rFonts w:hint="eastAsia" w:ascii="宋体" w:hAnsi="宋体"/>
        </w:rPr>
      </w:pPr>
      <w:r>
        <w:rPr>
          <w:rFonts w:hint="eastAsia" w:ascii="宋体" w:hAnsi="宋体"/>
        </w:rPr>
        <w:t>2.为采购项目提供整体设计、规范编制或者项目管理、监理、检测等服务的投标人，不得再参加该采购项目的其他采购活动。</w:t>
      </w:r>
    </w:p>
    <w:p>
      <w:pPr>
        <w:spacing w:line="410" w:lineRule="exact"/>
        <w:ind w:firstLine="211" w:firstLineChars="100"/>
        <w:rPr>
          <w:b/>
          <w:bCs/>
        </w:rPr>
      </w:pPr>
      <w:r>
        <w:rPr>
          <w:rFonts w:hint="eastAsia"/>
          <w:b/>
          <w:bCs/>
        </w:rPr>
        <w:t>（九）询问、质疑和投诉</w:t>
      </w:r>
      <w:bookmarkEnd w:id="150"/>
      <w:bookmarkEnd w:id="151"/>
      <w:bookmarkEnd w:id="152"/>
      <w:bookmarkEnd w:id="153"/>
    </w:p>
    <w:p>
      <w:pPr>
        <w:pStyle w:val="28"/>
        <w:snapToGrid w:val="0"/>
        <w:spacing w:line="410" w:lineRule="exact"/>
        <w:ind w:firstLine="420"/>
        <w:rPr>
          <w:rFonts w:hint="eastAsia" w:ascii="宋体" w:hAnsi="宋体" w:eastAsia="宋体" w:cs="宋体"/>
          <w:bCs/>
        </w:rPr>
      </w:pPr>
      <w:r>
        <w:rPr>
          <w:rFonts w:hint="eastAsia" w:ascii="宋体" w:hAnsi="宋体" w:eastAsia="宋体" w:cs="宋体"/>
          <w:bCs/>
        </w:rPr>
        <w:t>1.</w:t>
      </w:r>
      <w:r>
        <w:rPr>
          <w:rFonts w:hint="eastAsia" w:ascii="宋体" w:hAnsi="宋体" w:eastAsia="宋体" w:cs="宋体"/>
          <w:kern w:val="0"/>
        </w:rPr>
        <w:t>投标人对政府采购活动事项有疑问的，可以向采购人提出询问，采购人</w:t>
      </w:r>
      <w:r>
        <w:rPr>
          <w:rFonts w:hint="eastAsia" w:ascii="宋体" w:hAnsi="宋体" w:eastAsia="宋体" w:cs="宋体"/>
          <w:kern w:val="0"/>
          <w:lang w:val="en-US" w:eastAsia="zh-CN"/>
        </w:rPr>
        <w:t>应</w:t>
      </w:r>
      <w:r>
        <w:rPr>
          <w:rFonts w:hint="eastAsia" w:ascii="宋体" w:hAnsi="宋体" w:eastAsia="宋体" w:cs="宋体"/>
          <w:kern w:val="0"/>
        </w:rPr>
        <w:t>当在3个工作日内对投标人依法提出的询问作出答复，但答复的内容不得涉及商业秘密。</w:t>
      </w:r>
    </w:p>
    <w:p>
      <w:pPr>
        <w:pStyle w:val="28"/>
        <w:snapToGrid w:val="0"/>
        <w:spacing w:line="410" w:lineRule="exact"/>
        <w:ind w:firstLine="420"/>
        <w:rPr>
          <w:rFonts w:hint="eastAsia" w:ascii="宋体" w:hAnsi="宋体" w:eastAsia="宋体" w:cs="宋体"/>
          <w:bCs/>
        </w:rPr>
      </w:pPr>
      <w:r>
        <w:rPr>
          <w:rFonts w:hint="eastAsia" w:ascii="宋体" w:hAnsi="宋体" w:eastAsia="宋体" w:cs="宋体"/>
          <w:bCs/>
        </w:rPr>
        <w:t>2.投标人认为招标文件、招标过程或中标结果使自己的合法权益受到损害的，可以在知道或者应知其权益受到损害之日起7个工作日内，</w:t>
      </w:r>
      <w:r>
        <w:rPr>
          <w:rFonts w:hint="eastAsia" w:ascii="宋体" w:hAnsi="宋体" w:eastAsia="宋体" w:cs="宋体"/>
        </w:rPr>
        <w:t>以书面形式（政采云平台）向采购人提出质疑。</w:t>
      </w:r>
      <w:r>
        <w:rPr>
          <w:rFonts w:hint="eastAsia" w:ascii="宋体" w:hAnsi="宋体" w:eastAsia="宋体" w:cs="宋体"/>
          <w:bCs/>
        </w:rPr>
        <w:t>投标人必须在法定质疑期内一次性提出针对同一采购程序环节的质疑。</w:t>
      </w:r>
      <w:r>
        <w:rPr>
          <w:rFonts w:hint="eastAsia" w:ascii="宋体" w:hAnsi="宋体" w:eastAsia="宋体" w:cs="宋体"/>
        </w:rPr>
        <w:t>投标人应知其权益受到损害之日，是指：</w:t>
      </w:r>
    </w:p>
    <w:p>
      <w:pPr>
        <w:pStyle w:val="28"/>
        <w:adjustRightInd w:val="0"/>
        <w:snapToGrid w:val="0"/>
        <w:spacing w:line="410" w:lineRule="exact"/>
        <w:ind w:firstLine="308" w:firstLineChars="147"/>
        <w:rPr>
          <w:rFonts w:hint="eastAsia" w:ascii="宋体" w:hAnsi="宋体" w:eastAsia="宋体" w:cs="宋体"/>
          <w:bCs/>
        </w:rPr>
      </w:pPr>
      <w:r>
        <w:rPr>
          <w:rFonts w:hint="eastAsia" w:ascii="宋体" w:hAnsi="宋体" w:eastAsia="宋体" w:cs="宋体"/>
          <w:bCs/>
        </w:rPr>
        <w:t>(1)对招标文件提出质疑的，为获取招标文件之日；</w:t>
      </w:r>
    </w:p>
    <w:p>
      <w:pPr>
        <w:pStyle w:val="28"/>
        <w:adjustRightInd w:val="0"/>
        <w:snapToGrid w:val="0"/>
        <w:spacing w:line="410" w:lineRule="exact"/>
        <w:ind w:firstLine="308" w:firstLineChars="147"/>
        <w:rPr>
          <w:rFonts w:hint="eastAsia" w:ascii="宋体" w:hAnsi="宋体" w:eastAsia="宋体" w:cs="宋体"/>
          <w:bCs/>
        </w:rPr>
      </w:pPr>
      <w:r>
        <w:rPr>
          <w:rFonts w:hint="eastAsia" w:ascii="宋体" w:hAnsi="宋体" w:eastAsia="宋体" w:cs="宋体"/>
          <w:bCs/>
        </w:rPr>
        <w:t>(2)对招标过程提出质疑的，为各采购程序环节结束之日；</w:t>
      </w:r>
    </w:p>
    <w:p>
      <w:pPr>
        <w:widowControl/>
        <w:adjustRightInd w:val="0"/>
        <w:snapToGrid w:val="0"/>
        <w:spacing w:line="410" w:lineRule="exact"/>
        <w:ind w:firstLine="102" w:firstLineChars="49"/>
        <w:jc w:val="left"/>
        <w:rPr>
          <w:rFonts w:hint="eastAsia" w:ascii="宋体" w:hAnsi="宋体" w:eastAsia="宋体" w:cs="宋体"/>
          <w:bCs/>
          <w:szCs w:val="21"/>
        </w:rPr>
      </w:pPr>
      <w:r>
        <w:rPr>
          <w:rFonts w:hint="eastAsia" w:ascii="宋体" w:hAnsi="宋体" w:eastAsia="宋体" w:cs="宋体"/>
          <w:bCs/>
          <w:szCs w:val="21"/>
        </w:rPr>
        <w:t xml:space="preserve">  (3)对中标结果提出质疑的，为中标结果公告期限届满之日。</w:t>
      </w:r>
    </w:p>
    <w:p>
      <w:pPr>
        <w:widowControl/>
        <w:adjustRightInd w:val="0"/>
        <w:snapToGrid w:val="0"/>
        <w:spacing w:line="410" w:lineRule="exact"/>
        <w:ind w:firstLine="420"/>
        <w:jc w:val="left"/>
        <w:rPr>
          <w:rFonts w:hint="eastAsia" w:ascii="宋体" w:hAnsi="宋体" w:eastAsia="宋体" w:cs="宋体"/>
          <w:bCs/>
          <w:szCs w:val="21"/>
        </w:rPr>
      </w:pPr>
      <w:r>
        <w:rPr>
          <w:rFonts w:hint="eastAsia" w:ascii="宋体" w:hAnsi="宋体" w:eastAsia="宋体" w:cs="宋体"/>
          <w:bCs/>
          <w:szCs w:val="21"/>
        </w:rPr>
        <w:t>3.</w:t>
      </w:r>
      <w:r>
        <w:rPr>
          <w:rFonts w:hint="eastAsia" w:ascii="宋体" w:hAnsi="宋体" w:eastAsia="宋体" w:cs="宋体"/>
        </w:rPr>
        <w:t>投标人对采购人质疑答复不满意或者采购人未在规定时间内作出答复的，可以在答复期满后十五个工作日内向同级采购监管部门投诉。</w:t>
      </w:r>
    </w:p>
    <w:p>
      <w:pPr>
        <w:pStyle w:val="28"/>
        <w:snapToGrid w:val="0"/>
        <w:spacing w:line="410" w:lineRule="exact"/>
        <w:ind w:firstLine="420"/>
        <w:rPr>
          <w:rFonts w:hint="eastAsia" w:ascii="黑体" w:hAnsi="黑体" w:eastAsia="黑体" w:cs="黑体"/>
          <w:bCs/>
        </w:rPr>
      </w:pPr>
      <w:r>
        <w:rPr>
          <w:rFonts w:hint="eastAsia" w:ascii="黑体" w:hAnsi="黑体" w:eastAsia="黑体" w:cs="黑体"/>
          <w:bCs/>
        </w:rPr>
        <w:t>4.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410" w:lineRule="exact"/>
        <w:ind w:firstLine="420"/>
        <w:rPr>
          <w:rFonts w:hint="eastAsia" w:ascii="宋体" w:hAnsi="宋体" w:eastAsia="宋体" w:cs="宋体"/>
          <w:lang w:val="en-US" w:eastAsia="zh-CN"/>
        </w:rPr>
      </w:pPr>
      <w:r>
        <w:rPr>
          <w:rFonts w:hint="eastAsia" w:ascii="宋体" w:hAnsi="宋体" w:eastAsia="宋体" w:cs="宋体"/>
        </w:rPr>
        <w:t>质疑部门联系方式</w:t>
      </w:r>
      <w:r>
        <w:rPr>
          <w:rFonts w:hint="eastAsia" w:ascii="宋体" w:hAnsi="宋体" w:eastAsia="宋体" w:cs="宋体"/>
          <w:lang w:eastAsia="zh-CN"/>
        </w:rPr>
        <w:t>：</w:t>
      </w:r>
      <w:r>
        <w:rPr>
          <w:rFonts w:hint="eastAsia" w:ascii="宋体" w:hAnsi="宋体" w:eastAsia="宋体" w:cs="宋体"/>
        </w:rPr>
        <w:t>浦北县第一职业技术学校          0777-</w:t>
      </w:r>
      <w:r>
        <w:rPr>
          <w:rFonts w:hint="eastAsia" w:ascii="宋体" w:hAnsi="宋体" w:eastAsia="宋体" w:cs="宋体"/>
          <w:lang w:val="en-US" w:eastAsia="zh-CN"/>
        </w:rPr>
        <w:t>8319585</w:t>
      </w:r>
    </w:p>
    <w:p>
      <w:pPr>
        <w:spacing w:line="410" w:lineRule="exact"/>
        <w:ind w:firstLine="420"/>
        <w:jc w:val="left"/>
        <w:rPr>
          <w:rFonts w:hint="eastAsia" w:ascii="宋体" w:hAnsi="宋体" w:eastAsia="宋体" w:cs="宋体"/>
        </w:rPr>
      </w:pPr>
      <w:r>
        <w:rPr>
          <w:rFonts w:hint="eastAsia" w:ascii="宋体" w:hAnsi="宋体" w:eastAsia="宋体" w:cs="宋体"/>
        </w:rPr>
        <w:t xml:space="preserve">采购监管部门联系方式：浦北县财政局      </w:t>
      </w:r>
      <w:bookmarkStart w:id="154" w:name="OLE_LINK1"/>
      <w:r>
        <w:rPr>
          <w:rFonts w:hint="eastAsia" w:ascii="宋体" w:hAnsi="宋体" w:eastAsia="宋体" w:cs="宋体"/>
        </w:rPr>
        <w:t>0777-8314622</w:t>
      </w:r>
      <w:bookmarkEnd w:id="154"/>
    </w:p>
    <w:p>
      <w:pPr>
        <w:spacing w:line="410" w:lineRule="exact"/>
        <w:ind w:firstLine="211" w:firstLineChars="100"/>
        <w:rPr>
          <w:rFonts w:hint="eastAsia" w:hAnsi="宋体"/>
        </w:rPr>
      </w:pPr>
      <w:bookmarkStart w:id="155" w:name="_Hlk92793564"/>
      <w:r>
        <w:rPr>
          <w:rFonts w:hint="eastAsia"/>
          <w:b/>
          <w:bCs/>
        </w:rPr>
        <w:t>（十）查询媒体</w:t>
      </w:r>
      <w:bookmarkEnd w:id="149"/>
      <w:bookmarkEnd w:id="155"/>
      <w:r>
        <w:rPr>
          <w:rFonts w:hint="eastAsia"/>
          <w:b/>
          <w:bCs/>
        </w:rPr>
        <w:t>:</w:t>
      </w:r>
      <w:r>
        <w:fldChar w:fldCharType="begin"/>
      </w:r>
      <w:r>
        <w:instrText xml:space="preserve"> HYPERLINK "http://www.ccgp.gov.cn/" </w:instrText>
      </w:r>
      <w:r>
        <w:fldChar w:fldCharType="separate"/>
      </w:r>
      <w:r>
        <w:rPr>
          <w:rStyle w:val="58"/>
          <w:rFonts w:hint="eastAsia" w:hAnsi="宋体"/>
          <w:color w:val="auto"/>
          <w:u w:val="none"/>
        </w:rPr>
        <w:t>中国政府采购网</w:t>
      </w:r>
      <w:r>
        <w:rPr>
          <w:rStyle w:val="58"/>
          <w:rFonts w:hint="eastAsia" w:hAnsi="宋体"/>
          <w:color w:val="auto"/>
          <w:u w:val="none"/>
        </w:rPr>
        <w:fldChar w:fldCharType="end"/>
      </w:r>
      <w:r>
        <w:rPr>
          <w:rFonts w:hint="eastAsia" w:hAnsi="宋体"/>
        </w:rPr>
        <w:t>、</w:t>
      </w:r>
      <w:r>
        <w:fldChar w:fldCharType="begin"/>
      </w:r>
      <w:r>
        <w:instrText xml:space="preserve"> HYPERLINK "http://zfcg.gxzf.gov.cn/" </w:instrText>
      </w:r>
      <w:r>
        <w:fldChar w:fldCharType="separate"/>
      </w:r>
      <w:r>
        <w:rPr>
          <w:rFonts w:hint="eastAsia" w:hAnsi="宋体"/>
        </w:rPr>
        <w:t>广西政府采购网</w:t>
      </w:r>
      <w:r>
        <w:rPr>
          <w:rFonts w:hint="eastAsia" w:hAnsi="宋体"/>
        </w:rPr>
        <w:fldChar w:fldCharType="end"/>
      </w:r>
      <w:r>
        <w:rPr>
          <w:rFonts w:hint="eastAsia" w:hAnsi="宋体"/>
        </w:rPr>
        <w:t>。</w:t>
      </w:r>
    </w:p>
    <w:p>
      <w:pPr>
        <w:spacing w:line="410" w:lineRule="exact"/>
        <w:ind w:firstLine="211" w:firstLineChars="100"/>
        <w:rPr>
          <w:b/>
          <w:bCs/>
        </w:rPr>
      </w:pPr>
    </w:p>
    <w:p>
      <w:pPr>
        <w:pStyle w:val="4"/>
        <w:spacing w:before="0" w:after="0" w:line="410" w:lineRule="exact"/>
        <w:ind w:firstLine="0" w:firstLineChars="0"/>
        <w:rPr>
          <w:rFonts w:ascii="方正小标宋_GBK" w:eastAsia="方正小标宋_GBK"/>
          <w:sz w:val="24"/>
          <w:szCs w:val="24"/>
        </w:rPr>
      </w:pPr>
      <w:bookmarkStart w:id="156" w:name="_Toc353785286"/>
      <w:bookmarkStart w:id="157" w:name="_Toc352700416"/>
      <w:r>
        <w:rPr>
          <w:rFonts w:hint="eastAsia" w:ascii="方正小标宋_GBK" w:eastAsia="方正小标宋_GBK"/>
          <w:sz w:val="24"/>
          <w:szCs w:val="24"/>
        </w:rPr>
        <w:t>二、招标文件</w:t>
      </w:r>
      <w:bookmarkEnd w:id="156"/>
      <w:bookmarkEnd w:id="157"/>
    </w:p>
    <w:p>
      <w:pPr>
        <w:spacing w:line="410" w:lineRule="exact"/>
        <w:ind w:firstLine="211" w:firstLineChars="100"/>
        <w:rPr>
          <w:b/>
          <w:bCs/>
        </w:rPr>
      </w:pPr>
      <w:bookmarkStart w:id="158" w:name="_Toc353785287"/>
      <w:bookmarkStart w:id="159" w:name="_Toc352700417"/>
      <w:r>
        <w:rPr>
          <w:rFonts w:hint="eastAsia"/>
          <w:b/>
          <w:bCs/>
        </w:rPr>
        <w:t>（一）招标文件的组成</w:t>
      </w:r>
      <w:bookmarkEnd w:id="158"/>
      <w:bookmarkEnd w:id="159"/>
    </w:p>
    <w:p>
      <w:pPr>
        <w:pStyle w:val="28"/>
        <w:snapToGrid w:val="0"/>
        <w:spacing w:line="410" w:lineRule="exact"/>
        <w:ind w:firstLine="420"/>
        <w:rPr>
          <w:rFonts w:hint="eastAsia" w:hAnsi="宋体"/>
        </w:rPr>
      </w:pPr>
      <w:r>
        <w:rPr>
          <w:rFonts w:hint="eastAsia" w:hAnsi="宋体"/>
        </w:rPr>
        <w:t>第一章 招标公告</w:t>
      </w:r>
    </w:p>
    <w:p>
      <w:pPr>
        <w:pStyle w:val="28"/>
        <w:snapToGrid w:val="0"/>
        <w:spacing w:line="410" w:lineRule="exact"/>
        <w:ind w:firstLine="420"/>
        <w:rPr>
          <w:rFonts w:hint="eastAsia" w:hAnsi="宋体"/>
        </w:rPr>
      </w:pPr>
      <w:r>
        <w:rPr>
          <w:rFonts w:hint="eastAsia" w:hAnsi="宋体"/>
        </w:rPr>
        <w:t>第二章 项目需求</w:t>
      </w:r>
    </w:p>
    <w:p>
      <w:pPr>
        <w:pStyle w:val="28"/>
        <w:snapToGrid w:val="0"/>
        <w:spacing w:line="410" w:lineRule="exact"/>
        <w:ind w:firstLine="420"/>
        <w:rPr>
          <w:rFonts w:hint="eastAsia" w:hAnsi="宋体"/>
        </w:rPr>
      </w:pPr>
      <w:r>
        <w:rPr>
          <w:rFonts w:hint="eastAsia" w:hAnsi="宋体"/>
        </w:rPr>
        <w:t>第三章 投标人须知及前附表</w:t>
      </w:r>
    </w:p>
    <w:p>
      <w:pPr>
        <w:pStyle w:val="28"/>
        <w:snapToGrid w:val="0"/>
        <w:spacing w:line="410" w:lineRule="exact"/>
        <w:ind w:firstLine="420"/>
        <w:rPr>
          <w:rFonts w:hint="eastAsia" w:hAnsi="宋体"/>
        </w:rPr>
      </w:pPr>
      <w:r>
        <w:rPr>
          <w:rFonts w:hint="eastAsia" w:hAnsi="宋体"/>
        </w:rPr>
        <w:t>第四章 评定标准及推荐原则</w:t>
      </w:r>
    </w:p>
    <w:p>
      <w:pPr>
        <w:pStyle w:val="28"/>
        <w:snapToGrid w:val="0"/>
        <w:spacing w:line="410" w:lineRule="exact"/>
        <w:ind w:firstLine="420"/>
        <w:rPr>
          <w:rFonts w:hint="eastAsia" w:hAnsi="宋体"/>
        </w:rPr>
      </w:pPr>
      <w:r>
        <w:rPr>
          <w:rFonts w:hint="eastAsia" w:hAnsi="宋体"/>
        </w:rPr>
        <w:t>第五章 政府采购合同主要条款</w:t>
      </w:r>
    </w:p>
    <w:p>
      <w:pPr>
        <w:pStyle w:val="28"/>
        <w:snapToGrid w:val="0"/>
        <w:spacing w:line="410" w:lineRule="exact"/>
        <w:ind w:firstLine="420"/>
        <w:rPr>
          <w:rFonts w:hint="eastAsia" w:hAnsi="宋体"/>
        </w:rPr>
      </w:pPr>
      <w:r>
        <w:rPr>
          <w:rFonts w:hint="eastAsia" w:hAnsi="宋体"/>
        </w:rPr>
        <w:t>第六章 投标文件格式</w:t>
      </w:r>
    </w:p>
    <w:p>
      <w:pPr>
        <w:spacing w:line="410" w:lineRule="exact"/>
        <w:ind w:firstLine="211" w:firstLineChars="100"/>
        <w:rPr>
          <w:b/>
          <w:bCs/>
        </w:rPr>
      </w:pPr>
      <w:bookmarkStart w:id="160" w:name="_Toc353785289"/>
      <w:bookmarkStart w:id="161" w:name="_Toc352700419"/>
      <w:r>
        <w:rPr>
          <w:rFonts w:hint="eastAsia"/>
          <w:b/>
          <w:bCs/>
        </w:rPr>
        <w:t>（二）招标文件的澄清与修改</w:t>
      </w:r>
      <w:bookmarkEnd w:id="160"/>
      <w:bookmarkEnd w:id="161"/>
    </w:p>
    <w:p>
      <w:pPr>
        <w:pStyle w:val="28"/>
        <w:snapToGrid w:val="0"/>
        <w:spacing w:line="410" w:lineRule="exact"/>
        <w:ind w:firstLine="420"/>
        <w:jc w:val="left"/>
      </w:pPr>
      <w:r>
        <w:rPr>
          <w:rFonts w:hAnsi="宋体"/>
        </w:rPr>
        <w:t>1.</w:t>
      </w:r>
      <w:r>
        <w:t>采购人</w:t>
      </w:r>
      <w:r>
        <w:rPr>
          <w:rFonts w:hint="eastAsia"/>
        </w:rPr>
        <w:t>或者本中心</w:t>
      </w:r>
      <w:r>
        <w:t>可以对已发出的招标文件进行必要的</w:t>
      </w:r>
      <w:bookmarkStart w:id="162" w:name="_Hlk92287343"/>
      <w:r>
        <w:t>澄清或者修改</w:t>
      </w:r>
      <w:bookmarkEnd w:id="162"/>
      <w:r>
        <w:t>，但不得改变采购标的和资格条件。澄清或者修改应当在原公告发布媒体上发布澄清公告。澄清或者修改的内容为招标文件的组成部分。</w:t>
      </w:r>
    </w:p>
    <w:p>
      <w:pPr>
        <w:pStyle w:val="28"/>
        <w:snapToGrid w:val="0"/>
        <w:spacing w:line="410" w:lineRule="exact"/>
        <w:ind w:firstLine="420"/>
        <w:jc w:val="left"/>
        <w:rPr>
          <w:rFonts w:hint="eastAsia" w:hAnsi="宋体"/>
        </w:rPr>
      </w:pPr>
      <w:r>
        <w:rPr>
          <w:rFonts w:hAnsi="宋体"/>
        </w:rPr>
        <w:t>2.澄清或者修改的内容可能影响投标文件编制的，采购人或者采购代理机构应当在投标截止时间至少15日前，以</w:t>
      </w:r>
      <w:r>
        <w:rPr>
          <w:rFonts w:hint="eastAsia" w:hAnsi="宋体"/>
        </w:rPr>
        <w:t>书面形式</w:t>
      </w:r>
      <w:r>
        <w:rPr>
          <w:rFonts w:hAnsi="宋体"/>
        </w:rPr>
        <w:t>通知所有</w:t>
      </w:r>
      <w:r>
        <w:rPr>
          <w:rFonts w:hint="eastAsia" w:hAnsi="宋体"/>
        </w:rPr>
        <w:t>依法</w:t>
      </w:r>
      <w:r>
        <w:rPr>
          <w:rFonts w:hAnsi="宋体"/>
        </w:rPr>
        <w:t>获取招标文件的潜在投标人；不足15日的，采购人或者采购代理机构应当顺延提交投标文件的截止时间。</w:t>
      </w:r>
    </w:p>
    <w:p>
      <w:pPr>
        <w:pStyle w:val="28"/>
        <w:snapToGrid w:val="0"/>
        <w:spacing w:line="410" w:lineRule="exact"/>
        <w:ind w:firstLine="420"/>
        <w:jc w:val="left"/>
        <w:rPr>
          <w:rFonts w:ascii="Arial" w:hAnsi="Arial" w:cs="Arial"/>
        </w:rPr>
      </w:pPr>
      <w:bookmarkStart w:id="163" w:name="_Hlk92446337"/>
      <w:r>
        <w:rPr>
          <w:rFonts w:hAnsi="宋体"/>
        </w:rPr>
        <w:t>3.</w:t>
      </w:r>
      <w:r>
        <w:rPr>
          <w:rFonts w:ascii="Arial" w:hAnsi="Arial" w:cs="Arial"/>
        </w:rPr>
        <w:t>提供期限届满后，获取招标文件的潜在投标人不足3家的，</w:t>
      </w:r>
      <w:r>
        <w:rPr>
          <w:rFonts w:hint="eastAsia" w:ascii="Arial" w:hAnsi="Arial" w:cs="Arial"/>
        </w:rPr>
        <w:t>本中心</w:t>
      </w:r>
      <w:r>
        <w:rPr>
          <w:rFonts w:ascii="Arial" w:hAnsi="Arial" w:cs="Arial"/>
        </w:rPr>
        <w:t>可以顺延提供期限，并予公告。</w:t>
      </w:r>
    </w:p>
    <w:bookmarkEnd w:id="163"/>
    <w:p>
      <w:pPr>
        <w:pStyle w:val="4"/>
        <w:spacing w:before="0" w:after="0" w:line="410" w:lineRule="exact"/>
        <w:ind w:firstLine="0" w:firstLineChars="0"/>
        <w:rPr>
          <w:rFonts w:ascii="方正小标宋_GBK" w:eastAsia="方正小标宋_GBK"/>
          <w:b w:val="0"/>
          <w:sz w:val="24"/>
          <w:szCs w:val="24"/>
        </w:rPr>
      </w:pPr>
      <w:bookmarkStart w:id="164" w:name="_三、投标文件"/>
      <w:bookmarkEnd w:id="164"/>
      <w:bookmarkStart w:id="165" w:name="_Toc352700420"/>
      <w:bookmarkStart w:id="166" w:name="_Toc353785290"/>
      <w:bookmarkStart w:id="167" w:name="_Toc254970535"/>
      <w:bookmarkStart w:id="168" w:name="_Toc254970676"/>
      <w:r>
        <w:rPr>
          <w:rFonts w:hint="eastAsia" w:ascii="方正小标宋_GBK" w:eastAsia="方正小标宋_GBK"/>
          <w:b w:val="0"/>
          <w:sz w:val="24"/>
          <w:szCs w:val="24"/>
        </w:rPr>
        <w:t>三、</w:t>
      </w:r>
      <w:bookmarkStart w:id="169" w:name="_Hlk92446512"/>
      <w:r>
        <w:rPr>
          <w:rFonts w:hint="eastAsia" w:ascii="方正小标宋_GBK" w:eastAsia="方正小标宋_GBK"/>
          <w:b w:val="0"/>
          <w:sz w:val="24"/>
          <w:szCs w:val="24"/>
        </w:rPr>
        <w:t>投标文件</w:t>
      </w:r>
      <w:bookmarkEnd w:id="165"/>
      <w:bookmarkEnd w:id="166"/>
      <w:bookmarkEnd w:id="167"/>
      <w:bookmarkEnd w:id="168"/>
    </w:p>
    <w:p>
      <w:pPr>
        <w:spacing w:line="410" w:lineRule="exact"/>
        <w:ind w:firstLine="211" w:firstLineChars="100"/>
        <w:rPr>
          <w:rFonts w:hint="eastAsia" w:hAnsi="宋体"/>
          <w:b/>
          <w:bCs/>
        </w:rPr>
      </w:pPr>
      <w:bookmarkStart w:id="170" w:name="_Toc254970677"/>
      <w:bookmarkStart w:id="171" w:name="_Toc352700421"/>
      <w:bookmarkStart w:id="172" w:name="_Toc254970536"/>
      <w:bookmarkStart w:id="173" w:name="_Toc353785291"/>
      <w:r>
        <w:rPr>
          <w:rFonts w:hint="eastAsia" w:hAnsi="宋体"/>
          <w:b/>
          <w:bCs/>
        </w:rPr>
        <w:t>（一）投标人的风险</w:t>
      </w:r>
    </w:p>
    <w:p>
      <w:pPr>
        <w:spacing w:line="410" w:lineRule="exact"/>
        <w:ind w:firstLine="420"/>
        <w:rPr>
          <w:rFonts w:hint="eastAsia" w:hAnsi="宋体"/>
        </w:rPr>
      </w:pPr>
      <w:r>
        <w:rPr>
          <w:rFonts w:hAnsi="宋体"/>
        </w:rPr>
        <w:t>1.</w:t>
      </w:r>
      <w:r>
        <w:rPr>
          <w:rFonts w:hint="eastAsia" w:hAnsi="宋体"/>
        </w:rPr>
        <w:t>投标人应仔细阅读招标文件的全部内容，按照招标文件的要求提交投标文件，并对所提供的全部资料的真实性承担法律责任。</w:t>
      </w:r>
    </w:p>
    <w:p>
      <w:pPr>
        <w:spacing w:line="410" w:lineRule="exact"/>
        <w:ind w:firstLine="420"/>
        <w:rPr>
          <w:rFonts w:hint="eastAsia" w:hAnsi="宋体"/>
        </w:rPr>
      </w:pPr>
      <w:r>
        <w:rPr>
          <w:rFonts w:hAnsi="宋体"/>
        </w:rPr>
        <w:t>2.</w:t>
      </w:r>
      <w:r>
        <w:rPr>
          <w:rFonts w:hint="eastAsia" w:hAnsi="宋体"/>
        </w:rPr>
        <w:t>投标人在投标活动中提供任何虚假材料的，评标委员会将报财政部门查处。</w:t>
      </w:r>
    </w:p>
    <w:bookmarkEnd w:id="169"/>
    <w:p>
      <w:pPr>
        <w:snapToGrid w:val="0"/>
        <w:spacing w:line="410" w:lineRule="exact"/>
        <w:ind w:firstLine="211" w:firstLineChars="100"/>
        <w:rPr>
          <w:rFonts w:hint="eastAsia" w:ascii="宋体" w:hAnsi="宋体"/>
          <w:b/>
          <w:szCs w:val="21"/>
        </w:rPr>
      </w:pPr>
      <w:bookmarkStart w:id="174" w:name="_Hlk92446638"/>
      <w:r>
        <w:rPr>
          <w:rFonts w:hint="eastAsia" w:hAnsi="宋体"/>
          <w:b/>
          <w:bCs/>
        </w:rPr>
        <w:t>（二）</w:t>
      </w:r>
      <w:r>
        <w:rPr>
          <w:rFonts w:hint="eastAsia" w:ascii="宋体" w:hAnsi="宋体"/>
          <w:b/>
          <w:szCs w:val="21"/>
        </w:rPr>
        <w:t>投标文件的组成</w:t>
      </w:r>
    </w:p>
    <w:p>
      <w:pPr>
        <w:snapToGrid w:val="0"/>
        <w:spacing w:line="410" w:lineRule="exact"/>
        <w:ind w:firstLine="422"/>
        <w:rPr>
          <w:rFonts w:hint="eastAsia" w:ascii="宋体" w:hAnsi="宋体"/>
          <w:b/>
          <w:szCs w:val="21"/>
        </w:rPr>
      </w:pPr>
      <w:bookmarkStart w:id="175" w:name="_Hlk92285760"/>
      <w:r>
        <w:rPr>
          <w:rFonts w:ascii="宋体" w:hAnsi="宋体"/>
          <w:b/>
          <w:szCs w:val="21"/>
        </w:rPr>
        <w:t>1.</w:t>
      </w:r>
      <w:r>
        <w:rPr>
          <w:rFonts w:hint="eastAsia" w:ascii="宋体" w:hAnsi="宋体"/>
          <w:b/>
          <w:szCs w:val="21"/>
        </w:rPr>
        <w:t>资格文件：</w:t>
      </w:r>
    </w:p>
    <w:p>
      <w:pPr>
        <w:tabs>
          <w:tab w:val="left" w:pos="3870"/>
          <w:tab w:val="left" w:pos="4085"/>
        </w:tabs>
        <w:snapToGrid w:val="0"/>
        <w:spacing w:line="410" w:lineRule="exact"/>
        <w:ind w:firstLine="420"/>
        <w:rPr>
          <w:rFonts w:hint="eastAsia" w:ascii="宋体" w:hAnsi="宋体"/>
          <w:szCs w:val="21"/>
        </w:rPr>
      </w:pPr>
      <w:r>
        <w:rPr>
          <w:rFonts w:hint="eastAsia" w:ascii="宋体" w:hAnsi="宋体" w:cs="宋体"/>
          <w:bCs/>
          <w:kern w:val="0"/>
          <w:szCs w:val="21"/>
        </w:rPr>
        <w:t>★</w:t>
      </w:r>
      <w:bookmarkStart w:id="176"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176"/>
    <w:p>
      <w:pPr>
        <w:tabs>
          <w:tab w:val="left" w:pos="3870"/>
          <w:tab w:val="left" w:pos="4085"/>
        </w:tabs>
        <w:snapToGrid w:val="0"/>
        <w:spacing w:line="410" w:lineRule="exact"/>
        <w:ind w:firstLine="420"/>
        <w:rPr>
          <w:rFonts w:hint="eastAsia" w:hAnsi="宋体"/>
        </w:rPr>
      </w:pPr>
      <w:r>
        <w:rPr>
          <w:rFonts w:hint="eastAsia" w:ascii="宋体" w:hAnsi="宋体" w:cs="宋体"/>
          <w:bCs/>
          <w:kern w:val="0"/>
          <w:szCs w:val="21"/>
        </w:rPr>
        <w:t>★(</w:t>
      </w:r>
      <w:r>
        <w:rPr>
          <w:rFonts w:ascii="宋体" w:hAnsi="宋体" w:cs="宋体"/>
          <w:bCs/>
          <w:kern w:val="0"/>
          <w:szCs w:val="21"/>
        </w:rPr>
        <w:t>2)</w:t>
      </w:r>
      <w:r>
        <w:rPr>
          <w:rFonts w:hint="eastAsia" w:ascii="宋体" w:hAnsi="宋体"/>
          <w:szCs w:val="21"/>
        </w:rPr>
        <w:t>投标人具备参加政府采购活动条件的承诺书</w:t>
      </w:r>
      <w:r>
        <w:rPr>
          <w:rFonts w:hint="eastAsia" w:ascii="宋体" w:hAnsi="宋体" w:cs="宋体"/>
          <w:szCs w:val="21"/>
        </w:rPr>
        <w:t>(格式见第六章</w:t>
      </w:r>
      <w:r>
        <w:rPr>
          <w:rFonts w:ascii="宋体" w:hAnsi="宋体" w:cs="宋体"/>
          <w:szCs w:val="21"/>
        </w:rPr>
        <w:t>）</w:t>
      </w:r>
    </w:p>
    <w:p>
      <w:pPr>
        <w:tabs>
          <w:tab w:val="left" w:pos="3870"/>
          <w:tab w:val="left" w:pos="4085"/>
        </w:tabs>
        <w:snapToGrid w:val="0"/>
        <w:spacing w:line="410" w:lineRule="exact"/>
        <w:ind w:firstLine="420"/>
        <w:rPr>
          <w:rFonts w:hint="eastAsia" w:hAnsi="宋体"/>
        </w:rPr>
      </w:pPr>
      <w:r>
        <w:rPr>
          <w:rFonts w:hint="eastAsia" w:ascii="宋体" w:hAnsi="宋体" w:cs="宋体"/>
          <w:bCs/>
          <w:kern w:val="0"/>
          <w:szCs w:val="21"/>
        </w:rPr>
        <w:t>★(</w:t>
      </w:r>
      <w:r>
        <w:rPr>
          <w:rFonts w:ascii="宋体" w:hAnsi="宋体" w:cs="宋体"/>
          <w:bCs/>
          <w:kern w:val="0"/>
          <w:szCs w:val="21"/>
        </w:rPr>
        <w:t>3)</w:t>
      </w:r>
      <w:r>
        <w:rPr>
          <w:rFonts w:hint="eastAsia" w:hAnsi="宋体"/>
        </w:rPr>
        <w:t>参加政府采购活动前3年内在经营活动中没有重大违法记录的书面声明(格式见第六章)</w:t>
      </w:r>
    </w:p>
    <w:p>
      <w:pPr>
        <w:snapToGrid w:val="0"/>
        <w:spacing w:line="410" w:lineRule="exact"/>
        <w:ind w:firstLine="422"/>
        <w:rPr>
          <w:rFonts w:hint="eastAsia" w:ascii="宋体" w:hAnsi="宋体"/>
          <w:b/>
          <w:szCs w:val="21"/>
        </w:rPr>
      </w:pPr>
      <w:r>
        <w:rPr>
          <w:rFonts w:ascii="宋体" w:hAnsi="宋体"/>
          <w:b/>
          <w:szCs w:val="21"/>
        </w:rPr>
        <w:t>2.</w:t>
      </w:r>
      <w:r>
        <w:rPr>
          <w:rFonts w:hint="eastAsia" w:ascii="宋体" w:hAnsi="宋体"/>
          <w:b/>
          <w:szCs w:val="21"/>
        </w:rPr>
        <w:t>商务技术文件：</w:t>
      </w:r>
    </w:p>
    <w:p>
      <w:pPr>
        <w:snapToGrid w:val="0"/>
        <w:spacing w:line="410" w:lineRule="exact"/>
        <w:ind w:firstLine="422"/>
        <w:rPr>
          <w:rFonts w:hint="eastAsia" w:ascii="宋体" w:hAnsi="宋体"/>
          <w:szCs w:val="21"/>
        </w:rPr>
      </w:pPr>
      <w:r>
        <w:rPr>
          <w:rFonts w:ascii="宋体" w:hAnsi="宋体"/>
          <w:b/>
          <w:szCs w:val="21"/>
        </w:rPr>
        <w:t xml:space="preserve"> </w:t>
      </w:r>
      <w:r>
        <w:rPr>
          <w:rFonts w:ascii="宋体" w:hAnsi="宋体"/>
          <w:szCs w:val="21"/>
        </w:rPr>
        <w:t xml:space="preserve"> (1)</w:t>
      </w:r>
      <w:bookmarkStart w:id="177" w:name="_Hlk97803518"/>
      <w:r>
        <w:rPr>
          <w:rFonts w:hint="eastAsia" w:ascii="宋体" w:hAnsi="宋体"/>
          <w:szCs w:val="21"/>
        </w:rPr>
        <w:t>投标保证金票据或转账凭证(户名、账号及开户行等信息清晰可辨）</w:t>
      </w:r>
      <w:bookmarkEnd w:id="177"/>
    </w:p>
    <w:p>
      <w:pPr>
        <w:tabs>
          <w:tab w:val="left" w:pos="3870"/>
          <w:tab w:val="left" w:pos="4085"/>
        </w:tabs>
        <w:snapToGrid w:val="0"/>
        <w:spacing w:line="410" w:lineRule="exact"/>
        <w:ind w:firstLine="420"/>
        <w:rPr>
          <w:rFonts w:hint="eastAsia" w:ascii="宋体" w:hAnsi="宋体"/>
          <w:szCs w:val="21"/>
        </w:rPr>
      </w:pPr>
      <w:r>
        <w:rPr>
          <w:rFonts w:hint="eastAsia" w:ascii="宋体" w:hAnsi="宋体" w:cs="宋体"/>
          <w:bCs/>
          <w:kern w:val="0"/>
          <w:szCs w:val="21"/>
        </w:rPr>
        <w:t>★</w:t>
      </w:r>
      <w:r>
        <w:rPr>
          <w:rFonts w:hint="eastAsia" w:ascii="宋体" w:hAnsi="宋体"/>
          <w:szCs w:val="21"/>
        </w:rPr>
        <w:t>(</w:t>
      </w:r>
      <w:r>
        <w:rPr>
          <w:rFonts w:ascii="宋体" w:hAnsi="宋体"/>
          <w:szCs w:val="21"/>
        </w:rPr>
        <w:t>2)</w:t>
      </w:r>
      <w:r>
        <w:rPr>
          <w:rFonts w:hint="eastAsia" w:ascii="宋体" w:hAnsi="宋体"/>
          <w:szCs w:val="21"/>
        </w:rPr>
        <w:t>投标函（格式见第六章）</w:t>
      </w:r>
    </w:p>
    <w:p>
      <w:pPr>
        <w:tabs>
          <w:tab w:val="left" w:pos="3870"/>
          <w:tab w:val="left" w:pos="4085"/>
        </w:tabs>
        <w:snapToGrid w:val="0"/>
        <w:spacing w:line="410" w:lineRule="exact"/>
        <w:ind w:firstLine="420"/>
        <w:rPr>
          <w:rFonts w:hint="eastAsia" w:ascii="宋体" w:hAnsi="宋体"/>
          <w:szCs w:val="21"/>
        </w:rPr>
      </w:pPr>
      <w:r>
        <w:rPr>
          <w:rFonts w:hint="eastAsia" w:ascii="宋体" w:hAnsi="宋体" w:cs="宋体"/>
          <w:bCs/>
          <w:kern w:val="0"/>
          <w:szCs w:val="21"/>
        </w:rPr>
        <w:t>★</w:t>
      </w:r>
      <w:r>
        <w:rPr>
          <w:rFonts w:hint="eastAsia" w:ascii="宋体" w:hAnsi="宋体"/>
          <w:szCs w:val="21"/>
        </w:rPr>
        <w:t>(</w:t>
      </w:r>
      <w:r>
        <w:rPr>
          <w:rFonts w:ascii="宋体" w:hAnsi="宋体"/>
          <w:szCs w:val="21"/>
        </w:rPr>
        <w:t>3)</w:t>
      </w:r>
      <w:r>
        <w:rPr>
          <w:rFonts w:hint="eastAsia" w:ascii="宋体" w:hAnsi="宋体"/>
          <w:szCs w:val="21"/>
        </w:rPr>
        <w:t>法定代表人身份证</w:t>
      </w:r>
    </w:p>
    <w:p>
      <w:pPr>
        <w:snapToGrid w:val="0"/>
        <w:spacing w:line="410" w:lineRule="exact"/>
        <w:ind w:firstLine="417" w:firstLineChars="199"/>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法定代表人授权委托书和代理人身份证（委托代理时必须提供，格式见第六章）</w:t>
      </w:r>
    </w:p>
    <w:p>
      <w:pPr>
        <w:snapToGrid w:val="0"/>
        <w:spacing w:line="410" w:lineRule="exact"/>
        <w:ind w:firstLine="420" w:firstLineChars="199"/>
        <w:rPr>
          <w:rFonts w:hint="eastAsia" w:ascii="宋体" w:hAnsi="宋体"/>
          <w:szCs w:val="21"/>
        </w:rPr>
      </w:pPr>
      <w:r>
        <w:rPr>
          <w:rFonts w:hint="eastAsia" w:ascii="宋体" w:hAnsi="宋体"/>
          <w:b/>
          <w:szCs w:val="21"/>
        </w:rPr>
        <w:t>★</w:t>
      </w:r>
      <w:r>
        <w:rPr>
          <w:rFonts w:hint="eastAsia" w:ascii="宋体" w:hAnsi="宋体"/>
          <w:szCs w:val="21"/>
        </w:rPr>
        <w:t>(</w:t>
      </w:r>
      <w:r>
        <w:rPr>
          <w:rFonts w:ascii="宋体" w:hAnsi="宋体"/>
          <w:szCs w:val="21"/>
        </w:rPr>
        <w:t>5)</w:t>
      </w:r>
      <w:r>
        <w:rPr>
          <w:rFonts w:ascii="宋体" w:hAnsi="宋体"/>
        </w:rPr>
        <w:t>商务响应表(格式见第六章)</w:t>
      </w:r>
    </w:p>
    <w:p>
      <w:pPr>
        <w:snapToGrid w:val="0"/>
        <w:spacing w:line="410" w:lineRule="exact"/>
        <w:ind w:firstLine="420" w:firstLineChars="199"/>
        <w:rPr>
          <w:rFonts w:hint="eastAsia" w:ascii="宋体" w:hAnsi="宋体"/>
        </w:rPr>
      </w:pPr>
      <w:r>
        <w:rPr>
          <w:rFonts w:hint="eastAsia" w:ascii="宋体" w:hAnsi="宋体"/>
          <w:b/>
          <w:szCs w:val="21"/>
        </w:rPr>
        <w:t>★</w:t>
      </w:r>
      <w:r>
        <w:rPr>
          <w:rFonts w:hint="eastAsia" w:ascii="宋体" w:hAnsi="宋体"/>
        </w:rPr>
        <w:t>(</w:t>
      </w:r>
      <w:r>
        <w:rPr>
          <w:rFonts w:ascii="宋体" w:hAnsi="宋体"/>
        </w:rPr>
        <w:t>6)</w:t>
      </w:r>
      <w:r>
        <w:rPr>
          <w:rFonts w:hint="eastAsia" w:ascii="宋体" w:hAnsi="宋体"/>
          <w:szCs w:val="21"/>
        </w:rPr>
        <w:t>技术响应表</w:t>
      </w:r>
      <w:bookmarkStart w:id="178" w:name="_Hlk92285954"/>
      <w:r>
        <w:rPr>
          <w:rFonts w:ascii="宋体" w:hAnsi="宋体"/>
        </w:rPr>
        <w:t>(格式见第六章)</w:t>
      </w:r>
      <w:bookmarkEnd w:id="178"/>
    </w:p>
    <w:p>
      <w:pPr>
        <w:snapToGrid w:val="0"/>
        <w:spacing w:line="410" w:lineRule="exact"/>
        <w:ind w:firstLine="420" w:firstLineChars="199"/>
        <w:rPr>
          <w:rFonts w:hint="eastAsia" w:ascii="宋体" w:hAnsi="宋体"/>
          <w:szCs w:val="21"/>
        </w:rPr>
      </w:pPr>
      <w:r>
        <w:rPr>
          <w:rFonts w:hint="eastAsia" w:ascii="宋体" w:hAnsi="宋体"/>
          <w:b/>
          <w:szCs w:val="21"/>
        </w:rPr>
        <w:t>★</w:t>
      </w:r>
      <w:r>
        <w:rPr>
          <w:rFonts w:hint="eastAsia" w:ascii="宋体" w:hAnsi="宋体"/>
        </w:rPr>
        <w:t>(7</w:t>
      </w:r>
      <w:r>
        <w:rPr>
          <w:rFonts w:ascii="宋体" w:hAnsi="宋体"/>
        </w:rPr>
        <w:t>)</w:t>
      </w:r>
      <w:r>
        <w:rPr>
          <w:rFonts w:hint="eastAsia" w:ascii="宋体" w:hAnsi="宋体"/>
        </w:rPr>
        <w:t>《项目需求》中要求必须提供的材料</w:t>
      </w:r>
    </w:p>
    <w:p>
      <w:pPr>
        <w:snapToGrid w:val="0"/>
        <w:spacing w:line="410" w:lineRule="exact"/>
        <w:ind w:firstLine="627" w:firstLineChars="299"/>
        <w:rPr>
          <w:rFonts w:hint="eastAsia" w:ascii="宋体" w:hAnsi="宋体"/>
        </w:rPr>
      </w:pPr>
      <w:r>
        <w:rPr>
          <w:rFonts w:hint="eastAsia" w:ascii="宋体" w:hAnsi="宋体"/>
          <w:szCs w:val="21"/>
        </w:rPr>
        <w:t>(8</w:t>
      </w:r>
      <w:r>
        <w:rPr>
          <w:rFonts w:ascii="宋体" w:hAnsi="宋体"/>
          <w:szCs w:val="21"/>
        </w:rPr>
        <w:t>)</w:t>
      </w:r>
      <w:r>
        <w:rPr>
          <w:rFonts w:hint="eastAsia" w:ascii="宋体" w:hAnsi="宋体"/>
        </w:rPr>
        <w:t>项目实施</w:t>
      </w:r>
      <w:r>
        <w:rPr>
          <w:rFonts w:hint="eastAsia" w:ascii="宋体" w:hAnsi="宋体" w:cs="宋体"/>
          <w:szCs w:val="21"/>
        </w:rPr>
        <w:t>方案</w:t>
      </w:r>
      <w:r>
        <w:rPr>
          <w:rFonts w:hint="eastAsia" w:ascii="宋体" w:hAnsi="宋体"/>
        </w:rPr>
        <w:t>（</w:t>
      </w:r>
      <w:r>
        <w:rPr>
          <w:rFonts w:hint="eastAsia" w:ascii="宋体" w:cs="宋体"/>
          <w:kern w:val="0"/>
          <w:szCs w:val="21"/>
        </w:rPr>
        <w:t>根据项目需求及《评定标准及推荐原则》的要求提供，格式自拟</w:t>
      </w:r>
      <w:r>
        <w:rPr>
          <w:rFonts w:hint="eastAsia" w:ascii="宋体" w:hAnsi="宋体"/>
        </w:rPr>
        <w:t>）</w:t>
      </w:r>
    </w:p>
    <w:p>
      <w:pPr>
        <w:snapToGrid w:val="0"/>
        <w:spacing w:line="410" w:lineRule="exact"/>
        <w:ind w:firstLine="627" w:firstLineChars="299"/>
        <w:rPr>
          <w:rFonts w:hint="eastAsia" w:ascii="宋体" w:hAnsi="宋体"/>
        </w:rPr>
      </w:pPr>
      <w:r>
        <w:rPr>
          <w:rFonts w:hint="eastAsia" w:ascii="宋体" w:hAnsi="宋体"/>
          <w:szCs w:val="21"/>
        </w:rPr>
        <w:t>(9</w:t>
      </w:r>
      <w:r>
        <w:rPr>
          <w:rFonts w:ascii="宋体" w:hAnsi="宋体"/>
          <w:szCs w:val="21"/>
        </w:rPr>
        <w:t>)</w:t>
      </w:r>
      <w:r>
        <w:rPr>
          <w:rFonts w:hint="eastAsia" w:ascii="宋体" w:hAnsi="宋体"/>
        </w:rPr>
        <w:t>售后服务</w:t>
      </w:r>
      <w:r>
        <w:rPr>
          <w:rFonts w:hint="eastAsia" w:ascii="宋体" w:hAnsi="宋体" w:cs="宋体"/>
          <w:szCs w:val="21"/>
        </w:rPr>
        <w:t>方案</w:t>
      </w:r>
      <w:r>
        <w:rPr>
          <w:rFonts w:hint="eastAsia" w:ascii="宋体" w:hAnsi="宋体"/>
        </w:rPr>
        <w:t>（</w:t>
      </w:r>
      <w:r>
        <w:rPr>
          <w:rFonts w:hint="eastAsia" w:ascii="宋体" w:cs="宋体"/>
          <w:kern w:val="0"/>
          <w:szCs w:val="21"/>
        </w:rPr>
        <w:t>根据项目需求及《评定标准及推荐原则》的要求提供，格式自拟</w:t>
      </w:r>
      <w:r>
        <w:rPr>
          <w:rFonts w:hint="eastAsia" w:ascii="宋体" w:hAnsi="宋体"/>
        </w:rPr>
        <w:t>）</w:t>
      </w:r>
    </w:p>
    <w:p>
      <w:pPr>
        <w:spacing w:line="410" w:lineRule="exact"/>
        <w:ind w:firstLine="630" w:firstLineChars="300"/>
        <w:rPr>
          <w:rFonts w:hint="eastAsia" w:ascii="宋体" w:hAnsi="宋体"/>
          <w:szCs w:val="21"/>
        </w:rPr>
      </w:pPr>
      <w:r>
        <w:rPr>
          <w:rFonts w:ascii="宋体" w:hAnsi="宋体"/>
          <w:szCs w:val="21"/>
        </w:rPr>
        <w:t>(</w:t>
      </w:r>
      <w:r>
        <w:rPr>
          <w:rFonts w:hint="eastAsia" w:ascii="宋体" w:hAnsi="宋体"/>
          <w:szCs w:val="21"/>
        </w:rPr>
        <w:t>10</w:t>
      </w:r>
      <w:r>
        <w:rPr>
          <w:rFonts w:ascii="宋体" w:hAnsi="宋体"/>
          <w:szCs w:val="21"/>
        </w:rPr>
        <w:t>)</w:t>
      </w:r>
      <w:r>
        <w:rPr>
          <w:rFonts w:hint="eastAsia" w:ascii="宋体" w:hAnsi="宋体"/>
        </w:rPr>
        <w:t>项目</w:t>
      </w:r>
      <w:r>
        <w:rPr>
          <w:rFonts w:hint="eastAsia" w:ascii="宋体" w:hAnsi="宋体"/>
          <w:lang w:val="en-US" w:eastAsia="zh-CN"/>
        </w:rPr>
        <w:t>技术</w:t>
      </w:r>
      <w:r>
        <w:rPr>
          <w:rFonts w:hint="eastAsia" w:ascii="宋体" w:hAnsi="宋体" w:cs="宋体"/>
          <w:szCs w:val="21"/>
        </w:rPr>
        <w:t>方案</w:t>
      </w:r>
      <w:r>
        <w:rPr>
          <w:rFonts w:hint="eastAsia" w:ascii="宋体" w:hAnsi="宋体"/>
        </w:rPr>
        <w:t>（</w:t>
      </w:r>
      <w:r>
        <w:rPr>
          <w:rFonts w:hint="eastAsia" w:ascii="宋体" w:cs="宋体"/>
          <w:kern w:val="0"/>
          <w:szCs w:val="21"/>
        </w:rPr>
        <w:t>根据项目需求及《评定标准及推荐原则》的要求提供，格式自拟</w:t>
      </w:r>
      <w:r>
        <w:rPr>
          <w:rFonts w:hint="eastAsia" w:ascii="宋体" w:hAnsi="宋体"/>
        </w:rPr>
        <w:t>）</w:t>
      </w:r>
    </w:p>
    <w:p>
      <w:pPr>
        <w:spacing w:line="410" w:lineRule="exact"/>
        <w:ind w:firstLine="630" w:firstLineChars="300"/>
        <w:rPr>
          <w:rFonts w:hint="eastAsia" w:ascii="宋体" w:hAnsi="宋体"/>
          <w:szCs w:val="21"/>
        </w:rPr>
      </w:pPr>
      <w:r>
        <w:rPr>
          <w:rFonts w:hint="eastAsia" w:ascii="宋体" w:hAnsi="宋体"/>
          <w:szCs w:val="21"/>
        </w:rPr>
        <w:t>(11)投标人/产品生产厂家具备相关管理体系认证的证明材料</w:t>
      </w:r>
    </w:p>
    <w:p>
      <w:pPr>
        <w:spacing w:line="410" w:lineRule="exact"/>
        <w:ind w:firstLine="630" w:firstLineChars="300"/>
        <w:rPr>
          <w:rFonts w:hint="eastAsia" w:ascii="宋体" w:hAnsi="宋体"/>
        </w:rPr>
      </w:pPr>
      <w:r>
        <w:rPr>
          <w:rFonts w:ascii="宋体" w:hAnsi="宋体"/>
          <w:szCs w:val="21"/>
        </w:rPr>
        <w:t>(1</w:t>
      </w:r>
      <w:r>
        <w:rPr>
          <w:rFonts w:hint="eastAsia" w:ascii="宋体" w:hAnsi="宋体"/>
          <w:szCs w:val="21"/>
        </w:rPr>
        <w:t>2</w:t>
      </w:r>
      <w:r>
        <w:rPr>
          <w:rFonts w:ascii="宋体" w:hAnsi="宋体"/>
          <w:szCs w:val="21"/>
        </w:rPr>
        <w:t>)</w:t>
      </w:r>
      <w:r>
        <w:rPr>
          <w:rFonts w:hint="eastAsia" w:ascii="宋体" w:hAnsi="宋体"/>
          <w:szCs w:val="21"/>
        </w:rPr>
        <w:t>投标人自2021年以来具有同类</w:t>
      </w:r>
      <w:r>
        <w:rPr>
          <w:rFonts w:hint="eastAsia" w:ascii="宋体" w:hAnsi="宋体"/>
          <w:szCs w:val="21"/>
          <w:lang w:val="en-US" w:eastAsia="zh-CN"/>
        </w:rPr>
        <w:t>合同</w:t>
      </w:r>
      <w:r>
        <w:rPr>
          <w:rFonts w:hint="eastAsia" w:ascii="宋体" w:hAnsi="宋体"/>
          <w:szCs w:val="21"/>
        </w:rPr>
        <w:t>的证明材料</w:t>
      </w:r>
    </w:p>
    <w:p>
      <w:pPr>
        <w:spacing w:line="410" w:lineRule="exact"/>
        <w:ind w:firstLine="630" w:firstLineChars="300"/>
        <w:rPr>
          <w:rFonts w:hint="eastAsia" w:ascii="宋体" w:hAnsi="宋体"/>
        </w:rPr>
      </w:pPr>
      <w:r>
        <w:rPr>
          <w:rFonts w:hint="eastAsia" w:ascii="宋体" w:hAnsi="宋体" w:eastAsia="宋体" w:cs="Times New Roman"/>
          <w:kern w:val="2"/>
          <w:sz w:val="21"/>
          <w:szCs w:val="21"/>
          <w:lang w:val="en-US" w:eastAsia="zh-CN" w:bidi="ar-SA"/>
        </w:rPr>
        <w:t>（13）</w:t>
      </w:r>
      <w:r>
        <w:rPr>
          <w:rFonts w:hint="eastAsia" w:ascii="宋体" w:hAnsi="宋体"/>
        </w:rPr>
        <w:t>投标人认为有必要提供的声明或材料(中小企业声明、残疾人福利性单位声明、监狱企业证明、节能或环境标志产品证书等)</w:t>
      </w:r>
    </w:p>
    <w:p>
      <w:pPr>
        <w:pStyle w:val="2"/>
        <w:rPr>
          <w:rFonts w:hint="default" w:eastAsia="宋体"/>
          <w:lang w:val="en-US" w:eastAsia="zh-CN"/>
        </w:rPr>
      </w:pPr>
    </w:p>
    <w:p>
      <w:pPr>
        <w:snapToGrid w:val="0"/>
        <w:spacing w:line="410" w:lineRule="exact"/>
        <w:ind w:firstLine="422"/>
        <w:rPr>
          <w:rFonts w:hint="eastAsia" w:ascii="宋体" w:hAnsi="宋体"/>
          <w:b/>
          <w:szCs w:val="21"/>
        </w:rPr>
      </w:pPr>
      <w:r>
        <w:rPr>
          <w:rFonts w:ascii="宋体" w:hAnsi="宋体"/>
          <w:b/>
          <w:szCs w:val="21"/>
        </w:rPr>
        <w:t>3.</w:t>
      </w:r>
      <w:r>
        <w:rPr>
          <w:rFonts w:hint="eastAsia" w:ascii="宋体" w:hAnsi="宋体"/>
          <w:b/>
          <w:szCs w:val="21"/>
        </w:rPr>
        <w:t>报价文件</w:t>
      </w:r>
    </w:p>
    <w:p>
      <w:pPr>
        <w:snapToGrid w:val="0"/>
        <w:spacing w:line="410" w:lineRule="exact"/>
        <w:ind w:firstLine="422"/>
        <w:rPr>
          <w:rFonts w:hint="eastAsia" w:ascii="宋体" w:hAnsi="宋体"/>
          <w:b/>
          <w:szCs w:val="21"/>
        </w:rPr>
      </w:pPr>
      <w:r>
        <w:rPr>
          <w:rFonts w:hint="eastAsia" w:ascii="宋体" w:hAnsi="宋体"/>
          <w:b/>
          <w:szCs w:val="21"/>
        </w:rPr>
        <w:t>★</w:t>
      </w:r>
      <w:r>
        <w:rPr>
          <w:rFonts w:hint="eastAsia" w:ascii="宋体" w:hAnsi="宋体"/>
          <w:bCs/>
          <w:szCs w:val="21"/>
        </w:rPr>
        <w:t>(</w:t>
      </w:r>
      <w:r>
        <w:rPr>
          <w:rFonts w:ascii="宋体" w:hAnsi="宋体"/>
          <w:bCs/>
          <w:szCs w:val="21"/>
        </w:rPr>
        <w:t>1)</w:t>
      </w:r>
      <w:r>
        <w:rPr>
          <w:rFonts w:hint="eastAsia" w:ascii="宋体" w:hAnsi="宋体"/>
          <w:szCs w:val="21"/>
        </w:rPr>
        <w:t>开标一览表(格式见第六章）</w:t>
      </w:r>
    </w:p>
    <w:p>
      <w:pPr>
        <w:snapToGrid w:val="0"/>
        <w:spacing w:line="410" w:lineRule="exact"/>
        <w:ind w:firstLine="422"/>
        <w:rPr>
          <w:rFonts w:hint="eastAsia" w:ascii="宋体" w:hAnsi="宋体"/>
        </w:rPr>
      </w:pPr>
      <w:r>
        <w:rPr>
          <w:rFonts w:hint="eastAsia" w:ascii="宋体" w:hAnsi="宋体"/>
          <w:b/>
          <w:szCs w:val="21"/>
        </w:rPr>
        <w:t>★</w:t>
      </w:r>
      <w:r>
        <w:rPr>
          <w:rFonts w:hint="eastAsia" w:ascii="宋体" w:hAnsi="宋体"/>
          <w:bCs/>
          <w:szCs w:val="21"/>
        </w:rPr>
        <w:t>(</w:t>
      </w:r>
      <w:r>
        <w:rPr>
          <w:rFonts w:ascii="宋体" w:hAnsi="宋体"/>
          <w:bCs/>
          <w:szCs w:val="21"/>
        </w:rPr>
        <w:t>2)</w:t>
      </w:r>
      <w:bookmarkStart w:id="179" w:name="_Hlk92265738"/>
      <w:r>
        <w:rPr>
          <w:rFonts w:hint="eastAsia" w:ascii="宋体" w:hAnsi="宋体"/>
          <w:bCs/>
          <w:szCs w:val="21"/>
        </w:rPr>
        <w:t>报价明细表</w:t>
      </w:r>
      <w:bookmarkEnd w:id="179"/>
      <w:r>
        <w:rPr>
          <w:rFonts w:hint="eastAsia" w:ascii="宋体" w:hAnsi="宋体"/>
          <w:bCs/>
          <w:szCs w:val="21"/>
        </w:rPr>
        <w:t>(格式见第六章)</w:t>
      </w:r>
    </w:p>
    <w:bookmarkEnd w:id="175"/>
    <w:p>
      <w:pPr>
        <w:snapToGrid w:val="0"/>
        <w:spacing w:line="410" w:lineRule="exact"/>
        <w:ind w:firstLine="420"/>
        <w:rPr>
          <w:rFonts w:hint="eastAsia" w:ascii="宋体" w:hAnsi="宋体"/>
          <w:szCs w:val="21"/>
        </w:rPr>
      </w:pPr>
      <w:r>
        <w:rPr>
          <w:rFonts w:hint="eastAsia" w:ascii="宋体" w:hAnsi="宋体"/>
          <w:szCs w:val="21"/>
        </w:rPr>
        <w:t>注：标注★号的材料均为必须提供的材料须由投标人加盖公章，授权委托书必须由法定代表人签名，报价文件还须由法定代表人或授权代表签名，否则视为无效投标文件。</w:t>
      </w:r>
    </w:p>
    <w:bookmarkEnd w:id="170"/>
    <w:bookmarkEnd w:id="171"/>
    <w:bookmarkEnd w:id="172"/>
    <w:bookmarkEnd w:id="173"/>
    <w:bookmarkEnd w:id="174"/>
    <w:p>
      <w:pPr>
        <w:spacing w:line="410" w:lineRule="exact"/>
        <w:ind w:firstLine="211" w:firstLineChars="100"/>
        <w:rPr>
          <w:rFonts w:hint="eastAsia" w:ascii="宋体" w:hAnsi="宋体"/>
          <w:b/>
          <w:bCs/>
          <w:szCs w:val="21"/>
        </w:rPr>
      </w:pPr>
      <w:bookmarkStart w:id="180" w:name="_Hlk90906323"/>
      <w:bookmarkStart w:id="181" w:name="_Hlk92447223"/>
      <w:r>
        <w:rPr>
          <w:rFonts w:hint="eastAsia" w:ascii="宋体" w:hAnsi="宋体"/>
          <w:b/>
          <w:szCs w:val="21"/>
        </w:rPr>
        <w:t>（三）</w:t>
      </w:r>
      <w:bookmarkStart w:id="182" w:name="_Toc254970537"/>
      <w:bookmarkStart w:id="183" w:name="_Toc254970678"/>
      <w:bookmarkStart w:id="184" w:name="_Toc352700422"/>
      <w:bookmarkStart w:id="185" w:name="_Toc353785292"/>
      <w:r>
        <w:rPr>
          <w:rFonts w:hint="eastAsia" w:ascii="宋体" w:hAnsi="宋体"/>
          <w:b/>
          <w:bCs/>
          <w:szCs w:val="21"/>
        </w:rPr>
        <w:t>投标文件的编制、签署及加密</w:t>
      </w:r>
    </w:p>
    <w:p>
      <w:pPr>
        <w:spacing w:line="410" w:lineRule="exact"/>
        <w:ind w:firstLine="420"/>
        <w:rPr>
          <w:rFonts w:hint="eastAsia" w:ascii="宋体" w:hAnsi="宋体"/>
          <w:szCs w:val="21"/>
        </w:rPr>
      </w:pPr>
      <w:r>
        <w:rPr>
          <w:rFonts w:ascii="宋体" w:hAnsi="宋体"/>
          <w:szCs w:val="21"/>
        </w:rPr>
        <w:t>1.</w:t>
      </w:r>
      <w:r>
        <w:rPr>
          <w:rFonts w:hint="eastAsia" w:ascii="宋体" w:hAnsi="宋体"/>
          <w:szCs w:val="21"/>
        </w:rPr>
        <w:t>投标人应认真阅读、并充分理解招标文件的全部内容(包括所有的补充、修改内容)，承诺履行其各项条款的规定并按要求编制，投标文件应为电子文件或扫描件(样品除外)。</w:t>
      </w:r>
    </w:p>
    <w:p>
      <w:pPr>
        <w:spacing w:line="410" w:lineRule="exact"/>
        <w:ind w:firstLine="420"/>
        <w:rPr>
          <w:rFonts w:hint="eastAsia" w:ascii="宋体" w:hAnsi="宋体"/>
          <w:szCs w:val="21"/>
        </w:rPr>
      </w:pPr>
      <w:r>
        <w:rPr>
          <w:rFonts w:ascii="宋体" w:hAnsi="宋体"/>
          <w:szCs w:val="21"/>
        </w:rPr>
        <w:t>2.</w:t>
      </w:r>
      <w:r>
        <w:rPr>
          <w:rFonts w:hint="eastAsia" w:ascii="宋体" w:hAnsi="宋体"/>
          <w:szCs w:val="21"/>
        </w:rPr>
        <w:t>投标人应通过广西政府采购云平台客户端编制加密投标文件。</w:t>
      </w:r>
    </w:p>
    <w:p>
      <w:pPr>
        <w:spacing w:line="410" w:lineRule="exact"/>
        <w:ind w:firstLine="420"/>
        <w:rPr>
          <w:rFonts w:hint="eastAsia" w:ascii="宋体" w:hAnsi="宋体"/>
          <w:szCs w:val="21"/>
        </w:rPr>
      </w:pPr>
      <w:r>
        <w:rPr>
          <w:rFonts w:ascii="宋体" w:hAnsi="宋体"/>
          <w:szCs w:val="21"/>
        </w:rPr>
        <w:t>3.</w:t>
      </w:r>
      <w:r>
        <w:rPr>
          <w:rFonts w:hint="eastAsia" w:ascii="宋体" w:hAnsi="宋体"/>
          <w:szCs w:val="21"/>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pPr>
        <w:spacing w:line="410" w:lineRule="exact"/>
        <w:ind w:firstLine="0" w:firstLineChars="0"/>
        <w:rPr>
          <w:rFonts w:hint="eastAsia" w:ascii="宋体" w:hAnsi="宋体"/>
          <w:b/>
          <w:bCs/>
          <w:szCs w:val="21"/>
        </w:rPr>
      </w:pPr>
      <w:r>
        <w:rPr>
          <w:rFonts w:ascii="宋体" w:hAnsi="宋体"/>
          <w:szCs w:val="21"/>
        </w:rPr>
        <w:tab/>
      </w:r>
      <w:r>
        <w:rPr>
          <w:rFonts w:ascii="宋体" w:hAnsi="宋体"/>
          <w:b/>
          <w:bCs/>
          <w:szCs w:val="21"/>
        </w:rPr>
        <w:t>4.</w:t>
      </w:r>
      <w:r>
        <w:rPr>
          <w:rFonts w:hint="eastAsia" w:ascii="宋体" w:hAnsi="宋体"/>
          <w:b/>
          <w:bCs/>
          <w:szCs w:val="21"/>
        </w:rPr>
        <w:t>投标文件由投标人在规定位置由法定代表人或授权委托人签名（可为电子签名）、填写投标人名称，并加盖公章(简称“盖章”，可为电子公章)，投标人名称应写全称。</w:t>
      </w:r>
    </w:p>
    <w:p>
      <w:pPr>
        <w:snapToGrid w:val="0"/>
        <w:spacing w:line="410" w:lineRule="exact"/>
        <w:ind w:firstLine="210" w:firstLineChars="100"/>
        <w:rPr>
          <w:rFonts w:hint="eastAsia" w:ascii="宋体" w:hAnsi="宋体"/>
          <w:b/>
          <w:bCs/>
          <w:szCs w:val="21"/>
        </w:rPr>
      </w:pPr>
      <w:r>
        <w:rPr>
          <w:rFonts w:ascii="宋体" w:hAnsi="宋体"/>
          <w:szCs w:val="21"/>
        </w:rPr>
        <w:tab/>
      </w:r>
      <w:r>
        <w:rPr>
          <w:rFonts w:ascii="宋体" w:hAnsi="宋体"/>
          <w:szCs w:val="21"/>
        </w:rPr>
        <w:t>5.</w:t>
      </w:r>
      <w:r>
        <w:rPr>
          <w:rFonts w:hint="eastAsia" w:ascii="宋体" w:hAnsi="宋体"/>
          <w:szCs w:val="21"/>
        </w:rPr>
        <w:t>投标文件内容不完整、编排混乱、不清晰等原因导致被误读或漏读的责任和后果由投标人承担。</w:t>
      </w:r>
    </w:p>
    <w:bookmarkEnd w:id="180"/>
    <w:p>
      <w:pPr>
        <w:spacing w:line="410" w:lineRule="exact"/>
        <w:ind w:firstLine="211" w:firstLineChars="100"/>
      </w:pPr>
      <w:r>
        <w:rPr>
          <w:rFonts w:hint="eastAsia"/>
          <w:b/>
          <w:bCs/>
        </w:rPr>
        <w:t>（四）投标文件的语言及计量</w:t>
      </w:r>
      <w:bookmarkEnd w:id="182"/>
      <w:bookmarkEnd w:id="183"/>
      <w:bookmarkEnd w:id="184"/>
      <w:bookmarkEnd w:id="185"/>
    </w:p>
    <w:p>
      <w:pPr>
        <w:snapToGrid w:val="0"/>
        <w:spacing w:line="410" w:lineRule="exact"/>
        <w:ind w:firstLine="420"/>
        <w:rPr>
          <w:rFonts w:hint="eastAsia" w:ascii="宋体" w:hAnsi="宋体"/>
          <w:szCs w:val="21"/>
        </w:rPr>
      </w:pPr>
      <w:r>
        <w:rPr>
          <w:rFonts w:ascii="宋体" w:hAnsi="宋体"/>
          <w:szCs w:val="21"/>
        </w:rPr>
        <w:t>1.</w:t>
      </w:r>
      <w:r>
        <w:rPr>
          <w:rFonts w:hint="eastAsia" w:ascii="宋体" w:hAnsi="宋体"/>
          <w:szCs w:val="21"/>
        </w:rPr>
        <w:t>投标文件以及投标人与采购人、本中心就有关投标事宜的所有来往函电，均应以中文汉语书写。除签名、盖章、专用名称等特殊情形外，以中文汉语以外的文字表述的视为无效文件。</w:t>
      </w:r>
    </w:p>
    <w:p>
      <w:pPr>
        <w:snapToGrid w:val="0"/>
        <w:spacing w:line="410" w:lineRule="exact"/>
        <w:ind w:firstLine="420"/>
        <w:rPr>
          <w:rFonts w:hint="eastAsia" w:ascii="宋体" w:hAnsi="宋体"/>
          <w:szCs w:val="21"/>
        </w:rPr>
      </w:pPr>
      <w:r>
        <w:rPr>
          <w:rFonts w:ascii="宋体" w:hAnsi="宋体"/>
          <w:szCs w:val="21"/>
        </w:rPr>
        <w:t>2.</w:t>
      </w:r>
      <w:r>
        <w:rPr>
          <w:rFonts w:hint="eastAsia" w:ascii="宋体" w:hAnsi="宋体"/>
          <w:szCs w:val="21"/>
        </w:rPr>
        <w:t>投标计量单位，招标文件已有明确规定的，使用招标文件规定的计量单位；招标文件没有规定的，应采用中华人民共和国法定计量单位（货币单位：人民币元），否则视为无效投标文件。</w:t>
      </w:r>
    </w:p>
    <w:bookmarkEnd w:id="181"/>
    <w:p>
      <w:pPr>
        <w:pStyle w:val="4"/>
        <w:spacing w:before="0" w:after="0" w:line="410" w:lineRule="exact"/>
        <w:ind w:firstLine="211" w:firstLineChars="100"/>
        <w:rPr>
          <w:rFonts w:hint="eastAsia" w:ascii="宋体" w:hAnsi="宋体" w:eastAsia="宋体"/>
          <w:sz w:val="21"/>
          <w:szCs w:val="21"/>
        </w:rPr>
      </w:pPr>
      <w:bookmarkStart w:id="186" w:name="_（五）投标报价"/>
      <w:bookmarkEnd w:id="186"/>
      <w:bookmarkStart w:id="187" w:name="_Toc254970538"/>
      <w:bookmarkStart w:id="188" w:name="_Toc352700423"/>
      <w:bookmarkStart w:id="189" w:name="_Toc353785293"/>
      <w:bookmarkStart w:id="190" w:name="_Toc254970679"/>
      <w:bookmarkStart w:id="191" w:name="_Hlk92447977"/>
      <w:r>
        <w:rPr>
          <w:rFonts w:hint="eastAsia" w:ascii="宋体" w:hAnsi="宋体" w:eastAsia="宋体"/>
          <w:sz w:val="21"/>
          <w:szCs w:val="21"/>
        </w:rPr>
        <w:t>（五）投标报价</w:t>
      </w:r>
      <w:bookmarkEnd w:id="187"/>
      <w:bookmarkEnd w:id="188"/>
      <w:bookmarkEnd w:id="189"/>
      <w:bookmarkEnd w:id="190"/>
    </w:p>
    <w:p>
      <w:pPr>
        <w:pStyle w:val="28"/>
        <w:snapToGrid w:val="0"/>
        <w:spacing w:line="410" w:lineRule="exact"/>
        <w:ind w:firstLine="420"/>
        <w:rPr>
          <w:rFonts w:hint="eastAsia" w:hAnsi="宋体"/>
        </w:rPr>
      </w:pPr>
      <w:r>
        <w:rPr>
          <w:rFonts w:hAnsi="宋体"/>
        </w:rPr>
        <w:t>1.</w:t>
      </w:r>
      <w:r>
        <w:rPr>
          <w:rFonts w:hint="eastAsia" w:hAnsi="宋体"/>
        </w:rPr>
        <w:t>招标文件中未列明，而投标人认为必需的费用也须列入总报价。在合同实施时，采购人将不予支付中标人没有列入总报价的费用，并认为此项费用已包含在总报价中。</w:t>
      </w:r>
    </w:p>
    <w:p>
      <w:pPr>
        <w:pStyle w:val="28"/>
        <w:snapToGrid w:val="0"/>
        <w:spacing w:line="410" w:lineRule="exact"/>
        <w:ind w:firstLine="420"/>
      </w:pPr>
      <w:r>
        <w:rPr>
          <w:rFonts w:hAnsi="宋体"/>
        </w:rPr>
        <w:t>2.</w:t>
      </w:r>
      <w:r>
        <w:rPr>
          <w:rFonts w:hint="eastAsia" w:hAnsi="宋体"/>
        </w:rPr>
        <w:t>投标报价应按招标文件中相关附表格式填写。投标人</w:t>
      </w:r>
      <w:r>
        <w:rPr>
          <w:rFonts w:hint="eastAsia"/>
        </w:rPr>
        <w:t>必须就《项目需求》的内容作完整唯一报价。</w:t>
      </w:r>
    </w:p>
    <w:p>
      <w:pPr>
        <w:tabs>
          <w:tab w:val="left" w:pos="525"/>
        </w:tabs>
        <w:snapToGrid w:val="0"/>
        <w:spacing w:line="410" w:lineRule="exact"/>
        <w:ind w:firstLine="420"/>
        <w:rPr>
          <w:rFonts w:hint="eastAsia" w:ascii="宋体" w:hAnsi="宋体"/>
          <w:szCs w:val="21"/>
        </w:rPr>
      </w:pPr>
      <w:r>
        <w:rPr>
          <w:rFonts w:ascii="宋体" w:hAnsi="宋体"/>
          <w:szCs w:val="21"/>
        </w:rPr>
        <w:t>3.</w:t>
      </w:r>
      <w:r>
        <w:rPr>
          <w:rFonts w:hint="eastAsia" w:ascii="宋体" w:hAnsi="宋体"/>
          <w:szCs w:val="21"/>
        </w:rPr>
        <w:t>投标文件每标项只允许有一个总报价，有选择的或有条件的报价视为无效投标文件。</w:t>
      </w:r>
    </w:p>
    <w:p>
      <w:pPr>
        <w:pStyle w:val="4"/>
        <w:spacing w:before="0" w:after="0" w:line="410" w:lineRule="exact"/>
        <w:ind w:firstLine="211" w:firstLineChars="100"/>
        <w:rPr>
          <w:rFonts w:hint="eastAsia" w:ascii="宋体" w:hAnsi="宋体" w:eastAsia="宋体"/>
          <w:sz w:val="21"/>
          <w:szCs w:val="21"/>
        </w:rPr>
      </w:pPr>
      <w:bookmarkStart w:id="192" w:name="_（六）投标文件有效期"/>
      <w:bookmarkEnd w:id="192"/>
      <w:bookmarkStart w:id="193" w:name="_Toc352700424"/>
      <w:bookmarkStart w:id="194" w:name="_Toc353785294"/>
      <w:r>
        <w:rPr>
          <w:rFonts w:hint="eastAsia" w:ascii="宋体" w:hAnsi="宋体" w:eastAsia="宋体"/>
          <w:sz w:val="21"/>
          <w:szCs w:val="21"/>
        </w:rPr>
        <w:t>（六）投标有效期</w:t>
      </w:r>
      <w:bookmarkEnd w:id="191"/>
      <w:bookmarkEnd w:id="193"/>
      <w:bookmarkEnd w:id="194"/>
      <w:bookmarkStart w:id="195" w:name="_（七）投标保证金"/>
      <w:bookmarkEnd w:id="195"/>
      <w:bookmarkStart w:id="196" w:name="_Toc352700425"/>
      <w:bookmarkStart w:id="197" w:name="_Toc254970682"/>
      <w:bookmarkStart w:id="198" w:name="_Toc254970541"/>
      <w:bookmarkStart w:id="199" w:name="_Toc353785295"/>
      <w:bookmarkStart w:id="200" w:name="_Hlk92448848"/>
    </w:p>
    <w:p>
      <w:pPr>
        <w:spacing w:line="410" w:lineRule="exact"/>
        <w:ind w:firstLine="420"/>
      </w:pPr>
      <w:r>
        <w:rPr>
          <w:rFonts w:hint="eastAsia"/>
        </w:rPr>
        <w:t>投标有效期从提交投标文件的截止之日起算。投标文件中承诺的投标有效期应当不少于9</w:t>
      </w:r>
      <w:r>
        <w:t>0</w:t>
      </w:r>
      <w:r>
        <w:rPr>
          <w:rFonts w:hint="eastAsia"/>
        </w:rPr>
        <w:t>天。</w:t>
      </w:r>
    </w:p>
    <w:p>
      <w:pPr>
        <w:pStyle w:val="4"/>
        <w:spacing w:before="0" w:after="0" w:line="410" w:lineRule="exact"/>
        <w:ind w:firstLine="211" w:firstLineChars="100"/>
        <w:rPr>
          <w:rFonts w:hint="eastAsia" w:ascii="宋体" w:hAnsi="宋体" w:eastAsia="宋体"/>
          <w:sz w:val="21"/>
          <w:szCs w:val="21"/>
        </w:rPr>
      </w:pPr>
      <w:r>
        <w:rPr>
          <w:rFonts w:hint="eastAsia" w:ascii="宋体" w:hAnsi="宋体" w:eastAsia="宋体"/>
          <w:sz w:val="21"/>
          <w:szCs w:val="21"/>
        </w:rPr>
        <w:t>（七）投标保证金</w:t>
      </w:r>
      <w:bookmarkEnd w:id="196"/>
      <w:bookmarkEnd w:id="197"/>
      <w:bookmarkEnd w:id="198"/>
      <w:bookmarkEnd w:id="199"/>
    </w:p>
    <w:p>
      <w:pPr>
        <w:snapToGrid w:val="0"/>
        <w:spacing w:line="410" w:lineRule="exact"/>
        <w:ind w:firstLine="420"/>
        <w:rPr>
          <w:rFonts w:hint="eastAsia" w:ascii="宋体" w:hAnsi="宋体"/>
          <w:szCs w:val="21"/>
        </w:rPr>
      </w:pPr>
      <w:bookmarkStart w:id="201" w:name="_Toc254970683"/>
      <w:bookmarkStart w:id="202" w:name="_Toc254970542"/>
      <w:bookmarkStart w:id="203" w:name="_Toc353785296"/>
      <w:bookmarkStart w:id="204" w:name="_Toc352700426"/>
      <w:r>
        <w:rPr>
          <w:rFonts w:hint="eastAsia" w:ascii="宋体" w:hAnsi="宋体"/>
          <w:szCs w:val="21"/>
        </w:rPr>
        <w:t>1</w:t>
      </w:r>
      <w:r>
        <w:rPr>
          <w:rFonts w:ascii="宋体" w:hAnsi="宋体"/>
          <w:szCs w:val="21"/>
        </w:rPr>
        <w:t>.</w:t>
      </w:r>
      <w:r>
        <w:rPr>
          <w:rFonts w:hint="eastAsia" w:ascii="宋体" w:hAnsi="宋体"/>
          <w:szCs w:val="21"/>
        </w:rPr>
        <w:t>投标保证金金额：标项一：贰万元整(￥20,000.00)、标项二：陆仟伍佰元整(￥6500.00)、标项三：肆仟伍佰元整(￥4500.00)、标项四：壹仟元整(￥1000.00)</w:t>
      </w:r>
    </w:p>
    <w:p>
      <w:pPr>
        <w:snapToGrid w:val="0"/>
        <w:spacing w:line="410" w:lineRule="exact"/>
        <w:ind w:firstLine="420"/>
        <w:rPr>
          <w:rFonts w:hint="eastAsia" w:ascii="宋体" w:hAnsi="宋体"/>
          <w:szCs w:val="21"/>
        </w:rPr>
      </w:pPr>
      <w:r>
        <w:rPr>
          <w:rFonts w:ascii="宋体" w:hAnsi="宋体"/>
          <w:szCs w:val="21"/>
        </w:rPr>
        <w:t>2.</w:t>
      </w:r>
      <w:r>
        <w:rPr>
          <w:rFonts w:hint="eastAsia" w:ascii="宋体" w:hAnsi="宋体"/>
          <w:szCs w:val="21"/>
        </w:rPr>
        <w:t>提交形式：以支票、汇票、本票、网上银行支付</w:t>
      </w:r>
      <w:bookmarkStart w:id="205" w:name="_Hlk91771269"/>
      <w:r>
        <w:rPr>
          <w:rFonts w:hint="eastAsia" w:ascii="宋体" w:hAnsi="宋体"/>
          <w:szCs w:val="21"/>
        </w:rPr>
        <w:t>或者金融机构、担保机构出具的保函</w:t>
      </w:r>
      <w:bookmarkEnd w:id="205"/>
      <w:r>
        <w:rPr>
          <w:rFonts w:hint="eastAsia" w:ascii="宋体" w:hAnsi="宋体"/>
          <w:szCs w:val="21"/>
        </w:rPr>
        <w:t>等非现金形式提交。</w:t>
      </w:r>
    </w:p>
    <w:p>
      <w:pPr>
        <w:snapToGrid w:val="0"/>
        <w:spacing w:line="410" w:lineRule="exact"/>
        <w:ind w:firstLine="420"/>
        <w:jc w:val="left"/>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pPr>
        <w:snapToGrid w:val="0"/>
        <w:spacing w:line="410" w:lineRule="exact"/>
        <w:ind w:firstLine="420"/>
        <w:rPr>
          <w:rFonts w:hint="eastAsia" w:ascii="宋体" w:hAnsi="宋体"/>
          <w:szCs w:val="21"/>
        </w:rPr>
      </w:pPr>
      <w:r>
        <w:rPr>
          <w:rFonts w:ascii="宋体" w:hAnsi="宋体"/>
          <w:szCs w:val="21"/>
        </w:rPr>
        <w:t>(2)</w:t>
      </w:r>
      <w:r>
        <w:rPr>
          <w:rFonts w:hint="eastAsia" w:ascii="宋体" w:hAnsi="宋体"/>
          <w:szCs w:val="21"/>
        </w:rPr>
        <w:t>以网上银行形式提交保证金的，投标人必须于投标文件提交截止时间前从投标人账户缴存至本中心银行账户并确保到账，否则视为无效保证金。</w:t>
      </w:r>
    </w:p>
    <w:p>
      <w:pPr>
        <w:snapToGrid w:val="0"/>
        <w:spacing w:line="410" w:lineRule="exact"/>
        <w:ind w:firstLine="0" w:firstLineChars="0"/>
        <w:rPr>
          <w:rFonts w:hint="eastAsia" w:ascii="宋体" w:hAnsi="宋体"/>
          <w:bCs/>
          <w:szCs w:val="21"/>
        </w:rPr>
      </w:pPr>
      <w:r>
        <w:rPr>
          <w:rFonts w:hint="eastAsia" w:ascii="宋体" w:hAnsi="宋体"/>
          <w:bCs/>
          <w:szCs w:val="21"/>
        </w:rPr>
        <w:tab/>
      </w:r>
      <w:r>
        <w:rPr>
          <w:rFonts w:hint="eastAsia" w:ascii="宋体" w:hAnsi="宋体"/>
          <w:bCs/>
          <w:szCs w:val="21"/>
        </w:rPr>
        <w:t>本中心银行账户：</w:t>
      </w:r>
    </w:p>
    <w:p>
      <w:pPr>
        <w:snapToGrid w:val="0"/>
        <w:spacing w:line="410" w:lineRule="exact"/>
        <w:ind w:firstLine="0" w:firstLineChars="0"/>
        <w:rPr>
          <w:rFonts w:hint="eastAsia" w:ascii="宋体" w:hAnsi="宋体"/>
          <w:szCs w:val="21"/>
        </w:rPr>
      </w:pPr>
      <w:r>
        <w:rPr>
          <w:rFonts w:hint="eastAsia" w:ascii="宋体" w:hAnsi="宋体"/>
          <w:bCs/>
          <w:szCs w:val="21"/>
        </w:rPr>
        <w:tab/>
      </w:r>
      <w:r>
        <w:rPr>
          <w:rFonts w:hint="eastAsia" w:ascii="宋体" w:hAnsi="宋体"/>
          <w:bCs/>
          <w:szCs w:val="21"/>
        </w:rPr>
        <w:t>开户名称：钦州市政府采购中心</w:t>
      </w:r>
    </w:p>
    <w:p>
      <w:pPr>
        <w:snapToGrid w:val="0"/>
        <w:spacing w:line="410" w:lineRule="exact"/>
        <w:ind w:firstLine="0" w:firstLineChars="0"/>
        <w:rPr>
          <w:rFonts w:hint="eastAsia" w:ascii="宋体" w:hAnsi="宋体"/>
          <w:szCs w:val="21"/>
        </w:rPr>
      </w:pPr>
      <w:r>
        <w:rPr>
          <w:rFonts w:hint="eastAsia" w:ascii="宋体" w:hAnsi="宋体"/>
          <w:bCs/>
          <w:szCs w:val="21"/>
        </w:rPr>
        <w:tab/>
      </w:r>
      <w:r>
        <w:rPr>
          <w:rFonts w:hint="eastAsia" w:ascii="宋体" w:hAnsi="宋体"/>
          <w:bCs/>
          <w:szCs w:val="21"/>
        </w:rPr>
        <w:t>开户银行：中国工商银行股份有限公司钦州市永福东支行</w:t>
      </w:r>
    </w:p>
    <w:p>
      <w:pPr>
        <w:snapToGrid w:val="0"/>
        <w:spacing w:line="410" w:lineRule="exact"/>
        <w:ind w:firstLine="0" w:firstLineChars="0"/>
        <w:rPr>
          <w:rFonts w:hint="eastAsia" w:ascii="宋体" w:hAnsi="宋体"/>
          <w:bCs/>
          <w:szCs w:val="21"/>
        </w:rPr>
      </w:pPr>
      <w:r>
        <w:rPr>
          <w:rFonts w:hint="eastAsia" w:ascii="宋体" w:hAnsi="宋体"/>
          <w:bCs/>
          <w:szCs w:val="21"/>
        </w:rPr>
        <w:tab/>
      </w:r>
      <w:r>
        <w:rPr>
          <w:rFonts w:hint="eastAsia" w:ascii="宋体" w:hAnsi="宋体"/>
          <w:bCs/>
          <w:szCs w:val="21"/>
        </w:rPr>
        <w:t>银行账号：2115591229100078724</w:t>
      </w:r>
    </w:p>
    <w:p>
      <w:pPr>
        <w:snapToGrid w:val="0"/>
        <w:spacing w:line="410" w:lineRule="exact"/>
        <w:ind w:firstLine="420" w:firstLineChars="0"/>
        <w:rPr>
          <w:rFonts w:hint="eastAsia" w:ascii="宋体" w:hAnsi="宋体"/>
          <w:bCs/>
          <w:szCs w:val="21"/>
        </w:rPr>
      </w:pPr>
      <w:r>
        <w:rPr>
          <w:rFonts w:hint="eastAsia" w:ascii="宋体" w:hAnsi="宋体"/>
          <w:szCs w:val="21"/>
        </w:rPr>
        <w:t>注：投标人无法选择以上开户银行的，请选择“中国工商银行股份有限公司钦州分行”进行缴存。</w:t>
      </w:r>
    </w:p>
    <w:p>
      <w:pPr>
        <w:snapToGrid w:val="0"/>
        <w:spacing w:line="410" w:lineRule="exact"/>
        <w:ind w:firstLine="0" w:firstLineChars="0"/>
        <w:rPr>
          <w:rFonts w:hint="eastAsia" w:ascii="宋体" w:hAnsi="宋体"/>
          <w:szCs w:val="21"/>
        </w:rPr>
      </w:pPr>
      <w:r>
        <w:rPr>
          <w:rFonts w:hint="eastAsia" w:ascii="宋体" w:hAnsi="宋体"/>
          <w:szCs w:val="21"/>
        </w:rPr>
        <w:tab/>
      </w:r>
      <w:r>
        <w:rPr>
          <w:rFonts w:ascii="宋体" w:hAnsi="宋体"/>
          <w:szCs w:val="21"/>
        </w:rPr>
        <w:t>3.</w:t>
      </w:r>
      <w:r>
        <w:rPr>
          <w:rFonts w:hint="eastAsia" w:ascii="宋体" w:hAnsi="宋体"/>
          <w:szCs w:val="21"/>
        </w:rPr>
        <w:t>评标委员会将以投标人递交的支票、汇票、本票、保函原件以及本中心财务室出具的《保证金收缴情况表》作为评审依据，对未按规定提交投标保证金的投标文件作无效处理。</w:t>
      </w:r>
    </w:p>
    <w:p>
      <w:pPr>
        <w:snapToGrid w:val="0"/>
        <w:spacing w:line="410" w:lineRule="exact"/>
        <w:ind w:firstLine="420"/>
        <w:rPr>
          <w:rFonts w:hint="eastAsia" w:ascii="宋体" w:hAnsi="宋体"/>
          <w:szCs w:val="21"/>
        </w:rPr>
      </w:pPr>
      <w:r>
        <w:rPr>
          <w:rFonts w:ascii="宋体" w:hAnsi="宋体"/>
          <w:szCs w:val="21"/>
        </w:rPr>
        <w:t>4.</w:t>
      </w:r>
      <w:r>
        <w:rPr>
          <w:rFonts w:hint="eastAsia" w:ascii="宋体" w:hAnsi="宋体"/>
          <w:szCs w:val="21"/>
        </w:rPr>
        <w:t>保证金的退付：</w:t>
      </w:r>
    </w:p>
    <w:tbl>
      <w:tblPr>
        <w:tblStyle w:val="49"/>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439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l2br w:val="single" w:color="auto" w:sz="4" w:space="0"/>
            </w:tcBorders>
            <w:vAlign w:val="center"/>
          </w:tcPr>
          <w:p>
            <w:pPr>
              <w:snapToGrid w:val="0"/>
              <w:spacing w:line="410" w:lineRule="exact"/>
              <w:ind w:firstLine="33" w:firstLineChars="16"/>
              <w:rPr>
                <w:rFonts w:hint="eastAsia" w:ascii="宋体" w:hAnsi="宋体"/>
                <w:szCs w:val="21"/>
              </w:rPr>
            </w:pPr>
            <w:r>
              <w:rPr>
                <w:rFonts w:hint="eastAsia" w:ascii="宋体" w:hAnsi="宋体"/>
                <w:szCs w:val="21"/>
              </w:rPr>
              <w:t xml:space="preserve">     提交形式</w:t>
            </w:r>
          </w:p>
          <w:p>
            <w:pPr>
              <w:snapToGrid w:val="0"/>
              <w:spacing w:line="410" w:lineRule="exact"/>
              <w:ind w:firstLine="0" w:firstLineChars="0"/>
              <w:rPr>
                <w:rFonts w:hint="eastAsia" w:ascii="宋体" w:hAnsi="宋体"/>
                <w:szCs w:val="21"/>
              </w:rPr>
            </w:pPr>
            <w:r>
              <w:rPr>
                <w:rFonts w:hint="eastAsia" w:ascii="宋体" w:hAnsi="宋体"/>
                <w:szCs w:val="21"/>
              </w:rPr>
              <w:t>投标人</w:t>
            </w:r>
          </w:p>
        </w:tc>
        <w:tc>
          <w:tcPr>
            <w:tcW w:w="4394" w:type="dxa"/>
            <w:vAlign w:val="center"/>
          </w:tcPr>
          <w:p>
            <w:pPr>
              <w:snapToGrid w:val="0"/>
              <w:spacing w:line="410" w:lineRule="exact"/>
              <w:ind w:firstLine="0" w:firstLineChars="0"/>
              <w:jc w:val="center"/>
              <w:rPr>
                <w:rFonts w:hint="eastAsia" w:ascii="宋体" w:hAnsi="宋体"/>
                <w:szCs w:val="21"/>
              </w:rPr>
            </w:pPr>
            <w:r>
              <w:rPr>
                <w:rFonts w:hint="eastAsia" w:ascii="宋体" w:hAnsi="宋体"/>
                <w:szCs w:val="21"/>
              </w:rPr>
              <w:t>网上银行形式</w:t>
            </w:r>
          </w:p>
        </w:tc>
        <w:tc>
          <w:tcPr>
            <w:tcW w:w="3260" w:type="dxa"/>
            <w:vAlign w:val="center"/>
          </w:tcPr>
          <w:p>
            <w:pPr>
              <w:snapToGrid w:val="0"/>
              <w:spacing w:line="410" w:lineRule="exact"/>
              <w:ind w:firstLine="0" w:firstLineChars="0"/>
              <w:jc w:val="center"/>
              <w:rPr>
                <w:rFonts w:hint="eastAsia" w:ascii="宋体" w:hAnsi="宋体"/>
                <w:spacing w:val="-10"/>
                <w:szCs w:val="21"/>
              </w:rPr>
            </w:pPr>
            <w:r>
              <w:rPr>
                <w:rFonts w:hint="eastAsia" w:ascii="宋体" w:hAnsi="宋体"/>
                <w:spacing w:val="-10"/>
                <w:szCs w:val="21"/>
              </w:rPr>
              <w:t>支票、汇票、本票、保函等形式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pPr>
              <w:snapToGrid w:val="0"/>
              <w:spacing w:line="410" w:lineRule="exact"/>
              <w:ind w:firstLine="0" w:firstLineChars="0"/>
              <w:jc w:val="center"/>
              <w:rPr>
                <w:rFonts w:hint="eastAsia" w:ascii="宋体" w:hAnsi="宋体"/>
                <w:szCs w:val="21"/>
              </w:rPr>
            </w:pPr>
            <w:r>
              <w:rPr>
                <w:rFonts w:hint="eastAsia" w:ascii="宋体" w:hAnsi="宋体"/>
                <w:szCs w:val="21"/>
              </w:rPr>
              <w:t>未中标人</w:t>
            </w:r>
          </w:p>
        </w:tc>
        <w:tc>
          <w:tcPr>
            <w:tcW w:w="4394" w:type="dxa"/>
            <w:vAlign w:val="center"/>
          </w:tcPr>
          <w:p>
            <w:pPr>
              <w:snapToGrid w:val="0"/>
              <w:spacing w:line="410" w:lineRule="exact"/>
              <w:ind w:firstLine="0" w:firstLineChars="0"/>
              <w:rPr>
                <w:rFonts w:hint="eastAsia" w:ascii="宋体" w:hAnsi="宋体"/>
                <w:szCs w:val="21"/>
              </w:rPr>
            </w:pPr>
            <w:r>
              <w:rPr>
                <w:rFonts w:hint="eastAsia" w:ascii="宋体" w:hAnsi="宋体"/>
                <w:szCs w:val="21"/>
              </w:rPr>
              <w:t>中标通知书(结果公告)发出之日起四个工作日内以网上银行形式退回到投标人银行账户。</w:t>
            </w:r>
          </w:p>
        </w:tc>
        <w:tc>
          <w:tcPr>
            <w:tcW w:w="3260" w:type="dxa"/>
            <w:vAlign w:val="center"/>
          </w:tcPr>
          <w:p>
            <w:pPr>
              <w:snapToGrid w:val="0"/>
              <w:spacing w:line="410" w:lineRule="exact"/>
              <w:ind w:firstLine="0" w:firstLineChars="0"/>
              <w:rPr>
                <w:rFonts w:hint="eastAsia" w:ascii="宋体" w:hAnsi="宋体"/>
                <w:szCs w:val="21"/>
              </w:rPr>
            </w:pPr>
            <w:r>
              <w:rPr>
                <w:rFonts w:hint="eastAsia" w:ascii="宋体" w:hAnsi="宋体"/>
                <w:szCs w:val="21"/>
              </w:rPr>
              <w:t>中标通知书(结果公告)发出之日起四个工作日内退还。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pPr>
              <w:snapToGrid w:val="0"/>
              <w:spacing w:line="410" w:lineRule="exact"/>
              <w:ind w:firstLine="33" w:firstLineChars="16"/>
              <w:jc w:val="center"/>
              <w:rPr>
                <w:rFonts w:hint="eastAsia" w:ascii="宋体" w:hAnsi="宋体"/>
                <w:szCs w:val="21"/>
              </w:rPr>
            </w:pPr>
            <w:r>
              <w:rPr>
                <w:rFonts w:hint="eastAsia" w:ascii="宋体" w:hAnsi="宋体"/>
                <w:szCs w:val="21"/>
              </w:rPr>
              <w:t>中标人</w:t>
            </w:r>
          </w:p>
        </w:tc>
        <w:tc>
          <w:tcPr>
            <w:tcW w:w="4394" w:type="dxa"/>
            <w:vAlign w:val="center"/>
          </w:tcPr>
          <w:p>
            <w:pPr>
              <w:snapToGrid w:val="0"/>
              <w:spacing w:line="410" w:lineRule="exact"/>
              <w:ind w:firstLine="0" w:firstLineChars="0"/>
              <w:rPr>
                <w:rFonts w:hint="eastAsia" w:ascii="宋体" w:hAnsi="宋体"/>
                <w:szCs w:val="21"/>
              </w:rPr>
            </w:pPr>
            <w:r>
              <w:rPr>
                <w:rFonts w:hint="eastAsia" w:ascii="宋体" w:hAnsi="宋体"/>
                <w:szCs w:val="21"/>
              </w:rPr>
              <w:t>在政府采购合同签订之日起四个工作日内以网上银行形式退回到投标人银行账户。</w:t>
            </w:r>
          </w:p>
        </w:tc>
        <w:tc>
          <w:tcPr>
            <w:tcW w:w="3260" w:type="dxa"/>
            <w:vAlign w:val="center"/>
          </w:tcPr>
          <w:p>
            <w:pPr>
              <w:snapToGrid w:val="0"/>
              <w:spacing w:line="410" w:lineRule="exact"/>
              <w:ind w:firstLine="0" w:firstLineChars="0"/>
              <w:rPr>
                <w:rFonts w:hint="eastAsia" w:ascii="宋体" w:hAnsi="宋体"/>
                <w:szCs w:val="21"/>
              </w:rPr>
            </w:pPr>
            <w:r>
              <w:rPr>
                <w:rFonts w:hint="eastAsia" w:ascii="宋体" w:hAnsi="宋体"/>
                <w:szCs w:val="21"/>
              </w:rPr>
              <w:t>在政府采购合同签订之日起四个工作日内退还。</w:t>
            </w:r>
          </w:p>
        </w:tc>
      </w:tr>
    </w:tbl>
    <w:p>
      <w:pPr>
        <w:widowControl/>
        <w:spacing w:line="410" w:lineRule="exact"/>
        <w:ind w:firstLine="424" w:firstLineChars="202"/>
        <w:jc w:val="left"/>
        <w:rPr>
          <w:rFonts w:hint="eastAsia" w:ascii="宋体" w:hAnsi="宋体"/>
          <w:szCs w:val="21"/>
        </w:rPr>
      </w:pPr>
      <w:r>
        <w:rPr>
          <w:rFonts w:hint="eastAsia" w:ascii="宋体" w:hAnsi="宋体"/>
          <w:szCs w:val="21"/>
        </w:rPr>
        <w:t>注：因投标人自身原因导致无法及时退还的除外</w:t>
      </w:r>
    </w:p>
    <w:p>
      <w:pPr>
        <w:snapToGrid w:val="0"/>
        <w:spacing w:line="410" w:lineRule="exact"/>
        <w:ind w:firstLine="420"/>
        <w:rPr>
          <w:rFonts w:hint="eastAsia" w:ascii="宋体" w:hAnsi="宋体"/>
          <w:szCs w:val="21"/>
        </w:rPr>
      </w:pPr>
      <w:r>
        <w:rPr>
          <w:rFonts w:ascii="宋体" w:hAnsi="宋体"/>
          <w:szCs w:val="21"/>
        </w:rPr>
        <w:t>5.</w:t>
      </w:r>
      <w:r>
        <w:rPr>
          <w:rFonts w:hint="eastAsia" w:ascii="宋体" w:hAnsi="宋体"/>
          <w:szCs w:val="21"/>
        </w:rPr>
        <w:t>投标人有下列情形之一的，投标保证金将不予退还：</w:t>
      </w:r>
    </w:p>
    <w:p>
      <w:pPr>
        <w:snapToGrid w:val="0"/>
        <w:spacing w:line="410" w:lineRule="exact"/>
        <w:ind w:firstLine="42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投标人在投标有效期内撤回投标文件的；</w:t>
      </w:r>
    </w:p>
    <w:p>
      <w:pPr>
        <w:snapToGrid w:val="0"/>
        <w:spacing w:line="410" w:lineRule="exact"/>
        <w:ind w:firstLine="42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投标人在投标文件中提供虚假材料的；</w:t>
      </w:r>
    </w:p>
    <w:p>
      <w:pPr>
        <w:snapToGrid w:val="0"/>
        <w:spacing w:line="410" w:lineRule="exact"/>
        <w:ind w:firstLine="42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投标人与其他投标人或采购代理机构恶意串通的；</w:t>
      </w:r>
    </w:p>
    <w:p>
      <w:pPr>
        <w:snapToGrid w:val="0"/>
        <w:spacing w:line="410" w:lineRule="exact"/>
        <w:ind w:firstLine="42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中标人无正当理由不与采购人签订采购合同的；</w:t>
      </w:r>
    </w:p>
    <w:p>
      <w:pPr>
        <w:snapToGrid w:val="0"/>
        <w:spacing w:line="410" w:lineRule="exact"/>
        <w:ind w:firstLine="42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招标文件规定的其他情形。</w:t>
      </w:r>
    </w:p>
    <w:bookmarkEnd w:id="200"/>
    <w:bookmarkEnd w:id="201"/>
    <w:bookmarkEnd w:id="202"/>
    <w:bookmarkEnd w:id="203"/>
    <w:bookmarkEnd w:id="204"/>
    <w:p>
      <w:pPr>
        <w:spacing w:line="410" w:lineRule="exact"/>
        <w:ind w:firstLine="211" w:firstLineChars="100"/>
        <w:rPr>
          <w:b/>
          <w:bCs/>
        </w:rPr>
      </w:pPr>
      <w:r>
        <w:rPr>
          <w:rFonts w:hint="eastAsia"/>
          <w:b/>
          <w:bCs/>
        </w:rPr>
        <w:t>（八）投标文件的上传、提交、修改、撤回</w:t>
      </w:r>
    </w:p>
    <w:p>
      <w:pPr>
        <w:snapToGrid w:val="0"/>
        <w:spacing w:line="410" w:lineRule="exact"/>
        <w:ind w:firstLine="420"/>
        <w:rPr>
          <w:rFonts w:hint="eastAsia" w:ascii="宋体" w:hAnsi="宋体"/>
          <w:szCs w:val="21"/>
        </w:rPr>
      </w:pPr>
      <w:bookmarkStart w:id="206" w:name="_Toc352700427"/>
      <w:bookmarkStart w:id="207" w:name="_Toc353785297"/>
      <w:r>
        <w:rPr>
          <w:rFonts w:ascii="宋体" w:hAnsi="宋体"/>
          <w:szCs w:val="21"/>
        </w:rPr>
        <w:t>1.</w:t>
      </w:r>
      <w:r>
        <w:rPr>
          <w:rFonts w:hint="eastAsia" w:ascii="宋体" w:hAnsi="宋体"/>
          <w:szCs w:val="21"/>
        </w:rPr>
        <w:t>投标文件的上传和提交:投标人须将编制好的加密投标文件上传至政府采购云平台，并在投标文件提交截止时间前提交，否则</w:t>
      </w:r>
      <w:bookmarkStart w:id="208" w:name="_Hlk91772691"/>
      <w:r>
        <w:rPr>
          <w:rFonts w:hint="eastAsia" w:ascii="宋体" w:hAnsi="宋体"/>
          <w:szCs w:val="21"/>
        </w:rPr>
        <w:t>政府采购云平台</w:t>
      </w:r>
      <w:bookmarkEnd w:id="208"/>
      <w:r>
        <w:rPr>
          <w:rFonts w:hint="eastAsia" w:ascii="宋体" w:hAnsi="宋体"/>
          <w:szCs w:val="21"/>
        </w:rPr>
        <w:t>将予以拒收。投标文件提交成功后，投标人可自行打印投标文件接收回执。</w:t>
      </w:r>
    </w:p>
    <w:p>
      <w:pPr>
        <w:snapToGrid w:val="0"/>
        <w:spacing w:line="410" w:lineRule="exact"/>
        <w:ind w:firstLine="420"/>
        <w:rPr>
          <w:rFonts w:hint="eastAsia" w:ascii="宋体" w:hAnsi="宋体"/>
          <w:szCs w:val="21"/>
        </w:rPr>
      </w:pPr>
      <w:r>
        <w:rPr>
          <w:rFonts w:ascii="宋体" w:hAnsi="宋体"/>
          <w:szCs w:val="21"/>
        </w:rPr>
        <w:t>2.</w:t>
      </w:r>
      <w:r>
        <w:rPr>
          <w:rFonts w:hint="eastAsia" w:ascii="宋体" w:hAnsi="宋体"/>
          <w:szCs w:val="21"/>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pPr>
        <w:snapToGrid w:val="0"/>
        <w:spacing w:line="410" w:lineRule="exact"/>
        <w:ind w:firstLine="420"/>
        <w:rPr>
          <w:rFonts w:hint="eastAsia" w:ascii="宋体" w:hAnsi="宋体"/>
          <w:szCs w:val="21"/>
        </w:rPr>
      </w:pPr>
    </w:p>
    <w:p>
      <w:pPr>
        <w:pStyle w:val="4"/>
        <w:spacing w:before="0" w:after="0" w:line="410" w:lineRule="exact"/>
        <w:ind w:firstLine="0" w:firstLineChars="0"/>
        <w:rPr>
          <w:rFonts w:ascii="方正小标宋_GBK" w:eastAsia="方正小标宋_GBK"/>
          <w:b w:val="0"/>
          <w:bCs w:val="0"/>
          <w:sz w:val="24"/>
          <w:szCs w:val="24"/>
        </w:rPr>
      </w:pPr>
      <w:bookmarkStart w:id="209" w:name="_四、开标"/>
      <w:bookmarkEnd w:id="209"/>
      <w:r>
        <w:rPr>
          <w:rFonts w:hint="eastAsia" w:ascii="方正小标宋_GBK" w:eastAsia="方正小标宋_GBK"/>
          <w:b w:val="0"/>
          <w:bCs w:val="0"/>
          <w:sz w:val="24"/>
          <w:szCs w:val="24"/>
        </w:rPr>
        <w:t>四、开标</w:t>
      </w:r>
      <w:bookmarkStart w:id="210" w:name="_Toc352700430"/>
      <w:bookmarkStart w:id="211" w:name="_Toc353785300"/>
    </w:p>
    <w:bookmarkEnd w:id="210"/>
    <w:bookmarkEnd w:id="211"/>
    <w:p>
      <w:pPr>
        <w:spacing w:line="410" w:lineRule="exact"/>
        <w:ind w:firstLine="210" w:firstLineChars="100"/>
        <w:rPr>
          <w:rFonts w:ascii="方正小标宋_GBK" w:hAnsi="Arial" w:eastAsia="方正小标宋_GBK"/>
          <w:bCs/>
          <w:sz w:val="24"/>
        </w:rPr>
      </w:pPr>
      <w:r>
        <w:rPr>
          <w:rFonts w:hint="eastAsia"/>
        </w:rPr>
        <w:t>（一）本中心将在投标文件提交截止时间后在</w:t>
      </w:r>
      <w:bookmarkStart w:id="212" w:name="_Hlk90300735"/>
      <w:r>
        <w:rPr>
          <w:rFonts w:hint="eastAsia"/>
        </w:rPr>
        <w:t>政采云远程开标大厅</w:t>
      </w:r>
      <w:bookmarkEnd w:id="212"/>
      <w:r>
        <w:rPr>
          <w:rFonts w:hint="eastAsia"/>
        </w:rPr>
        <w:t>进行开标，投标人法定代表人或委托代理人须按时登录</w:t>
      </w:r>
      <w:bookmarkStart w:id="213" w:name="_Hlk90300780"/>
      <w:r>
        <w:rPr>
          <w:rFonts w:hint="eastAsia"/>
        </w:rPr>
        <w:t>政采云远程开标大厅</w:t>
      </w:r>
      <w:bookmarkEnd w:id="213"/>
      <w:r>
        <w:rPr>
          <w:rFonts w:hint="eastAsia"/>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214" w:name="_Toc352700431"/>
      <w:bookmarkStart w:id="215" w:name="_Toc353785301"/>
    </w:p>
    <w:p>
      <w:pPr>
        <w:spacing w:line="410" w:lineRule="exact"/>
        <w:ind w:firstLine="210" w:firstLineChars="100"/>
        <w:rPr>
          <w:rFonts w:ascii="方正小标宋_GBK" w:hAnsi="Arial" w:eastAsia="方正小标宋_GBK"/>
          <w:bCs/>
          <w:sz w:val="24"/>
        </w:rPr>
      </w:pPr>
      <w:r>
        <w:rPr>
          <w:rFonts w:hint="eastAsia"/>
        </w:rPr>
        <w:t>（二）开标程序</w:t>
      </w:r>
      <w:bookmarkEnd w:id="214"/>
      <w:bookmarkEnd w:id="215"/>
    </w:p>
    <w:p>
      <w:pPr>
        <w:spacing w:line="410" w:lineRule="exact"/>
        <w:ind w:left="420" w:firstLine="0" w:firstLineChars="0"/>
      </w:pPr>
      <w:r>
        <w:t>1.</w:t>
      </w:r>
      <w:r>
        <w:rPr>
          <w:rFonts w:hint="eastAsia"/>
        </w:rPr>
        <w:t>开标会由本中心主持；</w:t>
      </w:r>
    </w:p>
    <w:p>
      <w:pPr>
        <w:spacing w:line="410" w:lineRule="exact"/>
        <w:ind w:firstLine="420"/>
      </w:pPr>
      <w:r>
        <w:t>2.</w:t>
      </w:r>
      <w:r>
        <w:rPr>
          <w:rFonts w:hint="eastAsia"/>
          <w:b/>
          <w:bCs/>
        </w:rPr>
        <w:t>解密：</w:t>
      </w:r>
      <w:r>
        <w:rPr>
          <w:rFonts w:hint="eastAsia"/>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pPr>
        <w:spacing w:line="410" w:lineRule="exact"/>
        <w:ind w:firstLine="420"/>
      </w:pPr>
      <w:r>
        <w:rPr>
          <w:rFonts w:hint="eastAsia"/>
        </w:rPr>
        <w:t>注：当招标项目(或分标</w:t>
      </w:r>
      <w:r>
        <w:t>)</w:t>
      </w:r>
      <w:r>
        <w:rPr>
          <w:rFonts w:hint="eastAsia"/>
        </w:rPr>
        <w:t>的投标人不足3家的，不开标。</w:t>
      </w:r>
    </w:p>
    <w:p>
      <w:pPr>
        <w:spacing w:line="410" w:lineRule="exact"/>
        <w:ind w:firstLine="211" w:firstLineChars="100"/>
        <w:rPr>
          <w:b/>
          <w:bCs/>
        </w:rPr>
      </w:pPr>
      <w:r>
        <w:rPr>
          <w:rFonts w:hint="eastAsia"/>
          <w:b/>
          <w:bCs/>
        </w:rPr>
        <w:t>（三）资格审查</w:t>
      </w:r>
    </w:p>
    <w:p>
      <w:pPr>
        <w:spacing w:line="410" w:lineRule="exact"/>
        <w:ind w:firstLine="42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采购人依法对投标人的资格进行审查，招标项目(或分标)</w:t>
      </w:r>
      <w:r>
        <w:rPr>
          <w:rFonts w:ascii="Arial" w:hAnsi="Arial" w:cs="Arial"/>
        </w:rPr>
        <w:t>合格投标人不足3家的，不评标</w:t>
      </w:r>
      <w:r>
        <w:rPr>
          <w:rFonts w:hint="eastAsia" w:ascii="宋体" w:hAnsi="宋体"/>
          <w:szCs w:val="21"/>
        </w:rPr>
        <w:t>。</w:t>
      </w:r>
    </w:p>
    <w:p>
      <w:pPr>
        <w:spacing w:line="410" w:lineRule="exact"/>
        <w:ind w:firstLine="420"/>
        <w:rPr>
          <w:rFonts w:hint="eastAsia" w:ascii="宋体" w:hAnsi="宋体"/>
          <w:szCs w:val="21"/>
        </w:rPr>
      </w:pPr>
      <w:r>
        <w:rPr>
          <w:rFonts w:ascii="宋体" w:hAnsi="宋体"/>
          <w:szCs w:val="21"/>
        </w:rPr>
        <w:t>2.</w:t>
      </w:r>
      <w:r>
        <w:rPr>
          <w:rFonts w:hint="eastAsia" w:ascii="宋体" w:hAnsi="宋体"/>
          <w:szCs w:val="21"/>
        </w:rPr>
        <w:t>资格性审查时，如发现下列情形之一的，投标文件将被视为无效：</w:t>
      </w:r>
    </w:p>
    <w:p>
      <w:pPr>
        <w:spacing w:line="410" w:lineRule="exact"/>
        <w:ind w:firstLine="420"/>
        <w:rPr>
          <w:rFonts w:hint="eastAsia" w:ascii="宋体" w:hAnsi="宋体"/>
          <w:szCs w:val="21"/>
        </w:rPr>
      </w:pPr>
      <w:r>
        <w:rPr>
          <w:rFonts w:hint="eastAsia" w:ascii="宋体" w:hAnsi="宋体"/>
          <w:szCs w:val="21"/>
        </w:rPr>
        <w:t>(1)超越了按照法律法规规定必须获得行政许可或者行政审批的经营范围的；</w:t>
      </w:r>
    </w:p>
    <w:p>
      <w:pPr>
        <w:spacing w:line="410" w:lineRule="exact"/>
        <w:ind w:firstLine="420"/>
        <w:rPr>
          <w:rFonts w:hint="eastAsia" w:ascii="宋体" w:hAnsi="宋体"/>
          <w:szCs w:val="21"/>
        </w:rPr>
      </w:pPr>
      <w:r>
        <w:rPr>
          <w:rFonts w:hint="eastAsia" w:ascii="宋体" w:hAnsi="宋体"/>
          <w:szCs w:val="21"/>
        </w:rPr>
        <w:t>(2)资格证明文件不全的，或者不符合招标文件标明的资格要求的；</w:t>
      </w:r>
    </w:p>
    <w:p>
      <w:pPr>
        <w:snapToGrid w:val="0"/>
        <w:spacing w:line="410" w:lineRule="exact"/>
        <w:ind w:firstLine="420"/>
        <w:jc w:val="left"/>
        <w:rPr>
          <w:rFonts w:hint="eastAsia" w:ascii="宋体" w:hAnsi="宋体"/>
          <w:szCs w:val="21"/>
        </w:rPr>
      </w:pPr>
      <w:r>
        <w:rPr>
          <w:rFonts w:ascii="宋体" w:hAnsi="宋体"/>
          <w:szCs w:val="21"/>
        </w:rPr>
        <w:t>3.</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pPr>
        <w:pStyle w:val="4"/>
        <w:spacing w:before="0" w:after="0" w:line="410" w:lineRule="exact"/>
        <w:ind w:firstLine="0" w:firstLineChars="0"/>
        <w:rPr>
          <w:rFonts w:ascii="方正小标宋_GBK" w:eastAsia="方正小标宋_GBK"/>
          <w:b w:val="0"/>
          <w:bCs w:val="0"/>
          <w:sz w:val="24"/>
          <w:szCs w:val="24"/>
        </w:rPr>
      </w:pPr>
      <w:bookmarkStart w:id="216" w:name="_五、评标"/>
      <w:bookmarkEnd w:id="216"/>
      <w:bookmarkStart w:id="217" w:name="_Toc353785302"/>
      <w:bookmarkStart w:id="218" w:name="_Toc254970545"/>
      <w:bookmarkStart w:id="219" w:name="_Toc352700432"/>
      <w:bookmarkStart w:id="220" w:name="_Toc254970686"/>
      <w:r>
        <w:rPr>
          <w:rFonts w:hint="eastAsia" w:ascii="方正小标宋_GBK" w:eastAsia="方正小标宋_GBK"/>
          <w:b w:val="0"/>
          <w:bCs w:val="0"/>
          <w:sz w:val="24"/>
          <w:szCs w:val="24"/>
        </w:rPr>
        <w:t>五、评标</w:t>
      </w:r>
      <w:bookmarkEnd w:id="217"/>
      <w:bookmarkEnd w:id="218"/>
      <w:bookmarkEnd w:id="219"/>
      <w:bookmarkEnd w:id="220"/>
    </w:p>
    <w:p>
      <w:pPr>
        <w:snapToGrid w:val="0"/>
        <w:spacing w:line="410" w:lineRule="exact"/>
        <w:ind w:firstLine="211" w:firstLineChars="100"/>
        <w:rPr>
          <w:rFonts w:hint="eastAsia" w:ascii="宋体" w:hAnsi="宋体"/>
          <w:b/>
          <w:bCs/>
          <w:szCs w:val="21"/>
        </w:rPr>
      </w:pPr>
      <w:bookmarkStart w:id="221" w:name="_Toc352700433"/>
      <w:bookmarkStart w:id="222" w:name="_Toc353785303"/>
      <w:r>
        <w:rPr>
          <w:rFonts w:hint="eastAsia" w:ascii="宋体" w:hAnsi="宋体"/>
          <w:b/>
          <w:bCs/>
          <w:szCs w:val="21"/>
        </w:rPr>
        <w:t>（一）评标原则：</w:t>
      </w:r>
    </w:p>
    <w:p>
      <w:pPr>
        <w:snapToGrid w:val="0"/>
        <w:spacing w:line="410" w:lineRule="exact"/>
        <w:ind w:firstLine="420"/>
        <w:rPr>
          <w:rFonts w:hint="eastAsia" w:ascii="宋体" w:hAnsi="宋体"/>
          <w:szCs w:val="21"/>
        </w:rPr>
      </w:pPr>
      <w:r>
        <w:rPr>
          <w:rFonts w:ascii="宋体" w:hAnsi="宋体"/>
          <w:szCs w:val="21"/>
        </w:rPr>
        <w:t>1.</w:t>
      </w:r>
      <w:r>
        <w:rPr>
          <w:rFonts w:hint="eastAsia" w:ascii="宋体" w:hAnsi="宋体"/>
          <w:szCs w:val="21"/>
        </w:rPr>
        <w:t>评标委员会必须公平、公正、客观，不带任何倾向性和启发性；不得向外界透露任何与评标有关的内容；任何单位和个人不得干扰、影响评标的正常进行；评标委员会及有关工作人员不得私下接触投标人。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rPr>
          <w:rFonts w:hint="eastAsia" w:ascii="宋体" w:hAnsi="宋体" w:cs="Courier New"/>
          <w:szCs w:val="21"/>
        </w:rPr>
      </w:pPr>
      <w:r>
        <w:rPr>
          <w:rFonts w:ascii="宋体" w:hAnsi="宋体"/>
          <w:szCs w:val="21"/>
        </w:rPr>
        <w:t>2.</w:t>
      </w:r>
      <w:r>
        <w:rPr>
          <w:rFonts w:hint="eastAsia" w:ascii="宋体" w:hAnsi="宋体" w:cs="Courier New"/>
          <w:szCs w:val="21"/>
        </w:rPr>
        <w:t>本项目采用不公开方式评标，评标的依据为招标文件和投标文件。</w:t>
      </w:r>
    </w:p>
    <w:p>
      <w:pPr>
        <w:snapToGrid w:val="0"/>
        <w:spacing w:line="410" w:lineRule="exact"/>
        <w:ind w:firstLine="420"/>
        <w:rPr>
          <w:rFonts w:hint="eastAsia" w:ascii="宋体" w:hAnsi="宋体"/>
          <w:szCs w:val="21"/>
        </w:rPr>
      </w:pPr>
      <w:r>
        <w:rPr>
          <w:rFonts w:hint="eastAsia" w:ascii="宋体" w:hAnsi="宋体" w:cs="Courier New"/>
          <w:szCs w:val="21"/>
        </w:rPr>
        <w:t>3</w:t>
      </w:r>
      <w:r>
        <w:rPr>
          <w:rFonts w:ascii="宋体" w:hAnsi="宋体" w:cs="Courier New"/>
          <w:szCs w:val="21"/>
        </w:rPr>
        <w:t>.</w:t>
      </w:r>
      <w:r>
        <w:rPr>
          <w:rFonts w:hint="eastAsia" w:ascii="宋体" w:hAnsi="宋体" w:cs="宋体"/>
          <w:szCs w:val="21"/>
        </w:rPr>
        <w:t>评标方法：综合评分法，即满足招标文件全部实质性要求且按照评审因素的量化指标评审得分最高的供应商为中标候选人。</w:t>
      </w:r>
    </w:p>
    <w:p>
      <w:pPr>
        <w:snapToGrid w:val="0"/>
        <w:spacing w:line="410" w:lineRule="exact"/>
        <w:ind w:firstLine="211" w:firstLineChars="100"/>
        <w:rPr>
          <w:rFonts w:hint="eastAsia" w:ascii="宋体" w:hAnsi="宋体"/>
          <w:b/>
          <w:bCs/>
          <w:szCs w:val="21"/>
        </w:rPr>
      </w:pPr>
      <w:r>
        <w:rPr>
          <w:rFonts w:hint="eastAsia"/>
          <w:b/>
          <w:bCs/>
        </w:rPr>
        <w:t>（二）组建评标委员会</w:t>
      </w:r>
    </w:p>
    <w:p>
      <w:pPr>
        <w:snapToGrid w:val="0"/>
        <w:spacing w:line="410" w:lineRule="exact"/>
        <w:ind w:firstLine="420"/>
        <w:rPr>
          <w:rFonts w:hint="eastAsia" w:ascii="宋体" w:hAnsi="宋体"/>
          <w:szCs w:val="21"/>
        </w:rPr>
      </w:pPr>
      <w:r>
        <w:rPr>
          <w:rFonts w:ascii="宋体" w:hAnsi="宋体" w:cs="Courier New"/>
          <w:bCs/>
          <w:szCs w:val="21"/>
        </w:rPr>
        <w:t>评标委员会由采购人代表和评审专家组成，成员人数应当为</w:t>
      </w:r>
      <w:r>
        <w:rPr>
          <w:rFonts w:hint="eastAsia" w:ascii="宋体" w:hAnsi="宋体" w:cs="Courier New"/>
          <w:bCs/>
          <w:szCs w:val="21"/>
        </w:rPr>
        <w:t>5</w:t>
      </w:r>
      <w:r>
        <w:rPr>
          <w:rFonts w:ascii="宋体" w:hAnsi="宋体" w:cs="Courier New"/>
          <w:bCs/>
          <w:szCs w:val="21"/>
        </w:rPr>
        <w:t>人以上单数，其中评审专家不得少于成员总数的三分之二。</w:t>
      </w:r>
      <w:bookmarkEnd w:id="221"/>
      <w:bookmarkEnd w:id="222"/>
    </w:p>
    <w:p>
      <w:pPr>
        <w:spacing w:line="410" w:lineRule="exact"/>
        <w:ind w:firstLine="211" w:firstLineChars="100"/>
        <w:rPr>
          <w:rFonts w:hint="eastAsia" w:ascii="宋体" w:hAnsi="宋体" w:cs="Courier New"/>
          <w:szCs w:val="21"/>
        </w:rPr>
      </w:pPr>
      <w:r>
        <w:rPr>
          <w:rFonts w:hint="eastAsia" w:ascii="宋体" w:hAnsi="宋体"/>
          <w:b/>
          <w:bCs/>
          <w:szCs w:val="21"/>
        </w:rPr>
        <w:t>（三）符合性审查</w:t>
      </w:r>
    </w:p>
    <w:p>
      <w:pPr>
        <w:snapToGrid w:val="0"/>
        <w:spacing w:line="410" w:lineRule="exact"/>
        <w:ind w:firstLine="420"/>
        <w:rPr>
          <w:rFonts w:hint="eastAsia" w:ascii="宋体" w:hAnsi="宋体"/>
          <w:szCs w:val="21"/>
        </w:rPr>
      </w:pPr>
      <w:r>
        <w:rPr>
          <w:rFonts w:hint="eastAsia" w:ascii="宋体" w:hAnsi="宋体"/>
          <w:szCs w:val="21"/>
        </w:rPr>
        <w:t>评标委员会对符合资格的投标人投标文件进行符合性审查，以确定其是否满足招标文件的实质性要求。</w:t>
      </w:r>
    </w:p>
    <w:p>
      <w:pPr>
        <w:snapToGrid w:val="0"/>
        <w:spacing w:line="410" w:lineRule="exact"/>
        <w:ind w:firstLine="422"/>
        <w:rPr>
          <w:rFonts w:hint="eastAsia" w:ascii="宋体" w:hAnsi="宋体"/>
          <w:b/>
          <w:bCs/>
          <w:szCs w:val="21"/>
        </w:rPr>
      </w:pPr>
      <w:r>
        <w:rPr>
          <w:rFonts w:ascii="宋体" w:hAnsi="宋体"/>
          <w:b/>
          <w:bCs/>
          <w:szCs w:val="21"/>
        </w:rPr>
        <w:t>1.</w:t>
      </w:r>
      <w:r>
        <w:rPr>
          <w:rFonts w:hint="eastAsia" w:ascii="宋体" w:hAnsi="宋体"/>
          <w:b/>
          <w:bCs/>
          <w:szCs w:val="21"/>
        </w:rPr>
        <w:t>符合性审查时，如发现下列情形之一的，投标文件将被视为无效：</w:t>
      </w:r>
    </w:p>
    <w:p>
      <w:pPr>
        <w:snapToGrid w:val="0"/>
        <w:spacing w:line="410" w:lineRule="exact"/>
        <w:ind w:firstLine="422"/>
        <w:rPr>
          <w:rFonts w:hint="eastAsia" w:ascii="宋体" w:hAnsi="宋体"/>
          <w:b/>
          <w:bCs/>
          <w:szCs w:val="21"/>
        </w:rPr>
      </w:pPr>
      <w:r>
        <w:rPr>
          <w:rFonts w:hint="eastAsia" w:ascii="宋体" w:hAnsi="宋体"/>
          <w:b/>
          <w:bCs/>
          <w:szCs w:val="21"/>
        </w:rPr>
        <w:t>(</w:t>
      </w:r>
      <w:r>
        <w:rPr>
          <w:rFonts w:ascii="宋体" w:hAnsi="宋体"/>
          <w:b/>
          <w:bCs/>
          <w:szCs w:val="21"/>
        </w:rPr>
        <w:t>1)</w:t>
      </w:r>
      <w:r>
        <w:rPr>
          <w:rFonts w:hint="eastAsia" w:ascii="宋体" w:hAnsi="宋体"/>
          <w:b/>
          <w:bCs/>
          <w:szCs w:val="21"/>
        </w:rPr>
        <w:t>商务评审:</w:t>
      </w:r>
    </w:p>
    <w:p>
      <w:pPr>
        <w:snapToGrid w:val="0"/>
        <w:spacing w:line="410" w:lineRule="exact"/>
        <w:ind w:firstLine="525" w:firstLineChars="250"/>
        <w:rPr>
          <w:rFonts w:hint="eastAsia" w:ascii="宋体" w:hAnsi="宋体"/>
          <w:szCs w:val="21"/>
        </w:rPr>
      </w:pPr>
      <w:r>
        <w:rPr>
          <w:rFonts w:hint="eastAsia" w:ascii="宋体" w:hAnsi="宋体"/>
          <w:szCs w:val="21"/>
        </w:rPr>
        <w:t>①应交未交投标保证金的；</w:t>
      </w:r>
    </w:p>
    <w:p>
      <w:pPr>
        <w:snapToGrid w:val="0"/>
        <w:spacing w:line="410" w:lineRule="exact"/>
        <w:ind w:firstLine="525" w:firstLineChars="250"/>
        <w:rPr>
          <w:rFonts w:hint="eastAsia" w:ascii="宋体" w:hAnsi="宋体"/>
          <w:szCs w:val="21"/>
        </w:rPr>
      </w:pPr>
      <w:r>
        <w:rPr>
          <w:rFonts w:hint="eastAsia" w:ascii="宋体" w:hAnsi="宋体"/>
          <w:szCs w:val="21"/>
        </w:rPr>
        <w:t>②投标文件未按投标文件编制要求提供或内容虚假的</w:t>
      </w:r>
    </w:p>
    <w:p>
      <w:pPr>
        <w:snapToGrid w:val="0"/>
        <w:spacing w:line="410" w:lineRule="exact"/>
        <w:ind w:firstLine="525" w:firstLineChars="250"/>
        <w:rPr>
          <w:rFonts w:hint="eastAsia" w:ascii="宋体" w:hAnsi="宋体"/>
          <w:szCs w:val="21"/>
        </w:rPr>
      </w:pPr>
      <w:r>
        <w:rPr>
          <w:rFonts w:hint="eastAsia" w:ascii="宋体" w:hAnsi="宋体"/>
          <w:szCs w:val="21"/>
        </w:rPr>
        <w:t>③投标文件无法定代表人或其委托代理人签署、未提供授权委托书，或未按规定盖章的；</w:t>
      </w:r>
    </w:p>
    <w:p>
      <w:pPr>
        <w:snapToGrid w:val="0"/>
        <w:spacing w:line="410" w:lineRule="exact"/>
        <w:ind w:firstLine="525" w:firstLineChars="250"/>
        <w:rPr>
          <w:rFonts w:hint="eastAsia" w:ascii="宋体" w:hAnsi="宋体"/>
          <w:szCs w:val="21"/>
        </w:rPr>
      </w:pPr>
      <w:r>
        <w:rPr>
          <w:rFonts w:hint="eastAsia" w:ascii="宋体" w:hAnsi="宋体"/>
          <w:szCs w:val="21"/>
        </w:rPr>
        <w:t>④投标人代表未能出具身份证明或与法定代表人委托代理人身份不符的；</w:t>
      </w:r>
    </w:p>
    <w:p>
      <w:pPr>
        <w:snapToGrid w:val="0"/>
        <w:spacing w:line="410" w:lineRule="exact"/>
        <w:ind w:firstLine="525" w:firstLineChars="250"/>
        <w:rPr>
          <w:rFonts w:hint="eastAsia" w:ascii="宋体" w:hAnsi="宋体"/>
          <w:szCs w:val="21"/>
        </w:rPr>
      </w:pPr>
      <w:r>
        <w:rPr>
          <w:rFonts w:hint="eastAsia" w:ascii="宋体" w:hAnsi="宋体"/>
          <w:szCs w:val="21"/>
        </w:rPr>
        <w:t>⑤投</w:t>
      </w:r>
      <w:bookmarkStart w:id="223" w:name="_Hlk112423038"/>
      <w:r>
        <w:rPr>
          <w:rFonts w:hint="eastAsia" w:ascii="宋体" w:hAnsi="宋体"/>
          <w:szCs w:val="21"/>
        </w:rPr>
        <w:t>标有效期、交货时间、质保期等不允许偏离的实质性要求和条件不能满足招标文件要求的；</w:t>
      </w:r>
      <w:bookmarkEnd w:id="223"/>
    </w:p>
    <w:p>
      <w:pPr>
        <w:snapToGrid w:val="0"/>
        <w:spacing w:line="410" w:lineRule="exact"/>
        <w:ind w:firstLine="525" w:firstLineChars="250"/>
        <w:rPr>
          <w:rFonts w:hint="eastAsia" w:ascii="宋体" w:hAnsi="宋体"/>
          <w:szCs w:val="21"/>
        </w:rPr>
      </w:pPr>
      <w:r>
        <w:rPr>
          <w:rFonts w:hint="eastAsia" w:ascii="宋体" w:hAnsi="宋体"/>
          <w:szCs w:val="21"/>
        </w:rPr>
        <w:t>⑥投标文件的实质性内容未使用中文表述、意思表述不明确、前后矛盾或者使用计量单位不符合招标文件要求的；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szCs w:val="21"/>
        </w:rPr>
      </w:pPr>
      <w:r>
        <w:rPr>
          <w:rFonts w:hint="eastAsia" w:ascii="宋体" w:hAnsi="宋体"/>
          <w:szCs w:val="21"/>
        </w:rPr>
        <w:t>⑦未实质性响应招标文件要求或者投标文件有采购人不能接受的附加条件的；</w:t>
      </w:r>
    </w:p>
    <w:p>
      <w:pPr>
        <w:snapToGrid w:val="0"/>
        <w:spacing w:line="410" w:lineRule="exact"/>
        <w:ind w:firstLine="422"/>
        <w:rPr>
          <w:rFonts w:hint="eastAsia" w:ascii="宋体" w:hAnsi="宋体"/>
          <w:b/>
          <w:bCs/>
          <w:szCs w:val="21"/>
        </w:rPr>
      </w:pPr>
      <w:r>
        <w:rPr>
          <w:rFonts w:hint="eastAsia" w:ascii="宋体" w:hAnsi="宋体"/>
          <w:b/>
          <w:bCs/>
          <w:szCs w:val="21"/>
        </w:rPr>
        <w:t>(</w:t>
      </w:r>
      <w:r>
        <w:rPr>
          <w:rFonts w:ascii="宋体" w:hAnsi="宋体"/>
          <w:b/>
          <w:bCs/>
          <w:szCs w:val="21"/>
        </w:rPr>
        <w:t>2)</w:t>
      </w:r>
      <w:r>
        <w:rPr>
          <w:rFonts w:hint="eastAsia" w:ascii="宋体" w:hAnsi="宋体"/>
          <w:b/>
          <w:bCs/>
          <w:szCs w:val="21"/>
        </w:rPr>
        <w:t>技术评审：</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①</w:t>
      </w:r>
      <w:r>
        <w:rPr>
          <w:rFonts w:hint="eastAsia" w:ascii="宋体" w:hAnsi="宋体"/>
          <w:szCs w:val="21"/>
        </w:rPr>
        <w:t>未提供或未如实提供货物技术参数或服务响应，或投标文件标明的响应或偏离与事实不符的；</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②明显不符合招标文件要求的质量标准，或者与招标文件中的技术指标、功能、服务事项发生实质性较大偏离，已不符合采购人需求的；</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③投标文件技术方案不明确，存在一个或一个以上备选（替代）投标方案的。</w:t>
      </w:r>
    </w:p>
    <w:p>
      <w:pPr>
        <w:snapToGrid w:val="0"/>
        <w:spacing w:line="410" w:lineRule="exact"/>
        <w:ind w:firstLine="422"/>
        <w:rPr>
          <w:rFonts w:hint="eastAsia" w:ascii="宋体" w:hAnsi="宋体"/>
          <w:b/>
          <w:bCs/>
          <w:szCs w:val="21"/>
        </w:rPr>
      </w:pPr>
      <w:r>
        <w:rPr>
          <w:rFonts w:hint="eastAsia" w:ascii="宋体" w:hAnsi="宋体"/>
          <w:b/>
          <w:bCs/>
          <w:szCs w:val="21"/>
        </w:rPr>
        <w:t>(</w:t>
      </w:r>
      <w:r>
        <w:rPr>
          <w:rFonts w:ascii="宋体" w:hAnsi="宋体"/>
          <w:b/>
          <w:bCs/>
          <w:szCs w:val="21"/>
        </w:rPr>
        <w:t>3)</w:t>
      </w:r>
      <w:r>
        <w:rPr>
          <w:rFonts w:hint="eastAsia" w:ascii="宋体" w:hAnsi="宋体"/>
          <w:b/>
          <w:bCs/>
          <w:szCs w:val="21"/>
        </w:rPr>
        <w:t>报价评审：</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①</w:t>
      </w:r>
      <w:r>
        <w:rPr>
          <w:rFonts w:ascii="宋体" w:hAnsi="宋体"/>
          <w:spacing w:val="-4"/>
          <w:szCs w:val="21"/>
        </w:rPr>
        <w:t>报价超过招标文件中规定的预算金额或者最高限价的</w:t>
      </w:r>
      <w:r>
        <w:rPr>
          <w:rFonts w:hint="eastAsia" w:ascii="宋体" w:hAnsi="宋体"/>
          <w:spacing w:val="-4"/>
          <w:szCs w:val="21"/>
        </w:rPr>
        <w:t>；</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②未采用人民币报价或者未按照招标文件标明的币种报价的；</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③投标报价具有选择性；</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④</w:t>
      </w:r>
      <w:r>
        <w:rPr>
          <w:rFonts w:hint="eastAsia" w:ascii="宋体" w:hAnsi="宋体" w:cs="Courier New"/>
          <w:szCs w:val="21"/>
        </w:rPr>
        <w:t>评标委员会认为投标人的报价明显低于其他通过符合性审查投标人的报价，有可能影响产品质量或者不能诚信履约的，投标人不能证明其报价合理性的</w:t>
      </w:r>
      <w:r>
        <w:rPr>
          <w:rFonts w:hint="eastAsia" w:ascii="宋体" w:hAnsi="宋体"/>
          <w:spacing w:val="-4"/>
          <w:szCs w:val="21"/>
        </w:rPr>
        <w:t>；</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⑤</w:t>
      </w:r>
      <w:r>
        <w:rPr>
          <w:rFonts w:hint="eastAsia" w:ascii="宋体" w:hAnsi="宋体"/>
          <w:szCs w:val="21"/>
        </w:rPr>
        <w:t>投标人在政采云平台制作投标文件时填写的报价金额与解密后“电子加密投标文件”中报价金额不一致的，以解密后“电子加密投标文件”中报价金额为准，投标人拒绝接受此调整的，视为无效投标文件。</w:t>
      </w:r>
    </w:p>
    <w:p>
      <w:pPr>
        <w:snapToGrid w:val="0"/>
        <w:spacing w:line="410" w:lineRule="exact"/>
        <w:ind w:firstLine="211" w:firstLineChars="100"/>
        <w:rPr>
          <w:rFonts w:hint="eastAsia" w:ascii="宋体" w:hAnsi="宋体"/>
          <w:b/>
          <w:bCs/>
          <w:szCs w:val="21"/>
        </w:rPr>
      </w:pPr>
      <w:r>
        <w:rPr>
          <w:rFonts w:hint="eastAsia" w:ascii="宋体" w:hAnsi="宋体"/>
          <w:b/>
          <w:bCs/>
          <w:szCs w:val="21"/>
        </w:rPr>
        <w:t>（四）比较与评价</w:t>
      </w:r>
    </w:p>
    <w:p>
      <w:pPr>
        <w:snapToGrid w:val="0"/>
        <w:spacing w:line="410" w:lineRule="exact"/>
        <w:ind w:firstLine="420"/>
        <w:rPr>
          <w:rFonts w:hint="eastAsia" w:ascii="宋体" w:hAnsi="宋体"/>
          <w:szCs w:val="21"/>
        </w:rPr>
      </w:pPr>
      <w:r>
        <w:rPr>
          <w:rFonts w:ascii="宋体" w:hAnsi="宋体"/>
          <w:szCs w:val="21"/>
        </w:rPr>
        <w:t>1.</w:t>
      </w:r>
      <w:r>
        <w:rPr>
          <w:rFonts w:hint="eastAsia" w:ascii="宋体" w:hAnsi="Courier New" w:cs="Courier New"/>
          <w:szCs w:val="21"/>
        </w:rPr>
        <w:t>评分细则：</w:t>
      </w:r>
      <w:bookmarkStart w:id="224" w:name="_Hlk92463857"/>
      <w:r>
        <w:rPr>
          <w:rFonts w:hint="eastAsia" w:ascii="宋体" w:hAnsi="Courier New" w:cs="Courier New"/>
          <w:szCs w:val="21"/>
        </w:rPr>
        <w:t>详见第四章《评定标准及推荐原则》</w:t>
      </w:r>
      <w:bookmarkEnd w:id="224"/>
      <w:r>
        <w:rPr>
          <w:rFonts w:hint="eastAsia" w:ascii="宋体" w:hAnsi="Courier New" w:cs="Courier New"/>
          <w:szCs w:val="21"/>
        </w:rPr>
        <w:t>。</w:t>
      </w:r>
    </w:p>
    <w:p>
      <w:pPr>
        <w:snapToGrid w:val="0"/>
        <w:spacing w:line="410" w:lineRule="exact"/>
        <w:ind w:firstLine="420"/>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评标委员会按评分细则对各投标人的投标文件进行评价打分，由政府采购云平台进行计算。</w:t>
      </w:r>
    </w:p>
    <w:p>
      <w:pPr>
        <w:snapToGrid w:val="0"/>
        <w:spacing w:line="410" w:lineRule="exact"/>
        <w:ind w:firstLine="420"/>
        <w:rPr>
          <w:rFonts w:hint="eastAsia" w:ascii="宋体" w:hAnsi="宋体"/>
          <w:szCs w:val="21"/>
        </w:rPr>
      </w:pPr>
      <w:bookmarkStart w:id="225" w:name="_Hlk90303998"/>
      <w:r>
        <w:rPr>
          <w:rFonts w:ascii="宋体" w:hAnsi="宋体"/>
          <w:szCs w:val="21"/>
        </w:rPr>
        <w:t>2.</w:t>
      </w:r>
      <w:r>
        <w:rPr>
          <w:rFonts w:hint="eastAsia" w:ascii="宋体" w:hAnsi="宋体"/>
          <w:szCs w:val="21"/>
        </w:rPr>
        <w:t>评标委员会</w:t>
      </w:r>
      <w:bookmarkEnd w:id="225"/>
      <w:r>
        <w:rPr>
          <w:rFonts w:hint="eastAsia" w:ascii="宋体" w:hAnsi="宋体"/>
          <w:szCs w:val="21"/>
        </w:rPr>
        <w:t>完成评标后,由政府采购云平台对各投标人各项得分进行汇总，计算各投标人最终得分。评标委员会按推荐原则推荐中标候选人同时形成评标报告。</w:t>
      </w:r>
      <w:bookmarkStart w:id="226" w:name="_Toc353785306"/>
      <w:bookmarkStart w:id="227" w:name="_Toc352700436"/>
    </w:p>
    <w:p>
      <w:pPr>
        <w:snapToGrid w:val="0"/>
        <w:spacing w:line="410" w:lineRule="exact"/>
        <w:ind w:firstLine="211" w:firstLineChars="100"/>
        <w:rPr>
          <w:rFonts w:hint="eastAsia" w:ascii="宋体" w:hAnsi="宋体"/>
          <w:b/>
          <w:bCs/>
          <w:szCs w:val="32"/>
        </w:rPr>
      </w:pPr>
      <w:r>
        <w:rPr>
          <w:rFonts w:hint="eastAsia" w:ascii="宋体" w:hAnsi="宋体"/>
          <w:b/>
          <w:bCs/>
          <w:szCs w:val="32"/>
        </w:rPr>
        <w:t>（五）澄清问题的形式</w:t>
      </w:r>
      <w:bookmarkEnd w:id="226"/>
      <w:bookmarkEnd w:id="227"/>
    </w:p>
    <w:p>
      <w:pPr>
        <w:spacing w:line="410" w:lineRule="exact"/>
        <w:ind w:firstLine="420"/>
      </w:pPr>
      <w:bookmarkStart w:id="228" w:name="_Toc353785307"/>
      <w:bookmarkStart w:id="229" w:name="_Toc352700437"/>
      <w:r>
        <w:rPr>
          <w:rFonts w:hint="eastAsia"/>
        </w:rPr>
        <w:t>对于投标文件中含义不明确、同类问题表述不一致或者有明显文字和计算错误的内容，评标委员会应当以书面形式要求投标人作出必要的</w:t>
      </w:r>
      <w:bookmarkStart w:id="230" w:name="_Hlk92457660"/>
      <w:r>
        <w:rPr>
          <w:rFonts w:hint="eastAsia"/>
        </w:rPr>
        <w:t>澄清、说明或者补正</w:t>
      </w:r>
      <w:bookmarkEnd w:id="230"/>
      <w:r>
        <w:rPr>
          <w:rFonts w:hint="eastAsia"/>
        </w:rPr>
        <w:t>。投标人的澄清、说明或者补正应当采用书面形式，并加盖公章，或者由法定代表人或其授权的代表签名。投标人的澄清、说明或者补正不得超出投标文件的范围或者改变投标文件的实质性内容。</w:t>
      </w:r>
    </w:p>
    <w:p>
      <w:pPr>
        <w:spacing w:line="410" w:lineRule="exact"/>
        <w:ind w:firstLine="211" w:firstLineChars="100"/>
        <w:rPr>
          <w:b/>
          <w:bCs/>
        </w:rPr>
      </w:pPr>
      <w:r>
        <w:rPr>
          <w:rFonts w:hint="eastAsia"/>
          <w:b/>
          <w:bCs/>
        </w:rPr>
        <w:t>（六）错误修正</w:t>
      </w:r>
      <w:bookmarkEnd w:id="228"/>
      <w:bookmarkEnd w:id="229"/>
    </w:p>
    <w:p>
      <w:pPr>
        <w:snapToGrid w:val="0"/>
        <w:spacing w:line="410" w:lineRule="exact"/>
        <w:ind w:firstLine="420"/>
        <w:rPr>
          <w:rFonts w:hint="eastAsia" w:ascii="宋体" w:hAnsi="宋体" w:cs="Courier New"/>
          <w:szCs w:val="21"/>
        </w:rPr>
      </w:pPr>
      <w:r>
        <w:rPr>
          <w:rFonts w:hint="eastAsia" w:ascii="宋体" w:hAnsi="宋体" w:cs="Courier New"/>
          <w:szCs w:val="21"/>
        </w:rPr>
        <w:t>投标文件报价出现前后不一致的，除招标文件另有规定外，按照下列规定修正：</w:t>
      </w:r>
    </w:p>
    <w:p>
      <w:pPr>
        <w:snapToGrid w:val="0"/>
        <w:spacing w:line="410" w:lineRule="exact"/>
        <w:ind w:firstLine="420"/>
        <w:rPr>
          <w:rFonts w:hint="eastAsia" w:ascii="宋体" w:hAnsi="宋体" w:cs="Courier New"/>
          <w:szCs w:val="21"/>
        </w:rPr>
      </w:pPr>
      <w:r>
        <w:rPr>
          <w:rFonts w:hint="eastAsia" w:ascii="宋体" w:hAnsi="宋体" w:cs="Courier New"/>
          <w:szCs w:val="21"/>
        </w:rPr>
        <w:t>1</w:t>
      </w:r>
      <w:r>
        <w:rPr>
          <w:rFonts w:ascii="宋体" w:hAnsi="宋体" w:cs="Courier New"/>
          <w:szCs w:val="21"/>
        </w:rPr>
        <w:t>.</w:t>
      </w:r>
      <w:r>
        <w:rPr>
          <w:rFonts w:hint="eastAsia" w:ascii="宋体" w:hAnsi="宋体" w:cs="Courier New"/>
          <w:szCs w:val="21"/>
        </w:rPr>
        <w:t>投标文件中开标一览表内容</w:t>
      </w:r>
      <w:bookmarkStart w:id="231" w:name="_Hlk92464203"/>
      <w:r>
        <w:rPr>
          <w:rFonts w:hint="eastAsia" w:ascii="宋体" w:hAnsi="宋体" w:cs="Courier New"/>
          <w:szCs w:val="21"/>
        </w:rPr>
        <w:t>与投标文件中相应内容不一致的</w:t>
      </w:r>
      <w:bookmarkEnd w:id="231"/>
      <w:r>
        <w:rPr>
          <w:rFonts w:hint="eastAsia" w:ascii="宋体" w:hAnsi="宋体" w:cs="Courier New"/>
          <w:szCs w:val="21"/>
        </w:rPr>
        <w:t>，以开标一览表为准；</w:t>
      </w:r>
    </w:p>
    <w:p>
      <w:pPr>
        <w:snapToGrid w:val="0"/>
        <w:spacing w:line="410" w:lineRule="exact"/>
        <w:ind w:firstLine="420"/>
        <w:rPr>
          <w:rFonts w:hint="eastAsia" w:ascii="宋体" w:hAnsi="宋体" w:cs="Courier New"/>
          <w:szCs w:val="21"/>
        </w:rPr>
      </w:pPr>
      <w:r>
        <w:rPr>
          <w:rFonts w:hint="eastAsia" w:ascii="宋体" w:hAnsi="宋体" w:cs="Courier New"/>
          <w:szCs w:val="21"/>
        </w:rPr>
        <w:t>2</w:t>
      </w:r>
      <w:r>
        <w:rPr>
          <w:rFonts w:ascii="宋体" w:hAnsi="宋体" w:cs="Courier New"/>
          <w:szCs w:val="21"/>
        </w:rPr>
        <w:t>.</w:t>
      </w:r>
      <w:r>
        <w:rPr>
          <w:rFonts w:hint="eastAsia" w:ascii="宋体" w:hAnsi="宋体" w:cs="Courier New"/>
          <w:szCs w:val="21"/>
        </w:rPr>
        <w:t>大写金额和小写金额不一致的，以大写金额为准；</w:t>
      </w:r>
    </w:p>
    <w:p>
      <w:pPr>
        <w:snapToGrid w:val="0"/>
        <w:spacing w:line="410" w:lineRule="exact"/>
        <w:ind w:firstLine="420"/>
        <w:rPr>
          <w:rFonts w:hint="eastAsia" w:ascii="宋体" w:hAnsi="宋体" w:cs="Courier New"/>
          <w:szCs w:val="21"/>
        </w:rPr>
      </w:pPr>
      <w:r>
        <w:rPr>
          <w:rFonts w:hint="eastAsia" w:ascii="宋体" w:hAnsi="宋体" w:cs="Courier New"/>
          <w:szCs w:val="21"/>
        </w:rPr>
        <w:t>3</w:t>
      </w:r>
      <w:r>
        <w:rPr>
          <w:rFonts w:ascii="宋体" w:hAnsi="宋体" w:cs="Courier New"/>
          <w:szCs w:val="21"/>
        </w:rPr>
        <w:t>.</w:t>
      </w:r>
      <w:r>
        <w:rPr>
          <w:rFonts w:hint="eastAsia" w:ascii="宋体" w:hAnsi="宋体" w:cs="Courier New"/>
          <w:szCs w:val="21"/>
        </w:rPr>
        <w:t>单价金额小数点或者百分比有明显错位的，以开标一览表的总价为准，并修改单价；</w:t>
      </w:r>
    </w:p>
    <w:p>
      <w:pPr>
        <w:snapToGrid w:val="0"/>
        <w:spacing w:line="410" w:lineRule="exact"/>
        <w:ind w:firstLine="420"/>
        <w:rPr>
          <w:rFonts w:hint="eastAsia" w:ascii="宋体" w:hAnsi="宋体" w:cs="Courier New"/>
          <w:szCs w:val="21"/>
        </w:rPr>
      </w:pPr>
      <w:r>
        <w:rPr>
          <w:rFonts w:hint="eastAsia" w:ascii="宋体" w:hAnsi="宋体" w:cs="Courier New"/>
          <w:szCs w:val="21"/>
        </w:rPr>
        <w:t>4</w:t>
      </w:r>
      <w:r>
        <w:rPr>
          <w:rFonts w:ascii="宋体" w:hAnsi="宋体" w:cs="Courier New"/>
          <w:szCs w:val="21"/>
        </w:rPr>
        <w:t>.</w:t>
      </w:r>
      <w:r>
        <w:rPr>
          <w:rFonts w:hint="eastAsia" w:ascii="宋体" w:hAnsi="宋体" w:cs="Courier New"/>
          <w:szCs w:val="21"/>
        </w:rPr>
        <w:t>总价金额与按单价汇总金额不一致的，以单价金额计算结果为准。</w:t>
      </w:r>
    </w:p>
    <w:p>
      <w:pPr>
        <w:snapToGrid w:val="0"/>
        <w:spacing w:line="410" w:lineRule="exact"/>
        <w:ind w:firstLine="420"/>
        <w:rPr>
          <w:rFonts w:hint="eastAsia" w:ascii="宋体" w:hAnsi="宋体" w:cs="Courier New"/>
          <w:szCs w:val="21"/>
        </w:rPr>
      </w:pPr>
      <w:r>
        <w:rPr>
          <w:rFonts w:hint="eastAsia" w:ascii="宋体" w:hAnsi="宋体" w:cs="Courier New"/>
          <w:szCs w:val="21"/>
        </w:rPr>
        <w:t>同时出现两种以上不一致的，按照前款规定的顺序修正。修正后的报价按照澄清、说明或者补正的规定经投标人确认后产生约束力，投标人不确认的，其投标无效。</w:t>
      </w:r>
    </w:p>
    <w:bookmarkEnd w:id="206"/>
    <w:bookmarkEnd w:id="207"/>
    <w:p>
      <w:pPr>
        <w:pStyle w:val="28"/>
        <w:spacing w:line="410" w:lineRule="exact"/>
        <w:ind w:firstLine="211" w:firstLineChars="100"/>
        <w:rPr>
          <w:rFonts w:hint="eastAsia" w:hAnsi="宋体"/>
          <w:b/>
        </w:rPr>
      </w:pPr>
      <w:bookmarkStart w:id="232" w:name="_Toc352700429"/>
      <w:bookmarkStart w:id="233" w:name="_Toc353785299"/>
      <w:bookmarkStart w:id="234" w:name="_Toc254970685"/>
      <w:bookmarkStart w:id="235" w:name="_Toc254970544"/>
      <w:r>
        <w:rPr>
          <w:rFonts w:hint="eastAsia" w:hAnsi="宋体"/>
          <w:b/>
        </w:rPr>
        <w:t>（七）核心产品相同品牌产品投标、串通投标、恶意串通行为的说明：</w:t>
      </w:r>
    </w:p>
    <w:p>
      <w:pPr>
        <w:spacing w:line="410" w:lineRule="exact"/>
        <w:ind w:firstLine="420"/>
        <w:rPr>
          <w:rFonts w:hint="eastAsia" w:ascii="宋体" w:hAnsi="宋体"/>
        </w:rPr>
      </w:pPr>
      <w:r>
        <w:rPr>
          <w:rFonts w:ascii="宋体" w:hAnsi="宋体"/>
        </w:rPr>
        <w:t>1.</w:t>
      </w:r>
      <w:r>
        <w:rPr>
          <w:rFonts w:hint="eastAsia" w:ascii="宋体" w:hAnsi="宋体"/>
        </w:rPr>
        <w:t>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10" w:lineRule="exact"/>
        <w:ind w:firstLine="420"/>
        <w:rPr>
          <w:rFonts w:hint="eastAsia" w:ascii="宋体" w:hAnsi="宋体"/>
        </w:rPr>
      </w:pPr>
      <w:r>
        <w:rPr>
          <w:rFonts w:ascii="宋体" w:hAnsi="宋体"/>
        </w:rPr>
        <w:t>2.</w:t>
      </w:r>
      <w:r>
        <w:rPr>
          <w:rFonts w:hint="eastAsia" w:ascii="宋体" w:hAnsi="宋体"/>
        </w:rPr>
        <w:t>有下列情形之一的视为供应商相互串通投标，投标文件将被视为无效：</w:t>
      </w:r>
    </w:p>
    <w:p>
      <w:pPr>
        <w:spacing w:line="410" w:lineRule="exact"/>
        <w:ind w:firstLine="420"/>
        <w:rPr>
          <w:rFonts w:hint="eastAsia" w:ascii="宋体" w:hAnsi="宋体"/>
        </w:rPr>
      </w:pPr>
      <w:r>
        <w:rPr>
          <w:rFonts w:hint="eastAsia" w:ascii="宋体" w:hAnsi="宋体"/>
        </w:rPr>
        <w:t>(</w:t>
      </w:r>
      <w:r>
        <w:rPr>
          <w:rFonts w:ascii="宋体" w:hAnsi="宋体"/>
        </w:rPr>
        <w:t>1)不同投标人的投标文件由同一单位或者个人编制</w:t>
      </w:r>
      <w:bookmarkStart w:id="236" w:name="OLE_LINK10"/>
      <w:r>
        <w:rPr>
          <w:rFonts w:hint="eastAsia" w:ascii="宋体" w:hAnsi="宋体"/>
        </w:rPr>
        <w:t>；或不同投标人报名的IP地址一致的；</w:t>
      </w:r>
      <w:bookmarkEnd w:id="236"/>
    </w:p>
    <w:p>
      <w:pPr>
        <w:spacing w:line="410" w:lineRule="exact"/>
        <w:ind w:firstLine="420"/>
        <w:rPr>
          <w:rFonts w:hint="eastAsia" w:ascii="宋体" w:hAnsi="宋体"/>
        </w:rPr>
      </w:pPr>
      <w:r>
        <w:rPr>
          <w:rFonts w:hint="eastAsia" w:ascii="宋体" w:hAnsi="宋体"/>
        </w:rPr>
        <w:t>(</w:t>
      </w:r>
      <w:r>
        <w:rPr>
          <w:rFonts w:ascii="宋体" w:hAnsi="宋体"/>
        </w:rPr>
        <w:t>2)不同投标人委托同一单位或者个人办理投标事宜；</w:t>
      </w:r>
    </w:p>
    <w:p>
      <w:pPr>
        <w:spacing w:line="410" w:lineRule="exact"/>
        <w:ind w:firstLine="420"/>
        <w:rPr>
          <w:rFonts w:hint="eastAsia" w:ascii="宋体" w:hAnsi="宋体"/>
        </w:rPr>
      </w:pPr>
      <w:r>
        <w:rPr>
          <w:rFonts w:hint="eastAsia" w:ascii="宋体" w:hAnsi="宋体"/>
        </w:rPr>
        <w:t>(</w:t>
      </w:r>
      <w:r>
        <w:rPr>
          <w:rFonts w:ascii="宋体" w:hAnsi="宋体"/>
        </w:rPr>
        <w:t>3)不同投标人的投标文件载明的项目管理成员或者联系人员为同一人；</w:t>
      </w:r>
    </w:p>
    <w:p>
      <w:pPr>
        <w:spacing w:line="410" w:lineRule="exact"/>
        <w:ind w:firstLine="420"/>
        <w:rPr>
          <w:rFonts w:hint="eastAsia" w:ascii="宋体" w:hAnsi="宋体"/>
        </w:rPr>
      </w:pPr>
      <w:r>
        <w:rPr>
          <w:rFonts w:hint="eastAsia" w:ascii="宋体" w:hAnsi="宋体"/>
        </w:rPr>
        <w:t>(</w:t>
      </w:r>
      <w:r>
        <w:rPr>
          <w:rFonts w:ascii="宋体" w:hAnsi="宋体"/>
        </w:rPr>
        <w:t>4)不同投标人的投标文件异常一致或者投标报价呈规律性差异；</w:t>
      </w:r>
    </w:p>
    <w:p>
      <w:pPr>
        <w:spacing w:line="410" w:lineRule="exact"/>
        <w:ind w:firstLine="420"/>
        <w:rPr>
          <w:rFonts w:hint="eastAsia" w:ascii="宋体" w:hAnsi="宋体"/>
        </w:rPr>
      </w:pPr>
      <w:r>
        <w:rPr>
          <w:rFonts w:hint="eastAsia" w:ascii="宋体" w:hAnsi="宋体"/>
        </w:rPr>
        <w:t>(</w:t>
      </w:r>
      <w:r>
        <w:rPr>
          <w:rFonts w:ascii="宋体" w:hAnsi="宋体"/>
        </w:rPr>
        <w:t>5)不同投标人的投标文件相互混装；</w:t>
      </w:r>
    </w:p>
    <w:p>
      <w:pPr>
        <w:spacing w:line="410" w:lineRule="exact"/>
        <w:ind w:firstLine="420"/>
        <w:rPr>
          <w:rFonts w:hint="eastAsia" w:ascii="宋体" w:hAnsi="宋体"/>
        </w:rPr>
      </w:pPr>
      <w:r>
        <w:rPr>
          <w:rFonts w:hint="eastAsia" w:ascii="宋体" w:hAnsi="宋体"/>
        </w:rPr>
        <w:t>(</w:t>
      </w:r>
      <w:r>
        <w:rPr>
          <w:rFonts w:ascii="宋体" w:hAnsi="宋体"/>
        </w:rPr>
        <w:t>6)不同投标人的投标保证金从同一单位或者个人的账户转出。</w:t>
      </w:r>
    </w:p>
    <w:p>
      <w:pPr>
        <w:spacing w:line="410" w:lineRule="exact"/>
        <w:ind w:firstLine="420"/>
        <w:rPr>
          <w:rFonts w:hint="eastAsia" w:ascii="宋体" w:hAnsi="宋体"/>
        </w:rPr>
      </w:pPr>
      <w:r>
        <w:rPr>
          <w:rFonts w:ascii="宋体" w:hAnsi="宋体"/>
        </w:rPr>
        <w:t>3.</w:t>
      </w:r>
      <w:r>
        <w:rPr>
          <w:rFonts w:hint="eastAsia" w:ascii="宋体" w:hAnsi="宋体"/>
        </w:rPr>
        <w:t>供应商有下列情形之一的，属于</w:t>
      </w:r>
      <w:bookmarkStart w:id="237" w:name="_Hlk90304995"/>
      <w:r>
        <w:rPr>
          <w:rFonts w:hint="eastAsia" w:ascii="宋体" w:hAnsi="宋体"/>
        </w:rPr>
        <w:t>恶意串通</w:t>
      </w:r>
      <w:bookmarkEnd w:id="237"/>
      <w:r>
        <w:rPr>
          <w:rFonts w:hint="eastAsia" w:ascii="宋体" w:hAnsi="宋体"/>
        </w:rPr>
        <w:t>：</w:t>
      </w:r>
    </w:p>
    <w:p>
      <w:pPr>
        <w:spacing w:line="410" w:lineRule="exact"/>
        <w:ind w:firstLine="420"/>
        <w:rPr>
          <w:rFonts w:hint="eastAsia" w:ascii="宋体" w:hAnsi="宋体"/>
        </w:rPr>
      </w:pPr>
      <w:r>
        <w:rPr>
          <w:rFonts w:hint="eastAsia" w:ascii="宋体" w:hAnsi="宋体"/>
        </w:rPr>
        <w:t>(</w:t>
      </w:r>
      <w:r>
        <w:rPr>
          <w:rFonts w:ascii="宋体" w:hAnsi="宋体"/>
        </w:rPr>
        <w:t>1)</w:t>
      </w:r>
      <w:r>
        <w:rPr>
          <w:rFonts w:hint="eastAsia" w:ascii="宋体" w:hAnsi="宋体"/>
        </w:rPr>
        <w:t>供应商直接或者间接从采购人或者采购代理机构处获得其他供应商的相关信息并修改其投标文件：</w:t>
      </w:r>
    </w:p>
    <w:p>
      <w:pPr>
        <w:spacing w:line="410" w:lineRule="exact"/>
        <w:ind w:firstLine="420"/>
        <w:rPr>
          <w:rFonts w:hint="eastAsia" w:ascii="宋体" w:hAnsi="宋体"/>
        </w:rPr>
      </w:pPr>
      <w:r>
        <w:rPr>
          <w:rFonts w:hint="eastAsia" w:ascii="宋体" w:hAnsi="宋体"/>
        </w:rPr>
        <w:t>(</w:t>
      </w:r>
      <w:r>
        <w:rPr>
          <w:rFonts w:ascii="宋体" w:hAnsi="宋体"/>
        </w:rPr>
        <w:t>2)</w:t>
      </w:r>
      <w:r>
        <w:rPr>
          <w:rFonts w:hint="eastAsia" w:ascii="宋体" w:hAnsi="宋体"/>
        </w:rPr>
        <w:t>供应商按照采购人或者采购代理机构的授意撤换、修改投标文件；</w:t>
      </w:r>
    </w:p>
    <w:p>
      <w:pPr>
        <w:spacing w:line="410" w:lineRule="exact"/>
        <w:ind w:firstLine="0" w:firstLineChars="0"/>
        <w:rPr>
          <w:rFonts w:hint="eastAsia" w:ascii="宋体" w:hAnsi="宋体"/>
        </w:rPr>
      </w:pPr>
      <w:r>
        <w:rPr>
          <w:rFonts w:ascii="宋体" w:hAnsi="宋体"/>
        </w:rPr>
        <w:tab/>
      </w:r>
      <w:r>
        <w:rPr>
          <w:rFonts w:hint="eastAsia" w:ascii="宋体" w:hAnsi="宋体"/>
        </w:rPr>
        <w:t>(</w:t>
      </w:r>
      <w:r>
        <w:rPr>
          <w:rFonts w:ascii="宋体" w:hAnsi="宋体"/>
        </w:rPr>
        <w:t>3)</w:t>
      </w:r>
      <w:r>
        <w:rPr>
          <w:rFonts w:hint="eastAsia" w:ascii="宋体" w:hAnsi="宋体"/>
        </w:rPr>
        <w:t>供应商之间协商报价、技术方案等投标文件的实质性内容；</w:t>
      </w:r>
    </w:p>
    <w:p>
      <w:pPr>
        <w:spacing w:line="410" w:lineRule="exact"/>
        <w:ind w:firstLine="420"/>
        <w:rPr>
          <w:rFonts w:hint="eastAsia" w:ascii="宋体" w:hAnsi="宋体"/>
        </w:rPr>
      </w:pPr>
      <w:r>
        <w:rPr>
          <w:rFonts w:hint="eastAsia" w:ascii="宋体" w:hAnsi="宋体"/>
        </w:rPr>
        <w:t>(</w:t>
      </w:r>
      <w:r>
        <w:rPr>
          <w:rFonts w:ascii="宋体" w:hAnsi="宋体"/>
        </w:rPr>
        <w:t>4)</w:t>
      </w:r>
      <w:r>
        <w:rPr>
          <w:rFonts w:hint="eastAsia" w:ascii="宋体" w:hAnsi="宋体"/>
        </w:rPr>
        <w:t>属于同一集团、协会、商会等组织成员的供应商按照该组织要求协同参加政府采购活动；</w:t>
      </w:r>
    </w:p>
    <w:p>
      <w:pPr>
        <w:spacing w:line="410" w:lineRule="exact"/>
        <w:ind w:firstLine="420"/>
        <w:rPr>
          <w:rFonts w:hint="eastAsia" w:ascii="宋体" w:hAnsi="宋体"/>
        </w:rPr>
      </w:pPr>
      <w:r>
        <w:rPr>
          <w:rFonts w:hint="eastAsia" w:ascii="宋体" w:hAnsi="宋体"/>
        </w:rPr>
        <w:t>(</w:t>
      </w:r>
      <w:r>
        <w:rPr>
          <w:rFonts w:ascii="宋体" w:hAnsi="宋体"/>
        </w:rPr>
        <w:t>5)</w:t>
      </w:r>
      <w:r>
        <w:rPr>
          <w:rFonts w:hint="eastAsia" w:ascii="宋体" w:hAnsi="宋体"/>
        </w:rPr>
        <w:t>供应商之间事先约定一致抬高或者压低报价，或者在采购项目中事先约定轮流以高价位或者低价位成交，或者事先约定由某一特定供应商成交，然后再参加投标；</w:t>
      </w:r>
    </w:p>
    <w:p>
      <w:pPr>
        <w:spacing w:line="410" w:lineRule="exact"/>
        <w:ind w:firstLine="420"/>
        <w:rPr>
          <w:rFonts w:hint="eastAsia" w:ascii="宋体" w:hAnsi="宋体"/>
        </w:rPr>
      </w:pPr>
      <w:r>
        <w:rPr>
          <w:rFonts w:hint="eastAsia" w:ascii="宋体" w:hAnsi="宋体"/>
        </w:rPr>
        <w:t>(</w:t>
      </w:r>
      <w:r>
        <w:rPr>
          <w:rFonts w:ascii="宋体" w:hAnsi="宋体"/>
        </w:rPr>
        <w:t>6)</w:t>
      </w:r>
      <w:r>
        <w:rPr>
          <w:rFonts w:hint="eastAsia" w:ascii="宋体" w:hAnsi="宋体"/>
        </w:rPr>
        <w:t>供应商之间商定部分供应商放弃参加政府采购活动或者放弃成交；</w:t>
      </w:r>
    </w:p>
    <w:p>
      <w:pPr>
        <w:spacing w:line="410" w:lineRule="exact"/>
        <w:ind w:firstLine="420"/>
        <w:rPr>
          <w:rFonts w:hint="eastAsia" w:ascii="宋体" w:hAnsi="宋体"/>
        </w:rPr>
      </w:pPr>
      <w:r>
        <w:rPr>
          <w:rFonts w:hint="eastAsia" w:ascii="宋体" w:hAnsi="宋体"/>
        </w:rPr>
        <w:t>(</w:t>
      </w:r>
      <w:r>
        <w:rPr>
          <w:rFonts w:ascii="宋体" w:hAnsi="宋体"/>
        </w:rPr>
        <w:t>7)</w:t>
      </w:r>
      <w:r>
        <w:rPr>
          <w:rFonts w:hint="eastAsia" w:ascii="宋体" w:hAnsi="宋体"/>
        </w:rPr>
        <w:t>供应商与采购人或者采购代理机构之间、供应商相互之间，为谋求特定供应商成交或者排斥其他供应商的其他串通行为。</w:t>
      </w:r>
    </w:p>
    <w:p>
      <w:pPr>
        <w:pStyle w:val="28"/>
        <w:spacing w:line="410" w:lineRule="exact"/>
        <w:ind w:firstLine="211" w:firstLineChars="100"/>
        <w:rPr>
          <w:rFonts w:hint="eastAsia" w:hAnsi="宋体"/>
          <w:b/>
        </w:rPr>
      </w:pPr>
      <w:r>
        <w:rPr>
          <w:rFonts w:hint="eastAsia" w:hAnsi="宋体"/>
          <w:b/>
        </w:rPr>
        <w:t>（八）废标</w:t>
      </w:r>
    </w:p>
    <w:p>
      <w:pPr>
        <w:pStyle w:val="28"/>
        <w:spacing w:line="410" w:lineRule="exact"/>
        <w:ind w:firstLine="420"/>
        <w:rPr>
          <w:rFonts w:hint="eastAsia" w:hAnsi="宋体"/>
        </w:rPr>
      </w:pPr>
      <w:r>
        <w:rPr>
          <w:rFonts w:hAnsi="宋体"/>
        </w:rPr>
        <w:t>出现下列情形之一的，应予废标：</w:t>
      </w:r>
    </w:p>
    <w:p>
      <w:pPr>
        <w:pStyle w:val="28"/>
        <w:spacing w:line="410" w:lineRule="exact"/>
        <w:ind w:firstLine="420"/>
        <w:rPr>
          <w:rFonts w:hint="eastAsia" w:hAnsi="宋体"/>
        </w:rPr>
      </w:pPr>
      <w:r>
        <w:rPr>
          <w:rFonts w:hint="eastAsia" w:hAnsi="宋体"/>
        </w:rPr>
        <w:t>1</w:t>
      </w:r>
      <w:r>
        <w:rPr>
          <w:rFonts w:hAnsi="宋体"/>
        </w:rPr>
        <w:t>.符合专业条件的供应商或者对招标文件作实质响应的供应商不足三家的；</w:t>
      </w:r>
    </w:p>
    <w:p>
      <w:pPr>
        <w:pStyle w:val="28"/>
        <w:spacing w:line="410" w:lineRule="exact"/>
        <w:ind w:firstLine="420"/>
        <w:rPr>
          <w:rFonts w:hint="eastAsia" w:hAnsi="宋体"/>
        </w:rPr>
      </w:pPr>
      <w:r>
        <w:rPr>
          <w:rFonts w:hint="eastAsia" w:hAnsi="宋体"/>
        </w:rPr>
        <w:t>2</w:t>
      </w:r>
      <w:r>
        <w:rPr>
          <w:rFonts w:hAnsi="宋体"/>
        </w:rPr>
        <w:t>.出现影响采购公正的违法、违规行为的；</w:t>
      </w:r>
    </w:p>
    <w:p>
      <w:pPr>
        <w:pStyle w:val="28"/>
        <w:spacing w:line="410" w:lineRule="exact"/>
        <w:ind w:firstLine="420"/>
        <w:rPr>
          <w:rFonts w:hint="eastAsia" w:hAnsi="宋体"/>
        </w:rPr>
      </w:pPr>
      <w:r>
        <w:rPr>
          <w:rFonts w:hint="eastAsia" w:hAnsi="宋体"/>
        </w:rPr>
        <w:t>3</w:t>
      </w:r>
      <w:r>
        <w:rPr>
          <w:rFonts w:hAnsi="宋体"/>
        </w:rPr>
        <w:t>.投标人的报价均超过了采购预算，采购人不能支付的；</w:t>
      </w:r>
    </w:p>
    <w:p>
      <w:pPr>
        <w:pStyle w:val="28"/>
        <w:spacing w:line="410" w:lineRule="exact"/>
        <w:ind w:firstLine="420"/>
        <w:rPr>
          <w:rFonts w:hint="eastAsia" w:hAnsi="宋体"/>
        </w:rPr>
      </w:pPr>
      <w:r>
        <w:rPr>
          <w:rFonts w:hint="eastAsia" w:hAnsi="宋体"/>
        </w:rPr>
        <w:t>4</w:t>
      </w:r>
      <w:r>
        <w:rPr>
          <w:rFonts w:hAnsi="宋体"/>
        </w:rPr>
        <w:t>.因重大变故，采购任务取消的。</w:t>
      </w:r>
      <w:bookmarkEnd w:id="232"/>
      <w:bookmarkEnd w:id="233"/>
      <w:bookmarkEnd w:id="234"/>
      <w:bookmarkEnd w:id="235"/>
    </w:p>
    <w:p>
      <w:pPr>
        <w:spacing w:line="410" w:lineRule="exact"/>
        <w:ind w:firstLine="211" w:firstLineChars="100"/>
        <w:rPr>
          <w:b/>
          <w:bCs/>
        </w:rPr>
      </w:pPr>
      <w:bookmarkStart w:id="238" w:name="_Toc353785309"/>
      <w:bookmarkStart w:id="239" w:name="_Toc352700439"/>
      <w:r>
        <w:rPr>
          <w:rFonts w:hint="eastAsia"/>
          <w:b/>
          <w:bCs/>
        </w:rPr>
        <w:t>（</w:t>
      </w:r>
      <w:r>
        <w:rPr>
          <w:rFonts w:hint="eastAsia" w:hAnsi="宋体"/>
          <w:b/>
        </w:rPr>
        <w:t>九</w:t>
      </w:r>
      <w:r>
        <w:rPr>
          <w:rFonts w:hint="eastAsia"/>
          <w:b/>
          <w:bCs/>
        </w:rPr>
        <w:t>）评标过程的监控</w:t>
      </w:r>
      <w:bookmarkEnd w:id="238"/>
      <w:bookmarkEnd w:id="239"/>
    </w:p>
    <w:p>
      <w:pPr>
        <w:snapToGrid w:val="0"/>
        <w:spacing w:line="410" w:lineRule="exact"/>
        <w:ind w:firstLine="420"/>
        <w:rPr>
          <w:rFonts w:hint="eastAsia" w:hAnsi="宋体"/>
        </w:rPr>
      </w:pPr>
      <w:r>
        <w:rPr>
          <w:rFonts w:hint="eastAsia" w:hAnsi="宋体"/>
        </w:rPr>
        <w:t>本项目评标过程实行全程录音、录像监控，投标人在评标过程中所进行的试图影响评标结果的不公正活动，可能导致其投标无效。</w:t>
      </w:r>
    </w:p>
    <w:p>
      <w:pPr>
        <w:snapToGrid w:val="0"/>
        <w:spacing w:line="410" w:lineRule="exact"/>
        <w:ind w:firstLine="420"/>
        <w:rPr>
          <w:rFonts w:hint="eastAsia" w:ascii="宋体" w:hAnsi="宋体"/>
          <w:szCs w:val="21"/>
        </w:rPr>
      </w:pPr>
    </w:p>
    <w:p>
      <w:pPr>
        <w:pStyle w:val="4"/>
        <w:spacing w:before="0" w:after="0" w:line="410" w:lineRule="exact"/>
        <w:ind w:firstLine="0" w:firstLineChars="0"/>
        <w:rPr>
          <w:rFonts w:ascii="方正小标宋_GBK" w:eastAsia="方正小标宋_GBK"/>
          <w:b w:val="0"/>
          <w:sz w:val="24"/>
          <w:szCs w:val="24"/>
        </w:rPr>
      </w:pPr>
      <w:bookmarkStart w:id="240" w:name="_Toc254970546"/>
      <w:bookmarkStart w:id="241" w:name="_Toc254970687"/>
      <w:bookmarkStart w:id="242" w:name="_Toc352700440"/>
      <w:bookmarkStart w:id="243" w:name="_Toc353785310"/>
      <w:r>
        <w:rPr>
          <w:rFonts w:hint="eastAsia" w:ascii="方正小标宋_GBK" w:eastAsia="方正小标宋_GBK"/>
          <w:b w:val="0"/>
          <w:sz w:val="24"/>
          <w:szCs w:val="24"/>
        </w:rPr>
        <w:t>六、评标结果</w:t>
      </w:r>
      <w:bookmarkEnd w:id="240"/>
      <w:bookmarkEnd w:id="241"/>
      <w:bookmarkEnd w:id="242"/>
      <w:bookmarkEnd w:id="243"/>
    </w:p>
    <w:p>
      <w:pPr>
        <w:pStyle w:val="28"/>
        <w:spacing w:line="410" w:lineRule="exact"/>
        <w:ind w:firstLine="210" w:firstLineChars="100"/>
        <w:rPr>
          <w:rFonts w:hint="eastAsia" w:hAnsi="宋体"/>
        </w:rPr>
      </w:pPr>
      <w:r>
        <w:rPr>
          <w:rFonts w:hint="eastAsia" w:hAnsi="宋体"/>
          <w:bCs/>
        </w:rPr>
        <w:t>（一）</w:t>
      </w:r>
      <w:r>
        <w:rPr>
          <w:rFonts w:hint="eastAsia" w:hAnsi="宋体"/>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pPr>
        <w:snapToGrid w:val="0"/>
        <w:spacing w:line="410" w:lineRule="exact"/>
        <w:ind w:firstLine="210" w:firstLineChars="100"/>
        <w:rPr>
          <w:rFonts w:hint="eastAsia" w:ascii="宋体" w:hAnsi="宋体"/>
        </w:rPr>
      </w:pPr>
      <w:r>
        <w:rPr>
          <w:rFonts w:hint="eastAsia"/>
        </w:rPr>
        <w:t>（二）中标人确定后，本中心</w:t>
      </w:r>
      <w:r>
        <w:rPr>
          <w:rFonts w:hint="eastAsia" w:ascii="宋体" w:hAnsi="宋体"/>
        </w:rPr>
        <w:t>在省级以上财政部门指定的媒体上公告中标结果，</w:t>
      </w:r>
      <w:r>
        <w:rPr>
          <w:rFonts w:hint="eastAsia" w:hAnsi="宋体"/>
        </w:rPr>
        <w:t>同时向中标人发出中标通知书</w:t>
      </w:r>
      <w:r>
        <w:rPr>
          <w:rFonts w:hint="eastAsia" w:ascii="宋体" w:hAnsi="宋体"/>
        </w:rPr>
        <w:t>。</w:t>
      </w:r>
    </w:p>
    <w:p>
      <w:pPr>
        <w:pStyle w:val="28"/>
        <w:spacing w:line="410" w:lineRule="exact"/>
        <w:ind w:firstLine="210" w:firstLineChars="100"/>
        <w:rPr>
          <w:rFonts w:hint="eastAsia" w:hAnsi="宋体"/>
        </w:rPr>
      </w:pPr>
      <w:r>
        <w:rPr>
          <w:rFonts w:hint="eastAsia" w:hAnsi="宋体"/>
        </w:rPr>
        <w:t>（三）</w:t>
      </w:r>
      <w:bookmarkStart w:id="244" w:name="_Toc353785311"/>
      <w:bookmarkStart w:id="245" w:name="_Toc352700441"/>
      <w:r>
        <w:rPr>
          <w:rFonts w:hint="eastAsia" w:hAnsi="宋体"/>
        </w:rPr>
        <w:t>中标通知书发出后，采购人不得违法改变中标结果，中标人无正当理由不得放弃中标。</w:t>
      </w:r>
    </w:p>
    <w:p>
      <w:pPr>
        <w:pStyle w:val="28"/>
        <w:spacing w:line="410" w:lineRule="exact"/>
        <w:ind w:firstLine="210" w:firstLineChars="100"/>
        <w:rPr>
          <w:rFonts w:hint="eastAsia" w:hAnsi="宋体"/>
        </w:rPr>
      </w:pPr>
    </w:p>
    <w:p>
      <w:pPr>
        <w:pStyle w:val="4"/>
        <w:spacing w:before="0" w:after="0" w:line="410" w:lineRule="exact"/>
        <w:ind w:firstLine="0" w:firstLineChars="0"/>
        <w:rPr>
          <w:rFonts w:ascii="方正小标宋_GBK" w:eastAsia="方正小标宋_GBK"/>
          <w:b w:val="0"/>
          <w:sz w:val="24"/>
          <w:szCs w:val="24"/>
        </w:rPr>
      </w:pPr>
      <w:r>
        <w:rPr>
          <w:rFonts w:hint="eastAsia" w:ascii="方正小标宋_GBK" w:eastAsia="方正小标宋_GBK"/>
          <w:b w:val="0"/>
          <w:sz w:val="24"/>
          <w:szCs w:val="24"/>
        </w:rPr>
        <w:t>七、签订合同</w:t>
      </w:r>
      <w:bookmarkEnd w:id="244"/>
      <w:bookmarkEnd w:id="245"/>
    </w:p>
    <w:p>
      <w:pPr>
        <w:pStyle w:val="28"/>
        <w:spacing w:line="410" w:lineRule="exact"/>
        <w:ind w:firstLine="210" w:firstLineChars="100"/>
        <w:rPr>
          <w:rFonts w:hint="eastAsia" w:hAnsi="宋体"/>
        </w:rPr>
      </w:pPr>
      <w:r>
        <w:rPr>
          <w:rFonts w:hint="eastAsia" w:hAnsi="宋体" w:cs="Times New Roman"/>
          <w:szCs w:val="32"/>
        </w:rPr>
        <w:t>（一）</w:t>
      </w:r>
      <w:r>
        <w:rPr>
          <w:rFonts w:hint="eastAsia" w:hAnsi="宋体"/>
        </w:rPr>
        <w:t>采购人应当自中标通知书发出之日起15日内，按照招标文件和中标人投标文件的规定，与中标人签订书面合同。所签订的合同不得对招标文件确定的事项和中标人投标文件作实质性修改。</w:t>
      </w:r>
    </w:p>
    <w:p>
      <w:pPr>
        <w:pStyle w:val="28"/>
        <w:spacing w:line="410" w:lineRule="exact"/>
        <w:ind w:firstLine="210" w:firstLineChars="100"/>
        <w:rPr>
          <w:rFonts w:hint="eastAsia" w:hAnsi="宋体"/>
        </w:rPr>
      </w:pPr>
      <w:r>
        <w:rPr>
          <w:rFonts w:hint="eastAsia" w:hAnsi="宋体"/>
        </w:rPr>
        <w:t>（二）中标通知书对采购人和中标人均具有法律效力。中标通知书发出后，采购人改变中标结果的，或者中标人放弃中标项目的，应当依法承担法律责任。</w:t>
      </w:r>
    </w:p>
    <w:p>
      <w:pPr>
        <w:pStyle w:val="28"/>
        <w:spacing w:line="410" w:lineRule="exact"/>
        <w:ind w:firstLine="210" w:firstLineChars="100"/>
        <w:rPr>
          <w:rFonts w:hint="eastAsia" w:hAnsi="宋体"/>
        </w:rPr>
      </w:pPr>
      <w:r>
        <w:rPr>
          <w:rFonts w:hint="eastAsia" w:hAnsi="宋体"/>
        </w:rPr>
        <w:t>（三）</w:t>
      </w:r>
      <w:r>
        <w:rPr>
          <w:rFonts w:hint="eastAsia" w:hAnsi="宋体" w:cs="宋体"/>
          <w:kern w:val="0"/>
        </w:rPr>
        <w:t>中标人可凭成交通知书或政府采购合同等在内的相关材料、信息，通过中征应收账款融资服务平台向银行业金融机构在线申请</w:t>
      </w:r>
      <w:r>
        <w:rPr>
          <w:rFonts w:hAnsi="宋体" w:cs="宋体"/>
          <w:kern w:val="0"/>
        </w:rPr>
        <w:t>“</w:t>
      </w:r>
      <w:r>
        <w:rPr>
          <w:rFonts w:hint="eastAsia" w:hAnsi="宋体" w:cs="宋体"/>
          <w:kern w:val="0"/>
        </w:rPr>
        <w:t>政采贷”融资。</w:t>
      </w:r>
    </w:p>
    <w:p>
      <w:pPr>
        <w:pStyle w:val="28"/>
        <w:spacing w:line="410" w:lineRule="exact"/>
        <w:ind w:firstLine="210" w:firstLineChars="100"/>
        <w:rPr>
          <w:rFonts w:hint="eastAsia" w:hAnsi="宋体"/>
        </w:rPr>
      </w:pPr>
      <w:r>
        <w:rPr>
          <w:rFonts w:hint="eastAsia" w:hAnsi="宋体"/>
        </w:rPr>
        <w:t>（四）中标人拒绝与采购人签订合同的，采购人可以按照评标报告推荐的中标候选人名单排序，确定下一候选人为中标人，也可以重新开展政府采购活动。</w:t>
      </w:r>
    </w:p>
    <w:p>
      <w:pPr>
        <w:pStyle w:val="28"/>
        <w:spacing w:line="410" w:lineRule="exact"/>
        <w:ind w:firstLine="210" w:firstLineChars="100"/>
        <w:rPr>
          <w:rFonts w:hint="eastAsia" w:hAnsi="宋体"/>
        </w:rPr>
      </w:pPr>
      <w:r>
        <w:rPr>
          <w:rFonts w:hint="eastAsia" w:hAnsi="宋体"/>
        </w:rPr>
        <w:t>（五）采购人与中标人应当根据合同的约定依法履行合同义务。政府采购合同的履行、违约责任和解决争议的方法等适用《中华人民共和国民法典》。</w:t>
      </w:r>
    </w:p>
    <w:p>
      <w:pPr>
        <w:pStyle w:val="28"/>
        <w:spacing w:line="410" w:lineRule="exact"/>
        <w:ind w:firstLine="0" w:firstLineChars="0"/>
        <w:rPr>
          <w:rFonts w:hint="eastAsia" w:hAnsi="宋体"/>
        </w:rPr>
      </w:pPr>
    </w:p>
    <w:p>
      <w:pPr>
        <w:spacing w:line="410" w:lineRule="exact"/>
        <w:ind w:firstLine="0" w:firstLineChars="0"/>
        <w:rPr>
          <w:rFonts w:ascii="方正小标宋_GBK" w:eastAsia="方正小标宋_GBK"/>
          <w:b/>
          <w:sz w:val="24"/>
        </w:rPr>
      </w:pPr>
      <w:bookmarkStart w:id="246" w:name="_Toc353785315"/>
      <w:bookmarkStart w:id="247" w:name="_Toc352315998"/>
      <w:bookmarkStart w:id="248" w:name="_Toc352700445"/>
      <w:r>
        <w:rPr>
          <w:rFonts w:hint="eastAsia" w:ascii="方正小标宋_GBK" w:eastAsia="方正小标宋_GBK"/>
          <w:b/>
          <w:sz w:val="24"/>
        </w:rPr>
        <w:t>八、适用法律</w:t>
      </w:r>
    </w:p>
    <w:p>
      <w:pPr>
        <w:spacing w:line="410" w:lineRule="exact"/>
        <w:ind w:firstLine="210" w:firstLineChars="100"/>
        <w:rPr>
          <w:rFonts w:hint="eastAsia" w:ascii="宋体" w:hAnsi="宋体"/>
          <w:szCs w:val="21"/>
        </w:rPr>
      </w:pPr>
      <w:r>
        <w:rPr>
          <w:rFonts w:hint="eastAsia" w:ascii="宋体" w:hAnsi="宋体"/>
          <w:szCs w:val="21"/>
        </w:rPr>
        <w:t>本项目采购活动适用于《中华人民共和国政府采购法》及其实施条例、《政府采购货物和服务招标投标管理办法》等规定。</w:t>
      </w:r>
    </w:p>
    <w:p>
      <w:pPr>
        <w:spacing w:line="410" w:lineRule="exact"/>
        <w:ind w:firstLine="0" w:firstLineChars="0"/>
        <w:rPr>
          <w:rFonts w:hint="eastAsia" w:ascii="宋体" w:hAnsi="宋体"/>
          <w:szCs w:val="21"/>
        </w:rPr>
      </w:pPr>
    </w:p>
    <w:p>
      <w:pPr>
        <w:pStyle w:val="4"/>
        <w:spacing w:before="0" w:after="0" w:line="410" w:lineRule="exact"/>
        <w:ind w:firstLine="0" w:firstLineChars="0"/>
        <w:rPr>
          <w:rFonts w:ascii="方正小标宋_GBK" w:eastAsia="方正小标宋_GBK"/>
          <w:b w:val="0"/>
          <w:sz w:val="24"/>
          <w:szCs w:val="24"/>
        </w:rPr>
      </w:pPr>
      <w:bookmarkStart w:id="249" w:name="_九、其他事项"/>
      <w:bookmarkEnd w:id="249"/>
      <w:r>
        <w:rPr>
          <w:rFonts w:hint="eastAsia" w:ascii="方正小标宋_GBK" w:eastAsia="方正小标宋_GBK"/>
          <w:b w:val="0"/>
          <w:sz w:val="24"/>
          <w:szCs w:val="24"/>
        </w:rPr>
        <w:t>九、其他事项</w:t>
      </w:r>
      <w:bookmarkEnd w:id="246"/>
      <w:bookmarkEnd w:id="247"/>
      <w:bookmarkEnd w:id="248"/>
    </w:p>
    <w:p>
      <w:pPr>
        <w:pStyle w:val="28"/>
        <w:spacing w:line="410" w:lineRule="exact"/>
        <w:ind w:firstLine="210" w:firstLineChars="100"/>
        <w:rPr>
          <w:rFonts w:hint="eastAsia" w:hAnsi="宋体"/>
          <w:bCs/>
        </w:rPr>
      </w:pPr>
      <w:r>
        <w:rPr>
          <w:rFonts w:hint="eastAsia" w:hAnsi="宋体"/>
          <w:bCs/>
        </w:rPr>
        <w:t>（一）代理服务费</w:t>
      </w:r>
    </w:p>
    <w:p>
      <w:pPr>
        <w:pStyle w:val="28"/>
        <w:spacing w:line="410" w:lineRule="exact"/>
        <w:ind w:firstLine="420"/>
        <w:rPr>
          <w:rFonts w:hint="eastAsia" w:hAnsi="宋体"/>
        </w:rPr>
      </w:pPr>
      <w:r>
        <w:rPr>
          <w:rFonts w:hAnsi="宋体"/>
        </w:rPr>
        <w:t>1.</w:t>
      </w:r>
      <w:bookmarkStart w:id="250" w:name="_Hlk92466646"/>
      <w:r>
        <w:rPr>
          <w:rFonts w:hint="eastAsia" w:hAnsi="宋体"/>
        </w:rPr>
        <w:t>本中心按钦州市物价局“钦市价费﹝2013﹞4号”文件规定向中标人收取代理服务费，中标人须向本中心一次付清代理服务费。</w:t>
      </w:r>
      <w:bookmarkEnd w:id="250"/>
    </w:p>
    <w:p>
      <w:pPr>
        <w:pStyle w:val="28"/>
        <w:spacing w:line="410" w:lineRule="exact"/>
        <w:ind w:firstLine="420"/>
        <w:rPr>
          <w:rFonts w:hint="eastAsia" w:hAnsi="宋体"/>
          <w:bCs/>
        </w:rPr>
      </w:pPr>
      <w:r>
        <w:rPr>
          <w:rFonts w:hAnsi="宋体"/>
          <w:bCs/>
        </w:rPr>
        <w:t>2.</w:t>
      </w:r>
      <w:bookmarkStart w:id="251" w:name="_Hlk92466736"/>
      <w:r>
        <w:rPr>
          <w:rFonts w:hint="eastAsia" w:hAnsi="宋体"/>
          <w:bCs/>
        </w:rPr>
        <w:t>代理服务收费标准：</w:t>
      </w:r>
      <w:bookmarkEnd w:id="251"/>
    </w:p>
    <w:tbl>
      <w:tblPr>
        <w:tblStyle w:val="49"/>
        <w:tblW w:w="0" w:type="auto"/>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tcPr>
          <w:p>
            <w:pPr>
              <w:widowControl/>
              <w:ind w:firstLine="420"/>
              <w:rPr>
                <w:rFonts w:hint="eastAsia" w:ascii="宋体" w:hAnsi="宋体"/>
                <w:kern w:val="0"/>
                <w:szCs w:val="21"/>
              </w:rPr>
            </w:pPr>
            <w:r>
              <w:rPr>
                <w:rFonts w:ascii="宋体" w:hAnsi="宋体"/>
                <w:kern w:val="0"/>
                <w:szCs w:val="21"/>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5080" t="3810" r="20320" b="17780"/>
                      <wp:wrapNone/>
                      <wp:docPr id="1" name="Line 2"/>
                      <wp:cNvGraphicFramePr/>
                      <a:graphic xmlns:a="http://schemas.openxmlformats.org/drawingml/2006/main">
                        <a:graphicData uri="http://schemas.microsoft.com/office/word/2010/wordprocessingShape">
                          <wps:wsp>
                            <wps:cNvCnPr/>
                            <wps:spPr>
                              <a:xfrm>
                                <a:off x="0" y="0"/>
                                <a:ext cx="914400" cy="127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BMZ4M1gAAAAkBAAAPAAAAAAAAAAEA&#10;IAAAACIAAABkcnMvZG93bnJldi54bWxQSwECFAAUAAAACACHTuJASAozStgBAADS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服务类型</w:t>
            </w:r>
          </w:p>
          <w:p>
            <w:pPr>
              <w:widowControl/>
              <w:ind w:firstLine="0" w:firstLineChars="0"/>
              <w:jc w:val="center"/>
              <w:rPr>
                <w:rFonts w:hint="eastAsia" w:ascii="宋体" w:hAnsi="宋体"/>
                <w:kern w:val="0"/>
                <w:szCs w:val="21"/>
              </w:rPr>
            </w:pPr>
            <w:r>
              <w:rPr>
                <w:rFonts w:hint="eastAsia" w:ascii="宋体" w:hAnsi="宋体"/>
                <w:kern w:val="0"/>
                <w:szCs w:val="21"/>
              </w:rPr>
              <w:t>费率</w:t>
            </w:r>
          </w:p>
          <w:p>
            <w:pPr>
              <w:widowControl/>
              <w:ind w:left="2" w:firstLine="420"/>
              <w:jc w:val="left"/>
              <w:rPr>
                <w:rFonts w:hint="eastAsia" w:ascii="宋体" w:hAnsi="宋体"/>
                <w:kern w:val="0"/>
                <w:szCs w:val="21"/>
              </w:rPr>
            </w:pPr>
          </w:p>
          <w:p>
            <w:pPr>
              <w:widowControl/>
              <w:ind w:firstLine="0" w:firstLineChars="0"/>
              <w:jc w:val="left"/>
              <w:rPr>
                <w:rFonts w:hint="eastAsia" w:ascii="宋体" w:hAnsi="宋体"/>
                <w:kern w:val="0"/>
                <w:szCs w:val="21"/>
              </w:rPr>
            </w:pPr>
          </w:p>
          <w:p>
            <w:pPr>
              <w:widowControl/>
              <w:ind w:firstLine="0" w:firstLineChars="0"/>
              <w:jc w:val="left"/>
              <w:rPr>
                <w:rFonts w:hint="eastAsia" w:ascii="宋体" w:hAnsi="宋体"/>
                <w:kern w:val="0"/>
                <w:szCs w:val="21"/>
              </w:rPr>
            </w:pPr>
            <w:r>
              <w:rPr>
                <w:rFonts w:hint="eastAsia" w:ascii="宋体" w:hAnsi="宋体"/>
                <w:kern w:val="0"/>
                <w:szCs w:val="21"/>
              </w:rPr>
              <w:t>中标金额（万元）</w:t>
            </w:r>
          </w:p>
        </w:tc>
        <w:tc>
          <w:tcPr>
            <w:tcW w:w="1899" w:type="dxa"/>
            <w:tcBorders>
              <w:top w:val="single" w:color="000000" w:sz="4" w:space="0"/>
              <w:left w:val="nil"/>
              <w:right w:val="single" w:color="auto"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货物招标</w:t>
            </w:r>
          </w:p>
        </w:tc>
        <w:tc>
          <w:tcPr>
            <w:tcW w:w="1980" w:type="dxa"/>
            <w:tcBorders>
              <w:top w:val="single" w:color="000000" w:sz="4" w:space="0"/>
              <w:left w:val="single" w:color="auto" w:sz="4" w:space="0"/>
              <w:right w:val="single" w:color="auto"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服务招标</w:t>
            </w:r>
          </w:p>
        </w:tc>
        <w:tc>
          <w:tcPr>
            <w:tcW w:w="1980" w:type="dxa"/>
            <w:tcBorders>
              <w:top w:val="single" w:color="000000" w:sz="4" w:space="0"/>
              <w:left w:val="single" w:color="auto"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100以下</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1.2%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1.2%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100-500</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0.88%</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0.64%</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0.56%</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51" w:firstLineChars="215"/>
              <w:jc w:val="center"/>
              <w:rPr>
                <w:rFonts w:hint="eastAsia" w:ascii="宋体" w:hAnsi="宋体"/>
                <w:kern w:val="0"/>
                <w:szCs w:val="21"/>
              </w:rPr>
            </w:pPr>
            <w:r>
              <w:rPr>
                <w:rFonts w:hint="eastAsia" w:ascii="宋体" w:hAnsi="宋体"/>
                <w:kern w:val="0"/>
                <w:szCs w:val="21"/>
              </w:rPr>
              <w:t>500-1000</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0.64%</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0.36%</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1000-5000</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0.4%</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5000-10000</w:t>
            </w:r>
          </w:p>
        </w:tc>
        <w:tc>
          <w:tcPr>
            <w:tcW w:w="1899"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0.2%</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0.08%</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ind w:firstLine="420"/>
              <w:jc w:val="center"/>
              <w:rPr>
                <w:rFonts w:hint="eastAsia" w:ascii="宋体" w:hAnsi="宋体"/>
                <w:kern w:val="0"/>
                <w:szCs w:val="21"/>
              </w:rPr>
            </w:pPr>
            <w:r>
              <w:rPr>
                <w:rFonts w:hint="eastAsia" w:ascii="宋体" w:hAnsi="宋体"/>
                <w:kern w:val="0"/>
                <w:szCs w:val="21"/>
              </w:rPr>
              <w:t>10000-50000</w:t>
            </w:r>
          </w:p>
        </w:tc>
        <w:tc>
          <w:tcPr>
            <w:tcW w:w="1899"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0.04%</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0.04%</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50000-100000</w:t>
            </w:r>
          </w:p>
        </w:tc>
        <w:tc>
          <w:tcPr>
            <w:tcW w:w="1899"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0.028%</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0.028%</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vAlign w:val="center"/>
          </w:tcPr>
          <w:p>
            <w:pPr>
              <w:ind w:firstLine="420"/>
              <w:jc w:val="center"/>
              <w:rPr>
                <w:rFonts w:hint="eastAsia" w:ascii="宋体" w:hAnsi="宋体"/>
                <w:kern w:val="0"/>
                <w:szCs w:val="21"/>
              </w:rPr>
            </w:pPr>
            <w:r>
              <w:rPr>
                <w:rFonts w:hint="eastAsia" w:ascii="宋体" w:hAnsi="宋体"/>
                <w:kern w:val="0"/>
                <w:szCs w:val="21"/>
              </w:rPr>
              <w:t>100000-500000</w:t>
            </w:r>
          </w:p>
        </w:tc>
        <w:tc>
          <w:tcPr>
            <w:tcW w:w="1899" w:type="dxa"/>
            <w:tcBorders>
              <w:top w:val="single" w:color="auto" w:sz="4" w:space="0"/>
              <w:left w:val="nil"/>
              <w:bottom w:val="single" w:color="auto"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0.0064%</w:t>
            </w:r>
          </w:p>
        </w:tc>
        <w:tc>
          <w:tcPr>
            <w:tcW w:w="1980" w:type="dxa"/>
            <w:tcBorders>
              <w:top w:val="single" w:color="auto" w:sz="4" w:space="0"/>
              <w:left w:val="nil"/>
              <w:bottom w:val="single" w:color="auto"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0.0064%</w:t>
            </w:r>
          </w:p>
        </w:tc>
        <w:tc>
          <w:tcPr>
            <w:tcW w:w="1980" w:type="dxa"/>
            <w:tcBorders>
              <w:top w:val="single" w:color="auto" w:sz="4" w:space="0"/>
              <w:left w:val="nil"/>
              <w:bottom w:val="single" w:color="auto"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ind w:firstLine="420"/>
              <w:jc w:val="center"/>
              <w:rPr>
                <w:rFonts w:hint="eastAsia" w:ascii="宋体" w:hAnsi="宋体"/>
                <w:kern w:val="0"/>
                <w:szCs w:val="21"/>
              </w:rPr>
            </w:pPr>
            <w:r>
              <w:rPr>
                <w:rFonts w:hint="eastAsia" w:ascii="宋体" w:hAnsi="宋体"/>
                <w:kern w:val="0"/>
                <w:szCs w:val="21"/>
              </w:rPr>
              <w:t>500000-1000000</w:t>
            </w:r>
          </w:p>
        </w:tc>
        <w:tc>
          <w:tcPr>
            <w:tcW w:w="1899"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0.0048%</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0.0048%</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1000000以上</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0.0032%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0.0032%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0.0032%</w:t>
            </w:r>
          </w:p>
        </w:tc>
      </w:tr>
    </w:tbl>
    <w:p>
      <w:pPr>
        <w:pStyle w:val="28"/>
        <w:spacing w:line="400" w:lineRule="atLeast"/>
        <w:ind w:firstLine="315" w:firstLineChars="150"/>
        <w:rPr>
          <w:rFonts w:hint="eastAsia" w:hAnsi="宋体"/>
        </w:rPr>
      </w:pPr>
      <w:r>
        <w:rPr>
          <w:rFonts w:hAnsi="宋体"/>
        </w:rPr>
        <w:tab/>
      </w:r>
      <w:bookmarkStart w:id="252" w:name="_Hlk92466755"/>
      <w:r>
        <w:rPr>
          <w:rFonts w:hint="eastAsia" w:hAnsi="宋体"/>
        </w:rPr>
        <w:t>注：代理服务收费按差额定率累进法计算</w:t>
      </w:r>
      <w:bookmarkEnd w:id="252"/>
      <w:r>
        <w:rPr>
          <w:rFonts w:hint="eastAsia" w:hAnsi="宋体"/>
        </w:rPr>
        <w:t>。</w:t>
      </w:r>
    </w:p>
    <w:p>
      <w:pPr>
        <w:spacing w:line="410" w:lineRule="exact"/>
        <w:ind w:firstLine="420"/>
        <w:rPr>
          <w:rFonts w:hint="eastAsia" w:ascii="宋体" w:hAnsi="宋体" w:cs="Courier New"/>
          <w:szCs w:val="21"/>
        </w:rPr>
      </w:pPr>
      <w:r>
        <w:rPr>
          <w:rFonts w:hint="eastAsia" w:ascii="宋体" w:hAnsi="宋体" w:cs="Courier New"/>
          <w:szCs w:val="21"/>
        </w:rPr>
        <w:t>3.缴纳代理服务费银行账户：</w:t>
      </w:r>
    </w:p>
    <w:p>
      <w:pPr>
        <w:spacing w:line="410" w:lineRule="exact"/>
        <w:ind w:left="420" w:firstLine="210" w:firstLineChars="100"/>
        <w:rPr>
          <w:rFonts w:hint="eastAsia" w:ascii="宋体" w:hAnsi="宋体" w:cs="Courier New"/>
          <w:szCs w:val="21"/>
        </w:rPr>
      </w:pPr>
      <w:r>
        <w:rPr>
          <w:rFonts w:hint="eastAsia" w:ascii="宋体" w:hAnsi="宋体" w:cs="Courier New"/>
          <w:szCs w:val="21"/>
        </w:rPr>
        <w:t>开户名称:钦州市政府采购中心</w:t>
      </w:r>
    </w:p>
    <w:p>
      <w:pPr>
        <w:spacing w:line="410" w:lineRule="exact"/>
        <w:ind w:firstLine="630" w:firstLineChars="300"/>
        <w:rPr>
          <w:rFonts w:hint="eastAsia" w:ascii="宋体" w:hAnsi="宋体" w:cs="Courier New"/>
          <w:szCs w:val="21"/>
        </w:rPr>
      </w:pPr>
      <w:r>
        <w:rPr>
          <w:rFonts w:hint="eastAsia" w:ascii="宋体" w:hAnsi="宋体" w:cs="Courier New"/>
          <w:szCs w:val="21"/>
        </w:rPr>
        <w:t>开户银行:兴业银行钦州支行</w:t>
      </w:r>
    </w:p>
    <w:p>
      <w:pPr>
        <w:spacing w:line="410" w:lineRule="exact"/>
        <w:ind w:firstLine="630" w:firstLineChars="300"/>
        <w:rPr>
          <w:rFonts w:hint="eastAsia" w:ascii="仿宋_GB2312" w:hAnsi="宋体" w:eastAsia="仿宋_GB2312" w:cs="Courier New"/>
          <w:b/>
          <w:sz w:val="28"/>
          <w:szCs w:val="28"/>
        </w:rPr>
      </w:pPr>
      <w:r>
        <w:rPr>
          <w:rFonts w:hint="eastAsia" w:ascii="宋体" w:hAnsi="宋体" w:cs="Courier New"/>
          <w:szCs w:val="21"/>
        </w:rPr>
        <w:t>银行账号:554010100100129709</w:t>
      </w:r>
    </w:p>
    <w:p>
      <w:pPr>
        <w:pStyle w:val="28"/>
        <w:spacing w:line="400" w:lineRule="atLeast"/>
        <w:ind w:firstLine="210" w:firstLineChars="100"/>
        <w:rPr>
          <w:rFonts w:hint="eastAsia" w:hAnsi="宋体"/>
          <w:bCs/>
        </w:rPr>
      </w:pPr>
      <w:r>
        <w:rPr>
          <w:rFonts w:hint="eastAsia" w:hAnsi="宋体"/>
          <w:bCs/>
        </w:rPr>
        <w:t>（二）解释权：</w:t>
      </w:r>
      <w:bookmarkStart w:id="253" w:name="_Hlk92466777"/>
      <w:r>
        <w:rPr>
          <w:rFonts w:hint="eastAsia" w:hAnsi="宋体"/>
          <w:bCs/>
          <w:spacing w:val="-4"/>
        </w:rPr>
        <w:t>本招标文件解释权属本中心</w:t>
      </w:r>
      <w:bookmarkEnd w:id="253"/>
      <w:r>
        <w:rPr>
          <w:rFonts w:hint="eastAsia" w:hAnsi="宋体"/>
          <w:bCs/>
          <w:spacing w:val="-4"/>
        </w:rPr>
        <w:t>。</w:t>
      </w:r>
    </w:p>
    <w:p>
      <w:pPr>
        <w:pStyle w:val="28"/>
        <w:spacing w:line="400" w:lineRule="atLeast"/>
        <w:ind w:firstLine="210" w:firstLineChars="100"/>
        <w:rPr>
          <w:rFonts w:hint="eastAsia" w:hAnsi="宋体"/>
          <w:bCs/>
        </w:rPr>
      </w:pPr>
      <w:r>
        <w:rPr>
          <w:rFonts w:hint="eastAsia" w:hAnsi="宋体"/>
          <w:bCs/>
        </w:rPr>
        <w:t>（三）有关事宜</w:t>
      </w:r>
    </w:p>
    <w:p>
      <w:pPr>
        <w:pStyle w:val="28"/>
        <w:spacing w:line="400" w:lineRule="atLeast"/>
        <w:ind w:firstLine="0" w:firstLineChars="0"/>
        <w:rPr>
          <w:rFonts w:hint="eastAsia" w:hAnsi="宋体"/>
        </w:rPr>
      </w:pPr>
      <w:r>
        <w:rPr>
          <w:rFonts w:hAnsi="宋体"/>
        </w:rPr>
        <w:tab/>
      </w:r>
      <w:r>
        <w:rPr>
          <w:rFonts w:hint="eastAsia" w:hAnsi="宋体"/>
        </w:rPr>
        <w:t>所有与本招标文件有关的函件请按下列通讯地址联系：</w:t>
      </w:r>
    </w:p>
    <w:p>
      <w:pPr>
        <w:pStyle w:val="28"/>
        <w:spacing w:line="400" w:lineRule="atLeast"/>
        <w:ind w:firstLine="420"/>
        <w:rPr>
          <w:rFonts w:hint="eastAsia" w:hAnsi="宋体"/>
        </w:rPr>
      </w:pPr>
      <w:bookmarkStart w:id="254" w:name="_Hlk92466867"/>
      <w:r>
        <w:rPr>
          <w:rFonts w:hint="eastAsia" w:hAnsi="宋体"/>
        </w:rPr>
        <w:t>钦州市政府采购中心</w:t>
      </w:r>
    </w:p>
    <w:p>
      <w:pPr>
        <w:pStyle w:val="28"/>
        <w:tabs>
          <w:tab w:val="left" w:pos="1990"/>
        </w:tabs>
        <w:spacing w:line="400" w:lineRule="atLeast"/>
        <w:ind w:firstLine="420"/>
        <w:rPr>
          <w:rFonts w:hint="eastAsia" w:hAnsi="宋体"/>
          <w:u w:val="single"/>
        </w:rPr>
      </w:pPr>
      <w:r>
        <w:rPr>
          <w:rFonts w:hint="eastAsia" w:hAnsi="宋体"/>
        </w:rPr>
        <w:t>邮政编码：535000</w:t>
      </w:r>
    </w:p>
    <w:p>
      <w:pPr>
        <w:pStyle w:val="28"/>
        <w:tabs>
          <w:tab w:val="left" w:pos="1990"/>
        </w:tabs>
        <w:spacing w:line="400" w:lineRule="atLeast"/>
        <w:ind w:firstLine="420"/>
        <w:rPr>
          <w:rFonts w:hint="eastAsia" w:hAnsi="宋体"/>
          <w:spacing w:val="-4"/>
        </w:rPr>
      </w:pPr>
      <w:r>
        <w:rPr>
          <w:rFonts w:hint="eastAsia" w:hAnsi="宋体"/>
        </w:rPr>
        <w:t>通讯地址：</w:t>
      </w:r>
      <w:r>
        <w:rPr>
          <w:rFonts w:hint="eastAsia" w:ascii="Times New Roman" w:hAnsi="Times New Roman" w:cs="Times New Roman"/>
          <w:szCs w:val="24"/>
        </w:rPr>
        <w:t>钦州市金海湾东大街8号</w:t>
      </w:r>
    </w:p>
    <w:bookmarkEnd w:id="120"/>
    <w:bookmarkEnd w:id="254"/>
    <w:p>
      <w:pPr>
        <w:widowControl/>
        <w:spacing w:line="400" w:lineRule="atLeast"/>
        <w:ind w:firstLine="420"/>
        <w:jc w:val="left"/>
      </w:pPr>
      <w:bookmarkStart w:id="255" w:name="_Hlk108515537"/>
      <w:r>
        <w:rPr>
          <w:rFonts w:hint="eastAsia" w:hAnsi="宋体"/>
        </w:rPr>
        <w:t>钦州市政府采购中心联系方式</w:t>
      </w:r>
      <w:r>
        <w:rPr>
          <w:rFonts w:hint="eastAsia"/>
        </w:rPr>
        <w:t>：</w:t>
      </w:r>
    </w:p>
    <w:p>
      <w:pPr>
        <w:widowControl/>
        <w:spacing w:line="400" w:lineRule="atLeast"/>
        <w:ind w:firstLine="420"/>
        <w:jc w:val="left"/>
      </w:pPr>
      <w:r>
        <w:rPr>
          <w:rFonts w:hint="eastAsia"/>
        </w:rPr>
        <w:t>(1)采购部(采购文件)</w:t>
      </w:r>
    </w:p>
    <w:p>
      <w:pPr>
        <w:widowControl/>
        <w:spacing w:line="400" w:lineRule="atLeast"/>
        <w:ind w:firstLine="420"/>
        <w:jc w:val="left"/>
      </w:pPr>
      <w:r>
        <w:rPr>
          <w:rFonts w:hint="eastAsia"/>
        </w:rPr>
        <w:t xml:space="preserve">联系人：黄忠秀 </w:t>
      </w:r>
      <w:r>
        <w:t xml:space="preserve"> </w:t>
      </w:r>
      <w:r>
        <w:rPr>
          <w:rFonts w:hint="eastAsia"/>
        </w:rPr>
        <w:t xml:space="preserve"> 联系方式：0777-2886022</w:t>
      </w:r>
    </w:p>
    <w:p>
      <w:pPr>
        <w:widowControl/>
        <w:spacing w:line="400" w:lineRule="atLeast"/>
        <w:ind w:firstLine="420"/>
        <w:jc w:val="left"/>
      </w:pPr>
      <w:r>
        <w:rPr>
          <w:rFonts w:hint="eastAsia"/>
        </w:rPr>
        <w:t>(2)综合二部(保证金、开标、评标、中标及合同管理)</w:t>
      </w:r>
    </w:p>
    <w:p>
      <w:pPr>
        <w:widowControl/>
        <w:spacing w:line="400" w:lineRule="atLeast"/>
        <w:ind w:firstLine="420"/>
        <w:jc w:val="left"/>
      </w:pPr>
      <w:r>
        <w:rPr>
          <w:rFonts w:hint="eastAsia"/>
        </w:rPr>
        <w:t>联系人：陈侃、陈启梅</w:t>
      </w:r>
      <w:r>
        <w:t xml:space="preserve">  </w:t>
      </w:r>
      <w:r>
        <w:rPr>
          <w:rFonts w:hint="eastAsia"/>
        </w:rPr>
        <w:t>联系方式：0777-2886006</w:t>
      </w:r>
    </w:p>
    <w:p>
      <w:pPr>
        <w:widowControl/>
        <w:spacing w:line="400" w:lineRule="atLeast"/>
        <w:ind w:firstLine="420"/>
        <w:jc w:val="left"/>
      </w:pPr>
      <w:r>
        <w:rPr>
          <w:rFonts w:hint="eastAsia"/>
        </w:rPr>
        <w:t>(</w:t>
      </w:r>
      <w:r>
        <w:t>3)</w:t>
      </w:r>
      <w:r>
        <w:rPr>
          <w:rFonts w:hint="eastAsia"/>
        </w:rPr>
        <w:t>政采云技术支持热线：</w:t>
      </w:r>
      <w:r>
        <w:rPr>
          <w:rFonts w:hAnsi="宋体"/>
        </w:rPr>
        <w:t>95763</w:t>
      </w:r>
    </w:p>
    <w:bookmarkEnd w:id="255"/>
    <w:p>
      <w:pPr>
        <w:ind w:firstLine="420"/>
      </w:pPr>
      <w:r>
        <w:br w:type="page"/>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46"/>
        <w:ind w:left="0" w:leftChars="0" w:right="0" w:rightChars="0" w:firstLine="0" w:firstLineChars="0"/>
        <w:jc w:val="center"/>
      </w:pPr>
      <w:bookmarkStart w:id="256" w:name="_Toc91512286"/>
      <w:r>
        <w:rPr>
          <w:rFonts w:hint="eastAsia"/>
        </w:rPr>
        <w:t xml:space="preserve">第四章  </w:t>
      </w:r>
      <w:bookmarkEnd w:id="256"/>
      <w:r>
        <w:rPr>
          <w:rFonts w:hint="eastAsia"/>
        </w:rPr>
        <w:t>评定标准及推荐原则</w:t>
      </w:r>
    </w:p>
    <w:p>
      <w:pPr>
        <w:ind w:firstLine="0" w:firstLineChars="0"/>
      </w:pPr>
      <w:r>
        <w:br w:type="page"/>
      </w:r>
      <w:bookmarkStart w:id="257" w:name="_Hlk92268453"/>
    </w:p>
    <w:bookmarkEnd w:id="257"/>
    <w:p>
      <w:pPr>
        <w:spacing w:line="380" w:lineRule="exact"/>
        <w:ind w:firstLine="0" w:firstLineChars="0"/>
        <w:jc w:val="center"/>
        <w:rPr>
          <w:rFonts w:hint="eastAsia" w:ascii="宋体" w:hAnsi="宋体"/>
          <w:b/>
          <w:sz w:val="32"/>
          <w:szCs w:val="32"/>
        </w:rPr>
      </w:pPr>
      <w:r>
        <w:rPr>
          <w:rFonts w:hint="eastAsia" w:ascii="宋体" w:hAnsi="宋体"/>
          <w:b/>
          <w:sz w:val="32"/>
        </w:rPr>
        <w:t>评定标准和推荐原则</w:t>
      </w:r>
      <w:r>
        <w:rPr>
          <w:rFonts w:hint="eastAsia" w:ascii="宋体" w:hAnsi="宋体"/>
          <w:b/>
          <w:color w:val="000000"/>
          <w:sz w:val="32"/>
        </w:rPr>
        <w:t>（标项一）</w:t>
      </w:r>
    </w:p>
    <w:p>
      <w:pPr>
        <w:pStyle w:val="28"/>
        <w:spacing w:line="500" w:lineRule="exact"/>
        <w:ind w:firstLine="0" w:firstLineChars="0"/>
        <w:jc w:val="left"/>
        <w:rPr>
          <w:rFonts w:hint="eastAsia" w:hAnsi="宋体"/>
          <w:b/>
          <w:bCs/>
        </w:rPr>
      </w:pPr>
      <w:r>
        <w:rPr>
          <w:rFonts w:hint="eastAsia" w:hAnsi="宋体"/>
          <w:b/>
          <w:bCs/>
        </w:rPr>
        <w:t>一、评标原则</w:t>
      </w:r>
    </w:p>
    <w:p>
      <w:pPr>
        <w:pStyle w:val="28"/>
        <w:spacing w:line="500" w:lineRule="exact"/>
        <w:ind w:firstLine="210" w:firstLineChars="100"/>
        <w:jc w:val="left"/>
        <w:rPr>
          <w:rFonts w:hint="eastAsia" w:hAnsi="宋体"/>
        </w:rPr>
      </w:pPr>
      <w:r>
        <w:rPr>
          <w:rFonts w:hint="eastAsia" w:hAnsi="宋体"/>
        </w:rPr>
        <w:t>（一）评标依据：评标委员会将以招投标文件为评标依据，</w:t>
      </w:r>
      <w:r>
        <w:rPr>
          <w:rFonts w:hAnsi="宋体"/>
        </w:rPr>
        <w:t>对投标人的投标报价、</w:t>
      </w:r>
      <w:r>
        <w:rPr>
          <w:rFonts w:hint="eastAsia" w:hAnsi="宋体"/>
          <w:bCs/>
        </w:rPr>
        <w:t>技术商务资信</w:t>
      </w:r>
      <w:r>
        <w:rPr>
          <w:rFonts w:hAnsi="宋体"/>
        </w:rPr>
        <w:t>等方面内容</w:t>
      </w:r>
      <w:r>
        <w:rPr>
          <w:rFonts w:hint="eastAsia" w:hAnsi="宋体"/>
        </w:rPr>
        <w:t>进行评价。</w:t>
      </w:r>
    </w:p>
    <w:p>
      <w:pPr>
        <w:pStyle w:val="28"/>
        <w:spacing w:line="500" w:lineRule="exact"/>
        <w:ind w:firstLine="210" w:firstLineChars="100"/>
        <w:jc w:val="left"/>
        <w:rPr>
          <w:rFonts w:hint="eastAsia" w:hAnsi="宋体"/>
        </w:rPr>
      </w:pPr>
      <w:r>
        <w:rPr>
          <w:rFonts w:hint="eastAsia" w:hAnsi="宋体"/>
        </w:rPr>
        <w:t>（二）评标委员会组成：由采购人代表和评审专家组成，成员人数应当为5人以上单数，其中评审专家的人数不得少于成员总数的三分之二。</w:t>
      </w:r>
    </w:p>
    <w:p>
      <w:pPr>
        <w:pStyle w:val="28"/>
        <w:spacing w:line="500" w:lineRule="exact"/>
        <w:ind w:firstLine="210" w:firstLineChars="100"/>
        <w:jc w:val="left"/>
        <w:rPr>
          <w:rFonts w:hint="eastAsia" w:hAnsi="宋体"/>
        </w:rPr>
      </w:pPr>
      <w:r>
        <w:rPr>
          <w:rFonts w:hint="eastAsia" w:hAnsi="宋体"/>
        </w:rPr>
        <w:t>（三）评分方式：评标委员会各成员独立对每个投标人的投标文件进行评价。</w:t>
      </w:r>
    </w:p>
    <w:p>
      <w:pPr>
        <w:pStyle w:val="28"/>
        <w:spacing w:line="500" w:lineRule="exact"/>
        <w:ind w:firstLine="0" w:firstLineChars="0"/>
        <w:jc w:val="left"/>
        <w:rPr>
          <w:rFonts w:hint="eastAsia" w:hAnsi="宋体"/>
          <w:b/>
          <w:bCs/>
        </w:rPr>
      </w:pPr>
      <w:r>
        <w:rPr>
          <w:rFonts w:hint="eastAsia" w:hAnsi="宋体"/>
          <w:b/>
          <w:bCs/>
        </w:rPr>
        <w:t>二、评分细则</w:t>
      </w:r>
    </w:p>
    <w:p>
      <w:pPr>
        <w:spacing w:line="500" w:lineRule="exact"/>
        <w:ind w:firstLine="210" w:firstLineChars="100"/>
        <w:jc w:val="left"/>
        <w:rPr>
          <w:rFonts w:hint="eastAsia" w:ascii="宋体" w:hAnsi="宋体" w:cs="Courier New"/>
          <w:szCs w:val="21"/>
        </w:rPr>
      </w:pPr>
      <w:r>
        <w:rPr>
          <w:rFonts w:hint="eastAsia" w:ascii="宋体" w:hAnsi="宋体" w:cs="Courier New"/>
          <w:szCs w:val="21"/>
        </w:rPr>
        <w:t>综合评分法：对满足招标文件全部实质性要求的投标人投标文件</w:t>
      </w:r>
      <w:r>
        <w:rPr>
          <w:rFonts w:ascii="宋体" w:hAnsi="宋体" w:cs="Arial"/>
          <w:szCs w:val="21"/>
        </w:rPr>
        <w:t>按照评审因素的量化指标评审</w:t>
      </w:r>
      <w:r>
        <w:rPr>
          <w:rFonts w:hint="eastAsia" w:ascii="宋体" w:hAnsi="宋体" w:cs="Arial"/>
          <w:szCs w:val="21"/>
        </w:rPr>
        <w:t>并汇总(</w:t>
      </w:r>
      <w:r>
        <w:rPr>
          <w:rFonts w:hint="eastAsia" w:ascii="宋体" w:hAnsi="宋体" w:cs="Courier New"/>
          <w:szCs w:val="21"/>
        </w:rPr>
        <w:t>四舍五入取至百分位)。</w:t>
      </w:r>
    </w:p>
    <w:p>
      <w:pPr>
        <w:spacing w:line="500" w:lineRule="exact"/>
        <w:ind w:firstLine="211" w:firstLineChars="100"/>
        <w:rPr>
          <w:rFonts w:hint="eastAsia" w:ascii="宋体" w:hAnsi="宋体"/>
          <w:b/>
          <w:bCs/>
        </w:rPr>
      </w:pPr>
      <w:r>
        <w:rPr>
          <w:rFonts w:hint="eastAsia" w:ascii="宋体" w:hAnsi="宋体"/>
          <w:b/>
          <w:bCs/>
        </w:rPr>
        <w:t>（一）报价分（</w:t>
      </w:r>
      <w:r>
        <w:rPr>
          <w:rFonts w:ascii="宋体" w:hAnsi="宋体"/>
          <w:b/>
          <w:bCs/>
        </w:rPr>
        <w:t>3</w:t>
      </w:r>
      <w:r>
        <w:rPr>
          <w:rFonts w:hint="eastAsia" w:ascii="宋体" w:hAnsi="宋体"/>
          <w:b/>
          <w:bCs/>
        </w:rPr>
        <w:t>5分）</w:t>
      </w:r>
    </w:p>
    <w:p>
      <w:pPr>
        <w:spacing w:line="500" w:lineRule="exact"/>
        <w:ind w:firstLine="420"/>
        <w:jc w:val="left"/>
        <w:rPr>
          <w:rFonts w:hint="eastAsia" w:ascii="宋体" w:hAnsi="宋体" w:cs="Courier New"/>
          <w:szCs w:val="21"/>
        </w:rPr>
      </w:pPr>
      <w:r>
        <w:rPr>
          <w:rFonts w:hint="eastAsia" w:ascii="宋体" w:hAnsi="宋体" w:cs="Courier New"/>
          <w:szCs w:val="21"/>
        </w:rPr>
        <w:tab/>
      </w:r>
      <w:r>
        <w:rPr>
          <w:rFonts w:hint="eastAsia" w:ascii="宋体" w:hAnsi="宋体" w:cs="Courier New"/>
          <w:szCs w:val="21"/>
        </w:rPr>
        <w:t>1.投标人的价格分统一按照下列公式计算：</w:t>
      </w:r>
    </w:p>
    <w:p>
      <w:pPr>
        <w:spacing w:line="500" w:lineRule="exact"/>
        <w:ind w:firstLine="422"/>
        <w:jc w:val="left"/>
        <w:rPr>
          <w:rFonts w:hint="eastAsia" w:ascii="宋体" w:hAnsi="宋体" w:cs="Courier New"/>
          <w:b/>
          <w:szCs w:val="21"/>
        </w:rPr>
      </w:pPr>
      <w:r>
        <w:rPr>
          <w:rFonts w:hint="eastAsia" w:ascii="宋体" w:hAnsi="宋体" w:cs="Courier New"/>
          <w:b/>
          <w:szCs w:val="21"/>
        </w:rPr>
        <w:tab/>
      </w:r>
      <w:r>
        <w:rPr>
          <w:rFonts w:hint="eastAsia" w:ascii="宋体" w:hAnsi="宋体" w:cs="Courier New"/>
          <w:b/>
          <w:szCs w:val="21"/>
        </w:rPr>
        <w:t>某投标人价格分=（评标基准价/某投标人评标价）×35分</w:t>
      </w:r>
    </w:p>
    <w:p>
      <w:pPr>
        <w:widowControl/>
        <w:spacing w:line="500" w:lineRule="exact"/>
        <w:ind w:firstLine="420"/>
        <w:jc w:val="left"/>
        <w:rPr>
          <w:rFonts w:hint="eastAsia" w:ascii="宋体" w:hAnsi="宋体" w:cs="Courier New"/>
          <w:szCs w:val="21"/>
        </w:rPr>
      </w:pPr>
      <w:r>
        <w:rPr>
          <w:rFonts w:hint="eastAsia" w:ascii="宋体" w:hAnsi="宋体" w:cs="Courier New"/>
          <w:szCs w:val="21"/>
        </w:rPr>
        <w:t>注：</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提供的全部货物符合《政府采购促进中小企业发展管理办法》（财库﹝2020﹞46号）规定，并在投标文件中提供《中小企业声明函》（格式见第六章，投标人须对声明的真实性负责）。评审中将对小微型企业报价给予20%的扣除，扣除后的价格为评标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line="500" w:lineRule="exact"/>
        <w:ind w:firstLine="420"/>
        <w:jc w:val="left"/>
        <w:rPr>
          <w:rFonts w:hint="eastAsia" w:ascii="宋体" w:hAnsi="宋体" w:cs="Courier New"/>
          <w:szCs w:val="21"/>
        </w:rPr>
      </w:pPr>
      <w:r>
        <w:rPr>
          <w:rFonts w:hint="eastAsia" w:ascii="宋体" w:hAnsi="宋体" w:cs="Courier New"/>
        </w:rPr>
        <w:t>投标人获得政策性价格扣除的，评标价</w:t>
      </w:r>
      <w:r>
        <w:rPr>
          <w:rFonts w:ascii="宋体" w:hAnsi="宋体" w:cs="Courier New"/>
        </w:rPr>
        <w:t>=</w:t>
      </w:r>
      <w:r>
        <w:rPr>
          <w:rFonts w:hint="eastAsia" w:ascii="宋体" w:hAnsi="宋体" w:cs="Courier New"/>
        </w:rPr>
        <w:t>投标报价×（</w:t>
      </w:r>
      <w:r>
        <w:rPr>
          <w:rFonts w:ascii="宋体" w:hAnsi="宋体" w:cs="Courier New"/>
        </w:rPr>
        <w:t>1-</w:t>
      </w:r>
      <w:r>
        <w:rPr>
          <w:rFonts w:hint="eastAsia" w:ascii="宋体" w:hAnsi="宋体" w:cs="Courier New"/>
        </w:rPr>
        <w:t>2</w:t>
      </w:r>
      <w:r>
        <w:rPr>
          <w:rFonts w:ascii="宋体" w:hAnsi="宋体" w:cs="Courier New"/>
        </w:rPr>
        <w:t>0%</w:t>
      </w:r>
      <w:r>
        <w:rPr>
          <w:rFonts w:hint="eastAsia" w:ascii="宋体" w:hAnsi="宋体" w:cs="Courier New"/>
        </w:rPr>
        <w:t>），否则评标价</w:t>
      </w:r>
      <w:r>
        <w:rPr>
          <w:rFonts w:ascii="宋体" w:hAnsi="宋体" w:cs="Courier New"/>
        </w:rPr>
        <w:t>=</w:t>
      </w:r>
      <w:r>
        <w:rPr>
          <w:rFonts w:hint="eastAsia" w:ascii="宋体" w:hAnsi="宋体" w:cs="Courier New"/>
        </w:rPr>
        <w:t>投标报价。满足招标文件全部实质性要求的投标人最低评标价为评标基准价。评标价仅作评标时使用，中标金额＝投标报价。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numPr>
          <w:ilvl w:val="0"/>
          <w:numId w:val="10"/>
        </w:numPr>
        <w:spacing w:line="500" w:lineRule="exact"/>
        <w:ind w:firstLine="282" w:firstLineChars="134"/>
        <w:rPr>
          <w:rFonts w:hint="eastAsia" w:ascii="宋体" w:hAnsi="宋体" w:cs="宋体"/>
          <w:b/>
          <w:bCs/>
          <w:spacing w:val="-12"/>
          <w:kern w:val="0"/>
          <w:szCs w:val="21"/>
        </w:rPr>
      </w:pPr>
      <w:r>
        <w:rPr>
          <w:rFonts w:hint="eastAsia" w:ascii="宋体" w:hAnsi="宋体" w:cs="宋体"/>
          <w:b/>
          <w:bCs/>
          <w:kern w:val="0"/>
          <w:szCs w:val="21"/>
        </w:rPr>
        <w:t>技术商务资信分</w:t>
      </w:r>
      <w:r>
        <w:rPr>
          <w:rFonts w:hint="eastAsia" w:ascii="宋体" w:hAnsi="宋体" w:cs="宋体"/>
          <w:b/>
          <w:bCs/>
          <w:spacing w:val="-12"/>
          <w:kern w:val="0"/>
          <w:szCs w:val="21"/>
        </w:rPr>
        <w:t>（</w:t>
      </w:r>
      <w:r>
        <w:rPr>
          <w:rFonts w:hint="eastAsia" w:ascii="宋体" w:hAnsi="宋体" w:cs="宋体"/>
          <w:b/>
          <w:bCs/>
          <w:spacing w:val="-12"/>
          <w:kern w:val="0"/>
          <w:szCs w:val="21"/>
          <w:highlight w:val="none"/>
          <w:lang w:val="en-US" w:eastAsia="zh-CN"/>
        </w:rPr>
        <w:t>6</w:t>
      </w:r>
      <w:r>
        <w:rPr>
          <w:rFonts w:hint="eastAsia" w:ascii="宋体" w:hAnsi="宋体" w:cs="宋体"/>
          <w:b/>
          <w:bCs/>
          <w:spacing w:val="-12"/>
          <w:kern w:val="0"/>
          <w:szCs w:val="21"/>
          <w:highlight w:val="none"/>
        </w:rPr>
        <w:t>5</w:t>
      </w:r>
      <w:r>
        <w:rPr>
          <w:rFonts w:hint="eastAsia" w:ascii="宋体" w:hAnsi="宋体" w:cs="宋体"/>
          <w:b/>
          <w:bCs/>
          <w:spacing w:val="-12"/>
          <w:kern w:val="0"/>
          <w:szCs w:val="21"/>
        </w:rPr>
        <w:t>分）</w:t>
      </w:r>
    </w:p>
    <w:p>
      <w:pPr>
        <w:widowControl/>
        <w:spacing w:line="500" w:lineRule="exact"/>
        <w:ind w:firstLine="422"/>
        <w:jc w:val="left"/>
        <w:outlineLvl w:val="1"/>
        <w:rPr>
          <w:rFonts w:hint="eastAsia" w:ascii="宋体" w:hAnsi="宋体" w:cs="宋体"/>
          <w:b/>
          <w:bCs/>
          <w:kern w:val="0"/>
          <w:szCs w:val="21"/>
          <w:lang w:bidi="ar"/>
        </w:rPr>
      </w:pPr>
      <w:bookmarkStart w:id="258" w:name="OLE_LINK29"/>
      <w:r>
        <w:rPr>
          <w:rFonts w:hint="eastAsia" w:ascii="宋体" w:hAnsi="宋体" w:cs="宋体"/>
          <w:b/>
          <w:bCs/>
          <w:kern w:val="0"/>
          <w:szCs w:val="21"/>
          <w:lang w:bidi="ar"/>
        </w:rPr>
        <w:t>1.技术分(</w:t>
      </w:r>
      <w:r>
        <w:rPr>
          <w:rFonts w:hint="eastAsia" w:ascii="宋体" w:hAnsi="宋体" w:cs="宋体"/>
          <w:b/>
          <w:bCs/>
          <w:kern w:val="0"/>
          <w:szCs w:val="21"/>
          <w:highlight w:val="none"/>
          <w:lang w:val="en-US" w:eastAsia="zh-CN" w:bidi="ar"/>
        </w:rPr>
        <w:t>61</w:t>
      </w:r>
      <w:r>
        <w:rPr>
          <w:rFonts w:hint="eastAsia" w:ascii="宋体" w:hAnsi="宋体" w:cs="宋体"/>
          <w:b/>
          <w:bCs/>
          <w:kern w:val="0"/>
          <w:szCs w:val="21"/>
          <w:lang w:bidi="ar"/>
        </w:rPr>
        <w:t>分)</w:t>
      </w:r>
    </w:p>
    <w:bookmarkEnd w:id="258"/>
    <w:p>
      <w:pPr>
        <w:widowControl/>
        <w:spacing w:line="500" w:lineRule="exact"/>
        <w:ind w:firstLine="422"/>
        <w:jc w:val="left"/>
        <w:outlineLvl w:val="1"/>
        <w:rPr>
          <w:rFonts w:hint="eastAsia" w:ascii="宋体" w:hAnsi="宋体" w:cs="宋体"/>
          <w:b/>
          <w:bCs/>
          <w:kern w:val="0"/>
          <w:szCs w:val="21"/>
          <w:lang w:bidi="ar"/>
        </w:rPr>
      </w:pPr>
      <w:bookmarkStart w:id="259" w:name="OLE_LINK30"/>
      <w:r>
        <w:rPr>
          <w:rFonts w:hint="eastAsia" w:ascii="宋体" w:hAnsi="宋体" w:cs="宋体"/>
          <w:b/>
          <w:bCs/>
          <w:kern w:val="0"/>
          <w:szCs w:val="21"/>
          <w:lang w:bidi="ar"/>
        </w:rPr>
        <w:t>1.1技术性能分（满分3</w:t>
      </w:r>
      <w:r>
        <w:rPr>
          <w:rFonts w:hint="eastAsia" w:ascii="宋体" w:hAnsi="宋体" w:cs="宋体"/>
          <w:b/>
          <w:bCs/>
          <w:kern w:val="0"/>
          <w:szCs w:val="21"/>
          <w:lang w:val="en-US" w:eastAsia="zh-CN" w:bidi="ar"/>
        </w:rPr>
        <w:t>6</w:t>
      </w:r>
      <w:r>
        <w:rPr>
          <w:rFonts w:hint="eastAsia" w:ascii="宋体" w:hAnsi="宋体" w:cs="宋体"/>
          <w:b/>
          <w:bCs/>
          <w:kern w:val="0"/>
          <w:szCs w:val="21"/>
          <w:lang w:bidi="ar"/>
        </w:rPr>
        <w:t>分）</w:t>
      </w:r>
    </w:p>
    <w:p>
      <w:pPr>
        <w:widowControl/>
        <w:spacing w:line="500" w:lineRule="exact"/>
        <w:ind w:firstLine="420"/>
        <w:jc w:val="left"/>
        <w:rPr>
          <w:rFonts w:hint="eastAsia" w:ascii="宋体" w:hAnsi="宋体" w:cs="Courier New"/>
          <w:szCs w:val="21"/>
        </w:rPr>
      </w:pPr>
      <w:bookmarkStart w:id="260" w:name="OLE_LINK6"/>
      <w:r>
        <w:rPr>
          <w:rFonts w:hint="eastAsia" w:ascii="宋体" w:hAnsi="宋体" w:cs="Courier New"/>
          <w:szCs w:val="21"/>
        </w:rPr>
        <w:t>经评标委员会评定，根据投标人对标项</w:t>
      </w:r>
      <w:r>
        <w:rPr>
          <w:rFonts w:hint="eastAsia" w:ascii="宋体" w:hAnsi="宋体" w:cs="Courier New"/>
          <w:szCs w:val="21"/>
          <w:lang w:val="en-US" w:eastAsia="zh-CN"/>
        </w:rPr>
        <w:t>一</w:t>
      </w:r>
      <w:r>
        <w:rPr>
          <w:rFonts w:hint="eastAsia" w:ascii="宋体" w:hAnsi="宋体" w:cs="Courier New"/>
          <w:szCs w:val="21"/>
        </w:rPr>
        <w:t>技术要求标注▲号的技术参数的响应情况进行评审：</w:t>
      </w:r>
    </w:p>
    <w:p>
      <w:pPr>
        <w:widowControl/>
        <w:spacing w:line="500" w:lineRule="exact"/>
        <w:ind w:firstLine="420"/>
        <w:jc w:val="left"/>
        <w:rPr>
          <w:rFonts w:hint="eastAsia" w:ascii="宋体" w:hAnsi="宋体" w:cs="Courier New"/>
          <w:szCs w:val="21"/>
        </w:rPr>
      </w:pPr>
      <w:r>
        <w:rPr>
          <w:rFonts w:hint="eastAsia" w:ascii="宋体" w:hAnsi="宋体" w:cs="Courier New"/>
          <w:szCs w:val="21"/>
        </w:rPr>
        <w:t>标注“▲”号的技术参数</w:t>
      </w:r>
      <w:r>
        <w:rPr>
          <w:rFonts w:hint="eastAsia" w:ascii="宋体" w:hAnsi="宋体" w:cs="Courier New"/>
          <w:szCs w:val="21"/>
          <w:lang w:val="en-US" w:eastAsia="zh-CN"/>
        </w:rPr>
        <w:t>须</w:t>
      </w:r>
      <w:r>
        <w:rPr>
          <w:rFonts w:hint="eastAsia" w:ascii="宋体" w:hAnsi="宋体" w:cs="Courier New"/>
          <w:szCs w:val="21"/>
        </w:rPr>
        <w:t>能提供证明材料，材料可以是①国家认可的第三方检测机构出具的合格有效的检测（验）报告复印件，②或产品的历史成交项目证明材料，材料须清晰体现项目基本信息、供货货物品牌、型号、技术参数及性能配置③或产品功能的演示截图，材料须清晰体现供货货物品牌、型号、技术参数及性能配置，</w:t>
      </w:r>
      <w:r>
        <w:rPr>
          <w:rFonts w:hint="eastAsia" w:ascii="宋体" w:hAnsi="宋体" w:cs="Courier New"/>
          <w:szCs w:val="21"/>
          <w:lang w:val="en-US" w:eastAsia="zh-CN"/>
        </w:rPr>
        <w:t>每项</w:t>
      </w:r>
      <w:r>
        <w:rPr>
          <w:rFonts w:hint="eastAsia" w:ascii="宋体" w:hAnsi="宋体" w:cs="Courier New"/>
          <w:szCs w:val="21"/>
        </w:rPr>
        <w:t>得</w:t>
      </w:r>
      <w:r>
        <w:rPr>
          <w:rFonts w:hint="eastAsia" w:ascii="宋体" w:hAnsi="宋体" w:cs="Courier New"/>
          <w:szCs w:val="21"/>
          <w:lang w:val="en-US" w:eastAsia="zh-CN"/>
        </w:rPr>
        <w:t>4</w:t>
      </w:r>
      <w:r>
        <w:rPr>
          <w:rFonts w:hint="eastAsia" w:ascii="宋体" w:hAnsi="宋体" w:cs="Courier New"/>
          <w:szCs w:val="21"/>
        </w:rPr>
        <w:t>分，满分3</w:t>
      </w:r>
      <w:r>
        <w:rPr>
          <w:rFonts w:hint="eastAsia" w:ascii="宋体" w:hAnsi="宋体" w:cs="Courier New"/>
          <w:szCs w:val="21"/>
          <w:lang w:val="en-US" w:eastAsia="zh-CN"/>
        </w:rPr>
        <w:t>6</w:t>
      </w:r>
      <w:r>
        <w:rPr>
          <w:rFonts w:hint="eastAsia" w:ascii="宋体" w:hAnsi="宋体" w:cs="Courier New"/>
          <w:szCs w:val="21"/>
        </w:rPr>
        <w:t>分；</w:t>
      </w:r>
    </w:p>
    <w:p>
      <w:pPr>
        <w:widowControl/>
        <w:spacing w:line="500" w:lineRule="exact"/>
        <w:ind w:firstLine="420"/>
        <w:jc w:val="left"/>
        <w:rPr>
          <w:rFonts w:hint="eastAsia" w:ascii="宋体" w:hAnsi="宋体" w:cs="宋体"/>
          <w:sz w:val="22"/>
          <w:szCs w:val="28"/>
        </w:rPr>
      </w:pPr>
      <w:r>
        <w:rPr>
          <w:rFonts w:hint="eastAsia" w:ascii="宋体" w:hAnsi="宋体" w:cs="Courier New"/>
          <w:szCs w:val="21"/>
        </w:rPr>
        <w:t>说明：标注“▲”的内容在投标文件中逐点应答出检测（验）报告具体位置，项目中标后，采购人有权要求中标人提供检测（验）报告原件进行审查。</w:t>
      </w:r>
    </w:p>
    <w:bookmarkEnd w:id="259"/>
    <w:bookmarkEnd w:id="260"/>
    <w:p>
      <w:pPr>
        <w:widowControl/>
        <w:spacing w:line="500" w:lineRule="exact"/>
        <w:ind w:firstLine="422"/>
        <w:jc w:val="left"/>
        <w:outlineLvl w:val="1"/>
        <w:rPr>
          <w:rFonts w:hint="eastAsia" w:ascii="宋体" w:hAnsi="宋体" w:cs="宋体"/>
          <w:sz w:val="22"/>
          <w:szCs w:val="28"/>
        </w:rPr>
      </w:pPr>
      <w:bookmarkStart w:id="261" w:name="OLE_LINK31"/>
      <w:r>
        <w:rPr>
          <w:rFonts w:hint="eastAsia" w:ascii="宋体" w:hAnsi="宋体" w:cs="宋体"/>
          <w:b/>
          <w:bCs/>
          <w:kern w:val="0"/>
          <w:szCs w:val="21"/>
          <w:lang w:bidi="ar"/>
        </w:rPr>
        <w:t>1.2实施方案分（1</w:t>
      </w:r>
      <w:r>
        <w:rPr>
          <w:rFonts w:hint="eastAsia" w:ascii="宋体" w:hAnsi="宋体" w:cs="宋体"/>
          <w:b/>
          <w:bCs/>
          <w:kern w:val="0"/>
          <w:szCs w:val="21"/>
          <w:lang w:val="en-US" w:eastAsia="zh-CN" w:bidi="ar"/>
        </w:rPr>
        <w:t>5</w:t>
      </w:r>
      <w:r>
        <w:rPr>
          <w:rFonts w:hint="eastAsia" w:ascii="宋体" w:hAnsi="宋体" w:cs="宋体"/>
          <w:b/>
          <w:bCs/>
          <w:kern w:val="0"/>
          <w:szCs w:val="21"/>
          <w:lang w:bidi="ar"/>
        </w:rPr>
        <w:t>分）</w:t>
      </w:r>
    </w:p>
    <w:bookmarkEnd w:id="261"/>
    <w:p>
      <w:pPr>
        <w:widowControl/>
        <w:spacing w:line="500" w:lineRule="exact"/>
        <w:ind w:firstLine="420"/>
        <w:jc w:val="left"/>
        <w:outlineLvl w:val="1"/>
        <w:rPr>
          <w:rFonts w:hint="default" w:ascii="宋体" w:hAnsi="宋体" w:eastAsia="宋体"/>
          <w:szCs w:val="21"/>
          <w:highlight w:val="none"/>
          <w:lang w:val="en-US" w:eastAsia="zh-CN"/>
        </w:rPr>
      </w:pPr>
      <w:r>
        <w:rPr>
          <w:rFonts w:hint="eastAsia" w:ascii="宋体" w:hAnsi="宋体"/>
          <w:szCs w:val="21"/>
          <w:highlight w:val="none"/>
          <w:lang w:val="en-US" w:eastAsia="zh-CN"/>
        </w:rPr>
        <w:t>1.2.1</w:t>
      </w:r>
      <w:bookmarkStart w:id="262" w:name="OLE_LINK32"/>
      <w:r>
        <w:rPr>
          <w:rFonts w:hint="eastAsia" w:ascii="宋体" w:hAnsi="宋体"/>
          <w:szCs w:val="21"/>
          <w:highlight w:val="none"/>
        </w:rPr>
        <w:t>针对教室多媒体教学需求提供基础备、授课教学应用软件</w:t>
      </w:r>
      <w:r>
        <w:rPr>
          <w:rFonts w:hint="eastAsia" w:ascii="宋体" w:hAnsi="宋体"/>
          <w:szCs w:val="21"/>
          <w:highlight w:val="none"/>
          <w:lang w:val="en-US" w:eastAsia="zh-CN"/>
        </w:rPr>
        <w:t>方案</w:t>
      </w:r>
      <w:r>
        <w:rPr>
          <w:rFonts w:hint="eastAsia" w:ascii="宋体" w:hAnsi="宋体"/>
          <w:szCs w:val="21"/>
          <w:highlight w:val="none"/>
        </w:rPr>
        <w:t>，教学软件</w:t>
      </w:r>
      <w:r>
        <w:rPr>
          <w:rFonts w:hint="eastAsia" w:ascii="宋体" w:hAnsi="宋体"/>
          <w:szCs w:val="21"/>
          <w:highlight w:val="none"/>
          <w:lang w:val="en-US" w:eastAsia="zh-CN"/>
        </w:rPr>
        <w:t>方案</w:t>
      </w:r>
      <w:r>
        <w:rPr>
          <w:rFonts w:hint="eastAsia" w:ascii="宋体" w:hAnsi="宋体"/>
          <w:szCs w:val="21"/>
          <w:highlight w:val="none"/>
        </w:rPr>
        <w:t>支持可扩展多教室互动课堂开课</w:t>
      </w:r>
      <w:r>
        <w:rPr>
          <w:rFonts w:hint="eastAsia" w:ascii="宋体" w:hAnsi="宋体"/>
          <w:szCs w:val="21"/>
          <w:highlight w:val="none"/>
          <w:lang w:eastAsia="zh-CN"/>
        </w:rPr>
        <w:t>的</w:t>
      </w:r>
      <w:r>
        <w:rPr>
          <w:rFonts w:hint="eastAsia" w:ascii="宋体" w:hAnsi="宋体"/>
          <w:szCs w:val="21"/>
          <w:highlight w:val="none"/>
          <w:lang w:val="en-US" w:eastAsia="zh-CN"/>
        </w:rPr>
        <w:t>得4分；</w:t>
      </w:r>
      <w:bookmarkEnd w:id="262"/>
    </w:p>
    <w:p>
      <w:pPr>
        <w:widowControl/>
        <w:spacing w:line="500" w:lineRule="exact"/>
        <w:ind w:firstLine="420"/>
        <w:jc w:val="left"/>
        <w:outlineLvl w:val="1"/>
        <w:rPr>
          <w:rFonts w:hint="default" w:ascii="宋体" w:hAnsi="宋体" w:eastAsia="宋体"/>
          <w:szCs w:val="21"/>
          <w:highlight w:val="none"/>
          <w:lang w:val="en-US" w:eastAsia="zh-CN"/>
        </w:rPr>
      </w:pPr>
      <w:r>
        <w:rPr>
          <w:rFonts w:hint="eastAsia" w:ascii="宋体" w:hAnsi="宋体"/>
          <w:szCs w:val="21"/>
          <w:highlight w:val="none"/>
          <w:lang w:val="en-US" w:eastAsia="zh-CN"/>
        </w:rPr>
        <w:t>1.2.2</w:t>
      </w:r>
      <w:r>
        <w:rPr>
          <w:rFonts w:hint="eastAsia" w:ascii="宋体" w:hAnsi="宋体"/>
          <w:szCs w:val="21"/>
          <w:highlight w:val="none"/>
        </w:rPr>
        <w:t>针对教室多媒体教学需求具有针对教室环境的设计方案，提供教室场景简要设计图</w:t>
      </w:r>
      <w:r>
        <w:rPr>
          <w:rFonts w:hint="eastAsia" w:ascii="宋体" w:hAnsi="宋体"/>
          <w:szCs w:val="21"/>
          <w:highlight w:val="none"/>
          <w:lang w:eastAsia="zh-CN"/>
        </w:rPr>
        <w:t>的</w:t>
      </w:r>
      <w:r>
        <w:rPr>
          <w:rFonts w:hint="eastAsia" w:ascii="宋体" w:hAnsi="宋体"/>
          <w:szCs w:val="21"/>
          <w:highlight w:val="none"/>
          <w:lang w:val="en-US" w:eastAsia="zh-CN"/>
        </w:rPr>
        <w:t>得4分；</w:t>
      </w:r>
    </w:p>
    <w:p>
      <w:pPr>
        <w:widowControl/>
        <w:spacing w:line="500" w:lineRule="exact"/>
        <w:ind w:firstLine="420"/>
        <w:jc w:val="left"/>
        <w:outlineLvl w:val="1"/>
        <w:rPr>
          <w:rFonts w:hint="default" w:ascii="宋体" w:hAnsi="宋体" w:eastAsia="宋体"/>
          <w:szCs w:val="21"/>
          <w:highlight w:val="none"/>
          <w:lang w:val="en-US" w:eastAsia="zh-CN"/>
        </w:rPr>
      </w:pPr>
      <w:r>
        <w:rPr>
          <w:rFonts w:hint="eastAsia" w:ascii="宋体" w:hAnsi="宋体"/>
          <w:szCs w:val="21"/>
          <w:highlight w:val="none"/>
          <w:lang w:val="en-US" w:eastAsia="zh-CN"/>
        </w:rPr>
        <w:t>1.2.3</w:t>
      </w:r>
      <w:r>
        <w:rPr>
          <w:rFonts w:hint="eastAsia" w:ascii="宋体" w:hAnsi="宋体"/>
          <w:szCs w:val="21"/>
          <w:highlight w:val="none"/>
        </w:rPr>
        <w:t>对本项目供货产品建设内容的介绍，具备基础教学运营保障机制；具备安装调试、系统服务能力以及提供关键性技术支撑</w:t>
      </w:r>
      <w:r>
        <w:rPr>
          <w:rFonts w:hint="eastAsia" w:ascii="宋体" w:hAnsi="宋体"/>
          <w:szCs w:val="21"/>
          <w:highlight w:val="none"/>
          <w:lang w:eastAsia="zh-CN"/>
        </w:rPr>
        <w:t>的，</w:t>
      </w:r>
      <w:r>
        <w:rPr>
          <w:rFonts w:hint="eastAsia" w:ascii="宋体" w:hAnsi="宋体"/>
          <w:szCs w:val="21"/>
          <w:highlight w:val="none"/>
          <w:lang w:val="en-US" w:eastAsia="zh-CN"/>
        </w:rPr>
        <w:t>得4分；</w:t>
      </w:r>
    </w:p>
    <w:p>
      <w:pPr>
        <w:widowControl/>
        <w:spacing w:line="500" w:lineRule="exact"/>
        <w:ind w:firstLine="420"/>
        <w:jc w:val="left"/>
        <w:outlineLvl w:val="1"/>
        <w:rPr>
          <w:rFonts w:hint="default" w:ascii="宋体" w:hAnsi="宋体" w:eastAsia="宋体"/>
          <w:szCs w:val="21"/>
          <w:highlight w:val="none"/>
          <w:lang w:val="en-US" w:eastAsia="zh-CN"/>
        </w:rPr>
      </w:pPr>
      <w:r>
        <w:rPr>
          <w:rFonts w:hint="eastAsia" w:ascii="宋体" w:hAnsi="宋体"/>
          <w:szCs w:val="21"/>
          <w:highlight w:val="none"/>
          <w:lang w:val="en-US" w:eastAsia="zh-CN"/>
        </w:rPr>
        <w:t>1.2.4</w:t>
      </w:r>
      <w:r>
        <w:rPr>
          <w:rFonts w:hint="eastAsia" w:ascii="宋体" w:hAnsi="宋体"/>
          <w:szCs w:val="21"/>
          <w:highlight w:val="none"/>
        </w:rPr>
        <w:t>具备教育数据托付管理能力、存储能力及信息安全能力</w:t>
      </w:r>
      <w:r>
        <w:rPr>
          <w:rFonts w:hint="eastAsia" w:ascii="宋体" w:hAnsi="宋体"/>
          <w:szCs w:val="21"/>
          <w:highlight w:val="none"/>
          <w:lang w:eastAsia="zh-CN"/>
        </w:rPr>
        <w:t>的，</w:t>
      </w:r>
      <w:r>
        <w:rPr>
          <w:rFonts w:hint="eastAsia" w:ascii="宋体" w:hAnsi="宋体"/>
          <w:szCs w:val="21"/>
          <w:highlight w:val="none"/>
          <w:lang w:val="en-US" w:eastAsia="zh-CN"/>
        </w:rPr>
        <w:t>得3分。</w:t>
      </w:r>
    </w:p>
    <w:p>
      <w:pPr>
        <w:widowControl/>
        <w:spacing w:line="500" w:lineRule="exact"/>
        <w:ind w:firstLine="422"/>
        <w:jc w:val="left"/>
        <w:outlineLvl w:val="1"/>
        <w:rPr>
          <w:rFonts w:hint="eastAsia" w:ascii="宋体" w:hAnsi="宋体" w:cs="宋体"/>
          <w:sz w:val="22"/>
          <w:szCs w:val="28"/>
        </w:rPr>
      </w:pPr>
      <w:r>
        <w:rPr>
          <w:rFonts w:hint="eastAsia" w:ascii="宋体" w:hAnsi="宋体" w:cs="宋体"/>
          <w:b/>
          <w:bCs/>
          <w:kern w:val="0"/>
          <w:szCs w:val="21"/>
          <w:lang w:bidi="ar"/>
        </w:rPr>
        <w:t>1.3售后服务分(</w:t>
      </w:r>
      <w:r>
        <w:rPr>
          <w:rFonts w:hint="eastAsia" w:ascii="宋体" w:hAnsi="宋体" w:cs="宋体"/>
          <w:b/>
          <w:bCs/>
          <w:kern w:val="0"/>
          <w:szCs w:val="21"/>
          <w:lang w:val="en-US" w:eastAsia="zh-CN" w:bidi="ar"/>
        </w:rPr>
        <w:t>10</w:t>
      </w:r>
      <w:r>
        <w:rPr>
          <w:rFonts w:hint="eastAsia" w:ascii="宋体" w:hAnsi="宋体" w:cs="宋体"/>
          <w:b/>
          <w:bCs/>
          <w:kern w:val="0"/>
          <w:szCs w:val="21"/>
          <w:lang w:bidi="ar"/>
        </w:rPr>
        <w:t xml:space="preserve">分) </w:t>
      </w:r>
    </w:p>
    <w:p>
      <w:pPr>
        <w:spacing w:line="480" w:lineRule="exact"/>
        <w:ind w:firstLine="420"/>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1.3.1</w:t>
      </w:r>
      <w:r>
        <w:rPr>
          <w:rFonts w:hint="eastAsia" w:ascii="宋体" w:hAnsi="宋体" w:cs="宋体"/>
          <w:bCs/>
          <w:kern w:val="0"/>
          <w:szCs w:val="21"/>
        </w:rPr>
        <w:t>有售后服务承诺书</w:t>
      </w:r>
      <w:r>
        <w:rPr>
          <w:rFonts w:hint="eastAsia" w:ascii="宋体" w:hAnsi="宋体" w:cs="宋体"/>
          <w:bCs/>
          <w:kern w:val="0"/>
          <w:szCs w:val="21"/>
          <w:lang w:eastAsia="zh-CN"/>
        </w:rPr>
        <w:t>的，</w:t>
      </w:r>
      <w:r>
        <w:rPr>
          <w:rFonts w:hint="eastAsia" w:ascii="宋体" w:hAnsi="宋体" w:cs="宋体"/>
          <w:bCs/>
          <w:kern w:val="0"/>
          <w:szCs w:val="21"/>
          <w:lang w:val="en-US" w:eastAsia="zh-CN"/>
        </w:rPr>
        <w:t>得2分；</w:t>
      </w:r>
    </w:p>
    <w:p>
      <w:pPr>
        <w:spacing w:line="480" w:lineRule="exact"/>
        <w:ind w:firstLine="420"/>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1.3.2</w:t>
      </w:r>
      <w:bookmarkStart w:id="263" w:name="OLE_LINK33"/>
      <w:r>
        <w:rPr>
          <w:rFonts w:hint="eastAsia" w:ascii="宋体" w:hAnsi="宋体" w:cs="宋体"/>
          <w:bCs/>
          <w:kern w:val="0"/>
          <w:szCs w:val="21"/>
        </w:rPr>
        <w:t>售后服务承诺书有售后服务流程、应急预案、质量保障</w:t>
      </w:r>
      <w:r>
        <w:rPr>
          <w:rFonts w:hAnsi="宋体" w:cs="宋体"/>
          <w:bCs/>
        </w:rPr>
        <w:t>等内容</w:t>
      </w:r>
      <w:r>
        <w:rPr>
          <w:rFonts w:hint="eastAsia" w:ascii="宋体" w:hAnsi="宋体"/>
          <w:szCs w:val="21"/>
        </w:rPr>
        <w:t>经评标委员会认定</w:t>
      </w:r>
      <w:r>
        <w:rPr>
          <w:rFonts w:hint="eastAsia" w:hAnsi="宋体" w:cs="宋体"/>
          <w:bCs/>
        </w:rPr>
        <w:t>符合项目实际需求</w:t>
      </w:r>
      <w:r>
        <w:rPr>
          <w:rFonts w:hint="eastAsia" w:ascii="宋体" w:hAnsi="宋体" w:cs="宋体"/>
          <w:bCs/>
          <w:kern w:val="0"/>
          <w:szCs w:val="21"/>
          <w:lang w:eastAsia="zh-CN"/>
        </w:rPr>
        <w:t>的，</w:t>
      </w:r>
      <w:r>
        <w:rPr>
          <w:rFonts w:hint="eastAsia" w:ascii="宋体" w:hAnsi="宋体" w:cs="宋体"/>
          <w:bCs/>
          <w:kern w:val="0"/>
          <w:szCs w:val="21"/>
          <w:lang w:val="en-US" w:eastAsia="zh-CN"/>
        </w:rPr>
        <w:t>得4分；</w:t>
      </w:r>
      <w:bookmarkEnd w:id="263"/>
    </w:p>
    <w:p>
      <w:pPr>
        <w:spacing w:line="480" w:lineRule="exact"/>
        <w:ind w:firstLine="420"/>
        <w:rPr>
          <w:rFonts w:hint="default" w:ascii="宋体" w:hAnsi="宋体" w:eastAsia="宋体"/>
          <w:szCs w:val="21"/>
          <w:lang w:val="en-US" w:eastAsia="zh-CN"/>
        </w:rPr>
      </w:pPr>
      <w:r>
        <w:rPr>
          <w:rFonts w:hint="eastAsia" w:ascii="宋体" w:hAnsi="宋体" w:cs="宋体"/>
          <w:bCs/>
          <w:kern w:val="0"/>
          <w:szCs w:val="21"/>
          <w:lang w:val="en-US" w:eastAsia="zh-CN"/>
        </w:rPr>
        <w:t>1.3.3</w:t>
      </w:r>
      <w:r>
        <w:rPr>
          <w:rFonts w:hint="eastAsia" w:ascii="宋体" w:hAnsi="宋体" w:cs="宋体"/>
          <w:bCs/>
          <w:kern w:val="0"/>
          <w:szCs w:val="21"/>
        </w:rPr>
        <w:t>售后服务承诺书</w:t>
      </w:r>
      <w:r>
        <w:rPr>
          <w:rFonts w:hAnsi="宋体" w:cs="宋体"/>
          <w:bCs/>
        </w:rPr>
        <w:t>有</w:t>
      </w:r>
      <w:r>
        <w:rPr>
          <w:rFonts w:hint="eastAsia" w:hAnsi="宋体" w:cs="宋体"/>
          <w:bCs/>
        </w:rPr>
        <w:t>售后</w:t>
      </w:r>
      <w:r>
        <w:rPr>
          <w:rFonts w:hAnsi="宋体" w:cs="宋体"/>
          <w:bCs/>
        </w:rPr>
        <w:t>响应</w:t>
      </w:r>
      <w:r>
        <w:rPr>
          <w:rFonts w:hint="eastAsia" w:hAnsi="宋体" w:cs="宋体"/>
          <w:bCs/>
        </w:rPr>
        <w:t>、</w:t>
      </w:r>
      <w:r>
        <w:rPr>
          <w:rFonts w:hAnsi="宋体" w:cs="宋体"/>
          <w:bCs/>
        </w:rPr>
        <w:t>售后服务团队等内容</w:t>
      </w:r>
      <w:r>
        <w:rPr>
          <w:rFonts w:hint="eastAsia" w:ascii="宋体" w:hAnsi="宋体"/>
          <w:szCs w:val="21"/>
        </w:rPr>
        <w:t>经评标委员会认定</w:t>
      </w:r>
      <w:r>
        <w:rPr>
          <w:rFonts w:hint="eastAsia" w:hAnsi="宋体" w:cs="宋体"/>
          <w:bCs/>
        </w:rPr>
        <w:t>符合项目实际需求</w:t>
      </w:r>
      <w:r>
        <w:rPr>
          <w:rFonts w:hint="eastAsia" w:hAnsi="宋体" w:cs="宋体"/>
          <w:bCs/>
          <w:lang w:eastAsia="zh-CN"/>
        </w:rPr>
        <w:t>的，</w:t>
      </w:r>
      <w:r>
        <w:rPr>
          <w:rFonts w:hint="eastAsia" w:hAnsi="宋体" w:cs="宋体"/>
          <w:bCs/>
          <w:lang w:val="en-US" w:eastAsia="zh-CN"/>
        </w:rPr>
        <w:t>得4分。</w:t>
      </w:r>
    </w:p>
    <w:p>
      <w:pPr>
        <w:widowControl/>
        <w:spacing w:line="500" w:lineRule="exact"/>
        <w:ind w:firstLine="422"/>
        <w:jc w:val="left"/>
        <w:outlineLvl w:val="1"/>
        <w:rPr>
          <w:rFonts w:hint="eastAsia" w:ascii="宋体" w:hAnsi="宋体" w:cs="宋体"/>
          <w:sz w:val="22"/>
          <w:szCs w:val="28"/>
        </w:rPr>
      </w:pPr>
      <w:r>
        <w:rPr>
          <w:rFonts w:hint="eastAsia" w:ascii="宋体" w:hAnsi="宋体" w:cs="宋体"/>
          <w:b/>
          <w:bCs/>
          <w:kern w:val="0"/>
          <w:szCs w:val="21"/>
          <w:lang w:bidi="ar"/>
        </w:rPr>
        <w:t>2.商务分(</w:t>
      </w:r>
      <w:r>
        <w:rPr>
          <w:rFonts w:hint="eastAsia" w:ascii="宋体" w:hAnsi="宋体" w:cs="宋体"/>
          <w:b/>
          <w:bCs/>
          <w:kern w:val="0"/>
          <w:szCs w:val="21"/>
          <w:lang w:val="en-US" w:eastAsia="zh-CN" w:bidi="ar"/>
        </w:rPr>
        <w:t>4</w:t>
      </w:r>
      <w:r>
        <w:rPr>
          <w:rFonts w:hint="eastAsia" w:ascii="宋体" w:hAnsi="宋体" w:cs="宋体"/>
          <w:b/>
          <w:bCs/>
          <w:kern w:val="0"/>
          <w:szCs w:val="21"/>
          <w:lang w:bidi="ar"/>
        </w:rPr>
        <w:t>分)</w:t>
      </w:r>
    </w:p>
    <w:p>
      <w:pPr>
        <w:spacing w:line="480" w:lineRule="exact"/>
        <w:ind w:firstLine="420"/>
        <w:rPr>
          <w:rFonts w:hint="eastAsia" w:ascii="宋体" w:hAnsi="宋体" w:cs="宋体"/>
          <w:bCs/>
          <w:kern w:val="0"/>
          <w:szCs w:val="21"/>
        </w:rPr>
      </w:pPr>
      <w:bookmarkStart w:id="264" w:name="OLE_LINK34"/>
      <w:r>
        <w:rPr>
          <w:rFonts w:hint="eastAsia" w:hAnsi="宋体" w:cs="宋体"/>
          <w:bCs/>
        </w:rPr>
        <w:t>投标人提供2021年1月1日以来同类项目合同证明，每提供一个得1分，满分</w:t>
      </w:r>
      <w:r>
        <w:rPr>
          <w:rFonts w:hint="eastAsia" w:hAnsi="宋体" w:cs="宋体"/>
          <w:bCs/>
          <w:lang w:val="en-US" w:eastAsia="zh-CN"/>
        </w:rPr>
        <w:t>4</w:t>
      </w:r>
      <w:r>
        <w:rPr>
          <w:rFonts w:hint="eastAsia" w:hAnsi="宋体" w:cs="宋体"/>
          <w:bCs/>
        </w:rPr>
        <w:t>分。（须提供合同证明材料复印件，否则不得分。）</w:t>
      </w:r>
    </w:p>
    <w:bookmarkEnd w:id="264"/>
    <w:p>
      <w:pPr>
        <w:spacing w:line="500" w:lineRule="exact"/>
        <w:ind w:firstLine="0" w:firstLineChars="0"/>
        <w:rPr>
          <w:rFonts w:hint="eastAsia" w:ascii="宋体" w:hAnsi="宋体"/>
          <w:b/>
          <w:bCs/>
        </w:rPr>
      </w:pPr>
      <w:r>
        <w:rPr>
          <w:rFonts w:hint="eastAsia" w:ascii="宋体" w:hAnsi="宋体"/>
          <w:b/>
          <w:bCs/>
        </w:rPr>
        <w:t>三、总得分=价格分+技术商务资信分</w:t>
      </w:r>
    </w:p>
    <w:p>
      <w:pPr>
        <w:spacing w:line="500" w:lineRule="exact"/>
        <w:ind w:firstLine="0" w:firstLineChars="0"/>
        <w:rPr>
          <w:rFonts w:hint="eastAsia" w:ascii="宋体" w:hAnsi="宋体"/>
          <w:b/>
          <w:bCs/>
        </w:rPr>
      </w:pPr>
      <w:r>
        <w:rPr>
          <w:rFonts w:hint="eastAsia" w:ascii="宋体" w:hAnsi="宋体"/>
          <w:b/>
          <w:bCs/>
        </w:rPr>
        <w:t>四、中标候选人推荐原则</w:t>
      </w:r>
    </w:p>
    <w:p>
      <w:pPr>
        <w:spacing w:line="500" w:lineRule="exact"/>
        <w:ind w:firstLine="0" w:firstLineChars="0"/>
        <w:rPr>
          <w:rFonts w:hint="eastAsia" w:ascii="宋体" w:hAnsi="宋体"/>
        </w:rPr>
      </w:pPr>
      <w:r>
        <w:rPr>
          <w:rFonts w:ascii="宋体" w:hAnsi="宋体"/>
        </w:rPr>
        <w:tab/>
      </w:r>
      <w:r>
        <w:rPr>
          <w:rFonts w:hint="eastAsia" w:ascii="宋体" w:hAnsi="宋体"/>
        </w:rPr>
        <w:t>评标委员会将根据</w:t>
      </w:r>
      <w:r>
        <w:rPr>
          <w:rFonts w:ascii="宋体" w:hAnsi="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20"/>
        <w:rPr>
          <w:rFonts w:hint="eastAsia" w:ascii="宋体" w:hAnsi="宋体"/>
        </w:rPr>
      </w:pPr>
      <w:r>
        <w:rPr>
          <w:rFonts w:ascii="宋体" w:hAnsi="宋体"/>
        </w:rPr>
        <w:br w:type="page"/>
      </w:r>
    </w:p>
    <w:p>
      <w:pPr>
        <w:pStyle w:val="20"/>
        <w:ind w:firstLine="480"/>
      </w:pPr>
    </w:p>
    <w:p>
      <w:pPr>
        <w:spacing w:line="380" w:lineRule="exact"/>
        <w:ind w:firstLine="0" w:firstLineChars="0"/>
        <w:jc w:val="center"/>
        <w:rPr>
          <w:rFonts w:hint="eastAsia" w:ascii="宋体" w:hAnsi="宋体"/>
          <w:b/>
          <w:sz w:val="32"/>
          <w:szCs w:val="32"/>
        </w:rPr>
      </w:pPr>
      <w:r>
        <w:rPr>
          <w:rFonts w:hint="eastAsia" w:ascii="宋体" w:hAnsi="宋体"/>
          <w:b/>
          <w:sz w:val="32"/>
        </w:rPr>
        <w:t>评定标准和推荐原则</w:t>
      </w:r>
      <w:r>
        <w:rPr>
          <w:rFonts w:hint="eastAsia" w:ascii="宋体" w:hAnsi="宋体"/>
          <w:b/>
          <w:color w:val="000000"/>
          <w:sz w:val="32"/>
        </w:rPr>
        <w:t>（标项二）</w:t>
      </w:r>
    </w:p>
    <w:p>
      <w:pPr>
        <w:pStyle w:val="28"/>
        <w:spacing w:line="500" w:lineRule="exact"/>
        <w:ind w:firstLine="0" w:firstLineChars="0"/>
        <w:jc w:val="left"/>
        <w:rPr>
          <w:rFonts w:hint="eastAsia" w:hAnsi="宋体"/>
          <w:b/>
          <w:bCs/>
        </w:rPr>
      </w:pPr>
      <w:r>
        <w:rPr>
          <w:rFonts w:hint="eastAsia" w:hAnsi="宋体"/>
          <w:b/>
          <w:bCs/>
        </w:rPr>
        <w:t>一、评标原则</w:t>
      </w:r>
    </w:p>
    <w:p>
      <w:pPr>
        <w:pStyle w:val="28"/>
        <w:spacing w:line="500" w:lineRule="exact"/>
        <w:ind w:firstLine="210" w:firstLineChars="100"/>
        <w:jc w:val="left"/>
        <w:rPr>
          <w:rFonts w:hint="eastAsia" w:hAnsi="宋体"/>
        </w:rPr>
      </w:pPr>
      <w:r>
        <w:rPr>
          <w:rFonts w:hint="eastAsia" w:hAnsi="宋体"/>
        </w:rPr>
        <w:t>（一）评标依据：评标委员会将以招投标文件为评标依据，</w:t>
      </w:r>
      <w:r>
        <w:rPr>
          <w:rFonts w:hAnsi="宋体"/>
        </w:rPr>
        <w:t>对投标人的投标报价、</w:t>
      </w:r>
      <w:r>
        <w:rPr>
          <w:rFonts w:hint="eastAsia" w:hAnsi="宋体"/>
          <w:bCs/>
        </w:rPr>
        <w:t>技术商务资信</w:t>
      </w:r>
      <w:r>
        <w:rPr>
          <w:rFonts w:hAnsi="宋体"/>
        </w:rPr>
        <w:t>等方面内容</w:t>
      </w:r>
      <w:r>
        <w:rPr>
          <w:rFonts w:hint="eastAsia" w:hAnsi="宋体"/>
        </w:rPr>
        <w:t>进行评价。</w:t>
      </w:r>
    </w:p>
    <w:p>
      <w:pPr>
        <w:pStyle w:val="28"/>
        <w:spacing w:line="500" w:lineRule="exact"/>
        <w:ind w:firstLine="210" w:firstLineChars="100"/>
        <w:jc w:val="left"/>
        <w:rPr>
          <w:rFonts w:hint="eastAsia" w:hAnsi="宋体"/>
        </w:rPr>
      </w:pPr>
      <w:r>
        <w:rPr>
          <w:rFonts w:hint="eastAsia" w:hAnsi="宋体"/>
        </w:rPr>
        <w:t>（二）评标委员会组成：由采购人代表和评审专家组成，成员人数应当为5人以上单数，其中评审专家的人数不得少于成员总数的三分之二。</w:t>
      </w:r>
    </w:p>
    <w:p>
      <w:pPr>
        <w:pStyle w:val="28"/>
        <w:spacing w:line="500" w:lineRule="exact"/>
        <w:ind w:firstLine="210" w:firstLineChars="100"/>
        <w:jc w:val="left"/>
        <w:rPr>
          <w:rFonts w:hint="eastAsia" w:hAnsi="宋体"/>
        </w:rPr>
      </w:pPr>
      <w:r>
        <w:rPr>
          <w:rFonts w:hint="eastAsia" w:hAnsi="宋体"/>
        </w:rPr>
        <w:t>（三）评分方式：评标委员会各成员独立对每个投标人的投标文件进行评价。</w:t>
      </w:r>
    </w:p>
    <w:p>
      <w:pPr>
        <w:pStyle w:val="28"/>
        <w:spacing w:line="500" w:lineRule="exact"/>
        <w:ind w:firstLine="0" w:firstLineChars="0"/>
        <w:jc w:val="left"/>
        <w:rPr>
          <w:rFonts w:hint="eastAsia" w:hAnsi="宋体"/>
          <w:b/>
          <w:bCs/>
        </w:rPr>
      </w:pPr>
      <w:r>
        <w:rPr>
          <w:rFonts w:hint="eastAsia" w:hAnsi="宋体"/>
          <w:b/>
          <w:bCs/>
        </w:rPr>
        <w:t>二、评分细则</w:t>
      </w:r>
    </w:p>
    <w:p>
      <w:pPr>
        <w:spacing w:line="500" w:lineRule="exact"/>
        <w:ind w:firstLine="210" w:firstLineChars="100"/>
        <w:jc w:val="left"/>
        <w:rPr>
          <w:rFonts w:hint="eastAsia" w:ascii="宋体" w:hAnsi="宋体" w:cs="Courier New"/>
          <w:szCs w:val="21"/>
        </w:rPr>
      </w:pPr>
      <w:r>
        <w:rPr>
          <w:rFonts w:hint="eastAsia" w:ascii="宋体" w:hAnsi="宋体" w:cs="Courier New"/>
          <w:szCs w:val="21"/>
        </w:rPr>
        <w:t>综合评分法：对满足招标文件全部实质性要求的投标人投标文件</w:t>
      </w:r>
      <w:r>
        <w:rPr>
          <w:rFonts w:ascii="宋体" w:hAnsi="宋体" w:cs="Arial"/>
          <w:szCs w:val="21"/>
        </w:rPr>
        <w:t>按照评审因素的量化指标评审</w:t>
      </w:r>
      <w:r>
        <w:rPr>
          <w:rFonts w:hint="eastAsia" w:ascii="宋体" w:hAnsi="宋体" w:cs="Arial"/>
          <w:szCs w:val="21"/>
        </w:rPr>
        <w:t>并汇总(</w:t>
      </w:r>
      <w:r>
        <w:rPr>
          <w:rFonts w:hint="eastAsia" w:ascii="宋体" w:hAnsi="宋体" w:cs="Courier New"/>
          <w:szCs w:val="21"/>
        </w:rPr>
        <w:t>四舍五入取至百分位)。</w:t>
      </w:r>
    </w:p>
    <w:p>
      <w:pPr>
        <w:spacing w:line="500" w:lineRule="exact"/>
        <w:ind w:firstLine="211" w:firstLineChars="100"/>
        <w:rPr>
          <w:rFonts w:hint="eastAsia" w:ascii="宋体" w:hAnsi="宋体"/>
          <w:b/>
          <w:bCs/>
        </w:rPr>
      </w:pPr>
      <w:r>
        <w:rPr>
          <w:rFonts w:hint="eastAsia" w:ascii="宋体" w:hAnsi="宋体"/>
          <w:b/>
          <w:bCs/>
        </w:rPr>
        <w:t>（一）报价分（</w:t>
      </w:r>
      <w:r>
        <w:rPr>
          <w:rFonts w:ascii="宋体" w:hAnsi="宋体"/>
          <w:b/>
          <w:bCs/>
        </w:rPr>
        <w:t>3</w:t>
      </w:r>
      <w:r>
        <w:rPr>
          <w:rFonts w:hint="eastAsia" w:ascii="宋体" w:hAnsi="宋体"/>
          <w:b/>
          <w:bCs/>
        </w:rPr>
        <w:t>0分）</w:t>
      </w:r>
    </w:p>
    <w:p>
      <w:pPr>
        <w:spacing w:line="500" w:lineRule="exact"/>
        <w:ind w:firstLine="420"/>
        <w:jc w:val="left"/>
        <w:rPr>
          <w:rFonts w:hint="eastAsia" w:ascii="宋体" w:hAnsi="宋体" w:cs="Courier New"/>
          <w:szCs w:val="21"/>
        </w:rPr>
      </w:pPr>
      <w:r>
        <w:rPr>
          <w:rFonts w:hint="eastAsia" w:ascii="宋体" w:hAnsi="宋体" w:cs="Courier New"/>
          <w:szCs w:val="21"/>
        </w:rPr>
        <w:tab/>
      </w:r>
      <w:r>
        <w:rPr>
          <w:rFonts w:hint="eastAsia" w:ascii="宋体" w:hAnsi="宋体" w:cs="Courier New"/>
          <w:szCs w:val="21"/>
        </w:rPr>
        <w:t>1.投标人的价格分统一按照下列公式计算：</w:t>
      </w:r>
    </w:p>
    <w:p>
      <w:pPr>
        <w:spacing w:line="500" w:lineRule="exact"/>
        <w:ind w:firstLine="422"/>
        <w:jc w:val="left"/>
        <w:rPr>
          <w:rFonts w:hint="eastAsia" w:ascii="宋体" w:hAnsi="宋体" w:cs="Courier New"/>
          <w:b/>
          <w:szCs w:val="21"/>
        </w:rPr>
      </w:pPr>
      <w:r>
        <w:rPr>
          <w:rFonts w:hint="eastAsia" w:ascii="宋体" w:hAnsi="宋体" w:cs="Courier New"/>
          <w:b/>
          <w:szCs w:val="21"/>
        </w:rPr>
        <w:tab/>
      </w:r>
      <w:r>
        <w:rPr>
          <w:rFonts w:hint="eastAsia" w:ascii="宋体" w:hAnsi="宋体" w:cs="Courier New"/>
          <w:b/>
          <w:szCs w:val="21"/>
        </w:rPr>
        <w:t>某投标人价格分=（评标基准价/某投标人评标价）×30分</w:t>
      </w:r>
    </w:p>
    <w:p>
      <w:pPr>
        <w:widowControl/>
        <w:spacing w:line="500" w:lineRule="exact"/>
        <w:ind w:firstLine="420"/>
        <w:jc w:val="left"/>
        <w:rPr>
          <w:rFonts w:hint="eastAsia" w:ascii="宋体" w:hAnsi="宋体" w:cs="Courier New"/>
          <w:szCs w:val="21"/>
        </w:rPr>
      </w:pPr>
      <w:r>
        <w:rPr>
          <w:rFonts w:hint="eastAsia" w:ascii="宋体" w:hAnsi="宋体" w:cs="Courier New"/>
          <w:szCs w:val="21"/>
        </w:rPr>
        <w:t>注：</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提供的全部货物符合《政府采购促进中小企业发展管理办法》（财库﹝2020﹞46号）规定，并在投标文件中提供《中小企业声明函》（格式见第六章，投标人须对声明的真实性负责）。评审中将对小微型企业报价给予20%的扣除，扣除后的价格为评标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line="500" w:lineRule="exact"/>
        <w:ind w:firstLine="420"/>
        <w:jc w:val="left"/>
        <w:rPr>
          <w:rFonts w:hint="eastAsia" w:ascii="宋体" w:hAnsi="宋体" w:cs="Courier New"/>
          <w:szCs w:val="21"/>
        </w:rPr>
      </w:pPr>
      <w:r>
        <w:rPr>
          <w:rFonts w:hint="eastAsia" w:ascii="宋体" w:hAnsi="宋体" w:cs="Courier New"/>
        </w:rPr>
        <w:t>投标人获得政策性价格扣除的，评标价</w:t>
      </w:r>
      <w:r>
        <w:rPr>
          <w:rFonts w:ascii="宋体" w:hAnsi="宋体" w:cs="Courier New"/>
        </w:rPr>
        <w:t>=</w:t>
      </w:r>
      <w:r>
        <w:rPr>
          <w:rFonts w:hint="eastAsia" w:ascii="宋体" w:hAnsi="宋体" w:cs="Courier New"/>
        </w:rPr>
        <w:t>投标报价×（</w:t>
      </w:r>
      <w:r>
        <w:rPr>
          <w:rFonts w:ascii="宋体" w:hAnsi="宋体" w:cs="Courier New"/>
        </w:rPr>
        <w:t>1-</w:t>
      </w:r>
      <w:r>
        <w:rPr>
          <w:rFonts w:hint="eastAsia" w:ascii="宋体" w:hAnsi="宋体" w:cs="Courier New"/>
        </w:rPr>
        <w:t>2</w:t>
      </w:r>
      <w:r>
        <w:rPr>
          <w:rFonts w:ascii="宋体" w:hAnsi="宋体" w:cs="Courier New"/>
        </w:rPr>
        <w:t>0%</w:t>
      </w:r>
      <w:r>
        <w:rPr>
          <w:rFonts w:hint="eastAsia" w:ascii="宋体" w:hAnsi="宋体" w:cs="Courier New"/>
        </w:rPr>
        <w:t>），否则评标价</w:t>
      </w:r>
      <w:r>
        <w:rPr>
          <w:rFonts w:ascii="宋体" w:hAnsi="宋体" w:cs="Courier New"/>
        </w:rPr>
        <w:t>=</w:t>
      </w:r>
      <w:r>
        <w:rPr>
          <w:rFonts w:hint="eastAsia" w:ascii="宋体" w:hAnsi="宋体" w:cs="Courier New"/>
        </w:rPr>
        <w:t>投标报价。满足招标文件全部实质性要求的投标人最低评标价为评标基准价。评标价仅作评标时使用，中标金额＝投标报价。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numPr>
          <w:ilvl w:val="0"/>
          <w:numId w:val="0"/>
        </w:numPr>
        <w:spacing w:line="500" w:lineRule="exact"/>
        <w:rPr>
          <w:rFonts w:hint="eastAsia" w:ascii="宋体" w:hAnsi="宋体" w:cs="宋体"/>
          <w:b/>
          <w:bCs/>
          <w:spacing w:val="-12"/>
          <w:kern w:val="0"/>
          <w:szCs w:val="21"/>
        </w:rPr>
      </w:pPr>
      <w:r>
        <w:rPr>
          <w:rFonts w:hint="eastAsia" w:ascii="宋体" w:hAnsi="宋体" w:cs="宋体"/>
          <w:b/>
          <w:bCs/>
          <w:kern w:val="0"/>
          <w:szCs w:val="21"/>
          <w:lang w:eastAsia="zh-CN"/>
        </w:rPr>
        <w:t>（</w:t>
      </w:r>
      <w:r>
        <w:rPr>
          <w:rFonts w:hint="eastAsia" w:ascii="宋体" w:hAnsi="宋体" w:cs="宋体"/>
          <w:b/>
          <w:bCs/>
          <w:kern w:val="0"/>
          <w:szCs w:val="21"/>
          <w:lang w:val="en-US" w:eastAsia="zh-CN"/>
        </w:rPr>
        <w:t>二</w:t>
      </w:r>
      <w:r>
        <w:rPr>
          <w:rFonts w:hint="eastAsia" w:ascii="宋体" w:hAnsi="宋体" w:cs="宋体"/>
          <w:b/>
          <w:bCs/>
          <w:kern w:val="0"/>
          <w:szCs w:val="21"/>
          <w:lang w:eastAsia="zh-CN"/>
        </w:rPr>
        <w:t>）</w:t>
      </w:r>
      <w:r>
        <w:rPr>
          <w:rFonts w:hint="eastAsia" w:ascii="宋体" w:hAnsi="宋体" w:cs="宋体"/>
          <w:b/>
          <w:bCs/>
          <w:kern w:val="0"/>
          <w:szCs w:val="21"/>
        </w:rPr>
        <w:t>技术商务资信分</w:t>
      </w:r>
      <w:r>
        <w:rPr>
          <w:rFonts w:hint="eastAsia" w:ascii="宋体" w:hAnsi="宋体" w:cs="宋体"/>
          <w:b/>
          <w:bCs/>
          <w:spacing w:val="-12"/>
          <w:kern w:val="0"/>
          <w:szCs w:val="21"/>
        </w:rPr>
        <w:t>（</w:t>
      </w:r>
      <w:r>
        <w:rPr>
          <w:rFonts w:ascii="宋体" w:hAnsi="宋体" w:cs="宋体"/>
          <w:b/>
          <w:bCs/>
          <w:spacing w:val="-12"/>
          <w:kern w:val="0"/>
          <w:szCs w:val="21"/>
        </w:rPr>
        <w:t>7</w:t>
      </w:r>
      <w:r>
        <w:rPr>
          <w:rFonts w:hint="eastAsia" w:ascii="宋体" w:hAnsi="宋体" w:cs="宋体"/>
          <w:b/>
          <w:bCs/>
          <w:spacing w:val="-12"/>
          <w:kern w:val="0"/>
          <w:szCs w:val="21"/>
        </w:rPr>
        <w:t>0分）</w:t>
      </w:r>
    </w:p>
    <w:p>
      <w:pPr>
        <w:widowControl/>
        <w:spacing w:line="500" w:lineRule="exact"/>
        <w:ind w:firstLine="422"/>
        <w:jc w:val="left"/>
        <w:outlineLvl w:val="1"/>
        <w:rPr>
          <w:rFonts w:hint="eastAsia" w:ascii="宋体" w:hAnsi="宋体" w:cs="宋体"/>
          <w:b/>
          <w:bCs/>
          <w:kern w:val="0"/>
          <w:szCs w:val="21"/>
          <w:lang w:bidi="ar"/>
        </w:rPr>
      </w:pPr>
      <w:r>
        <w:rPr>
          <w:rFonts w:hint="eastAsia" w:ascii="宋体" w:hAnsi="宋体" w:cs="宋体"/>
          <w:b/>
          <w:bCs/>
          <w:kern w:val="0"/>
          <w:szCs w:val="21"/>
          <w:lang w:bidi="ar"/>
        </w:rPr>
        <w:t>1.技术分(</w:t>
      </w:r>
      <w:r>
        <w:rPr>
          <w:rFonts w:hint="eastAsia" w:ascii="宋体" w:hAnsi="宋体" w:cs="宋体"/>
          <w:b/>
          <w:bCs/>
          <w:kern w:val="0"/>
          <w:szCs w:val="21"/>
          <w:highlight w:val="none"/>
          <w:lang w:val="en-US" w:eastAsia="zh-CN" w:bidi="ar"/>
        </w:rPr>
        <w:t>61</w:t>
      </w:r>
      <w:r>
        <w:rPr>
          <w:rFonts w:hint="eastAsia" w:ascii="宋体" w:hAnsi="宋体" w:cs="宋体"/>
          <w:b/>
          <w:bCs/>
          <w:kern w:val="0"/>
          <w:szCs w:val="21"/>
          <w:lang w:bidi="ar"/>
        </w:rPr>
        <w:t>分)</w:t>
      </w:r>
    </w:p>
    <w:p>
      <w:pPr>
        <w:widowControl/>
        <w:spacing w:line="500" w:lineRule="exact"/>
        <w:ind w:firstLine="420"/>
        <w:jc w:val="left"/>
        <w:rPr>
          <w:rFonts w:ascii="宋体" w:hAnsi="宋体" w:cs="Courier New"/>
          <w:szCs w:val="21"/>
          <w:highlight w:val="none"/>
        </w:rPr>
      </w:pPr>
      <w:r>
        <w:rPr>
          <w:rFonts w:hint="eastAsia" w:ascii="宋体" w:hAnsi="宋体" w:cs="Courier New"/>
          <w:szCs w:val="21"/>
          <w:highlight w:val="none"/>
        </w:rPr>
        <w:t>经评标委员会评定，根据投标人对标项</w:t>
      </w:r>
      <w:r>
        <w:rPr>
          <w:rFonts w:hint="eastAsia" w:ascii="宋体" w:hAnsi="宋体" w:cs="Courier New"/>
          <w:szCs w:val="21"/>
          <w:highlight w:val="none"/>
          <w:lang w:val="en-US" w:eastAsia="zh-CN"/>
        </w:rPr>
        <w:t>二</w:t>
      </w:r>
      <w:r>
        <w:rPr>
          <w:rFonts w:hint="eastAsia" w:ascii="宋体" w:hAnsi="宋体" w:cs="Courier New"/>
          <w:szCs w:val="21"/>
          <w:highlight w:val="none"/>
        </w:rPr>
        <w:t>技术要求标注▲号的技术参数的响应情况进行评审：</w:t>
      </w:r>
    </w:p>
    <w:p>
      <w:pPr>
        <w:pStyle w:val="61"/>
        <w:ind w:firstLine="420"/>
        <w:rPr>
          <w:rFonts w:hint="eastAsia"/>
          <w:highlight w:val="none"/>
        </w:rPr>
      </w:pPr>
      <w:r>
        <w:rPr>
          <w:rFonts w:hint="eastAsia"/>
          <w:highlight w:val="none"/>
        </w:rPr>
        <w:t>标注“</w:t>
      </w:r>
      <w:r>
        <w:rPr>
          <w:rFonts w:hint="eastAsia" w:ascii="宋体" w:hAnsi="宋体" w:cs="Courier New"/>
          <w:szCs w:val="21"/>
          <w:highlight w:val="none"/>
        </w:rPr>
        <w:t>▲</w:t>
      </w:r>
      <w:r>
        <w:rPr>
          <w:rFonts w:hint="eastAsia"/>
          <w:highlight w:val="none"/>
        </w:rPr>
        <w:t>”号的技术参数</w:t>
      </w:r>
      <w:r>
        <w:rPr>
          <w:rFonts w:hint="eastAsia"/>
          <w:highlight w:val="none"/>
          <w:lang w:val="en-US" w:eastAsia="zh-CN"/>
        </w:rPr>
        <w:t>须</w:t>
      </w:r>
      <w:r>
        <w:rPr>
          <w:rFonts w:hint="eastAsia"/>
          <w:highlight w:val="none"/>
        </w:rPr>
        <w:t>能提供证明材料，</w:t>
      </w:r>
      <w:r>
        <w:rPr>
          <w:rFonts w:hint="eastAsia"/>
          <w:b/>
          <w:highlight w:val="none"/>
        </w:rPr>
        <w:t>材料可以是</w:t>
      </w:r>
      <w:r>
        <w:rPr>
          <w:rFonts w:hint="eastAsia" w:ascii="宋体" w:hAnsi="宋体" w:cs="宋体"/>
          <w:b/>
          <w:highlight w:val="none"/>
        </w:rPr>
        <w:t>①</w:t>
      </w:r>
      <w:r>
        <w:rPr>
          <w:rFonts w:hint="eastAsia"/>
          <w:b/>
          <w:highlight w:val="none"/>
        </w:rPr>
        <w:t>国家认可的第三方检测机构出具的合格有效的检测（验）报告复印件，②或产品的历史成交项目证明材料，材料须清晰体现项目基本信息、供货货物品牌、型号、技术参数及性能配置③或产品功能的演示截图，材料须清晰体现供货货物品牌、型号、技术参数及性能配置</w:t>
      </w:r>
      <w:r>
        <w:rPr>
          <w:rFonts w:hint="eastAsia"/>
          <w:highlight w:val="none"/>
        </w:rPr>
        <w:t>，</w:t>
      </w:r>
      <w:r>
        <w:rPr>
          <w:rFonts w:hint="eastAsia"/>
          <w:highlight w:val="none"/>
          <w:lang w:val="en-US" w:eastAsia="zh-CN"/>
        </w:rPr>
        <w:t>每项得1</w:t>
      </w:r>
      <w:r>
        <w:rPr>
          <w:rFonts w:hint="eastAsia"/>
          <w:highlight w:val="none"/>
        </w:rPr>
        <w:t>分，满分30分；</w:t>
      </w:r>
    </w:p>
    <w:p>
      <w:pPr>
        <w:pStyle w:val="61"/>
        <w:ind w:firstLine="420"/>
        <w:rPr>
          <w:rFonts w:hint="eastAsia" w:ascii="宋体" w:hAnsi="宋体" w:cs="宋体"/>
          <w:sz w:val="22"/>
          <w:szCs w:val="28"/>
          <w:highlight w:val="none"/>
        </w:rPr>
      </w:pPr>
      <w:r>
        <w:rPr>
          <w:rFonts w:hint="eastAsia"/>
          <w:highlight w:val="none"/>
        </w:rPr>
        <w:t>说明：标注“</w:t>
      </w:r>
      <w:r>
        <w:rPr>
          <w:rFonts w:hint="eastAsia" w:ascii="宋体" w:hAnsi="宋体" w:cs="Courier New"/>
          <w:szCs w:val="21"/>
          <w:highlight w:val="none"/>
        </w:rPr>
        <w:t>▲</w:t>
      </w:r>
      <w:r>
        <w:rPr>
          <w:rFonts w:hint="eastAsia"/>
          <w:highlight w:val="none"/>
        </w:rPr>
        <w:t>”的内容在投标文件中逐点应答出检测（验）报告具体位置，项目中标后，采购人有权要求中标人提供检测（验）报告原件进行审查。</w:t>
      </w:r>
    </w:p>
    <w:p>
      <w:pPr>
        <w:widowControl/>
        <w:spacing w:line="500" w:lineRule="exact"/>
        <w:ind w:firstLine="422"/>
        <w:jc w:val="left"/>
        <w:outlineLvl w:val="1"/>
        <w:rPr>
          <w:rFonts w:hint="eastAsia" w:ascii="宋体" w:hAnsi="宋体" w:cs="宋体"/>
          <w:sz w:val="22"/>
          <w:szCs w:val="28"/>
        </w:rPr>
      </w:pPr>
      <w:r>
        <w:rPr>
          <w:rFonts w:hint="eastAsia" w:ascii="宋体" w:hAnsi="宋体" w:cs="宋体"/>
          <w:b/>
          <w:bCs/>
          <w:kern w:val="0"/>
          <w:szCs w:val="21"/>
          <w:lang w:bidi="ar"/>
        </w:rPr>
        <w:t>1.2</w:t>
      </w:r>
      <w:bookmarkStart w:id="265" w:name="OLE_LINK35"/>
      <w:r>
        <w:rPr>
          <w:rFonts w:hint="eastAsia" w:ascii="宋体" w:hAnsi="宋体" w:cs="宋体"/>
          <w:b/>
          <w:bCs/>
          <w:kern w:val="0"/>
          <w:szCs w:val="21"/>
          <w:lang w:bidi="ar"/>
        </w:rPr>
        <w:t>人员方案分（</w:t>
      </w:r>
      <w:r>
        <w:rPr>
          <w:rFonts w:hint="eastAsia" w:ascii="宋体" w:hAnsi="宋体" w:cs="宋体"/>
          <w:b/>
          <w:bCs/>
          <w:kern w:val="0"/>
          <w:szCs w:val="21"/>
          <w:lang w:val="en-US" w:eastAsia="zh-CN" w:bidi="ar"/>
        </w:rPr>
        <w:t>13</w:t>
      </w:r>
      <w:r>
        <w:rPr>
          <w:rFonts w:hint="eastAsia" w:ascii="宋体" w:hAnsi="宋体" w:cs="宋体"/>
          <w:b/>
          <w:bCs/>
          <w:kern w:val="0"/>
          <w:szCs w:val="21"/>
          <w:lang w:bidi="ar"/>
        </w:rPr>
        <w:t>分）</w:t>
      </w:r>
      <w:bookmarkEnd w:id="265"/>
    </w:p>
    <w:p>
      <w:pPr>
        <w:widowControl/>
        <w:spacing w:line="500" w:lineRule="exact"/>
        <w:ind w:firstLine="422"/>
        <w:jc w:val="left"/>
        <w:outlineLvl w:val="1"/>
        <w:rPr>
          <w:rFonts w:hint="eastAsia" w:ascii="宋体" w:hAnsi="宋体"/>
          <w:szCs w:val="21"/>
        </w:rPr>
      </w:pPr>
      <w:bookmarkStart w:id="266" w:name="OLE_LINK8"/>
      <w:r>
        <w:rPr>
          <w:rFonts w:hint="eastAsia" w:ascii="宋体" w:hAnsi="宋体"/>
          <w:b/>
          <w:bCs/>
          <w:szCs w:val="21"/>
        </w:rPr>
        <w:t>1.2.1</w:t>
      </w:r>
      <w:bookmarkEnd w:id="266"/>
      <w:bookmarkStart w:id="267" w:name="OLE_LINK7"/>
      <w:r>
        <w:rPr>
          <w:rFonts w:hint="eastAsia" w:ascii="宋体" w:hAnsi="宋体"/>
          <w:b/>
          <w:bCs/>
          <w:szCs w:val="21"/>
        </w:rPr>
        <w:t>项目经理</w:t>
      </w:r>
      <w:bookmarkEnd w:id="267"/>
      <w:r>
        <w:rPr>
          <w:rFonts w:hint="eastAsia" w:ascii="宋体" w:hAnsi="宋体"/>
          <w:b/>
          <w:bCs/>
          <w:szCs w:val="21"/>
          <w:lang w:eastAsia="zh-CN"/>
        </w:rPr>
        <w:t>（</w:t>
      </w:r>
      <w:r>
        <w:rPr>
          <w:rFonts w:hint="eastAsia" w:ascii="宋体" w:hAnsi="宋体"/>
          <w:b/>
          <w:bCs/>
          <w:szCs w:val="21"/>
          <w:lang w:val="en-US" w:eastAsia="zh-CN"/>
        </w:rPr>
        <w:t>3分</w:t>
      </w:r>
      <w:r>
        <w:rPr>
          <w:rFonts w:hint="eastAsia" w:ascii="宋体" w:hAnsi="宋体"/>
          <w:b/>
          <w:bCs/>
          <w:szCs w:val="21"/>
          <w:lang w:eastAsia="zh-CN"/>
        </w:rPr>
        <w:t>）</w:t>
      </w:r>
      <w:r>
        <w:rPr>
          <w:rFonts w:hint="eastAsia" w:ascii="宋体" w:hAnsi="宋体"/>
          <w:szCs w:val="21"/>
        </w:rPr>
        <w:t>：</w:t>
      </w:r>
    </w:p>
    <w:p>
      <w:pPr>
        <w:widowControl/>
        <w:spacing w:line="500" w:lineRule="exact"/>
        <w:ind w:firstLine="420"/>
        <w:jc w:val="left"/>
        <w:outlineLvl w:val="1"/>
        <w:rPr>
          <w:rFonts w:hint="eastAsia" w:ascii="宋体" w:hAnsi="宋体"/>
          <w:color w:val="auto"/>
          <w:szCs w:val="21"/>
          <w:highlight w:val="none"/>
          <w:lang w:eastAsia="zh-CN"/>
        </w:rPr>
      </w:pPr>
      <w:r>
        <w:rPr>
          <w:rFonts w:hint="eastAsia" w:ascii="宋体" w:hAnsi="宋体"/>
          <w:color w:val="auto"/>
          <w:szCs w:val="21"/>
          <w:highlight w:val="none"/>
          <w:lang w:val="en-US" w:eastAsia="zh-CN"/>
        </w:rPr>
        <w:t>1.2.1.1</w:t>
      </w:r>
      <w:r>
        <w:rPr>
          <w:rFonts w:hint="eastAsia" w:ascii="宋体" w:hAnsi="宋体"/>
          <w:color w:val="auto"/>
          <w:szCs w:val="21"/>
          <w:highlight w:val="none"/>
          <w:lang w:eastAsia="zh-CN"/>
        </w:rPr>
        <w:t>.具有通信类</w:t>
      </w:r>
      <w:r>
        <w:rPr>
          <w:rFonts w:hint="eastAsia" w:ascii="宋体" w:hAnsi="宋体"/>
          <w:color w:val="auto"/>
          <w:szCs w:val="21"/>
          <w:highlight w:val="none"/>
          <w:lang w:val="en-US" w:eastAsia="zh-CN"/>
        </w:rPr>
        <w:t>中</w:t>
      </w:r>
      <w:r>
        <w:rPr>
          <w:rFonts w:hint="eastAsia" w:ascii="宋体" w:hAnsi="宋体"/>
          <w:color w:val="auto"/>
          <w:szCs w:val="21"/>
          <w:highlight w:val="none"/>
          <w:lang w:eastAsia="zh-CN"/>
        </w:rPr>
        <w:t>级职称证书得2分，本项满分2分。</w:t>
      </w:r>
    </w:p>
    <w:p>
      <w:pPr>
        <w:pStyle w:val="61"/>
        <w:rPr>
          <w:rFonts w:hint="eastAsia"/>
          <w:color w:val="auto"/>
          <w:highlight w:val="none"/>
          <w:lang w:eastAsia="zh-CN"/>
        </w:rPr>
      </w:pPr>
      <w:r>
        <w:rPr>
          <w:rFonts w:hint="eastAsia" w:ascii="宋体" w:hAnsi="宋体"/>
          <w:color w:val="auto"/>
          <w:szCs w:val="21"/>
          <w:highlight w:val="none"/>
          <w:lang w:val="en-US" w:eastAsia="zh-CN"/>
        </w:rPr>
        <w:t>1.2.1.2</w:t>
      </w:r>
      <w:r>
        <w:rPr>
          <w:rFonts w:hint="eastAsia" w:ascii="宋体" w:hAnsi="宋体"/>
          <w:color w:val="auto"/>
          <w:szCs w:val="21"/>
          <w:highlight w:val="none"/>
          <w:lang w:eastAsia="zh-CN"/>
        </w:rPr>
        <w:t>.</w:t>
      </w:r>
      <w:r>
        <w:rPr>
          <w:rFonts w:hint="eastAsia"/>
          <w:color w:val="auto"/>
          <w:highlight w:val="none"/>
          <w:lang w:eastAsia="zh-CN"/>
        </w:rPr>
        <w:t>具备中华人民共和国通信行政主管部门核发的有效的安全生产考核合格证（B证）</w:t>
      </w:r>
      <w:r>
        <w:rPr>
          <w:rFonts w:hint="eastAsia" w:ascii="宋体" w:hAnsi="宋体"/>
          <w:color w:val="auto"/>
          <w:szCs w:val="21"/>
          <w:highlight w:val="none"/>
          <w:lang w:eastAsia="zh-CN"/>
        </w:rPr>
        <w:t>得</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分，本项满分</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分。</w:t>
      </w:r>
    </w:p>
    <w:p>
      <w:pPr>
        <w:widowControl/>
        <w:spacing w:line="500" w:lineRule="exact"/>
        <w:ind w:firstLine="420"/>
        <w:jc w:val="left"/>
        <w:outlineLvl w:val="1"/>
        <w:rPr>
          <w:color w:val="auto"/>
          <w:highlight w:val="none"/>
        </w:rPr>
      </w:pPr>
      <w:r>
        <w:rPr>
          <w:rFonts w:hint="eastAsia" w:ascii="宋体" w:hAnsi="宋体"/>
          <w:color w:val="auto"/>
          <w:szCs w:val="21"/>
          <w:highlight w:val="none"/>
          <w:lang w:eastAsia="zh-CN"/>
        </w:rPr>
        <w:t>备注：提供有效身份证扫描件、有效证书扫描件。</w:t>
      </w:r>
    </w:p>
    <w:p>
      <w:pPr>
        <w:pStyle w:val="20"/>
        <w:rPr>
          <w:rFonts w:hint="eastAsia" w:ascii="宋体" w:hAnsi="宋体" w:cs="Times New Roman"/>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1.2.2</w:t>
      </w:r>
      <w:r>
        <w:rPr>
          <w:rFonts w:hint="eastAsia" w:ascii="宋体" w:hAnsi="宋体" w:cs="Times New Roman"/>
          <w:b/>
          <w:bCs/>
          <w:color w:val="auto"/>
          <w:kern w:val="2"/>
          <w:sz w:val="21"/>
          <w:szCs w:val="21"/>
          <w:highlight w:val="none"/>
          <w:lang w:val="en-US" w:eastAsia="zh-CN" w:bidi="ar-SA"/>
        </w:rPr>
        <w:t>施工人员（8分）</w:t>
      </w:r>
      <w:r>
        <w:rPr>
          <w:rFonts w:hint="eastAsia" w:ascii="宋体" w:hAnsi="宋体" w:cs="Times New Roman"/>
          <w:color w:val="auto"/>
          <w:kern w:val="2"/>
          <w:sz w:val="21"/>
          <w:szCs w:val="21"/>
          <w:highlight w:val="none"/>
          <w:lang w:val="en-US" w:eastAsia="zh-CN" w:bidi="ar-SA"/>
        </w:rPr>
        <w:t>：</w:t>
      </w:r>
    </w:p>
    <w:p>
      <w:pPr>
        <w:rPr>
          <w:rFonts w:hint="default" w:ascii="宋体" w:hAnsi="宋体" w:eastAsia="宋体" w:cs="宋体"/>
          <w:color w:val="auto"/>
          <w:highlight w:val="none"/>
          <w:lang w:val="en-US" w:eastAsia="zh-CN"/>
        </w:rPr>
      </w:pPr>
      <w:bookmarkStart w:id="268" w:name="OLE_LINK36"/>
      <w:r>
        <w:rPr>
          <w:rFonts w:hint="eastAsia"/>
          <w:color w:val="auto"/>
          <w:sz w:val="21"/>
          <w:szCs w:val="21"/>
          <w:highlight w:val="none"/>
          <w:lang w:val="en-US" w:eastAsia="zh-CN"/>
        </w:rPr>
        <w:t>每有1名施工人员同时具备国家行政主管部门颁发的电工作业操作证（低压电工作业）、高处作业证（高处安装、维护、拆除作业）的得2分；本项满分8分。</w:t>
      </w:r>
    </w:p>
    <w:p>
      <w:pPr>
        <w:pStyle w:val="21"/>
        <w:rPr>
          <w:rFonts w:hint="default"/>
          <w:strike/>
          <w:dstrike w:val="0"/>
          <w:color w:val="auto"/>
          <w:sz w:val="21"/>
          <w:szCs w:val="21"/>
          <w:highlight w:val="none"/>
          <w:lang w:val="en-US" w:eastAsia="zh-CN"/>
        </w:rPr>
      </w:pPr>
      <w:r>
        <w:rPr>
          <w:rFonts w:hint="default"/>
          <w:color w:val="auto"/>
          <w:sz w:val="21"/>
          <w:szCs w:val="21"/>
          <w:highlight w:val="none"/>
          <w:lang w:val="en-US" w:eastAsia="zh-CN"/>
        </w:rPr>
        <w:t>备注：特种作业操作证信息查询平台：（http://cx.mem.gov.cn/），投标人提供特种作业操作证扫描件信息须与特种作业操作证书查询平台的信息一致，否则不予认可。须提供有效身份证扫描件、有效证书扫描件</w:t>
      </w:r>
      <w:r>
        <w:rPr>
          <w:rFonts w:hint="eastAsia"/>
          <w:color w:val="auto"/>
          <w:sz w:val="21"/>
          <w:szCs w:val="21"/>
          <w:highlight w:val="none"/>
          <w:lang w:val="en-US" w:eastAsia="zh-CN"/>
        </w:rPr>
        <w:t>。</w:t>
      </w:r>
    </w:p>
    <w:bookmarkEnd w:id="268"/>
    <w:p>
      <w:pPr>
        <w:pStyle w:val="22"/>
        <w:ind w:left="0" w:leftChars="0" w:firstLine="422" w:firstLineChars="200"/>
        <w:jc w:val="left"/>
        <w:rPr>
          <w:rFonts w:hint="eastAsia"/>
          <w:b w:val="0"/>
          <w:bCs w:val="0"/>
          <w:strike w:val="0"/>
          <w:dstrike w:val="0"/>
          <w:color w:val="auto"/>
          <w:sz w:val="21"/>
          <w:szCs w:val="21"/>
          <w:highlight w:val="none"/>
          <w:lang w:val="en-US" w:eastAsia="zh-CN"/>
        </w:rPr>
      </w:pPr>
      <w:r>
        <w:rPr>
          <w:rFonts w:hint="eastAsia"/>
          <w:b/>
          <w:bCs/>
          <w:strike w:val="0"/>
          <w:dstrike w:val="0"/>
          <w:color w:val="auto"/>
          <w:sz w:val="21"/>
          <w:szCs w:val="21"/>
          <w:highlight w:val="none"/>
          <w:lang w:val="en-US" w:eastAsia="zh-CN"/>
        </w:rPr>
        <w:t>1.2.3技术支持人员（2分）：</w:t>
      </w:r>
    </w:p>
    <w:p>
      <w:pPr>
        <w:rPr>
          <w:rFonts w:hint="eastAsia"/>
          <w:color w:val="auto"/>
          <w:highlight w:val="none"/>
          <w:lang w:val="en-US" w:eastAsia="zh-CN"/>
        </w:rPr>
      </w:pPr>
      <w:r>
        <w:rPr>
          <w:rFonts w:hint="eastAsia"/>
          <w:color w:val="auto"/>
          <w:highlight w:val="none"/>
          <w:lang w:val="en-US" w:eastAsia="zh-CN"/>
        </w:rPr>
        <w:t>1.2.3.1技术支持人员具备信息化安全类相关专业中级工程师证书的得1分，本细项满分1分；</w:t>
      </w:r>
    </w:p>
    <w:p>
      <w:pPr>
        <w:rPr>
          <w:rFonts w:hint="eastAsia"/>
          <w:color w:val="auto"/>
          <w:highlight w:val="none"/>
          <w:lang w:val="en-US" w:eastAsia="zh-CN"/>
        </w:rPr>
      </w:pPr>
      <w:r>
        <w:rPr>
          <w:rFonts w:hint="eastAsia"/>
          <w:color w:val="auto"/>
          <w:highlight w:val="none"/>
          <w:lang w:val="en-US" w:eastAsia="zh-CN"/>
        </w:rPr>
        <w:t>1.2.3.2技术支持人员具备系统集成项目管理工程师证书的得1分，本细项满分1分；</w:t>
      </w:r>
    </w:p>
    <w:p>
      <w:pPr>
        <w:pStyle w:val="22"/>
        <w:ind w:left="0" w:leftChars="0" w:firstLine="422"/>
        <w:jc w:val="left"/>
        <w:rPr>
          <w:rFonts w:hint="eastAsia"/>
          <w:color w:val="auto"/>
          <w:highlight w:val="none"/>
          <w:lang w:val="en-US" w:eastAsia="zh-CN"/>
        </w:rPr>
      </w:pPr>
      <w:r>
        <w:rPr>
          <w:rFonts w:hint="eastAsia"/>
          <w:color w:val="auto"/>
          <w:highlight w:val="none"/>
          <w:lang w:val="en-US" w:eastAsia="zh-CN"/>
        </w:rPr>
        <w:t>备注：须提供有效身份证扫描件、有效证书扫描件，一人持有多证按照一本计算，不按要求提供不予认可。</w:t>
      </w:r>
    </w:p>
    <w:p>
      <w:pPr>
        <w:widowControl/>
        <w:spacing w:line="500" w:lineRule="exact"/>
        <w:ind w:firstLine="422"/>
        <w:jc w:val="left"/>
        <w:outlineLvl w:val="1"/>
        <w:rPr>
          <w:rFonts w:ascii="宋体" w:hAnsi="宋体" w:cs="宋体"/>
          <w:color w:val="auto"/>
          <w:sz w:val="22"/>
          <w:szCs w:val="28"/>
          <w:highlight w:val="none"/>
        </w:rPr>
      </w:pPr>
      <w:r>
        <w:rPr>
          <w:rFonts w:hint="eastAsia" w:ascii="宋体" w:hAnsi="宋体" w:cs="宋体"/>
          <w:b/>
          <w:bCs/>
          <w:color w:val="auto"/>
          <w:kern w:val="0"/>
          <w:szCs w:val="21"/>
          <w:highlight w:val="none"/>
          <w:lang w:val="en-US" w:eastAsia="zh-CN" w:bidi="ar"/>
        </w:rPr>
        <w:t>1.3施工车辆分</w:t>
      </w:r>
      <w:r>
        <w:rPr>
          <w:rFonts w:hint="eastAsia" w:ascii="宋体" w:hAnsi="宋体" w:cs="宋体"/>
          <w:b/>
          <w:bCs/>
          <w:color w:val="auto"/>
          <w:kern w:val="0"/>
          <w:szCs w:val="21"/>
          <w:highlight w:val="none"/>
          <w:lang w:bidi="ar"/>
        </w:rPr>
        <w:t>(</w:t>
      </w:r>
      <w:r>
        <w:rPr>
          <w:rFonts w:hint="eastAsia" w:ascii="宋体" w:hAnsi="宋体" w:cs="宋体"/>
          <w:b/>
          <w:bCs/>
          <w:color w:val="auto"/>
          <w:kern w:val="0"/>
          <w:szCs w:val="21"/>
          <w:highlight w:val="none"/>
          <w:lang w:val="en-US" w:eastAsia="zh-CN" w:bidi="ar"/>
        </w:rPr>
        <w:t>3</w:t>
      </w:r>
      <w:r>
        <w:rPr>
          <w:rFonts w:hint="eastAsia" w:ascii="宋体" w:hAnsi="宋体" w:cs="宋体"/>
          <w:b/>
          <w:bCs/>
          <w:color w:val="auto"/>
          <w:kern w:val="0"/>
          <w:szCs w:val="21"/>
          <w:highlight w:val="none"/>
          <w:lang w:bidi="ar"/>
        </w:rPr>
        <w:t xml:space="preserve">分) </w:t>
      </w:r>
    </w:p>
    <w:p>
      <w:pPr>
        <w:widowControl/>
        <w:spacing w:line="500" w:lineRule="exact"/>
        <w:ind w:firstLine="422"/>
        <w:jc w:val="left"/>
        <w:outlineLvl w:val="1"/>
        <w:rPr>
          <w:rFonts w:hint="default" w:ascii="宋体" w:hAnsi="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1.3.1在原要求提供车辆基础上能提供多1辆施工车的得1分；</w:t>
      </w:r>
    </w:p>
    <w:p>
      <w:pPr>
        <w:widowControl/>
        <w:spacing w:line="500" w:lineRule="exact"/>
        <w:ind w:firstLine="422"/>
        <w:jc w:val="left"/>
        <w:outlineLvl w:val="1"/>
        <w:rPr>
          <w:rFonts w:hint="eastAsia" w:ascii="宋体" w:hAnsi="宋体" w:eastAsia="宋体" w:cs="宋体"/>
          <w:b w:val="0"/>
          <w:bCs/>
          <w:color w:val="auto"/>
          <w:kern w:val="0"/>
          <w:szCs w:val="21"/>
          <w:highlight w:val="none"/>
        </w:rPr>
      </w:pPr>
      <w:r>
        <w:rPr>
          <w:rFonts w:hint="eastAsia" w:ascii="宋体" w:hAnsi="宋体" w:cs="宋体"/>
          <w:b w:val="0"/>
          <w:bCs/>
          <w:color w:val="auto"/>
          <w:kern w:val="0"/>
          <w:szCs w:val="21"/>
          <w:highlight w:val="none"/>
          <w:lang w:val="en-US" w:eastAsia="zh-CN"/>
        </w:rPr>
        <w:t>1.3.2在原要求提供车辆基础上能多</w:t>
      </w:r>
      <w:r>
        <w:rPr>
          <w:rFonts w:hint="eastAsia" w:ascii="宋体" w:hAnsi="宋体" w:eastAsia="宋体" w:cs="宋体"/>
          <w:b w:val="0"/>
          <w:bCs/>
          <w:color w:val="auto"/>
          <w:kern w:val="0"/>
          <w:szCs w:val="21"/>
          <w:highlight w:val="none"/>
        </w:rPr>
        <w:t>提供施工</w:t>
      </w:r>
      <w:r>
        <w:rPr>
          <w:rFonts w:hint="eastAsia" w:ascii="宋体" w:hAnsi="宋体" w:cs="宋体"/>
          <w:b w:val="0"/>
          <w:bCs/>
          <w:color w:val="auto"/>
          <w:kern w:val="0"/>
          <w:szCs w:val="21"/>
          <w:highlight w:val="none"/>
          <w:lang w:val="en-US" w:eastAsia="zh-CN"/>
        </w:rPr>
        <w:t>车辆，且其</w:t>
      </w:r>
      <w:r>
        <w:rPr>
          <w:rFonts w:hint="eastAsia" w:ascii="宋体" w:hAnsi="宋体" w:eastAsia="宋体" w:cs="宋体"/>
          <w:b w:val="0"/>
          <w:bCs/>
          <w:color w:val="auto"/>
          <w:kern w:val="0"/>
          <w:szCs w:val="21"/>
          <w:highlight w:val="none"/>
        </w:rPr>
        <w:t>中包含有1辆高空作业车的得</w:t>
      </w:r>
      <w:r>
        <w:rPr>
          <w:rFonts w:hint="eastAsia" w:ascii="宋体" w:hAnsi="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rPr>
        <w:t>分。</w:t>
      </w:r>
    </w:p>
    <w:p>
      <w:pPr>
        <w:widowControl/>
        <w:spacing w:line="500" w:lineRule="exact"/>
        <w:ind w:firstLine="422"/>
        <w:jc w:val="left"/>
        <w:outlineLvl w:val="1"/>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注：（1）施工车辆须为小轿车、面包车、皮卡车、货车等车辆，电单车、摩托车等不属于有效车辆。</w:t>
      </w:r>
    </w:p>
    <w:p>
      <w:pPr>
        <w:widowControl/>
        <w:spacing w:line="500" w:lineRule="exact"/>
        <w:ind w:firstLine="422"/>
        <w:jc w:val="left"/>
        <w:outlineLvl w:val="1"/>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（2）高空作业车如曲臂式升降平台等任一种登高作业工具。</w:t>
      </w:r>
    </w:p>
    <w:p>
      <w:pPr>
        <w:widowControl/>
        <w:spacing w:line="500" w:lineRule="exact"/>
        <w:ind w:firstLine="422"/>
        <w:jc w:val="left"/>
        <w:outlineLvl w:val="1"/>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（3）如拟投入车辆为</w:t>
      </w:r>
      <w:r>
        <w:rPr>
          <w:rFonts w:hint="default"/>
          <w:color w:val="auto"/>
          <w:sz w:val="21"/>
          <w:szCs w:val="21"/>
          <w:highlight w:val="none"/>
          <w:lang w:val="en-US" w:eastAsia="zh-CN"/>
        </w:rPr>
        <w:t>投标人</w:t>
      </w:r>
      <w:r>
        <w:rPr>
          <w:rFonts w:hint="eastAsia" w:ascii="宋体" w:hAnsi="宋体" w:eastAsia="宋体" w:cs="宋体"/>
          <w:b w:val="0"/>
          <w:bCs/>
          <w:color w:val="auto"/>
          <w:kern w:val="0"/>
          <w:szCs w:val="21"/>
          <w:highlight w:val="none"/>
        </w:rPr>
        <w:t>自有车辆（行驶证需体现供应商名称），需提供有效年检证明材料扫描件（如已年审的有效的行驶证扫描件或免检车检验标志（体现车牌及年检日期）或交管12123年检截图等相关材料）、车辆实体照片（体现车牌号），不按要求提供不予认可。</w:t>
      </w:r>
    </w:p>
    <w:p>
      <w:pPr>
        <w:widowControl/>
        <w:spacing w:line="500" w:lineRule="exact"/>
        <w:ind w:firstLine="422"/>
        <w:jc w:val="left"/>
        <w:outlineLvl w:val="1"/>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4）如拟投入车辆为供应商租赁车辆，需提供有效期内租赁合同、有效年检证明材料扫描件（如已年审的有效的行驶证扫描件或免检车检验标志（体现车牌及年检日期）或交管12123年检截图等相关材料）、车辆实体照片（体现车牌号），不按要求提供不予认可。</w:t>
      </w:r>
    </w:p>
    <w:p>
      <w:pPr>
        <w:widowControl/>
        <w:spacing w:line="500" w:lineRule="exact"/>
        <w:ind w:firstLine="422"/>
        <w:jc w:val="left"/>
        <w:outlineLvl w:val="1"/>
        <w:rPr>
          <w:rFonts w:ascii="宋体" w:hAnsi="宋体" w:cs="宋体"/>
          <w:color w:val="auto"/>
          <w:sz w:val="22"/>
          <w:szCs w:val="28"/>
          <w:highlight w:val="none"/>
        </w:rPr>
      </w:pP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4</w:t>
      </w:r>
      <w:r>
        <w:rPr>
          <w:rFonts w:hint="eastAsia" w:ascii="宋体" w:hAnsi="宋体" w:cs="宋体"/>
          <w:b/>
          <w:bCs/>
          <w:color w:val="auto"/>
          <w:kern w:val="0"/>
          <w:szCs w:val="21"/>
          <w:highlight w:val="none"/>
          <w:lang w:bidi="ar"/>
        </w:rPr>
        <w:t>项目</w:t>
      </w:r>
      <w:r>
        <w:rPr>
          <w:rFonts w:hint="eastAsia" w:ascii="宋体" w:hAnsi="宋体" w:cs="宋体"/>
          <w:b/>
          <w:bCs/>
          <w:color w:val="auto"/>
          <w:kern w:val="0"/>
          <w:szCs w:val="21"/>
          <w:highlight w:val="none"/>
          <w:lang w:val="en-US" w:eastAsia="zh-CN" w:bidi="ar"/>
        </w:rPr>
        <w:t>技术</w:t>
      </w:r>
      <w:r>
        <w:rPr>
          <w:rFonts w:hint="eastAsia" w:ascii="宋体" w:hAnsi="宋体" w:cs="宋体"/>
          <w:b/>
          <w:bCs/>
          <w:color w:val="auto"/>
          <w:kern w:val="0"/>
          <w:szCs w:val="21"/>
          <w:highlight w:val="none"/>
          <w:lang w:bidi="ar"/>
        </w:rPr>
        <w:t>方案分(</w:t>
      </w:r>
      <w:r>
        <w:rPr>
          <w:rFonts w:hint="eastAsia" w:ascii="宋体" w:hAnsi="宋体" w:cs="宋体"/>
          <w:b/>
          <w:bCs/>
          <w:color w:val="auto"/>
          <w:kern w:val="0"/>
          <w:szCs w:val="21"/>
          <w:highlight w:val="none"/>
          <w:lang w:val="en-US" w:eastAsia="zh-CN" w:bidi="ar"/>
        </w:rPr>
        <w:t>3</w:t>
      </w:r>
      <w:r>
        <w:rPr>
          <w:rFonts w:hint="eastAsia" w:ascii="宋体" w:hAnsi="宋体" w:cs="宋体"/>
          <w:b/>
          <w:bCs/>
          <w:color w:val="auto"/>
          <w:kern w:val="0"/>
          <w:szCs w:val="21"/>
          <w:highlight w:val="none"/>
          <w:lang w:bidi="ar"/>
        </w:rPr>
        <w:t>分)</w:t>
      </w:r>
    </w:p>
    <w:p>
      <w:pPr>
        <w:spacing w:line="500" w:lineRule="exact"/>
        <w:ind w:firstLine="420"/>
        <w:rPr>
          <w:rFonts w:ascii="宋体" w:hAnsi="宋体"/>
          <w:color w:val="auto"/>
          <w:szCs w:val="21"/>
          <w:highlight w:val="none"/>
        </w:rPr>
      </w:pPr>
      <w:r>
        <w:rPr>
          <w:rFonts w:hint="eastAsia" w:ascii="宋体" w:hAnsi="宋体"/>
          <w:color w:val="auto"/>
          <w:szCs w:val="21"/>
          <w:highlight w:val="none"/>
        </w:rPr>
        <w:t>由评标委员会根据投标文件综合评定投标人项目</w:t>
      </w:r>
      <w:r>
        <w:rPr>
          <w:rFonts w:hint="eastAsia" w:ascii="宋体" w:hAnsi="宋体"/>
          <w:color w:val="auto"/>
          <w:szCs w:val="21"/>
          <w:highlight w:val="none"/>
          <w:lang w:val="en-US" w:eastAsia="zh-CN"/>
        </w:rPr>
        <w:t>技术</w:t>
      </w:r>
      <w:r>
        <w:rPr>
          <w:rFonts w:hint="eastAsia" w:ascii="宋体" w:hAnsi="宋体"/>
          <w:color w:val="auto"/>
          <w:szCs w:val="21"/>
          <w:highlight w:val="none"/>
        </w:rPr>
        <w:t>方案是否满足本项目需求并按以下规则进行评分：</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投标人提供的项目</w:t>
      </w:r>
      <w:r>
        <w:rPr>
          <w:rFonts w:hint="eastAsia" w:ascii="宋体" w:hAnsi="宋体"/>
          <w:color w:val="auto"/>
          <w:szCs w:val="21"/>
          <w:highlight w:val="none"/>
          <w:lang w:val="en-US" w:eastAsia="zh-CN"/>
        </w:rPr>
        <w:t>技术</w:t>
      </w:r>
      <w:r>
        <w:rPr>
          <w:rFonts w:hint="eastAsia" w:ascii="宋体" w:hAnsi="宋体"/>
          <w:color w:val="auto"/>
          <w:szCs w:val="21"/>
          <w:highlight w:val="none"/>
        </w:rPr>
        <w:t>方案包含①对项目的需求理解、②总体设计思路、③详细系统功能描述</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1</w:t>
      </w:r>
      <w:r>
        <w:rPr>
          <w:rFonts w:hint="eastAsia" w:ascii="宋体" w:hAnsi="宋体"/>
          <w:color w:val="auto"/>
          <w:szCs w:val="21"/>
          <w:highlight w:val="none"/>
        </w:rPr>
        <w:t>分，满分</w:t>
      </w:r>
      <w:r>
        <w:rPr>
          <w:rFonts w:hint="eastAsia" w:ascii="宋体" w:hAnsi="宋体"/>
          <w:color w:val="auto"/>
          <w:szCs w:val="21"/>
          <w:highlight w:val="none"/>
          <w:lang w:val="en-US" w:eastAsia="zh-CN"/>
        </w:rPr>
        <w:t>3</w:t>
      </w:r>
      <w:r>
        <w:rPr>
          <w:rFonts w:hint="eastAsia" w:ascii="宋体" w:hAnsi="宋体"/>
          <w:color w:val="auto"/>
          <w:szCs w:val="21"/>
          <w:highlight w:val="none"/>
        </w:rPr>
        <w:t>分。</w:t>
      </w:r>
    </w:p>
    <w:p>
      <w:pPr>
        <w:widowControl/>
        <w:spacing w:line="500" w:lineRule="exact"/>
        <w:ind w:firstLine="422"/>
        <w:jc w:val="left"/>
        <w:outlineLvl w:val="1"/>
        <w:rPr>
          <w:rFonts w:ascii="宋体" w:hAnsi="宋体" w:cs="宋体"/>
          <w:color w:val="auto"/>
          <w:sz w:val="22"/>
          <w:szCs w:val="28"/>
          <w:highlight w:val="none"/>
        </w:rPr>
      </w:pP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5</w:t>
      </w:r>
      <w:r>
        <w:rPr>
          <w:rFonts w:hint="eastAsia" w:ascii="宋体" w:hAnsi="宋体" w:cs="宋体"/>
          <w:b/>
          <w:bCs/>
          <w:color w:val="auto"/>
          <w:kern w:val="0"/>
          <w:szCs w:val="21"/>
          <w:highlight w:val="none"/>
          <w:lang w:bidi="ar"/>
        </w:rPr>
        <w:t>项目实施方案分(</w:t>
      </w:r>
      <w:r>
        <w:rPr>
          <w:rFonts w:hint="eastAsia" w:ascii="宋体" w:hAnsi="宋体" w:cs="宋体"/>
          <w:b/>
          <w:bCs/>
          <w:color w:val="auto"/>
          <w:kern w:val="0"/>
          <w:szCs w:val="21"/>
          <w:highlight w:val="none"/>
          <w:lang w:val="en-US" w:eastAsia="zh-CN" w:bidi="ar"/>
        </w:rPr>
        <w:t>7</w:t>
      </w:r>
      <w:r>
        <w:rPr>
          <w:rFonts w:hint="eastAsia" w:ascii="宋体" w:hAnsi="宋体" w:cs="宋体"/>
          <w:b/>
          <w:bCs/>
          <w:color w:val="auto"/>
          <w:kern w:val="0"/>
          <w:szCs w:val="21"/>
          <w:highlight w:val="none"/>
          <w:lang w:bidi="ar"/>
        </w:rPr>
        <w:t>分)</w:t>
      </w:r>
    </w:p>
    <w:p>
      <w:pPr>
        <w:spacing w:line="500" w:lineRule="exact"/>
        <w:ind w:firstLine="420"/>
        <w:rPr>
          <w:rFonts w:ascii="宋体" w:hAnsi="宋体"/>
          <w:color w:val="auto"/>
          <w:szCs w:val="21"/>
          <w:highlight w:val="none"/>
        </w:rPr>
      </w:pPr>
      <w:r>
        <w:rPr>
          <w:rFonts w:hint="eastAsia" w:ascii="宋体" w:hAnsi="宋体"/>
          <w:color w:val="auto"/>
          <w:szCs w:val="21"/>
          <w:highlight w:val="none"/>
        </w:rPr>
        <w:t>由评标委员会根据投标文件综合评定投标人项目实施方案是否满足本项目需求并按以下规则进行评分：</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投标人提供的项目实施方案包含①项目实施组织机构、②施工进度计划、③施工进度保障措施、④质量保证措施、⑤安装调试验收方案、⑥项目</w:t>
      </w:r>
      <w:r>
        <w:rPr>
          <w:rFonts w:hint="eastAsia" w:ascii="宋体" w:hAnsi="宋体" w:cs="宋体"/>
          <w:color w:val="auto"/>
          <w:szCs w:val="21"/>
          <w:highlight w:val="none"/>
        </w:rPr>
        <w:t>安全技术保证措施</w:t>
      </w:r>
      <w:r>
        <w:rPr>
          <w:rFonts w:hint="eastAsia" w:ascii="宋体" w:hAnsi="宋体" w:cs="宋体"/>
          <w:color w:val="auto"/>
          <w:szCs w:val="21"/>
          <w:highlight w:val="none"/>
          <w:lang w:eastAsia="zh-CN"/>
        </w:rPr>
        <w:t>、</w:t>
      </w:r>
      <w:r>
        <w:rPr>
          <w:rFonts w:hint="eastAsia" w:ascii="宋体" w:hAnsi="宋体"/>
          <w:color w:val="auto"/>
          <w:szCs w:val="21"/>
          <w:highlight w:val="none"/>
        </w:rPr>
        <w:t>⑦文明施工保障措施</w:t>
      </w:r>
      <w:r>
        <w:rPr>
          <w:rFonts w:hint="eastAsia" w:ascii="宋体" w:hAnsi="宋体"/>
          <w:color w:val="auto"/>
          <w:szCs w:val="21"/>
          <w:highlight w:val="none"/>
          <w:lang w:eastAsia="zh-CN"/>
        </w:rPr>
        <w:t>，</w:t>
      </w:r>
      <w:r>
        <w:rPr>
          <w:rFonts w:hint="eastAsia" w:ascii="宋体" w:hAnsi="宋体"/>
          <w:color w:val="auto"/>
          <w:szCs w:val="21"/>
          <w:highlight w:val="none"/>
        </w:rPr>
        <w:t>每项得1分，满分</w:t>
      </w:r>
      <w:r>
        <w:rPr>
          <w:rFonts w:hint="eastAsia" w:ascii="宋体" w:hAnsi="宋体"/>
          <w:color w:val="auto"/>
          <w:szCs w:val="21"/>
          <w:highlight w:val="none"/>
          <w:lang w:val="en-US" w:eastAsia="zh-CN"/>
        </w:rPr>
        <w:t>7</w:t>
      </w:r>
      <w:r>
        <w:rPr>
          <w:rFonts w:hint="eastAsia" w:ascii="宋体" w:hAnsi="宋体"/>
          <w:color w:val="auto"/>
          <w:szCs w:val="21"/>
          <w:highlight w:val="none"/>
        </w:rPr>
        <w:t>分。</w:t>
      </w:r>
    </w:p>
    <w:p>
      <w:pPr>
        <w:widowControl/>
        <w:spacing w:line="500" w:lineRule="exact"/>
        <w:ind w:firstLine="422"/>
        <w:jc w:val="left"/>
        <w:outlineLvl w:val="1"/>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6</w:t>
      </w:r>
      <w:r>
        <w:rPr>
          <w:rFonts w:hint="eastAsia" w:ascii="宋体" w:hAnsi="宋体" w:cs="宋体"/>
          <w:b/>
          <w:bCs/>
          <w:color w:val="auto"/>
          <w:kern w:val="0"/>
          <w:szCs w:val="21"/>
          <w:highlight w:val="none"/>
          <w:lang w:bidi="ar"/>
        </w:rPr>
        <w:t>项目</w:t>
      </w:r>
      <w:r>
        <w:rPr>
          <w:rFonts w:hint="eastAsia" w:ascii="宋体" w:hAnsi="宋体" w:cs="宋体"/>
          <w:b/>
          <w:bCs/>
          <w:color w:val="auto"/>
          <w:kern w:val="0"/>
          <w:szCs w:val="21"/>
          <w:highlight w:val="none"/>
          <w:lang w:val="en-US" w:eastAsia="zh-CN" w:bidi="ar"/>
        </w:rPr>
        <w:t>售后服务</w:t>
      </w:r>
      <w:r>
        <w:rPr>
          <w:rFonts w:hint="eastAsia" w:ascii="宋体" w:hAnsi="宋体" w:cs="宋体"/>
          <w:b/>
          <w:bCs/>
          <w:color w:val="auto"/>
          <w:kern w:val="0"/>
          <w:szCs w:val="21"/>
          <w:highlight w:val="none"/>
          <w:lang w:bidi="ar"/>
        </w:rPr>
        <w:t>方案(</w:t>
      </w:r>
      <w:r>
        <w:rPr>
          <w:rFonts w:hint="eastAsia" w:ascii="宋体" w:hAnsi="宋体" w:cs="宋体"/>
          <w:b/>
          <w:bCs/>
          <w:color w:val="auto"/>
          <w:kern w:val="0"/>
          <w:szCs w:val="21"/>
          <w:highlight w:val="none"/>
          <w:lang w:val="en-US" w:eastAsia="zh-CN" w:bidi="ar"/>
        </w:rPr>
        <w:t>5</w:t>
      </w:r>
      <w:r>
        <w:rPr>
          <w:rFonts w:hint="eastAsia" w:ascii="宋体" w:hAnsi="宋体" w:cs="宋体"/>
          <w:b/>
          <w:bCs/>
          <w:color w:val="auto"/>
          <w:kern w:val="0"/>
          <w:szCs w:val="21"/>
          <w:highlight w:val="none"/>
          <w:lang w:bidi="ar"/>
        </w:rPr>
        <w:t>分)</w:t>
      </w:r>
    </w:p>
    <w:p>
      <w:pPr>
        <w:spacing w:line="500" w:lineRule="exact"/>
        <w:ind w:firstLine="420"/>
        <w:rPr>
          <w:rFonts w:ascii="宋体" w:hAnsi="宋体"/>
          <w:color w:val="auto"/>
          <w:szCs w:val="21"/>
          <w:highlight w:val="none"/>
        </w:rPr>
      </w:pPr>
      <w:r>
        <w:rPr>
          <w:rFonts w:hint="eastAsia" w:ascii="宋体" w:hAnsi="宋体"/>
          <w:color w:val="auto"/>
          <w:szCs w:val="21"/>
          <w:highlight w:val="none"/>
        </w:rPr>
        <w:t>由评标委员会根据投标文件综合评定投标人项目</w:t>
      </w:r>
      <w:r>
        <w:rPr>
          <w:rFonts w:hint="eastAsia" w:ascii="宋体" w:hAnsi="宋体"/>
          <w:color w:val="auto"/>
          <w:szCs w:val="21"/>
          <w:highlight w:val="none"/>
          <w:lang w:val="en-US" w:eastAsia="zh-CN"/>
        </w:rPr>
        <w:t>售后服务</w:t>
      </w:r>
      <w:r>
        <w:rPr>
          <w:rFonts w:hint="eastAsia" w:ascii="宋体" w:hAnsi="宋体"/>
          <w:color w:val="auto"/>
          <w:szCs w:val="21"/>
          <w:highlight w:val="none"/>
        </w:rPr>
        <w:t>方案是否满足本项目需求并按以下规则进行评分：</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投标人提供的项目</w:t>
      </w:r>
      <w:r>
        <w:rPr>
          <w:rFonts w:hint="eastAsia" w:ascii="宋体" w:hAnsi="宋体"/>
          <w:color w:val="auto"/>
          <w:szCs w:val="21"/>
          <w:highlight w:val="none"/>
          <w:lang w:val="en-US" w:eastAsia="zh-CN"/>
        </w:rPr>
        <w:t>售后服务</w:t>
      </w:r>
      <w:r>
        <w:rPr>
          <w:rFonts w:hint="eastAsia" w:ascii="宋体" w:hAnsi="宋体"/>
          <w:color w:val="auto"/>
          <w:szCs w:val="21"/>
          <w:highlight w:val="none"/>
        </w:rPr>
        <w:t>方案包含①响应时间</w:t>
      </w:r>
      <w:r>
        <w:rPr>
          <w:rFonts w:hint="eastAsia" w:ascii="宋体" w:hAnsi="宋体"/>
          <w:color w:val="auto"/>
          <w:szCs w:val="21"/>
          <w:highlight w:val="none"/>
          <w:lang w:eastAsia="zh-CN"/>
        </w:rPr>
        <w:t>、</w:t>
      </w:r>
      <w:r>
        <w:rPr>
          <w:rFonts w:hint="eastAsia" w:ascii="宋体" w:hAnsi="宋体"/>
          <w:color w:val="auto"/>
          <w:szCs w:val="21"/>
          <w:highlight w:val="none"/>
        </w:rPr>
        <w:t>②服务具体措施、③设有售后服务点</w:t>
      </w:r>
      <w:r>
        <w:rPr>
          <w:rFonts w:hint="eastAsia" w:ascii="宋体" w:hAnsi="宋体"/>
          <w:color w:val="auto"/>
          <w:szCs w:val="21"/>
          <w:highlight w:val="none"/>
          <w:lang w:eastAsia="zh-CN"/>
        </w:rPr>
        <w:t>、</w:t>
      </w:r>
      <w:r>
        <w:rPr>
          <w:rFonts w:hint="eastAsia" w:ascii="宋体" w:hAnsi="宋体"/>
          <w:color w:val="auto"/>
          <w:szCs w:val="21"/>
          <w:highlight w:val="none"/>
        </w:rPr>
        <w:t>④免费培训计划</w:t>
      </w:r>
      <w:r>
        <w:rPr>
          <w:rFonts w:hint="eastAsia" w:ascii="宋体" w:hAnsi="宋体"/>
          <w:color w:val="auto"/>
          <w:szCs w:val="21"/>
          <w:highlight w:val="none"/>
          <w:lang w:eastAsia="zh-CN"/>
        </w:rPr>
        <w:t>、</w:t>
      </w:r>
      <w:r>
        <w:rPr>
          <w:rFonts w:hint="eastAsia" w:ascii="宋体" w:hAnsi="宋体"/>
          <w:color w:val="auto"/>
          <w:szCs w:val="21"/>
          <w:highlight w:val="none"/>
        </w:rPr>
        <w:t>⑤售后维护应急预案</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1</w:t>
      </w:r>
      <w:r>
        <w:rPr>
          <w:rFonts w:hint="eastAsia" w:ascii="宋体" w:hAnsi="宋体"/>
          <w:color w:val="auto"/>
          <w:szCs w:val="21"/>
          <w:highlight w:val="none"/>
        </w:rPr>
        <w:t>分，满分</w:t>
      </w:r>
      <w:r>
        <w:rPr>
          <w:rFonts w:hint="eastAsia" w:ascii="宋体" w:hAnsi="宋体"/>
          <w:color w:val="auto"/>
          <w:szCs w:val="21"/>
          <w:highlight w:val="none"/>
          <w:lang w:val="en-US" w:eastAsia="zh-CN"/>
        </w:rPr>
        <w:t>5</w:t>
      </w:r>
      <w:r>
        <w:rPr>
          <w:rFonts w:hint="eastAsia" w:ascii="宋体" w:hAnsi="宋体"/>
          <w:color w:val="auto"/>
          <w:szCs w:val="21"/>
          <w:highlight w:val="none"/>
        </w:rPr>
        <w:t>分。</w:t>
      </w:r>
    </w:p>
    <w:p>
      <w:pPr>
        <w:widowControl/>
        <w:spacing w:line="500" w:lineRule="exact"/>
        <w:ind w:firstLine="422"/>
        <w:jc w:val="left"/>
        <w:outlineLvl w:val="1"/>
        <w:rPr>
          <w:rFonts w:hint="eastAsia"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2.商务分(9分)</w:t>
      </w:r>
    </w:p>
    <w:p>
      <w:pPr>
        <w:spacing w:line="480" w:lineRule="exact"/>
        <w:ind w:firstLine="420"/>
        <w:rPr>
          <w:rFonts w:hint="eastAsia" w:hAnsi="宋体" w:cs="宋体"/>
          <w:bCs/>
          <w:color w:val="auto"/>
          <w:sz w:val="21"/>
          <w:szCs w:val="21"/>
          <w:highlight w:val="none"/>
        </w:rPr>
      </w:pPr>
      <w:r>
        <w:rPr>
          <w:rFonts w:hint="eastAsia" w:hAnsi="宋体" w:cs="宋体"/>
          <w:bCs/>
          <w:color w:val="auto"/>
          <w:highlight w:val="none"/>
          <w:lang w:val="en-US" w:eastAsia="zh-CN"/>
        </w:rPr>
        <w:t>2.1业绩分（6分）投标人</w:t>
      </w:r>
      <w:r>
        <w:rPr>
          <w:rFonts w:hint="eastAsia" w:hAnsi="宋体" w:cs="宋体"/>
          <w:bCs/>
          <w:color w:val="auto"/>
          <w:highlight w:val="none"/>
        </w:rPr>
        <w:t>提供2022年以来类似项目</w:t>
      </w:r>
      <w:r>
        <w:rPr>
          <w:rFonts w:hint="eastAsia" w:hAnsi="宋体" w:cs="宋体"/>
          <w:bCs/>
          <w:color w:val="auto"/>
          <w:highlight w:val="none"/>
          <w:lang w:val="en-US" w:eastAsia="zh-CN"/>
        </w:rPr>
        <w:t>合同</w:t>
      </w:r>
      <w:r>
        <w:rPr>
          <w:rFonts w:hint="eastAsia" w:hAnsi="宋体" w:cs="宋体"/>
          <w:bCs/>
          <w:color w:val="auto"/>
          <w:highlight w:val="none"/>
        </w:rPr>
        <w:t>（以有效的中标通知书或合同复印件为准,每个</w:t>
      </w:r>
      <w:r>
        <w:rPr>
          <w:rFonts w:hint="eastAsia" w:hAnsi="宋体" w:cs="宋体"/>
          <w:bCs/>
          <w:color w:val="auto"/>
          <w:sz w:val="21"/>
          <w:szCs w:val="21"/>
          <w:highlight w:val="none"/>
        </w:rPr>
        <w:t>得</w:t>
      </w:r>
      <w:r>
        <w:rPr>
          <w:rFonts w:hint="eastAsia" w:hAnsi="宋体" w:cs="宋体"/>
          <w:bCs/>
          <w:color w:val="auto"/>
          <w:sz w:val="21"/>
          <w:szCs w:val="21"/>
          <w:highlight w:val="none"/>
          <w:lang w:val="en-US" w:eastAsia="zh-CN"/>
        </w:rPr>
        <w:t>2</w:t>
      </w:r>
      <w:r>
        <w:rPr>
          <w:rFonts w:hint="eastAsia" w:hAnsi="宋体" w:cs="宋体"/>
          <w:bCs/>
          <w:color w:val="auto"/>
          <w:sz w:val="21"/>
          <w:szCs w:val="21"/>
          <w:highlight w:val="none"/>
        </w:rPr>
        <w:t>分，满分</w:t>
      </w:r>
      <w:r>
        <w:rPr>
          <w:rFonts w:hint="eastAsia" w:hAnsi="宋体" w:cs="宋体"/>
          <w:bCs/>
          <w:color w:val="auto"/>
          <w:sz w:val="21"/>
          <w:szCs w:val="21"/>
          <w:highlight w:val="none"/>
          <w:lang w:val="en-US" w:eastAsia="zh-CN"/>
        </w:rPr>
        <w:t>6</w:t>
      </w:r>
      <w:r>
        <w:rPr>
          <w:rFonts w:hint="eastAsia" w:hAnsi="宋体" w:cs="宋体"/>
          <w:bCs/>
          <w:color w:val="auto"/>
          <w:sz w:val="21"/>
          <w:szCs w:val="21"/>
          <w:highlight w:val="none"/>
        </w:rPr>
        <w:t>分）。注：类似</w:t>
      </w:r>
      <w:r>
        <w:rPr>
          <w:rFonts w:hint="eastAsia" w:hAnsi="宋体" w:cs="宋体"/>
          <w:bCs/>
          <w:color w:val="auto"/>
          <w:sz w:val="21"/>
          <w:szCs w:val="21"/>
          <w:highlight w:val="none"/>
          <w:lang w:val="en-US" w:eastAsia="zh-CN"/>
        </w:rPr>
        <w:t>合同</w:t>
      </w:r>
      <w:r>
        <w:rPr>
          <w:rFonts w:hint="eastAsia" w:hAnsi="宋体" w:cs="宋体"/>
          <w:bCs/>
          <w:color w:val="auto"/>
          <w:sz w:val="21"/>
          <w:szCs w:val="21"/>
          <w:highlight w:val="none"/>
        </w:rPr>
        <w:t>业绩指安防监控类，提供时间以签订合同时间为准。</w:t>
      </w:r>
    </w:p>
    <w:p>
      <w:pPr>
        <w:pStyle w:val="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w:t>
      </w:r>
      <w:bookmarkStart w:id="269" w:name="OLE_LINK37"/>
      <w:r>
        <w:rPr>
          <w:rFonts w:hint="eastAsia" w:ascii="宋体" w:hAnsi="宋体" w:eastAsia="宋体" w:cs="宋体"/>
          <w:bCs/>
          <w:color w:val="auto"/>
          <w:sz w:val="21"/>
          <w:szCs w:val="21"/>
          <w:highlight w:val="none"/>
          <w:lang w:val="en-US" w:eastAsia="zh-CN"/>
        </w:rPr>
        <w:t xml:space="preserve">企业认证分（ </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分）</w:t>
      </w:r>
      <w:bookmarkEnd w:id="269"/>
    </w:p>
    <w:p>
      <w:pPr>
        <w:pStyle w:val="21"/>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r>
        <w:rPr>
          <w:rFonts w:hint="eastAsia" w:hAnsi="宋体" w:cs="宋体"/>
          <w:bCs/>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具备本项目相关服务的质量管理能力</w:t>
      </w:r>
      <w:r>
        <w:rPr>
          <w:rFonts w:hint="eastAsia" w:ascii="宋体" w:hAnsi="宋体" w:eastAsia="宋体" w:cs="宋体"/>
          <w:strike w:val="0"/>
          <w:dstrike w:val="0"/>
          <w:color w:val="auto"/>
          <w:sz w:val="21"/>
          <w:szCs w:val="21"/>
          <w:highlight w:val="none"/>
          <w:lang w:val="en-US" w:eastAsia="zh-CN"/>
        </w:rPr>
        <w:t>，提供证明材料如ISO或GB/T质量体系认证证书的得1分；</w:t>
      </w:r>
    </w:p>
    <w:p>
      <w:pPr>
        <w:pStyle w:val="21"/>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2.2.2</w:t>
      </w:r>
      <w:r>
        <w:rPr>
          <w:rFonts w:hint="eastAsia" w:hAnsi="宋体" w:cs="宋体"/>
          <w:bCs/>
          <w:strike w:val="0"/>
          <w:dstrike w:val="0"/>
          <w:color w:val="auto"/>
          <w:sz w:val="21"/>
          <w:szCs w:val="21"/>
          <w:highlight w:val="none"/>
          <w:lang w:val="en-US" w:eastAsia="zh-CN"/>
        </w:rPr>
        <w:t>投标人</w:t>
      </w:r>
      <w:r>
        <w:rPr>
          <w:rFonts w:hint="eastAsia" w:ascii="宋体" w:hAnsi="宋体" w:eastAsia="宋体" w:cs="宋体"/>
          <w:strike w:val="0"/>
          <w:dstrike w:val="0"/>
          <w:color w:val="auto"/>
          <w:sz w:val="21"/>
          <w:szCs w:val="21"/>
          <w:highlight w:val="none"/>
          <w:lang w:val="en-US" w:eastAsia="zh-CN"/>
        </w:rPr>
        <w:t>具备本项目相关服务的职业健康安全管理能力，提供证明材料如ISO或GB/T职业健康安全体系认证证书的得1分；</w:t>
      </w:r>
    </w:p>
    <w:p>
      <w:pPr>
        <w:pStyle w:val="2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bookmarkStart w:id="270" w:name="OLE_LINK38"/>
      <w:r>
        <w:rPr>
          <w:rFonts w:hint="eastAsia" w:hAnsi="宋体" w:cs="宋体"/>
          <w:bCs/>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具备本项目相关服务的环境管理能力，提供证明材料如ISO或GB/T环境管理体系认证证书的得1分；</w:t>
      </w:r>
    </w:p>
    <w:bookmarkEnd w:id="270"/>
    <w:p>
      <w:pPr>
        <w:ind w:firstLine="420"/>
        <w:rPr>
          <w:rFonts w:hint="eastAsia" w:ascii="宋体" w:hAnsi="宋体" w:cs="宋体"/>
          <w:strike/>
          <w:color w:val="auto"/>
          <w:highlight w:val="none"/>
        </w:rPr>
      </w:pPr>
      <w:r>
        <w:rPr>
          <w:rFonts w:hint="eastAsia" w:ascii="宋体" w:hAnsi="宋体" w:eastAsia="宋体" w:cs="宋体"/>
          <w:color w:val="auto"/>
          <w:sz w:val="21"/>
          <w:szCs w:val="21"/>
          <w:highlight w:val="none"/>
          <w:lang w:val="en-US" w:eastAsia="zh-CN"/>
        </w:rPr>
        <w:t>备注：须提供有效证书扫描件</w:t>
      </w:r>
      <w:r>
        <w:rPr>
          <w:rFonts w:hint="eastAsia" w:ascii="宋体" w:hAnsi="宋体" w:cs="宋体"/>
          <w:color w:val="auto"/>
          <w:sz w:val="21"/>
          <w:szCs w:val="21"/>
          <w:highlight w:val="none"/>
          <w:lang w:val="en-US" w:eastAsia="zh-CN"/>
        </w:rPr>
        <w:t>，证书与</w:t>
      </w:r>
      <w:r>
        <w:rPr>
          <w:rFonts w:hint="eastAsia" w:ascii="宋体" w:hAnsi="宋体" w:eastAsia="宋体" w:cs="宋体"/>
          <w:color w:val="auto"/>
          <w:sz w:val="21"/>
          <w:szCs w:val="21"/>
          <w:highlight w:val="none"/>
          <w:lang w:val="en-US" w:eastAsia="zh-CN"/>
        </w:rPr>
        <w:t>全国认证认可信息公共服务平台（http://cx.cnca.cn/CertECloud/index/index/page）查询</w:t>
      </w:r>
      <w:r>
        <w:rPr>
          <w:rFonts w:hint="eastAsia" w:ascii="宋体" w:hAnsi="宋体" w:cs="宋体"/>
          <w:color w:val="auto"/>
          <w:sz w:val="21"/>
          <w:szCs w:val="21"/>
          <w:highlight w:val="none"/>
          <w:lang w:val="en-US" w:eastAsia="zh-CN"/>
        </w:rPr>
        <w:t>一致。</w:t>
      </w:r>
    </w:p>
    <w:p>
      <w:pPr>
        <w:spacing w:line="500" w:lineRule="exact"/>
        <w:ind w:firstLine="0" w:firstLineChars="0"/>
        <w:rPr>
          <w:rFonts w:hint="eastAsia" w:ascii="宋体" w:hAnsi="宋体"/>
          <w:b/>
          <w:bCs/>
        </w:rPr>
      </w:pPr>
      <w:r>
        <w:rPr>
          <w:rFonts w:hint="eastAsia" w:ascii="宋体" w:hAnsi="宋体"/>
          <w:b/>
          <w:bCs/>
        </w:rPr>
        <w:t>三、总得分=价格分+技术商务资信分</w:t>
      </w:r>
    </w:p>
    <w:p>
      <w:pPr>
        <w:spacing w:line="500" w:lineRule="exact"/>
        <w:ind w:firstLine="0" w:firstLineChars="0"/>
        <w:rPr>
          <w:rFonts w:hint="eastAsia" w:ascii="宋体" w:hAnsi="宋体"/>
          <w:b/>
          <w:bCs/>
        </w:rPr>
      </w:pPr>
      <w:r>
        <w:rPr>
          <w:rFonts w:hint="eastAsia" w:ascii="宋体" w:hAnsi="宋体"/>
          <w:b/>
          <w:bCs/>
        </w:rPr>
        <w:t>四、中标候选人推荐原则</w:t>
      </w:r>
    </w:p>
    <w:p>
      <w:pPr>
        <w:ind w:firstLine="420"/>
      </w:pPr>
      <w:r>
        <w:rPr>
          <w:rFonts w:ascii="宋体" w:hAnsi="宋体"/>
        </w:rPr>
        <w:tab/>
      </w:r>
      <w:r>
        <w:rPr>
          <w:rFonts w:hint="eastAsia" w:ascii="宋体" w:hAnsi="宋体"/>
        </w:rPr>
        <w:t>评标委员会将根据</w:t>
      </w:r>
      <w:r>
        <w:rPr>
          <w:rFonts w:ascii="宋体" w:hAnsi="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8"/>
        <w:spacing w:line="420" w:lineRule="exact"/>
        <w:ind w:firstLine="0" w:firstLineChars="0"/>
        <w:jc w:val="left"/>
      </w:pPr>
      <w:r>
        <w:rPr>
          <w:rFonts w:hint="eastAsia" w:hAnsi="宋体"/>
        </w:rPr>
        <w:br w:type="page"/>
      </w:r>
    </w:p>
    <w:p>
      <w:pPr>
        <w:ind w:firstLine="0" w:firstLineChars="0"/>
      </w:pPr>
    </w:p>
    <w:p>
      <w:pPr>
        <w:spacing w:line="380" w:lineRule="exact"/>
        <w:ind w:firstLine="0" w:firstLineChars="0"/>
        <w:jc w:val="center"/>
        <w:rPr>
          <w:rFonts w:hint="eastAsia" w:ascii="宋体" w:hAnsi="宋体"/>
          <w:b/>
          <w:sz w:val="32"/>
          <w:szCs w:val="32"/>
        </w:rPr>
      </w:pPr>
      <w:r>
        <w:rPr>
          <w:rFonts w:hint="eastAsia" w:ascii="宋体" w:hAnsi="宋体"/>
          <w:b/>
          <w:sz w:val="32"/>
        </w:rPr>
        <w:t>评定标准和推荐原则</w:t>
      </w:r>
      <w:r>
        <w:rPr>
          <w:rFonts w:hint="eastAsia" w:ascii="宋体" w:hAnsi="宋体"/>
          <w:b/>
          <w:color w:val="000000"/>
          <w:sz w:val="32"/>
        </w:rPr>
        <w:t>（标项三）</w:t>
      </w:r>
    </w:p>
    <w:p>
      <w:pPr>
        <w:pStyle w:val="28"/>
        <w:spacing w:line="500" w:lineRule="exact"/>
        <w:ind w:firstLine="0" w:firstLineChars="0"/>
        <w:jc w:val="left"/>
        <w:rPr>
          <w:rFonts w:hint="eastAsia" w:hAnsi="宋体"/>
          <w:b/>
          <w:bCs/>
        </w:rPr>
      </w:pPr>
      <w:bookmarkStart w:id="271" w:name="OLE_LINK19"/>
      <w:r>
        <w:rPr>
          <w:rFonts w:hint="eastAsia" w:hAnsi="宋体"/>
          <w:b/>
          <w:bCs/>
        </w:rPr>
        <w:t>一、评标原则</w:t>
      </w:r>
    </w:p>
    <w:p>
      <w:pPr>
        <w:pStyle w:val="28"/>
        <w:spacing w:line="500" w:lineRule="exact"/>
        <w:ind w:firstLine="210" w:firstLineChars="100"/>
        <w:jc w:val="left"/>
        <w:rPr>
          <w:rFonts w:hint="eastAsia" w:hAnsi="宋体"/>
        </w:rPr>
      </w:pPr>
      <w:r>
        <w:rPr>
          <w:rFonts w:hint="eastAsia" w:hAnsi="宋体"/>
        </w:rPr>
        <w:t>（一）评标依据：评标委员会将以招投标文件为评标依据，</w:t>
      </w:r>
      <w:r>
        <w:rPr>
          <w:rFonts w:hAnsi="宋体"/>
        </w:rPr>
        <w:t>对投标人的投标报价、</w:t>
      </w:r>
      <w:r>
        <w:rPr>
          <w:rFonts w:hint="eastAsia" w:hAnsi="宋体"/>
          <w:bCs/>
        </w:rPr>
        <w:t>技术商务资信</w:t>
      </w:r>
      <w:r>
        <w:rPr>
          <w:rFonts w:hAnsi="宋体"/>
        </w:rPr>
        <w:t>等方面内容</w:t>
      </w:r>
      <w:r>
        <w:rPr>
          <w:rFonts w:hint="eastAsia" w:hAnsi="宋体"/>
        </w:rPr>
        <w:t>进行评价。</w:t>
      </w:r>
    </w:p>
    <w:p>
      <w:pPr>
        <w:pStyle w:val="28"/>
        <w:spacing w:line="500" w:lineRule="exact"/>
        <w:ind w:firstLine="210" w:firstLineChars="100"/>
        <w:jc w:val="left"/>
        <w:rPr>
          <w:rFonts w:hint="eastAsia" w:hAnsi="宋体"/>
        </w:rPr>
      </w:pPr>
      <w:r>
        <w:rPr>
          <w:rFonts w:hint="eastAsia" w:hAnsi="宋体"/>
        </w:rPr>
        <w:t>（二）评标委员会组成：由采购人代表和评审专家组成，成员人数应当为5人以上单数，其中评审专家的人数不得少于成员总数的三分之二。</w:t>
      </w:r>
    </w:p>
    <w:p>
      <w:pPr>
        <w:pStyle w:val="28"/>
        <w:spacing w:line="500" w:lineRule="exact"/>
        <w:ind w:firstLine="210" w:firstLineChars="100"/>
        <w:jc w:val="left"/>
        <w:rPr>
          <w:rFonts w:hint="eastAsia" w:hAnsi="宋体"/>
        </w:rPr>
      </w:pPr>
      <w:r>
        <w:rPr>
          <w:rFonts w:hint="eastAsia" w:hAnsi="宋体"/>
        </w:rPr>
        <w:t>（三）评分方式：评标委员会各成员独立对每个投标人的投标文件进行评价。</w:t>
      </w:r>
    </w:p>
    <w:p>
      <w:pPr>
        <w:pStyle w:val="28"/>
        <w:spacing w:line="500" w:lineRule="exact"/>
        <w:ind w:firstLine="0" w:firstLineChars="0"/>
        <w:jc w:val="left"/>
        <w:rPr>
          <w:rFonts w:hint="eastAsia" w:hAnsi="宋体"/>
          <w:b/>
          <w:bCs/>
        </w:rPr>
      </w:pPr>
      <w:r>
        <w:rPr>
          <w:rFonts w:hint="eastAsia" w:hAnsi="宋体"/>
          <w:b/>
          <w:bCs/>
        </w:rPr>
        <w:t>二、评分细则</w:t>
      </w:r>
    </w:p>
    <w:p>
      <w:pPr>
        <w:spacing w:line="500" w:lineRule="exact"/>
        <w:ind w:firstLine="210" w:firstLineChars="100"/>
        <w:jc w:val="left"/>
        <w:rPr>
          <w:rFonts w:hint="eastAsia" w:ascii="宋体" w:hAnsi="宋体" w:cs="Courier New"/>
          <w:szCs w:val="21"/>
        </w:rPr>
      </w:pPr>
      <w:r>
        <w:rPr>
          <w:rFonts w:hint="eastAsia" w:ascii="宋体" w:hAnsi="宋体" w:cs="Courier New"/>
          <w:szCs w:val="21"/>
        </w:rPr>
        <w:t>综合评分法：对满足招标文件全部实质性要求的投标人投标文件</w:t>
      </w:r>
      <w:r>
        <w:rPr>
          <w:rFonts w:ascii="宋体" w:hAnsi="宋体" w:cs="Arial"/>
          <w:szCs w:val="21"/>
        </w:rPr>
        <w:t>按照评审因素的量化指标评审</w:t>
      </w:r>
      <w:r>
        <w:rPr>
          <w:rFonts w:hint="eastAsia" w:ascii="宋体" w:hAnsi="宋体" w:cs="Arial"/>
          <w:szCs w:val="21"/>
        </w:rPr>
        <w:t>并汇总(</w:t>
      </w:r>
      <w:r>
        <w:rPr>
          <w:rFonts w:hint="eastAsia" w:ascii="宋体" w:hAnsi="宋体" w:cs="Courier New"/>
          <w:szCs w:val="21"/>
        </w:rPr>
        <w:t>四舍五入取至百分位)。</w:t>
      </w:r>
    </w:p>
    <w:p>
      <w:pPr>
        <w:spacing w:line="500" w:lineRule="exact"/>
        <w:ind w:firstLine="211" w:firstLineChars="100"/>
        <w:rPr>
          <w:rFonts w:hint="eastAsia" w:ascii="宋体" w:hAnsi="宋体"/>
          <w:b/>
          <w:bCs/>
        </w:rPr>
      </w:pPr>
      <w:r>
        <w:rPr>
          <w:rFonts w:hint="eastAsia" w:ascii="宋体" w:hAnsi="宋体"/>
          <w:b/>
          <w:bCs/>
        </w:rPr>
        <w:t>（一）报价分（</w:t>
      </w:r>
      <w:r>
        <w:rPr>
          <w:rFonts w:hint="eastAsia" w:ascii="宋体" w:hAnsi="宋体"/>
          <w:b/>
          <w:bCs/>
          <w:lang w:val="en-US" w:eastAsia="zh-CN"/>
        </w:rPr>
        <w:t>6</w:t>
      </w:r>
      <w:r>
        <w:rPr>
          <w:rFonts w:hint="eastAsia" w:ascii="宋体" w:hAnsi="宋体"/>
          <w:b/>
          <w:bCs/>
        </w:rPr>
        <w:t>0分）</w:t>
      </w:r>
    </w:p>
    <w:p>
      <w:pPr>
        <w:spacing w:line="500" w:lineRule="exact"/>
        <w:ind w:firstLine="420"/>
        <w:jc w:val="left"/>
        <w:rPr>
          <w:rFonts w:hint="eastAsia" w:ascii="宋体" w:hAnsi="宋体" w:cs="Courier New"/>
          <w:szCs w:val="21"/>
        </w:rPr>
      </w:pPr>
      <w:r>
        <w:rPr>
          <w:rFonts w:hint="eastAsia" w:ascii="宋体" w:hAnsi="宋体" w:cs="Courier New"/>
          <w:szCs w:val="21"/>
        </w:rPr>
        <w:tab/>
      </w:r>
      <w:r>
        <w:rPr>
          <w:rFonts w:hint="eastAsia" w:ascii="宋体" w:hAnsi="宋体" w:cs="Courier New"/>
          <w:szCs w:val="21"/>
        </w:rPr>
        <w:t>1.投标人的价格分统一按照下列公式计算：</w:t>
      </w:r>
    </w:p>
    <w:p>
      <w:pPr>
        <w:spacing w:line="500" w:lineRule="exact"/>
        <w:ind w:firstLine="422"/>
        <w:jc w:val="left"/>
        <w:rPr>
          <w:rFonts w:hint="eastAsia" w:ascii="宋体" w:hAnsi="宋体" w:cs="Courier New"/>
          <w:b/>
          <w:szCs w:val="21"/>
        </w:rPr>
      </w:pPr>
      <w:r>
        <w:rPr>
          <w:rFonts w:hint="eastAsia" w:ascii="宋体" w:hAnsi="宋体" w:cs="Courier New"/>
          <w:b/>
          <w:szCs w:val="21"/>
        </w:rPr>
        <w:tab/>
      </w:r>
      <w:r>
        <w:rPr>
          <w:rFonts w:hint="eastAsia" w:ascii="宋体" w:hAnsi="宋体" w:cs="Courier New"/>
          <w:b/>
          <w:szCs w:val="21"/>
        </w:rPr>
        <w:t>某投标人价格分=（评标基准价/某投标人评标价）×</w:t>
      </w:r>
      <w:r>
        <w:rPr>
          <w:rFonts w:hint="eastAsia" w:ascii="宋体" w:hAnsi="宋体" w:cs="Courier New"/>
          <w:b/>
          <w:szCs w:val="21"/>
          <w:lang w:val="en-US" w:eastAsia="zh-CN"/>
        </w:rPr>
        <w:t>6</w:t>
      </w:r>
      <w:r>
        <w:rPr>
          <w:rFonts w:hint="eastAsia" w:ascii="宋体" w:hAnsi="宋体" w:cs="Courier New"/>
          <w:b/>
          <w:szCs w:val="21"/>
        </w:rPr>
        <w:t>0分</w:t>
      </w:r>
    </w:p>
    <w:p>
      <w:pPr>
        <w:widowControl/>
        <w:spacing w:line="500" w:lineRule="exact"/>
        <w:ind w:firstLine="420"/>
        <w:jc w:val="left"/>
        <w:rPr>
          <w:rFonts w:hint="eastAsia" w:ascii="宋体" w:hAnsi="宋体" w:cs="Courier New"/>
          <w:szCs w:val="21"/>
        </w:rPr>
      </w:pPr>
      <w:r>
        <w:rPr>
          <w:rFonts w:hint="eastAsia" w:ascii="宋体" w:hAnsi="宋体" w:cs="Courier New"/>
          <w:szCs w:val="21"/>
        </w:rPr>
        <w:t>注：</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提供的全部货物符合《政府采购促进中小企业发展管理办法》（财库﹝2020﹞46号）规定，并在投标文件中提供《中小企业声明函》（格式见第六章，投标人须对声明的真实性负责）。评审中将对小微型企业报价给予20%的扣除，扣除后的价格为评标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line="500" w:lineRule="exact"/>
        <w:ind w:firstLine="420"/>
        <w:jc w:val="left"/>
        <w:rPr>
          <w:rFonts w:hint="eastAsia" w:ascii="宋体" w:hAnsi="宋体" w:cs="Courier New"/>
          <w:szCs w:val="21"/>
        </w:rPr>
      </w:pPr>
      <w:r>
        <w:rPr>
          <w:rFonts w:hint="eastAsia" w:ascii="宋体" w:hAnsi="宋体" w:cs="Courier New"/>
        </w:rPr>
        <w:t>投标人获得政策性价格扣除的，评标价</w:t>
      </w:r>
      <w:r>
        <w:rPr>
          <w:rFonts w:ascii="宋体" w:hAnsi="宋体" w:cs="Courier New"/>
        </w:rPr>
        <w:t>=</w:t>
      </w:r>
      <w:r>
        <w:rPr>
          <w:rFonts w:hint="eastAsia" w:ascii="宋体" w:hAnsi="宋体" w:cs="Courier New"/>
        </w:rPr>
        <w:t>投标报价×（</w:t>
      </w:r>
      <w:r>
        <w:rPr>
          <w:rFonts w:ascii="宋体" w:hAnsi="宋体" w:cs="Courier New"/>
        </w:rPr>
        <w:t>1-</w:t>
      </w:r>
      <w:r>
        <w:rPr>
          <w:rFonts w:hint="eastAsia" w:ascii="宋体" w:hAnsi="宋体" w:cs="Courier New"/>
        </w:rPr>
        <w:t>2</w:t>
      </w:r>
      <w:r>
        <w:rPr>
          <w:rFonts w:ascii="宋体" w:hAnsi="宋体" w:cs="Courier New"/>
        </w:rPr>
        <w:t>0%</w:t>
      </w:r>
      <w:r>
        <w:rPr>
          <w:rFonts w:hint="eastAsia" w:ascii="宋体" w:hAnsi="宋体" w:cs="Courier New"/>
        </w:rPr>
        <w:t>），否则评标价</w:t>
      </w:r>
      <w:r>
        <w:rPr>
          <w:rFonts w:ascii="宋体" w:hAnsi="宋体" w:cs="Courier New"/>
        </w:rPr>
        <w:t>=</w:t>
      </w:r>
      <w:r>
        <w:rPr>
          <w:rFonts w:hint="eastAsia" w:ascii="宋体" w:hAnsi="宋体" w:cs="Courier New"/>
        </w:rPr>
        <w:t>投标报价。满足招标文件全部实质性要求的投标人最低评标价为评标基准价。评标价仅作评标时使用，中标金额＝投标报价。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numPr>
          <w:ilvl w:val="0"/>
          <w:numId w:val="0"/>
        </w:numPr>
        <w:spacing w:line="500" w:lineRule="exact"/>
        <w:rPr>
          <w:rFonts w:hint="eastAsia" w:ascii="宋体" w:hAnsi="宋体" w:cs="宋体"/>
          <w:b/>
          <w:bCs/>
          <w:spacing w:val="-12"/>
          <w:kern w:val="0"/>
          <w:szCs w:val="21"/>
        </w:rPr>
      </w:pPr>
      <w:r>
        <w:rPr>
          <w:rFonts w:hint="eastAsia" w:ascii="宋体" w:hAnsi="宋体" w:cs="宋体"/>
          <w:b/>
          <w:bCs/>
          <w:kern w:val="0"/>
          <w:szCs w:val="21"/>
          <w:lang w:eastAsia="zh-CN"/>
        </w:rPr>
        <w:t>（</w:t>
      </w:r>
      <w:r>
        <w:rPr>
          <w:rFonts w:hint="eastAsia" w:ascii="宋体" w:hAnsi="宋体" w:cs="宋体"/>
          <w:b/>
          <w:bCs/>
          <w:kern w:val="0"/>
          <w:szCs w:val="21"/>
          <w:lang w:val="en-US" w:eastAsia="zh-CN"/>
        </w:rPr>
        <w:t>二</w:t>
      </w:r>
      <w:r>
        <w:rPr>
          <w:rFonts w:hint="eastAsia" w:ascii="宋体" w:hAnsi="宋体" w:cs="宋体"/>
          <w:b/>
          <w:bCs/>
          <w:kern w:val="0"/>
          <w:szCs w:val="21"/>
          <w:lang w:eastAsia="zh-CN"/>
        </w:rPr>
        <w:t>）</w:t>
      </w:r>
      <w:r>
        <w:rPr>
          <w:rFonts w:hint="eastAsia" w:ascii="宋体" w:hAnsi="宋体" w:cs="宋体"/>
          <w:b/>
          <w:bCs/>
          <w:kern w:val="0"/>
          <w:szCs w:val="21"/>
        </w:rPr>
        <w:t>技术商务资信分</w:t>
      </w:r>
      <w:r>
        <w:rPr>
          <w:rFonts w:hint="eastAsia" w:ascii="宋体" w:hAnsi="宋体" w:cs="宋体"/>
          <w:b/>
          <w:bCs/>
          <w:spacing w:val="-12"/>
          <w:kern w:val="0"/>
          <w:szCs w:val="21"/>
        </w:rPr>
        <w:t>（</w:t>
      </w:r>
      <w:r>
        <w:rPr>
          <w:rFonts w:hint="eastAsia" w:ascii="宋体" w:hAnsi="宋体" w:cs="宋体"/>
          <w:b/>
          <w:bCs/>
          <w:spacing w:val="-12"/>
          <w:kern w:val="0"/>
          <w:szCs w:val="21"/>
          <w:lang w:val="en-US" w:eastAsia="zh-CN"/>
        </w:rPr>
        <w:t>4</w:t>
      </w:r>
      <w:r>
        <w:rPr>
          <w:rFonts w:hint="eastAsia" w:ascii="宋体" w:hAnsi="宋体" w:cs="宋体"/>
          <w:b/>
          <w:bCs/>
          <w:spacing w:val="-12"/>
          <w:kern w:val="0"/>
          <w:szCs w:val="21"/>
        </w:rPr>
        <w:t>0分）</w:t>
      </w:r>
    </w:p>
    <w:p>
      <w:pPr>
        <w:pStyle w:val="2"/>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1.技术分（30分）</w:t>
      </w:r>
    </w:p>
    <w:p>
      <w:pPr>
        <w:widowControl/>
        <w:spacing w:line="500" w:lineRule="exact"/>
        <w:ind w:firstLine="422"/>
        <w:jc w:val="left"/>
        <w:outlineLvl w:val="1"/>
        <w:rPr>
          <w:rFonts w:ascii="宋体" w:hAnsi="宋体" w:cs="宋体"/>
          <w:color w:val="auto"/>
          <w:sz w:val="22"/>
          <w:szCs w:val="28"/>
          <w:highlight w:val="none"/>
        </w:rPr>
      </w:pP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1</w:t>
      </w:r>
      <w:r>
        <w:rPr>
          <w:rFonts w:hint="eastAsia" w:ascii="宋体" w:hAnsi="宋体" w:cs="宋体"/>
          <w:b/>
          <w:bCs/>
          <w:color w:val="auto"/>
          <w:kern w:val="0"/>
          <w:szCs w:val="21"/>
          <w:highlight w:val="none"/>
          <w:lang w:bidi="ar"/>
        </w:rPr>
        <w:t>项目</w:t>
      </w:r>
      <w:r>
        <w:rPr>
          <w:rFonts w:hint="eastAsia" w:ascii="宋体" w:hAnsi="宋体" w:cs="宋体"/>
          <w:b/>
          <w:bCs/>
          <w:color w:val="auto"/>
          <w:kern w:val="0"/>
          <w:szCs w:val="21"/>
          <w:highlight w:val="none"/>
          <w:lang w:val="en-US" w:eastAsia="zh-CN" w:bidi="ar"/>
        </w:rPr>
        <w:t>技术</w:t>
      </w:r>
      <w:r>
        <w:rPr>
          <w:rFonts w:hint="eastAsia" w:ascii="宋体" w:hAnsi="宋体" w:cs="宋体"/>
          <w:b/>
          <w:bCs/>
          <w:color w:val="auto"/>
          <w:kern w:val="0"/>
          <w:szCs w:val="21"/>
          <w:highlight w:val="none"/>
          <w:lang w:bidi="ar"/>
        </w:rPr>
        <w:t>方案分(</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分)</w:t>
      </w:r>
    </w:p>
    <w:p>
      <w:pPr>
        <w:spacing w:line="500" w:lineRule="exact"/>
        <w:ind w:firstLine="420"/>
        <w:rPr>
          <w:rFonts w:ascii="宋体" w:hAnsi="宋体"/>
          <w:color w:val="auto"/>
          <w:szCs w:val="21"/>
          <w:highlight w:val="none"/>
        </w:rPr>
      </w:pPr>
      <w:r>
        <w:rPr>
          <w:rFonts w:hint="eastAsia" w:ascii="宋体" w:hAnsi="宋体"/>
          <w:color w:val="auto"/>
          <w:szCs w:val="21"/>
          <w:highlight w:val="none"/>
        </w:rPr>
        <w:t>由评标委员会根据投标文件综合评定投标人项目</w:t>
      </w:r>
      <w:r>
        <w:rPr>
          <w:rFonts w:hint="eastAsia" w:ascii="宋体" w:hAnsi="宋体"/>
          <w:color w:val="auto"/>
          <w:szCs w:val="21"/>
          <w:highlight w:val="none"/>
          <w:lang w:val="en-US" w:eastAsia="zh-CN"/>
        </w:rPr>
        <w:t>技术</w:t>
      </w:r>
      <w:r>
        <w:rPr>
          <w:rFonts w:hint="eastAsia" w:ascii="宋体" w:hAnsi="宋体"/>
          <w:color w:val="auto"/>
          <w:szCs w:val="21"/>
          <w:highlight w:val="none"/>
        </w:rPr>
        <w:t>方案是否满足本项目需求并按以下规则进行评分：</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投标人提供的项目</w:t>
      </w:r>
      <w:r>
        <w:rPr>
          <w:rFonts w:hint="eastAsia" w:ascii="宋体" w:hAnsi="宋体"/>
          <w:color w:val="auto"/>
          <w:szCs w:val="21"/>
          <w:highlight w:val="none"/>
          <w:lang w:val="en-US" w:eastAsia="zh-CN"/>
        </w:rPr>
        <w:t>技术</w:t>
      </w:r>
      <w:r>
        <w:rPr>
          <w:rFonts w:hint="eastAsia" w:ascii="宋体" w:hAnsi="宋体"/>
          <w:color w:val="auto"/>
          <w:szCs w:val="21"/>
          <w:highlight w:val="none"/>
        </w:rPr>
        <w:t>方案包含①对项目的需求理解、②总体设计思路、③详细系统功能描述</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5</w:t>
      </w:r>
      <w:r>
        <w:rPr>
          <w:rFonts w:hint="eastAsia" w:ascii="宋体" w:hAnsi="宋体"/>
          <w:color w:val="auto"/>
          <w:szCs w:val="21"/>
          <w:highlight w:val="none"/>
        </w:rPr>
        <w:t>分，满分</w:t>
      </w:r>
      <w:r>
        <w:rPr>
          <w:rFonts w:hint="eastAsia" w:ascii="宋体" w:hAnsi="宋体"/>
          <w:color w:val="auto"/>
          <w:szCs w:val="21"/>
          <w:highlight w:val="none"/>
          <w:lang w:val="en-US" w:eastAsia="zh-CN"/>
        </w:rPr>
        <w:t>15</w:t>
      </w:r>
      <w:r>
        <w:rPr>
          <w:rFonts w:hint="eastAsia" w:ascii="宋体" w:hAnsi="宋体"/>
          <w:color w:val="auto"/>
          <w:szCs w:val="21"/>
          <w:highlight w:val="none"/>
        </w:rPr>
        <w:t>分。</w:t>
      </w:r>
    </w:p>
    <w:p>
      <w:pPr>
        <w:widowControl/>
        <w:spacing w:line="500" w:lineRule="exact"/>
        <w:ind w:firstLine="422"/>
        <w:jc w:val="left"/>
        <w:outlineLvl w:val="1"/>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2</w:t>
      </w:r>
      <w:r>
        <w:rPr>
          <w:rFonts w:hint="eastAsia" w:ascii="宋体" w:hAnsi="宋体" w:cs="宋体"/>
          <w:b/>
          <w:bCs/>
          <w:color w:val="auto"/>
          <w:kern w:val="0"/>
          <w:szCs w:val="21"/>
          <w:highlight w:val="none"/>
          <w:lang w:bidi="ar"/>
        </w:rPr>
        <w:t>项目</w:t>
      </w:r>
      <w:r>
        <w:rPr>
          <w:rFonts w:hint="eastAsia" w:ascii="宋体" w:hAnsi="宋体" w:cs="宋体"/>
          <w:b/>
          <w:bCs/>
          <w:color w:val="auto"/>
          <w:kern w:val="0"/>
          <w:szCs w:val="21"/>
          <w:highlight w:val="none"/>
          <w:lang w:val="en-US" w:eastAsia="zh-CN" w:bidi="ar"/>
        </w:rPr>
        <w:t>售后服务</w:t>
      </w:r>
      <w:r>
        <w:rPr>
          <w:rFonts w:hint="eastAsia" w:ascii="宋体" w:hAnsi="宋体" w:cs="宋体"/>
          <w:b/>
          <w:bCs/>
          <w:color w:val="auto"/>
          <w:kern w:val="0"/>
          <w:szCs w:val="21"/>
          <w:highlight w:val="none"/>
          <w:lang w:bidi="ar"/>
        </w:rPr>
        <w:t>方案(</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分)</w:t>
      </w:r>
    </w:p>
    <w:p>
      <w:pPr>
        <w:spacing w:line="500" w:lineRule="exact"/>
        <w:ind w:firstLine="420"/>
        <w:rPr>
          <w:rFonts w:ascii="宋体" w:hAnsi="宋体"/>
          <w:color w:val="auto"/>
          <w:szCs w:val="21"/>
          <w:highlight w:val="none"/>
        </w:rPr>
      </w:pPr>
      <w:r>
        <w:rPr>
          <w:rFonts w:hint="eastAsia" w:ascii="宋体" w:hAnsi="宋体"/>
          <w:color w:val="auto"/>
          <w:szCs w:val="21"/>
          <w:highlight w:val="none"/>
        </w:rPr>
        <w:t>由评标委员会根据投标文件综合评定投标人项目</w:t>
      </w:r>
      <w:r>
        <w:rPr>
          <w:rFonts w:hint="eastAsia" w:ascii="宋体" w:hAnsi="宋体"/>
          <w:color w:val="auto"/>
          <w:szCs w:val="21"/>
          <w:highlight w:val="none"/>
          <w:lang w:val="en-US" w:eastAsia="zh-CN"/>
        </w:rPr>
        <w:t>售后服务</w:t>
      </w:r>
      <w:r>
        <w:rPr>
          <w:rFonts w:hint="eastAsia" w:ascii="宋体" w:hAnsi="宋体"/>
          <w:color w:val="auto"/>
          <w:szCs w:val="21"/>
          <w:highlight w:val="none"/>
        </w:rPr>
        <w:t>方案是否满足本项目需求并按以下规则进行评分：</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投标人提供的项目</w:t>
      </w:r>
      <w:r>
        <w:rPr>
          <w:rFonts w:hint="eastAsia" w:ascii="宋体" w:hAnsi="宋体"/>
          <w:color w:val="auto"/>
          <w:szCs w:val="21"/>
          <w:highlight w:val="none"/>
          <w:lang w:val="en-US" w:eastAsia="zh-CN"/>
        </w:rPr>
        <w:t>售后服务</w:t>
      </w:r>
      <w:r>
        <w:rPr>
          <w:rFonts w:hint="eastAsia" w:ascii="宋体" w:hAnsi="宋体"/>
          <w:color w:val="auto"/>
          <w:szCs w:val="21"/>
          <w:highlight w:val="none"/>
        </w:rPr>
        <w:t>方案包含①响应时间</w:t>
      </w:r>
      <w:r>
        <w:rPr>
          <w:rFonts w:hint="eastAsia" w:ascii="宋体" w:hAnsi="宋体"/>
          <w:color w:val="auto"/>
          <w:szCs w:val="21"/>
          <w:highlight w:val="none"/>
          <w:lang w:eastAsia="zh-CN"/>
        </w:rPr>
        <w:t>、</w:t>
      </w:r>
      <w:r>
        <w:rPr>
          <w:rFonts w:hint="eastAsia" w:ascii="宋体" w:hAnsi="宋体"/>
          <w:color w:val="auto"/>
          <w:szCs w:val="21"/>
          <w:highlight w:val="none"/>
        </w:rPr>
        <w:t>②服务具体措施、③设有售后服务点</w:t>
      </w:r>
      <w:r>
        <w:rPr>
          <w:rFonts w:hint="eastAsia" w:ascii="宋体" w:hAnsi="宋体"/>
          <w:color w:val="auto"/>
          <w:szCs w:val="21"/>
          <w:highlight w:val="none"/>
          <w:lang w:eastAsia="zh-CN"/>
        </w:rPr>
        <w:t>、</w:t>
      </w:r>
      <w:r>
        <w:rPr>
          <w:rFonts w:hint="eastAsia" w:ascii="宋体" w:hAnsi="宋体"/>
          <w:color w:val="auto"/>
          <w:szCs w:val="21"/>
          <w:highlight w:val="none"/>
        </w:rPr>
        <w:t>④免费培训计划</w:t>
      </w:r>
      <w:r>
        <w:rPr>
          <w:rFonts w:hint="eastAsia" w:ascii="宋体" w:hAnsi="宋体"/>
          <w:color w:val="auto"/>
          <w:szCs w:val="21"/>
          <w:highlight w:val="none"/>
          <w:lang w:eastAsia="zh-CN"/>
        </w:rPr>
        <w:t>、</w:t>
      </w:r>
      <w:r>
        <w:rPr>
          <w:rFonts w:hint="eastAsia" w:ascii="宋体" w:hAnsi="宋体"/>
          <w:color w:val="auto"/>
          <w:szCs w:val="21"/>
          <w:highlight w:val="none"/>
        </w:rPr>
        <w:t>⑤售后维护应急预案</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3</w:t>
      </w:r>
      <w:r>
        <w:rPr>
          <w:rFonts w:hint="eastAsia" w:ascii="宋体" w:hAnsi="宋体"/>
          <w:color w:val="auto"/>
          <w:szCs w:val="21"/>
          <w:highlight w:val="none"/>
        </w:rPr>
        <w:t>分，满分</w:t>
      </w:r>
      <w:r>
        <w:rPr>
          <w:rFonts w:hint="eastAsia" w:ascii="宋体" w:hAnsi="宋体"/>
          <w:color w:val="auto"/>
          <w:szCs w:val="21"/>
          <w:highlight w:val="none"/>
          <w:lang w:val="en-US" w:eastAsia="zh-CN"/>
        </w:rPr>
        <w:t>5</w:t>
      </w:r>
      <w:r>
        <w:rPr>
          <w:rFonts w:hint="eastAsia" w:ascii="宋体" w:hAnsi="宋体"/>
          <w:color w:val="auto"/>
          <w:szCs w:val="21"/>
          <w:highlight w:val="none"/>
        </w:rPr>
        <w:t>分。</w:t>
      </w:r>
    </w:p>
    <w:p>
      <w:pPr>
        <w:widowControl/>
        <w:spacing w:line="500" w:lineRule="exact"/>
        <w:ind w:firstLine="422"/>
        <w:jc w:val="left"/>
        <w:outlineLvl w:val="1"/>
        <w:rPr>
          <w:rFonts w:hint="eastAsia"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2.商务分(10分)</w:t>
      </w:r>
    </w:p>
    <w:p>
      <w:pPr>
        <w:ind w:firstLine="420"/>
        <w:rPr>
          <w:rFonts w:hint="eastAsia" w:ascii="宋体" w:hAnsi="宋体" w:eastAsia="宋体" w:cs="宋体"/>
          <w:strike/>
          <w:color w:val="auto"/>
          <w:highlight w:val="none"/>
          <w:lang w:eastAsia="zh-CN"/>
        </w:rPr>
      </w:pPr>
      <w:r>
        <w:rPr>
          <w:rFonts w:hint="eastAsia" w:hAnsi="宋体" w:cs="宋体"/>
          <w:bCs/>
          <w:color w:val="auto"/>
          <w:highlight w:val="none"/>
          <w:lang w:val="en-US" w:eastAsia="zh-CN"/>
        </w:rPr>
        <w:t>投标人</w:t>
      </w:r>
      <w:r>
        <w:rPr>
          <w:rFonts w:hint="eastAsia" w:hAnsi="宋体" w:cs="宋体"/>
          <w:bCs/>
          <w:color w:val="auto"/>
          <w:highlight w:val="none"/>
        </w:rPr>
        <w:t>提供202</w:t>
      </w:r>
      <w:r>
        <w:rPr>
          <w:rFonts w:hint="eastAsia" w:hAnsi="宋体" w:cs="宋体"/>
          <w:bCs/>
          <w:color w:val="auto"/>
          <w:highlight w:val="none"/>
          <w:lang w:val="en-US" w:eastAsia="zh-CN"/>
        </w:rPr>
        <w:t>1</w:t>
      </w:r>
      <w:r>
        <w:rPr>
          <w:rFonts w:hint="eastAsia" w:hAnsi="宋体" w:cs="宋体"/>
          <w:bCs/>
          <w:color w:val="auto"/>
          <w:highlight w:val="none"/>
        </w:rPr>
        <w:t>年以来类似项目</w:t>
      </w:r>
      <w:r>
        <w:rPr>
          <w:rFonts w:hint="eastAsia" w:hAnsi="宋体" w:cs="宋体"/>
          <w:bCs/>
          <w:color w:val="auto"/>
          <w:highlight w:val="none"/>
          <w:lang w:val="en-US" w:eastAsia="zh-CN"/>
        </w:rPr>
        <w:t>合同</w:t>
      </w:r>
      <w:r>
        <w:rPr>
          <w:rFonts w:hint="eastAsia" w:hAnsi="宋体" w:cs="宋体"/>
          <w:bCs/>
          <w:color w:val="auto"/>
          <w:highlight w:val="none"/>
        </w:rPr>
        <w:t>（以有效的中标通知书或合同复印件为准,每个</w:t>
      </w:r>
      <w:r>
        <w:rPr>
          <w:rFonts w:hint="eastAsia" w:hAnsi="宋体" w:cs="宋体"/>
          <w:bCs/>
          <w:color w:val="auto"/>
          <w:sz w:val="21"/>
          <w:szCs w:val="21"/>
          <w:highlight w:val="none"/>
        </w:rPr>
        <w:t>得</w:t>
      </w:r>
      <w:r>
        <w:rPr>
          <w:rFonts w:hint="eastAsia" w:hAnsi="宋体" w:cs="宋体"/>
          <w:bCs/>
          <w:color w:val="auto"/>
          <w:sz w:val="21"/>
          <w:szCs w:val="21"/>
          <w:highlight w:val="none"/>
          <w:lang w:val="en-US" w:eastAsia="zh-CN"/>
        </w:rPr>
        <w:t>2</w:t>
      </w:r>
      <w:r>
        <w:rPr>
          <w:rFonts w:hint="eastAsia" w:hAnsi="宋体" w:cs="宋体"/>
          <w:bCs/>
          <w:color w:val="auto"/>
          <w:sz w:val="21"/>
          <w:szCs w:val="21"/>
          <w:highlight w:val="none"/>
        </w:rPr>
        <w:t>分，满分</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rPr>
        <w:t>分</w:t>
      </w:r>
      <w:r>
        <w:rPr>
          <w:rFonts w:hint="eastAsia" w:hAnsi="宋体" w:cs="宋体"/>
          <w:bCs/>
          <w:color w:val="auto"/>
          <w:sz w:val="21"/>
          <w:szCs w:val="21"/>
          <w:highlight w:val="none"/>
          <w:lang w:eastAsia="zh-CN"/>
        </w:rPr>
        <w:t>。</w:t>
      </w:r>
    </w:p>
    <w:p>
      <w:pPr>
        <w:spacing w:line="500" w:lineRule="exact"/>
        <w:ind w:firstLine="0" w:firstLineChars="0"/>
        <w:rPr>
          <w:rFonts w:hint="eastAsia" w:ascii="宋体" w:hAnsi="宋体"/>
          <w:b/>
          <w:bCs/>
        </w:rPr>
      </w:pPr>
      <w:r>
        <w:rPr>
          <w:rFonts w:hint="eastAsia" w:ascii="宋体" w:hAnsi="宋体"/>
          <w:b/>
          <w:bCs/>
        </w:rPr>
        <w:t>三、总得分=价格分+技术商务资信分</w:t>
      </w:r>
    </w:p>
    <w:p>
      <w:pPr>
        <w:spacing w:line="500" w:lineRule="exact"/>
        <w:ind w:firstLine="0" w:firstLineChars="0"/>
        <w:rPr>
          <w:rFonts w:hint="eastAsia" w:ascii="宋体" w:hAnsi="宋体"/>
          <w:b/>
          <w:bCs/>
        </w:rPr>
      </w:pPr>
      <w:r>
        <w:rPr>
          <w:rFonts w:hint="eastAsia" w:ascii="宋体" w:hAnsi="宋体"/>
          <w:b/>
          <w:bCs/>
        </w:rPr>
        <w:t>四、中标候选人推荐原则</w:t>
      </w:r>
    </w:p>
    <w:p>
      <w:pPr>
        <w:ind w:firstLine="420"/>
      </w:pPr>
      <w:r>
        <w:rPr>
          <w:rFonts w:ascii="宋体" w:hAnsi="宋体"/>
        </w:rPr>
        <w:tab/>
      </w:r>
      <w:r>
        <w:rPr>
          <w:rFonts w:hint="eastAsia" w:ascii="宋体" w:hAnsi="宋体"/>
        </w:rPr>
        <w:t>评标委员会将根据</w:t>
      </w:r>
      <w:r>
        <w:rPr>
          <w:rFonts w:ascii="宋体" w:hAnsi="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bookmarkEnd w:id="271"/>
    <w:p>
      <w:pPr>
        <w:ind w:firstLine="420"/>
      </w:pPr>
      <w:r>
        <w:br w:type="page"/>
      </w:r>
    </w:p>
    <w:p>
      <w:pPr>
        <w:spacing w:line="380" w:lineRule="exact"/>
        <w:ind w:firstLine="0" w:firstLineChars="0"/>
        <w:jc w:val="center"/>
        <w:rPr>
          <w:rFonts w:hint="eastAsia" w:ascii="宋体" w:hAnsi="宋体"/>
          <w:b/>
          <w:sz w:val="32"/>
          <w:szCs w:val="32"/>
        </w:rPr>
      </w:pPr>
      <w:r>
        <w:rPr>
          <w:rFonts w:hint="eastAsia" w:ascii="宋体" w:hAnsi="宋体"/>
          <w:b/>
          <w:sz w:val="32"/>
        </w:rPr>
        <w:t>评定标准和推荐原则</w:t>
      </w:r>
      <w:r>
        <w:rPr>
          <w:rFonts w:hint="eastAsia" w:ascii="宋体" w:hAnsi="宋体"/>
          <w:b/>
          <w:color w:val="000000"/>
          <w:sz w:val="32"/>
        </w:rPr>
        <w:t>（标项四）</w:t>
      </w:r>
    </w:p>
    <w:p>
      <w:pPr>
        <w:pStyle w:val="28"/>
        <w:spacing w:line="500" w:lineRule="exact"/>
        <w:ind w:firstLine="0" w:firstLineChars="0"/>
        <w:jc w:val="left"/>
        <w:rPr>
          <w:rFonts w:hint="eastAsia" w:hAnsi="宋体"/>
          <w:b/>
          <w:bCs/>
        </w:rPr>
      </w:pPr>
      <w:r>
        <w:rPr>
          <w:rFonts w:hint="eastAsia" w:hAnsi="宋体"/>
          <w:b/>
          <w:bCs/>
        </w:rPr>
        <w:t>一、评标原则</w:t>
      </w:r>
    </w:p>
    <w:p>
      <w:pPr>
        <w:pStyle w:val="28"/>
        <w:spacing w:line="500" w:lineRule="exact"/>
        <w:ind w:firstLine="210" w:firstLineChars="100"/>
        <w:jc w:val="left"/>
        <w:rPr>
          <w:rFonts w:hint="eastAsia" w:hAnsi="宋体"/>
        </w:rPr>
      </w:pPr>
      <w:r>
        <w:rPr>
          <w:rFonts w:hint="eastAsia" w:hAnsi="宋体"/>
        </w:rPr>
        <w:t>（一）评标依据：评标委员会将以招投标文件为评标依据，</w:t>
      </w:r>
      <w:r>
        <w:rPr>
          <w:rFonts w:hAnsi="宋体"/>
        </w:rPr>
        <w:t>对投标人的投标报价、</w:t>
      </w:r>
      <w:r>
        <w:rPr>
          <w:rFonts w:hint="eastAsia" w:hAnsi="宋体"/>
          <w:bCs/>
        </w:rPr>
        <w:t>技术商务资信</w:t>
      </w:r>
      <w:r>
        <w:rPr>
          <w:rFonts w:hAnsi="宋体"/>
        </w:rPr>
        <w:t>等方面内容</w:t>
      </w:r>
      <w:r>
        <w:rPr>
          <w:rFonts w:hint="eastAsia" w:hAnsi="宋体"/>
        </w:rPr>
        <w:t>进行评价。</w:t>
      </w:r>
    </w:p>
    <w:p>
      <w:pPr>
        <w:pStyle w:val="28"/>
        <w:spacing w:line="500" w:lineRule="exact"/>
        <w:ind w:firstLine="210" w:firstLineChars="100"/>
        <w:jc w:val="left"/>
        <w:rPr>
          <w:rFonts w:hint="eastAsia" w:hAnsi="宋体"/>
        </w:rPr>
      </w:pPr>
      <w:r>
        <w:rPr>
          <w:rFonts w:hint="eastAsia" w:hAnsi="宋体"/>
        </w:rPr>
        <w:t>（二）评标委员会组成：由采购人代表和评审专家组成，成员人数应当为5人以上单数，其中评审专家的人数不得少于成员总数的三分之二。</w:t>
      </w:r>
    </w:p>
    <w:p>
      <w:pPr>
        <w:pStyle w:val="28"/>
        <w:spacing w:line="500" w:lineRule="exact"/>
        <w:ind w:firstLine="210" w:firstLineChars="100"/>
        <w:jc w:val="left"/>
        <w:rPr>
          <w:rFonts w:hint="eastAsia" w:hAnsi="宋体"/>
        </w:rPr>
      </w:pPr>
      <w:r>
        <w:rPr>
          <w:rFonts w:hint="eastAsia" w:hAnsi="宋体"/>
        </w:rPr>
        <w:t>（三）评分方式：评标委员会各成员独立对每个投标人的投标文件进行评价。</w:t>
      </w:r>
    </w:p>
    <w:p>
      <w:pPr>
        <w:pStyle w:val="28"/>
        <w:spacing w:line="500" w:lineRule="exact"/>
        <w:ind w:firstLine="0" w:firstLineChars="0"/>
        <w:jc w:val="left"/>
        <w:rPr>
          <w:rFonts w:hint="eastAsia" w:hAnsi="宋体"/>
          <w:b/>
          <w:bCs/>
        </w:rPr>
      </w:pPr>
      <w:r>
        <w:rPr>
          <w:rFonts w:hint="eastAsia" w:hAnsi="宋体"/>
          <w:b/>
          <w:bCs/>
        </w:rPr>
        <w:t>二、评分细则</w:t>
      </w:r>
    </w:p>
    <w:p>
      <w:pPr>
        <w:spacing w:line="500" w:lineRule="exact"/>
        <w:ind w:firstLine="210" w:firstLineChars="100"/>
        <w:jc w:val="left"/>
        <w:rPr>
          <w:rFonts w:hint="eastAsia" w:ascii="宋体" w:hAnsi="宋体" w:cs="Courier New"/>
          <w:szCs w:val="21"/>
        </w:rPr>
      </w:pPr>
      <w:r>
        <w:rPr>
          <w:rFonts w:hint="eastAsia" w:ascii="宋体" w:hAnsi="宋体" w:cs="Courier New"/>
          <w:szCs w:val="21"/>
        </w:rPr>
        <w:t>综合评分法：对满足招标文件全部实质性要求的投标人投标文件</w:t>
      </w:r>
      <w:r>
        <w:rPr>
          <w:rFonts w:ascii="宋体" w:hAnsi="宋体" w:cs="Arial"/>
          <w:szCs w:val="21"/>
        </w:rPr>
        <w:t>按照评审因素的量化指标评审</w:t>
      </w:r>
      <w:r>
        <w:rPr>
          <w:rFonts w:hint="eastAsia" w:ascii="宋体" w:hAnsi="宋体" w:cs="Arial"/>
          <w:szCs w:val="21"/>
        </w:rPr>
        <w:t>并汇总(</w:t>
      </w:r>
      <w:r>
        <w:rPr>
          <w:rFonts w:hint="eastAsia" w:ascii="宋体" w:hAnsi="宋体" w:cs="Courier New"/>
          <w:szCs w:val="21"/>
        </w:rPr>
        <w:t>四舍五入取至百分位)。</w:t>
      </w:r>
    </w:p>
    <w:p>
      <w:pPr>
        <w:spacing w:line="500" w:lineRule="exact"/>
        <w:ind w:firstLine="211" w:firstLineChars="100"/>
        <w:rPr>
          <w:rFonts w:hint="eastAsia" w:ascii="宋体" w:hAnsi="宋体"/>
          <w:b/>
          <w:bCs/>
        </w:rPr>
      </w:pPr>
      <w:r>
        <w:rPr>
          <w:rFonts w:hint="eastAsia" w:ascii="宋体" w:hAnsi="宋体"/>
          <w:b/>
          <w:bCs/>
        </w:rPr>
        <w:t>（一）报价分（</w:t>
      </w:r>
      <w:r>
        <w:rPr>
          <w:rFonts w:hint="eastAsia" w:ascii="宋体" w:hAnsi="宋体"/>
          <w:b/>
          <w:bCs/>
          <w:lang w:val="en-US" w:eastAsia="zh-CN"/>
        </w:rPr>
        <w:t>6</w:t>
      </w:r>
      <w:r>
        <w:rPr>
          <w:rFonts w:hint="eastAsia" w:ascii="宋体" w:hAnsi="宋体"/>
          <w:b/>
          <w:bCs/>
        </w:rPr>
        <w:t>0分）</w:t>
      </w:r>
    </w:p>
    <w:p>
      <w:pPr>
        <w:spacing w:line="500" w:lineRule="exact"/>
        <w:ind w:firstLine="420"/>
        <w:jc w:val="left"/>
        <w:rPr>
          <w:rFonts w:hint="eastAsia" w:ascii="宋体" w:hAnsi="宋体" w:cs="Courier New"/>
          <w:szCs w:val="21"/>
        </w:rPr>
      </w:pPr>
      <w:r>
        <w:rPr>
          <w:rFonts w:hint="eastAsia" w:ascii="宋体" w:hAnsi="宋体" w:cs="Courier New"/>
          <w:szCs w:val="21"/>
        </w:rPr>
        <w:tab/>
      </w:r>
      <w:r>
        <w:rPr>
          <w:rFonts w:hint="eastAsia" w:ascii="宋体" w:hAnsi="宋体" w:cs="Courier New"/>
          <w:szCs w:val="21"/>
        </w:rPr>
        <w:t>1.投标人的价格分统一按照下列公式计算：</w:t>
      </w:r>
    </w:p>
    <w:p>
      <w:pPr>
        <w:spacing w:line="500" w:lineRule="exact"/>
        <w:ind w:firstLine="422"/>
        <w:jc w:val="left"/>
        <w:rPr>
          <w:rFonts w:hint="eastAsia" w:ascii="宋体" w:hAnsi="宋体" w:cs="Courier New"/>
          <w:b/>
          <w:szCs w:val="21"/>
        </w:rPr>
      </w:pPr>
      <w:r>
        <w:rPr>
          <w:rFonts w:hint="eastAsia" w:ascii="宋体" w:hAnsi="宋体" w:cs="Courier New"/>
          <w:b/>
          <w:szCs w:val="21"/>
        </w:rPr>
        <w:tab/>
      </w:r>
      <w:r>
        <w:rPr>
          <w:rFonts w:hint="eastAsia" w:ascii="宋体" w:hAnsi="宋体" w:cs="Courier New"/>
          <w:b/>
          <w:szCs w:val="21"/>
        </w:rPr>
        <w:t>某投标人价格分=（评标基准价/某投标人评标价）×</w:t>
      </w:r>
      <w:r>
        <w:rPr>
          <w:rFonts w:hint="eastAsia" w:ascii="宋体" w:hAnsi="宋体" w:cs="Courier New"/>
          <w:b/>
          <w:szCs w:val="21"/>
          <w:lang w:val="en-US" w:eastAsia="zh-CN"/>
        </w:rPr>
        <w:t>6</w:t>
      </w:r>
      <w:r>
        <w:rPr>
          <w:rFonts w:hint="eastAsia" w:ascii="宋体" w:hAnsi="宋体" w:cs="Courier New"/>
          <w:b/>
          <w:szCs w:val="21"/>
        </w:rPr>
        <w:t>0分</w:t>
      </w:r>
    </w:p>
    <w:p>
      <w:pPr>
        <w:widowControl/>
        <w:spacing w:line="500" w:lineRule="exact"/>
        <w:ind w:firstLine="420"/>
        <w:jc w:val="left"/>
        <w:rPr>
          <w:rFonts w:hint="eastAsia" w:ascii="宋体" w:hAnsi="宋体" w:cs="Courier New"/>
          <w:szCs w:val="21"/>
        </w:rPr>
      </w:pPr>
      <w:r>
        <w:rPr>
          <w:rFonts w:hint="eastAsia" w:ascii="宋体" w:hAnsi="宋体" w:cs="Courier New"/>
          <w:szCs w:val="21"/>
        </w:rPr>
        <w:t>注：</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提供的全部货物符合《政府采购促进中小企业发展管理办法》（财库﹝2020﹞46号）规定，并在投标文件中提供《中小企业声明函》（格式见第六章，投标人须对声明的真实性负责）。评审中将对小微型企业报价给予20%的扣除，扣除后的价格为评标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line="500" w:lineRule="exact"/>
        <w:ind w:firstLine="420"/>
        <w:jc w:val="left"/>
        <w:rPr>
          <w:rFonts w:hint="eastAsia" w:ascii="宋体" w:hAnsi="宋体" w:cs="Courier New"/>
          <w:szCs w:val="21"/>
        </w:rPr>
      </w:pPr>
      <w:r>
        <w:rPr>
          <w:rFonts w:hint="eastAsia" w:ascii="宋体" w:hAnsi="宋体" w:cs="Courier New"/>
        </w:rPr>
        <w:t>投标人获得政策性价格扣除的，评标价</w:t>
      </w:r>
      <w:r>
        <w:rPr>
          <w:rFonts w:ascii="宋体" w:hAnsi="宋体" w:cs="Courier New"/>
        </w:rPr>
        <w:t>=</w:t>
      </w:r>
      <w:r>
        <w:rPr>
          <w:rFonts w:hint="eastAsia" w:ascii="宋体" w:hAnsi="宋体" w:cs="Courier New"/>
        </w:rPr>
        <w:t>投标报价×（</w:t>
      </w:r>
      <w:r>
        <w:rPr>
          <w:rFonts w:ascii="宋体" w:hAnsi="宋体" w:cs="Courier New"/>
        </w:rPr>
        <w:t>1-</w:t>
      </w:r>
      <w:r>
        <w:rPr>
          <w:rFonts w:hint="eastAsia" w:ascii="宋体" w:hAnsi="宋体" w:cs="Courier New"/>
        </w:rPr>
        <w:t>2</w:t>
      </w:r>
      <w:r>
        <w:rPr>
          <w:rFonts w:ascii="宋体" w:hAnsi="宋体" w:cs="Courier New"/>
        </w:rPr>
        <w:t>0%</w:t>
      </w:r>
      <w:r>
        <w:rPr>
          <w:rFonts w:hint="eastAsia" w:ascii="宋体" w:hAnsi="宋体" w:cs="Courier New"/>
        </w:rPr>
        <w:t>），否则评标价</w:t>
      </w:r>
      <w:r>
        <w:rPr>
          <w:rFonts w:ascii="宋体" w:hAnsi="宋体" w:cs="Courier New"/>
        </w:rPr>
        <w:t>=</w:t>
      </w:r>
      <w:r>
        <w:rPr>
          <w:rFonts w:hint="eastAsia" w:ascii="宋体" w:hAnsi="宋体" w:cs="Courier New"/>
        </w:rPr>
        <w:t>投标报价。满足招标文件全部实质性要求的投标人最低评标价为评标基准价。评标价仅作评标时使用，中标金额＝投标报价。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numPr>
          <w:ilvl w:val="0"/>
          <w:numId w:val="0"/>
        </w:numPr>
        <w:spacing w:line="500" w:lineRule="exact"/>
        <w:rPr>
          <w:rFonts w:hint="eastAsia" w:ascii="宋体" w:hAnsi="宋体" w:eastAsia="宋体" w:cs="宋体"/>
          <w:b w:val="0"/>
          <w:bCs/>
          <w:color w:val="auto"/>
          <w:kern w:val="0"/>
          <w:szCs w:val="21"/>
          <w:highlight w:val="none"/>
        </w:rPr>
      </w:pPr>
      <w:r>
        <w:rPr>
          <w:rFonts w:hint="eastAsia" w:ascii="宋体" w:hAnsi="宋体" w:cs="宋体"/>
          <w:b/>
          <w:bCs/>
          <w:kern w:val="0"/>
          <w:szCs w:val="21"/>
          <w:lang w:eastAsia="zh-CN"/>
        </w:rPr>
        <w:t>（</w:t>
      </w:r>
      <w:r>
        <w:rPr>
          <w:rFonts w:hint="eastAsia" w:ascii="宋体" w:hAnsi="宋体" w:cs="宋体"/>
          <w:b/>
          <w:bCs/>
          <w:kern w:val="0"/>
          <w:szCs w:val="21"/>
          <w:lang w:val="en-US" w:eastAsia="zh-CN"/>
        </w:rPr>
        <w:t>二</w:t>
      </w:r>
      <w:r>
        <w:rPr>
          <w:rFonts w:hint="eastAsia" w:ascii="宋体" w:hAnsi="宋体" w:cs="宋体"/>
          <w:b/>
          <w:bCs/>
          <w:kern w:val="0"/>
          <w:szCs w:val="21"/>
          <w:lang w:eastAsia="zh-CN"/>
        </w:rPr>
        <w:t>）</w:t>
      </w:r>
      <w:r>
        <w:rPr>
          <w:rFonts w:hint="eastAsia" w:ascii="宋体" w:hAnsi="宋体" w:cs="宋体"/>
          <w:b/>
          <w:bCs/>
          <w:kern w:val="0"/>
          <w:szCs w:val="21"/>
        </w:rPr>
        <w:t>技术商务资信分</w:t>
      </w:r>
      <w:r>
        <w:rPr>
          <w:rFonts w:hint="eastAsia" w:ascii="宋体" w:hAnsi="宋体" w:cs="宋体"/>
          <w:b/>
          <w:bCs/>
          <w:spacing w:val="-12"/>
          <w:kern w:val="0"/>
          <w:szCs w:val="21"/>
        </w:rPr>
        <w:t>（</w:t>
      </w:r>
      <w:r>
        <w:rPr>
          <w:rFonts w:hint="eastAsia" w:ascii="宋体" w:hAnsi="宋体" w:cs="宋体"/>
          <w:b/>
          <w:bCs/>
          <w:spacing w:val="-12"/>
          <w:kern w:val="0"/>
          <w:szCs w:val="21"/>
          <w:lang w:val="en-US" w:eastAsia="zh-CN"/>
        </w:rPr>
        <w:t>4</w:t>
      </w:r>
      <w:r>
        <w:rPr>
          <w:rFonts w:hint="eastAsia" w:ascii="宋体" w:hAnsi="宋体" w:cs="宋体"/>
          <w:b/>
          <w:bCs/>
          <w:spacing w:val="-12"/>
          <w:kern w:val="0"/>
          <w:szCs w:val="21"/>
        </w:rPr>
        <w:t>0分）</w:t>
      </w:r>
    </w:p>
    <w:p>
      <w:pPr>
        <w:pStyle w:val="2"/>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1.技术分（30分）</w:t>
      </w:r>
    </w:p>
    <w:p>
      <w:pPr>
        <w:widowControl/>
        <w:spacing w:line="500" w:lineRule="exact"/>
        <w:ind w:firstLine="422"/>
        <w:jc w:val="left"/>
        <w:outlineLvl w:val="1"/>
      </w:pP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1</w:t>
      </w:r>
      <w:r>
        <w:rPr>
          <w:rFonts w:hint="eastAsia" w:ascii="宋体" w:hAnsi="宋体" w:cs="宋体"/>
          <w:b/>
          <w:bCs/>
          <w:color w:val="auto"/>
          <w:kern w:val="0"/>
          <w:szCs w:val="21"/>
          <w:highlight w:val="none"/>
          <w:lang w:bidi="ar"/>
        </w:rPr>
        <w:t>项目</w:t>
      </w:r>
      <w:r>
        <w:rPr>
          <w:rFonts w:hint="eastAsia" w:ascii="宋体" w:hAnsi="宋体" w:cs="宋体"/>
          <w:b/>
          <w:bCs/>
          <w:color w:val="auto"/>
          <w:kern w:val="0"/>
          <w:szCs w:val="21"/>
          <w:highlight w:val="none"/>
          <w:lang w:val="en-US" w:eastAsia="zh-CN" w:bidi="ar"/>
        </w:rPr>
        <w:t>技术</w:t>
      </w:r>
      <w:r>
        <w:rPr>
          <w:rFonts w:hint="eastAsia" w:ascii="宋体" w:hAnsi="宋体" w:cs="宋体"/>
          <w:b/>
          <w:bCs/>
          <w:color w:val="auto"/>
          <w:kern w:val="0"/>
          <w:szCs w:val="21"/>
          <w:highlight w:val="none"/>
          <w:lang w:bidi="ar"/>
        </w:rPr>
        <w:t>方案分(</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分)</w:t>
      </w:r>
      <w:bookmarkStart w:id="301" w:name="_GoBack"/>
      <w:bookmarkEnd w:id="301"/>
    </w:p>
    <w:p>
      <w:pPr>
        <w:spacing w:line="500" w:lineRule="exact"/>
        <w:ind w:firstLine="420"/>
        <w:rPr>
          <w:rFonts w:ascii="宋体" w:hAnsi="宋体"/>
          <w:color w:val="auto"/>
          <w:szCs w:val="21"/>
          <w:highlight w:val="none"/>
        </w:rPr>
      </w:pPr>
      <w:r>
        <w:rPr>
          <w:rFonts w:hint="eastAsia" w:ascii="宋体" w:hAnsi="宋体"/>
          <w:color w:val="auto"/>
          <w:szCs w:val="21"/>
          <w:highlight w:val="none"/>
        </w:rPr>
        <w:t>由评标委员会根据投标文件综合评定投标人项目</w:t>
      </w:r>
      <w:r>
        <w:rPr>
          <w:rFonts w:hint="eastAsia" w:ascii="宋体" w:hAnsi="宋体"/>
          <w:color w:val="auto"/>
          <w:szCs w:val="21"/>
          <w:highlight w:val="none"/>
          <w:lang w:val="en-US" w:eastAsia="zh-CN"/>
        </w:rPr>
        <w:t>技术</w:t>
      </w:r>
      <w:r>
        <w:rPr>
          <w:rFonts w:hint="eastAsia" w:ascii="宋体" w:hAnsi="宋体"/>
          <w:color w:val="auto"/>
          <w:szCs w:val="21"/>
          <w:highlight w:val="none"/>
        </w:rPr>
        <w:t>方案是否满足本项目需求并按以下规则进行评分：</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投标人提供的项目</w:t>
      </w:r>
      <w:r>
        <w:rPr>
          <w:rFonts w:hint="eastAsia" w:ascii="宋体" w:hAnsi="宋体"/>
          <w:color w:val="auto"/>
          <w:szCs w:val="21"/>
          <w:highlight w:val="none"/>
          <w:lang w:val="en-US" w:eastAsia="zh-CN"/>
        </w:rPr>
        <w:t>技术</w:t>
      </w:r>
      <w:r>
        <w:rPr>
          <w:rFonts w:hint="eastAsia" w:ascii="宋体" w:hAnsi="宋体"/>
          <w:color w:val="auto"/>
          <w:szCs w:val="21"/>
          <w:highlight w:val="none"/>
        </w:rPr>
        <w:t>方案包含①对项目的需求理解、②总体设计思路、③详细系统功能描述</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5</w:t>
      </w:r>
      <w:r>
        <w:rPr>
          <w:rFonts w:hint="eastAsia" w:ascii="宋体" w:hAnsi="宋体"/>
          <w:color w:val="auto"/>
          <w:szCs w:val="21"/>
          <w:highlight w:val="none"/>
        </w:rPr>
        <w:t>分，满分</w:t>
      </w:r>
      <w:r>
        <w:rPr>
          <w:rFonts w:hint="eastAsia" w:ascii="宋体" w:hAnsi="宋体"/>
          <w:color w:val="auto"/>
          <w:szCs w:val="21"/>
          <w:highlight w:val="none"/>
          <w:lang w:val="en-US" w:eastAsia="zh-CN"/>
        </w:rPr>
        <w:t>15</w:t>
      </w:r>
      <w:r>
        <w:rPr>
          <w:rFonts w:hint="eastAsia" w:ascii="宋体" w:hAnsi="宋体"/>
          <w:color w:val="auto"/>
          <w:szCs w:val="21"/>
          <w:highlight w:val="none"/>
        </w:rPr>
        <w:t>分。</w:t>
      </w:r>
    </w:p>
    <w:p>
      <w:pPr>
        <w:widowControl/>
        <w:spacing w:line="500" w:lineRule="exact"/>
        <w:ind w:firstLine="422"/>
        <w:jc w:val="left"/>
        <w:outlineLvl w:val="1"/>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2</w:t>
      </w:r>
      <w:r>
        <w:rPr>
          <w:rFonts w:hint="eastAsia" w:ascii="宋体" w:hAnsi="宋体" w:cs="宋体"/>
          <w:b/>
          <w:bCs/>
          <w:color w:val="auto"/>
          <w:kern w:val="0"/>
          <w:szCs w:val="21"/>
          <w:highlight w:val="none"/>
          <w:lang w:bidi="ar"/>
        </w:rPr>
        <w:t>项目</w:t>
      </w:r>
      <w:r>
        <w:rPr>
          <w:rFonts w:hint="eastAsia" w:ascii="宋体" w:hAnsi="宋体" w:cs="宋体"/>
          <w:b/>
          <w:bCs/>
          <w:color w:val="auto"/>
          <w:kern w:val="0"/>
          <w:szCs w:val="21"/>
          <w:highlight w:val="none"/>
          <w:lang w:val="en-US" w:eastAsia="zh-CN" w:bidi="ar"/>
        </w:rPr>
        <w:t>售后服务</w:t>
      </w:r>
      <w:r>
        <w:rPr>
          <w:rFonts w:hint="eastAsia" w:ascii="宋体" w:hAnsi="宋体" w:cs="宋体"/>
          <w:b/>
          <w:bCs/>
          <w:color w:val="auto"/>
          <w:kern w:val="0"/>
          <w:szCs w:val="21"/>
          <w:highlight w:val="none"/>
          <w:lang w:bidi="ar"/>
        </w:rPr>
        <w:t>方案(</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分)</w:t>
      </w:r>
    </w:p>
    <w:p>
      <w:pPr>
        <w:spacing w:line="500" w:lineRule="exact"/>
        <w:ind w:firstLine="420"/>
        <w:rPr>
          <w:rFonts w:ascii="宋体" w:hAnsi="宋体"/>
          <w:color w:val="auto"/>
          <w:szCs w:val="21"/>
          <w:highlight w:val="none"/>
        </w:rPr>
      </w:pPr>
      <w:r>
        <w:rPr>
          <w:rFonts w:hint="eastAsia" w:ascii="宋体" w:hAnsi="宋体"/>
          <w:color w:val="auto"/>
          <w:szCs w:val="21"/>
          <w:highlight w:val="none"/>
        </w:rPr>
        <w:t>由评标委员会根据投标文件综合评定投标人项目</w:t>
      </w:r>
      <w:r>
        <w:rPr>
          <w:rFonts w:hint="eastAsia" w:ascii="宋体" w:hAnsi="宋体"/>
          <w:color w:val="auto"/>
          <w:szCs w:val="21"/>
          <w:highlight w:val="none"/>
          <w:lang w:val="en-US" w:eastAsia="zh-CN"/>
        </w:rPr>
        <w:t>售后服务</w:t>
      </w:r>
      <w:r>
        <w:rPr>
          <w:rFonts w:hint="eastAsia" w:ascii="宋体" w:hAnsi="宋体"/>
          <w:color w:val="auto"/>
          <w:szCs w:val="21"/>
          <w:highlight w:val="none"/>
        </w:rPr>
        <w:t>方案是否满足本项目需求并按以下规则进行评分：</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投标人提供的项目</w:t>
      </w:r>
      <w:r>
        <w:rPr>
          <w:rFonts w:hint="eastAsia" w:ascii="宋体" w:hAnsi="宋体"/>
          <w:color w:val="auto"/>
          <w:szCs w:val="21"/>
          <w:highlight w:val="none"/>
          <w:lang w:val="en-US" w:eastAsia="zh-CN"/>
        </w:rPr>
        <w:t>售后服务</w:t>
      </w:r>
      <w:r>
        <w:rPr>
          <w:rFonts w:hint="eastAsia" w:ascii="宋体" w:hAnsi="宋体"/>
          <w:color w:val="auto"/>
          <w:szCs w:val="21"/>
          <w:highlight w:val="none"/>
        </w:rPr>
        <w:t>方案包含①响应时间</w:t>
      </w:r>
      <w:r>
        <w:rPr>
          <w:rFonts w:hint="eastAsia" w:ascii="宋体" w:hAnsi="宋体"/>
          <w:color w:val="auto"/>
          <w:szCs w:val="21"/>
          <w:highlight w:val="none"/>
          <w:lang w:eastAsia="zh-CN"/>
        </w:rPr>
        <w:t>、</w:t>
      </w:r>
      <w:r>
        <w:rPr>
          <w:rFonts w:hint="eastAsia" w:ascii="宋体" w:hAnsi="宋体"/>
          <w:color w:val="auto"/>
          <w:szCs w:val="21"/>
          <w:highlight w:val="none"/>
        </w:rPr>
        <w:t>②服务具体措施、③设有售后服务点</w:t>
      </w:r>
      <w:r>
        <w:rPr>
          <w:rFonts w:hint="eastAsia" w:ascii="宋体" w:hAnsi="宋体"/>
          <w:color w:val="auto"/>
          <w:szCs w:val="21"/>
          <w:highlight w:val="none"/>
          <w:lang w:eastAsia="zh-CN"/>
        </w:rPr>
        <w:t>、</w:t>
      </w:r>
      <w:r>
        <w:rPr>
          <w:rFonts w:hint="eastAsia" w:ascii="宋体" w:hAnsi="宋体"/>
          <w:color w:val="auto"/>
          <w:szCs w:val="21"/>
          <w:highlight w:val="none"/>
        </w:rPr>
        <w:t>④免费培训计划</w:t>
      </w:r>
      <w:r>
        <w:rPr>
          <w:rFonts w:hint="eastAsia" w:ascii="宋体" w:hAnsi="宋体"/>
          <w:color w:val="auto"/>
          <w:szCs w:val="21"/>
          <w:highlight w:val="none"/>
          <w:lang w:eastAsia="zh-CN"/>
        </w:rPr>
        <w:t>、</w:t>
      </w:r>
      <w:r>
        <w:rPr>
          <w:rFonts w:hint="eastAsia" w:ascii="宋体" w:hAnsi="宋体"/>
          <w:color w:val="auto"/>
          <w:szCs w:val="21"/>
          <w:highlight w:val="none"/>
        </w:rPr>
        <w:t>⑤售后维护应急预案</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3</w:t>
      </w:r>
      <w:r>
        <w:rPr>
          <w:rFonts w:hint="eastAsia" w:ascii="宋体" w:hAnsi="宋体"/>
          <w:color w:val="auto"/>
          <w:szCs w:val="21"/>
          <w:highlight w:val="none"/>
        </w:rPr>
        <w:t>分，满分</w:t>
      </w:r>
      <w:r>
        <w:rPr>
          <w:rFonts w:hint="eastAsia" w:ascii="宋体" w:hAnsi="宋体"/>
          <w:color w:val="auto"/>
          <w:szCs w:val="21"/>
          <w:highlight w:val="none"/>
          <w:lang w:val="en-US" w:eastAsia="zh-CN"/>
        </w:rPr>
        <w:t>5</w:t>
      </w:r>
      <w:r>
        <w:rPr>
          <w:rFonts w:hint="eastAsia" w:ascii="宋体" w:hAnsi="宋体"/>
          <w:color w:val="auto"/>
          <w:szCs w:val="21"/>
          <w:highlight w:val="none"/>
        </w:rPr>
        <w:t>分。</w:t>
      </w:r>
    </w:p>
    <w:p>
      <w:pPr>
        <w:widowControl/>
        <w:spacing w:line="500" w:lineRule="exact"/>
        <w:ind w:firstLine="422"/>
        <w:jc w:val="left"/>
        <w:outlineLvl w:val="1"/>
        <w:rPr>
          <w:rFonts w:hint="eastAsia"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2.商务分(10分)</w:t>
      </w:r>
    </w:p>
    <w:p>
      <w:pPr>
        <w:ind w:firstLine="420"/>
        <w:rPr>
          <w:rFonts w:hint="eastAsia" w:ascii="宋体" w:hAnsi="宋体" w:eastAsia="宋体" w:cs="宋体"/>
          <w:strike/>
          <w:color w:val="auto"/>
          <w:highlight w:val="none"/>
          <w:lang w:eastAsia="zh-CN"/>
        </w:rPr>
      </w:pPr>
      <w:r>
        <w:rPr>
          <w:rFonts w:hint="eastAsia" w:hAnsi="宋体" w:cs="宋体"/>
          <w:bCs/>
          <w:color w:val="auto"/>
          <w:highlight w:val="none"/>
          <w:lang w:val="en-US" w:eastAsia="zh-CN"/>
        </w:rPr>
        <w:t>投标人</w:t>
      </w:r>
      <w:r>
        <w:rPr>
          <w:rFonts w:hint="eastAsia" w:hAnsi="宋体" w:cs="宋体"/>
          <w:bCs/>
          <w:color w:val="auto"/>
          <w:highlight w:val="none"/>
        </w:rPr>
        <w:t>提供202</w:t>
      </w:r>
      <w:r>
        <w:rPr>
          <w:rFonts w:hint="eastAsia" w:hAnsi="宋体" w:cs="宋体"/>
          <w:bCs/>
          <w:color w:val="auto"/>
          <w:highlight w:val="none"/>
          <w:lang w:val="en-US" w:eastAsia="zh-CN"/>
        </w:rPr>
        <w:t>1</w:t>
      </w:r>
      <w:r>
        <w:rPr>
          <w:rFonts w:hint="eastAsia" w:hAnsi="宋体" w:cs="宋体"/>
          <w:bCs/>
          <w:color w:val="auto"/>
          <w:highlight w:val="none"/>
        </w:rPr>
        <w:t>年以来类似项目</w:t>
      </w:r>
      <w:r>
        <w:rPr>
          <w:rFonts w:hint="eastAsia" w:hAnsi="宋体" w:cs="宋体"/>
          <w:bCs/>
          <w:color w:val="auto"/>
          <w:highlight w:val="none"/>
          <w:lang w:val="en-US" w:eastAsia="zh-CN"/>
        </w:rPr>
        <w:t>合同</w:t>
      </w:r>
      <w:r>
        <w:rPr>
          <w:rFonts w:hint="eastAsia" w:hAnsi="宋体" w:cs="宋体"/>
          <w:bCs/>
          <w:color w:val="auto"/>
          <w:highlight w:val="none"/>
        </w:rPr>
        <w:t>（以有效的中标通知书或合同复印件为准,每个</w:t>
      </w:r>
      <w:r>
        <w:rPr>
          <w:rFonts w:hint="eastAsia" w:hAnsi="宋体" w:cs="宋体"/>
          <w:bCs/>
          <w:color w:val="auto"/>
          <w:sz w:val="21"/>
          <w:szCs w:val="21"/>
          <w:highlight w:val="none"/>
        </w:rPr>
        <w:t>得</w:t>
      </w:r>
      <w:r>
        <w:rPr>
          <w:rFonts w:hint="eastAsia" w:hAnsi="宋体" w:cs="宋体"/>
          <w:bCs/>
          <w:color w:val="auto"/>
          <w:sz w:val="21"/>
          <w:szCs w:val="21"/>
          <w:highlight w:val="none"/>
          <w:lang w:val="en-US" w:eastAsia="zh-CN"/>
        </w:rPr>
        <w:t>2</w:t>
      </w:r>
      <w:r>
        <w:rPr>
          <w:rFonts w:hint="eastAsia" w:hAnsi="宋体" w:cs="宋体"/>
          <w:bCs/>
          <w:color w:val="auto"/>
          <w:sz w:val="21"/>
          <w:szCs w:val="21"/>
          <w:highlight w:val="none"/>
        </w:rPr>
        <w:t>分，满分</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rPr>
        <w:t>分</w:t>
      </w:r>
      <w:r>
        <w:rPr>
          <w:rFonts w:hint="eastAsia" w:hAnsi="宋体" w:cs="宋体"/>
          <w:bCs/>
          <w:color w:val="auto"/>
          <w:sz w:val="21"/>
          <w:szCs w:val="21"/>
          <w:highlight w:val="none"/>
          <w:lang w:eastAsia="zh-CN"/>
        </w:rPr>
        <w:t>。</w:t>
      </w:r>
    </w:p>
    <w:p>
      <w:pPr>
        <w:spacing w:line="500" w:lineRule="exact"/>
        <w:ind w:firstLine="0" w:firstLineChars="0"/>
        <w:rPr>
          <w:rFonts w:hint="eastAsia" w:ascii="宋体" w:hAnsi="宋体"/>
          <w:b/>
          <w:bCs/>
        </w:rPr>
      </w:pPr>
      <w:r>
        <w:rPr>
          <w:rFonts w:hint="eastAsia" w:ascii="宋体" w:hAnsi="宋体"/>
          <w:b/>
          <w:bCs/>
        </w:rPr>
        <w:t>三、总得分=价格分+技术商务资信分</w:t>
      </w:r>
    </w:p>
    <w:p>
      <w:pPr>
        <w:spacing w:line="500" w:lineRule="exact"/>
        <w:ind w:firstLine="0" w:firstLineChars="0"/>
        <w:rPr>
          <w:rFonts w:hint="eastAsia" w:ascii="宋体" w:hAnsi="宋体"/>
          <w:b/>
          <w:bCs/>
        </w:rPr>
      </w:pPr>
      <w:r>
        <w:rPr>
          <w:rFonts w:hint="eastAsia" w:ascii="宋体" w:hAnsi="宋体"/>
          <w:b/>
          <w:bCs/>
        </w:rPr>
        <w:t>四、中标候选人推荐原则</w:t>
      </w:r>
    </w:p>
    <w:p>
      <w:pPr>
        <w:ind w:firstLine="420"/>
      </w:pPr>
      <w:r>
        <w:rPr>
          <w:rFonts w:ascii="宋体" w:hAnsi="宋体"/>
        </w:rPr>
        <w:tab/>
      </w:r>
      <w:r>
        <w:rPr>
          <w:rFonts w:hint="eastAsia" w:ascii="宋体" w:hAnsi="宋体"/>
        </w:rPr>
        <w:t>评标委员会将根据</w:t>
      </w:r>
      <w:r>
        <w:rPr>
          <w:rFonts w:ascii="宋体" w:hAnsi="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br w:type="page"/>
      </w:r>
    </w:p>
    <w:p>
      <w:pPr>
        <w:pStyle w:val="61"/>
        <w:ind w:firstLine="420"/>
      </w:pPr>
    </w:p>
    <w:p>
      <w:pPr>
        <w:pStyle w:val="61"/>
        <w:ind w:firstLine="42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pStyle w:val="46"/>
        <w:ind w:left="0" w:leftChars="0" w:right="0" w:rightChars="0" w:firstLine="0" w:firstLineChars="0"/>
        <w:jc w:val="center"/>
      </w:pPr>
      <w:bookmarkStart w:id="272" w:name="_Toc91512287"/>
      <w:r>
        <w:rPr>
          <w:rFonts w:hint="eastAsia"/>
        </w:rPr>
        <w:t xml:space="preserve">第五章 </w:t>
      </w:r>
      <w:r>
        <w:t xml:space="preserve"> </w:t>
      </w:r>
      <w:r>
        <w:rPr>
          <w:rFonts w:hint="eastAsia"/>
        </w:rPr>
        <w:t>政府采购合同主要条款</w:t>
      </w:r>
      <w:bookmarkEnd w:id="272"/>
    </w:p>
    <w:p>
      <w:pPr>
        <w:ind w:firstLine="480"/>
        <w:jc w:val="center"/>
        <w:rPr>
          <w:sz w:val="24"/>
        </w:rPr>
      </w:pPr>
      <w:bookmarkStart w:id="273" w:name="_Toc389638324"/>
      <w:r>
        <w:rPr>
          <w:rFonts w:hint="eastAsia"/>
          <w:sz w:val="24"/>
        </w:rPr>
        <w:t>（拟签订文本）</w:t>
      </w:r>
      <w:bookmarkEnd w:id="273"/>
    </w:p>
    <w:p>
      <w:pPr>
        <w:pStyle w:val="28"/>
        <w:ind w:firstLine="0" w:firstLineChars="0"/>
        <w:jc w:val="left"/>
      </w:pPr>
      <w:r>
        <w:br w:type="page"/>
      </w:r>
    </w:p>
    <w:p>
      <w:pPr>
        <w:spacing w:line="600" w:lineRule="exact"/>
        <w:ind w:firstLine="420"/>
        <w:jc w:val="center"/>
      </w:pPr>
    </w:p>
    <w:p>
      <w:pPr>
        <w:spacing w:line="600" w:lineRule="exact"/>
        <w:ind w:firstLine="884"/>
        <w:jc w:val="center"/>
        <w:rPr>
          <w:rFonts w:hint="eastAsia" w:ascii="宋体" w:hAnsi="宋体" w:cs="宋体"/>
          <w:b/>
          <w:bCs/>
          <w:spacing w:val="-20"/>
          <w:kern w:val="44"/>
          <w:sz w:val="48"/>
          <w:szCs w:val="48"/>
        </w:rPr>
      </w:pPr>
      <w:r>
        <w:rPr>
          <w:rFonts w:hint="eastAsia" w:ascii="宋体" w:hAnsi="宋体" w:cs="宋体"/>
          <w:b/>
          <w:bCs/>
          <w:spacing w:val="-20"/>
          <w:kern w:val="44"/>
          <w:sz w:val="48"/>
          <w:szCs w:val="48"/>
          <w:u w:val="single"/>
        </w:rPr>
        <w:t xml:space="preserve">           </w:t>
      </w:r>
      <w:r>
        <w:rPr>
          <w:rFonts w:hint="eastAsia" w:ascii="宋体" w:hAnsi="宋体" w:cs="宋体"/>
          <w:b/>
          <w:bCs/>
          <w:spacing w:val="-20"/>
          <w:kern w:val="44"/>
          <w:sz w:val="48"/>
          <w:szCs w:val="48"/>
        </w:rPr>
        <w:t>政府采购货物买卖合同</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spacing w:line="360" w:lineRule="auto"/>
        <w:ind w:left="420" w:leftChars="200" w:firstLine="1600" w:firstLineChars="5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Pr>
        <w:ind w:firstLine="420"/>
      </w:pPr>
    </w:p>
    <w:p>
      <w:pPr>
        <w:ind w:firstLine="880"/>
      </w:pPr>
      <w:r>
        <w:rPr>
          <w:rFonts w:eastAsia="黑体"/>
          <w:sz w:val="44"/>
          <w:szCs w:val="44"/>
        </w:rPr>
        <w:br w:type="page"/>
      </w:r>
    </w:p>
    <w:p>
      <w:pPr>
        <w:spacing w:line="460" w:lineRule="exact"/>
        <w:ind w:firstLine="880"/>
        <w:jc w:val="center"/>
        <w:rPr>
          <w:rFonts w:eastAsia="黑体"/>
          <w:sz w:val="44"/>
          <w:szCs w:val="44"/>
        </w:rPr>
      </w:pPr>
      <w:r>
        <w:rPr>
          <w:rFonts w:hint="eastAsia" w:eastAsia="黑体"/>
          <w:sz w:val="44"/>
          <w:szCs w:val="44"/>
        </w:rPr>
        <w:t>使 用 说 明</w:t>
      </w:r>
    </w:p>
    <w:p>
      <w:pPr>
        <w:ind w:firstLine="420"/>
      </w:pP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1.本合同标准文本适用于购买现成货物的采购项目，不包括需要供应商定制开发、创新研发的货物采购项目。</w:t>
      </w:r>
    </w:p>
    <w:p>
      <w:pPr>
        <w:ind w:firstLine="560"/>
        <w:rPr>
          <w:rFonts w:eastAsia="黑体"/>
          <w:sz w:val="28"/>
          <w:szCs w:val="28"/>
        </w:rPr>
      </w:pPr>
      <w:r>
        <w:rPr>
          <w:rFonts w:hint="eastAsia" w:ascii="仿宋_GB2312" w:hAnsi="仿宋_GB2312" w:eastAsia="仿宋_GB2312" w:cs="仿宋_GB2312"/>
          <w:sz w:val="28"/>
          <w:szCs w:val="28"/>
        </w:rPr>
        <w:t>2.本合同标准文本为政府采购货物买卖合同编制提供参考，可以结合采购项目具体情况，对文本作必要的调整修订后使用。</w:t>
      </w: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3.本合同标准文本各条款中，如涉及填写多家供应商、制造商，多种采购标的、分包主要内容等信息的，可根据采购项目具体情况添加信息项。</w:t>
      </w:r>
    </w:p>
    <w:p>
      <w:pPr>
        <w:ind w:firstLine="0" w:firstLineChars="0"/>
        <w:rPr>
          <w:rFonts w:hint="eastAsia" w:ascii="仿宋_GB2312" w:hAnsi="仿宋_GB2312" w:eastAsia="仿宋_GB2312" w:cs="仿宋_GB2312"/>
          <w:sz w:val="28"/>
          <w:szCs w:val="28"/>
        </w:rPr>
      </w:pPr>
      <w:bookmarkStart w:id="274" w:name="_Toc22209"/>
    </w:p>
    <w:p>
      <w:pPr>
        <w:keepNext/>
        <w:keepLines/>
        <w:adjustRightInd w:val="0"/>
        <w:snapToGrid w:val="0"/>
        <w:ind w:firstLine="560"/>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274"/>
    </w:p>
    <w:p>
      <w:pPr>
        <w:keepNext/>
        <w:keepLines/>
        <w:adjustRightInd w:val="0"/>
        <w:snapToGrid w:val="0"/>
        <w:ind w:firstLine="560"/>
        <w:jc w:val="center"/>
        <w:outlineLvl w:val="1"/>
        <w:rPr>
          <w:rFonts w:hint="eastAsia" w:ascii="黑体" w:hAnsi="华文中宋" w:eastAsia="黑体"/>
          <w:sz w:val="28"/>
          <w:szCs w:val="28"/>
        </w:rPr>
      </w:pPr>
    </w:p>
    <w:p>
      <w:pPr>
        <w:adjustRightInd w:val="0"/>
        <w:snapToGrid w:val="0"/>
        <w:spacing w:line="420" w:lineRule="exact"/>
        <w:ind w:firstLine="420"/>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 xml:space="preserve">（采购人、受采购人委托签订合同的单位或采购文件约定的合同甲方） </w:t>
      </w:r>
    </w:p>
    <w:p>
      <w:pPr>
        <w:adjustRightInd w:val="0"/>
        <w:snapToGrid w:val="0"/>
        <w:spacing w:line="420" w:lineRule="exact"/>
        <w:ind w:firstLine="420"/>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20" w:lineRule="exact"/>
        <w:ind w:firstLine="420"/>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20" w:lineRule="exact"/>
        <w:ind w:firstLine="420"/>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20" w:lineRule="exact"/>
        <w:ind w:firstLine="420"/>
      </w:pPr>
    </w:p>
    <w:p>
      <w:pPr>
        <w:adjustRightInd w:val="0"/>
        <w:snapToGrid w:val="0"/>
        <w:spacing w:line="420" w:lineRule="exact"/>
        <w:ind w:firstLine="42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11"/>
        </w:numPr>
        <w:adjustRightInd w:val="0"/>
        <w:snapToGrid w:val="0"/>
        <w:spacing w:line="420" w:lineRule="exact"/>
        <w:ind w:firstLine="422"/>
        <w:rPr>
          <w:rFonts w:hint="eastAsia" w:ascii="宋体" w:hAnsi="宋体"/>
          <w:b/>
          <w:szCs w:val="21"/>
        </w:rPr>
      </w:pPr>
      <w:r>
        <w:rPr>
          <w:rFonts w:hint="eastAsia" w:ascii="宋体" w:hAnsi="宋体"/>
          <w:b/>
          <w:szCs w:val="21"/>
        </w:rPr>
        <w:t>项目信息</w:t>
      </w:r>
    </w:p>
    <w:p>
      <w:pPr>
        <w:adjustRightInd w:val="0"/>
        <w:snapToGrid w:val="0"/>
        <w:spacing w:line="420" w:lineRule="exact"/>
        <w:ind w:firstLine="210" w:firstLineChars="100"/>
        <w:rPr>
          <w:rFonts w:hint="eastAsia" w:ascii="宋体" w:hAnsi="宋体"/>
          <w:szCs w:val="21"/>
          <w:u w:val="single"/>
        </w:rPr>
      </w:pPr>
      <w:r>
        <w:rPr>
          <w:rFonts w:hint="eastAsia" w:ascii="宋体" w:hAnsi="宋体"/>
          <w:szCs w:val="21"/>
        </w:rPr>
        <w:t>（1）采购项目名称：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tabs>
          <w:tab w:val="left" w:pos="999"/>
        </w:tabs>
        <w:adjustRightInd w:val="0"/>
        <w:snapToGrid w:val="0"/>
        <w:spacing w:line="420" w:lineRule="exact"/>
        <w:ind w:firstLine="0" w:firstLineChars="0"/>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pPr>
        <w:adjustRightInd w:val="0"/>
        <w:snapToGrid w:val="0"/>
        <w:spacing w:line="420" w:lineRule="exact"/>
        <w:ind w:firstLine="199" w:firstLineChars="95"/>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20" w:lineRule="exact"/>
        <w:ind w:firstLine="199" w:firstLineChars="95"/>
        <w:rPr>
          <w:rFonts w:hint="eastAsia" w:ascii="宋体" w:hAnsi="宋体"/>
          <w:szCs w:val="21"/>
        </w:rPr>
      </w:pPr>
      <w:r>
        <w:rPr>
          <w:rFonts w:hint="eastAsia" w:ascii="宋体" w:hAnsi="宋体"/>
          <w:szCs w:val="21"/>
        </w:rPr>
        <w:t>（3）项目内容：</w:t>
      </w:r>
    </w:p>
    <w:p>
      <w:pPr>
        <w:adjustRightInd w:val="0"/>
        <w:snapToGrid w:val="0"/>
        <w:spacing w:line="420" w:lineRule="exact"/>
        <w:ind w:firstLine="42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420" w:lineRule="exact"/>
        <w:ind w:firstLine="42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pPr>
        <w:adjustRightInd w:val="0"/>
        <w:snapToGrid w:val="0"/>
        <w:spacing w:line="420" w:lineRule="exact"/>
        <w:ind w:firstLine="735" w:firstLineChars="350"/>
        <w:rPr>
          <w:rFonts w:hint="eastAsia" w:ascii="宋体" w:hAnsi="宋体" w:cs="宋体"/>
          <w:szCs w:val="21"/>
          <w:lang w:val="en"/>
        </w:rPr>
      </w:pPr>
      <w:r>
        <w:rPr>
          <w:rFonts w:hint="eastAsia" w:ascii="宋体" w:hAnsi="宋体"/>
          <w:szCs w:val="21"/>
        </w:rPr>
        <w:t>采购标的的技术要求、商务要求具体见附件。</w:t>
      </w:r>
    </w:p>
    <w:p>
      <w:pPr>
        <w:adjustRightInd w:val="0"/>
        <w:snapToGrid w:val="0"/>
        <w:spacing w:line="420" w:lineRule="exact"/>
        <w:ind w:firstLine="735" w:firstLineChars="3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adjustRightInd w:val="0"/>
        <w:snapToGrid w:val="0"/>
        <w:spacing w:line="420" w:lineRule="exact"/>
        <w:ind w:firstLine="42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pPr>
        <w:adjustRightInd w:val="0"/>
        <w:snapToGrid w:val="0"/>
        <w:spacing w:line="420" w:lineRule="exact"/>
        <w:ind w:firstLine="42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pPr>
        <w:widowControl/>
        <w:autoSpaceDE w:val="0"/>
        <w:autoSpaceDN w:val="0"/>
        <w:adjustRightInd w:val="0"/>
        <w:spacing w:line="420" w:lineRule="exact"/>
        <w:ind w:firstLine="42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关键部件</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autoSpaceDE w:val="0"/>
        <w:autoSpaceDN w:val="0"/>
        <w:adjustRightInd w:val="0"/>
        <w:spacing w:line="420" w:lineRule="exact"/>
        <w:ind w:firstLine="420"/>
        <w:jc w:val="left"/>
        <w:rPr>
          <w:rFonts w:hint="eastAsia" w:ascii="宋体" w:hAnsi="宋体" w:cs="宋体"/>
          <w:kern w:val="0"/>
          <w:szCs w:val="21"/>
        </w:rPr>
      </w:pPr>
      <w:r>
        <w:rPr>
          <w:rFonts w:hint="eastAsia" w:ascii="宋体" w:hAnsi="宋体" w:cs="宋体"/>
          <w:kern w:val="0"/>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autoSpaceDE w:val="0"/>
        <w:autoSpaceDN w:val="0"/>
        <w:adjustRightInd w:val="0"/>
        <w:snapToGrid w:val="0"/>
        <w:spacing w:line="420" w:lineRule="exact"/>
        <w:ind w:firstLine="0" w:firstLineChars="0"/>
        <w:jc w:val="left"/>
        <w:rPr>
          <w:rFonts w:hint="eastAsia" w:ascii="宋体" w:hAnsi="宋体" w:cs="宋体"/>
          <w:kern w:val="0"/>
          <w:szCs w:val="21"/>
        </w:rPr>
      </w:pPr>
      <w:r>
        <w:rPr>
          <w:rFonts w:hint="eastAsia" w:ascii="宋体" w:hAnsi="宋体" w:cs="宋体"/>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pPr>
        <w:widowControl/>
        <w:autoSpaceDE w:val="0"/>
        <w:autoSpaceDN w:val="0"/>
        <w:adjustRightInd w:val="0"/>
        <w:snapToGrid w:val="0"/>
        <w:spacing w:line="420" w:lineRule="exact"/>
        <w:ind w:firstLine="0" w:firstLineChars="0"/>
        <w:jc w:val="left"/>
        <w:rPr>
          <w:rFonts w:hint="eastAsia" w:ascii="宋体" w:hAnsi="宋体" w:cs="宋体"/>
          <w:kern w:val="0"/>
          <w:szCs w:val="21"/>
        </w:rPr>
      </w:pPr>
      <w:r>
        <w:rPr>
          <w:rFonts w:hint="eastAsia" w:ascii="宋体" w:hAnsi="宋体" w:cs="宋体"/>
          <w:kern w:val="0"/>
          <w:szCs w:val="21"/>
        </w:rPr>
        <w:t xml:space="preserve">         </w:t>
      </w:r>
      <w:r>
        <w:rPr>
          <w:rFonts w:hint="eastAsia" w:ascii="汉仪书宋二S" w:hAnsi="汉仪书宋二S" w:eastAsia="汉仪书宋二S" w:cs="汉仪书宋二S"/>
          <w:kern w:val="0"/>
          <w:szCs w:val="21"/>
        </w:rPr>
        <w:t>②</w:t>
      </w:r>
      <w:r>
        <w:rPr>
          <w:rFonts w:hint="eastAsia" w:ascii="宋体" w:hAnsi="宋体" w:cs="宋体"/>
          <w:kern w:val="0"/>
          <w:szCs w:val="21"/>
        </w:rPr>
        <w:t>涉及车辆采购，请填写是否属于新能源汽车：</w:t>
      </w:r>
    </w:p>
    <w:p>
      <w:pPr>
        <w:widowControl/>
        <w:autoSpaceDE w:val="0"/>
        <w:autoSpaceDN w:val="0"/>
        <w:adjustRightInd w:val="0"/>
        <w:snapToGrid w:val="0"/>
        <w:spacing w:line="420" w:lineRule="exact"/>
        <w:ind w:firstLine="0" w:firstLineChars="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是，《政府采购品目分类目录》底级品目名称：</w:t>
      </w:r>
      <w:r>
        <w:rPr>
          <w:rFonts w:hint="eastAsia" w:ascii="宋体" w:hAnsi="宋体" w:cs="宋体"/>
          <w:kern w:val="0"/>
          <w:szCs w:val="21"/>
          <w:u w:val="single"/>
        </w:rPr>
        <w:t xml:space="preserve">      </w:t>
      </w:r>
      <w:r>
        <w:rPr>
          <w:rFonts w:hint="eastAsia" w:ascii="宋体" w:hAnsi="宋体" w:cs="宋体"/>
          <w:kern w:val="0"/>
          <w:szCs w:val="21"/>
        </w:rPr>
        <w:t xml:space="preserve"> 数量：</w:t>
      </w:r>
      <w:r>
        <w:rPr>
          <w:rFonts w:hint="eastAsia" w:ascii="宋体" w:hAnsi="宋体" w:cs="宋体"/>
          <w:kern w:val="0"/>
          <w:szCs w:val="21"/>
          <w:u w:val="single"/>
        </w:rPr>
        <w:t xml:space="preserve">     </w:t>
      </w:r>
      <w:r>
        <w:rPr>
          <w:rFonts w:hint="eastAsia" w:ascii="宋体" w:hAnsi="宋体" w:cs="宋体"/>
          <w:kern w:val="0"/>
          <w:szCs w:val="21"/>
        </w:rPr>
        <w:t xml:space="preserve"> 金额：</w:t>
      </w:r>
      <w:r>
        <w:rPr>
          <w:rFonts w:hint="eastAsia" w:ascii="宋体" w:hAnsi="宋体" w:cs="宋体"/>
          <w:kern w:val="0"/>
          <w:szCs w:val="21"/>
          <w:u w:val="single"/>
        </w:rPr>
        <w:t xml:space="preserve">          </w:t>
      </w:r>
    </w:p>
    <w:p>
      <w:pPr>
        <w:widowControl/>
        <w:autoSpaceDE w:val="0"/>
        <w:autoSpaceDN w:val="0"/>
        <w:adjustRightInd w:val="0"/>
        <w:snapToGrid w:val="0"/>
        <w:spacing w:line="420" w:lineRule="exact"/>
        <w:ind w:firstLine="0" w:firstLineChars="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否</w:t>
      </w:r>
    </w:p>
    <w:p>
      <w:pPr>
        <w:widowControl/>
        <w:autoSpaceDE w:val="0"/>
        <w:autoSpaceDN w:val="0"/>
        <w:adjustRightInd w:val="0"/>
        <w:snapToGrid w:val="0"/>
        <w:spacing w:line="420" w:lineRule="exact"/>
        <w:ind w:firstLine="0" w:firstLineChars="0"/>
        <w:jc w:val="left"/>
        <w:rPr>
          <w:rFonts w:hint="eastAsia" w:ascii="宋体" w:hAnsi="宋体" w:cs="宋体"/>
          <w:kern w:val="0"/>
          <w:szCs w:val="21"/>
        </w:rPr>
      </w:pPr>
      <w:r>
        <w:rPr>
          <w:rFonts w:hint="eastAsia" w:ascii="宋体" w:hAnsi="宋体" w:cs="宋体"/>
          <w:kern w:val="0"/>
          <w:szCs w:val="21"/>
        </w:rPr>
        <w:t xml:space="preserve">   （</w:t>
      </w:r>
      <w:r>
        <w:rPr>
          <w:rFonts w:ascii="宋体" w:hAnsi="宋体" w:cs="宋体"/>
          <w:kern w:val="0"/>
          <w:szCs w:val="21"/>
          <w:lang w:val="en"/>
        </w:rPr>
        <w:t>4</w:t>
      </w:r>
      <w:r>
        <w:rPr>
          <w:rFonts w:hint="eastAsia" w:ascii="宋体" w:hAnsi="宋体" w:cs="宋体"/>
          <w:kern w:val="0"/>
          <w:szCs w:val="21"/>
        </w:rPr>
        <w:t>）政府采购组织形式：</w:t>
      </w:r>
      <w:r>
        <w:rPr>
          <w:rFonts w:hint="eastAsia" w:ascii="宋体" w:hAnsi="宋体" w:cs="宋体"/>
          <w:kern w:val="0"/>
          <w:szCs w:val="21"/>
        </w:rPr>
        <w:sym w:font="Wingdings" w:char="00A8"/>
      </w:r>
      <w:r>
        <w:rPr>
          <w:rFonts w:hint="eastAsia" w:ascii="宋体" w:hAnsi="宋体" w:cs="宋体"/>
          <w:kern w:val="0"/>
          <w:szCs w:val="21"/>
        </w:rPr>
        <w:t xml:space="preserve">政府集中采购  </w:t>
      </w:r>
      <w:r>
        <w:rPr>
          <w:rFonts w:hint="eastAsia" w:ascii="宋体" w:hAnsi="宋体" w:cs="宋体"/>
          <w:kern w:val="0"/>
          <w:szCs w:val="21"/>
        </w:rPr>
        <w:sym w:font="Wingdings" w:char="00A8"/>
      </w:r>
      <w:r>
        <w:rPr>
          <w:rFonts w:hint="eastAsia" w:ascii="宋体" w:hAnsi="宋体" w:cs="宋体"/>
          <w:kern w:val="0"/>
          <w:szCs w:val="21"/>
        </w:rPr>
        <w:t xml:space="preserve">部门集中采购  </w:t>
      </w:r>
      <w:r>
        <w:rPr>
          <w:rFonts w:hint="eastAsia" w:ascii="宋体" w:hAnsi="宋体" w:cs="宋体"/>
          <w:kern w:val="0"/>
          <w:szCs w:val="21"/>
        </w:rPr>
        <w:sym w:font="Wingdings" w:char="00A8"/>
      </w:r>
      <w:r>
        <w:rPr>
          <w:rFonts w:hint="eastAsia" w:ascii="宋体" w:hAnsi="宋体" w:cs="宋体"/>
          <w:kern w:val="0"/>
          <w:szCs w:val="21"/>
        </w:rPr>
        <w:t>分散采购</w:t>
      </w:r>
    </w:p>
    <w:p>
      <w:pPr>
        <w:widowControl/>
        <w:autoSpaceDE w:val="0"/>
        <w:autoSpaceDN w:val="0"/>
        <w:adjustRightInd w:val="0"/>
        <w:snapToGrid w:val="0"/>
        <w:spacing w:line="420" w:lineRule="exact"/>
        <w:ind w:firstLine="283" w:firstLineChars="135"/>
        <w:jc w:val="left"/>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lang w:val="en"/>
        </w:rPr>
        <w:t>5</w:t>
      </w:r>
      <w:r>
        <w:rPr>
          <w:rFonts w:hint="eastAsia" w:ascii="宋体" w:hAnsi="宋体" w:cs="宋体"/>
          <w:kern w:val="0"/>
          <w:szCs w:val="21"/>
        </w:rPr>
        <w:t>）政府采购方式：</w:t>
      </w:r>
      <w:r>
        <w:rPr>
          <w:rFonts w:hint="eastAsia" w:ascii="宋体" w:hAnsi="宋体" w:cs="宋体"/>
          <w:kern w:val="0"/>
          <w:szCs w:val="21"/>
        </w:rPr>
        <w:sym w:font="Wingdings" w:char="00A8"/>
      </w:r>
      <w:r>
        <w:rPr>
          <w:rFonts w:hint="eastAsia" w:ascii="宋体" w:hAnsi="宋体" w:cs="宋体"/>
          <w:kern w:val="0"/>
          <w:szCs w:val="21"/>
        </w:rPr>
        <w:t xml:space="preserve">公开招标 </w:t>
      </w:r>
      <w:r>
        <w:rPr>
          <w:rFonts w:hint="eastAsia" w:ascii="宋体" w:hAnsi="宋体" w:cs="宋体"/>
          <w:kern w:val="0"/>
          <w:szCs w:val="21"/>
        </w:rPr>
        <w:sym w:font="Wingdings" w:char="00A8"/>
      </w:r>
      <w:r>
        <w:rPr>
          <w:rFonts w:hint="eastAsia" w:ascii="宋体" w:hAnsi="宋体" w:cs="宋体"/>
          <w:kern w:val="0"/>
          <w:szCs w:val="21"/>
        </w:rPr>
        <w:t xml:space="preserve">邀请招标 </w:t>
      </w:r>
      <w:r>
        <w:rPr>
          <w:rFonts w:hint="eastAsia" w:ascii="宋体" w:hAnsi="宋体" w:cs="宋体"/>
          <w:kern w:val="0"/>
          <w:szCs w:val="21"/>
        </w:rPr>
        <w:sym w:font="Wingdings" w:char="00A8"/>
      </w:r>
      <w:r>
        <w:rPr>
          <w:rFonts w:hint="eastAsia" w:ascii="宋体" w:hAnsi="宋体" w:cs="宋体"/>
          <w:kern w:val="0"/>
          <w:szCs w:val="21"/>
        </w:rPr>
        <w:t xml:space="preserve">竞争性谈判 </w:t>
      </w:r>
      <w:r>
        <w:rPr>
          <w:rFonts w:hint="eastAsia" w:ascii="宋体" w:hAnsi="宋体" w:cs="宋体"/>
          <w:kern w:val="0"/>
          <w:szCs w:val="21"/>
        </w:rPr>
        <w:sym w:font="Wingdings" w:char="00A8"/>
      </w:r>
      <w:r>
        <w:rPr>
          <w:rFonts w:hint="eastAsia" w:ascii="宋体" w:hAnsi="宋体" w:cs="宋体"/>
          <w:kern w:val="0"/>
          <w:szCs w:val="21"/>
        </w:rPr>
        <w:t>竞争性磋商</w:t>
      </w:r>
    </w:p>
    <w:p>
      <w:pPr>
        <w:widowControl/>
        <w:autoSpaceDE w:val="0"/>
        <w:autoSpaceDN w:val="0"/>
        <w:adjustRightInd w:val="0"/>
        <w:snapToGrid w:val="0"/>
        <w:spacing w:line="420" w:lineRule="exact"/>
        <w:ind w:firstLine="420" w:firstLineChars="0"/>
        <w:jc w:val="left"/>
        <w:rPr>
          <w:rFonts w:hint="eastAsia" w:ascii="宋体" w:hAnsi="宋体" w:cs="宋体"/>
          <w:kern w:val="0"/>
          <w:szCs w:val="21"/>
          <w:u w:val="single"/>
        </w:rPr>
      </w:pPr>
      <w:r>
        <w:rPr>
          <w:rFonts w:hint="eastAsia" w:ascii="宋体" w:hAnsi="宋体" w:eastAsia="华文楷体" w:cs="宋体"/>
          <w:kern w:val="0"/>
          <w:sz w:val="22"/>
          <w:szCs w:val="21"/>
        </w:rPr>
        <w:t xml:space="preserve">                 </w:t>
      </w:r>
      <w:r>
        <w:rPr>
          <w:rFonts w:hint="eastAsia" w:ascii="宋体" w:hAnsi="宋体" w:cs="宋体"/>
          <w:kern w:val="0"/>
          <w:szCs w:val="21"/>
        </w:rPr>
        <w:sym w:font="Wingdings" w:char="00A8"/>
      </w:r>
      <w:r>
        <w:rPr>
          <w:rFonts w:hint="eastAsia" w:ascii="宋体" w:hAnsi="宋体" w:cs="宋体"/>
          <w:kern w:val="0"/>
          <w:szCs w:val="21"/>
        </w:rPr>
        <w:t xml:space="preserve">询价 </w:t>
      </w:r>
      <w:r>
        <w:rPr>
          <w:rFonts w:hint="eastAsia" w:ascii="宋体" w:hAnsi="宋体" w:cs="宋体"/>
          <w:kern w:val="0"/>
          <w:szCs w:val="21"/>
        </w:rPr>
        <w:sym w:font="Wingdings" w:char="00A8"/>
      </w:r>
      <w:r>
        <w:rPr>
          <w:rFonts w:hint="eastAsia" w:ascii="宋体" w:hAnsi="宋体" w:cs="宋体"/>
          <w:kern w:val="0"/>
          <w:szCs w:val="21"/>
        </w:rPr>
        <w:t xml:space="preserve">单一来源 </w:t>
      </w:r>
      <w:r>
        <w:rPr>
          <w:rFonts w:hint="eastAsia" w:ascii="宋体" w:hAnsi="宋体" w:cs="宋体"/>
          <w:kern w:val="0"/>
          <w:szCs w:val="21"/>
        </w:rPr>
        <w:sym w:font="Wingdings" w:char="00A8"/>
      </w:r>
      <w:r>
        <w:rPr>
          <w:rFonts w:hint="eastAsia" w:ascii="宋体" w:hAnsi="宋体" w:cs="宋体"/>
          <w:kern w:val="0"/>
          <w:szCs w:val="21"/>
        </w:rPr>
        <w:t xml:space="preserve">框架协议 </w:t>
      </w:r>
      <w:r>
        <w:rPr>
          <w:rFonts w:hint="eastAsia" w:ascii="宋体" w:hAnsi="宋体" w:cs="宋体"/>
          <w:kern w:val="0"/>
          <w:szCs w:val="21"/>
        </w:rPr>
        <w:sym w:font="Wingdings" w:char="00A8"/>
      </w:r>
      <w:r>
        <w:rPr>
          <w:rFonts w:hint="eastAsia" w:ascii="宋体" w:hAnsi="宋体" w:cs="宋体"/>
          <w:kern w:val="0"/>
          <w:szCs w:val="21"/>
        </w:rPr>
        <w:t>其他：</w:t>
      </w:r>
      <w:r>
        <w:rPr>
          <w:rFonts w:hint="eastAsia" w:ascii="宋体" w:hAnsi="宋体" w:cs="宋体"/>
          <w:kern w:val="0"/>
          <w:szCs w:val="21"/>
          <w:u w:val="single"/>
        </w:rPr>
        <w:t xml:space="preserve">          </w:t>
      </w:r>
    </w:p>
    <w:p>
      <w:pPr>
        <w:widowControl/>
        <w:autoSpaceDE w:val="0"/>
        <w:autoSpaceDN w:val="0"/>
        <w:adjustRightInd w:val="0"/>
        <w:snapToGrid w:val="0"/>
        <w:spacing w:line="420" w:lineRule="exact"/>
        <w:ind w:firstLine="283" w:firstLineChars="135"/>
        <w:jc w:val="left"/>
        <w:rPr>
          <w:rFonts w:hint="eastAsia" w:ascii="宋体" w:hAnsi="宋体"/>
          <w:szCs w:val="21"/>
        </w:rPr>
      </w:pPr>
      <w:r>
        <w:rPr>
          <w:rFonts w:hint="eastAsia" w:ascii="宋体" w:hAnsi="宋体" w:cs="华文楷体"/>
          <w:kern w:val="0"/>
          <w:szCs w:val="21"/>
        </w:rPr>
        <w:t>（6）</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pPr>
        <w:adjustRightInd w:val="0"/>
        <w:snapToGrid w:val="0"/>
        <w:spacing w:line="420" w:lineRule="exact"/>
        <w:ind w:firstLine="0" w:firstLineChars="0"/>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0" w:firstLineChars="0"/>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0" w:firstLineChars="0"/>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20" w:lineRule="exact"/>
        <w:ind w:firstLine="420"/>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409" w:firstLineChars="195"/>
        <w:rPr>
          <w:rFonts w:hint="eastAsia" w:ascii="宋体" w:hAnsi="宋体"/>
          <w:szCs w:val="21"/>
        </w:rPr>
      </w:pPr>
      <w:r>
        <w:rPr>
          <w:rFonts w:hint="eastAsia" w:ascii="宋体" w:hAnsi="宋体"/>
          <w:szCs w:val="21"/>
        </w:rPr>
        <w:t>(</w:t>
      </w:r>
      <w:r>
        <w:rPr>
          <w:rFonts w:ascii="宋体" w:hAnsi="宋体"/>
          <w:szCs w:val="21"/>
          <w:lang w:val="en"/>
        </w:rPr>
        <w:t>7</w:t>
      </w:r>
      <w:r>
        <w:rPr>
          <w:rFonts w:ascii="宋体" w:hAnsi="宋体"/>
          <w:szCs w:val="21"/>
        </w:rPr>
        <w:t>）</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840" w:firstLineChars="400"/>
        <w:rPr>
          <w:rFonts w:hint="eastAsia" w:ascii="宋体" w:hAnsi="宋体"/>
          <w:szCs w:val="21"/>
          <w:u w:val="single"/>
        </w:rPr>
      </w:pPr>
      <w:r>
        <w:rPr>
          <w:rFonts w:hint="eastAsia" w:ascii="宋体" w:hAnsi="宋体"/>
          <w:szCs w:val="21"/>
        </w:rPr>
        <w:t>分包主要内容：</w:t>
      </w:r>
      <w:r>
        <w:rPr>
          <w:rFonts w:hint="eastAsia" w:ascii="宋体" w:hAnsi="宋体"/>
          <w:szCs w:val="21"/>
          <w:u w:val="single"/>
        </w:rPr>
        <w:t xml:space="preserve">                                                         </w:t>
      </w:r>
    </w:p>
    <w:p>
      <w:pPr>
        <w:adjustRightInd w:val="0"/>
        <w:snapToGrid w:val="0"/>
        <w:spacing w:line="420" w:lineRule="exact"/>
        <w:ind w:firstLine="840" w:firstLineChars="400"/>
        <w:rPr>
          <w:rFonts w:hint="eastAsia" w:ascii="宋体" w:hAnsi="宋体"/>
          <w:szCs w:val="21"/>
        </w:rPr>
      </w:pPr>
      <w:r>
        <w:rPr>
          <w:rFonts w:hint="eastAsia" w:ascii="宋体" w:hAnsi="宋体"/>
          <w:szCs w:val="21"/>
        </w:rPr>
        <w:t>分包供应商/制造商名称（如供应商和制造商不同，请分别填写）：</w:t>
      </w:r>
    </w:p>
    <w:p>
      <w:pPr>
        <w:adjustRightInd w:val="0"/>
        <w:snapToGrid w:val="0"/>
        <w:spacing w:line="42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20" w:lineRule="exact"/>
        <w:ind w:firstLine="840" w:firstLineChars="400"/>
        <w:rPr>
          <w:rFonts w:hint="eastAsia" w:ascii="宋体" w:hAnsi="宋体"/>
          <w:szCs w:val="21"/>
        </w:rPr>
      </w:pPr>
      <w:r>
        <w:rPr>
          <w:rFonts w:hint="eastAsia" w:ascii="宋体" w:hAnsi="宋体"/>
          <w:szCs w:val="21"/>
        </w:rPr>
        <w:t>分包供应商/制造商类型（如果供应商和制造商不同，只填写制造商类型）：</w:t>
      </w:r>
    </w:p>
    <w:p>
      <w:pPr>
        <w:adjustRightInd w:val="0"/>
        <w:snapToGrid w:val="0"/>
        <w:spacing w:line="420" w:lineRule="exact"/>
        <w:ind w:firstLine="840" w:firstLineChars="400"/>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p>
    <w:p>
      <w:pPr>
        <w:adjustRightInd w:val="0"/>
        <w:snapToGrid w:val="0"/>
        <w:spacing w:line="420" w:lineRule="exact"/>
        <w:ind w:firstLine="735" w:firstLineChars="35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adjustRightInd w:val="0"/>
        <w:snapToGrid w:val="0"/>
        <w:spacing w:line="420" w:lineRule="exact"/>
        <w:ind w:firstLine="0" w:firstLineChars="0"/>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widowControl/>
        <w:tabs>
          <w:tab w:val="left" w:pos="1340"/>
        </w:tabs>
        <w:autoSpaceDE w:val="0"/>
        <w:autoSpaceDN w:val="0"/>
        <w:adjustRightInd w:val="0"/>
        <w:spacing w:line="420" w:lineRule="exact"/>
        <w:ind w:firstLine="420"/>
        <w:jc w:val="left"/>
        <w:rPr>
          <w:rFonts w:hint="eastAsia" w:ascii="宋体" w:hAnsi="宋体" w:cs="宋体"/>
          <w:kern w:val="0"/>
          <w:szCs w:val="21"/>
          <w:u w:val="single"/>
        </w:rPr>
      </w:pPr>
      <w:r>
        <w:rPr>
          <w:rFonts w:hint="eastAsia" w:ascii="宋体" w:hAnsi="宋体" w:cs="宋体"/>
          <w:kern w:val="0"/>
          <w:szCs w:val="21"/>
        </w:rPr>
        <w:t xml:space="preserve">    外商投资企业类型：</w:t>
      </w:r>
      <w:r>
        <w:rPr>
          <w:rFonts w:hint="eastAsia" w:ascii="宋体" w:hAnsi="宋体" w:cs="宋体"/>
          <w:iCs/>
          <w:kern w:val="0"/>
          <w:szCs w:val="21"/>
        </w:rPr>
        <w:sym w:font="Wingdings" w:char="00A8"/>
      </w:r>
      <w:r>
        <w:rPr>
          <w:rFonts w:hint="eastAsia" w:ascii="宋体" w:hAnsi="宋体" w:cs="宋体"/>
          <w:kern w:val="0"/>
          <w:szCs w:val="21"/>
        </w:rPr>
        <w:t xml:space="preserve">全部由外国投资者投资  </w:t>
      </w:r>
      <w:r>
        <w:rPr>
          <w:rFonts w:hint="eastAsia" w:ascii="宋体" w:hAnsi="宋体" w:cs="宋体"/>
          <w:iCs/>
          <w:kern w:val="0"/>
          <w:szCs w:val="21"/>
        </w:rPr>
        <w:sym w:font="Wingdings" w:char="00A8"/>
      </w:r>
      <w:r>
        <w:rPr>
          <w:rFonts w:hint="eastAsia" w:ascii="宋体" w:hAnsi="宋体" w:cs="宋体"/>
          <w:iCs/>
          <w:kern w:val="0"/>
          <w:szCs w:val="21"/>
        </w:rPr>
        <w:t>部分由外国投资者投资</w:t>
      </w:r>
    </w:p>
    <w:p>
      <w:pPr>
        <w:adjustRightInd w:val="0"/>
        <w:snapToGrid w:val="0"/>
        <w:spacing w:line="420" w:lineRule="exact"/>
        <w:ind w:firstLine="304" w:firstLineChars="145"/>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pPr>
        <w:adjustRightInd w:val="0"/>
        <w:snapToGrid w:val="0"/>
        <w:spacing w:line="420" w:lineRule="exact"/>
        <w:ind w:firstLine="735" w:firstLineChars="35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adjustRightInd w:val="0"/>
        <w:snapToGrid w:val="0"/>
        <w:spacing w:line="420" w:lineRule="exact"/>
        <w:ind w:firstLine="840" w:firstLineChars="400"/>
        <w:rPr>
          <w:rFonts w:hint="eastAsia" w:ascii="宋体" w:hAnsi="宋体"/>
          <w:szCs w:val="21"/>
        </w:rPr>
      </w:pPr>
      <w:r>
        <w:rPr>
          <w:rFonts w:hint="eastAsia" w:ascii="宋体" w:hAnsi="宋体" w:cs="宋体"/>
          <w:szCs w:val="21"/>
        </w:rPr>
        <w:t>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p>
    <w:p>
      <w:pPr>
        <w:adjustRightInd w:val="0"/>
        <w:snapToGrid w:val="0"/>
        <w:spacing w:line="420" w:lineRule="exact"/>
        <w:ind w:firstLine="840" w:firstLineChars="400"/>
        <w:rPr>
          <w:rFonts w:hint="eastAsia" w:ascii="宋体" w:hAnsi="宋体"/>
          <w:szCs w:val="21"/>
        </w:rPr>
      </w:pPr>
      <w:r>
        <w:rPr>
          <w:rFonts w:hint="eastAsia" w:ascii="宋体" w:hAnsi="宋体"/>
          <w:szCs w:val="21"/>
        </w:rPr>
        <w:sym w:font="Wingdings" w:char="00A8"/>
      </w:r>
      <w:r>
        <w:rPr>
          <w:rFonts w:hint="eastAsia" w:ascii="宋体" w:hAnsi="宋体"/>
          <w:szCs w:val="21"/>
        </w:rPr>
        <w:t>否</w:t>
      </w:r>
    </w:p>
    <w:p>
      <w:pPr>
        <w:tabs>
          <w:tab w:val="left" w:pos="740"/>
        </w:tabs>
        <w:adjustRightInd w:val="0"/>
        <w:snapToGrid w:val="0"/>
        <w:spacing w:line="420" w:lineRule="exact"/>
        <w:ind w:firstLine="0" w:firstLineChars="0"/>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pPr>
        <w:tabs>
          <w:tab w:val="left" w:pos="740"/>
        </w:tabs>
        <w:adjustRightInd w:val="0"/>
        <w:snapToGrid w:val="0"/>
        <w:spacing w:line="420" w:lineRule="exact"/>
        <w:ind w:firstLine="0" w:firstLineChars="0"/>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p>
    <w:p>
      <w:pPr>
        <w:tabs>
          <w:tab w:val="left" w:pos="740"/>
        </w:tabs>
        <w:adjustRightInd w:val="0"/>
        <w:snapToGrid w:val="0"/>
        <w:spacing w:line="420" w:lineRule="exact"/>
        <w:ind w:firstLine="0" w:firstLineChars="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tabs>
          <w:tab w:val="left" w:pos="740"/>
        </w:tabs>
        <w:adjustRightInd w:val="0"/>
        <w:snapToGrid w:val="0"/>
        <w:spacing w:line="420" w:lineRule="exact"/>
        <w:ind w:firstLine="0" w:firstLineChars="0"/>
        <w:rPr>
          <w:rFonts w:hint="eastAsia" w:ascii="宋体" w:hAnsi="宋体"/>
          <w:szCs w:val="21"/>
        </w:rPr>
      </w:pPr>
      <w:r>
        <w:rPr>
          <w:rFonts w:hint="eastAsia" w:ascii="宋体" w:hAnsi="宋体"/>
          <w:szCs w:val="21"/>
        </w:rPr>
        <w:t xml:space="preserve">        是否涉及环境标志产品：</w:t>
      </w:r>
    </w:p>
    <w:p>
      <w:pPr>
        <w:tabs>
          <w:tab w:val="left" w:pos="740"/>
        </w:tabs>
        <w:adjustRightInd w:val="0"/>
        <w:snapToGrid w:val="0"/>
        <w:spacing w:line="420" w:lineRule="exact"/>
        <w:ind w:firstLine="0" w:firstLineChars="0"/>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p>
    <w:p>
      <w:pPr>
        <w:tabs>
          <w:tab w:val="left" w:pos="740"/>
        </w:tabs>
        <w:adjustRightInd w:val="0"/>
        <w:snapToGrid w:val="0"/>
        <w:spacing w:line="420" w:lineRule="exact"/>
        <w:ind w:firstLine="0" w:firstLineChars="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widowControl/>
        <w:autoSpaceDE w:val="0"/>
        <w:autoSpaceDN w:val="0"/>
        <w:adjustRightInd w:val="0"/>
        <w:snapToGrid w:val="0"/>
        <w:spacing w:line="420" w:lineRule="exact"/>
        <w:ind w:firstLine="0" w:firstLineChars="0"/>
        <w:jc w:val="left"/>
        <w:rPr>
          <w:rFonts w:hint="eastAsia" w:ascii="宋体" w:hAnsi="宋体"/>
          <w:szCs w:val="21"/>
        </w:rPr>
      </w:pPr>
      <w:r>
        <w:rPr>
          <w:rFonts w:hint="eastAsia" w:ascii="宋体" w:hAnsi="宋体" w:eastAsia="华文楷体" w:cs="华文楷体"/>
          <w:kern w:val="0"/>
          <w:szCs w:val="21"/>
        </w:rPr>
        <w:t xml:space="preserve">        </w:t>
      </w:r>
      <w:r>
        <w:rPr>
          <w:rFonts w:hint="eastAsia" w:ascii="宋体" w:hAnsi="宋体"/>
          <w:szCs w:val="21"/>
        </w:rPr>
        <w:t xml:space="preserve">是否涉及绿色产品： </w:t>
      </w:r>
    </w:p>
    <w:p>
      <w:pPr>
        <w:widowControl/>
        <w:autoSpaceDE w:val="0"/>
        <w:autoSpaceDN w:val="0"/>
        <w:adjustRightInd w:val="0"/>
        <w:spacing w:line="420" w:lineRule="exact"/>
        <w:ind w:firstLine="420"/>
        <w:jc w:val="left"/>
        <w:rPr>
          <w:rFonts w:hint="eastAsia" w:ascii="宋体" w:hAnsi="宋体" w:cs="华文楷体"/>
          <w:kern w:val="0"/>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kern w:val="0"/>
          <w:sz w:val="22"/>
          <w:szCs w:val="21"/>
          <w:u w:val="single"/>
        </w:rPr>
        <w:t xml:space="preserve">                      </w:t>
      </w:r>
    </w:p>
    <w:p>
      <w:pPr>
        <w:tabs>
          <w:tab w:val="left" w:pos="740"/>
        </w:tabs>
        <w:adjustRightInd w:val="0"/>
        <w:snapToGrid w:val="0"/>
        <w:spacing w:line="420" w:lineRule="exact"/>
        <w:ind w:firstLine="0" w:firstLineChars="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adjustRightInd w:val="0"/>
        <w:snapToGrid w:val="0"/>
        <w:spacing w:line="420" w:lineRule="exact"/>
        <w:ind w:firstLine="315" w:firstLineChars="150"/>
        <w:rPr>
          <w:rFonts w:hint="eastAsia" w:ascii="宋体" w:hAnsi="宋体"/>
          <w:szCs w:val="21"/>
        </w:rPr>
      </w:pPr>
      <w:r>
        <w:rPr>
          <w:rFonts w:hint="eastAsia" w:ascii="宋体" w:hAnsi="宋体"/>
          <w:szCs w:val="21"/>
        </w:rPr>
        <w:t>（1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11"/>
        </w:numPr>
        <w:adjustRightInd w:val="0"/>
        <w:snapToGrid w:val="0"/>
        <w:spacing w:line="420" w:lineRule="exact"/>
        <w:ind w:firstLine="422"/>
        <w:rPr>
          <w:rFonts w:hint="eastAsia" w:ascii="宋体" w:hAnsi="宋体"/>
          <w:b/>
          <w:szCs w:val="21"/>
        </w:rPr>
      </w:pPr>
      <w:r>
        <w:rPr>
          <w:rFonts w:hint="eastAsia" w:ascii="宋体" w:hAnsi="宋体"/>
          <w:b/>
          <w:szCs w:val="21"/>
        </w:rPr>
        <w:t>合同金额</w:t>
      </w:r>
    </w:p>
    <w:p>
      <w:pPr>
        <w:adjustRightInd w:val="0"/>
        <w:snapToGrid w:val="0"/>
        <w:spacing w:line="420" w:lineRule="exact"/>
        <w:ind w:firstLine="42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20" w:lineRule="exact"/>
        <w:ind w:firstLine="420"/>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ind w:firstLine="420"/>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20" w:lineRule="exact"/>
        <w:ind w:firstLine="420"/>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ind w:firstLine="420"/>
        <w:rPr>
          <w:rFonts w:hint="eastAsia" w:ascii="宋体" w:hAnsi="宋体"/>
          <w:szCs w:val="21"/>
        </w:rPr>
      </w:pPr>
      <w:r>
        <w:rPr>
          <w:rFonts w:hint="eastAsia" w:ascii="宋体" w:hAnsi="宋体"/>
          <w:szCs w:val="21"/>
        </w:rPr>
        <w:t xml:space="preserve">    （注：固定单价合同应填写单价和最高限价）</w:t>
      </w:r>
    </w:p>
    <w:p>
      <w:pPr>
        <w:adjustRightInd w:val="0"/>
        <w:snapToGrid w:val="0"/>
        <w:spacing w:line="420" w:lineRule="exact"/>
        <w:ind w:firstLine="0" w:firstLineChars="0"/>
        <w:rPr>
          <w:rFonts w:hint="eastAsia"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20" w:lineRule="exact"/>
        <w:ind w:firstLine="42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spacing w:line="420" w:lineRule="exact"/>
        <w:ind w:firstLine="420"/>
        <w:rPr>
          <w:szCs w:val="21"/>
        </w:rPr>
      </w:pPr>
      <w:r>
        <w:rPr>
          <w:rFonts w:hint="eastAsia" w:ascii="宋体" w:hAnsi="宋体"/>
          <w:szCs w:val="21"/>
        </w:rPr>
        <w:t>（3）付款方式（按项目实际勾选填写）：</w:t>
      </w:r>
    </w:p>
    <w:p>
      <w:pPr>
        <w:adjustRightInd w:val="0"/>
        <w:snapToGrid w:val="0"/>
        <w:spacing w:line="42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2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w:t>
      </w:r>
      <w:r>
        <w:rPr>
          <w:rFonts w:hint="eastAsia" w:ascii="宋体" w:hAnsi="宋体"/>
          <w:szCs w:val="21"/>
        </w:rPr>
        <w:t>，其中涉及预付款的：</w:t>
      </w:r>
      <w:r>
        <w:rPr>
          <w:rFonts w:hint="eastAsia" w:ascii="宋体" w:hAnsi="宋体"/>
          <w:szCs w:val="21"/>
          <w:u w:val="single"/>
        </w:rPr>
        <w:t xml:space="preserve"> （应明确预付款的支付比例和支付条件）</w:t>
      </w:r>
    </w:p>
    <w:p>
      <w:pPr>
        <w:adjustRightInd w:val="0"/>
        <w:snapToGrid w:val="0"/>
        <w:spacing w:line="42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2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11"/>
        </w:numPr>
        <w:adjustRightInd w:val="0"/>
        <w:snapToGrid w:val="0"/>
        <w:spacing w:line="420" w:lineRule="exact"/>
        <w:ind w:firstLine="422"/>
        <w:rPr>
          <w:rFonts w:hint="eastAsia" w:ascii="宋体" w:hAnsi="宋体"/>
          <w:b/>
          <w:szCs w:val="21"/>
          <w:u w:val="single"/>
        </w:rPr>
      </w:pPr>
      <w:r>
        <w:rPr>
          <w:rFonts w:hint="eastAsia" w:ascii="宋体" w:hAnsi="宋体"/>
          <w:b/>
          <w:szCs w:val="21"/>
        </w:rPr>
        <w:t>合同履行</w:t>
      </w:r>
    </w:p>
    <w:p>
      <w:pPr>
        <w:adjustRightInd w:val="0"/>
        <w:snapToGrid w:val="0"/>
        <w:spacing w:line="420" w:lineRule="exact"/>
        <w:ind w:firstLine="199" w:firstLineChars="95"/>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20" w:lineRule="exact"/>
        <w:ind w:firstLine="199" w:firstLineChars="95"/>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20" w:lineRule="exact"/>
        <w:ind w:firstLine="199" w:firstLineChars="95"/>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widowControl/>
        <w:autoSpaceDE w:val="0"/>
        <w:autoSpaceDN w:val="0"/>
        <w:adjustRightInd w:val="0"/>
        <w:spacing w:line="420" w:lineRule="exact"/>
        <w:ind w:firstLine="440"/>
        <w:jc w:val="left"/>
        <w:rPr>
          <w:rFonts w:hint="eastAsia" w:ascii="宋体" w:hAnsi="宋体" w:cs="宋体"/>
          <w:kern w:val="0"/>
          <w:szCs w:val="21"/>
        </w:rPr>
      </w:pPr>
      <w:r>
        <w:rPr>
          <w:rFonts w:hint="eastAsia" w:ascii="宋体" w:hAnsi="宋体" w:eastAsia="华文楷体" w:cs="宋体"/>
          <w:bCs/>
          <w:kern w:val="0"/>
          <w:sz w:val="22"/>
          <w:szCs w:val="21"/>
        </w:rPr>
        <w:t xml:space="preserve"> </w:t>
      </w:r>
      <w:r>
        <w:rPr>
          <w:rFonts w:hint="eastAsia" w:ascii="宋体" w:hAnsi="宋体" w:cs="宋体"/>
          <w:kern w:val="0"/>
          <w:szCs w:val="21"/>
        </w:rPr>
        <w:t xml:space="preserve">  收取履约保证金形式：</w:t>
      </w:r>
      <w:r>
        <w:rPr>
          <w:rFonts w:hint="eastAsia" w:ascii="宋体" w:hAnsi="宋体" w:cs="宋体"/>
          <w:bCs/>
          <w:kern w:val="0"/>
          <w:szCs w:val="21"/>
          <w:u w:val="single"/>
        </w:rPr>
        <w:t xml:space="preserve">                                  </w:t>
      </w:r>
    </w:p>
    <w:p>
      <w:pPr>
        <w:widowControl/>
        <w:autoSpaceDE w:val="0"/>
        <w:autoSpaceDN w:val="0"/>
        <w:adjustRightInd w:val="0"/>
        <w:spacing w:line="420" w:lineRule="exact"/>
        <w:ind w:firstLine="420"/>
        <w:jc w:val="left"/>
        <w:rPr>
          <w:rFonts w:hint="eastAsia" w:ascii="宋体" w:hAnsi="宋体" w:cs="宋体"/>
          <w:kern w:val="0"/>
          <w:szCs w:val="21"/>
        </w:rPr>
      </w:pPr>
      <w:r>
        <w:rPr>
          <w:rFonts w:hint="eastAsia" w:ascii="宋体" w:hAnsi="宋体" w:cs="宋体"/>
          <w:kern w:val="0"/>
          <w:szCs w:val="21"/>
        </w:rPr>
        <w:t xml:space="preserve">   收取履约保证金金额：</w:t>
      </w:r>
      <w:r>
        <w:rPr>
          <w:rFonts w:hint="eastAsia" w:ascii="宋体" w:hAnsi="宋体" w:cs="宋体"/>
          <w:bCs/>
          <w:kern w:val="0"/>
          <w:szCs w:val="21"/>
          <w:u w:val="single"/>
        </w:rPr>
        <w:t xml:space="preserve">                                  </w:t>
      </w:r>
    </w:p>
    <w:p>
      <w:pPr>
        <w:snapToGrid w:val="0"/>
        <w:spacing w:line="420" w:lineRule="exact"/>
        <w:ind w:firstLine="42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20" w:lineRule="exact"/>
        <w:ind w:firstLine="199" w:firstLineChars="95"/>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20" w:lineRule="exact"/>
        <w:ind w:firstLine="199" w:firstLineChars="95"/>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pPr>
        <w:numPr>
          <w:ilvl w:val="0"/>
          <w:numId w:val="11"/>
        </w:numPr>
        <w:adjustRightInd w:val="0"/>
        <w:snapToGrid w:val="0"/>
        <w:spacing w:line="420" w:lineRule="exact"/>
        <w:ind w:firstLine="422"/>
        <w:rPr>
          <w:rFonts w:hint="eastAsia" w:ascii="宋体" w:hAnsi="宋体"/>
          <w:b/>
          <w:szCs w:val="21"/>
        </w:rPr>
      </w:pPr>
      <w:r>
        <w:rPr>
          <w:rFonts w:hint="eastAsia" w:ascii="宋体" w:hAnsi="宋体"/>
          <w:b/>
          <w:szCs w:val="21"/>
        </w:rPr>
        <w:t>合同验收</w:t>
      </w:r>
    </w:p>
    <w:p>
      <w:pPr>
        <w:adjustRightInd w:val="0"/>
        <w:snapToGrid w:val="0"/>
        <w:spacing w:line="420" w:lineRule="exact"/>
        <w:ind w:firstLine="210" w:firstLineChars="100"/>
        <w:rPr>
          <w:rFonts w:hint="eastAsia" w:ascii="宋体" w:hAnsi="宋体"/>
          <w:bCs/>
          <w:szCs w:val="21"/>
        </w:rPr>
      </w:pPr>
      <w:r>
        <w:rPr>
          <w:rFonts w:hint="eastAsia" w:ascii="宋体" w:hAnsi="宋体"/>
          <w:bCs/>
          <w:szCs w:val="21"/>
        </w:rPr>
        <w:t>（1）验收组织方式：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20" w:lineRule="exact"/>
        <w:ind w:firstLine="420"/>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20" w:lineRule="exact"/>
        <w:ind w:firstLine="420"/>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20" w:lineRule="exact"/>
        <w:ind w:firstLine="210" w:firstLineChars="1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20" w:lineRule="exact"/>
        <w:ind w:firstLine="210" w:firstLineChars="1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一次性验收</w:t>
      </w:r>
    </w:p>
    <w:p>
      <w:pPr>
        <w:adjustRightInd w:val="0"/>
        <w:snapToGrid w:val="0"/>
        <w:spacing w:line="420" w:lineRule="exact"/>
        <w:ind w:firstLine="42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pPr>
        <w:adjustRightInd w:val="0"/>
        <w:snapToGrid w:val="0"/>
        <w:spacing w:line="420" w:lineRule="exact"/>
        <w:ind w:firstLine="210" w:firstLineChars="1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20" w:lineRule="exact"/>
        <w:ind w:firstLine="210" w:firstLineChars="1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20" w:lineRule="exact"/>
        <w:ind w:firstLine="210" w:firstLineChars="1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widowControl/>
        <w:autoSpaceDE w:val="0"/>
        <w:autoSpaceDN w:val="0"/>
        <w:adjustRightInd w:val="0"/>
        <w:spacing w:line="420" w:lineRule="exact"/>
        <w:ind w:firstLine="210" w:firstLineChars="100"/>
        <w:jc w:val="left"/>
        <w:rPr>
          <w:rFonts w:hint="eastAsia" w:ascii="宋体" w:hAnsi="宋体" w:cs="宋体"/>
          <w:kern w:val="0"/>
          <w:szCs w:val="21"/>
        </w:rPr>
      </w:pPr>
      <w:r>
        <w:rPr>
          <w:rFonts w:hint="eastAsia" w:ascii="宋体" w:hAnsi="宋体" w:cs="宋体"/>
          <w:bCs/>
          <w:kern w:val="0"/>
          <w:szCs w:val="21"/>
        </w:rPr>
        <w:t>（7）是否以采购活动中供应商提供的样品作为参考：</w:t>
      </w:r>
      <w:r>
        <w:rPr>
          <w:rFonts w:hint="eastAsia" w:ascii="宋体" w:hAnsi="宋体" w:cs="宋体"/>
          <w:kern w:val="0"/>
          <w:szCs w:val="21"/>
        </w:rPr>
        <w:sym w:font="Wingdings" w:char="00A8"/>
      </w:r>
      <w:r>
        <w:rPr>
          <w:rFonts w:hint="eastAsia" w:ascii="宋体" w:hAnsi="宋体" w:cs="宋体"/>
          <w:bCs/>
          <w:kern w:val="0"/>
          <w:szCs w:val="21"/>
        </w:rPr>
        <w:t xml:space="preserve">是  </w:t>
      </w:r>
      <w:r>
        <w:rPr>
          <w:rFonts w:hint="eastAsia" w:ascii="宋体" w:hAnsi="宋体" w:cs="宋体"/>
          <w:kern w:val="0"/>
          <w:szCs w:val="21"/>
        </w:rPr>
        <w:sym w:font="Wingdings" w:char="00A8"/>
      </w:r>
      <w:r>
        <w:rPr>
          <w:rFonts w:hint="eastAsia" w:ascii="宋体" w:hAnsi="宋体" w:cs="宋体"/>
          <w:bCs/>
          <w:kern w:val="0"/>
          <w:szCs w:val="21"/>
        </w:rPr>
        <w:t>否</w:t>
      </w:r>
    </w:p>
    <w:p>
      <w:pPr>
        <w:adjustRightInd w:val="0"/>
        <w:snapToGrid w:val="0"/>
        <w:spacing w:line="420" w:lineRule="exact"/>
        <w:ind w:firstLine="210" w:firstLineChars="1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11"/>
        </w:numPr>
        <w:adjustRightInd w:val="0"/>
        <w:snapToGrid w:val="0"/>
        <w:spacing w:line="420" w:lineRule="exact"/>
        <w:ind w:firstLine="422"/>
        <w:rPr>
          <w:rFonts w:hint="eastAsia" w:ascii="宋体" w:hAnsi="宋体"/>
          <w:b/>
          <w:szCs w:val="21"/>
        </w:rPr>
      </w:pPr>
      <w:r>
        <w:rPr>
          <w:rFonts w:hint="eastAsia" w:ascii="宋体" w:hAnsi="宋体"/>
          <w:b/>
          <w:szCs w:val="21"/>
        </w:rPr>
        <w:t>组成合同的文件</w:t>
      </w:r>
    </w:p>
    <w:p>
      <w:pPr>
        <w:adjustRightInd w:val="0"/>
        <w:snapToGrid w:val="0"/>
        <w:spacing w:line="420" w:lineRule="exact"/>
        <w:ind w:firstLine="42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（1）政府采购合同协议书及其变更、补充协议</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（2）政府采购合同专用条款</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（3）政府采购合同通用条款</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（4）中标（成交）通知书</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（5）投标（响应）文件</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（6）采购文件</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（7）有关技术文件，图纸</w:t>
      </w:r>
    </w:p>
    <w:p>
      <w:pPr>
        <w:widowControl/>
        <w:autoSpaceDE w:val="0"/>
        <w:autoSpaceDN w:val="0"/>
        <w:adjustRightInd w:val="0"/>
        <w:spacing w:line="420" w:lineRule="exact"/>
        <w:ind w:firstLine="210" w:firstLineChars="100"/>
        <w:jc w:val="left"/>
        <w:rPr>
          <w:rFonts w:hint="eastAsia" w:ascii="宋体" w:hAnsi="宋体" w:cs="宋体"/>
          <w:szCs w:val="21"/>
        </w:rPr>
      </w:pPr>
      <w:r>
        <w:rPr>
          <w:rFonts w:hint="eastAsia" w:ascii="宋体" w:hAnsi="宋体" w:cs="宋体"/>
          <w:kern w:val="0"/>
          <w:szCs w:val="21"/>
        </w:rPr>
        <w:t>（8）</w:t>
      </w:r>
      <w:r>
        <w:rPr>
          <w:rFonts w:hint="eastAsia" w:ascii="宋体" w:hAnsi="宋体" w:cs="宋体"/>
          <w:szCs w:val="21"/>
        </w:rPr>
        <w:t>国家法律、行政法规和规章制度规定或合同约定的作为合同组成部分的其他文件</w:t>
      </w:r>
    </w:p>
    <w:p>
      <w:pPr>
        <w:numPr>
          <w:ilvl w:val="0"/>
          <w:numId w:val="11"/>
        </w:numPr>
        <w:adjustRightInd w:val="0"/>
        <w:snapToGrid w:val="0"/>
        <w:spacing w:line="420" w:lineRule="exact"/>
        <w:ind w:firstLine="422"/>
        <w:rPr>
          <w:rFonts w:hint="eastAsia" w:ascii="宋体" w:hAnsi="宋体"/>
          <w:b/>
          <w:szCs w:val="21"/>
        </w:rPr>
      </w:pPr>
      <w:r>
        <w:rPr>
          <w:rFonts w:hint="eastAsia" w:ascii="宋体" w:hAnsi="宋体"/>
          <w:b/>
          <w:szCs w:val="21"/>
        </w:rPr>
        <w:t>合同生效</w:t>
      </w:r>
    </w:p>
    <w:p>
      <w:pPr>
        <w:adjustRightInd w:val="0"/>
        <w:snapToGrid w:val="0"/>
        <w:spacing w:line="420" w:lineRule="exact"/>
        <w:ind w:firstLine="42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11"/>
        </w:numPr>
        <w:adjustRightInd w:val="0"/>
        <w:snapToGrid w:val="0"/>
        <w:spacing w:line="420" w:lineRule="exact"/>
        <w:ind w:firstLine="422"/>
        <w:rPr>
          <w:rFonts w:hint="eastAsia" w:ascii="宋体" w:hAnsi="宋体"/>
          <w:b/>
          <w:szCs w:val="21"/>
        </w:rPr>
      </w:pPr>
      <w:r>
        <w:rPr>
          <w:rFonts w:hint="eastAsia" w:ascii="宋体" w:hAnsi="宋体"/>
          <w:b/>
          <w:szCs w:val="21"/>
        </w:rPr>
        <w:t>合同份数</w:t>
      </w:r>
    </w:p>
    <w:p>
      <w:pPr>
        <w:adjustRightInd w:val="0"/>
        <w:snapToGrid w:val="0"/>
        <w:spacing w:line="420" w:lineRule="exact"/>
        <w:ind w:firstLine="42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20" w:lineRule="exact"/>
        <w:ind w:firstLine="42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20" w:lineRule="exact"/>
        <w:ind w:firstLine="42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20" w:lineRule="exact"/>
        <w:ind w:firstLine="420"/>
      </w:pPr>
      <w:r>
        <w:rPr>
          <w:rFonts w:hint="eastAsia" w:ascii="宋体" w:hAnsi="宋体"/>
          <w:szCs w:val="21"/>
        </w:rPr>
        <w:t>附件：具体标的及其技术要求和商务要求、联合协议、分包意向协议等。</w:t>
      </w:r>
    </w:p>
    <w:p>
      <w:pPr>
        <w:widowControl/>
        <w:spacing w:line="420" w:lineRule="exact"/>
        <w:ind w:firstLine="420"/>
        <w:jc w:val="left"/>
        <w:rPr>
          <w:szCs w:val="21"/>
        </w:rPr>
      </w:pPr>
      <w:r>
        <w:rPr>
          <w:szCs w:val="21"/>
        </w:rPr>
        <w:br w:type="page"/>
      </w:r>
    </w:p>
    <w:tbl>
      <w:tblPr>
        <w:tblStyle w:val="49"/>
        <w:tblW w:w="0" w:type="auto"/>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0"/>
        <w:gridCol w:w="2869"/>
        <w:gridCol w:w="2354"/>
        <w:gridCol w:w="25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54" w:hRule="atLeast"/>
        </w:trPr>
        <w:tc>
          <w:tcPr>
            <w:tcW w:w="5119" w:type="dxa"/>
            <w:gridSpan w:val="2"/>
            <w:tcBorders>
              <w:bottom w:val="single" w:color="auto" w:sz="2" w:space="0"/>
              <w:right w:val="single" w:color="auto" w:sz="2" w:space="0"/>
            </w:tcBorders>
            <w:vAlign w:val="center"/>
          </w:tcPr>
          <w:p>
            <w:pPr>
              <w:adjustRightInd w:val="0"/>
              <w:snapToGrid w:val="0"/>
              <w:spacing w:line="300" w:lineRule="exact"/>
              <w:ind w:firstLine="420"/>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871" w:type="dxa"/>
            <w:gridSpan w:val="2"/>
            <w:tcBorders>
              <w:left w:val="single" w:color="auto" w:sz="2" w:space="0"/>
              <w:bottom w:val="single" w:color="auto" w:sz="2" w:space="0"/>
            </w:tcBorders>
            <w:vAlign w:val="center"/>
          </w:tcPr>
          <w:p>
            <w:pPr>
              <w:adjustRightInd w:val="0"/>
              <w:snapToGrid w:val="0"/>
              <w:spacing w:line="300" w:lineRule="exact"/>
              <w:ind w:firstLine="420"/>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32"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单位名称</w:t>
            </w:r>
            <w:r>
              <w:rPr>
                <w:rFonts w:hint="eastAsia"/>
                <w:szCs w:val="21"/>
              </w:rPr>
              <w:t>（公章或合同章）</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单位名称</w:t>
            </w:r>
            <w:r>
              <w:rPr>
                <w:rFonts w:hint="eastAsia"/>
                <w:szCs w:val="21"/>
              </w:rPr>
              <w:t>（公章或合同章）</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50" w:type="dxa"/>
            <w:vMerge w:val="restart"/>
            <w:tcBorders>
              <w:top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869"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法定代表人</w:t>
            </w:r>
          </w:p>
          <w:p>
            <w:pPr>
              <w:adjustRightInd w:val="0"/>
              <w:snapToGrid w:val="0"/>
              <w:spacing w:line="300" w:lineRule="exact"/>
              <w:ind w:firstLine="420"/>
              <w:jc w:val="center"/>
              <w:rPr>
                <w:szCs w:val="21"/>
              </w:rPr>
            </w:pPr>
            <w:r>
              <w:rPr>
                <w:rFonts w:hint="eastAsia"/>
                <w:szCs w:val="21"/>
              </w:rPr>
              <w:t>或其</w:t>
            </w:r>
            <w:r>
              <w:rPr>
                <w:szCs w:val="21"/>
              </w:rPr>
              <w:t>委托代理人</w:t>
            </w:r>
            <w:r>
              <w:rPr>
                <w:rFonts w:hint="eastAsia"/>
                <w:szCs w:val="21"/>
              </w:rPr>
              <w:t>（签章）</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42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vMerge w:val="continue"/>
            <w:tcBorders>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869"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拥有者性别</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住  所</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住  所</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联 系 人</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联 系 人</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联系电话</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联系电话</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通信地址</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通信地址</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邮政编码</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邮政编码</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电子邮箱</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电子邮箱</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统一社会信用代码</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统一社会信用代码</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开户名称</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开户名称</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开户银行</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开户银行</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银行账号</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银行账号</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5" w:hRule="atLeast"/>
        </w:trPr>
        <w:tc>
          <w:tcPr>
            <w:tcW w:w="9990" w:type="dxa"/>
            <w:gridSpan w:val="4"/>
            <w:tcBorders>
              <w:top w:val="single" w:color="auto" w:sz="2" w:space="0"/>
            </w:tcBorders>
            <w:vAlign w:val="center"/>
          </w:tcPr>
          <w:p>
            <w:pPr>
              <w:adjustRightInd w:val="0"/>
              <w:snapToGrid w:val="0"/>
              <w:spacing w:before="156" w:beforeLines="50" w:line="360" w:lineRule="auto"/>
              <w:ind w:firstLine="420"/>
              <w:jc w:val="left"/>
              <w:rPr>
                <w:spacing w:val="20"/>
                <w:szCs w:val="21"/>
              </w:rPr>
            </w:pPr>
            <w:r>
              <w:rPr>
                <w:rFonts w:hint="eastAsia" w:ascii="宋体" w:hAnsi="宋体"/>
                <w:szCs w:val="21"/>
              </w:rPr>
              <w:t>注：涉及联合体或其他合同主体的信息应按上表格式加列。</w:t>
            </w:r>
          </w:p>
        </w:tc>
      </w:tr>
    </w:tbl>
    <w:p>
      <w:pPr>
        <w:keepNext/>
        <w:keepLines/>
        <w:adjustRightInd w:val="0"/>
        <w:snapToGrid w:val="0"/>
        <w:spacing w:before="156" w:beforeLines="50" w:line="360" w:lineRule="auto"/>
        <w:ind w:firstLine="422"/>
        <w:jc w:val="center"/>
        <w:outlineLvl w:val="1"/>
        <w:rPr>
          <w:rFonts w:hint="eastAsia" w:ascii="黑体" w:hAnsi="黑体" w:eastAsia="黑体"/>
          <w:b/>
          <w:bCs/>
          <w:sz w:val="28"/>
          <w:szCs w:val="28"/>
        </w:rPr>
      </w:pPr>
      <w:r>
        <w:rPr>
          <w:rFonts w:ascii="宋体" w:hAnsi="宋体"/>
          <w:b/>
          <w:bCs/>
          <w:szCs w:val="21"/>
          <w:u w:val="single"/>
        </w:rPr>
        <w:br w:type="page"/>
      </w:r>
      <w:bookmarkStart w:id="275" w:name="_Toc27624"/>
      <w:r>
        <w:rPr>
          <w:rFonts w:hint="eastAsia" w:ascii="黑体" w:hAnsi="黑体" w:eastAsia="黑体"/>
          <w:sz w:val="28"/>
          <w:szCs w:val="28"/>
        </w:rPr>
        <w:t>第二节 政府采购合同通用条款</w:t>
      </w:r>
      <w:bookmarkEnd w:id="275"/>
    </w:p>
    <w:p>
      <w:pPr>
        <w:tabs>
          <w:tab w:val="left" w:pos="8820"/>
          <w:tab w:val="left" w:pos="9345"/>
          <w:tab w:val="left" w:pos="9765"/>
        </w:tabs>
        <w:adjustRightInd w:val="0"/>
        <w:snapToGrid w:val="0"/>
        <w:spacing w:line="460" w:lineRule="exact"/>
        <w:ind w:firstLine="482"/>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1.1合同当事人</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60" w:lineRule="exact"/>
        <w:ind w:firstLine="420"/>
        <w:jc w:val="left"/>
        <w:rPr>
          <w:rFonts w:hint="eastAsia" w:ascii="宋体" w:hAnsi="宋体"/>
          <w:szCs w:val="21"/>
        </w:rPr>
      </w:pPr>
      <w:r>
        <w:rPr>
          <w:rFonts w:hint="eastAsia" w:ascii="宋体" w:hAnsi="宋体"/>
          <w:szCs w:val="21"/>
        </w:rPr>
        <w:t>1.2本合同下列术语应解释为：</w:t>
      </w:r>
    </w:p>
    <w:p>
      <w:pPr>
        <w:adjustRightInd w:val="0"/>
        <w:snapToGrid w:val="0"/>
        <w:spacing w:line="460" w:lineRule="exact"/>
        <w:ind w:firstLine="42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60" w:lineRule="exact"/>
        <w:ind w:firstLine="42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60" w:lineRule="exact"/>
        <w:ind w:firstLine="42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pPr>
        <w:adjustRightInd w:val="0"/>
        <w:snapToGrid w:val="0"/>
        <w:spacing w:line="460" w:lineRule="exact"/>
        <w:ind w:firstLine="420"/>
        <w:jc w:val="left"/>
        <w:rPr>
          <w:rFonts w:hint="eastAsia" w:ascii="宋体" w:hAnsi="宋体"/>
          <w:szCs w:val="21"/>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pPr>
        <w:adjustRightInd w:val="0"/>
        <w:snapToGrid w:val="0"/>
        <w:spacing w:line="460" w:lineRule="exact"/>
        <w:ind w:firstLine="420"/>
        <w:jc w:val="left"/>
        <w:rPr>
          <w:rFonts w:hint="eastAsia"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60" w:lineRule="exact"/>
        <w:ind w:firstLine="42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pPr>
        <w:tabs>
          <w:tab w:val="left" w:pos="570"/>
          <w:tab w:val="left" w:pos="9240"/>
          <w:tab w:val="left" w:pos="9555"/>
        </w:tabs>
        <w:adjustRightInd w:val="0"/>
        <w:snapToGrid w:val="0"/>
        <w:spacing w:line="460" w:lineRule="exact"/>
        <w:ind w:firstLine="42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pPr>
        <w:numPr>
          <w:ilvl w:val="0"/>
          <w:numId w:val="12"/>
        </w:num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sz w:val="24"/>
        </w:rPr>
        <w:t>合同标的及金额</w:t>
      </w:r>
    </w:p>
    <w:p>
      <w:pPr>
        <w:autoSpaceDE w:val="0"/>
        <w:autoSpaceDN w:val="0"/>
        <w:adjustRightInd w:val="0"/>
        <w:snapToGrid w:val="0"/>
        <w:spacing w:line="460" w:lineRule="exact"/>
        <w:ind w:firstLine="42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pPr>
        <w:adjustRightInd w:val="0"/>
        <w:snapToGrid w:val="0"/>
        <w:spacing w:line="460" w:lineRule="exact"/>
        <w:ind w:firstLine="482"/>
        <w:jc w:val="left"/>
        <w:rPr>
          <w:rFonts w:hint="eastAsia" w:ascii="宋体" w:hAnsi="宋体"/>
          <w:b/>
          <w:sz w:val="24"/>
        </w:rPr>
      </w:pPr>
      <w:r>
        <w:rPr>
          <w:rFonts w:hint="eastAsia" w:ascii="宋体" w:hAnsi="宋体"/>
          <w:b/>
          <w:sz w:val="24"/>
        </w:rPr>
        <w:t>3. 履行合同的时间、地点和方式</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4. 甲方的权利和义务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pPr>
        <w:snapToGrid w:val="0"/>
        <w:spacing w:line="460" w:lineRule="exact"/>
        <w:ind w:firstLine="42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pPr>
        <w:autoSpaceDE w:val="0"/>
        <w:autoSpaceDN w:val="0"/>
        <w:adjustRightInd w:val="0"/>
        <w:snapToGrid w:val="0"/>
        <w:spacing w:line="460" w:lineRule="exact"/>
        <w:ind w:firstLine="42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5. 乙方的权利和义务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pPr>
        <w:spacing w:line="460" w:lineRule="exact"/>
        <w:ind w:firstLine="369"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pPr>
        <w:spacing w:line="460" w:lineRule="exact"/>
        <w:ind w:firstLine="369"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pPr>
        <w:numPr>
          <w:ilvl w:val="0"/>
          <w:numId w:val="13"/>
        </w:num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合同履行</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pPr>
        <w:autoSpaceDE w:val="0"/>
        <w:autoSpaceDN w:val="0"/>
        <w:adjustRightInd w:val="0"/>
        <w:snapToGrid w:val="0"/>
        <w:spacing w:line="460" w:lineRule="exact"/>
        <w:ind w:firstLine="42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60" w:lineRule="exact"/>
        <w:ind w:firstLine="482"/>
        <w:jc w:val="left"/>
        <w:rPr>
          <w:rFonts w:hint="eastAsia" w:ascii="宋体" w:hAnsi="宋体"/>
          <w:b/>
          <w:bCs/>
          <w:sz w:val="24"/>
        </w:rPr>
      </w:pPr>
      <w:r>
        <w:rPr>
          <w:rFonts w:hint="eastAsia" w:ascii="宋体" w:hAnsi="宋体"/>
          <w:b/>
          <w:bCs/>
          <w:sz w:val="24"/>
        </w:rPr>
        <w:t>7. 货物包装、运输、保险和交付要求</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pPr>
        <w:adjustRightInd w:val="0"/>
        <w:snapToGrid w:val="0"/>
        <w:spacing w:line="460" w:lineRule="exact"/>
        <w:ind w:firstLine="42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pPr>
        <w:adjustRightInd w:val="0"/>
        <w:snapToGrid w:val="0"/>
        <w:spacing w:line="460" w:lineRule="exact"/>
        <w:ind w:firstLine="42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pPr>
        <w:widowControl/>
        <w:autoSpaceDE w:val="0"/>
        <w:autoSpaceDN w:val="0"/>
        <w:adjustRightInd w:val="0"/>
        <w:spacing w:line="460" w:lineRule="exact"/>
        <w:ind w:firstLine="420"/>
        <w:jc w:val="left"/>
        <w:rPr>
          <w:rFonts w:hint="eastAsia" w:ascii="华文楷体" w:hAnsi="华文楷体" w:eastAsia="华文楷体" w:cs="华文楷体"/>
          <w:kern w:val="0"/>
          <w:szCs w:val="21"/>
        </w:rPr>
      </w:pPr>
      <w:r>
        <w:rPr>
          <w:rFonts w:hint="eastAsia" w:ascii="宋体" w:hAnsi="宋体"/>
          <w:szCs w:val="21"/>
        </w:rPr>
        <w:t>7.6 如因包装、运输问题导致货物损毁、丢失或者品质下降，甲方有权要求降价、换货、拒收部分或整批货物，由此产生的费用和损失，均由乙方承担。</w:t>
      </w:r>
    </w:p>
    <w:p>
      <w:pPr>
        <w:adjustRightInd w:val="0"/>
        <w:snapToGrid w:val="0"/>
        <w:spacing w:line="460" w:lineRule="exact"/>
        <w:ind w:firstLine="482"/>
        <w:jc w:val="left"/>
        <w:rPr>
          <w:rFonts w:hint="eastAsia" w:ascii="宋体" w:hAnsi="宋体"/>
          <w:b/>
          <w:sz w:val="24"/>
        </w:rPr>
      </w:pPr>
      <w:r>
        <w:rPr>
          <w:rFonts w:hint="eastAsia" w:ascii="宋体" w:hAnsi="宋体"/>
          <w:b/>
          <w:sz w:val="24"/>
        </w:rPr>
        <w:t>8. 质量标准和保证</w:t>
      </w:r>
    </w:p>
    <w:p>
      <w:pPr>
        <w:adjustRightInd w:val="0"/>
        <w:snapToGrid w:val="0"/>
        <w:spacing w:line="460" w:lineRule="exact"/>
        <w:ind w:firstLine="420"/>
        <w:jc w:val="left"/>
        <w:rPr>
          <w:rFonts w:hint="eastAsia" w:ascii="宋体" w:hAnsi="宋体" w:cs="Courier New"/>
          <w:b/>
          <w:szCs w:val="21"/>
        </w:rPr>
      </w:pPr>
      <w:r>
        <w:rPr>
          <w:rFonts w:hint="eastAsia" w:ascii="宋体" w:hAnsi="宋体" w:cs="Courier New"/>
          <w:szCs w:val="21"/>
        </w:rPr>
        <w:t>8.1 质量标准</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60" w:lineRule="exact"/>
        <w:ind w:firstLine="420"/>
        <w:jc w:val="left"/>
        <w:rPr>
          <w:rFonts w:hint="eastAsia" w:ascii="宋体" w:hAnsi="宋体" w:cs="Courier New"/>
          <w:szCs w:val="21"/>
        </w:rPr>
      </w:pPr>
      <w:r>
        <w:rPr>
          <w:rFonts w:hint="eastAsia" w:ascii="宋体" w:hAnsi="宋体" w:cs="Courier New"/>
          <w:szCs w:val="21"/>
        </w:rPr>
        <w:t>（2）采用中华人民共和国法定计量单位。</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8.2 保证</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60" w:lineRule="exact"/>
        <w:ind w:firstLine="42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60" w:lineRule="exact"/>
        <w:ind w:firstLine="482"/>
        <w:jc w:val="left"/>
        <w:rPr>
          <w:rFonts w:hint="eastAsia" w:ascii="宋体" w:hAnsi="宋体"/>
          <w:b/>
          <w:bCs/>
          <w:sz w:val="24"/>
        </w:rPr>
      </w:pPr>
      <w:r>
        <w:rPr>
          <w:rFonts w:hint="eastAsia" w:ascii="宋体" w:hAnsi="宋体"/>
          <w:b/>
          <w:bCs/>
          <w:sz w:val="24"/>
        </w:rPr>
        <w:t>9. 权利瑕疵担保</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9.1 乙方保证对其出售的货物享有合法的权利。</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9.3 如甲方使用上述货物构成对第三人侵权的，则由乙方承担全部责任。</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10. 知识产权保护</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276"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276"/>
      <w:r>
        <w:rPr>
          <w:rFonts w:hint="eastAsia" w:ascii="宋体" w:hAnsi="宋体"/>
          <w:szCs w:val="21"/>
        </w:rPr>
        <w:t>。</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11. 保密义务</w:t>
      </w:r>
    </w:p>
    <w:p>
      <w:pPr>
        <w:autoSpaceDE w:val="0"/>
        <w:autoSpaceDN w:val="0"/>
        <w:adjustRightInd w:val="0"/>
        <w:snapToGrid w:val="0"/>
        <w:spacing w:line="460" w:lineRule="exact"/>
        <w:ind w:firstLine="42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12. 合同价款支付</w:t>
      </w:r>
    </w:p>
    <w:p>
      <w:pPr>
        <w:adjustRightInd w:val="0"/>
        <w:snapToGrid w:val="0"/>
        <w:spacing w:line="460" w:lineRule="exact"/>
        <w:ind w:firstLine="420"/>
        <w:jc w:val="left"/>
        <w:rPr>
          <w:rFonts w:hint="eastAsia" w:ascii="宋体" w:hAnsi="宋体"/>
          <w:szCs w:val="21"/>
        </w:rPr>
      </w:pPr>
      <w:r>
        <w:rPr>
          <w:rFonts w:hint="eastAsia" w:ascii="宋体" w:hAnsi="宋体"/>
          <w:szCs w:val="21"/>
        </w:rPr>
        <w:t>12.1 合同价款支付按照国库集中支付制度及财政管理相关规定执行。</w:t>
      </w:r>
    </w:p>
    <w:p>
      <w:pPr>
        <w:keepNext/>
        <w:keepLines/>
        <w:spacing w:line="460" w:lineRule="exact"/>
        <w:ind w:firstLine="42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pPr>
        <w:spacing w:line="460" w:lineRule="exact"/>
        <w:ind w:firstLine="482"/>
        <w:rPr>
          <w:rFonts w:hint="eastAsia" w:ascii="宋体" w:hAnsi="宋体"/>
          <w:b/>
          <w:bCs/>
          <w:sz w:val="24"/>
        </w:rPr>
      </w:pPr>
      <w:r>
        <w:rPr>
          <w:rFonts w:hint="eastAsia" w:ascii="宋体" w:hAnsi="宋体"/>
          <w:b/>
          <w:bCs/>
          <w:sz w:val="24"/>
        </w:rPr>
        <w:t>13. 履约保证金</w:t>
      </w:r>
    </w:p>
    <w:p>
      <w:pPr>
        <w:adjustRightInd w:val="0"/>
        <w:snapToGrid w:val="0"/>
        <w:spacing w:line="460" w:lineRule="exact"/>
        <w:ind w:firstLine="42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60" w:lineRule="exact"/>
        <w:ind w:firstLine="42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6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pPr>
        <w:autoSpaceDE w:val="0"/>
        <w:autoSpaceDN w:val="0"/>
        <w:adjustRightInd w:val="0"/>
        <w:snapToGrid w:val="0"/>
        <w:spacing w:line="460" w:lineRule="exact"/>
        <w:ind w:firstLine="482"/>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（4）在制造商所在地或指定现场就货物的安装</w:t>
      </w:r>
      <w:r>
        <w:rPr>
          <w:rFonts w:hint="eastAsia" w:ascii="宋体" w:hAnsi="宋体"/>
          <w:spacing w:val="-20"/>
          <w:szCs w:val="21"/>
        </w:rPr>
        <w:t>、</w:t>
      </w:r>
      <w:r>
        <w:rPr>
          <w:rFonts w:hint="eastAsia" w:ascii="宋体" w:hAnsi="宋体"/>
          <w:szCs w:val="21"/>
        </w:rPr>
        <w:t>启动</w:t>
      </w:r>
      <w:r>
        <w:rPr>
          <w:rFonts w:hint="eastAsia" w:ascii="宋体" w:hAnsi="宋体"/>
          <w:spacing w:val="-20"/>
          <w:szCs w:val="21"/>
        </w:rPr>
        <w:t>、</w:t>
      </w:r>
      <w:r>
        <w:rPr>
          <w:rFonts w:hint="eastAsia" w:ascii="宋体" w:hAnsi="宋体"/>
          <w:szCs w:val="21"/>
        </w:rPr>
        <w:t>运营</w:t>
      </w:r>
      <w:r>
        <w:rPr>
          <w:rFonts w:hint="eastAsia" w:ascii="宋体" w:hAnsi="宋体"/>
          <w:spacing w:val="-20"/>
          <w:szCs w:val="21"/>
        </w:rPr>
        <w:t>、</w:t>
      </w:r>
      <w:r>
        <w:rPr>
          <w:rFonts w:hint="eastAsia" w:ascii="宋体" w:hAnsi="宋体"/>
          <w:szCs w:val="21"/>
        </w:rPr>
        <w:t>维护</w:t>
      </w:r>
      <w:r>
        <w:rPr>
          <w:rFonts w:hint="eastAsia" w:ascii="宋体" w:hAnsi="宋体"/>
          <w:spacing w:val="-20"/>
          <w:szCs w:val="21"/>
        </w:rPr>
        <w:t>、</w:t>
      </w:r>
      <w:r>
        <w:rPr>
          <w:rFonts w:hint="eastAsia" w:ascii="宋体" w:hAnsi="宋体"/>
          <w:szCs w:val="21"/>
        </w:rPr>
        <w:t>废弃处置等对甲方操作人员进行培训</w:t>
      </w:r>
      <w:r>
        <w:rPr>
          <w:rFonts w:hint="eastAsia" w:ascii="宋体" w:hAnsi="宋体" w:cs="宋体"/>
          <w:szCs w:val="15"/>
        </w:rPr>
        <w:t>；</w:t>
      </w:r>
    </w:p>
    <w:p>
      <w:pPr>
        <w:widowControl/>
        <w:autoSpaceDE w:val="0"/>
        <w:autoSpaceDN w:val="0"/>
        <w:adjustRightInd w:val="0"/>
        <w:spacing w:line="460" w:lineRule="exact"/>
        <w:ind w:firstLine="420"/>
        <w:jc w:val="left"/>
        <w:rPr>
          <w:rFonts w:hint="eastAsia" w:ascii="宋体" w:hAnsi="宋体" w:cs="宋体"/>
          <w:kern w:val="0"/>
          <w:szCs w:val="21"/>
        </w:rPr>
      </w:pPr>
      <w:r>
        <w:rPr>
          <w:rFonts w:hint="eastAsia" w:ascii="宋体" w:hAnsi="宋体" w:cs="宋体"/>
          <w:kern w:val="0"/>
          <w:szCs w:val="21"/>
        </w:rPr>
        <w:t>（5）依照法律、行政法规的规定或者按照</w:t>
      </w:r>
      <w:r>
        <w:rPr>
          <w:rFonts w:hint="eastAsia" w:ascii="宋体" w:hAnsi="宋体" w:cs="宋体"/>
          <w:b/>
          <w:bCs/>
          <w:kern w:val="0"/>
          <w:szCs w:val="21"/>
        </w:rPr>
        <w:t>【政府采购合同专用条款】</w:t>
      </w:r>
      <w:r>
        <w:rPr>
          <w:rFonts w:hint="eastAsia" w:ascii="宋体" w:hAnsi="宋体" w:cs="宋体"/>
          <w:kern w:val="0"/>
          <w:szCs w:val="21"/>
        </w:rPr>
        <w:t>约定，货物在有效使用年限届满后应予回收的，乙方负有自行或者委托第三人对货物予以回收的义务；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60" w:lineRule="exact"/>
        <w:ind w:firstLine="482"/>
        <w:jc w:val="left"/>
        <w:rPr>
          <w:rFonts w:hint="eastAsia" w:ascii="宋体" w:hAnsi="宋体"/>
          <w:b/>
          <w:bCs/>
          <w:sz w:val="24"/>
        </w:rPr>
      </w:pPr>
      <w:r>
        <w:rPr>
          <w:rFonts w:hint="eastAsia" w:ascii="宋体" w:hAnsi="宋体"/>
          <w:b/>
          <w:bCs/>
          <w:sz w:val="24"/>
        </w:rPr>
        <w:t>15. 违约责任</w:t>
      </w:r>
    </w:p>
    <w:p>
      <w:pPr>
        <w:adjustRightInd w:val="0"/>
        <w:snapToGrid w:val="0"/>
        <w:spacing w:line="460" w:lineRule="exact"/>
        <w:ind w:firstLine="420"/>
        <w:jc w:val="left"/>
        <w:rPr>
          <w:rFonts w:hint="eastAsia" w:ascii="宋体" w:hAnsi="宋体"/>
          <w:bCs/>
          <w:szCs w:val="21"/>
        </w:rPr>
      </w:pPr>
      <w:r>
        <w:rPr>
          <w:rFonts w:hint="eastAsia" w:ascii="宋体" w:hAnsi="宋体"/>
          <w:bCs/>
          <w:szCs w:val="21"/>
        </w:rPr>
        <w:t>15.1质量瑕疵的违约责任</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60" w:lineRule="exact"/>
        <w:ind w:firstLine="420"/>
        <w:jc w:val="left"/>
        <w:rPr>
          <w:rFonts w:hint="eastAsia" w:ascii="宋体" w:hAnsi="宋体"/>
          <w:bCs/>
          <w:szCs w:val="21"/>
        </w:rPr>
      </w:pPr>
      <w:r>
        <w:rPr>
          <w:rFonts w:hint="eastAsia" w:ascii="宋体" w:hAnsi="宋体"/>
          <w:bCs/>
          <w:szCs w:val="21"/>
        </w:rPr>
        <w:t>15.2 迟延交货的违约责任</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15.3 迟延支付的违约责任</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pPr>
        <w:adjustRightInd w:val="0"/>
        <w:snapToGrid w:val="0"/>
        <w:spacing w:line="460" w:lineRule="exact"/>
        <w:ind w:firstLine="42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pPr>
        <w:numPr>
          <w:ilvl w:val="0"/>
          <w:numId w:val="14"/>
        </w:numPr>
        <w:autoSpaceDE w:val="0"/>
        <w:autoSpaceDN w:val="0"/>
        <w:adjustRightInd w:val="0"/>
        <w:snapToGrid w:val="0"/>
        <w:spacing w:line="460" w:lineRule="exact"/>
        <w:ind w:firstLine="482"/>
        <w:jc w:val="left"/>
        <w:rPr>
          <w:rFonts w:hint="eastAsia" w:ascii="宋体" w:hAnsi="宋体"/>
          <w:b/>
          <w:sz w:val="24"/>
        </w:rPr>
      </w:pPr>
      <w:r>
        <w:rPr>
          <w:rFonts w:hint="eastAsia" w:ascii="宋体" w:hAnsi="宋体"/>
          <w:b/>
          <w:sz w:val="24"/>
        </w:rPr>
        <w:t>合同变更、中止与终止</w:t>
      </w:r>
    </w:p>
    <w:p>
      <w:pPr>
        <w:adjustRightInd w:val="0"/>
        <w:snapToGrid w:val="0"/>
        <w:spacing w:line="460" w:lineRule="exact"/>
        <w:ind w:firstLine="420"/>
        <w:jc w:val="left"/>
        <w:rPr>
          <w:rFonts w:hint="eastAsia" w:ascii="宋体" w:hAnsi="宋体"/>
          <w:szCs w:val="21"/>
        </w:rPr>
      </w:pPr>
      <w:r>
        <w:rPr>
          <w:rFonts w:hint="eastAsia" w:ascii="宋体" w:hAnsi="宋体"/>
          <w:szCs w:val="21"/>
        </w:rPr>
        <w:t>16.1合同的变更</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60" w:lineRule="exact"/>
        <w:ind w:firstLine="420"/>
        <w:jc w:val="left"/>
        <w:rPr>
          <w:rFonts w:hint="eastAsia" w:ascii="宋体" w:hAnsi="宋体"/>
          <w:szCs w:val="21"/>
        </w:rPr>
      </w:pPr>
      <w:r>
        <w:rPr>
          <w:rFonts w:hint="eastAsia" w:ascii="宋体" w:hAnsi="宋体"/>
          <w:szCs w:val="21"/>
        </w:rPr>
        <w:t>16.2合同的中止</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adjustRightInd w:val="0"/>
        <w:spacing w:line="460" w:lineRule="exact"/>
        <w:ind w:firstLine="420"/>
        <w:rPr>
          <w:rFonts w:hint="eastAsia" w:ascii="华文楷体" w:hAnsi="华文楷体" w:eastAsia="华文楷体" w:cs="华文楷体"/>
          <w:kern w:val="0"/>
          <w:szCs w:val="21"/>
        </w:rPr>
      </w:pPr>
      <w:r>
        <w:rPr>
          <w:rFonts w:hint="eastAsia" w:ascii="宋体" w:hAnsi="宋体" w:cs="宋体"/>
          <w:kern w:val="0"/>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60" w:lineRule="exact"/>
        <w:ind w:firstLine="42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60" w:lineRule="exact"/>
        <w:ind w:firstLine="420"/>
        <w:jc w:val="left"/>
        <w:rPr>
          <w:rFonts w:hint="eastAsia" w:ascii="宋体" w:hAnsi="宋体"/>
          <w:szCs w:val="21"/>
        </w:rPr>
      </w:pPr>
      <w:r>
        <w:rPr>
          <w:rFonts w:hint="eastAsia" w:ascii="宋体" w:hAnsi="宋体"/>
          <w:szCs w:val="21"/>
        </w:rPr>
        <w:t>16.3合同的终止</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（1）合同因有效期限届满而终止；</w:t>
      </w:r>
    </w:p>
    <w:p>
      <w:pPr>
        <w:snapToGrid w:val="0"/>
        <w:spacing w:line="460" w:lineRule="exact"/>
        <w:ind w:firstLine="42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widowControl/>
        <w:autoSpaceDE w:val="0"/>
        <w:autoSpaceDN w:val="0"/>
        <w:adjustRightInd w:val="0"/>
        <w:spacing w:line="460" w:lineRule="exact"/>
        <w:ind w:firstLine="440"/>
        <w:jc w:val="left"/>
        <w:rPr>
          <w:rFonts w:hint="eastAsia" w:ascii="宋体" w:hAnsi="宋体" w:eastAsia="华文楷体" w:cs="华文楷体"/>
          <w:kern w:val="0"/>
          <w:sz w:val="22"/>
          <w:szCs w:val="21"/>
        </w:rPr>
      </w:pPr>
      <w:r>
        <w:rPr>
          <w:rFonts w:hint="eastAsia" w:ascii="宋体" w:hAnsi="宋体" w:eastAsia="华文楷体" w:cs="华文楷体"/>
          <w:kern w:val="0"/>
          <w:sz w:val="22"/>
          <w:szCs w:val="21"/>
        </w:rPr>
        <w:t xml:space="preserve">16.4 </w:t>
      </w:r>
      <w:r>
        <w:rPr>
          <w:rFonts w:hint="eastAsia" w:ascii="宋体" w:hAnsi="宋体"/>
          <w:szCs w:val="21"/>
        </w:rPr>
        <w:t>涉及国家利益、社会公共利益的情形</w:t>
      </w:r>
    </w:p>
    <w:p>
      <w:pPr>
        <w:widowControl/>
        <w:autoSpaceDE w:val="0"/>
        <w:autoSpaceDN w:val="0"/>
        <w:adjustRightInd w:val="0"/>
        <w:spacing w:line="460" w:lineRule="exact"/>
        <w:ind w:firstLine="420"/>
        <w:rPr>
          <w:rFonts w:hint="eastAsia" w:ascii="华文楷体" w:hAnsi="华文楷体" w:eastAsia="华文楷体" w:cs="华文楷体"/>
          <w:kern w:val="0"/>
          <w:szCs w:val="21"/>
        </w:rPr>
      </w:pPr>
      <w:r>
        <w:rPr>
          <w:rFonts w:hint="eastAsia" w:ascii="宋体" w:hAnsi="宋体" w:cs="宋体"/>
          <w:kern w:val="0"/>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17. 合同分包</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18. 不可抗力</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19. 解决争议的方法</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19.2 选择仲裁的，应在</w:t>
      </w:r>
      <w:r>
        <w:rPr>
          <w:rFonts w:hint="eastAsia" w:ascii="宋体" w:hAnsi="宋体" w:cs="宋体"/>
          <w:b/>
          <w:bCs/>
          <w:kern w:val="0"/>
          <w:szCs w:val="21"/>
        </w:rPr>
        <w:t>【政府采购合同专用条款】</w:t>
      </w:r>
      <w:r>
        <w:rPr>
          <w:rFonts w:hint="eastAsia" w:ascii="宋体" w:hAnsi="宋体" w:cs="宋体"/>
          <w:kern w:val="0"/>
          <w:szCs w:val="21"/>
        </w:rPr>
        <w:t>中明确仲裁机构及仲裁地；通过诉讼方式解决的，可以在</w:t>
      </w:r>
      <w:r>
        <w:rPr>
          <w:rFonts w:hint="eastAsia" w:ascii="宋体" w:hAnsi="宋体" w:cs="宋体"/>
          <w:b/>
          <w:bCs/>
          <w:kern w:val="0"/>
          <w:szCs w:val="21"/>
        </w:rPr>
        <w:t>【政府采购合同专用条款】</w:t>
      </w:r>
      <w:r>
        <w:rPr>
          <w:rFonts w:hint="eastAsia" w:ascii="宋体" w:hAnsi="宋体" w:cs="宋体"/>
          <w:kern w:val="0"/>
          <w:szCs w:val="21"/>
        </w:rPr>
        <w:t>中进一步约定选择与争议有实际联系的地点的人民法院管辖，但管辖法院的约定不得违反级别管辖和专属管辖的规定。</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19.3 如甲乙双方有争议的事项不影响合同其他部分的履行，在争议解决期间，合同其他部分应当继续履行。</w:t>
      </w:r>
    </w:p>
    <w:p>
      <w:pPr>
        <w:autoSpaceDE w:val="0"/>
        <w:autoSpaceDN w:val="0"/>
        <w:adjustRightInd w:val="0"/>
        <w:snapToGrid w:val="0"/>
        <w:spacing w:line="460" w:lineRule="exact"/>
        <w:ind w:firstLine="482"/>
        <w:jc w:val="left"/>
        <w:rPr>
          <w:rFonts w:hint="eastAsia" w:ascii="宋体" w:hAnsi="宋体"/>
          <w:sz w:val="24"/>
        </w:rPr>
      </w:pPr>
      <w:r>
        <w:rPr>
          <w:rFonts w:hint="eastAsia" w:ascii="宋体" w:hAnsi="宋体"/>
          <w:b/>
          <w:sz w:val="24"/>
        </w:rPr>
        <w:t>20. 政府采购政策</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60" w:lineRule="exact"/>
        <w:ind w:firstLine="42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spacing w:line="460" w:lineRule="exact"/>
        <w:ind w:firstLine="420"/>
        <w:rPr>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60" w:lineRule="exact"/>
        <w:ind w:firstLine="482"/>
        <w:jc w:val="left"/>
        <w:rPr>
          <w:rFonts w:hint="eastAsia" w:ascii="宋体" w:hAnsi="宋体"/>
          <w:b/>
          <w:sz w:val="24"/>
        </w:rPr>
      </w:pPr>
      <w:r>
        <w:rPr>
          <w:rFonts w:hint="eastAsia" w:ascii="宋体" w:hAnsi="宋体"/>
          <w:b/>
          <w:sz w:val="24"/>
        </w:rPr>
        <w:t>21. 法律适用</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21.1 本合同的订立、生效、解释、履行及与本合同有关的争议解决，均适用法律、行政法规。</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21.2 本合同条款与法律、行政法规的强制性规定不一致的，双方当事人应按照法律、行政法规的强制性规定修改本合同的相关条款。</w:t>
      </w:r>
    </w:p>
    <w:p>
      <w:pPr>
        <w:autoSpaceDE w:val="0"/>
        <w:autoSpaceDN w:val="0"/>
        <w:adjustRightInd w:val="0"/>
        <w:snapToGrid w:val="0"/>
        <w:spacing w:line="460" w:lineRule="exact"/>
        <w:ind w:firstLine="420" w:firstLineChars="0"/>
        <w:jc w:val="left"/>
        <w:rPr>
          <w:rFonts w:hint="eastAsia" w:ascii="宋体" w:hAnsi="宋体"/>
          <w:b/>
          <w:sz w:val="24"/>
        </w:rPr>
      </w:pPr>
      <w:r>
        <w:rPr>
          <w:rFonts w:hint="eastAsia" w:ascii="宋体" w:hAnsi="宋体"/>
          <w:b/>
          <w:sz w:val="24"/>
        </w:rPr>
        <w:t>22. 通知</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22.1 本合同任何一方向对方发出的通知、信件、数据电文等，应当发送至本合同第一部分《政府采购合同协议书》所约定的通讯地址、联系人、联系电话或电子邮箱。</w:t>
      </w:r>
    </w:p>
    <w:p>
      <w:pPr>
        <w:widowControl/>
        <w:autoSpaceDE w:val="0"/>
        <w:autoSpaceDN w:val="0"/>
        <w:adjustRightInd w:val="0"/>
        <w:spacing w:line="460" w:lineRule="exact"/>
        <w:ind w:firstLine="420"/>
        <w:rPr>
          <w:rFonts w:hint="eastAsia" w:ascii="华文楷体" w:hAnsi="华文楷体" w:eastAsia="华文楷体" w:cs="华文楷体"/>
          <w:kern w:val="0"/>
          <w:szCs w:val="21"/>
        </w:rPr>
      </w:pPr>
      <w:r>
        <w:rPr>
          <w:rFonts w:hint="eastAsia" w:ascii="宋体" w:hAnsi="宋体" w:cs="宋体"/>
          <w:kern w:val="0"/>
          <w:szCs w:val="21"/>
        </w:rPr>
        <w:t>22.2 一方当事人变更名称、住所、联系人、联系电话或电子邮箱等信息的，应当在变更后3日内及时书面通知对方，对方实际收到变更通知前的送达仍为有效送达。</w:t>
      </w:r>
    </w:p>
    <w:p>
      <w:pPr>
        <w:adjustRightInd w:val="0"/>
        <w:snapToGrid w:val="0"/>
        <w:spacing w:line="460" w:lineRule="exact"/>
        <w:ind w:firstLine="42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60" w:lineRule="exact"/>
        <w:ind w:firstLine="420"/>
        <w:jc w:val="left"/>
        <w:rPr>
          <w:rFonts w:hint="eastAsia" w:ascii="宋体" w:hAnsi="宋体"/>
          <w:szCs w:val="21"/>
        </w:rPr>
      </w:pPr>
      <w:r>
        <w:rPr>
          <w:rFonts w:hint="eastAsia" w:ascii="宋体" w:hAnsi="宋体"/>
          <w:szCs w:val="21"/>
        </w:rPr>
        <w:t>22.4通知以送达之日或通知书中规定的生效之日起生效，两者中以较迟之日为准。</w:t>
      </w:r>
    </w:p>
    <w:p>
      <w:pPr>
        <w:numPr>
          <w:ilvl w:val="0"/>
          <w:numId w:val="15"/>
        </w:numPr>
        <w:adjustRightInd w:val="0"/>
        <w:snapToGrid w:val="0"/>
        <w:spacing w:line="460" w:lineRule="exact"/>
        <w:ind w:firstLine="482"/>
        <w:jc w:val="left"/>
        <w:rPr>
          <w:rFonts w:hint="eastAsia" w:ascii="宋体" w:hAnsi="宋体"/>
          <w:b/>
          <w:bCs/>
          <w:sz w:val="24"/>
        </w:rPr>
      </w:pPr>
      <w:r>
        <w:rPr>
          <w:rFonts w:hint="eastAsia" w:ascii="宋体" w:hAnsi="宋体"/>
          <w:b/>
          <w:bCs/>
          <w:sz w:val="24"/>
        </w:rPr>
        <w:t>合同未尽事项</w:t>
      </w:r>
    </w:p>
    <w:p>
      <w:pPr>
        <w:adjustRightInd w:val="0"/>
        <w:snapToGrid w:val="0"/>
        <w:spacing w:line="460" w:lineRule="exact"/>
        <w:ind w:firstLine="42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pPr>
        <w:adjustRightInd w:val="0"/>
        <w:snapToGrid w:val="0"/>
        <w:spacing w:line="460" w:lineRule="exact"/>
        <w:ind w:firstLine="420"/>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277" w:name="_Toc20313"/>
    </w:p>
    <w:p>
      <w:pPr>
        <w:adjustRightInd w:val="0"/>
        <w:snapToGrid w:val="0"/>
        <w:ind w:firstLine="56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ind w:firstLine="560"/>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277"/>
    </w:p>
    <w:tbl>
      <w:tblPr>
        <w:tblStyle w:val="49"/>
        <w:tblW w:w="0" w:type="auto"/>
        <w:tblInd w:w="-15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2362"/>
        <w:gridCol w:w="595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第1.2（6）项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联合体具体要求</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第1.2（7）项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其他术语解释</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第4.4款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履约验收中甲方提出异议或作出说明的期限</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第4.6款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约定甲方承担的其他义务和责任</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snapToGrid w:val="0"/>
              <w:ind w:firstLine="420"/>
              <w:jc w:val="center"/>
            </w:pPr>
            <w:r>
              <w:rPr>
                <w:rFonts w:hint="eastAsia" w:ascii="宋体" w:hAnsi="宋体"/>
                <w:szCs w:val="21"/>
              </w:rPr>
              <w:t>第5.4款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约定乙方承担的其他义务和责任</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snapToGrid w:val="0"/>
              <w:ind w:firstLine="420"/>
              <w:jc w:val="center"/>
              <w:rPr>
                <w:rFonts w:hint="eastAsia" w:ascii="宋体" w:hAnsi="宋体"/>
                <w:szCs w:val="21"/>
              </w:rPr>
            </w:pPr>
            <w:r>
              <w:rPr>
                <w:rFonts w:hint="eastAsia" w:ascii="宋体" w:hAnsi="宋体"/>
                <w:szCs w:val="21"/>
              </w:rPr>
              <w:t>第6.1款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履行合同义务的顺序</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restart"/>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第7.1款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包装特殊要求</w:t>
            </w:r>
          </w:p>
        </w:tc>
        <w:tc>
          <w:tcPr>
            <w:tcW w:w="5954" w:type="dxa"/>
            <w:vAlign w:val="center"/>
          </w:tcPr>
          <w:p>
            <w:pPr>
              <w:ind w:firstLine="420"/>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continue"/>
            <w:vAlign w:val="center"/>
          </w:tcPr>
          <w:p>
            <w:pPr>
              <w:adjustRightInd w:val="0"/>
              <w:snapToGrid w:val="0"/>
              <w:ind w:firstLine="420"/>
              <w:jc w:val="center"/>
              <w:rPr>
                <w:rFonts w:hint="eastAsia" w:ascii="宋体" w:hAnsi="宋体"/>
                <w:szCs w:val="21"/>
              </w:rPr>
            </w:pP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指定现场</w:t>
            </w:r>
          </w:p>
        </w:tc>
        <w:tc>
          <w:tcPr>
            <w:tcW w:w="5954" w:type="dxa"/>
            <w:vAlign w:val="center"/>
          </w:tcPr>
          <w:p>
            <w:pPr>
              <w:ind w:firstLine="420"/>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第7.2款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运输特殊要求</w:t>
            </w:r>
          </w:p>
        </w:tc>
        <w:tc>
          <w:tcPr>
            <w:tcW w:w="5954" w:type="dxa"/>
            <w:vAlign w:val="center"/>
          </w:tcPr>
          <w:p>
            <w:pPr>
              <w:ind w:firstLine="420"/>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第7.3款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保险要求</w:t>
            </w:r>
          </w:p>
        </w:tc>
        <w:tc>
          <w:tcPr>
            <w:tcW w:w="5954" w:type="dxa"/>
            <w:vAlign w:val="center"/>
          </w:tcPr>
          <w:p>
            <w:pPr>
              <w:ind w:firstLine="420"/>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第8.2（1）项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质量保证期</w:t>
            </w:r>
          </w:p>
        </w:tc>
        <w:tc>
          <w:tcPr>
            <w:tcW w:w="5954" w:type="dxa"/>
            <w:vAlign w:val="center"/>
          </w:tcPr>
          <w:p>
            <w:pPr>
              <w:autoSpaceDE w:val="0"/>
              <w:autoSpaceDN w:val="0"/>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第8.2（3）项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货物质量缺陷</w:t>
            </w:r>
          </w:p>
          <w:p>
            <w:pPr>
              <w:adjustRightInd w:val="0"/>
              <w:snapToGrid w:val="0"/>
              <w:ind w:firstLine="420"/>
              <w:jc w:val="left"/>
              <w:rPr>
                <w:rFonts w:hint="eastAsia" w:ascii="宋体" w:hAnsi="宋体"/>
                <w:szCs w:val="21"/>
              </w:rPr>
            </w:pPr>
            <w:r>
              <w:rPr>
                <w:rFonts w:hint="eastAsia" w:ascii="宋体" w:hAnsi="宋体"/>
                <w:szCs w:val="21"/>
              </w:rPr>
              <w:t>响应时间</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snapToGrid w:val="0"/>
              <w:ind w:firstLine="420"/>
              <w:jc w:val="center"/>
              <w:rPr>
                <w:rFonts w:hint="eastAsia" w:ascii="宋体" w:hAnsi="宋体" w:cs="宋体"/>
                <w:szCs w:val="21"/>
              </w:rPr>
            </w:pPr>
            <w:r>
              <w:rPr>
                <w:rFonts w:hint="eastAsia" w:ascii="宋体" w:hAnsi="宋体" w:cs="宋体"/>
                <w:szCs w:val="21"/>
              </w:rPr>
              <w:t>第二节</w:t>
            </w:r>
          </w:p>
          <w:p>
            <w:pPr>
              <w:widowControl/>
              <w:autoSpaceDE w:val="0"/>
              <w:autoSpaceDN w:val="0"/>
              <w:adjustRightInd w:val="0"/>
              <w:ind w:firstLine="440"/>
              <w:jc w:val="center"/>
              <w:rPr>
                <w:rFonts w:hint="eastAsia" w:ascii="华文楷体" w:hAnsi="华文楷体" w:eastAsia="华文楷体" w:cs="华文楷体"/>
                <w:kern w:val="0"/>
                <w:sz w:val="22"/>
                <w:szCs w:val="21"/>
              </w:rPr>
            </w:pPr>
            <w:r>
              <w:rPr>
                <w:rFonts w:hint="eastAsia" w:ascii="宋体" w:hAnsi="宋体" w:cs="宋体"/>
                <w:kern w:val="0"/>
                <w:sz w:val="22"/>
                <w:szCs w:val="21"/>
              </w:rPr>
              <w:t>第11.1款</w:t>
            </w:r>
          </w:p>
        </w:tc>
        <w:tc>
          <w:tcPr>
            <w:tcW w:w="2362" w:type="dxa"/>
            <w:vAlign w:val="center"/>
          </w:tcPr>
          <w:p>
            <w:pPr>
              <w:adjustRightInd w:val="0"/>
              <w:snapToGrid w:val="0"/>
              <w:ind w:firstLine="420"/>
              <w:rPr>
                <w:rFonts w:hint="eastAsia" w:ascii="宋体" w:hAnsi="宋体"/>
                <w:szCs w:val="21"/>
              </w:rPr>
            </w:pPr>
            <w:r>
              <w:rPr>
                <w:rFonts w:hint="eastAsia" w:ascii="宋体" w:hAnsi="宋体"/>
                <w:szCs w:val="21"/>
              </w:rPr>
              <w:t>其他应当保密的信息</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第12.2款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合同价款支付时间</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第13.2款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履约保证金不予退还的情形</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第13.3款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履约保证金退还时间及逾期退还的违约金</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第14.1（3）项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运行监督、维修期限</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第14.1（5）项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货物回收的约定</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第14.1（6）项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乙方提供的其他服务</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第15.1款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修理、重作、更换相关具体规定</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第15.2（2）项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迟延交货赔偿费</w:t>
            </w:r>
          </w:p>
        </w:tc>
        <w:tc>
          <w:tcPr>
            <w:tcW w:w="5954" w:type="dxa"/>
            <w:vAlign w:val="center"/>
          </w:tcPr>
          <w:p>
            <w:pPr>
              <w:adjustRightInd w:val="0"/>
              <w:snapToGrid w:val="0"/>
              <w:ind w:firstLine="42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第15.3款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逾期付款利息</w:t>
            </w:r>
          </w:p>
        </w:tc>
        <w:tc>
          <w:tcPr>
            <w:tcW w:w="5954" w:type="dxa"/>
            <w:vAlign w:val="center"/>
          </w:tcPr>
          <w:p>
            <w:pPr>
              <w:adjustRightInd w:val="0"/>
              <w:snapToGrid w:val="0"/>
              <w:ind w:firstLine="42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72" w:type="dxa"/>
            <w:tcBorders>
              <w:bottom w:val="single" w:color="auto" w:sz="2" w:space="0"/>
              <w:right w:val="single" w:color="auto" w:sz="2" w:space="0"/>
            </w:tcBorders>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第15.4款</w:t>
            </w:r>
          </w:p>
        </w:tc>
        <w:tc>
          <w:tcPr>
            <w:tcW w:w="2362" w:type="dxa"/>
            <w:tcBorders>
              <w:left w:val="single" w:color="auto" w:sz="2" w:space="0"/>
              <w:bottom w:val="single" w:color="auto" w:sz="2" w:space="0"/>
              <w:right w:val="single" w:color="auto" w:sz="2" w:space="0"/>
            </w:tcBorders>
            <w:vAlign w:val="center"/>
          </w:tcPr>
          <w:p>
            <w:pPr>
              <w:adjustRightInd w:val="0"/>
              <w:snapToGrid w:val="0"/>
              <w:ind w:firstLine="420"/>
              <w:jc w:val="left"/>
              <w:rPr>
                <w:rFonts w:hint="eastAsia" w:ascii="宋体" w:hAnsi="宋体"/>
                <w:szCs w:val="21"/>
              </w:rPr>
            </w:pPr>
            <w:r>
              <w:rPr>
                <w:rFonts w:hint="eastAsia" w:ascii="宋体" w:hAnsi="宋体"/>
                <w:szCs w:val="21"/>
              </w:rPr>
              <w:t>其他违约责任</w:t>
            </w:r>
          </w:p>
        </w:tc>
        <w:tc>
          <w:tcPr>
            <w:tcW w:w="5954" w:type="dxa"/>
            <w:tcBorders>
              <w:left w:val="single" w:color="auto" w:sz="2" w:space="0"/>
              <w:bottom w:val="single" w:color="auto" w:sz="2" w:space="0"/>
            </w:tcBorders>
            <w:vAlign w:val="center"/>
          </w:tcPr>
          <w:p>
            <w:pPr>
              <w:adjustRightInd w:val="0"/>
              <w:snapToGrid w:val="0"/>
              <w:ind w:firstLine="42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72" w:type="dxa"/>
            <w:tcBorders>
              <w:top w:val="single" w:color="auto" w:sz="2" w:space="0"/>
              <w:right w:val="single" w:color="auto" w:sz="2" w:space="0"/>
            </w:tcBorders>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第19.2款</w:t>
            </w:r>
          </w:p>
        </w:tc>
        <w:tc>
          <w:tcPr>
            <w:tcW w:w="2362" w:type="dxa"/>
            <w:tcBorders>
              <w:top w:val="single" w:color="auto" w:sz="2" w:space="0"/>
              <w:left w:val="single" w:color="auto" w:sz="2" w:space="0"/>
              <w:right w:val="single" w:color="auto" w:sz="2" w:space="0"/>
            </w:tcBorders>
            <w:vAlign w:val="center"/>
          </w:tcPr>
          <w:p>
            <w:pPr>
              <w:adjustRightInd w:val="0"/>
              <w:snapToGrid w:val="0"/>
              <w:ind w:firstLine="420"/>
              <w:jc w:val="left"/>
              <w:rPr>
                <w:rFonts w:hint="eastAsia" w:ascii="宋体" w:hAnsi="宋体"/>
                <w:szCs w:val="21"/>
              </w:rPr>
            </w:pPr>
            <w:r>
              <w:rPr>
                <w:rFonts w:hint="eastAsia" w:ascii="宋体" w:hAnsi="宋体"/>
                <w:szCs w:val="21"/>
              </w:rPr>
              <w:t>解决争议的方法</w:t>
            </w:r>
          </w:p>
        </w:tc>
        <w:tc>
          <w:tcPr>
            <w:tcW w:w="5954" w:type="dxa"/>
            <w:tcBorders>
              <w:top w:val="single" w:color="auto" w:sz="2" w:space="0"/>
              <w:left w:val="single" w:color="auto" w:sz="2" w:space="0"/>
            </w:tcBorders>
            <w:vAlign w:val="center"/>
          </w:tcPr>
          <w:p>
            <w:pPr>
              <w:autoSpaceDE w:val="0"/>
              <w:autoSpaceDN w:val="0"/>
              <w:adjustRightInd w:val="0"/>
              <w:snapToGrid w:val="0"/>
              <w:ind w:firstLine="420"/>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ind w:firstLine="420"/>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ind w:firstLine="42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第23.1款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bCs/>
                <w:szCs w:val="21"/>
              </w:rPr>
              <w:t>其他专用条款</w:t>
            </w:r>
          </w:p>
        </w:tc>
        <w:tc>
          <w:tcPr>
            <w:tcW w:w="5954" w:type="dxa"/>
            <w:vAlign w:val="center"/>
          </w:tcPr>
          <w:p>
            <w:pPr>
              <w:adjustRightInd w:val="0"/>
              <w:snapToGrid w:val="0"/>
              <w:ind w:firstLine="420"/>
              <w:jc w:val="left"/>
              <w:rPr>
                <w:rFonts w:hint="eastAsia" w:ascii="宋体" w:hAnsi="宋体"/>
                <w:szCs w:val="21"/>
              </w:rPr>
            </w:pPr>
          </w:p>
        </w:tc>
      </w:tr>
    </w:tbl>
    <w:p>
      <w:pPr>
        <w:widowControl/>
        <w:ind w:firstLine="420"/>
        <w:jc w:val="left"/>
        <w:rPr>
          <w:rFonts w:ascii="宋体" w:hAnsi="Courier New" w:cs="Courier New"/>
          <w:szCs w:val="21"/>
        </w:rPr>
      </w:pPr>
    </w:p>
    <w:p>
      <w:pPr>
        <w:widowControl/>
        <w:ind w:firstLine="0" w:firstLineChars="0"/>
        <w:jc w:val="left"/>
        <w:rPr>
          <w:rFonts w:ascii="宋体" w:hAnsi="Courier New" w:cs="Courier New"/>
          <w:szCs w:val="21"/>
        </w:rPr>
      </w:pPr>
      <w:r>
        <w:rPr>
          <w:rFonts w:ascii="宋体" w:hAnsi="Courier New" w:cs="Courier New"/>
          <w:szCs w:val="21"/>
        </w:rPr>
        <w:br w:type="page"/>
      </w:r>
    </w:p>
    <w:p>
      <w:pPr>
        <w:ind w:firstLine="0" w:firstLineChars="0"/>
      </w:pPr>
      <w:bookmarkStart w:id="278" w:name="_Hlk92701478"/>
    </w:p>
    <w:bookmarkEnd w:id="278"/>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pStyle w:val="46"/>
        <w:ind w:left="0" w:leftChars="0" w:right="0" w:rightChars="0" w:firstLine="0" w:firstLineChars="0"/>
        <w:jc w:val="center"/>
      </w:pPr>
      <w:bookmarkStart w:id="279" w:name="_Toc352700352"/>
      <w:bookmarkStart w:id="280" w:name="_Toc91512288"/>
      <w:bookmarkStart w:id="281" w:name="_Toc352700448"/>
      <w:r>
        <w:rPr>
          <w:rFonts w:hint="eastAsia"/>
        </w:rPr>
        <w:t>第六章　投标文件格式</w:t>
      </w:r>
      <w:bookmarkEnd w:id="279"/>
      <w:bookmarkEnd w:id="280"/>
      <w:bookmarkEnd w:id="281"/>
    </w:p>
    <w:p>
      <w:pPr>
        <w:pStyle w:val="28"/>
        <w:ind w:firstLine="0" w:firstLineChars="0"/>
        <w:rPr>
          <w:rFonts w:hint="eastAsia" w:hAnsi="宋体"/>
          <w:b/>
          <w:sz w:val="32"/>
          <w:szCs w:val="32"/>
        </w:rPr>
      </w:pPr>
      <w:r>
        <w:rPr>
          <w:rFonts w:hAnsi="宋体"/>
        </w:rPr>
        <w:br w:type="page"/>
      </w:r>
      <w:r>
        <w:rPr>
          <w:rFonts w:hAnsi="宋体"/>
        </w:rPr>
        <w:t xml:space="preserve"> </w:t>
      </w:r>
      <w:r>
        <w:rPr>
          <w:rFonts w:hint="eastAsia" w:hAnsi="宋体"/>
          <w:b/>
          <w:sz w:val="32"/>
          <w:szCs w:val="32"/>
        </w:rPr>
        <w:t>一、资格文件</w:t>
      </w:r>
    </w:p>
    <w:p>
      <w:pPr>
        <w:tabs>
          <w:tab w:val="left" w:pos="3402"/>
        </w:tabs>
        <w:spacing w:line="320" w:lineRule="exact"/>
        <w:ind w:firstLine="0" w:firstLineChars="0"/>
        <w:jc w:val="left"/>
        <w:rPr>
          <w:rFonts w:hint="eastAsia" w:ascii="仿宋_GB2312" w:hAnsi="Adobe 仿宋 Std R" w:eastAsia="仿宋_GB2312"/>
          <w:b/>
          <w:spacing w:val="10"/>
          <w:sz w:val="32"/>
          <w:szCs w:val="32"/>
        </w:rPr>
      </w:pPr>
    </w:p>
    <w:p>
      <w:pPr>
        <w:tabs>
          <w:tab w:val="left" w:pos="3402"/>
        </w:tabs>
        <w:spacing w:line="240" w:lineRule="auto"/>
        <w:ind w:firstLine="602" w:firstLineChars="0"/>
        <w:jc w:val="center"/>
        <w:rPr>
          <w:rFonts w:hint="eastAsia" w:ascii="仿宋_GB2312" w:hAnsi="Adobe 仿宋 Std R" w:eastAsia="仿宋_GB2312"/>
          <w:b/>
          <w:spacing w:val="10"/>
          <w:sz w:val="32"/>
          <w:szCs w:val="32"/>
        </w:rPr>
      </w:pPr>
      <w:r>
        <w:rPr>
          <w:rFonts w:hint="eastAsia" w:ascii="仿宋_GB2312" w:hAnsi="Adobe 仿宋 Std R" w:eastAsia="仿宋_GB2312"/>
          <w:b/>
          <w:spacing w:val="10"/>
          <w:sz w:val="32"/>
          <w:szCs w:val="32"/>
        </w:rPr>
        <w:t>投标人具备参加政府采购活动条件的承诺书</w:t>
      </w:r>
      <w:r>
        <w:rPr>
          <w:rFonts w:hint="eastAsia" w:ascii="仿宋_GB2312" w:hAnsi="Adobe 仿宋 Std R" w:eastAsia="仿宋_GB2312" w:cs="黑体"/>
          <w:bCs/>
          <w:sz w:val="24"/>
        </w:rPr>
        <w:t>(格式)</w:t>
      </w:r>
    </w:p>
    <w:p>
      <w:pPr>
        <w:tabs>
          <w:tab w:val="left" w:pos="3402"/>
        </w:tabs>
        <w:spacing w:line="240" w:lineRule="auto"/>
        <w:ind w:firstLine="0" w:firstLineChars="0"/>
        <w:jc w:val="left"/>
        <w:rPr>
          <w:rFonts w:hint="eastAsia" w:ascii="仿宋_GB2312" w:hAnsi="仿宋" w:eastAsia="仿宋_GB2312"/>
          <w:b/>
          <w:spacing w:val="10"/>
          <w:szCs w:val="21"/>
        </w:rPr>
      </w:pPr>
    </w:p>
    <w:p>
      <w:pPr>
        <w:spacing w:line="520" w:lineRule="exact"/>
        <w:ind w:firstLine="0" w:firstLineChars="0"/>
        <w:rPr>
          <w:rFonts w:hint="eastAsia" w:ascii="宋体" w:hAnsi="宋体"/>
          <w:bCs/>
          <w:szCs w:val="22"/>
        </w:rPr>
      </w:pPr>
      <w:r>
        <w:rPr>
          <w:rFonts w:hint="eastAsia" w:ascii="宋体" w:hAnsi="宋体"/>
          <w:bCs/>
          <w:szCs w:val="22"/>
        </w:rPr>
        <w:t>钦州市政府采购中心：</w:t>
      </w:r>
    </w:p>
    <w:p>
      <w:pPr>
        <w:spacing w:line="520" w:lineRule="exact"/>
        <w:ind w:firstLine="420" w:firstLineChars="0"/>
        <w:rPr>
          <w:rFonts w:hint="eastAsia" w:ascii="宋体" w:hAnsi="宋体"/>
          <w:bCs/>
          <w:szCs w:val="22"/>
        </w:rPr>
      </w:pPr>
      <w:r>
        <w:rPr>
          <w:rFonts w:hint="eastAsia" w:ascii="宋体" w:hAnsi="宋体"/>
          <w:bCs/>
          <w:szCs w:val="22"/>
        </w:rPr>
        <w:t>根据《中华人民共和国政府采购法》实施条例第十七条的规定，现郑重承诺：</w:t>
      </w:r>
    </w:p>
    <w:p>
      <w:pPr>
        <w:spacing w:line="520" w:lineRule="exact"/>
        <w:ind w:firstLine="420" w:firstLineChars="0"/>
        <w:rPr>
          <w:rFonts w:hint="eastAsia" w:ascii="宋体" w:hAnsi="宋体"/>
          <w:bCs/>
          <w:szCs w:val="22"/>
        </w:rPr>
      </w:pPr>
      <w:r>
        <w:rPr>
          <w:rFonts w:ascii="宋体" w:hAnsi="宋体"/>
          <w:bCs/>
          <w:szCs w:val="22"/>
          <w:u w:val="single"/>
        </w:rPr>
        <w:t>(</w:t>
      </w:r>
      <w:r>
        <w:rPr>
          <w:rFonts w:hint="eastAsia" w:ascii="宋体" w:hAnsi="宋体"/>
          <w:bCs/>
          <w:szCs w:val="22"/>
          <w:u w:val="single"/>
        </w:rPr>
        <w:t>投标人名称)</w:t>
      </w:r>
      <w:r>
        <w:rPr>
          <w:rFonts w:hint="eastAsia" w:ascii="宋体" w:hAnsi="宋体"/>
          <w:bCs/>
          <w:szCs w:val="22"/>
        </w:rPr>
        <w:t>具有良好的商业信誉和健全的财务会计制度，具有履行合同所必需的设备和专业技术能力，有依法缴纳税收和社会保障资金的良好记录。</w:t>
      </w:r>
    </w:p>
    <w:p>
      <w:pPr>
        <w:spacing w:line="520" w:lineRule="exact"/>
        <w:ind w:firstLine="420" w:firstLineChars="0"/>
        <w:rPr>
          <w:rFonts w:hint="eastAsia" w:ascii="宋体" w:hAnsi="宋体"/>
          <w:bCs/>
          <w:szCs w:val="22"/>
        </w:rPr>
      </w:pPr>
      <w:r>
        <w:rPr>
          <w:rFonts w:hint="eastAsia" w:ascii="宋体" w:hAnsi="宋体"/>
          <w:bCs/>
          <w:szCs w:val="22"/>
        </w:rPr>
        <w:t>本单位对上述承诺内容事项真实性负责，如有虚假，由我单位承担相关法律责任。</w:t>
      </w:r>
    </w:p>
    <w:p>
      <w:pPr>
        <w:spacing w:line="520" w:lineRule="exact"/>
        <w:ind w:firstLine="420" w:firstLineChars="0"/>
        <w:rPr>
          <w:rFonts w:hint="eastAsia" w:ascii="宋体" w:hAnsi="宋体"/>
          <w:bCs/>
          <w:szCs w:val="22"/>
        </w:rPr>
      </w:pPr>
      <w:r>
        <w:rPr>
          <w:rFonts w:hint="eastAsia" w:ascii="宋体" w:hAnsi="宋体"/>
          <w:bCs/>
          <w:szCs w:val="22"/>
        </w:rPr>
        <w:t>特此承诺。</w:t>
      </w:r>
    </w:p>
    <w:p>
      <w:pPr>
        <w:spacing w:line="240" w:lineRule="auto"/>
        <w:ind w:firstLine="420" w:firstLineChars="0"/>
        <w:rPr>
          <w:rFonts w:hint="eastAsia" w:ascii="宋体" w:hAnsi="宋体"/>
          <w:bCs/>
          <w:szCs w:val="22"/>
        </w:rPr>
      </w:pPr>
    </w:p>
    <w:p>
      <w:pPr>
        <w:spacing w:line="240" w:lineRule="auto"/>
        <w:ind w:firstLine="420" w:firstLineChars="0"/>
        <w:rPr>
          <w:rFonts w:hint="eastAsia" w:ascii="宋体" w:hAnsi="宋体"/>
          <w:bCs/>
          <w:szCs w:val="22"/>
        </w:rPr>
      </w:pPr>
    </w:p>
    <w:p>
      <w:pPr>
        <w:spacing w:line="240" w:lineRule="auto"/>
        <w:ind w:firstLine="420" w:firstLineChars="0"/>
        <w:rPr>
          <w:rFonts w:hint="eastAsia" w:ascii="宋体" w:hAnsi="宋体"/>
          <w:bCs/>
          <w:szCs w:val="22"/>
        </w:rPr>
      </w:pPr>
    </w:p>
    <w:p>
      <w:pPr>
        <w:spacing w:line="440" w:lineRule="exact"/>
        <w:ind w:right="1050" w:rightChars="500" w:firstLine="5250" w:firstLineChars="2500"/>
        <w:jc w:val="left"/>
        <w:rPr>
          <w:rFonts w:hint="eastAsia"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投标人（盖章）：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firstLine="0" w:firstLineChars="0"/>
        <w:jc w:val="center"/>
        <w:rPr>
          <w:rFonts w:hint="eastAsia"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ind w:firstLine="0" w:firstLineChars="0"/>
      </w:pPr>
    </w:p>
    <w:p>
      <w:pPr>
        <w:ind w:firstLine="0" w:firstLineChars="0"/>
      </w:pPr>
    </w:p>
    <w:p>
      <w:pPr>
        <w:ind w:firstLine="0" w:firstLineChars="0"/>
      </w:pPr>
    </w:p>
    <w:p>
      <w:pPr>
        <w:tabs>
          <w:tab w:val="left" w:pos="3402"/>
        </w:tabs>
        <w:ind w:firstLine="683"/>
        <w:jc w:val="center"/>
        <w:rPr>
          <w:rFonts w:hint="eastAsia" w:ascii="仿宋_GB2312" w:hAnsi="仿宋" w:eastAsia="仿宋_GB2312"/>
          <w:b/>
          <w:spacing w:val="10"/>
          <w:sz w:val="28"/>
          <w:szCs w:val="28"/>
        </w:rPr>
      </w:pPr>
      <w:r>
        <w:rPr>
          <w:rFonts w:hint="eastAsia" w:ascii="仿宋_GB2312" w:hAnsi="仿宋" w:eastAsia="仿宋_GB2312"/>
          <w:b/>
          <w:spacing w:val="10"/>
          <w:sz w:val="32"/>
          <w:szCs w:val="32"/>
        </w:rPr>
        <w:t>无重大违法记录的书面声明</w:t>
      </w:r>
      <w:r>
        <w:rPr>
          <w:rFonts w:hint="eastAsia" w:ascii="仿宋_GB2312" w:hAnsi="仿宋" w:eastAsia="仿宋_GB2312"/>
          <w:bCs/>
          <w:spacing w:val="10"/>
          <w:sz w:val="24"/>
        </w:rPr>
        <w:t>（格式）</w:t>
      </w:r>
    </w:p>
    <w:p>
      <w:pPr>
        <w:tabs>
          <w:tab w:val="left" w:pos="3402"/>
        </w:tabs>
        <w:ind w:firstLine="0" w:firstLineChars="0"/>
        <w:jc w:val="left"/>
        <w:rPr>
          <w:rFonts w:hint="eastAsia" w:ascii="仿宋_GB2312" w:hAnsi="仿宋" w:eastAsia="仿宋_GB2312"/>
          <w:b/>
          <w:spacing w:val="10"/>
          <w:szCs w:val="21"/>
        </w:rPr>
      </w:pPr>
    </w:p>
    <w:p>
      <w:pPr>
        <w:spacing w:line="440" w:lineRule="exact"/>
        <w:ind w:firstLine="0" w:firstLineChars="0"/>
        <w:rPr>
          <w:rFonts w:hint="eastAsia" w:ascii="宋体" w:hAnsi="宋体"/>
          <w:bCs/>
        </w:rPr>
      </w:pPr>
      <w:r>
        <w:rPr>
          <w:rFonts w:hint="eastAsia" w:ascii="宋体" w:hAnsi="宋体"/>
          <w:bCs/>
        </w:rPr>
        <w:t>钦州市政府采购中心：</w:t>
      </w:r>
    </w:p>
    <w:p>
      <w:pPr>
        <w:spacing w:line="440" w:lineRule="exact"/>
        <w:ind w:firstLine="420"/>
        <w:rPr>
          <w:rFonts w:hint="eastAsia"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w:t>
      </w:r>
      <w:r>
        <w:rPr>
          <w:rFonts w:hint="eastAsia" w:ascii="宋体" w:hAnsi="宋体"/>
          <w:bCs/>
          <w:u w:val="single"/>
        </w:rPr>
        <w:t>（投标人名称）</w:t>
      </w:r>
      <w:r>
        <w:rPr>
          <w:rFonts w:hint="eastAsia" w:ascii="宋体" w:hAnsi="宋体"/>
          <w:bCs/>
        </w:rPr>
        <w:t>郑重声明：</w:t>
      </w:r>
    </w:p>
    <w:p>
      <w:pPr>
        <w:spacing w:line="440" w:lineRule="exact"/>
        <w:ind w:firstLine="420"/>
        <w:rPr>
          <w:rFonts w:hint="eastAsia" w:ascii="宋体" w:hAnsi="宋体"/>
          <w:bCs/>
        </w:rPr>
      </w:pPr>
      <w:r>
        <w:rPr>
          <w:rFonts w:ascii="宋体" w:hAnsi="宋体"/>
          <w:bCs/>
          <w:u w:val="single"/>
        </w:rPr>
        <w:t>(</w:t>
      </w:r>
      <w:r>
        <w:rPr>
          <w:rFonts w:hint="eastAsia" w:ascii="宋体" w:hAnsi="宋体"/>
          <w:bCs/>
          <w:u w:val="single"/>
        </w:rPr>
        <w:t>投标人名称)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pPr>
        <w:spacing w:line="440" w:lineRule="exact"/>
        <w:ind w:firstLine="420"/>
        <w:rPr>
          <w:rFonts w:hint="eastAsia" w:ascii="宋体" w:hAnsi="宋体"/>
          <w:bCs/>
        </w:rPr>
      </w:pPr>
      <w:r>
        <w:rPr>
          <w:rFonts w:hint="eastAsia" w:ascii="宋体" w:hAnsi="宋体"/>
          <w:bCs/>
        </w:rPr>
        <w:t>本单位对上述声明内容事项真实性负责，如有虚假，由我单位承担相关法律责任。</w:t>
      </w:r>
    </w:p>
    <w:p>
      <w:pPr>
        <w:ind w:firstLine="420"/>
        <w:rPr>
          <w:rFonts w:hint="eastAsia" w:ascii="宋体" w:hAnsi="宋体"/>
          <w:bCs/>
        </w:rPr>
      </w:pPr>
      <w:r>
        <w:rPr>
          <w:rFonts w:hint="eastAsia" w:ascii="宋体" w:hAnsi="宋体"/>
          <w:bCs/>
        </w:rPr>
        <w:t>特此声明。</w:t>
      </w:r>
    </w:p>
    <w:p>
      <w:pPr>
        <w:ind w:firstLine="420"/>
        <w:rPr>
          <w:rFonts w:hint="eastAsia" w:ascii="宋体" w:hAnsi="宋体"/>
          <w:bCs/>
        </w:rPr>
      </w:pPr>
    </w:p>
    <w:p>
      <w:pPr>
        <w:ind w:firstLine="420"/>
        <w:rPr>
          <w:rFonts w:hint="eastAsia" w:ascii="宋体" w:hAnsi="宋体"/>
          <w:bCs/>
        </w:rPr>
      </w:pPr>
    </w:p>
    <w:p>
      <w:pPr>
        <w:ind w:firstLine="420"/>
        <w:rPr>
          <w:rFonts w:hint="eastAsia" w:ascii="宋体" w:hAnsi="宋体"/>
          <w:bCs/>
        </w:rPr>
      </w:pPr>
    </w:p>
    <w:p>
      <w:pPr>
        <w:ind w:right="1050" w:rightChars="500" w:firstLine="4819" w:firstLineChars="2295"/>
        <w:jc w:val="left"/>
        <w:rPr>
          <w:rFonts w:hint="eastAsia"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投标人（盖章）：</w:t>
      </w:r>
      <w:r>
        <w:rPr>
          <w:rFonts w:hint="eastAsia" w:ascii="宋体" w:hAnsi="宋体"/>
          <w:bCs/>
          <w:u w:val="single"/>
        </w:rPr>
        <w:t xml:space="preserve">          </w:t>
      </w:r>
      <w:r>
        <w:rPr>
          <w:rFonts w:ascii="宋体" w:hAnsi="宋体"/>
          <w:bCs/>
          <w:u w:val="single"/>
        </w:rPr>
        <w:t xml:space="preserve"> </w:t>
      </w:r>
    </w:p>
    <w:p>
      <w:pPr>
        <w:ind w:right="1050" w:rightChars="500" w:firstLine="420"/>
        <w:jc w:val="right"/>
        <w:rPr>
          <w:rFonts w:hint="eastAsia" w:ascii="宋体" w:hAnsi="宋体"/>
          <w:bCs/>
        </w:rPr>
      </w:pPr>
      <w:r>
        <w:rPr>
          <w:rFonts w:hint="eastAsia" w:ascii="宋体" w:hAnsi="宋体"/>
          <w:bCs/>
        </w:rPr>
        <w:t>日期：</w:t>
      </w:r>
      <w:bookmarkStart w:id="282" w:name="_Hlk112336125"/>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bookmarkEnd w:id="282"/>
    </w:p>
    <w:p>
      <w:pPr>
        <w:snapToGrid w:val="0"/>
        <w:spacing w:before="156" w:beforeLines="50" w:after="50" w:line="360" w:lineRule="exact"/>
        <w:ind w:firstLine="0" w:firstLineChars="0"/>
        <w:jc w:val="left"/>
        <w:rPr>
          <w:rFonts w:hint="eastAsia" w:ascii="宋体" w:hAnsi="宋体"/>
          <w:b/>
          <w:sz w:val="32"/>
          <w:szCs w:val="32"/>
        </w:rPr>
      </w:pPr>
      <w:r>
        <w:rPr>
          <w:rFonts w:ascii="宋体" w:hAnsi="宋体"/>
          <w:b/>
          <w:sz w:val="32"/>
          <w:szCs w:val="32"/>
        </w:rPr>
        <w:br w:type="page"/>
      </w:r>
      <w:r>
        <w:rPr>
          <w:rFonts w:hint="eastAsia" w:ascii="宋体" w:hAnsi="宋体"/>
          <w:b/>
          <w:sz w:val="32"/>
          <w:szCs w:val="32"/>
        </w:rPr>
        <w:t>二、资信技术文件</w:t>
      </w:r>
    </w:p>
    <w:p>
      <w:pPr>
        <w:snapToGrid w:val="0"/>
        <w:spacing w:before="156" w:beforeLines="50" w:after="50" w:line="360" w:lineRule="exact"/>
        <w:ind w:firstLine="0" w:firstLineChars="0"/>
        <w:jc w:val="center"/>
        <w:rPr>
          <w:rFonts w:hint="eastAsia" w:ascii="仿宋_GB2312" w:hAnsi="宋体" w:eastAsia="仿宋_GB2312"/>
          <w:b/>
          <w:sz w:val="28"/>
          <w:szCs w:val="28"/>
        </w:rPr>
      </w:pPr>
      <w:r>
        <w:rPr>
          <w:rFonts w:hint="eastAsia" w:ascii="仿宋_GB2312" w:hAnsi="宋体" w:eastAsia="仿宋_GB2312"/>
          <w:b/>
          <w:sz w:val="28"/>
          <w:szCs w:val="28"/>
        </w:rPr>
        <w:t>投 标 函</w:t>
      </w:r>
      <w:r>
        <w:rPr>
          <w:rFonts w:hint="eastAsia" w:ascii="仿宋_GB2312" w:hAnsi="宋体" w:eastAsia="仿宋_GB2312"/>
          <w:bCs/>
          <w:sz w:val="24"/>
        </w:rPr>
        <w:t>（格式）</w:t>
      </w:r>
    </w:p>
    <w:p>
      <w:pPr>
        <w:ind w:firstLine="0" w:firstLineChars="0"/>
        <w:rPr>
          <w:rFonts w:hint="eastAsia" w:ascii="宋体" w:hAnsi="宋体"/>
          <w:szCs w:val="21"/>
        </w:rPr>
      </w:pPr>
      <w:r>
        <w:rPr>
          <w:rFonts w:hint="eastAsia" w:ascii="宋体" w:hAnsi="宋体"/>
          <w:szCs w:val="21"/>
        </w:rPr>
        <w:t>致：钦州市政府采购中心：</w:t>
      </w:r>
    </w:p>
    <w:p>
      <w:pPr>
        <w:ind w:firstLine="0" w:firstLineChars="0"/>
        <w:rPr>
          <w:rFonts w:hint="eastAsia" w:ascii="宋体" w:hAnsi="宋体"/>
          <w:szCs w:val="21"/>
        </w:rPr>
      </w:pPr>
    </w:p>
    <w:p>
      <w:pPr>
        <w:ind w:firstLine="0" w:firstLineChars="0"/>
        <w:jc w:val="left"/>
        <w:rPr>
          <w:rFonts w:hint="eastAsia" w:ascii="宋体" w:hAnsi="宋体"/>
          <w:szCs w:val="21"/>
        </w:rPr>
      </w:pPr>
      <w:r>
        <w:rPr>
          <w:rFonts w:ascii="宋体" w:hAnsi="宋体"/>
          <w:szCs w:val="21"/>
        </w:rPr>
        <w:tab/>
      </w:r>
      <w:r>
        <w:rPr>
          <w:rFonts w:hint="eastAsia" w:ascii="宋体" w:hAnsi="宋体"/>
          <w:szCs w:val="21"/>
        </w:rPr>
        <w:t>根据贵方为</w:t>
      </w:r>
      <w:r>
        <w:rPr>
          <w:rFonts w:hint="eastAsia" w:ascii="宋体" w:hAnsi="宋体"/>
          <w:szCs w:val="21"/>
          <w:u w:val="single"/>
        </w:rPr>
        <w:t xml:space="preserve">   （项目名称）</w:t>
      </w:r>
      <w:r>
        <w:rPr>
          <w:rFonts w:ascii="宋体" w:hAnsi="宋体"/>
          <w:szCs w:val="21"/>
          <w:u w:val="single"/>
        </w:rPr>
        <w:t xml:space="preserve">   </w:t>
      </w:r>
      <w:r>
        <w:rPr>
          <w:rFonts w:hint="eastAsia" w:ascii="宋体" w:hAnsi="宋体"/>
          <w:szCs w:val="21"/>
        </w:rPr>
        <w:t>招标文件</w:t>
      </w:r>
      <w:r>
        <w:rPr>
          <w:rFonts w:hint="eastAsia" w:ascii="宋体" w:hAnsi="宋体"/>
          <w:szCs w:val="21"/>
          <w:u w:val="single"/>
        </w:rPr>
        <w:t xml:space="preserve"> （项目编号及分标号）</w:t>
      </w:r>
      <w:r>
        <w:rPr>
          <w:rFonts w:ascii="宋体" w:hAnsi="宋体"/>
          <w:szCs w:val="21"/>
          <w:u w:val="single"/>
        </w:rPr>
        <w:t xml:space="preserve"> </w:t>
      </w:r>
      <w:r>
        <w:rPr>
          <w:rFonts w:hint="eastAsia" w:ascii="宋体" w:hAnsi="宋体"/>
          <w:szCs w:val="21"/>
        </w:rPr>
        <w:t>，</w:t>
      </w:r>
      <w:bookmarkStart w:id="283" w:name="_Hlk92702218"/>
      <w:r>
        <w:rPr>
          <w:rFonts w:hint="eastAsia" w:ascii="宋体" w:hAnsi="宋体"/>
          <w:szCs w:val="21"/>
        </w:rPr>
        <w:t>我方</w:t>
      </w:r>
      <w:r>
        <w:rPr>
          <w:rFonts w:hint="eastAsia" w:ascii="宋体" w:hAnsi="宋体"/>
          <w:szCs w:val="21"/>
          <w:u w:val="single"/>
        </w:rPr>
        <w:t xml:space="preserve">  （投标人名称）  </w:t>
      </w:r>
      <w:r>
        <w:rPr>
          <w:rFonts w:hint="eastAsia" w:ascii="宋体" w:hAnsi="宋体"/>
          <w:szCs w:val="21"/>
        </w:rPr>
        <w:t>经正式授权代表</w:t>
      </w:r>
      <w:r>
        <w:rPr>
          <w:rFonts w:hint="eastAsia" w:ascii="宋体" w:hAnsi="宋体"/>
          <w:szCs w:val="21"/>
          <w:u w:val="single"/>
        </w:rPr>
        <w:t xml:space="preserve">   （被授权人）   </w:t>
      </w:r>
      <w:r>
        <w:rPr>
          <w:rFonts w:hint="eastAsia" w:ascii="宋体" w:hAnsi="宋体"/>
          <w:szCs w:val="21"/>
        </w:rPr>
        <w:t>提交</w:t>
      </w:r>
      <w:bookmarkEnd w:id="283"/>
      <w:r>
        <w:rPr>
          <w:rFonts w:hint="eastAsia" w:ascii="宋体" w:hAnsi="宋体"/>
          <w:szCs w:val="21"/>
        </w:rPr>
        <w:t>投标文件：</w:t>
      </w:r>
    </w:p>
    <w:p>
      <w:pPr>
        <w:ind w:firstLine="0" w:firstLineChars="0"/>
        <w:rPr>
          <w:rFonts w:hint="eastAsia" w:ascii="宋体" w:hAnsi="宋体"/>
          <w:szCs w:val="21"/>
        </w:rPr>
      </w:pPr>
      <w:r>
        <w:rPr>
          <w:rFonts w:ascii="宋体" w:hAnsi="宋体"/>
          <w:szCs w:val="21"/>
        </w:rPr>
        <w:tab/>
      </w:r>
      <w:r>
        <w:rPr>
          <w:rFonts w:hint="eastAsia" w:ascii="宋体" w:hAnsi="宋体"/>
          <w:szCs w:val="21"/>
        </w:rPr>
        <w:t>据此函，投标人承诺：</w:t>
      </w:r>
    </w:p>
    <w:p>
      <w:pPr>
        <w:snapToGrid w:val="0"/>
        <w:spacing w:line="360" w:lineRule="exact"/>
        <w:ind w:firstLine="420"/>
        <w:rPr>
          <w:rFonts w:hint="eastAsia" w:ascii="宋体" w:hAnsi="宋体"/>
          <w:szCs w:val="21"/>
        </w:rPr>
      </w:pPr>
      <w:r>
        <w:rPr>
          <w:rFonts w:ascii="宋体" w:hAnsi="宋体"/>
          <w:szCs w:val="21"/>
        </w:rPr>
        <w:t>1.</w:t>
      </w:r>
      <w:r>
        <w:rPr>
          <w:rFonts w:hint="eastAsia" w:ascii="宋体" w:hAnsi="宋体"/>
          <w:szCs w:val="21"/>
        </w:rPr>
        <w:t>我方已详细审阅招标文件（包括澄清或者修改文件），已经了解我方对于招标文件、采购过程、采购结果有依法进行询问、质疑、投诉的权利及相关渠道和要求。</w:t>
      </w:r>
    </w:p>
    <w:p>
      <w:pPr>
        <w:snapToGrid w:val="0"/>
        <w:spacing w:line="360" w:lineRule="exact"/>
        <w:ind w:firstLine="420"/>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360" w:lineRule="exact"/>
        <w:ind w:firstLine="420"/>
        <w:rPr>
          <w:rFonts w:hint="eastAsia" w:ascii="宋体" w:hAnsi="宋体"/>
          <w:szCs w:val="21"/>
        </w:rPr>
      </w:pPr>
      <w:r>
        <w:rPr>
          <w:rFonts w:ascii="宋体" w:hAnsi="宋体"/>
          <w:szCs w:val="21"/>
        </w:rPr>
        <w:t>3.</w:t>
      </w:r>
      <w:r>
        <w:rPr>
          <w:rFonts w:hint="eastAsia" w:ascii="宋体" w:hAnsi="宋体"/>
          <w:szCs w:val="21"/>
        </w:rPr>
        <w:t>我方在投标之前已经与贵方进行了充分的沟通，完全理解并接受招标文件的各项规定和要求，对招标文件的合理性、合法性不再有异议。</w:t>
      </w:r>
    </w:p>
    <w:p>
      <w:pPr>
        <w:snapToGrid w:val="0"/>
        <w:spacing w:line="360" w:lineRule="exact"/>
        <w:ind w:firstLine="420"/>
        <w:rPr>
          <w:rFonts w:hint="eastAsia" w:ascii="宋体" w:hAnsi="宋体"/>
          <w:szCs w:val="21"/>
        </w:rPr>
      </w:pPr>
      <w:r>
        <w:rPr>
          <w:rFonts w:ascii="宋体" w:hAnsi="宋体"/>
          <w:szCs w:val="21"/>
        </w:rPr>
        <w:t>4.</w:t>
      </w:r>
      <w:r>
        <w:rPr>
          <w:rFonts w:hint="eastAsia" w:ascii="宋体" w:hAnsi="宋体"/>
          <w:szCs w:val="21"/>
        </w:rPr>
        <w:t>我方同意在开标日期起遵循本投标文件，并在投标有效期9</w:t>
      </w:r>
      <w:r>
        <w:rPr>
          <w:rFonts w:ascii="宋体" w:hAnsi="宋体"/>
          <w:szCs w:val="21"/>
        </w:rPr>
        <w:t>0</w:t>
      </w:r>
      <w:r>
        <w:rPr>
          <w:rFonts w:hint="eastAsia" w:ascii="宋体" w:hAnsi="宋体"/>
          <w:szCs w:val="21"/>
        </w:rPr>
        <w:t>天内均具有约束力。</w:t>
      </w:r>
    </w:p>
    <w:p>
      <w:pPr>
        <w:ind w:firstLine="0" w:firstLineChars="0"/>
        <w:rPr>
          <w:rFonts w:hint="eastAsia" w:ascii="宋体" w:hAnsi="宋体"/>
          <w:szCs w:val="21"/>
        </w:rPr>
      </w:pPr>
      <w:r>
        <w:rPr>
          <w:rFonts w:ascii="宋体" w:hAnsi="宋体"/>
          <w:szCs w:val="21"/>
        </w:rPr>
        <w:tab/>
      </w:r>
      <w:r>
        <w:rPr>
          <w:rFonts w:ascii="宋体" w:hAnsi="宋体"/>
          <w:szCs w:val="21"/>
        </w:rPr>
        <w:t>5</w:t>
      </w:r>
      <w:r>
        <w:rPr>
          <w:rFonts w:hint="eastAsia" w:ascii="宋体" w:hAnsi="宋体"/>
          <w:szCs w:val="21"/>
        </w:rPr>
        <w:t>.我方承诺具备《中华人民共和国政府采购法》中规定的参加政府采购活动供应商应当具备的条件。</w:t>
      </w:r>
    </w:p>
    <w:p>
      <w:pPr>
        <w:ind w:firstLine="0" w:firstLineChars="0"/>
        <w:rPr>
          <w:rFonts w:hint="eastAsia" w:ascii="宋体" w:hAnsi="宋体"/>
          <w:szCs w:val="21"/>
        </w:rPr>
      </w:pPr>
      <w:r>
        <w:rPr>
          <w:rFonts w:ascii="宋体" w:hAnsi="宋体"/>
          <w:szCs w:val="21"/>
        </w:rPr>
        <w:tab/>
      </w:r>
      <w:r>
        <w:rPr>
          <w:rFonts w:ascii="宋体" w:hAnsi="宋体"/>
          <w:szCs w:val="21"/>
        </w:rPr>
        <w:t>6</w:t>
      </w:r>
      <w:r>
        <w:rPr>
          <w:rFonts w:hint="eastAsia" w:ascii="宋体" w:hAnsi="宋体"/>
          <w:szCs w:val="21"/>
        </w:rPr>
        <w:t>.我方根据招标文件的规定，承担完成合同的责任和义务。</w:t>
      </w:r>
    </w:p>
    <w:p>
      <w:pPr>
        <w:ind w:firstLine="0" w:firstLineChars="0"/>
        <w:rPr>
          <w:rFonts w:hint="eastAsia" w:ascii="宋体" w:hAnsi="宋体"/>
          <w:szCs w:val="21"/>
        </w:rPr>
      </w:pPr>
      <w:r>
        <w:rPr>
          <w:rFonts w:ascii="宋体" w:hAnsi="宋体"/>
          <w:szCs w:val="21"/>
        </w:rPr>
        <w:tab/>
      </w:r>
      <w:r>
        <w:rPr>
          <w:rFonts w:ascii="宋体" w:hAnsi="宋体"/>
          <w:szCs w:val="21"/>
        </w:rPr>
        <w:t>7</w:t>
      </w:r>
      <w:r>
        <w:rPr>
          <w:rFonts w:hint="eastAsia" w:ascii="宋体" w:hAnsi="宋体"/>
          <w:szCs w:val="21"/>
        </w:rPr>
        <w:t>.如果在投标截止时间后的投标有效期内撤回投标或者有其他违约行为，我方的投标保证金可被贵方全部没收。</w:t>
      </w:r>
    </w:p>
    <w:p>
      <w:pPr>
        <w:ind w:firstLine="0" w:firstLineChars="0"/>
        <w:rPr>
          <w:rFonts w:hint="eastAsia" w:ascii="宋体" w:hAnsi="宋体"/>
          <w:szCs w:val="21"/>
        </w:rPr>
      </w:pPr>
      <w:r>
        <w:rPr>
          <w:rFonts w:ascii="宋体" w:hAnsi="宋体"/>
          <w:szCs w:val="21"/>
        </w:rPr>
        <w:tab/>
      </w:r>
      <w:r>
        <w:rPr>
          <w:rFonts w:ascii="宋体" w:hAnsi="宋体"/>
          <w:szCs w:val="21"/>
        </w:rPr>
        <w:t>8</w:t>
      </w:r>
      <w:r>
        <w:rPr>
          <w:rFonts w:hint="eastAsia" w:ascii="宋体" w:hAnsi="宋体"/>
          <w:szCs w:val="21"/>
        </w:rPr>
        <w:t>.同意向贵方提供贵方可能要求的与本投标有关的人员、数据和资料。</w:t>
      </w:r>
    </w:p>
    <w:p>
      <w:pPr>
        <w:ind w:firstLine="0" w:firstLineChars="0"/>
        <w:rPr>
          <w:rFonts w:hint="eastAsia" w:ascii="宋体" w:hAnsi="宋体"/>
          <w:szCs w:val="21"/>
        </w:rPr>
      </w:pPr>
      <w:r>
        <w:rPr>
          <w:rFonts w:ascii="宋体" w:hAnsi="宋体"/>
          <w:szCs w:val="21"/>
        </w:rPr>
        <w:tab/>
      </w:r>
      <w:r>
        <w:rPr>
          <w:rFonts w:ascii="宋体" w:hAnsi="宋体"/>
          <w:szCs w:val="21"/>
        </w:rPr>
        <w:t>9</w:t>
      </w:r>
      <w:r>
        <w:rPr>
          <w:rFonts w:hint="eastAsia" w:ascii="宋体" w:hAnsi="宋体"/>
          <w:szCs w:val="21"/>
        </w:rPr>
        <w:t>.我方完全理解贵方不一定要接受最低报价的投标人为中标人。</w:t>
      </w:r>
    </w:p>
    <w:p>
      <w:pPr>
        <w:ind w:firstLine="424" w:firstLineChars="202"/>
        <w:rPr>
          <w:rFonts w:hint="eastAsia" w:ascii="宋体" w:hAnsi="宋体"/>
          <w:szCs w:val="21"/>
        </w:rPr>
      </w:pPr>
      <w:r>
        <w:rPr>
          <w:rFonts w:ascii="宋体" w:hAnsi="宋体"/>
          <w:szCs w:val="21"/>
        </w:rPr>
        <w:t>10.</w:t>
      </w:r>
      <w:r>
        <w:rPr>
          <w:rFonts w:hint="eastAsia" w:ascii="宋体" w:hAnsi="宋体"/>
          <w:szCs w:val="21"/>
        </w:rPr>
        <w:t>我方向贵方提交的所有投标文件、资料都是准确的和真实的。</w:t>
      </w:r>
    </w:p>
    <w:p>
      <w:pPr>
        <w:ind w:firstLine="0" w:firstLineChars="0"/>
        <w:rPr>
          <w:rFonts w:hint="eastAsia" w:ascii="宋体" w:hAnsi="宋体"/>
          <w:szCs w:val="21"/>
        </w:rPr>
      </w:pPr>
    </w:p>
    <w:p>
      <w:pPr>
        <w:ind w:firstLine="426" w:firstLineChars="0"/>
        <w:rPr>
          <w:rFonts w:hint="eastAsia" w:ascii="宋体" w:hAnsi="宋体"/>
          <w:szCs w:val="21"/>
        </w:rPr>
      </w:pPr>
      <w:r>
        <w:rPr>
          <w:rFonts w:hint="eastAsia" w:ascii="宋体" w:hAnsi="宋体"/>
          <w:szCs w:val="21"/>
        </w:rPr>
        <w:t>与我公司有关的正式通讯方式：</w:t>
      </w:r>
    </w:p>
    <w:p>
      <w:pPr>
        <w:ind w:firstLine="0" w:firstLineChars="0"/>
        <w:rPr>
          <w:rFonts w:hint="eastAsia"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pPr>
        <w:ind w:firstLine="0" w:firstLineChars="0"/>
        <w:rPr>
          <w:rFonts w:hint="eastAsia"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ind w:firstLine="0" w:firstLineChars="0"/>
        <w:rPr>
          <w:rFonts w:hint="eastAsia"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pPr>
        <w:ind w:firstLine="0" w:firstLineChars="0"/>
        <w:rPr>
          <w:rFonts w:hint="eastAsia"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pPr>
        <w:ind w:firstLine="0" w:firstLineChars="0"/>
        <w:rPr>
          <w:rFonts w:hint="eastAsia"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pPr>
        <w:ind w:firstLine="0" w:firstLineChars="0"/>
        <w:rPr>
          <w:rFonts w:hint="eastAsia"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pPr>
        <w:ind w:firstLine="0" w:firstLineChars="0"/>
        <w:rPr>
          <w:rFonts w:hint="eastAsia" w:ascii="宋体" w:hAnsi="宋体"/>
          <w:szCs w:val="21"/>
        </w:rPr>
      </w:pPr>
    </w:p>
    <w:p>
      <w:pPr>
        <w:ind w:firstLine="0" w:firstLineChars="0"/>
        <w:rPr>
          <w:rFonts w:hint="eastAsia" w:ascii="宋体" w:hAnsi="宋体"/>
          <w:szCs w:val="21"/>
        </w:rPr>
      </w:pPr>
    </w:p>
    <w:p>
      <w:pPr>
        <w:ind w:firstLine="0" w:firstLineChars="0"/>
        <w:rPr>
          <w:rFonts w:hint="eastAsia" w:ascii="宋体" w:hAnsi="宋体"/>
          <w:szCs w:val="21"/>
        </w:rPr>
      </w:pPr>
    </w:p>
    <w:p>
      <w:pPr>
        <w:ind w:firstLine="0" w:firstLineChars="0"/>
        <w:rPr>
          <w:rFonts w:hint="eastAsia" w:ascii="宋体" w:hAnsi="宋体"/>
          <w:szCs w:val="21"/>
          <w:u w:val="single"/>
        </w:rPr>
      </w:pPr>
      <w:r>
        <w:rPr>
          <w:rFonts w:ascii="宋体" w:hAnsi="宋体"/>
          <w:szCs w:val="21"/>
        </w:rPr>
        <w:tab/>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ind w:firstLine="0" w:firstLineChars="0"/>
        <w:rPr>
          <w:rFonts w:hint="eastAsia"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ind w:firstLine="0" w:firstLineChars="0"/>
      </w:pPr>
    </w:p>
    <w:p>
      <w:pPr>
        <w:tabs>
          <w:tab w:val="left" w:pos="3870"/>
          <w:tab w:val="left" w:pos="4085"/>
        </w:tabs>
        <w:snapToGrid w:val="0"/>
        <w:spacing w:line="600" w:lineRule="exact"/>
        <w:ind w:firstLine="0" w:firstLineChars="0"/>
        <w:jc w:val="center"/>
        <w:rPr>
          <w:rFonts w:hint="eastAsia" w:ascii="仿宋_GB2312" w:hAnsi="宋体" w:eastAsia="仿宋_GB2312"/>
          <w:b/>
          <w:sz w:val="28"/>
          <w:szCs w:val="28"/>
        </w:rPr>
      </w:pPr>
      <w:bookmarkStart w:id="284" w:name="_Hlk92702580"/>
      <w:r>
        <w:rPr>
          <w:rFonts w:hint="eastAsia" w:ascii="仿宋_GB2312" w:hAnsi="宋体" w:eastAsia="仿宋_GB2312"/>
          <w:b/>
          <w:sz w:val="32"/>
          <w:szCs w:val="32"/>
        </w:rPr>
        <w:t>授权委托书</w:t>
      </w:r>
      <w:r>
        <w:rPr>
          <w:rFonts w:hint="eastAsia" w:ascii="仿宋_GB2312" w:hAnsi="宋体" w:eastAsia="仿宋_GB2312"/>
          <w:bCs/>
          <w:sz w:val="24"/>
        </w:rPr>
        <w:t>（格式）</w:t>
      </w:r>
    </w:p>
    <w:p>
      <w:pPr>
        <w:snapToGrid w:val="0"/>
        <w:spacing w:before="156" w:beforeLines="50" w:after="50"/>
        <w:ind w:firstLine="0" w:firstLineChars="0"/>
        <w:rPr>
          <w:rFonts w:hint="eastAsia" w:ascii="宋体" w:hAnsi="宋体"/>
          <w:b/>
          <w:bCs/>
          <w:szCs w:val="21"/>
        </w:rPr>
      </w:pPr>
      <w:r>
        <w:rPr>
          <w:rFonts w:hint="eastAsia" w:ascii="宋体" w:hAnsi="宋体"/>
          <w:bCs/>
          <w:szCs w:val="21"/>
        </w:rPr>
        <w:t>致：</w:t>
      </w:r>
      <w:r>
        <w:rPr>
          <w:rFonts w:hint="eastAsia"/>
        </w:rPr>
        <w:t>钦州市政府采购中心</w:t>
      </w:r>
    </w:p>
    <w:p>
      <w:pPr>
        <w:snapToGrid w:val="0"/>
        <w:spacing w:before="156" w:beforeLines="50" w:after="50"/>
        <w:ind w:firstLine="420"/>
        <w:rPr>
          <w:rFonts w:hint="eastAsia"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的投标活动，并代表我方全权办理针对上述项目的投标、开标、评标、签约等具体事务和签署相关文件。</w:t>
      </w:r>
    </w:p>
    <w:p>
      <w:pPr>
        <w:snapToGrid w:val="0"/>
        <w:spacing w:before="156" w:beforeLines="50" w:after="50"/>
        <w:ind w:firstLine="420"/>
        <w:rPr>
          <w:rFonts w:hint="eastAsia" w:ascii="宋体" w:hAnsi="宋体"/>
          <w:szCs w:val="21"/>
        </w:rPr>
      </w:pPr>
      <w:r>
        <w:rPr>
          <w:rFonts w:hint="eastAsia" w:ascii="宋体" w:hAnsi="宋体"/>
          <w:szCs w:val="21"/>
        </w:rPr>
        <w:t>我方对被授权人的签名事项负全部责任。</w:t>
      </w:r>
    </w:p>
    <w:p>
      <w:pPr>
        <w:snapToGrid w:val="0"/>
        <w:spacing w:before="156" w:beforeLines="50" w:after="50"/>
        <w:ind w:firstLine="420"/>
        <w:rPr>
          <w:rFonts w:hint="eastAsia"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ind w:firstLine="420"/>
        <w:rPr>
          <w:rFonts w:hint="eastAsia" w:ascii="宋体" w:hAnsi="宋体"/>
          <w:szCs w:val="21"/>
        </w:rPr>
      </w:pPr>
      <w:r>
        <w:rPr>
          <w:rFonts w:hint="eastAsia" w:ascii="宋体" w:hAnsi="宋体"/>
          <w:szCs w:val="21"/>
        </w:rPr>
        <w:t>被授权人无转委托权，特此委托。</w:t>
      </w:r>
    </w:p>
    <w:p>
      <w:pPr>
        <w:snapToGrid w:val="0"/>
        <w:spacing w:before="156" w:beforeLines="50" w:after="50" w:line="300" w:lineRule="exact"/>
        <w:ind w:firstLine="525" w:firstLineChars="250"/>
        <w:rPr>
          <w:rFonts w:hint="eastAsia" w:ascii="宋体" w:hAnsi="宋体"/>
          <w:szCs w:val="21"/>
        </w:rPr>
      </w:pPr>
    </w:p>
    <w:p>
      <w:pPr>
        <w:snapToGrid w:val="0"/>
        <w:spacing w:before="156" w:beforeLines="50" w:after="50" w:line="300" w:lineRule="exact"/>
        <w:ind w:firstLine="420"/>
        <w:rPr>
          <w:rFonts w:hint="eastAsia" w:ascii="宋体" w:hAnsi="宋体"/>
          <w:szCs w:val="21"/>
        </w:rPr>
      </w:pPr>
      <w:r>
        <w:rPr>
          <w:rFonts w:hint="eastAsia" w:ascii="宋体" w:hAnsi="宋体"/>
          <w:szCs w:val="21"/>
        </w:rPr>
        <w:t>所在部门职务：</w:t>
      </w:r>
      <w:r>
        <w:rPr>
          <w:rFonts w:hint="eastAsia" w:ascii="宋体" w:hAnsi="宋体"/>
          <w:szCs w:val="21"/>
          <w:u w:val="single"/>
        </w:rPr>
        <w:t xml:space="preserve">                        </w:t>
      </w:r>
    </w:p>
    <w:p>
      <w:pPr>
        <w:snapToGrid w:val="0"/>
        <w:spacing w:before="156" w:beforeLines="50" w:after="50" w:line="300" w:lineRule="exact"/>
        <w:ind w:firstLine="420"/>
        <w:rPr>
          <w:rFonts w:hint="eastAsia" w:ascii="宋体" w:hAnsi="宋体"/>
          <w:szCs w:val="21"/>
          <w:u w:val="single"/>
        </w:rPr>
      </w:pPr>
      <w:r>
        <w:rPr>
          <w:rFonts w:hint="eastAsia" w:ascii="宋体" w:hAnsi="宋体"/>
          <w:szCs w:val="21"/>
        </w:rPr>
        <w:t>职务：</w:t>
      </w:r>
      <w:r>
        <w:rPr>
          <w:rFonts w:hint="eastAsia" w:ascii="宋体" w:hAnsi="宋体"/>
          <w:szCs w:val="21"/>
          <w:u w:val="single"/>
        </w:rPr>
        <w:t xml:space="preserve">                                </w:t>
      </w:r>
    </w:p>
    <w:p>
      <w:pPr>
        <w:snapToGrid w:val="0"/>
        <w:spacing w:before="156" w:beforeLines="50" w:after="50" w:line="300" w:lineRule="exact"/>
        <w:ind w:firstLine="420"/>
        <w:rPr>
          <w:rFonts w:hint="eastAsia"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before="156" w:beforeLines="50" w:after="50" w:line="300" w:lineRule="exact"/>
        <w:ind w:firstLine="420"/>
        <w:rPr>
          <w:rFonts w:hint="eastAsia" w:hAnsi="宋体"/>
        </w:rPr>
      </w:pPr>
      <w:r>
        <w:rPr>
          <w:rFonts w:hint="eastAsia" w:hAnsi="宋体"/>
        </w:rPr>
        <w:t>附：委托代理人身份证(正反面</w:t>
      </w:r>
      <w:r>
        <w:rPr>
          <w:rFonts w:hAnsi="宋体"/>
        </w:rPr>
        <w:t>)</w:t>
      </w:r>
    </w:p>
    <w:p>
      <w:pPr>
        <w:ind w:left="420" w:firstLine="0" w:firstLineChars="0"/>
        <w:rPr>
          <w:rFonts w:hint="eastAsia" w:ascii="宋体" w:hAnsi="宋体"/>
        </w:rPr>
      </w:pPr>
    </w:p>
    <w:p>
      <w:pPr>
        <w:ind w:left="420" w:firstLine="0" w:firstLineChars="0"/>
        <w:rPr>
          <w:rFonts w:hint="eastAsia" w:ascii="宋体" w:hAnsi="宋体"/>
        </w:rPr>
      </w:pPr>
    </w:p>
    <w:p>
      <w:pPr>
        <w:ind w:left="420" w:firstLine="0" w:firstLineChars="0"/>
        <w:rPr>
          <w:rFonts w:hint="eastAsia" w:ascii="宋体" w:hAnsi="宋体"/>
        </w:rPr>
      </w:pPr>
    </w:p>
    <w:p>
      <w:pPr>
        <w:snapToGrid w:val="0"/>
        <w:spacing w:before="156" w:beforeLines="50" w:after="50" w:line="200" w:lineRule="exact"/>
        <w:ind w:firstLine="4620" w:firstLineChars="2200"/>
        <w:rPr>
          <w:rFonts w:hint="eastAsia" w:ascii="宋体" w:hAnsi="宋体"/>
          <w:szCs w:val="21"/>
          <w:u w:val="single"/>
        </w:rPr>
      </w:pPr>
      <w:r>
        <w:rPr>
          <w:rFonts w:hint="eastAsia" w:ascii="宋体" w:hAnsi="宋体"/>
          <w:szCs w:val="21"/>
        </w:rPr>
        <w:t xml:space="preserve">       投标人（盖章）：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hint="eastAsia"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before="156" w:beforeLines="50" w:after="50" w:line="200" w:lineRule="exact"/>
        <w:ind w:firstLine="5355" w:firstLineChars="255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bookmarkEnd w:id="284"/>
    <w:p>
      <w:pPr>
        <w:spacing w:line="360" w:lineRule="exact"/>
        <w:ind w:firstLine="0" w:firstLineChars="0"/>
      </w:pPr>
      <w:r>
        <w:br w:type="page"/>
      </w:r>
    </w:p>
    <w:p>
      <w:pPr>
        <w:snapToGrid w:val="0"/>
        <w:spacing w:before="156" w:beforeLines="50" w:after="50" w:line="360" w:lineRule="exact"/>
        <w:ind w:firstLine="0" w:firstLineChars="0"/>
        <w:jc w:val="center"/>
        <w:rPr>
          <w:rFonts w:ascii="仿宋_GB2312" w:eastAsia="仿宋_GB2312"/>
          <w:b/>
          <w:sz w:val="28"/>
          <w:szCs w:val="28"/>
        </w:rPr>
      </w:pPr>
      <w:bookmarkStart w:id="285" w:name="_Hlk92702799"/>
      <w:r>
        <w:rPr>
          <w:rFonts w:hint="eastAsia" w:ascii="仿宋_GB2312" w:hAnsi="宋体" w:eastAsia="仿宋_GB2312"/>
          <w:b/>
          <w:sz w:val="32"/>
          <w:szCs w:val="32"/>
        </w:rPr>
        <w:t>商务响应</w:t>
      </w:r>
      <w:r>
        <w:rPr>
          <w:rFonts w:hint="eastAsia" w:ascii="仿宋_GB2312" w:eastAsia="仿宋_GB2312"/>
          <w:b/>
          <w:sz w:val="32"/>
          <w:szCs w:val="32"/>
        </w:rPr>
        <w:t>表</w:t>
      </w:r>
      <w:bookmarkStart w:id="286" w:name="_Hlk111728555"/>
      <w:r>
        <w:rPr>
          <w:rFonts w:hint="eastAsia" w:ascii="仿宋_GB2312" w:eastAsia="仿宋_GB2312"/>
          <w:bCs/>
          <w:sz w:val="24"/>
        </w:rPr>
        <w:t>（格式）</w:t>
      </w:r>
      <w:bookmarkEnd w:id="286"/>
    </w:p>
    <w:p>
      <w:pPr>
        <w:ind w:firstLine="0" w:firstLineChars="0"/>
      </w:pP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34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rPr>
            </w:pPr>
            <w:r>
              <w:rPr>
                <w:rFonts w:hint="eastAsia" w:ascii="宋体" w:hAnsi="宋体"/>
                <w:b/>
                <w:szCs w:val="21"/>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rPr>
            </w:pPr>
            <w:r>
              <w:rPr>
                <w:rFonts w:hint="eastAsia" w:ascii="宋体" w:hAnsi="宋体"/>
                <w:b/>
                <w:szCs w:val="21"/>
              </w:rPr>
              <w:t>招标文件要求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rPr>
            </w:pPr>
            <w:r>
              <w:rPr>
                <w:rFonts w:hint="eastAsia" w:ascii="宋体" w:hAnsi="宋体"/>
                <w:b/>
                <w:szCs w:val="21"/>
              </w:rPr>
              <w:t>是否响应</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rPr>
            </w:pPr>
            <w:r>
              <w:rPr>
                <w:rFonts w:hint="eastAsia" w:ascii="宋体" w:hAnsi="宋体"/>
                <w:b/>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r>
              <w:rPr>
                <w:rFonts w:hint="eastAsia" w:ascii="宋体" w:hAnsi="宋体"/>
                <w:szCs w:val="21"/>
              </w:rPr>
              <w:t>质保期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r>
              <w:rPr>
                <w:rFonts w:hint="eastAsia" w:ascii="宋体" w:hAnsi="宋体"/>
                <w:szCs w:val="21"/>
              </w:rPr>
              <w:t>运维技术服务要求</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r>
              <w:rPr>
                <w:rFonts w:hint="eastAsia" w:ascii="宋体" w:hAnsi="宋体"/>
                <w:szCs w:val="21"/>
              </w:rPr>
              <w:t>交货时间及地点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firstLine="0" w:firstLineChars="0"/>
              <w:jc w:val="center"/>
              <w:rPr>
                <w:rFonts w:hint="eastAsia" w:ascii="宋体" w:hAnsi="宋体"/>
                <w:szCs w:val="21"/>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r>
              <w:rPr>
                <w:rFonts w:hint="eastAsia" w:ascii="宋体" w:hAnsi="宋体"/>
                <w:szCs w:val="21"/>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firstLine="0" w:firstLineChars="0"/>
              <w:jc w:val="center"/>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r>
              <w:rPr>
                <w:rFonts w:hint="eastAsia" w:ascii="宋体" w:hAnsi="宋体"/>
                <w:szCs w:val="21"/>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r>
    </w:tbl>
    <w:p>
      <w:pPr>
        <w:tabs>
          <w:tab w:val="left" w:pos="3870"/>
          <w:tab w:val="left" w:pos="4085"/>
        </w:tabs>
        <w:snapToGrid w:val="0"/>
        <w:spacing w:line="360" w:lineRule="exact"/>
        <w:ind w:firstLine="0" w:firstLineChars="0"/>
        <w:rPr>
          <w:rFonts w:hint="eastAsia" w:ascii="宋体" w:hAnsi="宋体"/>
          <w:b/>
          <w:szCs w:val="21"/>
        </w:rPr>
      </w:pPr>
    </w:p>
    <w:p>
      <w:pPr>
        <w:tabs>
          <w:tab w:val="left" w:pos="3870"/>
          <w:tab w:val="left" w:pos="4085"/>
        </w:tabs>
        <w:snapToGrid w:val="0"/>
        <w:spacing w:line="360" w:lineRule="exact"/>
        <w:ind w:firstLine="0" w:firstLineChars="0"/>
        <w:rPr>
          <w:rFonts w:hint="eastAsia" w:ascii="宋体" w:hAnsi="宋体"/>
          <w:b/>
          <w:szCs w:val="21"/>
        </w:rPr>
      </w:pPr>
    </w:p>
    <w:p>
      <w:pPr>
        <w:snapToGrid w:val="0"/>
        <w:spacing w:before="50" w:after="50" w:line="350" w:lineRule="exact"/>
        <w:ind w:right="-817" w:rightChars="-389" w:firstLine="0" w:firstLineChars="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p>
    <w:p>
      <w:pPr>
        <w:snapToGrid w:val="0"/>
        <w:spacing w:before="50" w:after="50" w:line="350" w:lineRule="exact"/>
        <w:ind w:right="-817" w:rightChars="-389" w:firstLine="0" w:firstLineChars="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bookmarkEnd w:id="285"/>
    <w:p>
      <w:pPr>
        <w:snapToGrid w:val="0"/>
        <w:spacing w:line="360" w:lineRule="exact"/>
        <w:ind w:firstLine="0" w:firstLineChars="0"/>
        <w:rPr>
          <w:rFonts w:hint="eastAsia" w:ascii="宋体" w:hAnsi="宋体"/>
          <w:b/>
          <w:szCs w:val="21"/>
        </w:rPr>
      </w:pPr>
    </w:p>
    <w:p>
      <w:pPr>
        <w:snapToGrid w:val="0"/>
        <w:spacing w:line="700" w:lineRule="exact"/>
        <w:ind w:firstLine="0" w:firstLineChars="0"/>
        <w:jc w:val="center"/>
        <w:rPr>
          <w:rFonts w:hint="eastAsia" w:ascii="宋体" w:hAnsi="宋体"/>
          <w:b/>
          <w:sz w:val="32"/>
          <w:szCs w:val="32"/>
        </w:rPr>
      </w:pPr>
      <w:r>
        <w:rPr>
          <w:rFonts w:hint="eastAsia" w:ascii="仿宋_GB2312" w:hAnsi="宋体" w:eastAsia="仿宋_GB2312"/>
          <w:b/>
          <w:sz w:val="32"/>
          <w:szCs w:val="32"/>
        </w:rPr>
        <w:t>技术响应表</w:t>
      </w:r>
      <w:bookmarkStart w:id="287" w:name="_Hlk111728645"/>
      <w:r>
        <w:rPr>
          <w:rFonts w:hint="eastAsia" w:ascii="仿宋_GB2312" w:eastAsia="仿宋_GB2312"/>
          <w:bCs/>
          <w:sz w:val="24"/>
        </w:rPr>
        <w:t>（格式）</w:t>
      </w:r>
      <w:bookmarkEnd w:id="287"/>
    </w:p>
    <w:p>
      <w:pPr>
        <w:snapToGrid w:val="0"/>
        <w:spacing w:line="160" w:lineRule="exact"/>
        <w:ind w:firstLine="0" w:firstLineChars="0"/>
        <w:jc w:val="center"/>
        <w:rPr>
          <w:rFonts w:hint="eastAsia" w:ascii="宋体" w:hAnsi="宋体"/>
          <w:b/>
          <w:szCs w:val="21"/>
        </w:rPr>
      </w:pP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3"/>
        <w:gridCol w:w="1735"/>
        <w:gridCol w:w="1815"/>
        <w:gridCol w:w="3600"/>
        <w:gridCol w:w="15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1283" w:type="dxa"/>
            <w:vMerge w:val="restart"/>
            <w:tcBorders>
              <w:top w:val="single" w:color="auto" w:sz="4" w:space="0"/>
              <w:left w:val="single" w:color="auto" w:sz="4" w:space="0"/>
              <w:right w:val="single" w:color="auto" w:sz="4" w:space="0"/>
            </w:tcBorders>
            <w:vAlign w:val="center"/>
          </w:tcPr>
          <w:p>
            <w:pPr>
              <w:ind w:firstLine="0" w:firstLineChars="0"/>
              <w:jc w:val="center"/>
            </w:pPr>
            <w:r>
              <w:rPr>
                <w:rFonts w:hint="eastAsia"/>
              </w:rPr>
              <w:t>序号</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招标文件要求</w:t>
            </w:r>
          </w:p>
        </w:tc>
        <w:tc>
          <w:tcPr>
            <w:tcW w:w="3600" w:type="dxa"/>
            <w:vMerge w:val="restart"/>
            <w:tcBorders>
              <w:top w:val="single" w:color="auto" w:sz="4" w:space="0"/>
              <w:left w:val="single" w:color="auto" w:sz="4" w:space="0"/>
              <w:right w:val="single" w:color="auto" w:sz="4" w:space="0"/>
            </w:tcBorders>
            <w:vAlign w:val="center"/>
          </w:tcPr>
          <w:p>
            <w:pPr>
              <w:ind w:firstLine="23" w:firstLineChars="11"/>
              <w:jc w:val="center"/>
            </w:pPr>
            <w:r>
              <w:rPr>
                <w:rFonts w:hint="eastAsia"/>
              </w:rPr>
              <w:t>投标文件响应</w:t>
            </w:r>
          </w:p>
        </w:tc>
        <w:tc>
          <w:tcPr>
            <w:tcW w:w="1570"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exact"/>
          <w:jc w:val="center"/>
        </w:trPr>
        <w:tc>
          <w:tcPr>
            <w:tcW w:w="1283" w:type="dxa"/>
            <w:vMerge w:val="continue"/>
            <w:tcBorders>
              <w:left w:val="single" w:color="auto" w:sz="4" w:space="0"/>
              <w:bottom w:val="single" w:color="auto" w:sz="4" w:space="0"/>
              <w:right w:val="single" w:color="auto" w:sz="4" w:space="0"/>
            </w:tcBorders>
            <w:vAlign w:val="center"/>
          </w:tcPr>
          <w:p>
            <w:pPr>
              <w:pStyle w:val="28"/>
              <w:snapToGrid w:val="0"/>
              <w:spacing w:line="360" w:lineRule="exact"/>
              <w:ind w:firstLine="0" w:firstLineChars="0"/>
              <w:jc w:val="center"/>
              <w:outlineLvl w:val="0"/>
              <w:rPr>
                <w:rFonts w:hint="eastAsia" w:hAnsi="宋体"/>
              </w:rPr>
            </w:pPr>
          </w:p>
        </w:tc>
        <w:tc>
          <w:tcPr>
            <w:tcW w:w="17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标的名称</w:t>
            </w:r>
          </w:p>
        </w:tc>
        <w:tc>
          <w:tcPr>
            <w:tcW w:w="181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招标要求</w:t>
            </w:r>
          </w:p>
        </w:tc>
        <w:tc>
          <w:tcPr>
            <w:tcW w:w="3600" w:type="dxa"/>
            <w:vMerge w:val="continue"/>
            <w:tcBorders>
              <w:left w:val="single" w:color="auto" w:sz="4" w:space="0"/>
              <w:bottom w:val="single" w:color="auto" w:sz="4" w:space="0"/>
              <w:right w:val="single" w:color="auto" w:sz="4" w:space="0"/>
            </w:tcBorders>
            <w:vAlign w:val="center"/>
          </w:tcPr>
          <w:p>
            <w:pPr>
              <w:ind w:firstLine="0" w:firstLineChars="0"/>
              <w:jc w:val="center"/>
            </w:pPr>
          </w:p>
        </w:tc>
        <w:tc>
          <w:tcPr>
            <w:tcW w:w="15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1</w:t>
            </w:r>
          </w:p>
        </w:tc>
        <w:tc>
          <w:tcPr>
            <w:tcW w:w="1735" w:type="dxa"/>
            <w:tcBorders>
              <w:top w:val="single" w:color="auto" w:sz="4" w:space="0"/>
              <w:left w:val="single" w:color="auto" w:sz="4" w:space="0"/>
              <w:bottom w:val="single" w:color="auto" w:sz="4" w:space="0"/>
              <w:right w:val="single" w:color="auto" w:sz="4" w:space="0"/>
            </w:tcBorders>
            <w:vAlign w:val="center"/>
          </w:tcPr>
          <w:p>
            <w:pPr>
              <w:ind w:right="-15" w:rightChars="-7" w:firstLine="0" w:firstLineChars="0"/>
              <w:jc w:val="center"/>
            </w:pPr>
          </w:p>
        </w:tc>
        <w:tc>
          <w:tcPr>
            <w:tcW w:w="1815" w:type="dxa"/>
            <w:tcBorders>
              <w:top w:val="single" w:color="auto" w:sz="4" w:space="0"/>
              <w:left w:val="single" w:color="auto" w:sz="4" w:space="0"/>
              <w:bottom w:val="single" w:color="auto" w:sz="4" w:space="0"/>
              <w:right w:val="single" w:color="auto" w:sz="4" w:space="0"/>
            </w:tcBorders>
            <w:vAlign w:val="center"/>
          </w:tcPr>
          <w:p>
            <w:pPr>
              <w:ind w:left="-2" w:leftChars="-1" w:firstLine="0" w:firstLineChars="0"/>
              <w:jc w:val="center"/>
            </w:pPr>
          </w:p>
        </w:tc>
        <w:tc>
          <w:tcPr>
            <w:tcW w:w="3600" w:type="dxa"/>
            <w:tcBorders>
              <w:top w:val="single" w:color="auto" w:sz="4" w:space="0"/>
              <w:left w:val="single" w:color="auto" w:sz="4" w:space="0"/>
              <w:bottom w:val="single" w:color="auto" w:sz="4" w:space="0"/>
              <w:right w:val="single" w:color="auto" w:sz="4" w:space="0"/>
            </w:tcBorders>
            <w:vAlign w:val="center"/>
          </w:tcPr>
          <w:p>
            <w:pPr>
              <w:ind w:left="-2" w:leftChars="-1" w:firstLine="0" w:firstLineChars="0"/>
              <w:jc w:val="cente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2</w:t>
            </w:r>
          </w:p>
        </w:tc>
        <w:tc>
          <w:tcPr>
            <w:tcW w:w="173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right="-15" w:rightChars="-7" w:firstLine="0" w:firstLineChars="0"/>
              <w:jc w:val="center"/>
              <w:outlineLvl w:val="0"/>
              <w:rPr>
                <w:rFonts w:hint="eastAsia" w:ascii="仿宋_GB2312" w:hAnsi="宋体" w:eastAsia="仿宋_GB2312"/>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3</w:t>
            </w:r>
          </w:p>
        </w:tc>
        <w:tc>
          <w:tcPr>
            <w:tcW w:w="173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right="-15" w:rightChars="-7" w:firstLine="0" w:firstLineChars="0"/>
              <w:jc w:val="center"/>
              <w:outlineLvl w:val="0"/>
              <w:rPr>
                <w:rFonts w:hint="eastAsia" w:ascii="仿宋_GB2312" w:hAnsi="宋体" w:eastAsia="仿宋_GB2312"/>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w:t>
            </w:r>
          </w:p>
        </w:tc>
        <w:tc>
          <w:tcPr>
            <w:tcW w:w="173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right="-15" w:rightChars="-7" w:firstLine="0" w:firstLineChars="0"/>
              <w:jc w:val="center"/>
              <w:outlineLvl w:val="0"/>
              <w:rPr>
                <w:rFonts w:hint="eastAsia" w:ascii="仿宋_GB2312" w:hAnsi="宋体" w:eastAsia="仿宋_GB2312"/>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rPr>
            </w:pPr>
          </w:p>
        </w:tc>
      </w:tr>
    </w:tbl>
    <w:p>
      <w:pPr>
        <w:pStyle w:val="19"/>
        <w:spacing w:line="380" w:lineRule="exact"/>
        <w:ind w:firstLine="0" w:firstLineChars="0"/>
        <w:rPr>
          <w:sz w:val="21"/>
          <w:szCs w:val="21"/>
        </w:rPr>
      </w:pPr>
      <w:r>
        <w:rPr>
          <w:rFonts w:hint="eastAsia"/>
          <w:sz w:val="21"/>
          <w:szCs w:val="21"/>
        </w:rPr>
        <w:t>注：</w:t>
      </w:r>
      <w:r>
        <w:rPr>
          <w:rFonts w:hint="eastAsia"/>
          <w:b w:val="0"/>
          <w:bCs w:val="0"/>
          <w:sz w:val="21"/>
          <w:szCs w:val="21"/>
        </w:rPr>
        <w:t>投标人应根据投标设备的性能指标、对照招标文件要求在“偏离情况”栏注明“正偏离”、“负偏离”或“无偏离”。投标技术规格与招标要求相同的为无偏离，投标技术规格高于招标要求的为正偏离，低于招标要求的为负偏离。</w:t>
      </w:r>
    </w:p>
    <w:p>
      <w:pPr>
        <w:pStyle w:val="19"/>
        <w:spacing w:line="360" w:lineRule="exact"/>
        <w:ind w:firstLine="0" w:firstLineChars="0"/>
        <w:rPr>
          <w:sz w:val="21"/>
          <w:szCs w:val="21"/>
        </w:rPr>
      </w:pPr>
    </w:p>
    <w:p>
      <w:pPr>
        <w:pStyle w:val="19"/>
        <w:spacing w:line="360" w:lineRule="exact"/>
        <w:ind w:firstLine="0" w:firstLineChars="0"/>
        <w:rPr>
          <w:rFonts w:hint="eastAsia" w:ascii="宋体" w:hAnsi="宋体"/>
          <w:b w:val="0"/>
          <w:sz w:val="21"/>
          <w:szCs w:val="21"/>
        </w:rPr>
      </w:pPr>
    </w:p>
    <w:p>
      <w:pPr>
        <w:snapToGrid w:val="0"/>
        <w:spacing w:before="50" w:after="50" w:line="350" w:lineRule="exact"/>
        <w:ind w:right="-817" w:rightChars="-389" w:firstLine="0" w:firstLineChars="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p>
    <w:p>
      <w:pPr>
        <w:spacing w:line="380" w:lineRule="atLeast"/>
        <w:ind w:firstLine="0" w:firstLineChars="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ind w:firstLine="420"/>
        <w:jc w:val="center"/>
        <w:rPr>
          <w:rFonts w:hint="eastAsia" w:ascii="宋体" w:hAnsi="宋体"/>
          <w:szCs w:val="21"/>
        </w:rPr>
      </w:pPr>
      <w:r>
        <w:rPr>
          <w:rFonts w:ascii="宋体" w:hAnsi="宋体"/>
          <w:szCs w:val="21"/>
        </w:rPr>
        <w:br w:type="page"/>
      </w:r>
    </w:p>
    <w:p>
      <w:pPr>
        <w:autoSpaceDE w:val="0"/>
        <w:autoSpaceDN w:val="0"/>
        <w:adjustRightInd w:val="0"/>
        <w:ind w:firstLine="562"/>
        <w:jc w:val="center"/>
        <w:rPr>
          <w:rFonts w:hint="eastAsia" w:ascii="宋体" w:hAnsi="宋体"/>
          <w:b/>
          <w:sz w:val="28"/>
          <w:szCs w:val="28"/>
        </w:rPr>
      </w:pPr>
      <w:r>
        <w:rPr>
          <w:rFonts w:hint="eastAsia" w:ascii="宋体" w:hAnsi="宋体"/>
          <w:b/>
          <w:sz w:val="28"/>
          <w:szCs w:val="28"/>
        </w:rPr>
        <w:t>服务人员配置表</w:t>
      </w:r>
      <w:r>
        <w:rPr>
          <w:rFonts w:hint="eastAsia" w:ascii="仿宋" w:hAnsi="仿宋" w:eastAsia="仿宋"/>
          <w:sz w:val="24"/>
        </w:rPr>
        <w:t>(格式</w:t>
      </w:r>
      <w:r>
        <w:rPr>
          <w:rFonts w:ascii="仿宋" w:hAnsi="仿宋" w:eastAsia="仿宋"/>
          <w:sz w:val="24"/>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42"/>
        <w:gridCol w:w="2835"/>
        <w:gridCol w:w="1417"/>
        <w:gridCol w:w="141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51" w:type="dxa"/>
            <w:vAlign w:val="center"/>
          </w:tcPr>
          <w:p>
            <w:pPr>
              <w:autoSpaceDE w:val="0"/>
              <w:autoSpaceDN w:val="0"/>
              <w:adjustRightInd w:val="0"/>
              <w:ind w:firstLine="0" w:firstLineChars="0"/>
              <w:jc w:val="center"/>
              <w:rPr>
                <w:rFonts w:hint="eastAsia" w:ascii="宋体" w:hAnsi="宋体"/>
                <w:lang w:val="zh-CN"/>
              </w:rPr>
            </w:pPr>
            <w:r>
              <w:rPr>
                <w:rFonts w:hint="eastAsia" w:ascii="宋体" w:hAnsi="宋体"/>
                <w:lang w:val="zh-CN"/>
              </w:rPr>
              <w:t>序号</w:t>
            </w:r>
          </w:p>
        </w:tc>
        <w:tc>
          <w:tcPr>
            <w:tcW w:w="1642" w:type="dxa"/>
            <w:vAlign w:val="center"/>
          </w:tcPr>
          <w:p>
            <w:pPr>
              <w:autoSpaceDE w:val="0"/>
              <w:autoSpaceDN w:val="0"/>
              <w:adjustRightInd w:val="0"/>
              <w:ind w:firstLine="0" w:firstLineChars="0"/>
              <w:jc w:val="center"/>
              <w:rPr>
                <w:rFonts w:hint="eastAsia" w:ascii="宋体" w:hAnsi="宋体"/>
                <w:lang w:val="zh-CN"/>
              </w:rPr>
            </w:pPr>
            <w:r>
              <w:rPr>
                <w:rFonts w:hint="eastAsia" w:ascii="宋体" w:hAnsi="宋体"/>
                <w:lang w:val="zh-CN"/>
              </w:rPr>
              <w:t>姓名</w:t>
            </w:r>
          </w:p>
        </w:tc>
        <w:tc>
          <w:tcPr>
            <w:tcW w:w="2835" w:type="dxa"/>
            <w:vAlign w:val="center"/>
          </w:tcPr>
          <w:p>
            <w:pPr>
              <w:autoSpaceDE w:val="0"/>
              <w:autoSpaceDN w:val="0"/>
              <w:adjustRightInd w:val="0"/>
              <w:ind w:firstLine="0" w:firstLineChars="0"/>
              <w:jc w:val="center"/>
              <w:rPr>
                <w:rFonts w:hint="eastAsia" w:ascii="宋体" w:hAnsi="宋体"/>
              </w:rPr>
            </w:pPr>
            <w:r>
              <w:rPr>
                <w:rFonts w:hint="eastAsia" w:ascii="宋体" w:hAnsi="宋体"/>
              </w:rPr>
              <w:t>身份证号码</w:t>
            </w:r>
          </w:p>
        </w:tc>
        <w:tc>
          <w:tcPr>
            <w:tcW w:w="1417" w:type="dxa"/>
            <w:vAlign w:val="center"/>
          </w:tcPr>
          <w:p>
            <w:pPr>
              <w:autoSpaceDE w:val="0"/>
              <w:autoSpaceDN w:val="0"/>
              <w:adjustRightInd w:val="0"/>
              <w:ind w:firstLine="0" w:firstLineChars="0"/>
              <w:jc w:val="center"/>
              <w:rPr>
                <w:rFonts w:hint="eastAsia" w:ascii="宋体" w:hAnsi="宋体"/>
                <w:lang w:val="zh-CN"/>
              </w:rPr>
            </w:pPr>
            <w:r>
              <w:rPr>
                <w:rFonts w:hint="eastAsia" w:ascii="宋体" w:hAnsi="宋体"/>
                <w:lang w:val="zh-CN"/>
              </w:rPr>
              <w:t>岗位</w:t>
            </w:r>
          </w:p>
        </w:tc>
        <w:tc>
          <w:tcPr>
            <w:tcW w:w="1418" w:type="dxa"/>
            <w:vAlign w:val="center"/>
          </w:tcPr>
          <w:p>
            <w:pPr>
              <w:autoSpaceDE w:val="0"/>
              <w:autoSpaceDN w:val="0"/>
              <w:adjustRightInd w:val="0"/>
              <w:ind w:firstLine="0" w:firstLineChars="0"/>
              <w:jc w:val="center"/>
              <w:rPr>
                <w:rFonts w:hint="eastAsia" w:ascii="宋体" w:hAnsi="宋体"/>
                <w:lang w:val="zh-CN"/>
              </w:rPr>
            </w:pPr>
            <w:r>
              <w:rPr>
                <w:rFonts w:hint="eastAsia" w:ascii="宋体" w:hAnsi="宋体"/>
                <w:lang w:val="zh-CN"/>
              </w:rPr>
              <w:t>专业</w:t>
            </w:r>
          </w:p>
        </w:tc>
        <w:tc>
          <w:tcPr>
            <w:tcW w:w="1641" w:type="dxa"/>
            <w:vAlign w:val="center"/>
          </w:tcPr>
          <w:p>
            <w:pPr>
              <w:autoSpaceDE w:val="0"/>
              <w:autoSpaceDN w:val="0"/>
              <w:adjustRightInd w:val="0"/>
              <w:ind w:firstLine="0" w:firstLineChars="0"/>
              <w:jc w:val="center"/>
              <w:rPr>
                <w:rFonts w:hint="eastAsia" w:ascii="宋体" w:hAnsi="宋体"/>
                <w:lang w:val="zh-CN"/>
              </w:rPr>
            </w:pPr>
            <w:r>
              <w:rPr>
                <w:rFonts w:hint="eastAsia" w:ascii="宋体" w:hAnsi="宋体"/>
                <w:lang w:val="zh-CN"/>
              </w:rPr>
              <w:t>执业资格/职称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lang w:val="zh-CN"/>
              </w:rPr>
            </w:pPr>
            <w:r>
              <w:rPr>
                <w:rFonts w:hint="eastAsia" w:ascii="宋体" w:hAnsi="宋体"/>
                <w:lang w:val="zh-CN"/>
              </w:rPr>
              <w:t>1</w:t>
            </w:r>
          </w:p>
        </w:tc>
        <w:tc>
          <w:tcPr>
            <w:tcW w:w="1642" w:type="dxa"/>
            <w:vAlign w:val="center"/>
          </w:tcPr>
          <w:p>
            <w:pPr>
              <w:autoSpaceDE w:val="0"/>
              <w:autoSpaceDN w:val="0"/>
              <w:adjustRightInd w:val="0"/>
              <w:ind w:firstLine="420"/>
              <w:rPr>
                <w:rFonts w:hint="eastAsia" w:ascii="宋体" w:hAnsi="宋体"/>
                <w:lang w:val="zh-CN"/>
              </w:rPr>
            </w:pPr>
          </w:p>
        </w:tc>
        <w:tc>
          <w:tcPr>
            <w:tcW w:w="2835" w:type="dxa"/>
          </w:tcPr>
          <w:p>
            <w:pPr>
              <w:autoSpaceDE w:val="0"/>
              <w:autoSpaceDN w:val="0"/>
              <w:adjustRightInd w:val="0"/>
              <w:ind w:firstLine="420"/>
              <w:rPr>
                <w:rFonts w:hint="eastAsia" w:ascii="宋体" w:hAnsi="宋体"/>
                <w:lang w:val="zh-CN"/>
              </w:rPr>
            </w:pPr>
          </w:p>
        </w:tc>
        <w:tc>
          <w:tcPr>
            <w:tcW w:w="1417" w:type="dxa"/>
          </w:tcPr>
          <w:p>
            <w:pPr>
              <w:autoSpaceDE w:val="0"/>
              <w:autoSpaceDN w:val="0"/>
              <w:adjustRightInd w:val="0"/>
              <w:ind w:firstLine="420"/>
              <w:rPr>
                <w:rFonts w:hint="eastAsia" w:ascii="宋体" w:hAnsi="宋体"/>
                <w:lang w:val="zh-CN"/>
              </w:rPr>
            </w:pPr>
          </w:p>
        </w:tc>
        <w:tc>
          <w:tcPr>
            <w:tcW w:w="1418" w:type="dxa"/>
          </w:tcPr>
          <w:p>
            <w:pPr>
              <w:autoSpaceDE w:val="0"/>
              <w:autoSpaceDN w:val="0"/>
              <w:adjustRightInd w:val="0"/>
              <w:ind w:firstLine="420"/>
              <w:rPr>
                <w:rFonts w:hint="eastAsia" w:ascii="宋体" w:hAnsi="宋体"/>
                <w:lang w:val="zh-CN"/>
              </w:rPr>
            </w:pPr>
          </w:p>
        </w:tc>
        <w:tc>
          <w:tcPr>
            <w:tcW w:w="1641" w:type="dxa"/>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lang w:val="zh-CN"/>
              </w:rPr>
            </w:pPr>
            <w:r>
              <w:rPr>
                <w:rFonts w:hint="eastAsia" w:ascii="宋体" w:hAnsi="宋体"/>
                <w:lang w:val="zh-CN"/>
              </w:rPr>
              <w:t>2</w:t>
            </w:r>
          </w:p>
        </w:tc>
        <w:tc>
          <w:tcPr>
            <w:tcW w:w="1642" w:type="dxa"/>
            <w:vAlign w:val="center"/>
          </w:tcPr>
          <w:p>
            <w:pPr>
              <w:autoSpaceDE w:val="0"/>
              <w:autoSpaceDN w:val="0"/>
              <w:adjustRightInd w:val="0"/>
              <w:ind w:firstLine="420"/>
              <w:rPr>
                <w:rFonts w:hint="eastAsia" w:ascii="宋体" w:hAnsi="宋体"/>
                <w:lang w:val="zh-CN"/>
              </w:rPr>
            </w:pPr>
          </w:p>
        </w:tc>
        <w:tc>
          <w:tcPr>
            <w:tcW w:w="2835" w:type="dxa"/>
          </w:tcPr>
          <w:p>
            <w:pPr>
              <w:autoSpaceDE w:val="0"/>
              <w:autoSpaceDN w:val="0"/>
              <w:adjustRightInd w:val="0"/>
              <w:ind w:firstLine="420"/>
              <w:rPr>
                <w:rFonts w:hint="eastAsia" w:ascii="宋体" w:hAnsi="宋体"/>
                <w:lang w:val="zh-CN"/>
              </w:rPr>
            </w:pPr>
          </w:p>
        </w:tc>
        <w:tc>
          <w:tcPr>
            <w:tcW w:w="1417" w:type="dxa"/>
          </w:tcPr>
          <w:p>
            <w:pPr>
              <w:autoSpaceDE w:val="0"/>
              <w:autoSpaceDN w:val="0"/>
              <w:adjustRightInd w:val="0"/>
              <w:ind w:firstLine="420"/>
              <w:rPr>
                <w:rFonts w:hint="eastAsia" w:ascii="宋体" w:hAnsi="宋体"/>
                <w:lang w:val="zh-CN"/>
              </w:rPr>
            </w:pPr>
          </w:p>
        </w:tc>
        <w:tc>
          <w:tcPr>
            <w:tcW w:w="1418" w:type="dxa"/>
          </w:tcPr>
          <w:p>
            <w:pPr>
              <w:autoSpaceDE w:val="0"/>
              <w:autoSpaceDN w:val="0"/>
              <w:adjustRightInd w:val="0"/>
              <w:ind w:firstLine="420"/>
              <w:rPr>
                <w:rFonts w:hint="eastAsia" w:ascii="宋体" w:hAnsi="宋体"/>
                <w:lang w:val="zh-CN"/>
              </w:rPr>
            </w:pPr>
          </w:p>
        </w:tc>
        <w:tc>
          <w:tcPr>
            <w:tcW w:w="1641" w:type="dxa"/>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lang w:val="zh-CN"/>
              </w:rPr>
            </w:pPr>
            <w:r>
              <w:rPr>
                <w:rFonts w:hint="eastAsia" w:ascii="宋体" w:hAnsi="宋体"/>
                <w:lang w:val="zh-CN"/>
              </w:rPr>
              <w:t>3</w:t>
            </w:r>
          </w:p>
        </w:tc>
        <w:tc>
          <w:tcPr>
            <w:tcW w:w="1642" w:type="dxa"/>
            <w:vAlign w:val="center"/>
          </w:tcPr>
          <w:p>
            <w:pPr>
              <w:autoSpaceDE w:val="0"/>
              <w:autoSpaceDN w:val="0"/>
              <w:adjustRightInd w:val="0"/>
              <w:ind w:firstLine="420"/>
              <w:rPr>
                <w:rFonts w:hint="eastAsia" w:ascii="宋体" w:hAnsi="宋体"/>
                <w:lang w:val="zh-CN"/>
              </w:rPr>
            </w:pPr>
          </w:p>
        </w:tc>
        <w:tc>
          <w:tcPr>
            <w:tcW w:w="2835" w:type="dxa"/>
          </w:tcPr>
          <w:p>
            <w:pPr>
              <w:autoSpaceDE w:val="0"/>
              <w:autoSpaceDN w:val="0"/>
              <w:adjustRightInd w:val="0"/>
              <w:ind w:firstLine="420"/>
              <w:rPr>
                <w:rFonts w:hint="eastAsia" w:ascii="宋体" w:hAnsi="宋体"/>
                <w:lang w:val="zh-CN"/>
              </w:rPr>
            </w:pPr>
          </w:p>
        </w:tc>
        <w:tc>
          <w:tcPr>
            <w:tcW w:w="1417" w:type="dxa"/>
          </w:tcPr>
          <w:p>
            <w:pPr>
              <w:autoSpaceDE w:val="0"/>
              <w:autoSpaceDN w:val="0"/>
              <w:adjustRightInd w:val="0"/>
              <w:ind w:firstLine="420"/>
              <w:rPr>
                <w:rFonts w:hint="eastAsia" w:ascii="宋体" w:hAnsi="宋体"/>
                <w:lang w:val="zh-CN"/>
              </w:rPr>
            </w:pPr>
          </w:p>
        </w:tc>
        <w:tc>
          <w:tcPr>
            <w:tcW w:w="1418" w:type="dxa"/>
          </w:tcPr>
          <w:p>
            <w:pPr>
              <w:autoSpaceDE w:val="0"/>
              <w:autoSpaceDN w:val="0"/>
              <w:adjustRightInd w:val="0"/>
              <w:ind w:firstLine="420"/>
              <w:rPr>
                <w:rFonts w:hint="eastAsia" w:ascii="宋体" w:hAnsi="宋体"/>
                <w:lang w:val="zh-CN"/>
              </w:rPr>
            </w:pPr>
          </w:p>
        </w:tc>
        <w:tc>
          <w:tcPr>
            <w:tcW w:w="1641" w:type="dxa"/>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lang w:val="zh-CN"/>
              </w:rPr>
            </w:pPr>
            <w:r>
              <w:rPr>
                <w:rFonts w:hint="eastAsia" w:ascii="宋体" w:hAnsi="宋体"/>
                <w:lang w:val="zh-CN"/>
              </w:rPr>
              <w:t>…</w:t>
            </w:r>
          </w:p>
        </w:tc>
        <w:tc>
          <w:tcPr>
            <w:tcW w:w="1642" w:type="dxa"/>
          </w:tcPr>
          <w:p>
            <w:pPr>
              <w:autoSpaceDE w:val="0"/>
              <w:autoSpaceDN w:val="0"/>
              <w:adjustRightInd w:val="0"/>
              <w:ind w:firstLine="420"/>
              <w:rPr>
                <w:rFonts w:hint="eastAsia" w:ascii="宋体" w:hAnsi="宋体"/>
                <w:lang w:val="zh-CN"/>
              </w:rPr>
            </w:pPr>
          </w:p>
        </w:tc>
        <w:tc>
          <w:tcPr>
            <w:tcW w:w="2835" w:type="dxa"/>
          </w:tcPr>
          <w:p>
            <w:pPr>
              <w:autoSpaceDE w:val="0"/>
              <w:autoSpaceDN w:val="0"/>
              <w:adjustRightInd w:val="0"/>
              <w:ind w:firstLine="420"/>
              <w:rPr>
                <w:rFonts w:hint="eastAsia" w:ascii="宋体" w:hAnsi="宋体"/>
                <w:lang w:val="zh-CN"/>
              </w:rPr>
            </w:pPr>
          </w:p>
        </w:tc>
        <w:tc>
          <w:tcPr>
            <w:tcW w:w="1417" w:type="dxa"/>
          </w:tcPr>
          <w:p>
            <w:pPr>
              <w:autoSpaceDE w:val="0"/>
              <w:autoSpaceDN w:val="0"/>
              <w:adjustRightInd w:val="0"/>
              <w:ind w:firstLine="420"/>
              <w:rPr>
                <w:rFonts w:hint="eastAsia" w:ascii="宋体" w:hAnsi="宋体"/>
                <w:lang w:val="zh-CN"/>
              </w:rPr>
            </w:pPr>
          </w:p>
        </w:tc>
        <w:tc>
          <w:tcPr>
            <w:tcW w:w="1418" w:type="dxa"/>
          </w:tcPr>
          <w:p>
            <w:pPr>
              <w:autoSpaceDE w:val="0"/>
              <w:autoSpaceDN w:val="0"/>
              <w:adjustRightInd w:val="0"/>
              <w:ind w:firstLine="420"/>
              <w:rPr>
                <w:rFonts w:hint="eastAsia" w:ascii="宋体" w:hAnsi="宋体"/>
                <w:lang w:val="zh-CN"/>
              </w:rPr>
            </w:pPr>
          </w:p>
        </w:tc>
        <w:tc>
          <w:tcPr>
            <w:tcW w:w="1641" w:type="dxa"/>
          </w:tcPr>
          <w:p>
            <w:pPr>
              <w:autoSpaceDE w:val="0"/>
              <w:autoSpaceDN w:val="0"/>
              <w:adjustRightInd w:val="0"/>
              <w:ind w:firstLine="420"/>
              <w:rPr>
                <w:rFonts w:hint="eastAsia" w:ascii="宋体" w:hAnsi="宋体"/>
                <w:lang w:val="zh-CN"/>
              </w:rPr>
            </w:pPr>
          </w:p>
        </w:tc>
      </w:tr>
    </w:tbl>
    <w:p>
      <w:pPr>
        <w:snapToGrid w:val="0"/>
        <w:spacing w:before="50" w:after="50"/>
        <w:ind w:right="-817" w:rightChars="-389" w:firstLine="0" w:firstLineChars="0"/>
        <w:rPr>
          <w:rFonts w:hint="eastAsia" w:ascii="宋体" w:hAnsi="宋体"/>
          <w:bCs/>
        </w:rPr>
      </w:pPr>
      <w:r>
        <w:rPr>
          <w:rFonts w:hint="eastAsia" w:ascii="宋体" w:hAnsi="宋体"/>
          <w:bCs/>
          <w:lang w:val="zh-CN"/>
        </w:rPr>
        <w:t>注:应</w:t>
      </w:r>
      <w:r>
        <w:rPr>
          <w:rFonts w:hint="eastAsia" w:ascii="宋体" w:hAnsi="宋体"/>
          <w:bCs/>
        </w:rPr>
        <w:t>提供所配置人员姓名、身份证、岗位、学历证书、培训证书、相关工作经验证明材料(合同)。</w:t>
      </w:r>
    </w:p>
    <w:p>
      <w:pPr>
        <w:ind w:firstLine="420"/>
      </w:pPr>
    </w:p>
    <w:p>
      <w:pPr>
        <w:ind w:firstLine="420"/>
      </w:pPr>
    </w:p>
    <w:p>
      <w:pPr>
        <w:ind w:left="6019" w:leftChars="2866" w:right="592" w:rightChars="282" w:firstLine="75" w:firstLineChars="36"/>
        <w:jc w:val="left"/>
        <w:rPr>
          <w:rFonts w:hint="eastAsia" w:ascii="宋体" w:hAnsi="宋体"/>
          <w:bCs/>
        </w:rPr>
      </w:pPr>
      <w:r>
        <w:rPr>
          <w:rFonts w:hint="eastAsia" w:ascii="宋体" w:hAnsi="宋体"/>
          <w:bCs/>
        </w:rPr>
        <w:t>投标人（盖章）：</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p>
    <w:p>
      <w:pPr>
        <w:snapToGrid w:val="0"/>
        <w:spacing w:before="50" w:after="50" w:line="350" w:lineRule="exact"/>
        <w:ind w:right="-817" w:rightChars="-389" w:firstLine="6090" w:firstLineChars="2900"/>
        <w:jc w:val="left"/>
        <w:rPr>
          <w:rFonts w:hint="eastAsia" w:ascii="宋体" w:hAnsi="宋体"/>
          <w:bCs/>
        </w:rPr>
      </w:pPr>
      <w:r>
        <w:rPr>
          <w:rFonts w:hint="eastAsia" w:ascii="宋体" w:hAnsi="宋体"/>
          <w:bCs/>
        </w:rPr>
        <w:t>日期：</w:t>
      </w:r>
      <w:r>
        <w:rPr>
          <w:rFonts w:hint="eastAsia" w:ascii="宋体" w:hAnsi="宋体"/>
          <w:bCs/>
          <w:szCs w:val="21"/>
          <w:u w:val="single"/>
        </w:rPr>
        <w:t xml:space="preserve">       </w:t>
      </w:r>
      <w:r>
        <w:rPr>
          <w:rFonts w:hint="eastAsia" w:ascii="宋体" w:hAnsi="宋体"/>
          <w:bCs/>
        </w:rPr>
        <w:t>年</w:t>
      </w:r>
      <w:r>
        <w:rPr>
          <w:rFonts w:hint="eastAsia" w:ascii="宋体" w:hAnsi="宋体"/>
          <w:bCs/>
          <w:szCs w:val="21"/>
          <w:u w:val="single"/>
        </w:rPr>
        <w:t xml:space="preserve">   </w:t>
      </w:r>
      <w:r>
        <w:rPr>
          <w:rFonts w:hint="eastAsia" w:ascii="宋体" w:hAnsi="宋体"/>
          <w:bCs/>
        </w:rPr>
        <w:t>月</w:t>
      </w:r>
      <w:r>
        <w:rPr>
          <w:rFonts w:hint="eastAsia" w:ascii="宋体" w:hAnsi="宋体"/>
          <w:bCs/>
          <w:szCs w:val="21"/>
          <w:u w:val="single"/>
        </w:rPr>
        <w:t xml:space="preserve">   </w:t>
      </w:r>
      <w:r>
        <w:rPr>
          <w:rFonts w:hint="eastAsia" w:ascii="宋体" w:hAnsi="宋体"/>
          <w:bCs/>
        </w:rPr>
        <w:t>日</w:t>
      </w:r>
    </w:p>
    <w:p>
      <w:pPr>
        <w:spacing w:line="440" w:lineRule="exact"/>
        <w:ind w:left="-177" w:leftChars="-200" w:hanging="243" w:hangingChars="116"/>
        <w:jc w:val="center"/>
        <w:rPr>
          <w:rFonts w:hint="eastAsia" w:ascii="仿宋_GB2312" w:hAnsi="宋体" w:eastAsia="仿宋_GB2312"/>
          <w:b/>
          <w:sz w:val="32"/>
          <w:szCs w:val="32"/>
        </w:rPr>
      </w:pPr>
      <w:r>
        <w:rPr>
          <w:rFonts w:hint="eastAsia" w:ascii="宋体" w:hAnsi="宋体"/>
          <w:bCs/>
        </w:rPr>
        <w:br w:type="page"/>
      </w:r>
      <w:r>
        <w:rPr>
          <w:rFonts w:hint="eastAsia" w:ascii="仿宋_GB2312" w:hAnsi="宋体" w:eastAsia="仿宋_GB2312"/>
          <w:b/>
          <w:sz w:val="32"/>
          <w:szCs w:val="32"/>
        </w:rPr>
        <w:t>中小企业声明函</w:t>
      </w:r>
      <w:r>
        <w:rPr>
          <w:rFonts w:hint="eastAsia" w:ascii="仿宋_GB2312" w:eastAsia="仿宋_GB2312"/>
          <w:bCs/>
          <w:sz w:val="24"/>
        </w:rPr>
        <w:t>（格式）</w:t>
      </w:r>
    </w:p>
    <w:p>
      <w:pPr>
        <w:spacing w:line="440" w:lineRule="exact"/>
        <w:ind w:left="2" w:hanging="2" w:firstLineChars="0"/>
        <w:jc w:val="left"/>
        <w:rPr>
          <w:rFonts w:hint="eastAsia" w:ascii="仿宋_GB2312" w:hAnsi="宋体" w:eastAsia="仿宋_GB2312"/>
          <w:b/>
          <w:szCs w:val="21"/>
        </w:rPr>
      </w:pPr>
    </w:p>
    <w:p>
      <w:pPr>
        <w:spacing w:line="600" w:lineRule="exact"/>
        <w:ind w:firstLine="294" w:firstLineChars="140"/>
        <w:jc w:val="left"/>
        <w:rPr>
          <w:rFonts w:hint="eastAsia" w:ascii="宋体" w:hAnsi="宋体"/>
          <w:bCs/>
          <w:szCs w:val="21"/>
        </w:rPr>
      </w:pPr>
      <w:bookmarkStart w:id="288" w:name="_Hlk94193902"/>
      <w:r>
        <w:rPr>
          <w:rFonts w:hint="eastAsia" w:ascii="宋体" w:hAnsi="宋体"/>
          <w:bCs/>
          <w:szCs w:val="21"/>
        </w:rPr>
        <w:t>本公司郑重声明，根据</w:t>
      </w:r>
      <w:bookmarkStart w:id="289" w:name="_Hlk82091685"/>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HYPERLINK "http://www.gov.cn/zhengce/zhengceku/2020-12/29/content_5574611.htm"</w:instrText>
      </w:r>
      <w:r>
        <w:rPr>
          <w:rFonts w:ascii="宋体" w:hAnsi="宋体"/>
          <w:bCs/>
          <w:szCs w:val="21"/>
        </w:rPr>
        <w:instrText xml:space="preserve"> </w:instrText>
      </w:r>
      <w:r>
        <w:rPr>
          <w:rFonts w:ascii="宋体" w:hAnsi="宋体"/>
          <w:bCs/>
          <w:szCs w:val="21"/>
        </w:rPr>
        <w:fldChar w:fldCharType="separate"/>
      </w:r>
      <w:r>
        <w:rPr>
          <w:rStyle w:val="58"/>
          <w:rFonts w:hint="eastAsia" w:ascii="宋体" w:hAnsi="宋体"/>
          <w:bCs/>
          <w:color w:val="auto"/>
          <w:szCs w:val="21"/>
          <w:u w:val="none"/>
        </w:rPr>
        <w:t>《政府采购促进中小企业发展管理办法》</w:t>
      </w:r>
      <w:bookmarkStart w:id="290" w:name="_Hlk60836554"/>
      <w:r>
        <w:rPr>
          <w:rStyle w:val="58"/>
          <w:rFonts w:hint="eastAsia" w:ascii="宋体" w:hAnsi="宋体"/>
          <w:bCs/>
          <w:color w:val="auto"/>
          <w:szCs w:val="21"/>
          <w:u w:val="none"/>
        </w:rPr>
        <w:t>（财库﹝2020﹞46号）</w:t>
      </w:r>
      <w:bookmarkEnd w:id="289"/>
      <w:bookmarkEnd w:id="290"/>
      <w:r>
        <w:rPr>
          <w:rFonts w:ascii="宋体" w:hAnsi="宋体"/>
          <w:bCs/>
          <w:szCs w:val="21"/>
        </w:rPr>
        <w:fldChar w:fldCharType="end"/>
      </w:r>
      <w:r>
        <w:rPr>
          <w:rFonts w:hint="eastAsia" w:ascii="宋体" w:hAnsi="宋体"/>
          <w:bCs/>
          <w:szCs w:val="21"/>
        </w:rPr>
        <w:t>的规定，本公司参加</w:t>
      </w:r>
      <w:bookmarkStart w:id="291" w:name="_Hlk82091228"/>
      <w:r>
        <w:rPr>
          <w:rFonts w:hint="eastAsia" w:ascii="宋体" w:hAnsi="宋体"/>
          <w:bCs/>
          <w:szCs w:val="21"/>
        </w:rPr>
        <w:t>（</w:t>
      </w:r>
      <w:r>
        <w:rPr>
          <w:rFonts w:hint="eastAsia" w:ascii="宋体" w:hAnsi="宋体"/>
          <w:bCs/>
          <w:szCs w:val="21"/>
          <w:u w:val="single"/>
        </w:rPr>
        <w:t>单位名称</w:t>
      </w:r>
      <w:r>
        <w:rPr>
          <w:rFonts w:hint="eastAsia" w:ascii="宋体" w:hAnsi="宋体"/>
          <w:bCs/>
          <w:szCs w:val="21"/>
        </w:rPr>
        <w:t>）的（</w:t>
      </w:r>
      <w:r>
        <w:rPr>
          <w:rFonts w:hint="eastAsia" w:ascii="宋体" w:hAnsi="宋体"/>
          <w:bCs/>
          <w:szCs w:val="21"/>
          <w:u w:val="single"/>
        </w:rPr>
        <w:t>项目名称</w:t>
      </w:r>
      <w:r>
        <w:rPr>
          <w:rFonts w:hint="eastAsia" w:ascii="宋体" w:hAnsi="宋体"/>
          <w:bCs/>
          <w:szCs w:val="21"/>
        </w:rPr>
        <w:t>）</w:t>
      </w:r>
      <w:bookmarkEnd w:id="291"/>
      <w:r>
        <w:rPr>
          <w:rFonts w:hint="eastAsia" w:ascii="宋体" w:hAnsi="宋体"/>
          <w:bCs/>
          <w:szCs w:val="21"/>
        </w:rPr>
        <w:t>采购活动，提供的货物全部由符合政策要求的中小企业制造。相关企业的具体情况如下：</w:t>
      </w:r>
    </w:p>
    <w:p>
      <w:pPr>
        <w:spacing w:line="600" w:lineRule="exact"/>
        <w:ind w:firstLine="294" w:firstLineChars="140"/>
        <w:jc w:val="left"/>
        <w:rPr>
          <w:rFonts w:hint="eastAsia" w:ascii="宋体" w:hAnsi="宋体"/>
          <w:bCs/>
          <w:szCs w:val="21"/>
        </w:rPr>
      </w:pPr>
      <w:r>
        <w:rPr>
          <w:rFonts w:hint="eastAsia" w:ascii="宋体" w:hAnsi="宋体"/>
          <w:bCs/>
          <w:szCs w:val="21"/>
        </w:rPr>
        <w:t>1.</w:t>
      </w:r>
      <w:bookmarkStart w:id="292" w:name="_Hlk60836996"/>
      <w:r>
        <w:rPr>
          <w:rFonts w:hint="eastAsia" w:ascii="宋体" w:hAnsi="宋体"/>
          <w:bCs/>
          <w:szCs w:val="21"/>
        </w:rPr>
        <w:t>（</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），从业人员人，营业收入为万元，资产总额为万元，属于（</w:t>
      </w:r>
      <w:r>
        <w:rPr>
          <w:rFonts w:hint="eastAsia" w:ascii="宋体" w:hAnsi="宋体"/>
          <w:bCs/>
          <w:szCs w:val="21"/>
          <w:u w:val="single"/>
        </w:rPr>
        <w:t>中型企业、小型企业、微型企业</w:t>
      </w:r>
      <w:r>
        <w:rPr>
          <w:rFonts w:hint="eastAsia" w:ascii="宋体" w:hAnsi="宋体"/>
          <w:bCs/>
          <w:szCs w:val="21"/>
        </w:rPr>
        <w:t>）；</w:t>
      </w:r>
      <w:bookmarkEnd w:id="292"/>
    </w:p>
    <w:p>
      <w:pPr>
        <w:spacing w:line="600" w:lineRule="exact"/>
        <w:ind w:firstLine="294" w:firstLineChars="140"/>
        <w:jc w:val="left"/>
        <w:rPr>
          <w:rFonts w:hint="eastAsia" w:ascii="宋体" w:hAnsi="宋体"/>
          <w:bCs/>
          <w:szCs w:val="21"/>
        </w:rPr>
      </w:pPr>
      <w:r>
        <w:rPr>
          <w:rFonts w:hint="eastAsia" w:ascii="宋体" w:hAnsi="宋体"/>
          <w:bCs/>
          <w:szCs w:val="21"/>
        </w:rPr>
        <w:t>2.（</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），从业人员人，营业收入为万元，资产总额为万元，属于（</w:t>
      </w:r>
      <w:r>
        <w:rPr>
          <w:rFonts w:hint="eastAsia" w:ascii="宋体" w:hAnsi="宋体"/>
          <w:bCs/>
          <w:szCs w:val="21"/>
          <w:u w:val="single"/>
        </w:rPr>
        <w:t>中型企业、小型企业、微型企业</w:t>
      </w:r>
      <w:r>
        <w:rPr>
          <w:rFonts w:hint="eastAsia" w:ascii="宋体" w:hAnsi="宋体"/>
          <w:bCs/>
          <w:szCs w:val="21"/>
        </w:rPr>
        <w:t>）；</w:t>
      </w:r>
    </w:p>
    <w:p>
      <w:pPr>
        <w:spacing w:line="600" w:lineRule="exact"/>
        <w:ind w:firstLine="294" w:firstLineChars="140"/>
        <w:jc w:val="left"/>
        <w:rPr>
          <w:rFonts w:hint="eastAsia" w:ascii="宋体" w:hAnsi="宋体"/>
          <w:bCs/>
          <w:szCs w:val="21"/>
        </w:rPr>
      </w:pPr>
      <w:r>
        <w:rPr>
          <w:rFonts w:hint="eastAsia" w:ascii="宋体" w:hAnsi="宋体"/>
          <w:bCs/>
          <w:szCs w:val="21"/>
        </w:rPr>
        <w:t>……</w:t>
      </w:r>
    </w:p>
    <w:p>
      <w:pPr>
        <w:spacing w:line="600" w:lineRule="exact"/>
        <w:ind w:firstLine="294" w:firstLineChars="140"/>
        <w:jc w:val="left"/>
        <w:rPr>
          <w:rFonts w:hint="eastAsia" w:ascii="宋体" w:hAnsi="宋体"/>
          <w:bCs/>
          <w:szCs w:val="21"/>
        </w:rPr>
      </w:pPr>
      <w:r>
        <w:rPr>
          <w:rFonts w:hint="eastAsia" w:ascii="宋体" w:hAnsi="宋体"/>
          <w:bCs/>
          <w:szCs w:val="21"/>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szCs w:val="21"/>
        </w:rPr>
      </w:pPr>
      <w:r>
        <w:rPr>
          <w:rFonts w:hint="eastAsia" w:ascii="宋体" w:hAnsi="宋体"/>
          <w:bCs/>
          <w:szCs w:val="21"/>
        </w:rPr>
        <w:t>本企业对上述声明内容的真实性负责。如有虚假，将依法承担相应责任。</w:t>
      </w:r>
    </w:p>
    <w:p>
      <w:pPr>
        <w:ind w:firstLine="0" w:firstLineChars="0"/>
        <w:rPr>
          <w:szCs w:val="21"/>
        </w:rPr>
      </w:pPr>
    </w:p>
    <w:p>
      <w:pPr>
        <w:ind w:firstLine="0" w:firstLineChars="0"/>
        <w:rPr>
          <w:szCs w:val="21"/>
        </w:rPr>
      </w:pPr>
    </w:p>
    <w:p>
      <w:pPr>
        <w:ind w:firstLine="0" w:firstLineChars="0"/>
        <w:rPr>
          <w:szCs w:val="21"/>
        </w:rPr>
      </w:pPr>
    </w:p>
    <w:p>
      <w:pPr>
        <w:spacing w:line="440" w:lineRule="exact"/>
        <w:ind w:firstLine="5250" w:firstLineChars="2500"/>
        <w:jc w:val="left"/>
        <w:rPr>
          <w:rFonts w:hint="eastAsia" w:ascii="宋体" w:hAnsi="宋体"/>
          <w:bCs/>
          <w:szCs w:val="21"/>
        </w:rPr>
      </w:pPr>
      <w:r>
        <w:rPr>
          <w:rFonts w:hint="eastAsia" w:ascii="宋体" w:hAnsi="宋体"/>
          <w:bCs/>
          <w:szCs w:val="21"/>
        </w:rPr>
        <w:t>企业名称（盖章）：</w:t>
      </w:r>
      <w:r>
        <w:rPr>
          <w:rFonts w:hint="eastAsia" w:hAnsi="宋体"/>
          <w:szCs w:val="21"/>
          <w:u w:val="single"/>
        </w:rPr>
        <w:t xml:space="preserve"> </w:t>
      </w:r>
      <w:r>
        <w:rPr>
          <w:rFonts w:hAnsi="宋体"/>
          <w:szCs w:val="21"/>
          <w:u w:val="single"/>
        </w:rPr>
        <w:t xml:space="preserve">              </w:t>
      </w:r>
    </w:p>
    <w:p>
      <w:pPr>
        <w:spacing w:line="440" w:lineRule="exact"/>
        <w:ind w:firstLine="5250" w:firstLineChars="2500"/>
        <w:jc w:val="left"/>
        <w:rPr>
          <w:rFonts w:hint="eastAsia" w:ascii="宋体" w:hAnsi="宋体"/>
          <w:bCs/>
          <w:szCs w:val="21"/>
        </w:rPr>
      </w:pPr>
      <w:r>
        <w:rPr>
          <w:rFonts w:hint="eastAsia" w:ascii="宋体" w:hAnsi="宋体"/>
          <w:bCs/>
          <w:szCs w:val="21"/>
        </w:rPr>
        <w:t>日 期：</w:t>
      </w:r>
      <w:r>
        <w:rPr>
          <w:rFonts w:hint="eastAsia" w:hAnsi="宋体"/>
          <w:szCs w:val="21"/>
          <w:u w:val="single"/>
        </w:rPr>
        <w:t xml:space="preserve"> </w:t>
      </w:r>
      <w:r>
        <w:rPr>
          <w:rFonts w:hAnsi="宋体"/>
          <w:szCs w:val="21"/>
          <w:u w:val="single"/>
        </w:rPr>
        <w:t xml:space="preserve">                        </w:t>
      </w:r>
    </w:p>
    <w:bookmarkEnd w:id="288"/>
    <w:p>
      <w:pPr>
        <w:ind w:firstLine="0" w:firstLineChars="0"/>
        <w:rPr>
          <w:szCs w:val="21"/>
        </w:rPr>
      </w:pPr>
    </w:p>
    <w:p>
      <w:pPr>
        <w:ind w:firstLine="0" w:firstLineChars="0"/>
        <w:rPr>
          <w:szCs w:val="21"/>
        </w:rPr>
      </w:pPr>
    </w:p>
    <w:p>
      <w:pPr>
        <w:ind w:firstLine="0" w:firstLineChars="0"/>
        <w:rPr>
          <w:szCs w:val="21"/>
        </w:rPr>
      </w:pPr>
    </w:p>
    <w:p>
      <w:pPr>
        <w:ind w:firstLine="0" w:firstLineChars="0"/>
        <w:rPr>
          <w:szCs w:val="21"/>
        </w:rPr>
      </w:pPr>
    </w:p>
    <w:p>
      <w:pPr>
        <w:ind w:firstLine="0" w:firstLineChars="0"/>
        <w:rPr>
          <w:szCs w:val="21"/>
        </w:rPr>
      </w:pPr>
    </w:p>
    <w:p>
      <w:pPr>
        <w:spacing w:line="320" w:lineRule="exact"/>
        <w:ind w:firstLine="0" w:firstLineChars="0"/>
        <w:rPr>
          <w:szCs w:val="21"/>
        </w:rPr>
      </w:pPr>
    </w:p>
    <w:p>
      <w:pPr>
        <w:spacing w:line="320" w:lineRule="exact"/>
        <w:ind w:firstLine="0" w:firstLineChars="0"/>
        <w:rPr>
          <w:szCs w:val="21"/>
        </w:rPr>
      </w:pPr>
    </w:p>
    <w:p>
      <w:pPr>
        <w:spacing w:line="320" w:lineRule="exact"/>
        <w:ind w:firstLine="0" w:firstLineChars="0"/>
        <w:rPr>
          <w:szCs w:val="21"/>
        </w:rPr>
      </w:pPr>
    </w:p>
    <w:p>
      <w:pPr>
        <w:spacing w:line="320" w:lineRule="exact"/>
        <w:ind w:firstLine="0" w:firstLineChars="0"/>
        <w:rPr>
          <w:szCs w:val="21"/>
        </w:rPr>
      </w:pPr>
    </w:p>
    <w:p>
      <w:pPr>
        <w:spacing w:line="320" w:lineRule="exact"/>
        <w:ind w:firstLine="0" w:firstLineChars="0"/>
        <w:rPr>
          <w:szCs w:val="21"/>
        </w:rPr>
      </w:pPr>
    </w:p>
    <w:p>
      <w:pPr>
        <w:spacing w:line="320" w:lineRule="exact"/>
        <w:ind w:left="420" w:firstLine="0" w:firstLineChars="0"/>
        <w:rPr>
          <w:rFonts w:hint="eastAsia" w:ascii="宋体" w:hAnsi="宋体"/>
          <w:sz w:val="18"/>
          <w:szCs w:val="18"/>
        </w:rPr>
      </w:pPr>
      <w:bookmarkStart w:id="293" w:name="_Hlk82091879"/>
      <w:r>
        <w:rPr>
          <w:rFonts w:ascii="宋体" w:hAnsi="宋体"/>
          <w:sz w:val="18"/>
          <w:szCs w:val="18"/>
        </w:rPr>
        <w:fldChar w:fldCharType="begin"/>
      </w:r>
      <w:r>
        <w:rPr>
          <w:rFonts w:ascii="宋体" w:hAnsi="宋体"/>
          <w:sz w:val="18"/>
          <w:szCs w:val="18"/>
        </w:rPr>
        <w:instrText xml:space="preserve">EQ \* jc2 \* hps9 \o\ad(\s\up 8(——),从)</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8(——),业)</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8(——),人)</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8(——),员)</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8(——),营)</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8(——),业)</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8(——),收)</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8(——),入)</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8(——),资)</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8(——),产)</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8(——),总)</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8(——),额)</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8(——),填)</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8(——),报)</w:instrText>
      </w:r>
      <w:r>
        <w:rPr>
          <w:rFonts w:ascii="宋体" w:hAnsi="宋体"/>
          <w:sz w:val="18"/>
          <w:szCs w:val="18"/>
        </w:rPr>
        <w:fldChar w:fldCharType="end"/>
      </w:r>
      <w:bookmarkEnd w:id="293"/>
      <w:r>
        <w:rPr>
          <w:rFonts w:hint="eastAsia" w:ascii="宋体" w:hAnsi="宋体"/>
          <w:sz w:val="18"/>
          <w:szCs w:val="18"/>
        </w:rPr>
        <w:t>上一年度数据，无上一年度数据的新成立企业可不填报。</w:t>
      </w:r>
    </w:p>
    <w:tbl>
      <w:tblPr>
        <w:tblStyle w:val="49"/>
        <w:tblW w:w="0" w:type="auto"/>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240" w:lineRule="auto"/>
              <w:ind w:firstLine="0" w:firstLineChars="0"/>
              <w:jc w:val="center"/>
              <w:rPr>
                <w:rFonts w:ascii="Helvetica" w:hAnsi="Helvetica" w:cs="Helvetica"/>
                <w:b/>
                <w:bCs/>
                <w:kern w:val="0"/>
                <w:szCs w:val="21"/>
              </w:rPr>
            </w:pPr>
            <w:r>
              <w:rPr>
                <w:rFonts w:ascii="Helvetica" w:hAnsi="Helvetica" w:cs="Helvetica"/>
                <w:b/>
                <w:bCs/>
                <w:kern w:val="0"/>
                <w:szCs w:val="21"/>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计量</w:t>
            </w:r>
          </w:p>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Z＜100</w:t>
            </w:r>
          </w:p>
        </w:tc>
      </w:tr>
      <w:tr>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bl>
    <w:p>
      <w:pPr>
        <w:widowControl/>
        <w:shd w:val="clear" w:color="auto" w:fill="FFFFFF"/>
        <w:spacing w:line="360" w:lineRule="atLeast"/>
        <w:ind w:firstLine="0" w:firstLineChars="0"/>
        <w:jc w:val="left"/>
        <w:rPr>
          <w:rFonts w:ascii="Helvetica" w:hAnsi="Helvetica" w:cs="Helvetica"/>
          <w:kern w:val="0"/>
          <w:sz w:val="18"/>
          <w:szCs w:val="18"/>
        </w:rPr>
      </w:pPr>
      <w:r>
        <w:rPr>
          <w:rFonts w:ascii="Helvetica" w:hAnsi="Helvetica" w:cs="Helvetica"/>
          <w:kern w:val="0"/>
          <w:sz w:val="18"/>
          <w:szCs w:val="18"/>
        </w:rPr>
        <w:t>说明：</w:t>
      </w:r>
    </w:p>
    <w:p>
      <w:pPr>
        <w:widowControl/>
        <w:shd w:val="clear" w:color="auto" w:fill="FFFFFF"/>
        <w:spacing w:line="360" w:lineRule="atLeast"/>
        <w:ind w:firstLine="480" w:firstLineChars="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pPr>
        <w:widowControl/>
        <w:shd w:val="clear" w:color="auto" w:fill="FFFFFF"/>
        <w:spacing w:line="360" w:lineRule="atLeast"/>
        <w:ind w:firstLine="480" w:firstLineChars="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firstLineChars="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pPr>
        <w:ind w:firstLine="0" w:firstLineChars="0"/>
      </w:pPr>
      <w:r>
        <w:br w:type="page"/>
      </w:r>
    </w:p>
    <w:p>
      <w:pPr>
        <w:spacing w:line="440" w:lineRule="exact"/>
        <w:ind w:firstLine="0" w:firstLineChars="0"/>
        <w:jc w:val="center"/>
        <w:rPr>
          <w:rFonts w:hint="eastAsia" w:ascii="仿宋_GB2312" w:hAnsi="宋体" w:eastAsia="仿宋_GB2312" w:cs="Courier New"/>
          <w:b/>
          <w:kern w:val="0"/>
          <w:sz w:val="32"/>
          <w:szCs w:val="32"/>
        </w:rPr>
      </w:pPr>
      <w:r>
        <w:rPr>
          <w:rFonts w:hint="eastAsia" w:ascii="仿宋_GB2312" w:hAnsi="宋体" w:eastAsia="仿宋_GB2312" w:cs="Courier New"/>
          <w:b/>
          <w:kern w:val="0"/>
          <w:sz w:val="32"/>
          <w:szCs w:val="32"/>
        </w:rPr>
        <w:t>残疾人福利性单位声明函</w:t>
      </w:r>
      <w:r>
        <w:rPr>
          <w:rFonts w:hint="eastAsia" w:ascii="仿宋_GB2312" w:eastAsia="仿宋_GB2312"/>
          <w:bCs/>
          <w:sz w:val="24"/>
        </w:rPr>
        <w:t>（格式）</w:t>
      </w:r>
    </w:p>
    <w:p>
      <w:pPr>
        <w:ind w:firstLine="0" w:firstLineChars="0"/>
      </w:pPr>
    </w:p>
    <w:p>
      <w:pPr>
        <w:spacing w:line="660" w:lineRule="exact"/>
        <w:ind w:firstLine="420"/>
        <w:rPr>
          <w:rFonts w:hint="eastAsia" w:ascii="宋体" w:hAnsi="宋体" w:cs="Courier New"/>
          <w:kern w:val="0"/>
          <w:szCs w:val="21"/>
        </w:rPr>
      </w:pPr>
      <w:bookmarkStart w:id="294" w:name="_Hlk94193952"/>
      <w:r>
        <w:rPr>
          <w:rFonts w:hint="eastAsia" w:ascii="宋体" w:hAnsi="宋体" w:cs="Courier New"/>
          <w:kern w:val="0"/>
          <w:szCs w:val="21"/>
        </w:rPr>
        <w:t>本单位郑重声明，根据</w:t>
      </w:r>
      <w:bookmarkStart w:id="295"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295"/>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pPr>
        <w:spacing w:line="660" w:lineRule="exact"/>
        <w:ind w:firstLine="420"/>
        <w:rPr>
          <w:rFonts w:hint="eastAsia" w:ascii="宋体" w:hAnsi="宋体" w:cs="Courier New"/>
          <w:kern w:val="0"/>
          <w:szCs w:val="21"/>
        </w:rPr>
      </w:pPr>
      <w:r>
        <w:rPr>
          <w:rFonts w:hint="eastAsia" w:ascii="宋体" w:hAnsi="宋体" w:cs="Courier New"/>
          <w:kern w:val="0"/>
          <w:szCs w:val="21"/>
        </w:rPr>
        <w:t>本单位对上述声明的真实性负责。如有虚假，将依法承担相应责任。</w:t>
      </w:r>
    </w:p>
    <w:p>
      <w:pPr>
        <w:ind w:firstLine="0" w:firstLineChars="0"/>
        <w:rPr>
          <w:szCs w:val="21"/>
        </w:rPr>
      </w:pPr>
    </w:p>
    <w:p>
      <w:pPr>
        <w:ind w:firstLine="0" w:firstLineChars="0"/>
        <w:rPr>
          <w:szCs w:val="21"/>
        </w:rPr>
      </w:pPr>
    </w:p>
    <w:p>
      <w:pPr>
        <w:ind w:firstLine="0" w:firstLineChars="0"/>
        <w:rPr>
          <w:szCs w:val="21"/>
        </w:rPr>
      </w:pPr>
    </w:p>
    <w:p>
      <w:pPr>
        <w:spacing w:line="440" w:lineRule="exact"/>
        <w:ind w:firstLine="5250" w:firstLineChars="2500"/>
        <w:rPr>
          <w:rFonts w:hint="eastAsia"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pPr>
        <w:spacing w:line="440" w:lineRule="exact"/>
        <w:ind w:firstLine="5250" w:firstLineChars="2500"/>
        <w:rPr>
          <w:rFonts w:hint="eastAsia"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294"/>
    <w:p>
      <w:pPr>
        <w:spacing w:line="440" w:lineRule="exact"/>
        <w:ind w:firstLine="4000" w:firstLineChars="1905"/>
        <w:rPr>
          <w:rFonts w:hint="eastAsia" w:ascii="宋体" w:hAnsi="宋体"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260" w:lineRule="exact"/>
        <w:ind w:firstLine="0" w:firstLineChars="0"/>
        <w:jc w:val="left"/>
        <w:rPr>
          <w:rFonts w:ascii="宋体" w:hAnsi="Courier New" w:cs="Courier New"/>
          <w:sz w:val="18"/>
          <w:szCs w:val="18"/>
          <w:u w:val="single"/>
        </w:rPr>
      </w:pPr>
      <w:r>
        <w:rPr>
          <w:rFonts w:hint="eastAsia" w:ascii="宋体" w:hAnsi="Courier New" w:cs="Courier New"/>
          <w:sz w:val="18"/>
          <w:szCs w:val="18"/>
          <w:u w:val="single"/>
        </w:rPr>
        <w:t xml:space="preserve"> </w:t>
      </w:r>
      <w:r>
        <w:rPr>
          <w:rFonts w:ascii="宋体" w:hAnsi="Courier New" w:cs="Courier New"/>
          <w:sz w:val="18"/>
          <w:szCs w:val="18"/>
          <w:u w:val="single"/>
        </w:rPr>
        <w:t xml:space="preserve">                       </w:t>
      </w:r>
    </w:p>
    <w:p>
      <w:pPr>
        <w:spacing w:line="260" w:lineRule="exact"/>
        <w:ind w:firstLine="0" w:firstLineChars="0"/>
        <w:jc w:val="left"/>
        <w:rPr>
          <w:rFonts w:ascii="宋体" w:hAnsi="Courier New" w:cs="Courier New"/>
          <w:sz w:val="18"/>
          <w:szCs w:val="18"/>
          <w:u w:val="single"/>
        </w:rPr>
      </w:pPr>
      <w:r>
        <w:fldChar w:fldCharType="begin"/>
      </w:r>
      <w:r>
        <w:instrText xml:space="preserve"> HYPERLINK "http://www.ccgp.gov.cn/zcfg/mof/201709/t20170904_8787205.htm" </w:instrText>
      </w:r>
      <w:r>
        <w:fldChar w:fldCharType="separate"/>
      </w:r>
      <w:r>
        <w:rPr>
          <w:rFonts w:hint="eastAsia" w:ascii="宋体" w:hAnsi="Courier New" w:cs="Courier New"/>
          <w:sz w:val="18"/>
          <w:szCs w:val="18"/>
          <w:u w:val="single"/>
        </w:rPr>
        <w:t>《财政部 民政部 中国残疾人联</w:t>
      </w:r>
      <w:bookmarkStart w:id="296" w:name="_Hlt94193982"/>
      <w:bookmarkStart w:id="297" w:name="_Hlt94193983"/>
      <w:r>
        <w:rPr>
          <w:rFonts w:hint="eastAsia" w:ascii="宋体" w:hAnsi="Courier New" w:cs="Courier New"/>
          <w:sz w:val="18"/>
          <w:szCs w:val="18"/>
          <w:u w:val="single"/>
        </w:rPr>
        <w:t>合</w:t>
      </w:r>
      <w:bookmarkEnd w:id="296"/>
      <w:bookmarkEnd w:id="297"/>
      <w:r>
        <w:rPr>
          <w:rFonts w:hint="eastAsia" w:ascii="宋体" w:hAnsi="Courier New" w:cs="Courier New"/>
          <w:sz w:val="18"/>
          <w:szCs w:val="18"/>
          <w:u w:val="single"/>
        </w:rPr>
        <w:t>会关于促进残疾人就业政府采购政策的通知》（财库〔2017〕141号）</w:t>
      </w:r>
      <w:r>
        <w:rPr>
          <w:rFonts w:hint="eastAsia" w:ascii="宋体" w:hAnsi="Courier New" w:cs="Courier New"/>
          <w:sz w:val="18"/>
          <w:szCs w:val="18"/>
          <w:u w:val="single"/>
        </w:rPr>
        <w:fldChar w:fldCharType="end"/>
      </w:r>
    </w:p>
    <w:p>
      <w:pPr>
        <w:snapToGrid w:val="0"/>
        <w:spacing w:before="50" w:after="50" w:line="360" w:lineRule="exact"/>
        <w:ind w:right="-817" w:rightChars="-389" w:firstLine="0" w:firstLineChars="0"/>
        <w:rPr>
          <w:rFonts w:hint="eastAsia" w:ascii="宋体" w:hAnsi="宋体"/>
          <w:b/>
          <w:bCs/>
          <w:sz w:val="32"/>
          <w:szCs w:val="32"/>
        </w:rPr>
      </w:pPr>
      <w:r>
        <w:rPr>
          <w:rFonts w:ascii="宋体" w:hAnsi="宋体"/>
          <w:szCs w:val="21"/>
        </w:rPr>
        <w:br w:type="page"/>
      </w:r>
      <w:r>
        <w:rPr>
          <w:rFonts w:hint="eastAsia" w:ascii="宋体" w:hAnsi="宋体"/>
          <w:b/>
          <w:bCs/>
          <w:sz w:val="32"/>
          <w:szCs w:val="32"/>
        </w:rPr>
        <w:t>三、报价文件</w:t>
      </w:r>
    </w:p>
    <w:p>
      <w:pPr>
        <w:ind w:firstLine="0" w:firstLineChars="0"/>
      </w:pPr>
    </w:p>
    <w:p>
      <w:pPr>
        <w:snapToGrid w:val="0"/>
        <w:spacing w:before="50" w:after="50" w:line="360" w:lineRule="exact"/>
        <w:ind w:firstLine="0" w:firstLineChars="0"/>
        <w:jc w:val="center"/>
        <w:rPr>
          <w:rFonts w:hint="eastAsia" w:ascii="仿宋_GB2312" w:hAnsi="宋体" w:eastAsia="仿宋_GB2312"/>
          <w:b/>
          <w:sz w:val="28"/>
          <w:szCs w:val="28"/>
        </w:rPr>
      </w:pPr>
      <w:r>
        <w:rPr>
          <w:rFonts w:hint="eastAsia" w:ascii="仿宋_GB2312" w:hAnsi="宋体" w:eastAsia="仿宋_GB2312"/>
          <w:b/>
          <w:sz w:val="32"/>
          <w:szCs w:val="32"/>
        </w:rPr>
        <w:t>开标一览表</w:t>
      </w:r>
      <w:bookmarkStart w:id="298" w:name="_Hlk111729075"/>
      <w:r>
        <w:rPr>
          <w:rFonts w:hint="eastAsia" w:ascii="仿宋_GB2312" w:eastAsia="仿宋_GB2312"/>
          <w:bCs/>
          <w:sz w:val="24"/>
        </w:rPr>
        <w:t>（格式）</w:t>
      </w:r>
      <w:bookmarkEnd w:id="298"/>
    </w:p>
    <w:p>
      <w:pPr>
        <w:snapToGrid w:val="0"/>
        <w:spacing w:before="50" w:after="50"/>
        <w:ind w:firstLine="420"/>
        <w:rPr>
          <w:rFonts w:hint="eastAsia" w:ascii="宋体" w:hAnsi="宋体"/>
          <w:szCs w:val="21"/>
          <w:u w:val="single"/>
        </w:rPr>
      </w:pPr>
      <w:r>
        <w:rPr>
          <w:rFonts w:hint="eastAsia" w:ascii="宋体" w:hAnsi="宋体"/>
          <w:szCs w:val="21"/>
        </w:rPr>
        <w:t>项目名称：</w:t>
      </w:r>
      <w:r>
        <w:rPr>
          <w:rFonts w:hint="eastAsia" w:ascii="宋体" w:hAnsi="宋体"/>
          <w:szCs w:val="21"/>
          <w:u w:val="single"/>
        </w:rPr>
        <w:t xml:space="preserve">                          </w:t>
      </w:r>
    </w:p>
    <w:p>
      <w:pPr>
        <w:snapToGrid w:val="0"/>
        <w:spacing w:before="50" w:after="50"/>
        <w:ind w:firstLine="0" w:firstLineChars="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项目编号：</w:t>
      </w:r>
      <w:r>
        <w:rPr>
          <w:rFonts w:hint="eastAsia" w:ascii="宋体" w:hAnsi="宋体"/>
          <w:szCs w:val="21"/>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ind w:firstLine="0" w:firstLineChars="0"/>
              <w:jc w:val="center"/>
              <w:rPr>
                <w:rFonts w:hint="eastAsia" w:ascii="宋体" w:hAnsi="宋体"/>
                <w:szCs w:val="21"/>
              </w:rPr>
            </w:pPr>
            <w:r>
              <w:rPr>
                <w:rFonts w:hint="eastAsia" w:ascii="宋体" w:hAnsi="宋体"/>
                <w:szCs w:val="21"/>
              </w:rPr>
              <w:t>报价（总价、元）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ind w:firstLine="19" w:firstLineChars="10"/>
              <w:jc w:val="left"/>
              <w:rPr>
                <w:rFonts w:hint="eastAsia" w:ascii="宋体" w:hAnsi="宋体"/>
                <w:bCs/>
                <w:szCs w:val="21"/>
                <w:u w:val="single"/>
              </w:rPr>
            </w:pPr>
            <w:r>
              <w:rPr>
                <w:rFonts w:hint="eastAsia" w:ascii="宋体" w:hAnsi="宋体" w:cs="Courier New"/>
                <w:spacing w:val="-6"/>
                <w:szCs w:val="21"/>
              </w:rPr>
              <w:t>人民币大写：</w:t>
            </w:r>
            <w:r>
              <w:rPr>
                <w:rFonts w:hint="eastAsia" w:ascii="宋体" w:hAnsi="宋体" w:cs="Courier New"/>
                <w:spacing w:val="-6"/>
                <w:szCs w:val="21"/>
                <w:u w:val="single"/>
              </w:rPr>
              <w:t xml:space="preserve">                  </w:t>
            </w:r>
            <w:r>
              <w:rPr>
                <w:rFonts w:ascii="宋体" w:hAnsi="宋体" w:cs="Courier New"/>
                <w:spacing w:val="-6"/>
                <w:szCs w:val="21"/>
                <w:u w:val="single"/>
              </w:rPr>
              <w:t xml:space="preserve">                             </w:t>
            </w:r>
            <w:r>
              <w:rPr>
                <w:rFonts w:hint="eastAsia" w:ascii="宋体" w:hAnsi="宋体" w:cs="Courier New"/>
                <w:spacing w:val="-6"/>
                <w:szCs w:val="21"/>
                <w:u w:val="single"/>
              </w:rPr>
              <w:t xml:space="preserve">    </w:t>
            </w:r>
            <w:r>
              <w:rPr>
                <w:rFonts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tbl>
    <w:p>
      <w:pPr>
        <w:snapToGrid w:val="0"/>
        <w:spacing w:before="50" w:after="50"/>
        <w:ind w:left="105" w:leftChars="50" w:firstLine="315" w:firstLineChars="150"/>
        <w:jc w:val="left"/>
        <w:rPr>
          <w:rFonts w:hint="eastAsia" w:ascii="宋体" w:hAnsi="宋体"/>
          <w:szCs w:val="21"/>
        </w:rPr>
      </w:pPr>
      <w:r>
        <w:rPr>
          <w:rFonts w:hint="eastAsia" w:ascii="宋体" w:hAnsi="宋体"/>
          <w:szCs w:val="21"/>
        </w:rPr>
        <w:t>1.所有价格均用人民币表示，单位为元，精确到个数位。</w:t>
      </w:r>
    </w:p>
    <w:p>
      <w:pPr>
        <w:snapToGrid w:val="0"/>
        <w:spacing w:before="50" w:after="50"/>
        <w:ind w:left="105" w:leftChars="50" w:firstLine="315" w:firstLineChars="150"/>
        <w:jc w:val="left"/>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报价一经涂改，应在涂改处加盖公章或者由法定代表人或授权委托人签名或盖章，否则视为无效投标文件。</w:t>
      </w:r>
    </w:p>
    <w:p>
      <w:pPr>
        <w:snapToGrid w:val="0"/>
        <w:spacing w:before="50" w:after="50"/>
        <w:ind w:firstLine="420"/>
        <w:rPr>
          <w:rFonts w:hint="eastAsia" w:ascii="宋体" w:hAnsi="宋体"/>
          <w:szCs w:val="21"/>
        </w:rPr>
      </w:pPr>
      <w:bookmarkStart w:id="299" w:name="_Hlk90908484"/>
      <w:r>
        <w:rPr>
          <w:rFonts w:ascii="宋体" w:hAnsi="宋体"/>
          <w:szCs w:val="21"/>
        </w:rPr>
        <w:t>3</w:t>
      </w:r>
      <w:r>
        <w:rPr>
          <w:rFonts w:hint="eastAsia" w:ascii="宋体" w:hAnsi="宋体"/>
          <w:szCs w:val="21"/>
        </w:rPr>
        <w:t>.</w:t>
      </w:r>
      <w:r>
        <w:rPr>
          <w:rFonts w:hint="eastAsia" w:ascii="宋体" w:hAnsi="宋体"/>
          <w:bCs/>
          <w:szCs w:val="21"/>
        </w:rPr>
        <w:t>投标报价应包括设备及零配件、备品备件、材料、消耗品的采购和运输（装卸、吊装），项目安装、调试、检测、工具、调试及验收、现场卫生清理、水电费、土建改造、售后服务、培训、税金、利润、项目所需的物资、外设、线缆、管材、埋管及完成全部设备安装和服务应有的环保、文明施工、安全施工、风险费、责任等费用总和。</w:t>
      </w:r>
    </w:p>
    <w:bookmarkEnd w:id="299"/>
    <w:p>
      <w:pPr>
        <w:snapToGrid w:val="0"/>
        <w:spacing w:before="50" w:after="50" w:line="350" w:lineRule="exact"/>
        <w:ind w:right="-817" w:rightChars="-389" w:firstLine="0" w:firstLineChars="0"/>
        <w:rPr>
          <w:rFonts w:hint="eastAsia" w:ascii="宋体" w:hAnsi="宋体"/>
          <w:szCs w:val="21"/>
        </w:rPr>
      </w:pPr>
    </w:p>
    <w:p>
      <w:pPr>
        <w:snapToGrid w:val="0"/>
        <w:spacing w:before="50" w:after="50" w:line="350" w:lineRule="exact"/>
        <w:ind w:right="-817" w:rightChars="-389" w:firstLine="0" w:firstLineChars="0"/>
        <w:rPr>
          <w:rFonts w:hint="eastAsia" w:ascii="宋体" w:hAnsi="宋体"/>
          <w:szCs w:val="21"/>
        </w:rPr>
      </w:pPr>
    </w:p>
    <w:p>
      <w:pPr>
        <w:snapToGrid w:val="0"/>
        <w:spacing w:before="50" w:after="50" w:line="350" w:lineRule="exact"/>
        <w:ind w:right="-817" w:rightChars="-389" w:firstLine="4189" w:firstLineChars="1995"/>
        <w:rPr>
          <w:rFonts w:hint="eastAsia" w:ascii="宋体" w:hAnsi="宋体"/>
          <w:szCs w:val="21"/>
        </w:rPr>
      </w:pPr>
      <w:r>
        <w:rPr>
          <w:rFonts w:hint="eastAsia" w:ascii="宋体" w:hAnsi="宋体"/>
          <w:szCs w:val="21"/>
        </w:rPr>
        <w:t>法定代表人或授权代表（签名）：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50" w:after="50" w:line="350" w:lineRule="exact"/>
        <w:ind w:right="-817" w:rightChars="-389" w:firstLine="3465" w:firstLineChars="165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p>
    <w:p>
      <w:pPr>
        <w:snapToGrid w:val="0"/>
        <w:spacing w:before="50" w:after="50" w:line="350" w:lineRule="exact"/>
        <w:ind w:right="-817" w:rightChars="-389" w:firstLine="3255" w:firstLineChars="155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napToGrid w:val="0"/>
        <w:spacing w:before="50" w:after="50" w:line="350" w:lineRule="exact"/>
        <w:ind w:right="-817" w:rightChars="-389" w:firstLine="0" w:firstLineChars="0"/>
        <w:rPr>
          <w:rFonts w:hint="eastAsia" w:ascii="宋体" w:hAnsi="宋体"/>
          <w:szCs w:val="21"/>
        </w:rPr>
      </w:pPr>
      <w:r>
        <w:rPr>
          <w:rFonts w:ascii="宋体" w:hAnsi="宋体"/>
          <w:szCs w:val="21"/>
        </w:rPr>
        <w:br w:type="page"/>
      </w:r>
    </w:p>
    <w:p>
      <w:pPr>
        <w:ind w:firstLine="0" w:firstLineChars="0"/>
        <w:jc w:val="center"/>
        <w:rPr>
          <w:rFonts w:ascii="仿宋_GB2312" w:eastAsia="仿宋_GB2312"/>
          <w:b/>
          <w:bCs/>
          <w:sz w:val="28"/>
          <w:szCs w:val="28"/>
        </w:rPr>
      </w:pPr>
      <w:r>
        <w:rPr>
          <w:rFonts w:hint="eastAsia" w:ascii="仿宋_GB2312" w:eastAsia="仿宋_GB2312"/>
          <w:b/>
          <w:bCs/>
          <w:sz w:val="32"/>
          <w:szCs w:val="32"/>
        </w:rPr>
        <w:t>报价明细表</w:t>
      </w:r>
      <w:r>
        <w:rPr>
          <w:rFonts w:hint="eastAsia" w:ascii="仿宋_GB2312" w:eastAsia="仿宋_GB2312"/>
          <w:bCs/>
          <w:sz w:val="24"/>
        </w:rPr>
        <w:t>（格式）</w:t>
      </w:r>
    </w:p>
    <w:p>
      <w:pPr>
        <w:ind w:firstLine="199" w:firstLineChars="95"/>
        <w:jc w:val="left"/>
        <w:rPr>
          <w:rFonts w:hint="eastAsia" w:ascii="宋体" w:hAnsi="宋体"/>
          <w:szCs w:val="21"/>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ind w:firstLine="210" w:firstLineChars="100"/>
        <w:jc w:val="left"/>
        <w:rPr>
          <w:rFonts w:hint="eastAsia"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pPr>
              <w:spacing w:line="300" w:lineRule="exact"/>
              <w:ind w:firstLine="0" w:firstLineChars="0"/>
              <w:jc w:val="center"/>
              <w:rPr>
                <w:rFonts w:hint="eastAsia" w:ascii="宋体" w:hAnsi="宋体" w:cs="Courier New"/>
                <w:szCs w:val="21"/>
              </w:rPr>
            </w:pPr>
            <w:bookmarkStart w:id="300" w:name="_Hlk97823529"/>
            <w:r>
              <w:rPr>
                <w:rFonts w:hint="eastAsia" w:ascii="宋体" w:hAnsi="宋体" w:cs="Courier New"/>
                <w:szCs w:val="21"/>
              </w:rPr>
              <w:t>序号</w:t>
            </w:r>
          </w:p>
        </w:tc>
        <w:tc>
          <w:tcPr>
            <w:tcW w:w="1145"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货物名称</w:t>
            </w:r>
          </w:p>
        </w:tc>
        <w:tc>
          <w:tcPr>
            <w:tcW w:w="699"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品牌</w:t>
            </w:r>
          </w:p>
        </w:tc>
        <w:tc>
          <w:tcPr>
            <w:tcW w:w="710"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型号</w:t>
            </w:r>
          </w:p>
        </w:tc>
        <w:tc>
          <w:tcPr>
            <w:tcW w:w="709"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产地</w:t>
            </w:r>
          </w:p>
        </w:tc>
        <w:tc>
          <w:tcPr>
            <w:tcW w:w="1702"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技术参数及性能（规格）</w:t>
            </w:r>
          </w:p>
        </w:tc>
        <w:tc>
          <w:tcPr>
            <w:tcW w:w="1702"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数量、单位</w:t>
            </w:r>
            <w:r>
              <w:rPr>
                <w:rFonts w:hint="eastAsia" w:hAnsi="宋体"/>
              </w:rPr>
              <w:t>①</w:t>
            </w:r>
          </w:p>
        </w:tc>
        <w:tc>
          <w:tcPr>
            <w:tcW w:w="852"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单价</w:t>
            </w:r>
            <w:r>
              <w:rPr>
                <w:rFonts w:hint="eastAsia" w:hAnsi="宋体"/>
              </w:rPr>
              <w:t>②</w:t>
            </w:r>
          </w:p>
        </w:tc>
        <w:tc>
          <w:tcPr>
            <w:tcW w:w="1348" w:type="dxa"/>
            <w:tcBorders>
              <w:bottom w:val="single" w:color="auto" w:sz="4" w:space="0"/>
            </w:tcBorders>
            <w:vAlign w:val="center"/>
          </w:tcPr>
          <w:p>
            <w:pPr>
              <w:spacing w:line="300" w:lineRule="exact"/>
              <w:ind w:firstLine="0" w:firstLineChars="0"/>
              <w:jc w:val="center"/>
              <w:rPr>
                <w:rFonts w:hint="eastAsia" w:ascii="宋体" w:hAnsi="宋体" w:cs="Courier New"/>
                <w:szCs w:val="21"/>
              </w:rPr>
            </w:pPr>
            <w:r>
              <w:rPr>
                <w:rFonts w:hint="eastAsia" w:ascii="宋体" w:hAnsi="宋体" w:cs="Courier New"/>
                <w:szCs w:val="21"/>
              </w:rPr>
              <w:t>单项合价</w:t>
            </w:r>
          </w:p>
          <w:p>
            <w:pPr>
              <w:spacing w:line="300" w:lineRule="exact"/>
              <w:ind w:firstLine="0" w:firstLineChars="0"/>
              <w:jc w:val="center"/>
              <w:rPr>
                <w:rFonts w:hint="eastAsia"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right="-34" w:rightChars="-16" w:firstLine="0" w:firstLineChars="0"/>
              <w:jc w:val="center"/>
              <w:rPr>
                <w:rFonts w:hint="eastAsia" w:ascii="宋体" w:hAnsi="宋体"/>
                <w:sz w:val="24"/>
              </w:rPr>
            </w:pPr>
            <w:r>
              <w:rPr>
                <w:rFonts w:hint="eastAsia" w:ascii="宋体" w:hAnsi="宋体"/>
                <w:sz w:val="24"/>
              </w:rPr>
              <w:t>1</w:t>
            </w:r>
          </w:p>
        </w:tc>
        <w:tc>
          <w:tcPr>
            <w:tcW w:w="1145" w:type="dxa"/>
            <w:vAlign w:val="center"/>
          </w:tcPr>
          <w:p>
            <w:pPr>
              <w:spacing w:line="440" w:lineRule="exact"/>
              <w:ind w:firstLine="0" w:firstLineChars="0"/>
              <w:jc w:val="center"/>
              <w:rPr>
                <w:rFonts w:hint="eastAsia" w:ascii="宋体" w:hAnsi="宋体"/>
              </w:rPr>
            </w:pPr>
          </w:p>
        </w:tc>
        <w:tc>
          <w:tcPr>
            <w:tcW w:w="699" w:type="dxa"/>
            <w:vAlign w:val="center"/>
          </w:tcPr>
          <w:p>
            <w:pPr>
              <w:spacing w:line="440" w:lineRule="exact"/>
              <w:ind w:firstLine="0" w:firstLineChars="0"/>
              <w:jc w:val="center"/>
              <w:rPr>
                <w:rFonts w:hint="eastAsia" w:ascii="宋体" w:hAnsi="宋体"/>
              </w:rPr>
            </w:pPr>
          </w:p>
        </w:tc>
        <w:tc>
          <w:tcPr>
            <w:tcW w:w="710" w:type="dxa"/>
            <w:vAlign w:val="center"/>
          </w:tcPr>
          <w:p>
            <w:pPr>
              <w:spacing w:line="440" w:lineRule="exact"/>
              <w:ind w:firstLine="0" w:firstLineChars="0"/>
              <w:jc w:val="center"/>
              <w:rPr>
                <w:rFonts w:hint="eastAsia" w:ascii="宋体" w:hAnsi="宋体"/>
              </w:rPr>
            </w:pPr>
          </w:p>
        </w:tc>
        <w:tc>
          <w:tcPr>
            <w:tcW w:w="709"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852" w:type="dxa"/>
            <w:vAlign w:val="center"/>
          </w:tcPr>
          <w:p>
            <w:pPr>
              <w:spacing w:line="440" w:lineRule="exact"/>
              <w:ind w:firstLine="0" w:firstLineChars="0"/>
              <w:jc w:val="center"/>
              <w:rPr>
                <w:rFonts w:hint="eastAsia" w:ascii="宋体" w:hAnsi="宋体"/>
              </w:rPr>
            </w:pPr>
          </w:p>
        </w:tc>
        <w:tc>
          <w:tcPr>
            <w:tcW w:w="1348" w:type="dxa"/>
            <w:vAlign w:val="center"/>
          </w:tcPr>
          <w:p>
            <w:pPr>
              <w:spacing w:line="440" w:lineRule="exact"/>
              <w:ind w:firstLine="0" w:firstLineChar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firstLine="0" w:firstLineChars="0"/>
              <w:jc w:val="center"/>
              <w:rPr>
                <w:rFonts w:hint="eastAsia" w:ascii="宋体" w:hAnsi="宋体"/>
                <w:sz w:val="24"/>
              </w:rPr>
            </w:pPr>
            <w:r>
              <w:rPr>
                <w:rFonts w:hint="eastAsia" w:ascii="宋体" w:hAnsi="宋体"/>
                <w:sz w:val="24"/>
              </w:rPr>
              <w:t>2</w:t>
            </w:r>
          </w:p>
        </w:tc>
        <w:tc>
          <w:tcPr>
            <w:tcW w:w="1145" w:type="dxa"/>
            <w:vAlign w:val="center"/>
          </w:tcPr>
          <w:p>
            <w:pPr>
              <w:spacing w:line="440" w:lineRule="exact"/>
              <w:ind w:firstLine="0" w:firstLineChars="0"/>
              <w:jc w:val="center"/>
              <w:rPr>
                <w:rFonts w:hint="eastAsia" w:ascii="宋体" w:hAnsi="宋体"/>
              </w:rPr>
            </w:pPr>
          </w:p>
        </w:tc>
        <w:tc>
          <w:tcPr>
            <w:tcW w:w="699" w:type="dxa"/>
            <w:vAlign w:val="center"/>
          </w:tcPr>
          <w:p>
            <w:pPr>
              <w:spacing w:line="440" w:lineRule="exact"/>
              <w:ind w:firstLine="0" w:firstLineChars="0"/>
              <w:jc w:val="center"/>
              <w:rPr>
                <w:rFonts w:hint="eastAsia" w:ascii="宋体" w:hAnsi="宋体"/>
              </w:rPr>
            </w:pPr>
          </w:p>
        </w:tc>
        <w:tc>
          <w:tcPr>
            <w:tcW w:w="710" w:type="dxa"/>
            <w:vAlign w:val="center"/>
          </w:tcPr>
          <w:p>
            <w:pPr>
              <w:spacing w:line="440" w:lineRule="exact"/>
              <w:ind w:firstLine="0" w:firstLineChars="0"/>
              <w:jc w:val="center"/>
              <w:rPr>
                <w:rFonts w:hint="eastAsia" w:ascii="宋体" w:hAnsi="宋体"/>
              </w:rPr>
            </w:pPr>
          </w:p>
        </w:tc>
        <w:tc>
          <w:tcPr>
            <w:tcW w:w="709"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852" w:type="dxa"/>
            <w:vAlign w:val="center"/>
          </w:tcPr>
          <w:p>
            <w:pPr>
              <w:spacing w:line="440" w:lineRule="exact"/>
              <w:ind w:firstLine="0" w:firstLineChars="0"/>
              <w:jc w:val="center"/>
              <w:rPr>
                <w:rFonts w:hint="eastAsia" w:ascii="宋体" w:hAnsi="宋体"/>
              </w:rPr>
            </w:pPr>
          </w:p>
        </w:tc>
        <w:tc>
          <w:tcPr>
            <w:tcW w:w="1348" w:type="dxa"/>
            <w:vAlign w:val="center"/>
          </w:tcPr>
          <w:p>
            <w:pPr>
              <w:spacing w:line="440" w:lineRule="exact"/>
              <w:ind w:firstLine="0" w:firstLineChar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firstLine="0" w:firstLineChars="0"/>
              <w:jc w:val="center"/>
              <w:rPr>
                <w:rFonts w:hint="eastAsia" w:ascii="宋体" w:hAnsi="宋体"/>
                <w:sz w:val="24"/>
              </w:rPr>
            </w:pPr>
            <w:r>
              <w:rPr>
                <w:rFonts w:hint="eastAsia" w:ascii="宋体" w:hAnsi="宋体"/>
                <w:sz w:val="24"/>
              </w:rPr>
              <w:t>3</w:t>
            </w:r>
          </w:p>
        </w:tc>
        <w:tc>
          <w:tcPr>
            <w:tcW w:w="1145" w:type="dxa"/>
            <w:vAlign w:val="center"/>
          </w:tcPr>
          <w:p>
            <w:pPr>
              <w:spacing w:line="440" w:lineRule="exact"/>
              <w:ind w:firstLine="0" w:firstLineChars="0"/>
              <w:jc w:val="center"/>
              <w:rPr>
                <w:rFonts w:hint="eastAsia" w:ascii="宋体" w:hAnsi="宋体"/>
              </w:rPr>
            </w:pPr>
          </w:p>
        </w:tc>
        <w:tc>
          <w:tcPr>
            <w:tcW w:w="699" w:type="dxa"/>
            <w:vAlign w:val="center"/>
          </w:tcPr>
          <w:p>
            <w:pPr>
              <w:spacing w:line="440" w:lineRule="exact"/>
              <w:ind w:firstLine="0" w:firstLineChars="0"/>
              <w:jc w:val="center"/>
              <w:rPr>
                <w:rFonts w:hint="eastAsia" w:ascii="宋体" w:hAnsi="宋体"/>
              </w:rPr>
            </w:pPr>
          </w:p>
        </w:tc>
        <w:tc>
          <w:tcPr>
            <w:tcW w:w="710" w:type="dxa"/>
            <w:vAlign w:val="center"/>
          </w:tcPr>
          <w:p>
            <w:pPr>
              <w:spacing w:line="440" w:lineRule="exact"/>
              <w:ind w:firstLine="0" w:firstLineChars="0"/>
              <w:jc w:val="center"/>
              <w:rPr>
                <w:rFonts w:hint="eastAsia" w:ascii="宋体" w:hAnsi="宋体"/>
              </w:rPr>
            </w:pPr>
          </w:p>
        </w:tc>
        <w:tc>
          <w:tcPr>
            <w:tcW w:w="709"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852" w:type="dxa"/>
            <w:vAlign w:val="center"/>
          </w:tcPr>
          <w:p>
            <w:pPr>
              <w:spacing w:line="440" w:lineRule="exact"/>
              <w:ind w:firstLine="0" w:firstLineChars="0"/>
              <w:jc w:val="center"/>
              <w:rPr>
                <w:rFonts w:hint="eastAsia" w:ascii="宋体" w:hAnsi="宋体"/>
              </w:rPr>
            </w:pPr>
          </w:p>
        </w:tc>
        <w:tc>
          <w:tcPr>
            <w:tcW w:w="1348" w:type="dxa"/>
            <w:vAlign w:val="center"/>
          </w:tcPr>
          <w:p>
            <w:pPr>
              <w:spacing w:line="440" w:lineRule="exact"/>
              <w:ind w:firstLine="0" w:firstLineChar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firstLine="0" w:firstLineChars="0"/>
              <w:jc w:val="center"/>
              <w:rPr>
                <w:rFonts w:hint="eastAsia" w:ascii="宋体" w:hAnsi="宋体"/>
                <w:sz w:val="24"/>
              </w:rPr>
            </w:pPr>
            <w:r>
              <w:rPr>
                <w:rFonts w:ascii="宋体" w:hAnsi="宋体"/>
                <w:sz w:val="24"/>
              </w:rPr>
              <w:t>…</w:t>
            </w:r>
          </w:p>
        </w:tc>
        <w:tc>
          <w:tcPr>
            <w:tcW w:w="1145" w:type="dxa"/>
            <w:vAlign w:val="center"/>
          </w:tcPr>
          <w:p>
            <w:pPr>
              <w:spacing w:line="440" w:lineRule="exact"/>
              <w:ind w:firstLine="0" w:firstLineChars="0"/>
              <w:jc w:val="center"/>
              <w:rPr>
                <w:rFonts w:hint="eastAsia" w:ascii="宋体" w:hAnsi="宋体"/>
              </w:rPr>
            </w:pPr>
          </w:p>
        </w:tc>
        <w:tc>
          <w:tcPr>
            <w:tcW w:w="699" w:type="dxa"/>
            <w:vAlign w:val="center"/>
          </w:tcPr>
          <w:p>
            <w:pPr>
              <w:spacing w:line="440" w:lineRule="exact"/>
              <w:ind w:firstLine="0" w:firstLineChars="0"/>
              <w:jc w:val="center"/>
              <w:rPr>
                <w:rFonts w:hint="eastAsia" w:ascii="宋体" w:hAnsi="宋体"/>
              </w:rPr>
            </w:pPr>
          </w:p>
        </w:tc>
        <w:tc>
          <w:tcPr>
            <w:tcW w:w="710" w:type="dxa"/>
            <w:vAlign w:val="center"/>
          </w:tcPr>
          <w:p>
            <w:pPr>
              <w:spacing w:line="440" w:lineRule="exact"/>
              <w:ind w:firstLine="0" w:firstLineChars="0"/>
              <w:jc w:val="center"/>
              <w:rPr>
                <w:rFonts w:hint="eastAsia" w:ascii="宋体" w:hAnsi="宋体"/>
              </w:rPr>
            </w:pPr>
          </w:p>
        </w:tc>
        <w:tc>
          <w:tcPr>
            <w:tcW w:w="709"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852" w:type="dxa"/>
            <w:vAlign w:val="center"/>
          </w:tcPr>
          <w:p>
            <w:pPr>
              <w:spacing w:line="440" w:lineRule="exact"/>
              <w:ind w:firstLine="0" w:firstLineChars="0"/>
              <w:jc w:val="center"/>
              <w:rPr>
                <w:rFonts w:hint="eastAsia" w:ascii="宋体" w:hAnsi="宋体"/>
              </w:rPr>
            </w:pPr>
          </w:p>
        </w:tc>
        <w:tc>
          <w:tcPr>
            <w:tcW w:w="1348" w:type="dxa"/>
            <w:vAlign w:val="center"/>
          </w:tcPr>
          <w:p>
            <w:pPr>
              <w:spacing w:line="440" w:lineRule="exact"/>
              <w:ind w:firstLine="0" w:firstLineChar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71" w:type="dxa"/>
            <w:gridSpan w:val="9"/>
            <w:vAlign w:val="center"/>
          </w:tcPr>
          <w:p>
            <w:pPr>
              <w:spacing w:line="440" w:lineRule="exact"/>
              <w:ind w:firstLine="27" w:firstLineChars="14"/>
              <w:rPr>
                <w:rFonts w:hint="eastAsia"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300"/>
    </w:tbl>
    <w:p>
      <w:pPr>
        <w:spacing w:line="440" w:lineRule="exact"/>
        <w:ind w:firstLine="420"/>
        <w:rPr>
          <w:rFonts w:hint="eastAsia" w:ascii="宋体" w:hAnsi="宋体"/>
          <w:szCs w:val="21"/>
        </w:rPr>
      </w:pPr>
      <w:r>
        <w:rPr>
          <w:rFonts w:hint="eastAsia" w:ascii="宋体" w:hAnsi="宋体"/>
          <w:szCs w:val="21"/>
        </w:rPr>
        <w:t>注：1.所有价格均用人民币表示，单位为元，精确到个数位。</w:t>
      </w:r>
    </w:p>
    <w:p>
      <w:pPr>
        <w:spacing w:line="440" w:lineRule="exact"/>
        <w:ind w:firstLine="0" w:firstLineChars="0"/>
        <w:rPr>
          <w:rFonts w:ascii="宋体" w:hAnsi="Courier New" w:cs="Courier New"/>
          <w:szCs w:val="21"/>
        </w:rPr>
      </w:pPr>
      <w:r>
        <w:rPr>
          <w:rFonts w:hint="eastAsia" w:ascii="宋体" w:hAnsi="宋体"/>
          <w:szCs w:val="21"/>
        </w:rPr>
        <w:t xml:space="preserve">    </w:t>
      </w:r>
      <w:r>
        <w:rPr>
          <w:rFonts w:hint="eastAsia" w:ascii="宋体" w:hAnsi="宋体"/>
          <w:bCs/>
          <w:szCs w:val="21"/>
        </w:rPr>
        <w:t>2.投标报价应包含货物、货物标准附件、备品备件、专用工具、设备安装辅材、施工辅材、包装、运输、装卸、保险等各种费用以及安装、调试、验收、税金、售后服务、技术培训费、更新升级、软件费及其他所有成本费用；如出现参数不满足或由于供应商原因造成品质不满足合同要求，采购人有权要求更换设备，不增加任何费用。</w:t>
      </w:r>
    </w:p>
    <w:p>
      <w:pPr>
        <w:spacing w:before="50" w:after="50" w:line="360" w:lineRule="exact"/>
        <w:ind w:firstLine="420" w:firstLineChars="0"/>
        <w:rPr>
          <w:rFonts w:hint="eastAsia" w:ascii="宋体" w:hAnsi="宋体" w:cs="Courier New"/>
          <w:szCs w:val="21"/>
        </w:rPr>
      </w:pPr>
      <w:r>
        <w:rPr>
          <w:rFonts w:hint="eastAsia" w:ascii="宋体" w:hAnsi="Courier New" w:cs="Courier New"/>
          <w:szCs w:val="21"/>
        </w:rPr>
        <w:t>3</w:t>
      </w:r>
      <w:r>
        <w:rPr>
          <w:rFonts w:ascii="宋体" w:hAnsi="Courier New" w:cs="Courier New"/>
          <w:szCs w:val="21"/>
        </w:rPr>
        <w:t>.</w:t>
      </w:r>
      <w:r>
        <w:rPr>
          <w:rFonts w:hint="eastAsia" w:ascii="宋体" w:hAnsi="宋体" w:cs="Courier New"/>
          <w:szCs w:val="21"/>
        </w:rPr>
        <w:t>报价为全包价，以人民币为结算单位。在合同实施时，采购人将不予支付中标人没有列入的项目费用，并认为此项目的费用已包括在总报价中。采购人不再支付合同以外的其他费用。</w:t>
      </w:r>
    </w:p>
    <w:p>
      <w:pPr>
        <w:spacing w:line="240" w:lineRule="auto"/>
        <w:ind w:firstLine="0" w:firstLineChars="0"/>
      </w:pPr>
    </w:p>
    <w:p>
      <w:pPr>
        <w:ind w:firstLine="0" w:firstLineChars="0"/>
      </w:pPr>
    </w:p>
    <w:p>
      <w:pPr>
        <w:ind w:firstLine="0" w:firstLineChars="0"/>
      </w:pPr>
    </w:p>
    <w:p>
      <w:pPr>
        <w:snapToGrid w:val="0"/>
        <w:spacing w:before="50" w:after="50" w:line="350" w:lineRule="exact"/>
        <w:ind w:right="-817" w:rightChars="-389" w:firstLine="4189" w:firstLineChars="1995"/>
        <w:rPr>
          <w:rFonts w:hint="eastAsia" w:ascii="宋体" w:hAnsi="宋体"/>
          <w:szCs w:val="21"/>
        </w:rPr>
      </w:pPr>
      <w:r>
        <w:rPr>
          <w:rFonts w:hint="eastAsia" w:ascii="宋体" w:hAnsi="宋体"/>
          <w:szCs w:val="21"/>
        </w:rPr>
        <w:t>法定代表人或授权代表（签名）：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napToGrid w:val="0"/>
        <w:spacing w:before="50" w:after="50" w:line="350" w:lineRule="exact"/>
        <w:ind w:right="-817" w:rightChars="-389" w:firstLine="3465" w:firstLineChars="165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p>
    <w:p>
      <w:pPr>
        <w:snapToGrid w:val="0"/>
        <w:spacing w:before="50" w:after="50" w:line="350" w:lineRule="exact"/>
        <w:ind w:right="-817" w:rightChars="-389" w:firstLine="3465" w:firstLineChars="165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ind w:firstLine="0" w:firstLineChars="0"/>
        <w:jc w:val="center"/>
        <w:rPr>
          <w:rFonts w:hint="eastAsia" w:ascii="宋体" w:hAnsi="宋体"/>
          <w:szCs w:val="21"/>
        </w:rPr>
      </w:pPr>
    </w:p>
    <w:sectPr>
      <w:headerReference r:id="rId11" w:type="default"/>
      <w:footerReference r:id="rId12" w:type="default"/>
      <w:pgSz w:w="11906" w:h="16838"/>
      <w:pgMar w:top="1246" w:right="991" w:bottom="1091" w:left="993"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Bosch Office Sans">
    <w:altName w:val="Constantia"/>
    <w:panose1 w:val="00000000000000000000"/>
    <w:charset w:val="00"/>
    <w:family w:val="auto"/>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r>
      <w:fldChar w:fldCharType="begin"/>
    </w:r>
    <w:r>
      <w:instrText xml:space="preserve">PAGE   \* MERGEFORMAT</w:instrText>
    </w:r>
    <w:r>
      <w:fldChar w:fldCharType="separate"/>
    </w:r>
    <w:r>
      <w:rPr>
        <w:lang w:val="zh-CN"/>
      </w:rPr>
      <w:t>60</w:t>
    </w:r>
    <w:r>
      <w:fldChar w:fldCharType="end"/>
    </w:r>
  </w:p>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18" w:leftChars="-342" w:right="-874" w:rightChars="-416" w:firstLine="716" w:firstLineChars="398"/>
      <w:rPr>
        <w:sz w:val="18"/>
        <w:szCs w:val="18"/>
        <w:u w:val="single"/>
      </w:rPr>
    </w:pPr>
    <w:r>
      <w:rPr>
        <w:rFonts w:hint="eastAsia"/>
        <w:sz w:val="18"/>
        <w:szCs w:val="18"/>
        <w:u w:val="single"/>
      </w:rPr>
      <w:t>钦州市政府采购中心                     2025年中等职业学校办学条件达标项目建设(QZZC2025-G1-220187-QZSZ)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18" w:leftChars="-342" w:right="-874" w:rightChars="-416" w:firstLine="716" w:firstLineChars="398"/>
      <w:rPr>
        <w:sz w:val="18"/>
        <w:szCs w:val="18"/>
        <w:u w:val="single"/>
      </w:rPr>
    </w:pPr>
    <w:r>
      <w:rPr>
        <w:rFonts w:hint="eastAsia"/>
        <w:sz w:val="18"/>
        <w:szCs w:val="18"/>
        <w:u w:val="single"/>
      </w:rPr>
      <w:t>钦州市政府采购中心                        2025年中等职业学校办学条件达标项目建设(QZZC2025-G1-220187-QZSZ)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8B1DB"/>
    <w:multiLevelType w:val="singleLevel"/>
    <w:tmpl w:val="81F8B1DB"/>
    <w:lvl w:ilvl="0" w:tentative="0">
      <w:start w:val="11"/>
      <w:numFmt w:val="decimal"/>
      <w:lvlText w:val="%1."/>
      <w:lvlJc w:val="left"/>
      <w:pPr>
        <w:tabs>
          <w:tab w:val="left" w:pos="312"/>
        </w:tabs>
      </w:pPr>
    </w:lvl>
  </w:abstractNum>
  <w:abstractNum w:abstractNumId="1">
    <w:nsid w:val="841C60A9"/>
    <w:multiLevelType w:val="singleLevel"/>
    <w:tmpl w:val="841C60A9"/>
    <w:lvl w:ilvl="0" w:tentative="0">
      <w:start w:val="1"/>
      <w:numFmt w:val="decimal"/>
      <w:lvlText w:val="%1."/>
      <w:lvlJc w:val="left"/>
      <w:pPr>
        <w:tabs>
          <w:tab w:val="left" w:pos="312"/>
        </w:tabs>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153B9C6"/>
    <w:multiLevelType w:val="singleLevel"/>
    <w:tmpl w:val="E153B9C6"/>
    <w:lvl w:ilvl="0" w:tentative="0">
      <w:start w:val="2"/>
      <w:numFmt w:val="chineseCounting"/>
      <w:suff w:val="nothing"/>
      <w:lvlText w:val="（%1）"/>
      <w:lvlJc w:val="left"/>
      <w:rPr>
        <w:rFonts w:hint="eastAsia"/>
      </w:rPr>
    </w:lvl>
  </w:abstractNum>
  <w:abstractNum w:abstractNumId="7">
    <w:nsid w:val="E8D03F6A"/>
    <w:multiLevelType w:val="singleLevel"/>
    <w:tmpl w:val="E8D03F6A"/>
    <w:lvl w:ilvl="0" w:tentative="0">
      <w:start w:val="1"/>
      <w:numFmt w:val="decimal"/>
      <w:lvlText w:val="%1."/>
      <w:lvlJc w:val="left"/>
      <w:pPr>
        <w:tabs>
          <w:tab w:val="left" w:pos="312"/>
        </w:tabs>
      </w:pPr>
    </w:lvl>
  </w:abstractNum>
  <w:abstractNum w:abstractNumId="8">
    <w:nsid w:val="005F26EC"/>
    <w:multiLevelType w:val="singleLevel"/>
    <w:tmpl w:val="005F26EC"/>
    <w:lvl w:ilvl="0" w:tentative="0">
      <w:start w:val="4"/>
      <w:numFmt w:val="decimal"/>
      <w:suff w:val="nothing"/>
      <w:lvlText w:val="%1．"/>
      <w:lvlJc w:val="left"/>
    </w:lvl>
  </w:abstractNum>
  <w:abstractNum w:abstractNumId="9">
    <w:nsid w:val="11C646C5"/>
    <w:multiLevelType w:val="singleLevel"/>
    <w:tmpl w:val="11C646C5"/>
    <w:lvl w:ilvl="0" w:tentative="0">
      <w:start w:val="1"/>
      <w:numFmt w:val="decimal"/>
      <w:lvlText w:val="%1."/>
      <w:lvlJc w:val="left"/>
      <w:pPr>
        <w:tabs>
          <w:tab w:val="left" w:pos="312"/>
        </w:tabs>
      </w:pPr>
    </w:lvl>
  </w:abstractNum>
  <w:abstractNum w:abstractNumId="10">
    <w:nsid w:val="3AC00D1C"/>
    <w:multiLevelType w:val="multilevel"/>
    <w:tmpl w:val="3AC00D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EB78544"/>
    <w:multiLevelType w:val="singleLevel"/>
    <w:tmpl w:val="6EB78544"/>
    <w:lvl w:ilvl="0" w:tentative="0">
      <w:start w:val="3"/>
      <w:numFmt w:val="decimal"/>
      <w:suff w:val="nothing"/>
      <w:lvlText w:val="%1、"/>
      <w:lvlJc w:val="left"/>
    </w:lvl>
  </w:abstractNum>
  <w:abstractNum w:abstractNumId="12">
    <w:nsid w:val="72AD3042"/>
    <w:multiLevelType w:val="multilevel"/>
    <w:tmpl w:val="72AD30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AD9DDA8"/>
    <w:multiLevelType w:val="singleLevel"/>
    <w:tmpl w:val="7AD9DDA8"/>
    <w:lvl w:ilvl="0" w:tentative="0">
      <w:start w:val="1"/>
      <w:numFmt w:val="chineseCounting"/>
      <w:suff w:val="nothing"/>
      <w:lvlText w:val="%1、"/>
      <w:lvlJc w:val="left"/>
      <w:rPr>
        <w:rFonts w:hint="eastAsia"/>
      </w:rPr>
    </w:lvl>
  </w:abstractNum>
  <w:num w:numId="1">
    <w:abstractNumId w:val="14"/>
  </w:num>
  <w:num w:numId="2">
    <w:abstractNumId w:val="11"/>
  </w:num>
  <w:num w:numId="3">
    <w:abstractNumId w:val="0"/>
  </w:num>
  <w:num w:numId="4">
    <w:abstractNumId w:val="9"/>
  </w:num>
  <w:num w:numId="5">
    <w:abstractNumId w:val="12"/>
  </w:num>
  <w:num w:numId="6">
    <w:abstractNumId w:val="1"/>
  </w:num>
  <w:num w:numId="7">
    <w:abstractNumId w:val="8"/>
  </w:num>
  <w:num w:numId="8">
    <w:abstractNumId w:val="10"/>
  </w:num>
  <w:num w:numId="9">
    <w:abstractNumId w:val="7"/>
  </w:num>
  <w:num w:numId="10">
    <w:abstractNumId w:val="6"/>
  </w:num>
  <w:num w:numId="11">
    <w:abstractNumId w:val="13"/>
  </w:num>
  <w:num w:numId="12">
    <w:abstractNumId w:val="4"/>
  </w:num>
  <w:num w:numId="13">
    <w:abstractNumId w:val="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jZmE0Zjc2ZDA5NmE1NTQ4Yzk4Zjk0N2Y4YTlhMjQifQ=="/>
    <w:docVar w:name="KSO_WPS_MARK_KEY" w:val="8b2e790f-301c-416b-a0c7-a7ea7cce6ec1"/>
  </w:docVars>
  <w:rsids>
    <w:rsidRoot w:val="00E57B92"/>
    <w:rsid w:val="00001C41"/>
    <w:rsid w:val="00004B07"/>
    <w:rsid w:val="00012693"/>
    <w:rsid w:val="00013AAD"/>
    <w:rsid w:val="0001477A"/>
    <w:rsid w:val="000160E7"/>
    <w:rsid w:val="00016146"/>
    <w:rsid w:val="000165AA"/>
    <w:rsid w:val="00017C52"/>
    <w:rsid w:val="00017DBB"/>
    <w:rsid w:val="00020915"/>
    <w:rsid w:val="00020BB0"/>
    <w:rsid w:val="00024F7F"/>
    <w:rsid w:val="00025DCF"/>
    <w:rsid w:val="00026191"/>
    <w:rsid w:val="00026324"/>
    <w:rsid w:val="000275CA"/>
    <w:rsid w:val="000305C3"/>
    <w:rsid w:val="00033238"/>
    <w:rsid w:val="00035461"/>
    <w:rsid w:val="00036291"/>
    <w:rsid w:val="000370D2"/>
    <w:rsid w:val="00037506"/>
    <w:rsid w:val="00041F84"/>
    <w:rsid w:val="000426A5"/>
    <w:rsid w:val="00042B43"/>
    <w:rsid w:val="00043733"/>
    <w:rsid w:val="00044C2E"/>
    <w:rsid w:val="00044EA4"/>
    <w:rsid w:val="0004516D"/>
    <w:rsid w:val="00046EBA"/>
    <w:rsid w:val="000475DF"/>
    <w:rsid w:val="0005111A"/>
    <w:rsid w:val="0005232E"/>
    <w:rsid w:val="00052E87"/>
    <w:rsid w:val="0005478E"/>
    <w:rsid w:val="00054B3B"/>
    <w:rsid w:val="00054E52"/>
    <w:rsid w:val="000614D1"/>
    <w:rsid w:val="0006165C"/>
    <w:rsid w:val="00065472"/>
    <w:rsid w:val="00065951"/>
    <w:rsid w:val="00065FC9"/>
    <w:rsid w:val="000661F6"/>
    <w:rsid w:val="00066921"/>
    <w:rsid w:val="00066D8C"/>
    <w:rsid w:val="00067C4F"/>
    <w:rsid w:val="00071CFF"/>
    <w:rsid w:val="00073C68"/>
    <w:rsid w:val="00077520"/>
    <w:rsid w:val="00077995"/>
    <w:rsid w:val="0008019D"/>
    <w:rsid w:val="00080A21"/>
    <w:rsid w:val="000810CF"/>
    <w:rsid w:val="000813F7"/>
    <w:rsid w:val="00082608"/>
    <w:rsid w:val="000842AE"/>
    <w:rsid w:val="00086746"/>
    <w:rsid w:val="0009000E"/>
    <w:rsid w:val="00093F5D"/>
    <w:rsid w:val="000946C4"/>
    <w:rsid w:val="000975E8"/>
    <w:rsid w:val="00097FD6"/>
    <w:rsid w:val="000A2692"/>
    <w:rsid w:val="000A4349"/>
    <w:rsid w:val="000A780C"/>
    <w:rsid w:val="000B0DB5"/>
    <w:rsid w:val="000B1576"/>
    <w:rsid w:val="000B24A1"/>
    <w:rsid w:val="000B3B3E"/>
    <w:rsid w:val="000B3E41"/>
    <w:rsid w:val="000B49E6"/>
    <w:rsid w:val="000B53E8"/>
    <w:rsid w:val="000B54BA"/>
    <w:rsid w:val="000B5D4A"/>
    <w:rsid w:val="000B6457"/>
    <w:rsid w:val="000C1488"/>
    <w:rsid w:val="000C1553"/>
    <w:rsid w:val="000C233C"/>
    <w:rsid w:val="000C23CE"/>
    <w:rsid w:val="000C4366"/>
    <w:rsid w:val="000C5F92"/>
    <w:rsid w:val="000C65E8"/>
    <w:rsid w:val="000C6B4F"/>
    <w:rsid w:val="000D221E"/>
    <w:rsid w:val="000D228B"/>
    <w:rsid w:val="000D2BAD"/>
    <w:rsid w:val="000D3657"/>
    <w:rsid w:val="000D4AA8"/>
    <w:rsid w:val="000D5462"/>
    <w:rsid w:val="000D6065"/>
    <w:rsid w:val="000D65C5"/>
    <w:rsid w:val="000D7688"/>
    <w:rsid w:val="000E02B7"/>
    <w:rsid w:val="000E18B0"/>
    <w:rsid w:val="000E1DD3"/>
    <w:rsid w:val="000E4001"/>
    <w:rsid w:val="000E4EB6"/>
    <w:rsid w:val="000E7125"/>
    <w:rsid w:val="000F0060"/>
    <w:rsid w:val="000F2E5A"/>
    <w:rsid w:val="000F42FE"/>
    <w:rsid w:val="000F43CE"/>
    <w:rsid w:val="000F4584"/>
    <w:rsid w:val="000F4EB0"/>
    <w:rsid w:val="000F535C"/>
    <w:rsid w:val="000F54FC"/>
    <w:rsid w:val="000F6025"/>
    <w:rsid w:val="000F7212"/>
    <w:rsid w:val="000F74B2"/>
    <w:rsid w:val="00100C84"/>
    <w:rsid w:val="001043ED"/>
    <w:rsid w:val="00105711"/>
    <w:rsid w:val="00105AFE"/>
    <w:rsid w:val="0010791A"/>
    <w:rsid w:val="0011027F"/>
    <w:rsid w:val="00111624"/>
    <w:rsid w:val="0011292D"/>
    <w:rsid w:val="00113015"/>
    <w:rsid w:val="001136E4"/>
    <w:rsid w:val="00113A1D"/>
    <w:rsid w:val="00117AB3"/>
    <w:rsid w:val="00122CAF"/>
    <w:rsid w:val="00122E7D"/>
    <w:rsid w:val="00125838"/>
    <w:rsid w:val="00125CA9"/>
    <w:rsid w:val="00127B34"/>
    <w:rsid w:val="0013049E"/>
    <w:rsid w:val="001318FF"/>
    <w:rsid w:val="00131E98"/>
    <w:rsid w:val="00131EF8"/>
    <w:rsid w:val="001355F0"/>
    <w:rsid w:val="0013690F"/>
    <w:rsid w:val="00136CBE"/>
    <w:rsid w:val="00136D58"/>
    <w:rsid w:val="00140FD1"/>
    <w:rsid w:val="001413A7"/>
    <w:rsid w:val="00141669"/>
    <w:rsid w:val="001416F1"/>
    <w:rsid w:val="001433CB"/>
    <w:rsid w:val="00143F77"/>
    <w:rsid w:val="0014402F"/>
    <w:rsid w:val="00144FFC"/>
    <w:rsid w:val="00145365"/>
    <w:rsid w:val="001532BD"/>
    <w:rsid w:val="00154346"/>
    <w:rsid w:val="00154475"/>
    <w:rsid w:val="00156D9F"/>
    <w:rsid w:val="00156E77"/>
    <w:rsid w:val="00157098"/>
    <w:rsid w:val="00161EFD"/>
    <w:rsid w:val="00162625"/>
    <w:rsid w:val="00162CA7"/>
    <w:rsid w:val="00162DFA"/>
    <w:rsid w:val="001639E0"/>
    <w:rsid w:val="00164CF9"/>
    <w:rsid w:val="00166EEA"/>
    <w:rsid w:val="00167AB2"/>
    <w:rsid w:val="00170C99"/>
    <w:rsid w:val="00171EC6"/>
    <w:rsid w:val="00174BFF"/>
    <w:rsid w:val="001763E9"/>
    <w:rsid w:val="00177FDC"/>
    <w:rsid w:val="00180165"/>
    <w:rsid w:val="001801BC"/>
    <w:rsid w:val="001806CC"/>
    <w:rsid w:val="00181B01"/>
    <w:rsid w:val="00181B29"/>
    <w:rsid w:val="00182521"/>
    <w:rsid w:val="001831F8"/>
    <w:rsid w:val="00183AB6"/>
    <w:rsid w:val="001855F8"/>
    <w:rsid w:val="0018615E"/>
    <w:rsid w:val="001865CA"/>
    <w:rsid w:val="0018684F"/>
    <w:rsid w:val="001875F6"/>
    <w:rsid w:val="00190BDB"/>
    <w:rsid w:val="001927E7"/>
    <w:rsid w:val="001942DE"/>
    <w:rsid w:val="001947B6"/>
    <w:rsid w:val="0019480C"/>
    <w:rsid w:val="00194926"/>
    <w:rsid w:val="00195EA6"/>
    <w:rsid w:val="00197E07"/>
    <w:rsid w:val="001A68F7"/>
    <w:rsid w:val="001A77AB"/>
    <w:rsid w:val="001B15C8"/>
    <w:rsid w:val="001B1D7D"/>
    <w:rsid w:val="001B1F40"/>
    <w:rsid w:val="001B239E"/>
    <w:rsid w:val="001B293E"/>
    <w:rsid w:val="001B2A26"/>
    <w:rsid w:val="001B5B3B"/>
    <w:rsid w:val="001B7336"/>
    <w:rsid w:val="001B7830"/>
    <w:rsid w:val="001C037C"/>
    <w:rsid w:val="001C058B"/>
    <w:rsid w:val="001C0B9E"/>
    <w:rsid w:val="001C0E1B"/>
    <w:rsid w:val="001C19AE"/>
    <w:rsid w:val="001C2596"/>
    <w:rsid w:val="001C2900"/>
    <w:rsid w:val="001C2C83"/>
    <w:rsid w:val="001C3253"/>
    <w:rsid w:val="001C5C13"/>
    <w:rsid w:val="001C727E"/>
    <w:rsid w:val="001C7768"/>
    <w:rsid w:val="001D193D"/>
    <w:rsid w:val="001D19FF"/>
    <w:rsid w:val="001D1C2D"/>
    <w:rsid w:val="001D286E"/>
    <w:rsid w:val="001D2F07"/>
    <w:rsid w:val="001D3D0C"/>
    <w:rsid w:val="001D49EB"/>
    <w:rsid w:val="001D6825"/>
    <w:rsid w:val="001D7B0A"/>
    <w:rsid w:val="001E07E0"/>
    <w:rsid w:val="001E3E50"/>
    <w:rsid w:val="001E5882"/>
    <w:rsid w:val="001E60C2"/>
    <w:rsid w:val="001E7032"/>
    <w:rsid w:val="001F16CC"/>
    <w:rsid w:val="001F2483"/>
    <w:rsid w:val="001F3357"/>
    <w:rsid w:val="001F34E7"/>
    <w:rsid w:val="001F4F71"/>
    <w:rsid w:val="00200095"/>
    <w:rsid w:val="0020130C"/>
    <w:rsid w:val="002021E6"/>
    <w:rsid w:val="002025EF"/>
    <w:rsid w:val="002042E9"/>
    <w:rsid w:val="00204E5A"/>
    <w:rsid w:val="00206347"/>
    <w:rsid w:val="00210A09"/>
    <w:rsid w:val="00210C7B"/>
    <w:rsid w:val="002112FE"/>
    <w:rsid w:val="00211971"/>
    <w:rsid w:val="002119B2"/>
    <w:rsid w:val="0021337B"/>
    <w:rsid w:val="002136FF"/>
    <w:rsid w:val="00213FA3"/>
    <w:rsid w:val="00214437"/>
    <w:rsid w:val="002152E4"/>
    <w:rsid w:val="002155ED"/>
    <w:rsid w:val="00215EAA"/>
    <w:rsid w:val="0021665F"/>
    <w:rsid w:val="0021669A"/>
    <w:rsid w:val="00216960"/>
    <w:rsid w:val="002171B6"/>
    <w:rsid w:val="00217C83"/>
    <w:rsid w:val="00220AD9"/>
    <w:rsid w:val="00221F2F"/>
    <w:rsid w:val="0022355C"/>
    <w:rsid w:val="002249F3"/>
    <w:rsid w:val="0023157B"/>
    <w:rsid w:val="00231C4F"/>
    <w:rsid w:val="0023238C"/>
    <w:rsid w:val="002325A6"/>
    <w:rsid w:val="00232CE7"/>
    <w:rsid w:val="002352BE"/>
    <w:rsid w:val="00237FEE"/>
    <w:rsid w:val="002401F4"/>
    <w:rsid w:val="00240477"/>
    <w:rsid w:val="00240550"/>
    <w:rsid w:val="002405E2"/>
    <w:rsid w:val="00242B02"/>
    <w:rsid w:val="00246631"/>
    <w:rsid w:val="00251186"/>
    <w:rsid w:val="002524F2"/>
    <w:rsid w:val="0025319A"/>
    <w:rsid w:val="002539B4"/>
    <w:rsid w:val="002547A8"/>
    <w:rsid w:val="0025495B"/>
    <w:rsid w:val="00255DED"/>
    <w:rsid w:val="00255FF4"/>
    <w:rsid w:val="00257075"/>
    <w:rsid w:val="00260578"/>
    <w:rsid w:val="002606DA"/>
    <w:rsid w:val="00262137"/>
    <w:rsid w:val="00264176"/>
    <w:rsid w:val="00264911"/>
    <w:rsid w:val="00264A01"/>
    <w:rsid w:val="0026542D"/>
    <w:rsid w:val="00265DD3"/>
    <w:rsid w:val="0026796C"/>
    <w:rsid w:val="0027019C"/>
    <w:rsid w:val="00270826"/>
    <w:rsid w:val="002708D4"/>
    <w:rsid w:val="00272BDE"/>
    <w:rsid w:val="00273E33"/>
    <w:rsid w:val="00274901"/>
    <w:rsid w:val="0027578A"/>
    <w:rsid w:val="0027634E"/>
    <w:rsid w:val="0027643A"/>
    <w:rsid w:val="0028080A"/>
    <w:rsid w:val="002823A4"/>
    <w:rsid w:val="00282616"/>
    <w:rsid w:val="00282C9A"/>
    <w:rsid w:val="00284740"/>
    <w:rsid w:val="0029018D"/>
    <w:rsid w:val="00290D74"/>
    <w:rsid w:val="002948D3"/>
    <w:rsid w:val="002973C1"/>
    <w:rsid w:val="002A0CF3"/>
    <w:rsid w:val="002A1634"/>
    <w:rsid w:val="002A16F5"/>
    <w:rsid w:val="002A195A"/>
    <w:rsid w:val="002A3270"/>
    <w:rsid w:val="002A3CE6"/>
    <w:rsid w:val="002A5B6F"/>
    <w:rsid w:val="002A61B8"/>
    <w:rsid w:val="002A61ED"/>
    <w:rsid w:val="002A7AA6"/>
    <w:rsid w:val="002B3DF8"/>
    <w:rsid w:val="002B51EF"/>
    <w:rsid w:val="002B6F80"/>
    <w:rsid w:val="002B77EC"/>
    <w:rsid w:val="002B7ACD"/>
    <w:rsid w:val="002C0109"/>
    <w:rsid w:val="002C2854"/>
    <w:rsid w:val="002C3E10"/>
    <w:rsid w:val="002C559D"/>
    <w:rsid w:val="002C6888"/>
    <w:rsid w:val="002C7E62"/>
    <w:rsid w:val="002D1F26"/>
    <w:rsid w:val="002D215C"/>
    <w:rsid w:val="002D268A"/>
    <w:rsid w:val="002D26A0"/>
    <w:rsid w:val="002D38D1"/>
    <w:rsid w:val="002D4D41"/>
    <w:rsid w:val="002D6672"/>
    <w:rsid w:val="002D6C92"/>
    <w:rsid w:val="002D72AE"/>
    <w:rsid w:val="002E07B6"/>
    <w:rsid w:val="002E2DFB"/>
    <w:rsid w:val="002E65F0"/>
    <w:rsid w:val="002E6C59"/>
    <w:rsid w:val="002E76FF"/>
    <w:rsid w:val="002F1BA1"/>
    <w:rsid w:val="002F3BB1"/>
    <w:rsid w:val="002F65DB"/>
    <w:rsid w:val="002F7908"/>
    <w:rsid w:val="002F7E05"/>
    <w:rsid w:val="00300D4D"/>
    <w:rsid w:val="00301154"/>
    <w:rsid w:val="003016C8"/>
    <w:rsid w:val="00301F59"/>
    <w:rsid w:val="00302C49"/>
    <w:rsid w:val="00302CF9"/>
    <w:rsid w:val="00305BD2"/>
    <w:rsid w:val="00311D66"/>
    <w:rsid w:val="003142C3"/>
    <w:rsid w:val="00315175"/>
    <w:rsid w:val="00316C8B"/>
    <w:rsid w:val="00320028"/>
    <w:rsid w:val="003208FF"/>
    <w:rsid w:val="00321568"/>
    <w:rsid w:val="00321C9B"/>
    <w:rsid w:val="0032226C"/>
    <w:rsid w:val="003227D2"/>
    <w:rsid w:val="00323045"/>
    <w:rsid w:val="00323A89"/>
    <w:rsid w:val="00324D05"/>
    <w:rsid w:val="003259F5"/>
    <w:rsid w:val="00326145"/>
    <w:rsid w:val="003263A4"/>
    <w:rsid w:val="003264EC"/>
    <w:rsid w:val="003271F9"/>
    <w:rsid w:val="003272A0"/>
    <w:rsid w:val="0033094F"/>
    <w:rsid w:val="0033148B"/>
    <w:rsid w:val="003350EA"/>
    <w:rsid w:val="003364E3"/>
    <w:rsid w:val="00336DF8"/>
    <w:rsid w:val="00337770"/>
    <w:rsid w:val="00337BC9"/>
    <w:rsid w:val="00337E6F"/>
    <w:rsid w:val="003420EA"/>
    <w:rsid w:val="0034230C"/>
    <w:rsid w:val="003434D4"/>
    <w:rsid w:val="00343FD7"/>
    <w:rsid w:val="003445FF"/>
    <w:rsid w:val="003462C0"/>
    <w:rsid w:val="00346554"/>
    <w:rsid w:val="00347E76"/>
    <w:rsid w:val="0035124E"/>
    <w:rsid w:val="00351623"/>
    <w:rsid w:val="003518BE"/>
    <w:rsid w:val="00352A04"/>
    <w:rsid w:val="00352CF9"/>
    <w:rsid w:val="00354280"/>
    <w:rsid w:val="00356E75"/>
    <w:rsid w:val="00357509"/>
    <w:rsid w:val="0035794E"/>
    <w:rsid w:val="0036014D"/>
    <w:rsid w:val="00360E24"/>
    <w:rsid w:val="003615A5"/>
    <w:rsid w:val="00364015"/>
    <w:rsid w:val="00365FC6"/>
    <w:rsid w:val="00366B17"/>
    <w:rsid w:val="00366F3D"/>
    <w:rsid w:val="00367BA5"/>
    <w:rsid w:val="00370902"/>
    <w:rsid w:val="00371869"/>
    <w:rsid w:val="00371D43"/>
    <w:rsid w:val="00374871"/>
    <w:rsid w:val="00374D58"/>
    <w:rsid w:val="00375AEC"/>
    <w:rsid w:val="0038073D"/>
    <w:rsid w:val="00380EA9"/>
    <w:rsid w:val="00380FFA"/>
    <w:rsid w:val="003817AE"/>
    <w:rsid w:val="00386986"/>
    <w:rsid w:val="003874A3"/>
    <w:rsid w:val="00390BAF"/>
    <w:rsid w:val="00390DD8"/>
    <w:rsid w:val="00391680"/>
    <w:rsid w:val="00392F1E"/>
    <w:rsid w:val="0039501E"/>
    <w:rsid w:val="00397210"/>
    <w:rsid w:val="003975CE"/>
    <w:rsid w:val="003A0101"/>
    <w:rsid w:val="003A0915"/>
    <w:rsid w:val="003A42F7"/>
    <w:rsid w:val="003A4DAF"/>
    <w:rsid w:val="003A7B6F"/>
    <w:rsid w:val="003B0201"/>
    <w:rsid w:val="003B1502"/>
    <w:rsid w:val="003B1B76"/>
    <w:rsid w:val="003B2309"/>
    <w:rsid w:val="003B2C21"/>
    <w:rsid w:val="003B2C3A"/>
    <w:rsid w:val="003B33A7"/>
    <w:rsid w:val="003B3E3C"/>
    <w:rsid w:val="003B55D9"/>
    <w:rsid w:val="003B5822"/>
    <w:rsid w:val="003B5B92"/>
    <w:rsid w:val="003B6A99"/>
    <w:rsid w:val="003B7B24"/>
    <w:rsid w:val="003B7C00"/>
    <w:rsid w:val="003C1641"/>
    <w:rsid w:val="003C3157"/>
    <w:rsid w:val="003C430C"/>
    <w:rsid w:val="003C53A2"/>
    <w:rsid w:val="003C7446"/>
    <w:rsid w:val="003C7567"/>
    <w:rsid w:val="003D07F3"/>
    <w:rsid w:val="003D12A1"/>
    <w:rsid w:val="003D46B5"/>
    <w:rsid w:val="003D4CCB"/>
    <w:rsid w:val="003E0B5C"/>
    <w:rsid w:val="003E15B3"/>
    <w:rsid w:val="003E33B0"/>
    <w:rsid w:val="003E5074"/>
    <w:rsid w:val="003E53A6"/>
    <w:rsid w:val="003E5FCE"/>
    <w:rsid w:val="003E6402"/>
    <w:rsid w:val="003F09E7"/>
    <w:rsid w:val="003F0D7B"/>
    <w:rsid w:val="003F25E6"/>
    <w:rsid w:val="003F3B4E"/>
    <w:rsid w:val="003F4CE4"/>
    <w:rsid w:val="003F59AB"/>
    <w:rsid w:val="003F61EB"/>
    <w:rsid w:val="003F72EF"/>
    <w:rsid w:val="00400EE1"/>
    <w:rsid w:val="00404342"/>
    <w:rsid w:val="004048FF"/>
    <w:rsid w:val="00404E61"/>
    <w:rsid w:val="00404ED4"/>
    <w:rsid w:val="00405FCF"/>
    <w:rsid w:val="0040671E"/>
    <w:rsid w:val="004074DB"/>
    <w:rsid w:val="00411508"/>
    <w:rsid w:val="00413287"/>
    <w:rsid w:val="004145CB"/>
    <w:rsid w:val="00415C8B"/>
    <w:rsid w:val="00415D4D"/>
    <w:rsid w:val="00420384"/>
    <w:rsid w:val="00421836"/>
    <w:rsid w:val="0042242C"/>
    <w:rsid w:val="00422BDF"/>
    <w:rsid w:val="00423B38"/>
    <w:rsid w:val="00430651"/>
    <w:rsid w:val="00430768"/>
    <w:rsid w:val="00431DAB"/>
    <w:rsid w:val="004336F4"/>
    <w:rsid w:val="00434DE9"/>
    <w:rsid w:val="004358FB"/>
    <w:rsid w:val="00435FD1"/>
    <w:rsid w:val="00436B2B"/>
    <w:rsid w:val="004377E3"/>
    <w:rsid w:val="00437B17"/>
    <w:rsid w:val="0044440E"/>
    <w:rsid w:val="00444822"/>
    <w:rsid w:val="004450F6"/>
    <w:rsid w:val="0044527C"/>
    <w:rsid w:val="00446752"/>
    <w:rsid w:val="0045055B"/>
    <w:rsid w:val="004522E1"/>
    <w:rsid w:val="004523EC"/>
    <w:rsid w:val="00452CDB"/>
    <w:rsid w:val="00453BE2"/>
    <w:rsid w:val="004558BF"/>
    <w:rsid w:val="00455A03"/>
    <w:rsid w:val="004563C5"/>
    <w:rsid w:val="00457E93"/>
    <w:rsid w:val="00460493"/>
    <w:rsid w:val="00460591"/>
    <w:rsid w:val="0046180E"/>
    <w:rsid w:val="00462766"/>
    <w:rsid w:val="0046358C"/>
    <w:rsid w:val="00464A7D"/>
    <w:rsid w:val="00464AFC"/>
    <w:rsid w:val="00464F0D"/>
    <w:rsid w:val="004657CE"/>
    <w:rsid w:val="00466DA0"/>
    <w:rsid w:val="00467600"/>
    <w:rsid w:val="00467F86"/>
    <w:rsid w:val="00472321"/>
    <w:rsid w:val="00476EC0"/>
    <w:rsid w:val="004774C7"/>
    <w:rsid w:val="00480613"/>
    <w:rsid w:val="004806FD"/>
    <w:rsid w:val="00482331"/>
    <w:rsid w:val="00483AAD"/>
    <w:rsid w:val="00483B40"/>
    <w:rsid w:val="0048658D"/>
    <w:rsid w:val="00486726"/>
    <w:rsid w:val="00486880"/>
    <w:rsid w:val="004878D5"/>
    <w:rsid w:val="00487F18"/>
    <w:rsid w:val="00492C3B"/>
    <w:rsid w:val="004936ED"/>
    <w:rsid w:val="00496AF2"/>
    <w:rsid w:val="00496F67"/>
    <w:rsid w:val="00497FDB"/>
    <w:rsid w:val="004A0AE4"/>
    <w:rsid w:val="004A1466"/>
    <w:rsid w:val="004A36ED"/>
    <w:rsid w:val="004A3702"/>
    <w:rsid w:val="004A3BF2"/>
    <w:rsid w:val="004A44FE"/>
    <w:rsid w:val="004A4978"/>
    <w:rsid w:val="004A4C96"/>
    <w:rsid w:val="004A64E8"/>
    <w:rsid w:val="004A6F8C"/>
    <w:rsid w:val="004B0336"/>
    <w:rsid w:val="004B0B67"/>
    <w:rsid w:val="004B41CE"/>
    <w:rsid w:val="004B44A1"/>
    <w:rsid w:val="004B5442"/>
    <w:rsid w:val="004B56BE"/>
    <w:rsid w:val="004C05C5"/>
    <w:rsid w:val="004C3728"/>
    <w:rsid w:val="004C510E"/>
    <w:rsid w:val="004C591D"/>
    <w:rsid w:val="004C6BB2"/>
    <w:rsid w:val="004C70EF"/>
    <w:rsid w:val="004C71BC"/>
    <w:rsid w:val="004D039E"/>
    <w:rsid w:val="004D196C"/>
    <w:rsid w:val="004D2118"/>
    <w:rsid w:val="004D566B"/>
    <w:rsid w:val="004D66D9"/>
    <w:rsid w:val="004D725D"/>
    <w:rsid w:val="004D7335"/>
    <w:rsid w:val="004E0450"/>
    <w:rsid w:val="004E1985"/>
    <w:rsid w:val="004E405A"/>
    <w:rsid w:val="004E6A33"/>
    <w:rsid w:val="004E7F2D"/>
    <w:rsid w:val="004F0070"/>
    <w:rsid w:val="004F120E"/>
    <w:rsid w:val="004F1429"/>
    <w:rsid w:val="004F3B61"/>
    <w:rsid w:val="005007A3"/>
    <w:rsid w:val="005017B3"/>
    <w:rsid w:val="00501D4A"/>
    <w:rsid w:val="00502971"/>
    <w:rsid w:val="005037BD"/>
    <w:rsid w:val="005057DF"/>
    <w:rsid w:val="00507933"/>
    <w:rsid w:val="005101CB"/>
    <w:rsid w:val="00512AD1"/>
    <w:rsid w:val="005145E9"/>
    <w:rsid w:val="00516501"/>
    <w:rsid w:val="005168DD"/>
    <w:rsid w:val="005169E9"/>
    <w:rsid w:val="0051701D"/>
    <w:rsid w:val="0051748A"/>
    <w:rsid w:val="00517FD7"/>
    <w:rsid w:val="005202D0"/>
    <w:rsid w:val="005209E1"/>
    <w:rsid w:val="00520B3C"/>
    <w:rsid w:val="00521ADD"/>
    <w:rsid w:val="00522100"/>
    <w:rsid w:val="00522A3E"/>
    <w:rsid w:val="0052323E"/>
    <w:rsid w:val="00523A0A"/>
    <w:rsid w:val="00525699"/>
    <w:rsid w:val="00527064"/>
    <w:rsid w:val="005302A8"/>
    <w:rsid w:val="00531571"/>
    <w:rsid w:val="00531921"/>
    <w:rsid w:val="005326D3"/>
    <w:rsid w:val="00533779"/>
    <w:rsid w:val="005343BF"/>
    <w:rsid w:val="005355DD"/>
    <w:rsid w:val="00536DE6"/>
    <w:rsid w:val="0053748D"/>
    <w:rsid w:val="00537B64"/>
    <w:rsid w:val="005407B3"/>
    <w:rsid w:val="005407FE"/>
    <w:rsid w:val="005413FF"/>
    <w:rsid w:val="00541BFB"/>
    <w:rsid w:val="00541FF1"/>
    <w:rsid w:val="0054409A"/>
    <w:rsid w:val="0054480B"/>
    <w:rsid w:val="00545B99"/>
    <w:rsid w:val="00545E3C"/>
    <w:rsid w:val="00547CDF"/>
    <w:rsid w:val="00552BE3"/>
    <w:rsid w:val="00552C66"/>
    <w:rsid w:val="00555E7B"/>
    <w:rsid w:val="00556371"/>
    <w:rsid w:val="005565F1"/>
    <w:rsid w:val="00561141"/>
    <w:rsid w:val="005613D9"/>
    <w:rsid w:val="00561E54"/>
    <w:rsid w:val="00565E1C"/>
    <w:rsid w:val="00567EFD"/>
    <w:rsid w:val="00570009"/>
    <w:rsid w:val="00572C54"/>
    <w:rsid w:val="00572C7A"/>
    <w:rsid w:val="00573BB0"/>
    <w:rsid w:val="00573CC5"/>
    <w:rsid w:val="005748C0"/>
    <w:rsid w:val="0057770B"/>
    <w:rsid w:val="005819C3"/>
    <w:rsid w:val="00582AAF"/>
    <w:rsid w:val="00582F0D"/>
    <w:rsid w:val="0058617C"/>
    <w:rsid w:val="005863B2"/>
    <w:rsid w:val="00587565"/>
    <w:rsid w:val="005909EB"/>
    <w:rsid w:val="00590D61"/>
    <w:rsid w:val="00590EAC"/>
    <w:rsid w:val="00591BBD"/>
    <w:rsid w:val="005946EA"/>
    <w:rsid w:val="00595552"/>
    <w:rsid w:val="00597F72"/>
    <w:rsid w:val="005A0551"/>
    <w:rsid w:val="005A0688"/>
    <w:rsid w:val="005A0706"/>
    <w:rsid w:val="005A160A"/>
    <w:rsid w:val="005A1FB4"/>
    <w:rsid w:val="005A61AC"/>
    <w:rsid w:val="005A77E4"/>
    <w:rsid w:val="005B1AC6"/>
    <w:rsid w:val="005B2AD5"/>
    <w:rsid w:val="005B3017"/>
    <w:rsid w:val="005B43A2"/>
    <w:rsid w:val="005B5DC5"/>
    <w:rsid w:val="005B66F8"/>
    <w:rsid w:val="005B677A"/>
    <w:rsid w:val="005B75D3"/>
    <w:rsid w:val="005B7DF3"/>
    <w:rsid w:val="005C4508"/>
    <w:rsid w:val="005C4747"/>
    <w:rsid w:val="005C67AC"/>
    <w:rsid w:val="005C7239"/>
    <w:rsid w:val="005C7C63"/>
    <w:rsid w:val="005D09C6"/>
    <w:rsid w:val="005D1524"/>
    <w:rsid w:val="005D25A8"/>
    <w:rsid w:val="005D2C58"/>
    <w:rsid w:val="005D3751"/>
    <w:rsid w:val="005D4A1F"/>
    <w:rsid w:val="005D5F30"/>
    <w:rsid w:val="005D774B"/>
    <w:rsid w:val="005E07F7"/>
    <w:rsid w:val="005E17EC"/>
    <w:rsid w:val="005E190B"/>
    <w:rsid w:val="005E2C0C"/>
    <w:rsid w:val="005E3471"/>
    <w:rsid w:val="005E44CF"/>
    <w:rsid w:val="005E463C"/>
    <w:rsid w:val="005E50C6"/>
    <w:rsid w:val="005E57D1"/>
    <w:rsid w:val="005E64A1"/>
    <w:rsid w:val="005E7F98"/>
    <w:rsid w:val="005F0ECE"/>
    <w:rsid w:val="005F11A0"/>
    <w:rsid w:val="005F3B20"/>
    <w:rsid w:val="005F3EC4"/>
    <w:rsid w:val="005F4947"/>
    <w:rsid w:val="005F4A95"/>
    <w:rsid w:val="005F5646"/>
    <w:rsid w:val="005F60D5"/>
    <w:rsid w:val="005F61DE"/>
    <w:rsid w:val="005F66AC"/>
    <w:rsid w:val="005F74CE"/>
    <w:rsid w:val="005F7ADB"/>
    <w:rsid w:val="006004BF"/>
    <w:rsid w:val="006031EF"/>
    <w:rsid w:val="00603A06"/>
    <w:rsid w:val="00603B00"/>
    <w:rsid w:val="00603D99"/>
    <w:rsid w:val="0060551B"/>
    <w:rsid w:val="006064C0"/>
    <w:rsid w:val="00607546"/>
    <w:rsid w:val="00611D08"/>
    <w:rsid w:val="00612688"/>
    <w:rsid w:val="0061788C"/>
    <w:rsid w:val="00622DFF"/>
    <w:rsid w:val="00623F6D"/>
    <w:rsid w:val="00625863"/>
    <w:rsid w:val="00626A0C"/>
    <w:rsid w:val="00626AA2"/>
    <w:rsid w:val="00626AEB"/>
    <w:rsid w:val="00626C94"/>
    <w:rsid w:val="00626E79"/>
    <w:rsid w:val="00627F08"/>
    <w:rsid w:val="00630A5F"/>
    <w:rsid w:val="00630EE4"/>
    <w:rsid w:val="00632E23"/>
    <w:rsid w:val="006330C7"/>
    <w:rsid w:val="00635294"/>
    <w:rsid w:val="00635A2F"/>
    <w:rsid w:val="00636588"/>
    <w:rsid w:val="006375D8"/>
    <w:rsid w:val="00637BE9"/>
    <w:rsid w:val="00641FB9"/>
    <w:rsid w:val="00642F1C"/>
    <w:rsid w:val="006431A2"/>
    <w:rsid w:val="0064379D"/>
    <w:rsid w:val="00643CA5"/>
    <w:rsid w:val="00645EA6"/>
    <w:rsid w:val="0064604F"/>
    <w:rsid w:val="00646835"/>
    <w:rsid w:val="006473F6"/>
    <w:rsid w:val="00647EE1"/>
    <w:rsid w:val="00650F2E"/>
    <w:rsid w:val="00651715"/>
    <w:rsid w:val="00651FC3"/>
    <w:rsid w:val="006520D9"/>
    <w:rsid w:val="0065278A"/>
    <w:rsid w:val="00652C06"/>
    <w:rsid w:val="00653146"/>
    <w:rsid w:val="00653FA4"/>
    <w:rsid w:val="006557B4"/>
    <w:rsid w:val="00655ACB"/>
    <w:rsid w:val="00655B60"/>
    <w:rsid w:val="00655CF0"/>
    <w:rsid w:val="00656332"/>
    <w:rsid w:val="006566E4"/>
    <w:rsid w:val="006579CF"/>
    <w:rsid w:val="00660912"/>
    <w:rsid w:val="00660987"/>
    <w:rsid w:val="00660BC2"/>
    <w:rsid w:val="006661DE"/>
    <w:rsid w:val="00667F99"/>
    <w:rsid w:val="006703AD"/>
    <w:rsid w:val="0067106A"/>
    <w:rsid w:val="00671DCD"/>
    <w:rsid w:val="00672FCC"/>
    <w:rsid w:val="006730D4"/>
    <w:rsid w:val="00673409"/>
    <w:rsid w:val="00673515"/>
    <w:rsid w:val="00673CA7"/>
    <w:rsid w:val="0067408D"/>
    <w:rsid w:val="00674C93"/>
    <w:rsid w:val="00674F91"/>
    <w:rsid w:val="00675524"/>
    <w:rsid w:val="0067602F"/>
    <w:rsid w:val="006779BC"/>
    <w:rsid w:val="00677FCF"/>
    <w:rsid w:val="006801DB"/>
    <w:rsid w:val="00680DDD"/>
    <w:rsid w:val="006828DA"/>
    <w:rsid w:val="00682B6F"/>
    <w:rsid w:val="00682C48"/>
    <w:rsid w:val="00682C5D"/>
    <w:rsid w:val="006844E4"/>
    <w:rsid w:val="00687586"/>
    <w:rsid w:val="00690CEE"/>
    <w:rsid w:val="00691BAC"/>
    <w:rsid w:val="00692BA2"/>
    <w:rsid w:val="0069312F"/>
    <w:rsid w:val="006931F4"/>
    <w:rsid w:val="00693E26"/>
    <w:rsid w:val="0069404C"/>
    <w:rsid w:val="00694F8D"/>
    <w:rsid w:val="0069570B"/>
    <w:rsid w:val="006961F6"/>
    <w:rsid w:val="00696481"/>
    <w:rsid w:val="00697574"/>
    <w:rsid w:val="006A0434"/>
    <w:rsid w:val="006A06A2"/>
    <w:rsid w:val="006A1AC9"/>
    <w:rsid w:val="006A254A"/>
    <w:rsid w:val="006A2F8C"/>
    <w:rsid w:val="006A5800"/>
    <w:rsid w:val="006A647B"/>
    <w:rsid w:val="006A65D3"/>
    <w:rsid w:val="006A6712"/>
    <w:rsid w:val="006A6B0C"/>
    <w:rsid w:val="006A6F30"/>
    <w:rsid w:val="006A7306"/>
    <w:rsid w:val="006B0A53"/>
    <w:rsid w:val="006B2267"/>
    <w:rsid w:val="006B2D28"/>
    <w:rsid w:val="006B4983"/>
    <w:rsid w:val="006B4E61"/>
    <w:rsid w:val="006B5F01"/>
    <w:rsid w:val="006B6C13"/>
    <w:rsid w:val="006C0BA6"/>
    <w:rsid w:val="006C2716"/>
    <w:rsid w:val="006C27DA"/>
    <w:rsid w:val="006C29E7"/>
    <w:rsid w:val="006C3571"/>
    <w:rsid w:val="006C3717"/>
    <w:rsid w:val="006C47F3"/>
    <w:rsid w:val="006C543C"/>
    <w:rsid w:val="006C639F"/>
    <w:rsid w:val="006C657A"/>
    <w:rsid w:val="006C698B"/>
    <w:rsid w:val="006C6B72"/>
    <w:rsid w:val="006C7396"/>
    <w:rsid w:val="006C764F"/>
    <w:rsid w:val="006C7C3A"/>
    <w:rsid w:val="006C7D5D"/>
    <w:rsid w:val="006D0214"/>
    <w:rsid w:val="006D1064"/>
    <w:rsid w:val="006D13E1"/>
    <w:rsid w:val="006D1FBB"/>
    <w:rsid w:val="006D31DF"/>
    <w:rsid w:val="006D3701"/>
    <w:rsid w:val="006D3E96"/>
    <w:rsid w:val="006D4649"/>
    <w:rsid w:val="006D53BB"/>
    <w:rsid w:val="006D693E"/>
    <w:rsid w:val="006D6B04"/>
    <w:rsid w:val="006D7954"/>
    <w:rsid w:val="006E20D2"/>
    <w:rsid w:val="006E35CF"/>
    <w:rsid w:val="006E36AD"/>
    <w:rsid w:val="006E4CD4"/>
    <w:rsid w:val="006E6F05"/>
    <w:rsid w:val="006F3207"/>
    <w:rsid w:val="006F430E"/>
    <w:rsid w:val="006F46F5"/>
    <w:rsid w:val="006F65D4"/>
    <w:rsid w:val="006F7D7D"/>
    <w:rsid w:val="00700210"/>
    <w:rsid w:val="00700DBE"/>
    <w:rsid w:val="007014CD"/>
    <w:rsid w:val="00702635"/>
    <w:rsid w:val="00704A7B"/>
    <w:rsid w:val="007063B5"/>
    <w:rsid w:val="00707291"/>
    <w:rsid w:val="00707937"/>
    <w:rsid w:val="0071089E"/>
    <w:rsid w:val="00712E08"/>
    <w:rsid w:val="00713F52"/>
    <w:rsid w:val="00714351"/>
    <w:rsid w:val="0071521B"/>
    <w:rsid w:val="00716C52"/>
    <w:rsid w:val="0071756D"/>
    <w:rsid w:val="0072022A"/>
    <w:rsid w:val="00720854"/>
    <w:rsid w:val="00720B40"/>
    <w:rsid w:val="00721AC6"/>
    <w:rsid w:val="00721AF6"/>
    <w:rsid w:val="007222CD"/>
    <w:rsid w:val="007222F7"/>
    <w:rsid w:val="00722A24"/>
    <w:rsid w:val="0072313A"/>
    <w:rsid w:val="007240F9"/>
    <w:rsid w:val="00724910"/>
    <w:rsid w:val="00725E5D"/>
    <w:rsid w:val="0072618E"/>
    <w:rsid w:val="00731886"/>
    <w:rsid w:val="0073216C"/>
    <w:rsid w:val="007321AA"/>
    <w:rsid w:val="0073225D"/>
    <w:rsid w:val="00732FAE"/>
    <w:rsid w:val="0073311C"/>
    <w:rsid w:val="00734938"/>
    <w:rsid w:val="0073683B"/>
    <w:rsid w:val="0073737E"/>
    <w:rsid w:val="00737C15"/>
    <w:rsid w:val="0074089D"/>
    <w:rsid w:val="007414DF"/>
    <w:rsid w:val="00741F29"/>
    <w:rsid w:val="007424BC"/>
    <w:rsid w:val="00743E24"/>
    <w:rsid w:val="00745655"/>
    <w:rsid w:val="0074601E"/>
    <w:rsid w:val="007465AF"/>
    <w:rsid w:val="00746C61"/>
    <w:rsid w:val="00747202"/>
    <w:rsid w:val="0074781F"/>
    <w:rsid w:val="00750D09"/>
    <w:rsid w:val="00750DB6"/>
    <w:rsid w:val="00752F4E"/>
    <w:rsid w:val="00754188"/>
    <w:rsid w:val="00754C0C"/>
    <w:rsid w:val="00754D38"/>
    <w:rsid w:val="00757316"/>
    <w:rsid w:val="0075777B"/>
    <w:rsid w:val="00757B7E"/>
    <w:rsid w:val="00760CA4"/>
    <w:rsid w:val="00762657"/>
    <w:rsid w:val="0076375F"/>
    <w:rsid w:val="00764A5E"/>
    <w:rsid w:val="00764EF0"/>
    <w:rsid w:val="00765913"/>
    <w:rsid w:val="00765920"/>
    <w:rsid w:val="00767947"/>
    <w:rsid w:val="007708CF"/>
    <w:rsid w:val="00771BC7"/>
    <w:rsid w:val="00771F3D"/>
    <w:rsid w:val="00772742"/>
    <w:rsid w:val="00773221"/>
    <w:rsid w:val="0077332B"/>
    <w:rsid w:val="00773351"/>
    <w:rsid w:val="0077796C"/>
    <w:rsid w:val="0078215B"/>
    <w:rsid w:val="00782746"/>
    <w:rsid w:val="00784591"/>
    <w:rsid w:val="00784ECD"/>
    <w:rsid w:val="00785888"/>
    <w:rsid w:val="00786B33"/>
    <w:rsid w:val="0079353F"/>
    <w:rsid w:val="007943A2"/>
    <w:rsid w:val="007969A0"/>
    <w:rsid w:val="00796F59"/>
    <w:rsid w:val="007A143D"/>
    <w:rsid w:val="007A16D9"/>
    <w:rsid w:val="007A1FDE"/>
    <w:rsid w:val="007A2957"/>
    <w:rsid w:val="007A34E4"/>
    <w:rsid w:val="007A361B"/>
    <w:rsid w:val="007A4396"/>
    <w:rsid w:val="007A44DB"/>
    <w:rsid w:val="007A4733"/>
    <w:rsid w:val="007B1317"/>
    <w:rsid w:val="007B14FC"/>
    <w:rsid w:val="007B2BC3"/>
    <w:rsid w:val="007B3330"/>
    <w:rsid w:val="007B3F30"/>
    <w:rsid w:val="007B4ECA"/>
    <w:rsid w:val="007B5BD5"/>
    <w:rsid w:val="007C03A4"/>
    <w:rsid w:val="007C1AB6"/>
    <w:rsid w:val="007C1BB3"/>
    <w:rsid w:val="007C1E22"/>
    <w:rsid w:val="007C2F8A"/>
    <w:rsid w:val="007C43AD"/>
    <w:rsid w:val="007C4B33"/>
    <w:rsid w:val="007C512C"/>
    <w:rsid w:val="007C55F5"/>
    <w:rsid w:val="007C631A"/>
    <w:rsid w:val="007C6D0A"/>
    <w:rsid w:val="007C7094"/>
    <w:rsid w:val="007D2A30"/>
    <w:rsid w:val="007D3312"/>
    <w:rsid w:val="007D3A1F"/>
    <w:rsid w:val="007D4550"/>
    <w:rsid w:val="007D4F38"/>
    <w:rsid w:val="007D545E"/>
    <w:rsid w:val="007D64BA"/>
    <w:rsid w:val="007D6930"/>
    <w:rsid w:val="007D7EBF"/>
    <w:rsid w:val="007E18C2"/>
    <w:rsid w:val="007E3005"/>
    <w:rsid w:val="007E3C45"/>
    <w:rsid w:val="007E573F"/>
    <w:rsid w:val="007E6133"/>
    <w:rsid w:val="007F05CB"/>
    <w:rsid w:val="007F0919"/>
    <w:rsid w:val="007F0D35"/>
    <w:rsid w:val="007F24A5"/>
    <w:rsid w:val="007F27FB"/>
    <w:rsid w:val="007F3174"/>
    <w:rsid w:val="007F4269"/>
    <w:rsid w:val="007F45B1"/>
    <w:rsid w:val="007F5334"/>
    <w:rsid w:val="007F64AB"/>
    <w:rsid w:val="007F6B2E"/>
    <w:rsid w:val="00800E20"/>
    <w:rsid w:val="00801E2C"/>
    <w:rsid w:val="00801E3F"/>
    <w:rsid w:val="00801F3A"/>
    <w:rsid w:val="00801FA7"/>
    <w:rsid w:val="008041C6"/>
    <w:rsid w:val="00805A64"/>
    <w:rsid w:val="00805CE0"/>
    <w:rsid w:val="008062CF"/>
    <w:rsid w:val="008066A5"/>
    <w:rsid w:val="00806ED2"/>
    <w:rsid w:val="00807974"/>
    <w:rsid w:val="00807B59"/>
    <w:rsid w:val="00810279"/>
    <w:rsid w:val="00814337"/>
    <w:rsid w:val="00814E31"/>
    <w:rsid w:val="00814F49"/>
    <w:rsid w:val="00815EA8"/>
    <w:rsid w:val="00815FE6"/>
    <w:rsid w:val="00816A8C"/>
    <w:rsid w:val="0082245F"/>
    <w:rsid w:val="0082328F"/>
    <w:rsid w:val="008247D1"/>
    <w:rsid w:val="0082567A"/>
    <w:rsid w:val="00825CAB"/>
    <w:rsid w:val="0082759C"/>
    <w:rsid w:val="00827E8E"/>
    <w:rsid w:val="00827ED5"/>
    <w:rsid w:val="00830E11"/>
    <w:rsid w:val="00835645"/>
    <w:rsid w:val="00836BCE"/>
    <w:rsid w:val="008422A0"/>
    <w:rsid w:val="00843811"/>
    <w:rsid w:val="00843B43"/>
    <w:rsid w:val="0084652A"/>
    <w:rsid w:val="00847F07"/>
    <w:rsid w:val="00847F50"/>
    <w:rsid w:val="00847FFB"/>
    <w:rsid w:val="00850D3B"/>
    <w:rsid w:val="00851408"/>
    <w:rsid w:val="00851C18"/>
    <w:rsid w:val="00853D93"/>
    <w:rsid w:val="00853DFB"/>
    <w:rsid w:val="00854080"/>
    <w:rsid w:val="00854412"/>
    <w:rsid w:val="00854F2F"/>
    <w:rsid w:val="00855B0E"/>
    <w:rsid w:val="008561D0"/>
    <w:rsid w:val="00856D47"/>
    <w:rsid w:val="00861D12"/>
    <w:rsid w:val="00861E84"/>
    <w:rsid w:val="008624B8"/>
    <w:rsid w:val="008624BA"/>
    <w:rsid w:val="00862A60"/>
    <w:rsid w:val="00862EB5"/>
    <w:rsid w:val="0086387B"/>
    <w:rsid w:val="0086392B"/>
    <w:rsid w:val="00865A15"/>
    <w:rsid w:val="008665F5"/>
    <w:rsid w:val="00866633"/>
    <w:rsid w:val="00866CF3"/>
    <w:rsid w:val="008670DC"/>
    <w:rsid w:val="00871478"/>
    <w:rsid w:val="008718AF"/>
    <w:rsid w:val="00873D3B"/>
    <w:rsid w:val="00874327"/>
    <w:rsid w:val="0087499C"/>
    <w:rsid w:val="0087521C"/>
    <w:rsid w:val="008766CE"/>
    <w:rsid w:val="0088114B"/>
    <w:rsid w:val="00882290"/>
    <w:rsid w:val="00883735"/>
    <w:rsid w:val="0088406E"/>
    <w:rsid w:val="008858C2"/>
    <w:rsid w:val="008864CA"/>
    <w:rsid w:val="00891CB7"/>
    <w:rsid w:val="00894132"/>
    <w:rsid w:val="0089459F"/>
    <w:rsid w:val="00894EFA"/>
    <w:rsid w:val="008950E5"/>
    <w:rsid w:val="008951AC"/>
    <w:rsid w:val="00896322"/>
    <w:rsid w:val="0089748A"/>
    <w:rsid w:val="008A02E9"/>
    <w:rsid w:val="008A0EA2"/>
    <w:rsid w:val="008A28BC"/>
    <w:rsid w:val="008A3012"/>
    <w:rsid w:val="008A4413"/>
    <w:rsid w:val="008A5E7B"/>
    <w:rsid w:val="008A6BD4"/>
    <w:rsid w:val="008A6E9B"/>
    <w:rsid w:val="008B0016"/>
    <w:rsid w:val="008B0177"/>
    <w:rsid w:val="008B0F41"/>
    <w:rsid w:val="008B11CE"/>
    <w:rsid w:val="008B1D98"/>
    <w:rsid w:val="008B4BFA"/>
    <w:rsid w:val="008B5011"/>
    <w:rsid w:val="008B59DC"/>
    <w:rsid w:val="008B6F97"/>
    <w:rsid w:val="008C0D11"/>
    <w:rsid w:val="008C1A0A"/>
    <w:rsid w:val="008C2973"/>
    <w:rsid w:val="008C43F7"/>
    <w:rsid w:val="008C4F44"/>
    <w:rsid w:val="008C6774"/>
    <w:rsid w:val="008C6952"/>
    <w:rsid w:val="008C7364"/>
    <w:rsid w:val="008C7467"/>
    <w:rsid w:val="008D0D19"/>
    <w:rsid w:val="008D13F3"/>
    <w:rsid w:val="008D2FB5"/>
    <w:rsid w:val="008D36DB"/>
    <w:rsid w:val="008D5EA9"/>
    <w:rsid w:val="008D6AC6"/>
    <w:rsid w:val="008D7C94"/>
    <w:rsid w:val="008E2AB5"/>
    <w:rsid w:val="008E4BC0"/>
    <w:rsid w:val="008E6E9E"/>
    <w:rsid w:val="008E6F2A"/>
    <w:rsid w:val="008E7248"/>
    <w:rsid w:val="008E7569"/>
    <w:rsid w:val="008F087B"/>
    <w:rsid w:val="008F11D1"/>
    <w:rsid w:val="008F1D95"/>
    <w:rsid w:val="008F23DF"/>
    <w:rsid w:val="008F39A2"/>
    <w:rsid w:val="008F4AD9"/>
    <w:rsid w:val="008F53A8"/>
    <w:rsid w:val="008F612D"/>
    <w:rsid w:val="008F61A7"/>
    <w:rsid w:val="008F70D7"/>
    <w:rsid w:val="009002C4"/>
    <w:rsid w:val="00900989"/>
    <w:rsid w:val="0090187C"/>
    <w:rsid w:val="00904C20"/>
    <w:rsid w:val="00905291"/>
    <w:rsid w:val="00905DA4"/>
    <w:rsid w:val="00907A63"/>
    <w:rsid w:val="00911D9B"/>
    <w:rsid w:val="00912109"/>
    <w:rsid w:val="00912E26"/>
    <w:rsid w:val="00914890"/>
    <w:rsid w:val="00914A87"/>
    <w:rsid w:val="009166B8"/>
    <w:rsid w:val="00917739"/>
    <w:rsid w:val="00917E47"/>
    <w:rsid w:val="00920E06"/>
    <w:rsid w:val="00922715"/>
    <w:rsid w:val="009232BA"/>
    <w:rsid w:val="00923514"/>
    <w:rsid w:val="009243BE"/>
    <w:rsid w:val="00924A9C"/>
    <w:rsid w:val="009257BC"/>
    <w:rsid w:val="00925F4C"/>
    <w:rsid w:val="009262A5"/>
    <w:rsid w:val="0092748E"/>
    <w:rsid w:val="00927520"/>
    <w:rsid w:val="00927AC4"/>
    <w:rsid w:val="00930A0B"/>
    <w:rsid w:val="00931110"/>
    <w:rsid w:val="009339C5"/>
    <w:rsid w:val="009345F6"/>
    <w:rsid w:val="00934748"/>
    <w:rsid w:val="00934D66"/>
    <w:rsid w:val="00935C54"/>
    <w:rsid w:val="00942117"/>
    <w:rsid w:val="009452F9"/>
    <w:rsid w:val="009462B5"/>
    <w:rsid w:val="00947E82"/>
    <w:rsid w:val="00951216"/>
    <w:rsid w:val="0095205F"/>
    <w:rsid w:val="009540AF"/>
    <w:rsid w:val="00954F7A"/>
    <w:rsid w:val="00957543"/>
    <w:rsid w:val="00957C7C"/>
    <w:rsid w:val="00960ECB"/>
    <w:rsid w:val="009612C7"/>
    <w:rsid w:val="00961DDA"/>
    <w:rsid w:val="00962016"/>
    <w:rsid w:val="00962A54"/>
    <w:rsid w:val="00962BBC"/>
    <w:rsid w:val="00962CC0"/>
    <w:rsid w:val="00965808"/>
    <w:rsid w:val="00966127"/>
    <w:rsid w:val="009674C7"/>
    <w:rsid w:val="009701FC"/>
    <w:rsid w:val="009711DF"/>
    <w:rsid w:val="0097266A"/>
    <w:rsid w:val="00973494"/>
    <w:rsid w:val="00974D4E"/>
    <w:rsid w:val="00974ED6"/>
    <w:rsid w:val="00975593"/>
    <w:rsid w:val="00975A57"/>
    <w:rsid w:val="009777D6"/>
    <w:rsid w:val="009803C4"/>
    <w:rsid w:val="009805E9"/>
    <w:rsid w:val="0098068D"/>
    <w:rsid w:val="00981F6C"/>
    <w:rsid w:val="009831D0"/>
    <w:rsid w:val="00983991"/>
    <w:rsid w:val="009857AC"/>
    <w:rsid w:val="00992305"/>
    <w:rsid w:val="00992A7B"/>
    <w:rsid w:val="009942BA"/>
    <w:rsid w:val="00994DC8"/>
    <w:rsid w:val="009959B9"/>
    <w:rsid w:val="00995B6F"/>
    <w:rsid w:val="00995E53"/>
    <w:rsid w:val="009963C6"/>
    <w:rsid w:val="00996EB2"/>
    <w:rsid w:val="00996F0E"/>
    <w:rsid w:val="00996F74"/>
    <w:rsid w:val="009A05ED"/>
    <w:rsid w:val="009A1DEB"/>
    <w:rsid w:val="009A3035"/>
    <w:rsid w:val="009A4464"/>
    <w:rsid w:val="009A5655"/>
    <w:rsid w:val="009A6525"/>
    <w:rsid w:val="009A6841"/>
    <w:rsid w:val="009A71CB"/>
    <w:rsid w:val="009A78C5"/>
    <w:rsid w:val="009A7F71"/>
    <w:rsid w:val="009B16B4"/>
    <w:rsid w:val="009B2D8F"/>
    <w:rsid w:val="009B3174"/>
    <w:rsid w:val="009B3B9B"/>
    <w:rsid w:val="009B3C97"/>
    <w:rsid w:val="009B4821"/>
    <w:rsid w:val="009B484C"/>
    <w:rsid w:val="009B53AE"/>
    <w:rsid w:val="009B625E"/>
    <w:rsid w:val="009C0B50"/>
    <w:rsid w:val="009C1586"/>
    <w:rsid w:val="009C1619"/>
    <w:rsid w:val="009C3932"/>
    <w:rsid w:val="009C50D7"/>
    <w:rsid w:val="009C7041"/>
    <w:rsid w:val="009D044E"/>
    <w:rsid w:val="009D09E2"/>
    <w:rsid w:val="009D4ED3"/>
    <w:rsid w:val="009D54A4"/>
    <w:rsid w:val="009D57C5"/>
    <w:rsid w:val="009D6223"/>
    <w:rsid w:val="009D66CC"/>
    <w:rsid w:val="009E20B0"/>
    <w:rsid w:val="009E4094"/>
    <w:rsid w:val="009E42C3"/>
    <w:rsid w:val="009E4309"/>
    <w:rsid w:val="009E641F"/>
    <w:rsid w:val="009E689D"/>
    <w:rsid w:val="009E7638"/>
    <w:rsid w:val="009E7FF9"/>
    <w:rsid w:val="009F077E"/>
    <w:rsid w:val="009F2A8D"/>
    <w:rsid w:val="009F315D"/>
    <w:rsid w:val="009F3E31"/>
    <w:rsid w:val="009F4FB4"/>
    <w:rsid w:val="009F5BD0"/>
    <w:rsid w:val="009F5E7F"/>
    <w:rsid w:val="009F6992"/>
    <w:rsid w:val="009F726C"/>
    <w:rsid w:val="009F795B"/>
    <w:rsid w:val="009F7BD1"/>
    <w:rsid w:val="009F7EF5"/>
    <w:rsid w:val="00A00402"/>
    <w:rsid w:val="00A00C3E"/>
    <w:rsid w:val="00A01364"/>
    <w:rsid w:val="00A0163A"/>
    <w:rsid w:val="00A017F0"/>
    <w:rsid w:val="00A0184F"/>
    <w:rsid w:val="00A0201D"/>
    <w:rsid w:val="00A0404A"/>
    <w:rsid w:val="00A04967"/>
    <w:rsid w:val="00A06FF3"/>
    <w:rsid w:val="00A07FDD"/>
    <w:rsid w:val="00A10E17"/>
    <w:rsid w:val="00A11EA3"/>
    <w:rsid w:val="00A12672"/>
    <w:rsid w:val="00A12BF5"/>
    <w:rsid w:val="00A15629"/>
    <w:rsid w:val="00A15E0A"/>
    <w:rsid w:val="00A17464"/>
    <w:rsid w:val="00A201D0"/>
    <w:rsid w:val="00A2417B"/>
    <w:rsid w:val="00A26588"/>
    <w:rsid w:val="00A266A1"/>
    <w:rsid w:val="00A27489"/>
    <w:rsid w:val="00A2782E"/>
    <w:rsid w:val="00A3217E"/>
    <w:rsid w:val="00A330C6"/>
    <w:rsid w:val="00A3325B"/>
    <w:rsid w:val="00A3561A"/>
    <w:rsid w:val="00A41619"/>
    <w:rsid w:val="00A433C1"/>
    <w:rsid w:val="00A4366F"/>
    <w:rsid w:val="00A476D4"/>
    <w:rsid w:val="00A47F83"/>
    <w:rsid w:val="00A51977"/>
    <w:rsid w:val="00A524CB"/>
    <w:rsid w:val="00A524D1"/>
    <w:rsid w:val="00A52FB2"/>
    <w:rsid w:val="00A55012"/>
    <w:rsid w:val="00A551DA"/>
    <w:rsid w:val="00A55C51"/>
    <w:rsid w:val="00A56C84"/>
    <w:rsid w:val="00A56DC9"/>
    <w:rsid w:val="00A57F26"/>
    <w:rsid w:val="00A60FFF"/>
    <w:rsid w:val="00A62B1A"/>
    <w:rsid w:val="00A62F18"/>
    <w:rsid w:val="00A65EAA"/>
    <w:rsid w:val="00A669AF"/>
    <w:rsid w:val="00A70553"/>
    <w:rsid w:val="00A7158B"/>
    <w:rsid w:val="00A719A8"/>
    <w:rsid w:val="00A7275E"/>
    <w:rsid w:val="00A72F53"/>
    <w:rsid w:val="00A73FDE"/>
    <w:rsid w:val="00A74402"/>
    <w:rsid w:val="00A74622"/>
    <w:rsid w:val="00A75E7A"/>
    <w:rsid w:val="00A7722A"/>
    <w:rsid w:val="00A81D58"/>
    <w:rsid w:val="00A82B38"/>
    <w:rsid w:val="00A82D58"/>
    <w:rsid w:val="00A8324A"/>
    <w:rsid w:val="00A845C8"/>
    <w:rsid w:val="00A849FF"/>
    <w:rsid w:val="00A84F2F"/>
    <w:rsid w:val="00A90AAF"/>
    <w:rsid w:val="00A9195E"/>
    <w:rsid w:val="00A9201B"/>
    <w:rsid w:val="00A9280F"/>
    <w:rsid w:val="00A938C6"/>
    <w:rsid w:val="00A94026"/>
    <w:rsid w:val="00A94636"/>
    <w:rsid w:val="00A9777F"/>
    <w:rsid w:val="00AA0ED7"/>
    <w:rsid w:val="00AA17D2"/>
    <w:rsid w:val="00AA2ECC"/>
    <w:rsid w:val="00AA3320"/>
    <w:rsid w:val="00AA535B"/>
    <w:rsid w:val="00AA5AB7"/>
    <w:rsid w:val="00AA5F79"/>
    <w:rsid w:val="00AB161A"/>
    <w:rsid w:val="00AB3D6C"/>
    <w:rsid w:val="00AB6337"/>
    <w:rsid w:val="00AB6961"/>
    <w:rsid w:val="00AC105D"/>
    <w:rsid w:val="00AC1D65"/>
    <w:rsid w:val="00AC4269"/>
    <w:rsid w:val="00AC51DA"/>
    <w:rsid w:val="00AC5EEF"/>
    <w:rsid w:val="00AD1AC1"/>
    <w:rsid w:val="00AD1C79"/>
    <w:rsid w:val="00AD3599"/>
    <w:rsid w:val="00AD38CE"/>
    <w:rsid w:val="00AD398C"/>
    <w:rsid w:val="00AD4086"/>
    <w:rsid w:val="00AD47D5"/>
    <w:rsid w:val="00AD4BDB"/>
    <w:rsid w:val="00AD6B94"/>
    <w:rsid w:val="00AE01A4"/>
    <w:rsid w:val="00AE0D59"/>
    <w:rsid w:val="00AE2EDB"/>
    <w:rsid w:val="00AE394B"/>
    <w:rsid w:val="00AE3F0B"/>
    <w:rsid w:val="00AE4524"/>
    <w:rsid w:val="00AE4A35"/>
    <w:rsid w:val="00AF2285"/>
    <w:rsid w:val="00AF3D43"/>
    <w:rsid w:val="00AF4804"/>
    <w:rsid w:val="00AF4D25"/>
    <w:rsid w:val="00AF4D93"/>
    <w:rsid w:val="00B00896"/>
    <w:rsid w:val="00B01C38"/>
    <w:rsid w:val="00B033DC"/>
    <w:rsid w:val="00B03424"/>
    <w:rsid w:val="00B04A77"/>
    <w:rsid w:val="00B06BEE"/>
    <w:rsid w:val="00B06E17"/>
    <w:rsid w:val="00B119B0"/>
    <w:rsid w:val="00B12EFE"/>
    <w:rsid w:val="00B134A2"/>
    <w:rsid w:val="00B13EA2"/>
    <w:rsid w:val="00B17153"/>
    <w:rsid w:val="00B17AF6"/>
    <w:rsid w:val="00B200C1"/>
    <w:rsid w:val="00B204E2"/>
    <w:rsid w:val="00B2112F"/>
    <w:rsid w:val="00B22D1D"/>
    <w:rsid w:val="00B23118"/>
    <w:rsid w:val="00B23503"/>
    <w:rsid w:val="00B23F95"/>
    <w:rsid w:val="00B25221"/>
    <w:rsid w:val="00B255CB"/>
    <w:rsid w:val="00B27E55"/>
    <w:rsid w:val="00B30330"/>
    <w:rsid w:val="00B30948"/>
    <w:rsid w:val="00B30CF4"/>
    <w:rsid w:val="00B31E78"/>
    <w:rsid w:val="00B33A12"/>
    <w:rsid w:val="00B34EF4"/>
    <w:rsid w:val="00B35973"/>
    <w:rsid w:val="00B36684"/>
    <w:rsid w:val="00B37A87"/>
    <w:rsid w:val="00B37AE7"/>
    <w:rsid w:val="00B40C99"/>
    <w:rsid w:val="00B41479"/>
    <w:rsid w:val="00B4353D"/>
    <w:rsid w:val="00B43E3E"/>
    <w:rsid w:val="00B45B06"/>
    <w:rsid w:val="00B45D2B"/>
    <w:rsid w:val="00B462C0"/>
    <w:rsid w:val="00B4722D"/>
    <w:rsid w:val="00B5253E"/>
    <w:rsid w:val="00B52A25"/>
    <w:rsid w:val="00B53A92"/>
    <w:rsid w:val="00B54BE2"/>
    <w:rsid w:val="00B54DE7"/>
    <w:rsid w:val="00B569D2"/>
    <w:rsid w:val="00B61FB3"/>
    <w:rsid w:val="00B625FA"/>
    <w:rsid w:val="00B64E97"/>
    <w:rsid w:val="00B65F23"/>
    <w:rsid w:val="00B66628"/>
    <w:rsid w:val="00B6690D"/>
    <w:rsid w:val="00B66955"/>
    <w:rsid w:val="00B67705"/>
    <w:rsid w:val="00B7320D"/>
    <w:rsid w:val="00B7531C"/>
    <w:rsid w:val="00B76138"/>
    <w:rsid w:val="00B77481"/>
    <w:rsid w:val="00B77854"/>
    <w:rsid w:val="00B8103A"/>
    <w:rsid w:val="00B82215"/>
    <w:rsid w:val="00B82D20"/>
    <w:rsid w:val="00B83B4C"/>
    <w:rsid w:val="00B8427B"/>
    <w:rsid w:val="00B8583F"/>
    <w:rsid w:val="00B86221"/>
    <w:rsid w:val="00B87557"/>
    <w:rsid w:val="00B8772A"/>
    <w:rsid w:val="00B9157F"/>
    <w:rsid w:val="00B92B00"/>
    <w:rsid w:val="00B93F07"/>
    <w:rsid w:val="00B9520B"/>
    <w:rsid w:val="00B9676E"/>
    <w:rsid w:val="00B96AD1"/>
    <w:rsid w:val="00BA3C79"/>
    <w:rsid w:val="00BA4F13"/>
    <w:rsid w:val="00BA62A1"/>
    <w:rsid w:val="00BA7A29"/>
    <w:rsid w:val="00BA7A3F"/>
    <w:rsid w:val="00BB3DFA"/>
    <w:rsid w:val="00BB58D6"/>
    <w:rsid w:val="00BB664C"/>
    <w:rsid w:val="00BC085F"/>
    <w:rsid w:val="00BC0939"/>
    <w:rsid w:val="00BC120B"/>
    <w:rsid w:val="00BC15D2"/>
    <w:rsid w:val="00BC3169"/>
    <w:rsid w:val="00BC45B5"/>
    <w:rsid w:val="00BC45E3"/>
    <w:rsid w:val="00BC5E8D"/>
    <w:rsid w:val="00BC640A"/>
    <w:rsid w:val="00BC774E"/>
    <w:rsid w:val="00BD090D"/>
    <w:rsid w:val="00BD0B18"/>
    <w:rsid w:val="00BD0BCA"/>
    <w:rsid w:val="00BD11D1"/>
    <w:rsid w:val="00BD2133"/>
    <w:rsid w:val="00BD2FA5"/>
    <w:rsid w:val="00BD495A"/>
    <w:rsid w:val="00BD4C96"/>
    <w:rsid w:val="00BD4DB6"/>
    <w:rsid w:val="00BD603A"/>
    <w:rsid w:val="00BD6C5D"/>
    <w:rsid w:val="00BE0710"/>
    <w:rsid w:val="00BE0DBF"/>
    <w:rsid w:val="00BE2CB8"/>
    <w:rsid w:val="00BE2F1C"/>
    <w:rsid w:val="00BE30AA"/>
    <w:rsid w:val="00BE319A"/>
    <w:rsid w:val="00BE3736"/>
    <w:rsid w:val="00BE41E9"/>
    <w:rsid w:val="00BE4DC5"/>
    <w:rsid w:val="00BE5405"/>
    <w:rsid w:val="00BE6224"/>
    <w:rsid w:val="00BE696A"/>
    <w:rsid w:val="00BE6C2E"/>
    <w:rsid w:val="00BF0E2C"/>
    <w:rsid w:val="00BF24F0"/>
    <w:rsid w:val="00BF2702"/>
    <w:rsid w:val="00BF27C1"/>
    <w:rsid w:val="00BF37B1"/>
    <w:rsid w:val="00BF3D9B"/>
    <w:rsid w:val="00BF4F18"/>
    <w:rsid w:val="00BF5BC3"/>
    <w:rsid w:val="00BF7068"/>
    <w:rsid w:val="00C0396C"/>
    <w:rsid w:val="00C0537F"/>
    <w:rsid w:val="00C05500"/>
    <w:rsid w:val="00C06B2D"/>
    <w:rsid w:val="00C06F69"/>
    <w:rsid w:val="00C07E21"/>
    <w:rsid w:val="00C07F51"/>
    <w:rsid w:val="00C10269"/>
    <w:rsid w:val="00C10924"/>
    <w:rsid w:val="00C109DC"/>
    <w:rsid w:val="00C10B06"/>
    <w:rsid w:val="00C10BCE"/>
    <w:rsid w:val="00C11473"/>
    <w:rsid w:val="00C11D47"/>
    <w:rsid w:val="00C12E87"/>
    <w:rsid w:val="00C14C2F"/>
    <w:rsid w:val="00C14DDE"/>
    <w:rsid w:val="00C158DB"/>
    <w:rsid w:val="00C15D2C"/>
    <w:rsid w:val="00C16476"/>
    <w:rsid w:val="00C17749"/>
    <w:rsid w:val="00C202BB"/>
    <w:rsid w:val="00C2267F"/>
    <w:rsid w:val="00C2513E"/>
    <w:rsid w:val="00C2544E"/>
    <w:rsid w:val="00C26A07"/>
    <w:rsid w:val="00C27184"/>
    <w:rsid w:val="00C272F2"/>
    <w:rsid w:val="00C2763B"/>
    <w:rsid w:val="00C27FA4"/>
    <w:rsid w:val="00C304FD"/>
    <w:rsid w:val="00C31944"/>
    <w:rsid w:val="00C34778"/>
    <w:rsid w:val="00C35396"/>
    <w:rsid w:val="00C356D5"/>
    <w:rsid w:val="00C366EA"/>
    <w:rsid w:val="00C40B23"/>
    <w:rsid w:val="00C40C27"/>
    <w:rsid w:val="00C434E4"/>
    <w:rsid w:val="00C4459F"/>
    <w:rsid w:val="00C44743"/>
    <w:rsid w:val="00C44BC3"/>
    <w:rsid w:val="00C46DB8"/>
    <w:rsid w:val="00C46F57"/>
    <w:rsid w:val="00C51029"/>
    <w:rsid w:val="00C560D9"/>
    <w:rsid w:val="00C57125"/>
    <w:rsid w:val="00C57680"/>
    <w:rsid w:val="00C5771F"/>
    <w:rsid w:val="00C57933"/>
    <w:rsid w:val="00C57AC8"/>
    <w:rsid w:val="00C60D6E"/>
    <w:rsid w:val="00C62309"/>
    <w:rsid w:val="00C65689"/>
    <w:rsid w:val="00C677C7"/>
    <w:rsid w:val="00C7028C"/>
    <w:rsid w:val="00C70B61"/>
    <w:rsid w:val="00C71252"/>
    <w:rsid w:val="00C728A2"/>
    <w:rsid w:val="00C729A4"/>
    <w:rsid w:val="00C741EE"/>
    <w:rsid w:val="00C74AAE"/>
    <w:rsid w:val="00C74ECC"/>
    <w:rsid w:val="00C7527C"/>
    <w:rsid w:val="00C755F7"/>
    <w:rsid w:val="00C756FF"/>
    <w:rsid w:val="00C7670B"/>
    <w:rsid w:val="00C76CE3"/>
    <w:rsid w:val="00C76CE4"/>
    <w:rsid w:val="00C77812"/>
    <w:rsid w:val="00C80B84"/>
    <w:rsid w:val="00C80E8B"/>
    <w:rsid w:val="00C820D4"/>
    <w:rsid w:val="00C8274A"/>
    <w:rsid w:val="00C83A45"/>
    <w:rsid w:val="00C876A2"/>
    <w:rsid w:val="00C87EEE"/>
    <w:rsid w:val="00C91507"/>
    <w:rsid w:val="00C918CD"/>
    <w:rsid w:val="00C927EC"/>
    <w:rsid w:val="00C93523"/>
    <w:rsid w:val="00C96A25"/>
    <w:rsid w:val="00C96BD7"/>
    <w:rsid w:val="00C97B70"/>
    <w:rsid w:val="00CA0024"/>
    <w:rsid w:val="00CA0226"/>
    <w:rsid w:val="00CA057A"/>
    <w:rsid w:val="00CA1062"/>
    <w:rsid w:val="00CA23DA"/>
    <w:rsid w:val="00CA2616"/>
    <w:rsid w:val="00CA3C20"/>
    <w:rsid w:val="00CA5E18"/>
    <w:rsid w:val="00CA6123"/>
    <w:rsid w:val="00CA62D1"/>
    <w:rsid w:val="00CA6944"/>
    <w:rsid w:val="00CA7653"/>
    <w:rsid w:val="00CA796E"/>
    <w:rsid w:val="00CA7C69"/>
    <w:rsid w:val="00CB005D"/>
    <w:rsid w:val="00CB1079"/>
    <w:rsid w:val="00CB2710"/>
    <w:rsid w:val="00CB2803"/>
    <w:rsid w:val="00CB3049"/>
    <w:rsid w:val="00CB417D"/>
    <w:rsid w:val="00CB489A"/>
    <w:rsid w:val="00CB5476"/>
    <w:rsid w:val="00CB6033"/>
    <w:rsid w:val="00CB60D9"/>
    <w:rsid w:val="00CB6ED6"/>
    <w:rsid w:val="00CC0138"/>
    <w:rsid w:val="00CC043C"/>
    <w:rsid w:val="00CC054D"/>
    <w:rsid w:val="00CC215D"/>
    <w:rsid w:val="00CC2656"/>
    <w:rsid w:val="00CC4A4A"/>
    <w:rsid w:val="00CC5A0B"/>
    <w:rsid w:val="00CC71DF"/>
    <w:rsid w:val="00CC7E11"/>
    <w:rsid w:val="00CD0CAA"/>
    <w:rsid w:val="00CD3176"/>
    <w:rsid w:val="00CD3763"/>
    <w:rsid w:val="00CD4BD9"/>
    <w:rsid w:val="00CD65C8"/>
    <w:rsid w:val="00CD7930"/>
    <w:rsid w:val="00CE0E42"/>
    <w:rsid w:val="00CE2174"/>
    <w:rsid w:val="00CE2445"/>
    <w:rsid w:val="00CE34BC"/>
    <w:rsid w:val="00CE6465"/>
    <w:rsid w:val="00CF04FC"/>
    <w:rsid w:val="00CF330B"/>
    <w:rsid w:val="00CF4EBA"/>
    <w:rsid w:val="00CF54DD"/>
    <w:rsid w:val="00CF6EA1"/>
    <w:rsid w:val="00CF780B"/>
    <w:rsid w:val="00D002E8"/>
    <w:rsid w:val="00D019BA"/>
    <w:rsid w:val="00D01B04"/>
    <w:rsid w:val="00D01C69"/>
    <w:rsid w:val="00D02DD9"/>
    <w:rsid w:val="00D044AC"/>
    <w:rsid w:val="00D057B1"/>
    <w:rsid w:val="00D065E5"/>
    <w:rsid w:val="00D066C6"/>
    <w:rsid w:val="00D078AF"/>
    <w:rsid w:val="00D11A4F"/>
    <w:rsid w:val="00D11D21"/>
    <w:rsid w:val="00D121AD"/>
    <w:rsid w:val="00D12B43"/>
    <w:rsid w:val="00D14267"/>
    <w:rsid w:val="00D14337"/>
    <w:rsid w:val="00D14565"/>
    <w:rsid w:val="00D15932"/>
    <w:rsid w:val="00D17012"/>
    <w:rsid w:val="00D17692"/>
    <w:rsid w:val="00D176A3"/>
    <w:rsid w:val="00D23192"/>
    <w:rsid w:val="00D24975"/>
    <w:rsid w:val="00D2593C"/>
    <w:rsid w:val="00D259E4"/>
    <w:rsid w:val="00D25A9D"/>
    <w:rsid w:val="00D26375"/>
    <w:rsid w:val="00D26DAD"/>
    <w:rsid w:val="00D271B2"/>
    <w:rsid w:val="00D2747F"/>
    <w:rsid w:val="00D27D8A"/>
    <w:rsid w:val="00D30482"/>
    <w:rsid w:val="00D35080"/>
    <w:rsid w:val="00D35C0C"/>
    <w:rsid w:val="00D3695F"/>
    <w:rsid w:val="00D40B11"/>
    <w:rsid w:val="00D41FF0"/>
    <w:rsid w:val="00D436E9"/>
    <w:rsid w:val="00D45178"/>
    <w:rsid w:val="00D47415"/>
    <w:rsid w:val="00D47525"/>
    <w:rsid w:val="00D47CA0"/>
    <w:rsid w:val="00D502F0"/>
    <w:rsid w:val="00D51256"/>
    <w:rsid w:val="00D535D3"/>
    <w:rsid w:val="00D53FCA"/>
    <w:rsid w:val="00D54850"/>
    <w:rsid w:val="00D565A6"/>
    <w:rsid w:val="00D56AB1"/>
    <w:rsid w:val="00D57034"/>
    <w:rsid w:val="00D60647"/>
    <w:rsid w:val="00D67DA6"/>
    <w:rsid w:val="00D67FA9"/>
    <w:rsid w:val="00D708F7"/>
    <w:rsid w:val="00D71115"/>
    <w:rsid w:val="00D725B5"/>
    <w:rsid w:val="00D7420A"/>
    <w:rsid w:val="00D753C9"/>
    <w:rsid w:val="00D756FA"/>
    <w:rsid w:val="00D76135"/>
    <w:rsid w:val="00D76155"/>
    <w:rsid w:val="00D764EB"/>
    <w:rsid w:val="00D801BB"/>
    <w:rsid w:val="00D80213"/>
    <w:rsid w:val="00D8095B"/>
    <w:rsid w:val="00D80AEF"/>
    <w:rsid w:val="00D81FA0"/>
    <w:rsid w:val="00D839EC"/>
    <w:rsid w:val="00D84CEF"/>
    <w:rsid w:val="00D857B7"/>
    <w:rsid w:val="00D85F63"/>
    <w:rsid w:val="00D8617E"/>
    <w:rsid w:val="00D87D63"/>
    <w:rsid w:val="00D87F3B"/>
    <w:rsid w:val="00D903EA"/>
    <w:rsid w:val="00D9063E"/>
    <w:rsid w:val="00D9165D"/>
    <w:rsid w:val="00D91BF8"/>
    <w:rsid w:val="00D92578"/>
    <w:rsid w:val="00D92D63"/>
    <w:rsid w:val="00D9474F"/>
    <w:rsid w:val="00D94911"/>
    <w:rsid w:val="00D964FA"/>
    <w:rsid w:val="00D96AF7"/>
    <w:rsid w:val="00D96C79"/>
    <w:rsid w:val="00D97D67"/>
    <w:rsid w:val="00DA09B1"/>
    <w:rsid w:val="00DA0F27"/>
    <w:rsid w:val="00DA17B3"/>
    <w:rsid w:val="00DA3AE1"/>
    <w:rsid w:val="00DA3E68"/>
    <w:rsid w:val="00DA4422"/>
    <w:rsid w:val="00DA505E"/>
    <w:rsid w:val="00DA6B6D"/>
    <w:rsid w:val="00DA77EF"/>
    <w:rsid w:val="00DB0033"/>
    <w:rsid w:val="00DB00D2"/>
    <w:rsid w:val="00DB026B"/>
    <w:rsid w:val="00DB0AC9"/>
    <w:rsid w:val="00DB1895"/>
    <w:rsid w:val="00DB3CC4"/>
    <w:rsid w:val="00DB467F"/>
    <w:rsid w:val="00DB4B14"/>
    <w:rsid w:val="00DB73B2"/>
    <w:rsid w:val="00DC4B82"/>
    <w:rsid w:val="00DC4CE6"/>
    <w:rsid w:val="00DC5813"/>
    <w:rsid w:val="00DC59F0"/>
    <w:rsid w:val="00DC690E"/>
    <w:rsid w:val="00DC7EEB"/>
    <w:rsid w:val="00DD0011"/>
    <w:rsid w:val="00DD279B"/>
    <w:rsid w:val="00DD4211"/>
    <w:rsid w:val="00DD45C9"/>
    <w:rsid w:val="00DD55B8"/>
    <w:rsid w:val="00DE1892"/>
    <w:rsid w:val="00DE397E"/>
    <w:rsid w:val="00DE3D3C"/>
    <w:rsid w:val="00DE54A5"/>
    <w:rsid w:val="00DF0C9E"/>
    <w:rsid w:val="00DF2E17"/>
    <w:rsid w:val="00DF2FD4"/>
    <w:rsid w:val="00DF4F99"/>
    <w:rsid w:val="00DF5BE0"/>
    <w:rsid w:val="00DF5EB6"/>
    <w:rsid w:val="00DF72F9"/>
    <w:rsid w:val="00E0004F"/>
    <w:rsid w:val="00E04FB1"/>
    <w:rsid w:val="00E059FD"/>
    <w:rsid w:val="00E05B97"/>
    <w:rsid w:val="00E0673D"/>
    <w:rsid w:val="00E13799"/>
    <w:rsid w:val="00E14A63"/>
    <w:rsid w:val="00E14CCD"/>
    <w:rsid w:val="00E15A28"/>
    <w:rsid w:val="00E20322"/>
    <w:rsid w:val="00E221D3"/>
    <w:rsid w:val="00E238B3"/>
    <w:rsid w:val="00E26801"/>
    <w:rsid w:val="00E26819"/>
    <w:rsid w:val="00E27148"/>
    <w:rsid w:val="00E274DF"/>
    <w:rsid w:val="00E30C09"/>
    <w:rsid w:val="00E31831"/>
    <w:rsid w:val="00E40656"/>
    <w:rsid w:val="00E41748"/>
    <w:rsid w:val="00E41AAB"/>
    <w:rsid w:val="00E4248B"/>
    <w:rsid w:val="00E42928"/>
    <w:rsid w:val="00E43194"/>
    <w:rsid w:val="00E45928"/>
    <w:rsid w:val="00E45991"/>
    <w:rsid w:val="00E46395"/>
    <w:rsid w:val="00E4737F"/>
    <w:rsid w:val="00E511BF"/>
    <w:rsid w:val="00E523F7"/>
    <w:rsid w:val="00E52C9D"/>
    <w:rsid w:val="00E53F78"/>
    <w:rsid w:val="00E554FD"/>
    <w:rsid w:val="00E55BFC"/>
    <w:rsid w:val="00E56097"/>
    <w:rsid w:val="00E56A23"/>
    <w:rsid w:val="00E57179"/>
    <w:rsid w:val="00E57B92"/>
    <w:rsid w:val="00E60584"/>
    <w:rsid w:val="00E60C6B"/>
    <w:rsid w:val="00E60F01"/>
    <w:rsid w:val="00E63474"/>
    <w:rsid w:val="00E63701"/>
    <w:rsid w:val="00E6431F"/>
    <w:rsid w:val="00E64D56"/>
    <w:rsid w:val="00E65607"/>
    <w:rsid w:val="00E65866"/>
    <w:rsid w:val="00E65A0A"/>
    <w:rsid w:val="00E67840"/>
    <w:rsid w:val="00E753EC"/>
    <w:rsid w:val="00E762F0"/>
    <w:rsid w:val="00E800EF"/>
    <w:rsid w:val="00E803F1"/>
    <w:rsid w:val="00E80B03"/>
    <w:rsid w:val="00E815CD"/>
    <w:rsid w:val="00E816F7"/>
    <w:rsid w:val="00E81955"/>
    <w:rsid w:val="00E83353"/>
    <w:rsid w:val="00E85961"/>
    <w:rsid w:val="00E86BEA"/>
    <w:rsid w:val="00E86CE1"/>
    <w:rsid w:val="00E86E6F"/>
    <w:rsid w:val="00E87504"/>
    <w:rsid w:val="00E9118E"/>
    <w:rsid w:val="00E91602"/>
    <w:rsid w:val="00E93D6F"/>
    <w:rsid w:val="00E955B5"/>
    <w:rsid w:val="00E96E10"/>
    <w:rsid w:val="00E972C8"/>
    <w:rsid w:val="00E976E3"/>
    <w:rsid w:val="00EA0B69"/>
    <w:rsid w:val="00EA0CAB"/>
    <w:rsid w:val="00EA115B"/>
    <w:rsid w:val="00EA1955"/>
    <w:rsid w:val="00EA1C58"/>
    <w:rsid w:val="00EA1DC3"/>
    <w:rsid w:val="00EA2495"/>
    <w:rsid w:val="00EA2E57"/>
    <w:rsid w:val="00EA32A1"/>
    <w:rsid w:val="00EA42B8"/>
    <w:rsid w:val="00EA5EA0"/>
    <w:rsid w:val="00EA799B"/>
    <w:rsid w:val="00EB41E7"/>
    <w:rsid w:val="00EB7A75"/>
    <w:rsid w:val="00EC0990"/>
    <w:rsid w:val="00EC0F11"/>
    <w:rsid w:val="00EC1584"/>
    <w:rsid w:val="00EC414F"/>
    <w:rsid w:val="00EC49F7"/>
    <w:rsid w:val="00EC5224"/>
    <w:rsid w:val="00EC5429"/>
    <w:rsid w:val="00EC56D0"/>
    <w:rsid w:val="00EC604B"/>
    <w:rsid w:val="00EC6BB1"/>
    <w:rsid w:val="00ED19C7"/>
    <w:rsid w:val="00ED395A"/>
    <w:rsid w:val="00ED46D8"/>
    <w:rsid w:val="00ED4C78"/>
    <w:rsid w:val="00ED64BA"/>
    <w:rsid w:val="00ED7674"/>
    <w:rsid w:val="00ED7BC9"/>
    <w:rsid w:val="00EE02B8"/>
    <w:rsid w:val="00EE04B1"/>
    <w:rsid w:val="00EE162E"/>
    <w:rsid w:val="00EE38D6"/>
    <w:rsid w:val="00EE6D08"/>
    <w:rsid w:val="00EE728B"/>
    <w:rsid w:val="00EE7CE9"/>
    <w:rsid w:val="00EF0D05"/>
    <w:rsid w:val="00EF11F7"/>
    <w:rsid w:val="00EF1883"/>
    <w:rsid w:val="00EF55AB"/>
    <w:rsid w:val="00EF5763"/>
    <w:rsid w:val="00EF579C"/>
    <w:rsid w:val="00EF5CB0"/>
    <w:rsid w:val="00EF7118"/>
    <w:rsid w:val="00F011F6"/>
    <w:rsid w:val="00F01239"/>
    <w:rsid w:val="00F02BDD"/>
    <w:rsid w:val="00F0514C"/>
    <w:rsid w:val="00F054A5"/>
    <w:rsid w:val="00F0618A"/>
    <w:rsid w:val="00F073B4"/>
    <w:rsid w:val="00F120D2"/>
    <w:rsid w:val="00F15289"/>
    <w:rsid w:val="00F1575F"/>
    <w:rsid w:val="00F15A84"/>
    <w:rsid w:val="00F166B1"/>
    <w:rsid w:val="00F22125"/>
    <w:rsid w:val="00F2298C"/>
    <w:rsid w:val="00F23295"/>
    <w:rsid w:val="00F24AB0"/>
    <w:rsid w:val="00F2608C"/>
    <w:rsid w:val="00F267B0"/>
    <w:rsid w:val="00F277CF"/>
    <w:rsid w:val="00F30FAF"/>
    <w:rsid w:val="00F31F61"/>
    <w:rsid w:val="00F337BD"/>
    <w:rsid w:val="00F337E5"/>
    <w:rsid w:val="00F339A0"/>
    <w:rsid w:val="00F362D5"/>
    <w:rsid w:val="00F36FF9"/>
    <w:rsid w:val="00F372D8"/>
    <w:rsid w:val="00F37849"/>
    <w:rsid w:val="00F4038F"/>
    <w:rsid w:val="00F40904"/>
    <w:rsid w:val="00F4191A"/>
    <w:rsid w:val="00F42CE3"/>
    <w:rsid w:val="00F435E4"/>
    <w:rsid w:val="00F44B11"/>
    <w:rsid w:val="00F47242"/>
    <w:rsid w:val="00F503B6"/>
    <w:rsid w:val="00F51713"/>
    <w:rsid w:val="00F52A18"/>
    <w:rsid w:val="00F55B30"/>
    <w:rsid w:val="00F6143D"/>
    <w:rsid w:val="00F62929"/>
    <w:rsid w:val="00F63B93"/>
    <w:rsid w:val="00F63D94"/>
    <w:rsid w:val="00F64A30"/>
    <w:rsid w:val="00F65AA4"/>
    <w:rsid w:val="00F65B41"/>
    <w:rsid w:val="00F65F00"/>
    <w:rsid w:val="00F66FD9"/>
    <w:rsid w:val="00F716EE"/>
    <w:rsid w:val="00F71CC1"/>
    <w:rsid w:val="00F7227F"/>
    <w:rsid w:val="00F7289F"/>
    <w:rsid w:val="00F7328D"/>
    <w:rsid w:val="00F7387B"/>
    <w:rsid w:val="00F74614"/>
    <w:rsid w:val="00F756A6"/>
    <w:rsid w:val="00F7713A"/>
    <w:rsid w:val="00F77A6F"/>
    <w:rsid w:val="00F80259"/>
    <w:rsid w:val="00F81310"/>
    <w:rsid w:val="00F81BAA"/>
    <w:rsid w:val="00F831E3"/>
    <w:rsid w:val="00F83A72"/>
    <w:rsid w:val="00F8600B"/>
    <w:rsid w:val="00F874AD"/>
    <w:rsid w:val="00F902E9"/>
    <w:rsid w:val="00F9185A"/>
    <w:rsid w:val="00F92076"/>
    <w:rsid w:val="00F927D1"/>
    <w:rsid w:val="00F93EFC"/>
    <w:rsid w:val="00F9433A"/>
    <w:rsid w:val="00F9562D"/>
    <w:rsid w:val="00F95C55"/>
    <w:rsid w:val="00F9647A"/>
    <w:rsid w:val="00F96B37"/>
    <w:rsid w:val="00F96E11"/>
    <w:rsid w:val="00F979D8"/>
    <w:rsid w:val="00FA031A"/>
    <w:rsid w:val="00FA131F"/>
    <w:rsid w:val="00FA1C28"/>
    <w:rsid w:val="00FA1E90"/>
    <w:rsid w:val="00FA244D"/>
    <w:rsid w:val="00FA3010"/>
    <w:rsid w:val="00FA4C5F"/>
    <w:rsid w:val="00FA5993"/>
    <w:rsid w:val="00FA62FB"/>
    <w:rsid w:val="00FA79A2"/>
    <w:rsid w:val="00FB0BBB"/>
    <w:rsid w:val="00FB17AC"/>
    <w:rsid w:val="00FB46FA"/>
    <w:rsid w:val="00FB4F60"/>
    <w:rsid w:val="00FC078D"/>
    <w:rsid w:val="00FC1A5D"/>
    <w:rsid w:val="00FC290C"/>
    <w:rsid w:val="00FC354D"/>
    <w:rsid w:val="00FD00A2"/>
    <w:rsid w:val="00FD08DE"/>
    <w:rsid w:val="00FD0F6E"/>
    <w:rsid w:val="00FD6A7C"/>
    <w:rsid w:val="00FE07A0"/>
    <w:rsid w:val="00FE2EC0"/>
    <w:rsid w:val="00FE4EA7"/>
    <w:rsid w:val="00FE4EAB"/>
    <w:rsid w:val="00FE5308"/>
    <w:rsid w:val="00FE54A3"/>
    <w:rsid w:val="00FE6997"/>
    <w:rsid w:val="00FE77EB"/>
    <w:rsid w:val="00FE78C7"/>
    <w:rsid w:val="00FF03FE"/>
    <w:rsid w:val="00FF0F6E"/>
    <w:rsid w:val="00FF18D7"/>
    <w:rsid w:val="00FF2970"/>
    <w:rsid w:val="00FF3363"/>
    <w:rsid w:val="00FF3612"/>
    <w:rsid w:val="00FF43F5"/>
    <w:rsid w:val="00FF4849"/>
    <w:rsid w:val="00FF5C7C"/>
    <w:rsid w:val="01B47A59"/>
    <w:rsid w:val="02265C8C"/>
    <w:rsid w:val="02983FF6"/>
    <w:rsid w:val="02CD709D"/>
    <w:rsid w:val="02FB0F26"/>
    <w:rsid w:val="032B024C"/>
    <w:rsid w:val="03514173"/>
    <w:rsid w:val="0382074F"/>
    <w:rsid w:val="03E77005"/>
    <w:rsid w:val="04072ABE"/>
    <w:rsid w:val="04366433"/>
    <w:rsid w:val="04651CD8"/>
    <w:rsid w:val="0495080F"/>
    <w:rsid w:val="05753204"/>
    <w:rsid w:val="062822BB"/>
    <w:rsid w:val="06804990"/>
    <w:rsid w:val="068D4C9B"/>
    <w:rsid w:val="06D14EBD"/>
    <w:rsid w:val="06DE1A50"/>
    <w:rsid w:val="06EB148C"/>
    <w:rsid w:val="074C0438"/>
    <w:rsid w:val="07D721EC"/>
    <w:rsid w:val="08037696"/>
    <w:rsid w:val="08514397"/>
    <w:rsid w:val="08706007"/>
    <w:rsid w:val="08A700C4"/>
    <w:rsid w:val="09C26B7D"/>
    <w:rsid w:val="0B181CBF"/>
    <w:rsid w:val="0BC04AFE"/>
    <w:rsid w:val="0C085D6A"/>
    <w:rsid w:val="0D3B159B"/>
    <w:rsid w:val="0D7C0A74"/>
    <w:rsid w:val="0DDC125D"/>
    <w:rsid w:val="0E0C760A"/>
    <w:rsid w:val="0E501052"/>
    <w:rsid w:val="0E664FCA"/>
    <w:rsid w:val="0E98447E"/>
    <w:rsid w:val="0F0F7BEE"/>
    <w:rsid w:val="0F421DA8"/>
    <w:rsid w:val="0F867640"/>
    <w:rsid w:val="100A4633"/>
    <w:rsid w:val="10823C88"/>
    <w:rsid w:val="10901957"/>
    <w:rsid w:val="10C673DF"/>
    <w:rsid w:val="111B77B5"/>
    <w:rsid w:val="1160532F"/>
    <w:rsid w:val="11824A0F"/>
    <w:rsid w:val="11B85287"/>
    <w:rsid w:val="11E5087F"/>
    <w:rsid w:val="126357B9"/>
    <w:rsid w:val="128E5D2A"/>
    <w:rsid w:val="12F26951"/>
    <w:rsid w:val="13454D7F"/>
    <w:rsid w:val="136D69B1"/>
    <w:rsid w:val="13CF6B47"/>
    <w:rsid w:val="14D57867"/>
    <w:rsid w:val="15113CD5"/>
    <w:rsid w:val="155958CC"/>
    <w:rsid w:val="15881997"/>
    <w:rsid w:val="15BB6F96"/>
    <w:rsid w:val="16092E0B"/>
    <w:rsid w:val="162A7BE4"/>
    <w:rsid w:val="163F682C"/>
    <w:rsid w:val="16B540EF"/>
    <w:rsid w:val="16CE269B"/>
    <w:rsid w:val="16FF7D6A"/>
    <w:rsid w:val="170F61FF"/>
    <w:rsid w:val="173D1838"/>
    <w:rsid w:val="17982720"/>
    <w:rsid w:val="17B04B2A"/>
    <w:rsid w:val="18012B82"/>
    <w:rsid w:val="183211E2"/>
    <w:rsid w:val="186B79C3"/>
    <w:rsid w:val="18A94AE4"/>
    <w:rsid w:val="18F1504B"/>
    <w:rsid w:val="18F953B8"/>
    <w:rsid w:val="194D300E"/>
    <w:rsid w:val="195471D4"/>
    <w:rsid w:val="199F6656"/>
    <w:rsid w:val="1A141D7E"/>
    <w:rsid w:val="1C297D63"/>
    <w:rsid w:val="1C424C5B"/>
    <w:rsid w:val="1CA36708"/>
    <w:rsid w:val="1CDC1BD7"/>
    <w:rsid w:val="1CDE1E5B"/>
    <w:rsid w:val="1CE0213A"/>
    <w:rsid w:val="1D6D0498"/>
    <w:rsid w:val="1D905BC0"/>
    <w:rsid w:val="1DD94CC0"/>
    <w:rsid w:val="1E4C7A54"/>
    <w:rsid w:val="1EEB6F6A"/>
    <w:rsid w:val="1F4A2061"/>
    <w:rsid w:val="1FB950A5"/>
    <w:rsid w:val="2022014C"/>
    <w:rsid w:val="20917F4B"/>
    <w:rsid w:val="20CD1AB0"/>
    <w:rsid w:val="21756F70"/>
    <w:rsid w:val="21AC2E60"/>
    <w:rsid w:val="220A5A3C"/>
    <w:rsid w:val="23A72FFC"/>
    <w:rsid w:val="242A2671"/>
    <w:rsid w:val="24430123"/>
    <w:rsid w:val="24786259"/>
    <w:rsid w:val="24B65F0C"/>
    <w:rsid w:val="25BE00B0"/>
    <w:rsid w:val="25F26162"/>
    <w:rsid w:val="26EC030B"/>
    <w:rsid w:val="26F45411"/>
    <w:rsid w:val="280C23D5"/>
    <w:rsid w:val="285E11F2"/>
    <w:rsid w:val="28C52BC1"/>
    <w:rsid w:val="28E05C4D"/>
    <w:rsid w:val="28EF5E90"/>
    <w:rsid w:val="29491460"/>
    <w:rsid w:val="29A464CC"/>
    <w:rsid w:val="29B76476"/>
    <w:rsid w:val="29D55086"/>
    <w:rsid w:val="2A187669"/>
    <w:rsid w:val="2A571AEE"/>
    <w:rsid w:val="2A8558EB"/>
    <w:rsid w:val="2AAD6003"/>
    <w:rsid w:val="2AD33152"/>
    <w:rsid w:val="2AEF3F25"/>
    <w:rsid w:val="2AF615EE"/>
    <w:rsid w:val="2B54022C"/>
    <w:rsid w:val="2B717030"/>
    <w:rsid w:val="2B794864"/>
    <w:rsid w:val="2B801021"/>
    <w:rsid w:val="2C387B4E"/>
    <w:rsid w:val="2C401128"/>
    <w:rsid w:val="2CFC1882"/>
    <w:rsid w:val="2D3B78F6"/>
    <w:rsid w:val="2D537491"/>
    <w:rsid w:val="2D8B7C57"/>
    <w:rsid w:val="2DD737DB"/>
    <w:rsid w:val="2E366D75"/>
    <w:rsid w:val="2E78329E"/>
    <w:rsid w:val="2EF677F0"/>
    <w:rsid w:val="2F2E59E1"/>
    <w:rsid w:val="2F3A3CD2"/>
    <w:rsid w:val="2F5127C0"/>
    <w:rsid w:val="2F5159CA"/>
    <w:rsid w:val="2F9344A7"/>
    <w:rsid w:val="2FC83CAA"/>
    <w:rsid w:val="30447436"/>
    <w:rsid w:val="317B6EF1"/>
    <w:rsid w:val="31857392"/>
    <w:rsid w:val="31A27F7B"/>
    <w:rsid w:val="32296F5A"/>
    <w:rsid w:val="33AC652E"/>
    <w:rsid w:val="33AF53B6"/>
    <w:rsid w:val="341C45E4"/>
    <w:rsid w:val="341C6292"/>
    <w:rsid w:val="343402B4"/>
    <w:rsid w:val="3488722A"/>
    <w:rsid w:val="348E641A"/>
    <w:rsid w:val="34CE4C2F"/>
    <w:rsid w:val="34D60E50"/>
    <w:rsid w:val="34F04177"/>
    <w:rsid w:val="351849C1"/>
    <w:rsid w:val="3538720B"/>
    <w:rsid w:val="35FA20BB"/>
    <w:rsid w:val="3613030A"/>
    <w:rsid w:val="36B16F62"/>
    <w:rsid w:val="37353608"/>
    <w:rsid w:val="37A306C9"/>
    <w:rsid w:val="37E81728"/>
    <w:rsid w:val="388C773F"/>
    <w:rsid w:val="38F903D7"/>
    <w:rsid w:val="391E5EC7"/>
    <w:rsid w:val="395850A3"/>
    <w:rsid w:val="39E356BD"/>
    <w:rsid w:val="39EE16A9"/>
    <w:rsid w:val="3A0F6DD0"/>
    <w:rsid w:val="3A2E2E0F"/>
    <w:rsid w:val="3A506878"/>
    <w:rsid w:val="3B2B2C3C"/>
    <w:rsid w:val="3B5D312D"/>
    <w:rsid w:val="3B7E557D"/>
    <w:rsid w:val="3B8D0C06"/>
    <w:rsid w:val="3B9528C7"/>
    <w:rsid w:val="3C29300F"/>
    <w:rsid w:val="3C8C3B8A"/>
    <w:rsid w:val="3CC316B6"/>
    <w:rsid w:val="3CFF4547"/>
    <w:rsid w:val="3D1B32A0"/>
    <w:rsid w:val="3D7310E3"/>
    <w:rsid w:val="3DE126FC"/>
    <w:rsid w:val="3DFA4C63"/>
    <w:rsid w:val="3E67106F"/>
    <w:rsid w:val="3E7B3341"/>
    <w:rsid w:val="3E9A3227"/>
    <w:rsid w:val="3EBC0E01"/>
    <w:rsid w:val="3F814F04"/>
    <w:rsid w:val="3F981B71"/>
    <w:rsid w:val="3F9C1BDA"/>
    <w:rsid w:val="3FA45D01"/>
    <w:rsid w:val="3FE07E89"/>
    <w:rsid w:val="3FFB4D22"/>
    <w:rsid w:val="401527FC"/>
    <w:rsid w:val="40181D19"/>
    <w:rsid w:val="40287DCE"/>
    <w:rsid w:val="40341C90"/>
    <w:rsid w:val="403A20FD"/>
    <w:rsid w:val="411E335F"/>
    <w:rsid w:val="41913B31"/>
    <w:rsid w:val="41A05B22"/>
    <w:rsid w:val="41C45387"/>
    <w:rsid w:val="421D447F"/>
    <w:rsid w:val="42775F1B"/>
    <w:rsid w:val="429F29D5"/>
    <w:rsid w:val="42C6780A"/>
    <w:rsid w:val="42E52B99"/>
    <w:rsid w:val="42EB54C2"/>
    <w:rsid w:val="4315253F"/>
    <w:rsid w:val="43DA6840"/>
    <w:rsid w:val="43DE654F"/>
    <w:rsid w:val="44613C8E"/>
    <w:rsid w:val="448D10B7"/>
    <w:rsid w:val="44BC2649"/>
    <w:rsid w:val="44D04DF5"/>
    <w:rsid w:val="44F1532A"/>
    <w:rsid w:val="45043047"/>
    <w:rsid w:val="450434B5"/>
    <w:rsid w:val="45823F45"/>
    <w:rsid w:val="458531CB"/>
    <w:rsid w:val="46407246"/>
    <w:rsid w:val="46475E61"/>
    <w:rsid w:val="471131FC"/>
    <w:rsid w:val="47170A0F"/>
    <w:rsid w:val="47597308"/>
    <w:rsid w:val="47681029"/>
    <w:rsid w:val="47A04ACD"/>
    <w:rsid w:val="47B94FAB"/>
    <w:rsid w:val="493B6489"/>
    <w:rsid w:val="4961472A"/>
    <w:rsid w:val="49C66B17"/>
    <w:rsid w:val="4AB97C54"/>
    <w:rsid w:val="4AC15A82"/>
    <w:rsid w:val="4B894470"/>
    <w:rsid w:val="4B92297F"/>
    <w:rsid w:val="4BFE32A4"/>
    <w:rsid w:val="4C134BE6"/>
    <w:rsid w:val="4C4A06F4"/>
    <w:rsid w:val="4C7D093A"/>
    <w:rsid w:val="4D144003"/>
    <w:rsid w:val="4D1F53DB"/>
    <w:rsid w:val="4D597BFC"/>
    <w:rsid w:val="4D82136F"/>
    <w:rsid w:val="4DD5361B"/>
    <w:rsid w:val="4DDF79D2"/>
    <w:rsid w:val="4E1A20FE"/>
    <w:rsid w:val="4EC20ABF"/>
    <w:rsid w:val="4EDD2163"/>
    <w:rsid w:val="4F455F5A"/>
    <w:rsid w:val="4F6A3DC8"/>
    <w:rsid w:val="4F9D15E4"/>
    <w:rsid w:val="4FB33A55"/>
    <w:rsid w:val="502602D4"/>
    <w:rsid w:val="506A05A8"/>
    <w:rsid w:val="51687DFC"/>
    <w:rsid w:val="516C7C6C"/>
    <w:rsid w:val="524F77C2"/>
    <w:rsid w:val="525210BA"/>
    <w:rsid w:val="5331733B"/>
    <w:rsid w:val="53974AC8"/>
    <w:rsid w:val="53A35A5E"/>
    <w:rsid w:val="53CE0048"/>
    <w:rsid w:val="54B957B5"/>
    <w:rsid w:val="55467BB6"/>
    <w:rsid w:val="55CF6FBA"/>
    <w:rsid w:val="571C57F3"/>
    <w:rsid w:val="573B211D"/>
    <w:rsid w:val="5765468B"/>
    <w:rsid w:val="58240E03"/>
    <w:rsid w:val="585873AA"/>
    <w:rsid w:val="58F86605"/>
    <w:rsid w:val="59073951"/>
    <w:rsid w:val="59501632"/>
    <w:rsid w:val="597F1763"/>
    <w:rsid w:val="5A5958D9"/>
    <w:rsid w:val="5A785436"/>
    <w:rsid w:val="5ACB7804"/>
    <w:rsid w:val="5B3475AF"/>
    <w:rsid w:val="5B653C1B"/>
    <w:rsid w:val="5BE16F07"/>
    <w:rsid w:val="5C127A6F"/>
    <w:rsid w:val="5C7A36E7"/>
    <w:rsid w:val="5CD85E7A"/>
    <w:rsid w:val="5CF705D0"/>
    <w:rsid w:val="5D544678"/>
    <w:rsid w:val="5F48187B"/>
    <w:rsid w:val="5F99F6E4"/>
    <w:rsid w:val="5FAF18FA"/>
    <w:rsid w:val="604C4796"/>
    <w:rsid w:val="60C06C3D"/>
    <w:rsid w:val="60C17C25"/>
    <w:rsid w:val="60EA20B9"/>
    <w:rsid w:val="615C23C3"/>
    <w:rsid w:val="61766272"/>
    <w:rsid w:val="618D7A19"/>
    <w:rsid w:val="61DE2C30"/>
    <w:rsid w:val="628C4EBC"/>
    <w:rsid w:val="62CF5B11"/>
    <w:rsid w:val="62D13F91"/>
    <w:rsid w:val="62D2730F"/>
    <w:rsid w:val="63253197"/>
    <w:rsid w:val="6335216A"/>
    <w:rsid w:val="63CE2D93"/>
    <w:rsid w:val="63FF3C7C"/>
    <w:rsid w:val="640B3388"/>
    <w:rsid w:val="646053A7"/>
    <w:rsid w:val="647A6023"/>
    <w:rsid w:val="64A64951"/>
    <w:rsid w:val="64AD03D2"/>
    <w:rsid w:val="64B41760"/>
    <w:rsid w:val="654523B9"/>
    <w:rsid w:val="655A671B"/>
    <w:rsid w:val="65C34CC5"/>
    <w:rsid w:val="66205447"/>
    <w:rsid w:val="663B30B9"/>
    <w:rsid w:val="669D6FF3"/>
    <w:rsid w:val="675A65EF"/>
    <w:rsid w:val="67BF6A43"/>
    <w:rsid w:val="685A0E40"/>
    <w:rsid w:val="69C47E81"/>
    <w:rsid w:val="69E63CF1"/>
    <w:rsid w:val="69E66F7F"/>
    <w:rsid w:val="6AA47B81"/>
    <w:rsid w:val="6AA77936"/>
    <w:rsid w:val="6B1E538B"/>
    <w:rsid w:val="6B6F018F"/>
    <w:rsid w:val="6B7859B5"/>
    <w:rsid w:val="6B881251"/>
    <w:rsid w:val="6BF126E9"/>
    <w:rsid w:val="6C4725B8"/>
    <w:rsid w:val="6CAD23B4"/>
    <w:rsid w:val="6CF959A5"/>
    <w:rsid w:val="6D9E6B0A"/>
    <w:rsid w:val="6E397C4F"/>
    <w:rsid w:val="6E6D3339"/>
    <w:rsid w:val="6E7B6D97"/>
    <w:rsid w:val="6EA6036C"/>
    <w:rsid w:val="6FCF744E"/>
    <w:rsid w:val="7015380A"/>
    <w:rsid w:val="70166B54"/>
    <w:rsid w:val="70BE32C7"/>
    <w:rsid w:val="70DB4FE7"/>
    <w:rsid w:val="70F33611"/>
    <w:rsid w:val="71541C41"/>
    <w:rsid w:val="71564400"/>
    <w:rsid w:val="71973F9C"/>
    <w:rsid w:val="7199730E"/>
    <w:rsid w:val="7206286A"/>
    <w:rsid w:val="72FD495C"/>
    <w:rsid w:val="73011EF3"/>
    <w:rsid w:val="73027B3B"/>
    <w:rsid w:val="730E55D1"/>
    <w:rsid w:val="73330ED6"/>
    <w:rsid w:val="734E4912"/>
    <w:rsid w:val="738460E5"/>
    <w:rsid w:val="73892EDE"/>
    <w:rsid w:val="73C53042"/>
    <w:rsid w:val="73E01C2A"/>
    <w:rsid w:val="7426410F"/>
    <w:rsid w:val="743F175E"/>
    <w:rsid w:val="74723891"/>
    <w:rsid w:val="74912761"/>
    <w:rsid w:val="749409BF"/>
    <w:rsid w:val="74B51B1D"/>
    <w:rsid w:val="74BF6C55"/>
    <w:rsid w:val="75B93A72"/>
    <w:rsid w:val="75BE5B78"/>
    <w:rsid w:val="76363F76"/>
    <w:rsid w:val="76702C63"/>
    <w:rsid w:val="769F5144"/>
    <w:rsid w:val="76D65566"/>
    <w:rsid w:val="77020109"/>
    <w:rsid w:val="771A5453"/>
    <w:rsid w:val="77640DC4"/>
    <w:rsid w:val="77704DA8"/>
    <w:rsid w:val="77CB0B19"/>
    <w:rsid w:val="78052479"/>
    <w:rsid w:val="783A40EE"/>
    <w:rsid w:val="7856443F"/>
    <w:rsid w:val="787B63C5"/>
    <w:rsid w:val="78BC7A3E"/>
    <w:rsid w:val="78BF1A53"/>
    <w:rsid w:val="78D36201"/>
    <w:rsid w:val="78F63C9E"/>
    <w:rsid w:val="796230E1"/>
    <w:rsid w:val="79D80F60"/>
    <w:rsid w:val="79FA156C"/>
    <w:rsid w:val="7A737492"/>
    <w:rsid w:val="7A8A3C4A"/>
    <w:rsid w:val="7AE57B48"/>
    <w:rsid w:val="7AEC445C"/>
    <w:rsid w:val="7B8B4B71"/>
    <w:rsid w:val="7B9559F0"/>
    <w:rsid w:val="7BD171F7"/>
    <w:rsid w:val="7C297558"/>
    <w:rsid w:val="7C310CB0"/>
    <w:rsid w:val="7C716ED4"/>
    <w:rsid w:val="7CCA4A1A"/>
    <w:rsid w:val="7CF86342"/>
    <w:rsid w:val="7CFE329D"/>
    <w:rsid w:val="7D3014EE"/>
    <w:rsid w:val="7DC437A0"/>
    <w:rsid w:val="7E0429B9"/>
    <w:rsid w:val="7EC77340"/>
    <w:rsid w:val="7EDA493C"/>
    <w:rsid w:val="7EFB0EB5"/>
    <w:rsid w:val="7F106850"/>
    <w:rsid w:val="7F196938"/>
    <w:rsid w:val="7F1E7AAB"/>
    <w:rsid w:val="7F5D4A77"/>
    <w:rsid w:val="7F71139D"/>
    <w:rsid w:val="7F71407E"/>
    <w:rsid w:val="7F7B6CAB"/>
    <w:rsid w:val="7F9F2AA4"/>
    <w:rsid w:val="7FBB635F"/>
    <w:rsid w:val="7FD50B06"/>
    <w:rsid w:val="AEBC8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5"/>
    <w:qFormat/>
    <w:uiPriority w:val="0"/>
    <w:pPr>
      <w:keepNext/>
      <w:keepLines/>
      <w:spacing w:before="260" w:after="260" w:line="416" w:lineRule="auto"/>
      <w:outlineLvl w:val="2"/>
    </w:pPr>
    <w:rPr>
      <w:rFonts w:ascii="宋体" w:hAnsi="Courier New"/>
      <w:b/>
      <w:bCs/>
      <w:sz w:val="32"/>
      <w:szCs w:val="32"/>
    </w:rPr>
  </w:style>
  <w:style w:type="paragraph" w:styleId="6">
    <w:name w:val="heading 4"/>
    <w:basedOn w:val="1"/>
    <w:next w:val="1"/>
    <w:link w:val="66"/>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7"/>
    <w:qFormat/>
    <w:uiPriority w:val="0"/>
    <w:pPr>
      <w:keepNext/>
      <w:keepLines/>
      <w:spacing w:before="280" w:after="290" w:line="376" w:lineRule="auto"/>
      <w:outlineLvl w:val="4"/>
    </w:pPr>
    <w:rPr>
      <w:b/>
      <w:sz w:val="28"/>
    </w:rPr>
  </w:style>
  <w:style w:type="paragraph" w:styleId="9">
    <w:name w:val="heading 6"/>
    <w:basedOn w:val="1"/>
    <w:next w:val="8"/>
    <w:link w:val="69"/>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0"/>
    <w:qFormat/>
    <w:uiPriority w:val="99"/>
    <w:pPr>
      <w:keepNext/>
      <w:keepLines/>
      <w:spacing w:before="240" w:after="64" w:line="320" w:lineRule="auto"/>
      <w:outlineLvl w:val="6"/>
    </w:pPr>
    <w:rPr>
      <w:b/>
      <w:sz w:val="24"/>
    </w:rPr>
  </w:style>
  <w:style w:type="paragraph" w:styleId="11">
    <w:name w:val="heading 8"/>
    <w:basedOn w:val="1"/>
    <w:next w:val="8"/>
    <w:link w:val="71"/>
    <w:qFormat/>
    <w:uiPriority w:val="99"/>
    <w:pPr>
      <w:keepNext/>
      <w:keepLines/>
      <w:spacing w:before="240" w:after="64" w:line="320" w:lineRule="auto"/>
      <w:outlineLvl w:val="7"/>
    </w:pPr>
    <w:rPr>
      <w:rFonts w:ascii="Arial" w:hAnsi="Arial" w:eastAsia="黑体"/>
      <w:sz w:val="24"/>
    </w:rPr>
  </w:style>
  <w:style w:type="paragraph" w:styleId="12">
    <w:name w:val="heading 9"/>
    <w:basedOn w:val="1"/>
    <w:next w:val="8"/>
    <w:link w:val="72"/>
    <w:qFormat/>
    <w:uiPriority w:val="99"/>
    <w:pPr>
      <w:keepNext/>
      <w:keepLines/>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83"/>
    <w:qFormat/>
    <w:uiPriority w:val="0"/>
    <w:pPr>
      <w:tabs>
        <w:tab w:val="center" w:pos="4153"/>
        <w:tab w:val="right" w:pos="8306"/>
      </w:tabs>
      <w:snapToGrid w:val="0"/>
      <w:jc w:val="left"/>
    </w:pPr>
    <w:rPr>
      <w:sz w:val="18"/>
      <w:szCs w:val="18"/>
    </w:rPr>
  </w:style>
  <w:style w:type="paragraph" w:styleId="8">
    <w:name w:val="Normal Indent"/>
    <w:basedOn w:val="1"/>
    <w:link w:val="68"/>
    <w:qFormat/>
    <w:uiPriority w:val="99"/>
    <w:pPr>
      <w:ind w:firstLine="420"/>
    </w:pPr>
    <w:rPr>
      <w:szCs w:val="20"/>
    </w:rPr>
  </w:style>
  <w:style w:type="paragraph" w:styleId="13">
    <w:name w:val="toc 7"/>
    <w:basedOn w:val="1"/>
    <w:next w:val="1"/>
    <w:qFormat/>
    <w:uiPriority w:val="99"/>
    <w:pPr>
      <w:spacing w:line="360" w:lineRule="auto"/>
      <w:ind w:left="1440"/>
      <w:jc w:val="left"/>
    </w:pPr>
    <w:rPr>
      <w:rFonts w:ascii="Calibri" w:hAnsi="Calibri"/>
      <w:sz w:val="20"/>
      <w:szCs w:val="20"/>
    </w:rPr>
  </w:style>
  <w:style w:type="paragraph" w:styleId="14">
    <w:name w:val="table of authorities"/>
    <w:basedOn w:val="1"/>
    <w:next w:val="1"/>
    <w:link w:val="73"/>
    <w:semiHidden/>
    <w:qFormat/>
    <w:uiPriority w:val="0"/>
    <w:pPr>
      <w:ind w:left="420" w:leftChars="200"/>
    </w:pPr>
  </w:style>
  <w:style w:type="paragraph" w:styleId="15">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99"/>
    <w:pPr>
      <w:spacing w:before="152" w:after="160"/>
    </w:pPr>
    <w:rPr>
      <w:rFonts w:ascii="Arial" w:hAnsi="Arial" w:eastAsia="黑体" w:cs="Arial"/>
      <w:sz w:val="20"/>
      <w:szCs w:val="20"/>
    </w:rPr>
  </w:style>
  <w:style w:type="paragraph" w:styleId="17">
    <w:name w:val="Document Map"/>
    <w:basedOn w:val="1"/>
    <w:link w:val="74"/>
    <w:semiHidden/>
    <w:qFormat/>
    <w:uiPriority w:val="99"/>
    <w:pPr>
      <w:shd w:val="clear" w:color="auto" w:fill="000080"/>
    </w:pPr>
  </w:style>
  <w:style w:type="paragraph" w:styleId="18">
    <w:name w:val="annotation text"/>
    <w:basedOn w:val="1"/>
    <w:link w:val="75"/>
    <w:qFormat/>
    <w:uiPriority w:val="99"/>
    <w:pPr>
      <w:jc w:val="left"/>
    </w:pPr>
  </w:style>
  <w:style w:type="paragraph" w:styleId="19">
    <w:name w:val="Body Text 3"/>
    <w:basedOn w:val="1"/>
    <w:link w:val="76"/>
    <w:qFormat/>
    <w:uiPriority w:val="0"/>
    <w:pPr>
      <w:spacing w:line="500" w:lineRule="exact"/>
    </w:pPr>
    <w:rPr>
      <w:b/>
      <w:bCs/>
      <w:sz w:val="24"/>
    </w:rPr>
  </w:style>
  <w:style w:type="paragraph" w:styleId="20">
    <w:name w:val="Body Text"/>
    <w:basedOn w:val="1"/>
    <w:next w:val="21"/>
    <w:link w:val="62"/>
    <w:qFormat/>
    <w:uiPriority w:val="99"/>
    <w:pPr>
      <w:spacing w:line="380" w:lineRule="exact"/>
    </w:pPr>
    <w:rPr>
      <w:sz w:val="24"/>
    </w:rPr>
  </w:style>
  <w:style w:type="paragraph" w:customStyle="1" w:styleId="21">
    <w:name w:val="Default"/>
    <w:next w:val="22"/>
    <w:qFormat/>
    <w:uiPriority w:val="0"/>
    <w:pPr>
      <w:widowControl w:val="0"/>
      <w:autoSpaceDE w:val="0"/>
      <w:autoSpaceDN w:val="0"/>
      <w:adjustRightInd w:val="0"/>
      <w:spacing w:line="400" w:lineRule="exact"/>
      <w:ind w:firstLine="200" w:firstLineChars="200"/>
      <w:jc w:val="both"/>
    </w:pPr>
    <w:rPr>
      <w:rFonts w:ascii="宋体" w:hAnsi="Times New Roman" w:eastAsia="宋体" w:cs="宋体"/>
      <w:color w:val="000000"/>
      <w:sz w:val="24"/>
      <w:szCs w:val="24"/>
      <w:lang w:val="en-US" w:eastAsia="zh-CN" w:bidi="ar-SA"/>
    </w:rPr>
  </w:style>
  <w:style w:type="paragraph" w:styleId="22">
    <w:name w:val="Date"/>
    <w:basedOn w:val="1"/>
    <w:next w:val="1"/>
    <w:link w:val="79"/>
    <w:qFormat/>
    <w:uiPriority w:val="99"/>
    <w:pPr>
      <w:ind w:left="100" w:leftChars="2500"/>
    </w:pPr>
    <w:rPr>
      <w:rFonts w:ascii="宋体" w:hAnsi="Courier New" w:cs="Courier New"/>
      <w:szCs w:val="21"/>
    </w:rPr>
  </w:style>
  <w:style w:type="paragraph" w:styleId="23">
    <w:name w:val="Body Text Indent"/>
    <w:basedOn w:val="1"/>
    <w:link w:val="77"/>
    <w:qFormat/>
    <w:uiPriority w:val="99"/>
    <w:pPr>
      <w:ind w:firstLine="830" w:firstLineChars="352"/>
    </w:pPr>
    <w:rPr>
      <w:rFonts w:ascii="仿宋_GB2312" w:eastAsia="仿宋_GB2312"/>
      <w:sz w:val="32"/>
      <w:szCs w:val="20"/>
    </w:rPr>
  </w:style>
  <w:style w:type="paragraph" w:styleId="24">
    <w:name w:val="List Number 3"/>
    <w:basedOn w:val="1"/>
    <w:qFormat/>
    <w:uiPriority w:val="99"/>
    <w:pPr>
      <w:tabs>
        <w:tab w:val="left" w:pos="360"/>
      </w:tabs>
      <w:ind w:left="360" w:hanging="360"/>
    </w:pPr>
  </w:style>
  <w:style w:type="paragraph" w:styleId="25">
    <w:name w:val="List 2"/>
    <w:basedOn w:val="1"/>
    <w:qFormat/>
    <w:uiPriority w:val="99"/>
    <w:pPr>
      <w:ind w:left="100" w:leftChars="200" w:hanging="200" w:hangingChars="200"/>
    </w:pPr>
    <w:rPr>
      <w:sz w:val="28"/>
    </w:rPr>
  </w:style>
  <w:style w:type="paragraph" w:styleId="26">
    <w:name w:val="toc 5"/>
    <w:basedOn w:val="1"/>
    <w:next w:val="1"/>
    <w:qFormat/>
    <w:uiPriority w:val="99"/>
    <w:pPr>
      <w:spacing w:line="360" w:lineRule="auto"/>
      <w:ind w:left="960"/>
      <w:jc w:val="left"/>
    </w:pPr>
    <w:rPr>
      <w:rFonts w:ascii="Calibri" w:hAnsi="Calibri"/>
      <w:sz w:val="20"/>
      <w:szCs w:val="20"/>
    </w:rPr>
  </w:style>
  <w:style w:type="paragraph" w:styleId="27">
    <w:name w:val="toc 3"/>
    <w:basedOn w:val="1"/>
    <w:next w:val="1"/>
    <w:qFormat/>
    <w:uiPriority w:val="99"/>
    <w:pPr>
      <w:ind w:left="840" w:leftChars="400"/>
    </w:pPr>
  </w:style>
  <w:style w:type="paragraph" w:styleId="28">
    <w:name w:val="Plain Text"/>
    <w:basedOn w:val="1"/>
    <w:link w:val="78"/>
    <w:qFormat/>
    <w:uiPriority w:val="0"/>
    <w:rPr>
      <w:rFonts w:ascii="宋体" w:hAnsi="Courier New" w:cs="Courier New"/>
      <w:szCs w:val="21"/>
    </w:rPr>
  </w:style>
  <w:style w:type="paragraph" w:styleId="29">
    <w:name w:val="toc 8"/>
    <w:basedOn w:val="1"/>
    <w:next w:val="1"/>
    <w:qFormat/>
    <w:uiPriority w:val="99"/>
    <w:pPr>
      <w:spacing w:line="360" w:lineRule="auto"/>
      <w:ind w:left="1680"/>
      <w:jc w:val="left"/>
    </w:pPr>
    <w:rPr>
      <w:rFonts w:ascii="Calibri" w:hAnsi="Calibri"/>
      <w:sz w:val="20"/>
      <w:szCs w:val="20"/>
    </w:rPr>
  </w:style>
  <w:style w:type="paragraph" w:styleId="30">
    <w:name w:val="Body Text Indent 2"/>
    <w:basedOn w:val="1"/>
    <w:link w:val="80"/>
    <w:qFormat/>
    <w:uiPriority w:val="99"/>
    <w:pPr>
      <w:ind w:firstLine="630"/>
    </w:pPr>
    <w:rPr>
      <w:sz w:val="32"/>
      <w:szCs w:val="20"/>
    </w:rPr>
  </w:style>
  <w:style w:type="paragraph" w:styleId="31">
    <w:name w:val="endnote text"/>
    <w:basedOn w:val="1"/>
    <w:link w:val="81"/>
    <w:qFormat/>
    <w:uiPriority w:val="99"/>
    <w:pPr>
      <w:snapToGrid w:val="0"/>
      <w:spacing w:line="480" w:lineRule="exact"/>
      <w:jc w:val="left"/>
    </w:pPr>
    <w:rPr>
      <w:rFonts w:ascii="微软雅黑" w:hAnsi="微软雅黑" w:eastAsia="微软雅黑"/>
      <w:kern w:val="0"/>
      <w:sz w:val="20"/>
      <w:szCs w:val="20"/>
    </w:rPr>
  </w:style>
  <w:style w:type="paragraph" w:styleId="32">
    <w:name w:val="Balloon Text"/>
    <w:basedOn w:val="1"/>
    <w:link w:val="82"/>
    <w:qFormat/>
    <w:uiPriority w:val="99"/>
    <w:rPr>
      <w:sz w:val="18"/>
      <w:szCs w:val="18"/>
    </w:rPr>
  </w:style>
  <w:style w:type="paragraph" w:styleId="33">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link w:val="85"/>
    <w:qFormat/>
    <w:uiPriority w:val="39"/>
  </w:style>
  <w:style w:type="paragraph" w:styleId="35">
    <w:name w:val="toc 4"/>
    <w:basedOn w:val="1"/>
    <w:next w:val="1"/>
    <w:qFormat/>
    <w:uiPriority w:val="99"/>
    <w:pPr>
      <w:spacing w:line="360" w:lineRule="auto"/>
      <w:ind w:left="720"/>
      <w:jc w:val="left"/>
    </w:pPr>
    <w:rPr>
      <w:rFonts w:ascii="Calibri" w:hAnsi="Calibri"/>
      <w:sz w:val="20"/>
      <w:szCs w:val="20"/>
    </w:rPr>
  </w:style>
  <w:style w:type="paragraph" w:styleId="36">
    <w:name w:val="Subtitle"/>
    <w:basedOn w:val="1"/>
    <w:next w:val="1"/>
    <w:link w:val="86"/>
    <w:qFormat/>
    <w:uiPriority w:val="99"/>
    <w:pPr>
      <w:widowControl/>
      <w:spacing w:after="200" w:line="276" w:lineRule="auto"/>
      <w:jc w:val="left"/>
    </w:pPr>
    <w:rPr>
      <w:rFonts w:ascii="Cambria" w:hAnsi="Cambria"/>
      <w:i/>
      <w:iCs/>
      <w:color w:val="4F81BD"/>
      <w:spacing w:val="15"/>
      <w:kern w:val="0"/>
      <w:sz w:val="20"/>
      <w:szCs w:val="20"/>
    </w:rPr>
  </w:style>
  <w:style w:type="paragraph" w:styleId="37">
    <w:name w:val="List"/>
    <w:basedOn w:val="1"/>
    <w:qFormat/>
    <w:uiPriority w:val="99"/>
    <w:pPr>
      <w:ind w:left="200" w:hanging="200" w:hangingChars="200"/>
    </w:pPr>
    <w:rPr>
      <w:sz w:val="28"/>
    </w:rPr>
  </w:style>
  <w:style w:type="paragraph" w:styleId="38">
    <w:name w:val="footnote text"/>
    <w:basedOn w:val="1"/>
    <w:link w:val="87"/>
    <w:qFormat/>
    <w:uiPriority w:val="99"/>
    <w:pPr>
      <w:snapToGrid w:val="0"/>
      <w:spacing w:afterLines="50" w:line="360" w:lineRule="auto"/>
      <w:jc w:val="left"/>
    </w:pPr>
    <w:rPr>
      <w:rFonts w:ascii="Arial" w:hAnsi="Arial" w:cs="Arial"/>
      <w:kern w:val="0"/>
      <w:sz w:val="18"/>
      <w:szCs w:val="18"/>
    </w:rPr>
  </w:style>
  <w:style w:type="paragraph" w:styleId="39">
    <w:name w:val="toc 6"/>
    <w:basedOn w:val="1"/>
    <w:next w:val="1"/>
    <w:qFormat/>
    <w:uiPriority w:val="99"/>
    <w:pPr>
      <w:spacing w:line="360" w:lineRule="auto"/>
      <w:ind w:left="1200"/>
      <w:jc w:val="left"/>
    </w:pPr>
    <w:rPr>
      <w:rFonts w:ascii="Calibri" w:hAnsi="Calibri"/>
      <w:sz w:val="20"/>
      <w:szCs w:val="20"/>
    </w:rPr>
  </w:style>
  <w:style w:type="paragraph" w:styleId="40">
    <w:name w:val="Body Text Indent 3"/>
    <w:basedOn w:val="1"/>
    <w:link w:val="88"/>
    <w:qFormat/>
    <w:uiPriority w:val="99"/>
    <w:pPr>
      <w:spacing w:after="120"/>
      <w:ind w:left="420" w:leftChars="200"/>
    </w:pPr>
    <w:rPr>
      <w:sz w:val="16"/>
      <w:szCs w:val="16"/>
    </w:rPr>
  </w:style>
  <w:style w:type="paragraph" w:styleId="41">
    <w:name w:val="toc 9"/>
    <w:basedOn w:val="1"/>
    <w:next w:val="1"/>
    <w:semiHidden/>
    <w:qFormat/>
    <w:uiPriority w:val="99"/>
    <w:pPr>
      <w:tabs>
        <w:tab w:val="right" w:leader="dot" w:pos="9185"/>
      </w:tabs>
      <w:spacing w:line="420" w:lineRule="exact"/>
      <w:ind w:firstLine="422"/>
      <w:jc w:val="left"/>
      <w:outlineLvl w:val="0"/>
    </w:pPr>
    <w:rPr>
      <w:b/>
    </w:rPr>
  </w:style>
  <w:style w:type="paragraph" w:styleId="42">
    <w:name w:val="Body Text 2"/>
    <w:basedOn w:val="1"/>
    <w:link w:val="89"/>
    <w:qFormat/>
    <w:uiPriority w:val="99"/>
    <w:pPr>
      <w:spacing w:after="120" w:line="480" w:lineRule="auto"/>
    </w:pPr>
  </w:style>
  <w:style w:type="paragraph" w:styleId="43">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0"/>
      <w:szCs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qFormat/>
    <w:uiPriority w:val="99"/>
  </w:style>
  <w:style w:type="paragraph" w:styleId="46">
    <w:name w:val="Title"/>
    <w:basedOn w:val="1"/>
    <w:next w:val="1"/>
    <w:link w:val="91"/>
    <w:qFormat/>
    <w:uiPriority w:val="99"/>
    <w:pPr>
      <w:spacing w:line="300" w:lineRule="auto"/>
      <w:ind w:left="100" w:leftChars="100" w:right="100" w:rightChars="100"/>
      <w:jc w:val="left"/>
      <w:outlineLvl w:val="0"/>
    </w:pPr>
    <w:rPr>
      <w:rFonts w:ascii="Cambria" w:hAnsi="Cambria" w:eastAsia="方正小标宋_GBK"/>
      <w:b/>
      <w:bCs/>
      <w:kern w:val="0"/>
      <w:sz w:val="44"/>
      <w:szCs w:val="32"/>
    </w:rPr>
  </w:style>
  <w:style w:type="paragraph" w:styleId="47">
    <w:name w:val="annotation subject"/>
    <w:basedOn w:val="18"/>
    <w:next w:val="18"/>
    <w:link w:val="92"/>
    <w:qFormat/>
    <w:uiPriority w:val="99"/>
    <w:rPr>
      <w:b/>
      <w:bCs/>
    </w:rPr>
  </w:style>
  <w:style w:type="paragraph" w:styleId="48">
    <w:name w:val="Body Text First Indent 2"/>
    <w:basedOn w:val="23"/>
    <w:link w:val="93"/>
    <w:qFormat/>
    <w:uiPriority w:val="99"/>
    <w:pPr>
      <w:spacing w:after="120"/>
      <w:ind w:left="420" w:leftChars="200" w:firstLine="420" w:firstLineChars="200"/>
    </w:pPr>
    <w:rPr>
      <w:rFonts w:ascii="Times New Roman" w:eastAsia="宋体"/>
      <w:sz w:val="21"/>
      <w:szCs w:val="24"/>
    </w:r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1">
    <w:name w:val="Table Theme"/>
    <w:basedOn w:val="49"/>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endnote reference"/>
    <w:qFormat/>
    <w:uiPriority w:val="0"/>
    <w:rPr>
      <w:vertAlign w:val="superscript"/>
    </w:rPr>
  </w:style>
  <w:style w:type="character" w:styleId="55">
    <w:name w:val="page number"/>
    <w:qFormat/>
    <w:uiPriority w:val="0"/>
  </w:style>
  <w:style w:type="character" w:styleId="56">
    <w:name w:val="FollowedHyperlink"/>
    <w:qFormat/>
    <w:uiPriority w:val="0"/>
    <w:rPr>
      <w:color w:val="800080"/>
      <w:u w:val="single"/>
    </w:rPr>
  </w:style>
  <w:style w:type="character" w:styleId="57">
    <w:name w:val="Emphasis"/>
    <w:qFormat/>
    <w:uiPriority w:val="0"/>
    <w:rPr>
      <w:color w:val="CC0033"/>
    </w:rPr>
  </w:style>
  <w:style w:type="character" w:styleId="58">
    <w:name w:val="Hyperlink"/>
    <w:qFormat/>
    <w:uiPriority w:val="0"/>
    <w:rPr>
      <w:color w:val="0000FF"/>
      <w:u w:val="single"/>
    </w:rPr>
  </w:style>
  <w:style w:type="character" w:styleId="59">
    <w:name w:val="annotation reference"/>
    <w:qFormat/>
    <w:uiPriority w:val="99"/>
    <w:rPr>
      <w:sz w:val="21"/>
      <w:szCs w:val="21"/>
    </w:rPr>
  </w:style>
  <w:style w:type="character" w:styleId="60">
    <w:name w:val="footnote reference"/>
    <w:qFormat/>
    <w:uiPriority w:val="0"/>
    <w:rPr>
      <w:vertAlign w:val="superscript"/>
    </w:rPr>
  </w:style>
  <w:style w:type="paragraph" w:customStyle="1" w:styleId="61">
    <w:name w:val="DAS正文"/>
    <w:basedOn w:val="1"/>
    <w:qFormat/>
    <w:uiPriority w:val="0"/>
    <w:pPr>
      <w:ind w:right="181" w:firstLine="480"/>
    </w:pPr>
    <w:rPr>
      <w:rFonts w:ascii="Verdana" w:hAnsi="Verdana"/>
    </w:rPr>
  </w:style>
  <w:style w:type="character" w:customStyle="1" w:styleId="62">
    <w:name w:val="正文文本 字符"/>
    <w:link w:val="20"/>
    <w:qFormat/>
    <w:uiPriority w:val="99"/>
    <w:rPr>
      <w:kern w:val="2"/>
      <w:sz w:val="24"/>
      <w:szCs w:val="24"/>
    </w:rPr>
  </w:style>
  <w:style w:type="character" w:customStyle="1" w:styleId="63">
    <w:name w:val="标题 1 字符"/>
    <w:link w:val="3"/>
    <w:qFormat/>
    <w:uiPriority w:val="0"/>
    <w:rPr>
      <w:rFonts w:eastAsia="仿宋_GB2312"/>
      <w:b/>
      <w:bCs/>
      <w:kern w:val="44"/>
      <w:sz w:val="44"/>
      <w:szCs w:val="44"/>
      <w:lang w:val="en-US" w:eastAsia="zh-CN" w:bidi="ar-SA"/>
    </w:rPr>
  </w:style>
  <w:style w:type="character" w:customStyle="1" w:styleId="64">
    <w:name w:val="标题 2 字符"/>
    <w:link w:val="4"/>
    <w:qFormat/>
    <w:uiPriority w:val="0"/>
    <w:rPr>
      <w:rFonts w:ascii="Arial" w:hAnsi="Arial" w:eastAsia="黑体"/>
      <w:b/>
      <w:bCs/>
      <w:kern w:val="2"/>
      <w:sz w:val="32"/>
      <w:szCs w:val="32"/>
      <w:lang w:val="en-US" w:eastAsia="zh-CN" w:bidi="ar-SA"/>
    </w:rPr>
  </w:style>
  <w:style w:type="character" w:customStyle="1" w:styleId="65">
    <w:name w:val="标题 3 字符"/>
    <w:link w:val="5"/>
    <w:qFormat/>
    <w:uiPriority w:val="0"/>
    <w:rPr>
      <w:rFonts w:ascii="宋体" w:hAnsi="Courier New" w:eastAsia="宋体"/>
      <w:b/>
      <w:bCs/>
      <w:kern w:val="2"/>
      <w:sz w:val="32"/>
      <w:szCs w:val="32"/>
      <w:lang w:val="en-US" w:eastAsia="zh-CN" w:bidi="ar-SA"/>
    </w:rPr>
  </w:style>
  <w:style w:type="character" w:customStyle="1" w:styleId="66">
    <w:name w:val="标题 4 字符"/>
    <w:link w:val="6"/>
    <w:qFormat/>
    <w:locked/>
    <w:uiPriority w:val="9"/>
    <w:rPr>
      <w:rFonts w:ascii="Arial" w:hAnsi="Arial" w:eastAsia="黑体"/>
      <w:b/>
      <w:bCs/>
      <w:kern w:val="2"/>
      <w:sz w:val="28"/>
      <w:szCs w:val="28"/>
      <w:lang w:val="en-US" w:eastAsia="zh-CN" w:bidi="ar-SA"/>
    </w:rPr>
  </w:style>
  <w:style w:type="character" w:customStyle="1" w:styleId="67">
    <w:name w:val="标题 5 字符"/>
    <w:link w:val="7"/>
    <w:qFormat/>
    <w:locked/>
    <w:uiPriority w:val="0"/>
    <w:rPr>
      <w:rFonts w:eastAsia="宋体"/>
      <w:b/>
      <w:kern w:val="2"/>
      <w:sz w:val="28"/>
      <w:szCs w:val="24"/>
      <w:lang w:bidi="ar-SA"/>
    </w:rPr>
  </w:style>
  <w:style w:type="character" w:customStyle="1" w:styleId="68">
    <w:name w:val="正文缩进 字符"/>
    <w:link w:val="8"/>
    <w:qFormat/>
    <w:locked/>
    <w:uiPriority w:val="99"/>
    <w:rPr>
      <w:rFonts w:eastAsia="宋体"/>
      <w:kern w:val="2"/>
      <w:sz w:val="21"/>
      <w:lang w:val="en-US" w:eastAsia="zh-CN" w:bidi="ar-SA"/>
    </w:rPr>
  </w:style>
  <w:style w:type="character" w:customStyle="1" w:styleId="69">
    <w:name w:val="标题 6 字符"/>
    <w:link w:val="9"/>
    <w:qFormat/>
    <w:locked/>
    <w:uiPriority w:val="0"/>
    <w:rPr>
      <w:rFonts w:ascii="Arial" w:hAnsi="Arial" w:eastAsia="黑体"/>
      <w:b/>
      <w:kern w:val="2"/>
      <w:sz w:val="24"/>
      <w:szCs w:val="24"/>
      <w:lang w:bidi="ar-SA"/>
    </w:rPr>
  </w:style>
  <w:style w:type="character" w:customStyle="1" w:styleId="70">
    <w:name w:val="标题 7 字符"/>
    <w:link w:val="10"/>
    <w:qFormat/>
    <w:locked/>
    <w:uiPriority w:val="99"/>
    <w:rPr>
      <w:rFonts w:eastAsia="宋体"/>
      <w:b/>
      <w:kern w:val="2"/>
      <w:sz w:val="24"/>
      <w:szCs w:val="24"/>
      <w:lang w:bidi="ar-SA"/>
    </w:rPr>
  </w:style>
  <w:style w:type="character" w:customStyle="1" w:styleId="71">
    <w:name w:val="标题 8 字符"/>
    <w:link w:val="11"/>
    <w:qFormat/>
    <w:locked/>
    <w:uiPriority w:val="99"/>
    <w:rPr>
      <w:rFonts w:ascii="Arial" w:hAnsi="Arial" w:eastAsia="黑体"/>
      <w:kern w:val="2"/>
      <w:sz w:val="24"/>
      <w:szCs w:val="24"/>
      <w:lang w:bidi="ar-SA"/>
    </w:rPr>
  </w:style>
  <w:style w:type="character" w:customStyle="1" w:styleId="72">
    <w:name w:val="标题 9 字符"/>
    <w:link w:val="12"/>
    <w:qFormat/>
    <w:locked/>
    <w:uiPriority w:val="99"/>
    <w:rPr>
      <w:rFonts w:ascii="Arial" w:hAnsi="Arial" w:eastAsia="黑体"/>
      <w:kern w:val="2"/>
      <w:sz w:val="21"/>
      <w:szCs w:val="24"/>
      <w:lang w:bidi="ar-SA"/>
    </w:rPr>
  </w:style>
  <w:style w:type="character" w:customStyle="1" w:styleId="73">
    <w:name w:val="引文目录 字符"/>
    <w:link w:val="14"/>
    <w:qFormat/>
    <w:uiPriority w:val="0"/>
    <w:rPr>
      <w:rFonts w:eastAsia="宋体"/>
      <w:kern w:val="2"/>
      <w:sz w:val="21"/>
      <w:szCs w:val="24"/>
      <w:lang w:val="en-US" w:eastAsia="zh-CN" w:bidi="ar-SA"/>
    </w:rPr>
  </w:style>
  <w:style w:type="character" w:customStyle="1" w:styleId="74">
    <w:name w:val="文档结构图 字符"/>
    <w:link w:val="17"/>
    <w:qFormat/>
    <w:locked/>
    <w:uiPriority w:val="99"/>
    <w:rPr>
      <w:rFonts w:eastAsia="宋体"/>
      <w:kern w:val="2"/>
      <w:sz w:val="21"/>
      <w:szCs w:val="24"/>
      <w:lang w:val="en-US" w:eastAsia="zh-CN" w:bidi="ar-SA"/>
    </w:rPr>
  </w:style>
  <w:style w:type="character" w:customStyle="1" w:styleId="75">
    <w:name w:val="批注文字 字符"/>
    <w:link w:val="18"/>
    <w:qFormat/>
    <w:locked/>
    <w:uiPriority w:val="99"/>
    <w:rPr>
      <w:rFonts w:eastAsia="宋体"/>
      <w:kern w:val="2"/>
      <w:sz w:val="21"/>
      <w:szCs w:val="24"/>
      <w:lang w:val="en-US" w:eastAsia="zh-CN" w:bidi="ar-SA"/>
    </w:rPr>
  </w:style>
  <w:style w:type="character" w:customStyle="1" w:styleId="76">
    <w:name w:val="正文文本 3 字符"/>
    <w:link w:val="19"/>
    <w:qFormat/>
    <w:uiPriority w:val="0"/>
    <w:rPr>
      <w:b/>
      <w:bCs/>
      <w:kern w:val="2"/>
      <w:sz w:val="24"/>
      <w:szCs w:val="24"/>
    </w:rPr>
  </w:style>
  <w:style w:type="character" w:customStyle="1" w:styleId="77">
    <w:name w:val="正文文本缩进 字符"/>
    <w:link w:val="23"/>
    <w:qFormat/>
    <w:uiPriority w:val="99"/>
    <w:rPr>
      <w:rFonts w:ascii="仿宋_GB2312" w:eastAsia="仿宋_GB2312"/>
      <w:kern w:val="2"/>
      <w:sz w:val="32"/>
      <w:lang w:val="en-US" w:eastAsia="zh-CN" w:bidi="ar-SA"/>
    </w:rPr>
  </w:style>
  <w:style w:type="character" w:customStyle="1" w:styleId="78">
    <w:name w:val="纯文本 字符1"/>
    <w:link w:val="28"/>
    <w:qFormat/>
    <w:uiPriority w:val="99"/>
    <w:rPr>
      <w:rFonts w:ascii="宋体" w:hAnsi="Courier New" w:eastAsia="宋体" w:cs="Courier New"/>
      <w:kern w:val="2"/>
      <w:sz w:val="21"/>
      <w:szCs w:val="21"/>
      <w:lang w:val="en-US" w:eastAsia="zh-CN" w:bidi="ar-SA"/>
    </w:rPr>
  </w:style>
  <w:style w:type="character" w:customStyle="1" w:styleId="79">
    <w:name w:val="日期 字符"/>
    <w:link w:val="22"/>
    <w:qFormat/>
    <w:locked/>
    <w:uiPriority w:val="99"/>
    <w:rPr>
      <w:rFonts w:ascii="宋体" w:hAnsi="Courier New" w:eastAsia="宋体" w:cs="Courier New"/>
      <w:kern w:val="2"/>
      <w:sz w:val="21"/>
      <w:szCs w:val="21"/>
      <w:lang w:val="en-US" w:eastAsia="zh-CN" w:bidi="ar-SA"/>
    </w:rPr>
  </w:style>
  <w:style w:type="character" w:customStyle="1" w:styleId="80">
    <w:name w:val="正文文本缩进 2 字符"/>
    <w:link w:val="30"/>
    <w:qFormat/>
    <w:uiPriority w:val="99"/>
    <w:rPr>
      <w:kern w:val="2"/>
      <w:sz w:val="32"/>
    </w:rPr>
  </w:style>
  <w:style w:type="character" w:customStyle="1" w:styleId="81">
    <w:name w:val="尾注文本 字符"/>
    <w:link w:val="31"/>
    <w:semiHidden/>
    <w:qFormat/>
    <w:locked/>
    <w:uiPriority w:val="99"/>
    <w:rPr>
      <w:rFonts w:ascii="微软雅黑" w:hAnsi="微软雅黑" w:eastAsia="微软雅黑"/>
      <w:lang w:bidi="ar-SA"/>
    </w:rPr>
  </w:style>
  <w:style w:type="character" w:customStyle="1" w:styleId="82">
    <w:name w:val="批注框文本 字符"/>
    <w:link w:val="32"/>
    <w:qFormat/>
    <w:locked/>
    <w:uiPriority w:val="99"/>
    <w:rPr>
      <w:rFonts w:eastAsia="宋体"/>
      <w:kern w:val="2"/>
      <w:sz w:val="18"/>
      <w:szCs w:val="18"/>
      <w:lang w:val="en-US" w:eastAsia="zh-CN" w:bidi="ar-SA"/>
    </w:rPr>
  </w:style>
  <w:style w:type="character" w:customStyle="1" w:styleId="83">
    <w:name w:val="页脚 字符"/>
    <w:link w:val="2"/>
    <w:qFormat/>
    <w:uiPriority w:val="99"/>
    <w:rPr>
      <w:rFonts w:eastAsia="宋体"/>
      <w:kern w:val="2"/>
      <w:sz w:val="18"/>
      <w:szCs w:val="18"/>
      <w:lang w:val="en-US" w:eastAsia="zh-CN" w:bidi="ar-SA"/>
    </w:rPr>
  </w:style>
  <w:style w:type="character" w:customStyle="1" w:styleId="84">
    <w:name w:val="页眉 字符"/>
    <w:link w:val="33"/>
    <w:qFormat/>
    <w:uiPriority w:val="99"/>
    <w:rPr>
      <w:rFonts w:eastAsia="宋体"/>
      <w:kern w:val="2"/>
      <w:sz w:val="18"/>
      <w:szCs w:val="18"/>
      <w:lang w:val="en-US" w:eastAsia="zh-CN" w:bidi="ar-SA"/>
    </w:rPr>
  </w:style>
  <w:style w:type="character" w:customStyle="1" w:styleId="85">
    <w:name w:val="TOC 1 字符"/>
    <w:link w:val="34"/>
    <w:qFormat/>
    <w:uiPriority w:val="39"/>
    <w:rPr>
      <w:kern w:val="2"/>
      <w:sz w:val="21"/>
      <w:szCs w:val="24"/>
    </w:rPr>
  </w:style>
  <w:style w:type="character" w:customStyle="1" w:styleId="86">
    <w:name w:val="副标题 字符"/>
    <w:link w:val="36"/>
    <w:qFormat/>
    <w:locked/>
    <w:uiPriority w:val="99"/>
    <w:rPr>
      <w:rFonts w:ascii="Cambria" w:hAnsi="Cambria" w:eastAsia="宋体"/>
      <w:i/>
      <w:iCs/>
      <w:color w:val="4F81BD"/>
      <w:spacing w:val="15"/>
      <w:lang w:bidi="ar-SA"/>
    </w:rPr>
  </w:style>
  <w:style w:type="character" w:customStyle="1" w:styleId="87">
    <w:name w:val="脚注文本 字符"/>
    <w:link w:val="38"/>
    <w:qFormat/>
    <w:locked/>
    <w:uiPriority w:val="99"/>
    <w:rPr>
      <w:rFonts w:ascii="Arial" w:hAnsi="Arial" w:eastAsia="宋体" w:cs="Arial"/>
      <w:sz w:val="18"/>
      <w:szCs w:val="18"/>
      <w:lang w:bidi="ar-SA"/>
    </w:rPr>
  </w:style>
  <w:style w:type="character" w:customStyle="1" w:styleId="88">
    <w:name w:val="正文文本缩进 3 字符"/>
    <w:link w:val="40"/>
    <w:qFormat/>
    <w:uiPriority w:val="99"/>
    <w:rPr>
      <w:rFonts w:eastAsia="宋体"/>
      <w:kern w:val="2"/>
      <w:sz w:val="16"/>
      <w:szCs w:val="16"/>
      <w:lang w:val="en-US" w:eastAsia="zh-CN" w:bidi="ar-SA"/>
    </w:rPr>
  </w:style>
  <w:style w:type="character" w:customStyle="1" w:styleId="89">
    <w:name w:val="正文文本 2 字符"/>
    <w:link w:val="42"/>
    <w:qFormat/>
    <w:uiPriority w:val="99"/>
    <w:rPr>
      <w:kern w:val="2"/>
      <w:sz w:val="21"/>
      <w:szCs w:val="24"/>
    </w:rPr>
  </w:style>
  <w:style w:type="character" w:customStyle="1" w:styleId="90">
    <w:name w:val="HTML 预设格式 字符"/>
    <w:link w:val="43"/>
    <w:qFormat/>
    <w:locked/>
    <w:uiPriority w:val="0"/>
    <w:rPr>
      <w:rFonts w:ascii="Arial" w:hAnsi="Arial" w:cs="Arial"/>
      <w:lang w:bidi="ar-SA"/>
    </w:rPr>
  </w:style>
  <w:style w:type="character" w:customStyle="1" w:styleId="91">
    <w:name w:val="标题 字符"/>
    <w:link w:val="46"/>
    <w:qFormat/>
    <w:locked/>
    <w:uiPriority w:val="99"/>
    <w:rPr>
      <w:rFonts w:ascii="Cambria" w:hAnsi="Cambria" w:eastAsia="方正小标宋_GBK"/>
      <w:b/>
      <w:bCs/>
      <w:sz w:val="44"/>
      <w:szCs w:val="32"/>
    </w:rPr>
  </w:style>
  <w:style w:type="character" w:customStyle="1" w:styleId="92">
    <w:name w:val="批注主题 字符"/>
    <w:link w:val="47"/>
    <w:qFormat/>
    <w:locked/>
    <w:uiPriority w:val="99"/>
    <w:rPr>
      <w:rFonts w:eastAsia="宋体"/>
      <w:b/>
      <w:bCs/>
      <w:kern w:val="2"/>
      <w:sz w:val="21"/>
      <w:szCs w:val="24"/>
      <w:lang w:val="en-US" w:eastAsia="zh-CN" w:bidi="ar-SA"/>
    </w:rPr>
  </w:style>
  <w:style w:type="character" w:customStyle="1" w:styleId="93">
    <w:name w:val="正文文本首行缩进 2 字符"/>
    <w:link w:val="48"/>
    <w:qFormat/>
    <w:uiPriority w:val="99"/>
    <w:rPr>
      <w:rFonts w:ascii="仿宋_GB2312" w:eastAsia="仿宋_GB2312"/>
      <w:kern w:val="2"/>
      <w:sz w:val="21"/>
      <w:szCs w:val="24"/>
      <w:lang w:val="en-US" w:eastAsia="zh-CN" w:bidi="ar-SA"/>
    </w:rPr>
  </w:style>
  <w:style w:type="character" w:customStyle="1" w:styleId="94">
    <w:name w:val="OK Char1"/>
    <w:link w:val="95"/>
    <w:qFormat/>
    <w:locked/>
    <w:uiPriority w:val="0"/>
    <w:rPr>
      <w:rFonts w:ascii="宋体" w:hAnsi="宋体" w:eastAsia="宋体"/>
      <w:bCs/>
      <w:lang w:bidi="ar-SA"/>
    </w:rPr>
  </w:style>
  <w:style w:type="paragraph" w:customStyle="1" w:styleId="95">
    <w:name w:val="OK"/>
    <w:basedOn w:val="1"/>
    <w:link w:val="94"/>
    <w:qFormat/>
    <w:uiPriority w:val="0"/>
    <w:pPr>
      <w:jc w:val="left"/>
    </w:pPr>
    <w:rPr>
      <w:rFonts w:ascii="宋体" w:hAnsi="宋体"/>
      <w:bCs/>
      <w:kern w:val="0"/>
      <w:sz w:val="20"/>
      <w:szCs w:val="20"/>
    </w:rPr>
  </w:style>
  <w:style w:type="character" w:customStyle="1" w:styleId="96">
    <w:name w:val="Char Char21"/>
    <w:qFormat/>
    <w:locked/>
    <w:uiPriority w:val="0"/>
    <w:rPr>
      <w:rFonts w:ascii="Arial" w:hAnsi="Arial" w:eastAsia="微软雅黑"/>
      <w:b/>
      <w:sz w:val="28"/>
      <w:szCs w:val="28"/>
      <w:lang w:bidi="ar-SA"/>
    </w:rPr>
  </w:style>
  <w:style w:type="character" w:customStyle="1" w:styleId="97">
    <w:name w:val="1ji Char"/>
    <w:link w:val="98"/>
    <w:qFormat/>
    <w:uiPriority w:val="0"/>
    <w:rPr>
      <w:rFonts w:ascii="宋体" w:hAnsi="宋体" w:eastAsia="仿宋_GB2312"/>
      <w:b/>
      <w:bCs/>
      <w:kern w:val="44"/>
      <w:sz w:val="36"/>
      <w:szCs w:val="44"/>
      <w:lang w:val="en-US" w:eastAsia="zh-CN" w:bidi="ar-SA"/>
    </w:rPr>
  </w:style>
  <w:style w:type="paragraph" w:customStyle="1" w:styleId="98">
    <w:name w:val="1ji"/>
    <w:basedOn w:val="3"/>
    <w:link w:val="97"/>
    <w:qFormat/>
    <w:uiPriority w:val="0"/>
    <w:pPr>
      <w:keepLines w:val="0"/>
      <w:widowControl/>
      <w:spacing w:before="0" w:after="0" w:line="240" w:lineRule="auto"/>
    </w:pPr>
    <w:rPr>
      <w:rFonts w:ascii="宋体" w:hAnsi="宋体"/>
      <w:sz w:val="36"/>
    </w:rPr>
  </w:style>
  <w:style w:type="character" w:customStyle="1" w:styleId="99">
    <w:name w:val="Heading 3 Char"/>
    <w:qFormat/>
    <w:locked/>
    <w:uiPriority w:val="0"/>
    <w:rPr>
      <w:rFonts w:ascii="Cambria" w:hAnsi="Cambria" w:eastAsia="宋体"/>
      <w:b/>
      <w:bCs/>
      <w:kern w:val="2"/>
      <w:sz w:val="24"/>
      <w:szCs w:val="32"/>
      <w:lang w:val="en-US" w:eastAsia="zh-CN" w:bidi="ar-SA"/>
    </w:rPr>
  </w:style>
  <w:style w:type="character" w:customStyle="1" w:styleId="100">
    <w:name w:val="明显强调1"/>
    <w:qFormat/>
    <w:uiPriority w:val="0"/>
    <w:rPr>
      <w:b/>
      <w:bCs/>
      <w:i/>
      <w:iCs/>
      <w:color w:val="4F81BD"/>
    </w:rPr>
  </w:style>
  <w:style w:type="character" w:customStyle="1" w:styleId="101">
    <w:name w:val="ca-72"/>
    <w:qFormat/>
    <w:uiPriority w:val="0"/>
  </w:style>
  <w:style w:type="character" w:customStyle="1" w:styleId="102">
    <w:name w:val="明显引用字符"/>
    <w:link w:val="103"/>
    <w:qFormat/>
    <w:locked/>
    <w:uiPriority w:val="0"/>
    <w:rPr>
      <w:rFonts w:ascii="Arial" w:hAnsi="Arial" w:cs="Arial"/>
      <w:b/>
      <w:bCs/>
      <w:i/>
      <w:iCs/>
      <w:color w:val="4F81BD"/>
      <w:lang w:bidi="ar-SA"/>
    </w:rPr>
  </w:style>
  <w:style w:type="paragraph" w:customStyle="1" w:styleId="103">
    <w:name w:val="明显引用1"/>
    <w:basedOn w:val="1"/>
    <w:next w:val="1"/>
    <w:link w:val="102"/>
    <w:qFormat/>
    <w:uiPriority w:val="0"/>
    <w:pPr>
      <w:pBdr>
        <w:bottom w:val="single" w:color="4F81BD" w:sz="4" w:space="4"/>
      </w:pBdr>
      <w:spacing w:before="200" w:line="360" w:lineRule="auto"/>
      <w:ind w:left="936" w:right="936"/>
      <w:jc w:val="left"/>
    </w:pPr>
    <w:rPr>
      <w:rFonts w:ascii="Arial" w:hAnsi="Arial" w:cs="Arial"/>
      <w:b/>
      <w:bCs/>
      <w:i/>
      <w:iCs/>
      <w:color w:val="4F81BD"/>
      <w:kern w:val="0"/>
      <w:sz w:val="20"/>
      <w:szCs w:val="20"/>
    </w:rPr>
  </w:style>
  <w:style w:type="character" w:customStyle="1" w:styleId="104">
    <w:name w:val="font201"/>
    <w:qFormat/>
    <w:uiPriority w:val="0"/>
    <w:rPr>
      <w:rFonts w:hint="default" w:ascii="Times New Roman" w:hAnsi="Times New Roman" w:cs="Times New Roman"/>
      <w:color w:val="000000"/>
      <w:sz w:val="21"/>
      <w:szCs w:val="21"/>
      <w:u w:val="none"/>
    </w:rPr>
  </w:style>
  <w:style w:type="character" w:customStyle="1" w:styleId="105">
    <w:name w:val="style31"/>
    <w:qFormat/>
    <w:uiPriority w:val="0"/>
    <w:rPr>
      <w:b/>
      <w:bCs/>
      <w:color w:val="FFFFFF"/>
    </w:rPr>
  </w:style>
  <w:style w:type="character" w:customStyle="1" w:styleId="106">
    <w:name w:val="GTA正文-2 Char Char"/>
    <w:qFormat/>
    <w:locked/>
    <w:uiPriority w:val="0"/>
    <w:rPr>
      <w:rFonts w:hint="default" w:ascii="Arial" w:hAnsi="Arial" w:eastAsia="微软雅黑" w:cs="Arial"/>
      <w:sz w:val="24"/>
    </w:rPr>
  </w:style>
  <w:style w:type="character" w:customStyle="1" w:styleId="107">
    <w:name w:val="GTA标题5 Char"/>
    <w:link w:val="108"/>
    <w:qFormat/>
    <w:locked/>
    <w:uiPriority w:val="0"/>
    <w:rPr>
      <w:rFonts w:ascii="Arial" w:hAnsi="Arial" w:eastAsia="楷体_GB2312"/>
      <w:b/>
      <w:bCs/>
      <w:sz w:val="21"/>
      <w:szCs w:val="21"/>
      <w:lang w:bidi="ar-SA"/>
    </w:rPr>
  </w:style>
  <w:style w:type="paragraph" w:customStyle="1" w:styleId="108">
    <w:name w:val="GTA标题5"/>
    <w:basedOn w:val="7"/>
    <w:link w:val="107"/>
    <w:qFormat/>
    <w:uiPriority w:val="0"/>
    <w:pPr>
      <w:tabs>
        <w:tab w:val="left" w:pos="360"/>
      </w:tabs>
      <w:spacing w:beforeLines="75" w:afterLines="50" w:line="360" w:lineRule="auto"/>
      <w:ind w:left="360" w:hanging="360"/>
    </w:pPr>
    <w:rPr>
      <w:rFonts w:ascii="Arial" w:hAnsi="Arial" w:eastAsia="楷体_GB2312"/>
      <w:bCs/>
      <w:kern w:val="0"/>
      <w:sz w:val="21"/>
      <w:szCs w:val="21"/>
    </w:rPr>
  </w:style>
  <w:style w:type="character" w:customStyle="1" w:styleId="109">
    <w:name w:val="Heading 1 Char"/>
    <w:qFormat/>
    <w:locked/>
    <w:uiPriority w:val="0"/>
    <w:rPr>
      <w:rFonts w:ascii="Arial" w:hAnsi="Arial" w:eastAsia="宋体"/>
      <w:b/>
      <w:bCs/>
      <w:kern w:val="44"/>
      <w:sz w:val="28"/>
      <w:szCs w:val="44"/>
      <w:lang w:val="zh-CN" w:eastAsia="zh-CN" w:bidi="ar-SA"/>
    </w:rPr>
  </w:style>
  <w:style w:type="character" w:customStyle="1" w:styleId="110">
    <w:name w:val="Char Char8"/>
    <w:qFormat/>
    <w:locked/>
    <w:uiPriority w:val="0"/>
    <w:rPr>
      <w:rFonts w:ascii="宋体" w:hAnsi="宋体" w:eastAsia="宋体"/>
      <w:kern w:val="2"/>
      <w:sz w:val="21"/>
      <w:szCs w:val="24"/>
      <w:lang w:val="en-US" w:eastAsia="zh-CN" w:bidi="ar-SA"/>
    </w:rPr>
  </w:style>
  <w:style w:type="character" w:customStyle="1" w:styleId="111">
    <w:name w:val="font31"/>
    <w:qFormat/>
    <w:uiPriority w:val="0"/>
    <w:rPr>
      <w:rFonts w:ascii="宋体" w:hAnsi="宋体" w:eastAsia="宋体" w:cs="宋体"/>
      <w:color w:val="000000"/>
      <w:sz w:val="20"/>
      <w:szCs w:val="20"/>
      <w:u w:val="none"/>
    </w:rPr>
  </w:style>
  <w:style w:type="character" w:customStyle="1" w:styleId="112">
    <w:name w:val="con"/>
    <w:qFormat/>
    <w:uiPriority w:val="0"/>
  </w:style>
  <w:style w:type="character" w:customStyle="1" w:styleId="113">
    <w:name w:val="apple-style-span"/>
    <w:qFormat/>
    <w:uiPriority w:val="0"/>
  </w:style>
  <w:style w:type="character" w:customStyle="1" w:styleId="114">
    <w:name w:val="15"/>
    <w:qFormat/>
    <w:uiPriority w:val="0"/>
    <w:rPr>
      <w:rFonts w:hint="default" w:ascii="Calibri" w:hAnsi="Calibri" w:cs="Calibri"/>
      <w:color w:val="000000"/>
      <w:sz w:val="21"/>
      <w:szCs w:val="21"/>
    </w:rPr>
  </w:style>
  <w:style w:type="character" w:customStyle="1" w:styleId="115">
    <w:name w:val="font11"/>
    <w:basedOn w:val="52"/>
    <w:qFormat/>
    <w:uiPriority w:val="0"/>
    <w:rPr>
      <w:rFonts w:ascii="宋体" w:hAnsi="宋体" w:eastAsia="宋体" w:cs="宋体"/>
      <w:color w:val="000000"/>
      <w:sz w:val="20"/>
      <w:szCs w:val="20"/>
      <w:u w:val="none"/>
    </w:rPr>
  </w:style>
  <w:style w:type="character" w:customStyle="1" w:styleId="116">
    <w:name w:val="NormalCharacter"/>
    <w:qFormat/>
    <w:uiPriority w:val="0"/>
  </w:style>
  <w:style w:type="character" w:customStyle="1" w:styleId="117">
    <w:name w:val="无间隔字符"/>
    <w:link w:val="118"/>
    <w:qFormat/>
    <w:locked/>
    <w:uiPriority w:val="99"/>
    <w:rPr>
      <w:rFonts w:ascii="Cambria" w:hAnsi="Cambria"/>
      <w:kern w:val="2"/>
      <w:sz w:val="21"/>
      <w:szCs w:val="22"/>
      <w:lang w:val="en-US" w:eastAsia="zh-CN" w:bidi="ar-SA"/>
    </w:rPr>
  </w:style>
  <w:style w:type="paragraph" w:customStyle="1" w:styleId="118">
    <w:name w:val="无间隔1"/>
    <w:link w:val="117"/>
    <w:qFormat/>
    <w:uiPriority w:val="99"/>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19">
    <w:name w:val="图注1 Char"/>
    <w:link w:val="120"/>
    <w:qFormat/>
    <w:locked/>
    <w:uiPriority w:val="0"/>
    <w:rPr>
      <w:rFonts w:ascii="Cambria" w:hAnsi="Cambria" w:eastAsia="宋体"/>
      <w:sz w:val="21"/>
      <w:szCs w:val="22"/>
      <w:lang w:bidi="ar-SA"/>
    </w:rPr>
  </w:style>
  <w:style w:type="paragraph" w:customStyle="1" w:styleId="120">
    <w:name w:val="图注1"/>
    <w:basedOn w:val="1"/>
    <w:link w:val="119"/>
    <w:qFormat/>
    <w:uiPriority w:val="0"/>
    <w:pPr>
      <w:tabs>
        <w:tab w:val="left" w:pos="1140"/>
      </w:tabs>
      <w:spacing w:afterLines="20" w:line="300" w:lineRule="auto"/>
      <w:ind w:left="1140" w:hanging="360"/>
      <w:jc w:val="center"/>
    </w:pPr>
    <w:rPr>
      <w:rFonts w:ascii="Cambria" w:hAnsi="Cambria"/>
      <w:kern w:val="0"/>
      <w:szCs w:val="22"/>
    </w:rPr>
  </w:style>
  <w:style w:type="character" w:customStyle="1" w:styleId="121">
    <w:name w:val="GTA标题1 Char"/>
    <w:link w:val="122"/>
    <w:qFormat/>
    <w:locked/>
    <w:uiPriority w:val="0"/>
    <w:rPr>
      <w:rFonts w:ascii="Arial" w:hAnsi="Arial" w:eastAsia="黑体"/>
      <w:bCs/>
      <w:kern w:val="44"/>
      <w:sz w:val="44"/>
      <w:szCs w:val="44"/>
      <w:lang w:bidi="ar-SA"/>
    </w:rPr>
  </w:style>
  <w:style w:type="paragraph" w:customStyle="1" w:styleId="122">
    <w:name w:val="GTA标题1"/>
    <w:basedOn w:val="3"/>
    <w:link w:val="121"/>
    <w:qFormat/>
    <w:uiPriority w:val="0"/>
    <w:pPr>
      <w:tabs>
        <w:tab w:val="left" w:pos="360"/>
      </w:tabs>
      <w:spacing w:beforeLines="200" w:afterLines="150" w:line="480" w:lineRule="auto"/>
      <w:ind w:left="360" w:hanging="360"/>
      <w:jc w:val="both"/>
    </w:pPr>
    <w:rPr>
      <w:rFonts w:ascii="Arial" w:hAnsi="Arial" w:eastAsia="黑体"/>
      <w:b w:val="0"/>
    </w:rPr>
  </w:style>
  <w:style w:type="character" w:customStyle="1" w:styleId="123">
    <w:name w:val="headline-content"/>
    <w:qFormat/>
    <w:uiPriority w:val="0"/>
  </w:style>
  <w:style w:type="character" w:customStyle="1" w:styleId="124">
    <w:name w:val="font21"/>
    <w:basedOn w:val="52"/>
    <w:qFormat/>
    <w:uiPriority w:val="0"/>
    <w:rPr>
      <w:rFonts w:ascii="宋体" w:hAnsi="宋体" w:eastAsia="宋体" w:cs="宋体"/>
      <w:color w:val="000000"/>
      <w:sz w:val="20"/>
      <w:szCs w:val="20"/>
      <w:u w:val="none"/>
    </w:rPr>
  </w:style>
  <w:style w:type="character" w:customStyle="1" w:styleId="125">
    <w:name w:val="特点1"/>
    <w:qFormat/>
    <w:uiPriority w:val="0"/>
  </w:style>
  <w:style w:type="character" w:customStyle="1" w:styleId="126">
    <w:name w:val="目录标题 字符"/>
    <w:link w:val="127"/>
    <w:qFormat/>
    <w:uiPriority w:val="0"/>
    <w:rPr>
      <w:rFonts w:eastAsia="方正小标宋_GBK"/>
      <w:b/>
      <w:kern w:val="2"/>
      <w:sz w:val="24"/>
      <w:szCs w:val="24"/>
    </w:rPr>
  </w:style>
  <w:style w:type="paragraph" w:customStyle="1" w:styleId="127">
    <w:name w:val="目录标题"/>
    <w:link w:val="126"/>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128">
    <w:name w:val="GTA正文-1 Char Char"/>
    <w:qFormat/>
    <w:locked/>
    <w:uiPriority w:val="0"/>
    <w:rPr>
      <w:rFonts w:hint="default" w:ascii="Arial" w:hAnsi="Arial" w:eastAsia="微软雅黑" w:cs="Arial"/>
      <w:sz w:val="24"/>
    </w:rPr>
  </w:style>
  <w:style w:type="character" w:customStyle="1" w:styleId="129">
    <w:name w:val="List Paragraph Char"/>
    <w:link w:val="130"/>
    <w:qFormat/>
    <w:locked/>
    <w:uiPriority w:val="0"/>
    <w:rPr>
      <w:rFonts w:ascii="Calibri" w:hAnsi="Calibri" w:eastAsia="宋体"/>
      <w:kern w:val="2"/>
      <w:sz w:val="21"/>
      <w:szCs w:val="22"/>
      <w:lang w:val="en-US" w:eastAsia="zh-CN" w:bidi="ar-SA"/>
    </w:rPr>
  </w:style>
  <w:style w:type="paragraph" w:customStyle="1" w:styleId="130">
    <w:name w:val="列出段落1"/>
    <w:basedOn w:val="1"/>
    <w:link w:val="129"/>
    <w:qFormat/>
    <w:uiPriority w:val="0"/>
    <w:pPr>
      <w:ind w:firstLine="420"/>
    </w:pPr>
    <w:rPr>
      <w:rFonts w:ascii="Calibri" w:hAnsi="Calibri"/>
      <w:szCs w:val="22"/>
    </w:rPr>
  </w:style>
  <w:style w:type="character" w:customStyle="1" w:styleId="131">
    <w:name w:val="03 Char"/>
    <w:link w:val="132"/>
    <w:qFormat/>
    <w:locked/>
    <w:uiPriority w:val="0"/>
    <w:rPr>
      <w:rFonts w:ascii="仿宋_GB2312" w:eastAsia="仿宋_GB2312"/>
      <w:b/>
      <w:sz w:val="28"/>
      <w:lang w:bidi="ar-SA"/>
    </w:rPr>
  </w:style>
  <w:style w:type="paragraph" w:customStyle="1" w:styleId="132">
    <w:name w:val="03"/>
    <w:basedOn w:val="1"/>
    <w:link w:val="131"/>
    <w:qFormat/>
    <w:uiPriority w:val="0"/>
    <w:pPr>
      <w:adjustRightInd w:val="0"/>
      <w:snapToGrid w:val="0"/>
      <w:spacing w:line="440" w:lineRule="exact"/>
      <w:ind w:firstLine="424" w:firstLineChars="151"/>
    </w:pPr>
    <w:rPr>
      <w:rFonts w:ascii="仿宋_GB2312" w:eastAsia="仿宋_GB2312"/>
      <w:b/>
      <w:kern w:val="0"/>
      <w:sz w:val="28"/>
      <w:szCs w:val="20"/>
    </w:rPr>
  </w:style>
  <w:style w:type="character" w:customStyle="1" w:styleId="133">
    <w:name w:val="列表段落 字符"/>
    <w:link w:val="134"/>
    <w:qFormat/>
    <w:uiPriority w:val="0"/>
    <w:rPr>
      <w:rFonts w:eastAsia="宋体"/>
      <w:kern w:val="2"/>
      <w:sz w:val="21"/>
      <w:szCs w:val="24"/>
      <w:lang w:val="en-US" w:eastAsia="zh-CN" w:bidi="ar-SA"/>
    </w:rPr>
  </w:style>
  <w:style w:type="paragraph" w:styleId="134">
    <w:name w:val="List Paragraph"/>
    <w:basedOn w:val="1"/>
    <w:link w:val="133"/>
    <w:qFormat/>
    <w:uiPriority w:val="0"/>
    <w:pPr>
      <w:ind w:firstLine="420"/>
    </w:pPr>
  </w:style>
  <w:style w:type="character" w:customStyle="1" w:styleId="135">
    <w:name w:val="页脚 字符1"/>
    <w:semiHidden/>
    <w:qFormat/>
    <w:uiPriority w:val="99"/>
    <w:rPr>
      <w:rFonts w:ascii="Calibri" w:hAnsi="Calibri" w:eastAsia="宋体" w:cs="Times New Roman"/>
      <w:sz w:val="18"/>
      <w:szCs w:val="18"/>
    </w:rPr>
  </w:style>
  <w:style w:type="character" w:customStyle="1" w:styleId="136">
    <w:name w:val="普通文字 Char Char1"/>
    <w:qFormat/>
    <w:locked/>
    <w:uiPriority w:val="0"/>
    <w:rPr>
      <w:rFonts w:ascii="宋体" w:hAnsi="Courier New" w:eastAsia="宋体" w:cs="Courier New"/>
      <w:kern w:val="2"/>
      <w:sz w:val="21"/>
      <w:szCs w:val="21"/>
      <w:lang w:val="en-US" w:eastAsia="zh-CN" w:bidi="ar-SA"/>
    </w:rPr>
  </w:style>
  <w:style w:type="character" w:customStyle="1" w:styleId="137">
    <w:name w:val="浅色网格 - 强调文字颜色 3 Char"/>
    <w:link w:val="138"/>
    <w:qFormat/>
    <w:uiPriority w:val="0"/>
    <w:rPr>
      <w:rFonts w:ascii="Calibri" w:hAnsi="Calibri" w:eastAsia="宋体"/>
      <w:kern w:val="2"/>
      <w:sz w:val="21"/>
      <w:szCs w:val="22"/>
      <w:lang w:bidi="ar-SA"/>
    </w:rPr>
  </w:style>
  <w:style w:type="paragraph" w:customStyle="1" w:styleId="138">
    <w:name w:val="浅色网格 - 强调文字颜色 31"/>
    <w:basedOn w:val="1"/>
    <w:link w:val="137"/>
    <w:qFormat/>
    <w:uiPriority w:val="0"/>
    <w:pPr>
      <w:ind w:firstLine="420"/>
    </w:pPr>
    <w:rPr>
      <w:rFonts w:ascii="Calibri" w:hAnsi="Calibri"/>
      <w:szCs w:val="22"/>
    </w:rPr>
  </w:style>
  <w:style w:type="character" w:customStyle="1" w:styleId="139">
    <w:name w:val="批注文字 Char1"/>
    <w:qFormat/>
    <w:uiPriority w:val="0"/>
    <w:rPr>
      <w:kern w:val="2"/>
      <w:sz w:val="21"/>
      <w:szCs w:val="24"/>
    </w:rPr>
  </w:style>
  <w:style w:type="character" w:customStyle="1" w:styleId="140">
    <w:name w:val="Char Char2"/>
    <w:qFormat/>
    <w:locked/>
    <w:uiPriority w:val="0"/>
    <w:rPr>
      <w:rFonts w:ascii="Calibri" w:hAnsi="Calibri" w:eastAsia="宋体" w:cs="黑体"/>
      <w:kern w:val="2"/>
      <w:sz w:val="24"/>
      <w:szCs w:val="24"/>
      <w:lang w:val="en-US" w:eastAsia="zh-CN" w:bidi="ar-SA"/>
    </w:rPr>
  </w:style>
  <w:style w:type="character" w:customStyle="1" w:styleId="141">
    <w:name w:val="Char Char22"/>
    <w:qFormat/>
    <w:locked/>
    <w:uiPriority w:val="0"/>
    <w:rPr>
      <w:rFonts w:eastAsia="微软雅黑"/>
      <w:b/>
      <w:bCs/>
      <w:kern w:val="44"/>
      <w:sz w:val="36"/>
      <w:szCs w:val="36"/>
      <w:lang w:bidi="ar-SA"/>
    </w:rPr>
  </w:style>
  <w:style w:type="character" w:customStyle="1" w:styleId="142">
    <w:name w:val="Char Char19"/>
    <w:qFormat/>
    <w:locked/>
    <w:uiPriority w:val="0"/>
    <w:rPr>
      <w:rFonts w:ascii="Arial" w:hAnsi="Arial" w:eastAsia="微软雅黑"/>
      <w:b/>
      <w:bCs/>
      <w:color w:val="0070C0"/>
      <w:szCs w:val="28"/>
      <w:lang w:bidi="ar-SA"/>
    </w:rPr>
  </w:style>
  <w:style w:type="character" w:customStyle="1" w:styleId="143">
    <w:name w:val="Char Char6"/>
    <w:qFormat/>
    <w:locked/>
    <w:uiPriority w:val="0"/>
    <w:rPr>
      <w:sz w:val="18"/>
      <w:szCs w:val="18"/>
      <w:lang w:bidi="ar-SA"/>
    </w:rPr>
  </w:style>
  <w:style w:type="character" w:customStyle="1" w:styleId="144">
    <w:name w:val="Footer Char"/>
    <w:qFormat/>
    <w:locked/>
    <w:uiPriority w:val="0"/>
    <w:rPr>
      <w:rFonts w:ascii="Cambria" w:hAnsi="Cambria" w:eastAsia="宋体"/>
      <w:kern w:val="2"/>
      <w:sz w:val="18"/>
      <w:szCs w:val="18"/>
      <w:lang w:val="en-US" w:eastAsia="zh-CN" w:bidi="ar-SA"/>
    </w:rPr>
  </w:style>
  <w:style w:type="character" w:customStyle="1" w:styleId="145">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46">
    <w:name w:val="书籍标题1"/>
    <w:qFormat/>
    <w:uiPriority w:val="0"/>
    <w:rPr>
      <w:b/>
      <w:bCs/>
      <w:smallCaps/>
      <w:spacing w:val="5"/>
    </w:rPr>
  </w:style>
  <w:style w:type="character" w:customStyle="1" w:styleId="147">
    <w:name w:val="Char Char4"/>
    <w:qFormat/>
    <w:uiPriority w:val="0"/>
    <w:rPr>
      <w:rFonts w:eastAsia="宋体"/>
      <w:kern w:val="2"/>
      <w:sz w:val="21"/>
      <w:szCs w:val="24"/>
      <w:lang w:val="en-US" w:eastAsia="zh-CN" w:bidi="ar-SA"/>
    </w:rPr>
  </w:style>
  <w:style w:type="character" w:customStyle="1" w:styleId="148">
    <w:name w:val="纯文本 Char"/>
    <w:qFormat/>
    <w:uiPriority w:val="0"/>
    <w:rPr>
      <w:rFonts w:ascii="宋体" w:hAnsi="Courier New"/>
    </w:rPr>
  </w:style>
  <w:style w:type="character" w:customStyle="1" w:styleId="149">
    <w:name w:val="GTA标题2 Char"/>
    <w:qFormat/>
    <w:uiPriority w:val="0"/>
    <w:rPr>
      <w:rFonts w:hint="default" w:ascii="Arial" w:hAnsi="Arial" w:eastAsia="黑体" w:cs="Arial"/>
      <w:bCs/>
      <w:kern w:val="2"/>
      <w:sz w:val="30"/>
      <w:szCs w:val="30"/>
    </w:rPr>
  </w:style>
  <w:style w:type="character" w:customStyle="1" w:styleId="150">
    <w:name w:val="列出段落 Char"/>
    <w:qFormat/>
    <w:locked/>
    <w:uiPriority w:val="0"/>
    <w:rPr>
      <w:kern w:val="2"/>
      <w:sz w:val="21"/>
      <w:szCs w:val="22"/>
    </w:rPr>
  </w:style>
  <w:style w:type="character" w:customStyle="1" w:styleId="151">
    <w:name w:val="font151"/>
    <w:qFormat/>
    <w:uiPriority w:val="0"/>
    <w:rPr>
      <w:rFonts w:hint="eastAsia" w:ascii="宋体" w:hAnsi="宋体" w:eastAsia="宋体" w:cs="宋体"/>
      <w:color w:val="000000"/>
      <w:sz w:val="21"/>
      <w:szCs w:val="21"/>
      <w:u w:val="none"/>
    </w:rPr>
  </w:style>
  <w:style w:type="character" w:customStyle="1" w:styleId="152">
    <w:name w:val="ca-102"/>
    <w:qFormat/>
    <w:uiPriority w:val="0"/>
  </w:style>
  <w:style w:type="character" w:customStyle="1" w:styleId="153">
    <w:name w:val="font41"/>
    <w:qFormat/>
    <w:uiPriority w:val="0"/>
    <w:rPr>
      <w:rFonts w:ascii="Bosch Office Sans" w:hAnsi="Bosch Office Sans" w:cs="Bosch Office Sans"/>
      <w:color w:val="000000"/>
      <w:sz w:val="20"/>
      <w:szCs w:val="20"/>
      <w:u w:val="none"/>
    </w:rPr>
  </w:style>
  <w:style w:type="character" w:customStyle="1" w:styleId="154">
    <w:name w:val="char"/>
    <w:qFormat/>
    <w:uiPriority w:val="0"/>
  </w:style>
  <w:style w:type="character" w:customStyle="1" w:styleId="155">
    <w:name w:val="Char Char5"/>
    <w:qFormat/>
    <w:locked/>
    <w:uiPriority w:val="0"/>
    <w:rPr>
      <w:rFonts w:ascii="宋体" w:hAnsi="宋体" w:eastAsia="宋体"/>
      <w:sz w:val="18"/>
      <w:szCs w:val="18"/>
      <w:lang w:bidi="ar-SA"/>
    </w:rPr>
  </w:style>
  <w:style w:type="character" w:customStyle="1" w:styleId="156">
    <w:name w:val="apple-converted-space"/>
    <w:qFormat/>
    <w:uiPriority w:val="0"/>
  </w:style>
  <w:style w:type="character" w:customStyle="1" w:styleId="157">
    <w:name w:val="_Style 154"/>
    <w:unhideWhenUsed/>
    <w:qFormat/>
    <w:uiPriority w:val="99"/>
    <w:rPr>
      <w:color w:val="605E5C"/>
      <w:shd w:val="clear" w:color="auto" w:fill="E1DFDD"/>
    </w:rPr>
  </w:style>
  <w:style w:type="character" w:customStyle="1" w:styleId="158">
    <w:name w:val="Heading 2 Char"/>
    <w:qFormat/>
    <w:locked/>
    <w:uiPriority w:val="0"/>
    <w:rPr>
      <w:rFonts w:ascii="Calibri" w:hAnsi="Calibri" w:eastAsia="宋体"/>
      <w:b/>
      <w:bCs/>
      <w:kern w:val="2"/>
      <w:sz w:val="24"/>
      <w:szCs w:val="32"/>
      <w:lang w:val="en-US" w:eastAsia="zh-CN" w:bidi="ar-SA"/>
    </w:rPr>
  </w:style>
  <w:style w:type="character" w:customStyle="1" w:styleId="159">
    <w:name w:val="st1"/>
    <w:qFormat/>
    <w:uiPriority w:val="0"/>
  </w:style>
  <w:style w:type="character" w:customStyle="1" w:styleId="160">
    <w:name w:val="Char Char3"/>
    <w:qFormat/>
    <w:locked/>
    <w:uiPriority w:val="0"/>
    <w:rPr>
      <w:sz w:val="18"/>
      <w:szCs w:val="18"/>
      <w:lang w:bidi="ar-SA"/>
    </w:rPr>
  </w:style>
  <w:style w:type="character" w:customStyle="1" w:styleId="161">
    <w:name w:val="纯文本 Char3"/>
    <w:qFormat/>
    <w:uiPriority w:val="0"/>
    <w:rPr>
      <w:rFonts w:ascii="宋体" w:hAnsi="Courier New" w:eastAsia="宋体" w:cs="Courier New"/>
      <w:kern w:val="2"/>
      <w:sz w:val="21"/>
      <w:szCs w:val="21"/>
      <w:lang w:val="en-US" w:eastAsia="zh-CN" w:bidi="ar-SA"/>
    </w:rPr>
  </w:style>
  <w:style w:type="character" w:customStyle="1" w:styleId="162">
    <w:name w:val="列出段落字符"/>
    <w:qFormat/>
    <w:locked/>
    <w:uiPriority w:val="0"/>
    <w:rPr>
      <w:rFonts w:ascii="Calibri" w:hAnsi="Calibri" w:eastAsia="宋体" w:cs="黑体"/>
      <w:kern w:val="2"/>
      <w:sz w:val="24"/>
      <w:szCs w:val="24"/>
      <w:lang w:val="en-US" w:eastAsia="zh-CN" w:bidi="ar-SA"/>
    </w:rPr>
  </w:style>
  <w:style w:type="character" w:customStyle="1" w:styleId="163">
    <w:name w:val="GTA标题2 Char Char"/>
    <w:link w:val="164"/>
    <w:qFormat/>
    <w:locked/>
    <w:uiPriority w:val="0"/>
    <w:rPr>
      <w:rFonts w:ascii="Arial" w:hAnsi="Arial" w:eastAsia="黑体"/>
      <w:b/>
      <w:bCs/>
      <w:color w:val="000000"/>
      <w:sz w:val="30"/>
      <w:szCs w:val="30"/>
      <w:lang w:bidi="ar-SA"/>
    </w:rPr>
  </w:style>
  <w:style w:type="paragraph" w:customStyle="1" w:styleId="164">
    <w:name w:val="GTA标题2"/>
    <w:basedOn w:val="4"/>
    <w:link w:val="163"/>
    <w:qFormat/>
    <w:uiPriority w:val="0"/>
    <w:pPr>
      <w:tabs>
        <w:tab w:val="left" w:pos="840"/>
      </w:tabs>
      <w:adjustRightInd w:val="0"/>
      <w:snapToGrid w:val="0"/>
      <w:spacing w:beforeLines="175" w:afterLines="150" w:line="420" w:lineRule="auto"/>
      <w:ind w:left="840"/>
    </w:pPr>
    <w:rPr>
      <w:color w:val="000000"/>
      <w:kern w:val="0"/>
      <w:sz w:val="30"/>
      <w:szCs w:val="30"/>
    </w:rPr>
  </w:style>
  <w:style w:type="character" w:customStyle="1" w:styleId="165">
    <w:name w:val="GTA标题4 Char Char"/>
    <w:link w:val="166"/>
    <w:qFormat/>
    <w:locked/>
    <w:uiPriority w:val="0"/>
    <w:rPr>
      <w:rFonts w:ascii="Arial" w:hAnsi="Arial" w:eastAsia="仿宋_GB2312"/>
      <w:b/>
      <w:bCs/>
      <w:color w:val="0070C0"/>
      <w:lang w:bidi="ar-SA"/>
    </w:rPr>
  </w:style>
  <w:style w:type="paragraph" w:customStyle="1" w:styleId="166">
    <w:name w:val="GTA标题4"/>
    <w:basedOn w:val="6"/>
    <w:link w:val="165"/>
    <w:qFormat/>
    <w:uiPriority w:val="0"/>
    <w:pPr>
      <w:tabs>
        <w:tab w:val="left" w:pos="1680"/>
      </w:tabs>
      <w:adjustRightInd w:val="0"/>
      <w:snapToGrid w:val="0"/>
      <w:spacing w:beforeLines="100" w:afterLines="75" w:line="360" w:lineRule="auto"/>
      <w:ind w:left="1680"/>
    </w:pPr>
    <w:rPr>
      <w:rFonts w:eastAsia="仿宋_GB2312"/>
      <w:color w:val="0070C0"/>
      <w:kern w:val="0"/>
      <w:sz w:val="20"/>
      <w:szCs w:val="20"/>
    </w:rPr>
  </w:style>
  <w:style w:type="character" w:customStyle="1" w:styleId="167">
    <w:name w:val="font01"/>
    <w:qFormat/>
    <w:uiPriority w:val="0"/>
    <w:rPr>
      <w:rFonts w:hint="eastAsia" w:ascii="宋体" w:hAnsi="宋体" w:eastAsia="宋体" w:cs="宋体"/>
      <w:color w:val="000000"/>
      <w:sz w:val="28"/>
      <w:szCs w:val="28"/>
      <w:u w:val="none"/>
    </w:rPr>
  </w:style>
  <w:style w:type="character" w:customStyle="1" w:styleId="168">
    <w:name w:val="GTA标题3 Char"/>
    <w:qFormat/>
    <w:uiPriority w:val="0"/>
    <w:rPr>
      <w:rFonts w:hint="default" w:ascii="Arial" w:hAnsi="Arial" w:eastAsia="黑体" w:cs="Arial"/>
      <w:bCs/>
      <w:kern w:val="2"/>
      <w:sz w:val="24"/>
      <w:szCs w:val="24"/>
    </w:rPr>
  </w:style>
  <w:style w:type="character" w:customStyle="1" w:styleId="169">
    <w:name w:val="普通文字 Char Char3"/>
    <w:qFormat/>
    <w:locked/>
    <w:uiPriority w:val="0"/>
    <w:rPr>
      <w:rFonts w:ascii="宋体" w:hAnsi="Courier New" w:eastAsia="宋体" w:cs="Courier New"/>
      <w:kern w:val="2"/>
      <w:sz w:val="21"/>
      <w:szCs w:val="21"/>
      <w:lang w:val="en-US" w:eastAsia="zh-CN" w:bidi="ar-SA"/>
    </w:rPr>
  </w:style>
  <w:style w:type="character" w:customStyle="1" w:styleId="170">
    <w:name w:val="font51"/>
    <w:qFormat/>
    <w:uiPriority w:val="0"/>
    <w:rPr>
      <w:rFonts w:ascii="Bosch Office Sans" w:hAnsi="Bosch Office Sans" w:cs="Bosch Office Sans"/>
      <w:color w:val="000000"/>
      <w:sz w:val="20"/>
      <w:szCs w:val="20"/>
      <w:u w:val="none"/>
    </w:rPr>
  </w:style>
  <w:style w:type="character" w:customStyle="1" w:styleId="171">
    <w:name w:val="GTA正文-1 Char"/>
    <w:link w:val="172"/>
    <w:qFormat/>
    <w:locked/>
    <w:uiPriority w:val="0"/>
    <w:rPr>
      <w:rFonts w:ascii="Arial" w:hAnsi="Arial" w:eastAsia="宋体" w:cs="Arial"/>
      <w:sz w:val="21"/>
      <w:lang w:bidi="ar-SA"/>
    </w:rPr>
  </w:style>
  <w:style w:type="paragraph" w:customStyle="1" w:styleId="172">
    <w:name w:val="GTA正文-1"/>
    <w:basedOn w:val="1"/>
    <w:link w:val="171"/>
    <w:qFormat/>
    <w:uiPriority w:val="0"/>
    <w:pPr>
      <w:spacing w:beforeLines="50" w:afterLines="50" w:line="480" w:lineRule="exact"/>
    </w:pPr>
    <w:rPr>
      <w:rFonts w:ascii="Arial" w:hAnsi="Arial" w:cs="Arial"/>
      <w:kern w:val="0"/>
      <w:szCs w:val="20"/>
    </w:rPr>
  </w:style>
  <w:style w:type="character" w:customStyle="1" w:styleId="173">
    <w:name w:val="font71"/>
    <w:qFormat/>
    <w:uiPriority w:val="0"/>
    <w:rPr>
      <w:rFonts w:hint="default" w:ascii="Times New Roman" w:hAnsi="Times New Roman" w:cs="Times New Roman"/>
      <w:color w:val="000000"/>
      <w:sz w:val="56"/>
      <w:szCs w:val="56"/>
      <w:u w:val="none"/>
    </w:rPr>
  </w:style>
  <w:style w:type="character" w:customStyle="1" w:styleId="174">
    <w:name w:val="Char Char1"/>
    <w:qFormat/>
    <w:uiPriority w:val="0"/>
    <w:rPr>
      <w:rFonts w:eastAsia="宋体"/>
      <w:kern w:val="2"/>
      <w:sz w:val="18"/>
      <w:szCs w:val="18"/>
      <w:lang w:val="en-US" w:eastAsia="zh-CN" w:bidi="ar-SA"/>
    </w:rPr>
  </w:style>
  <w:style w:type="character" w:customStyle="1" w:styleId="175">
    <w:name w:val="ca-92"/>
    <w:qFormat/>
    <w:uiPriority w:val="0"/>
  </w:style>
  <w:style w:type="character" w:customStyle="1" w:styleId="176">
    <w:name w:val="10"/>
    <w:qFormat/>
    <w:uiPriority w:val="0"/>
    <w:rPr>
      <w:rFonts w:hint="default" w:ascii="Times New Roman" w:hAnsi="Times New Roman" w:cs="Times New Roman"/>
    </w:rPr>
  </w:style>
  <w:style w:type="character" w:customStyle="1" w:styleId="177">
    <w:name w:val="font191"/>
    <w:qFormat/>
    <w:uiPriority w:val="0"/>
    <w:rPr>
      <w:rFonts w:hint="eastAsia" w:ascii="宋体" w:hAnsi="宋体" w:eastAsia="宋体" w:cs="宋体"/>
      <w:b/>
      <w:bCs/>
      <w:color w:val="4F6228"/>
      <w:sz w:val="22"/>
      <w:szCs w:val="22"/>
      <w:u w:val="none"/>
    </w:rPr>
  </w:style>
  <w:style w:type="character" w:customStyle="1" w:styleId="178">
    <w:name w:val="ca-1"/>
    <w:qFormat/>
    <w:uiPriority w:val="0"/>
  </w:style>
  <w:style w:type="character" w:customStyle="1" w:styleId="179">
    <w:name w:val="明显引用字符1"/>
    <w:qFormat/>
    <w:uiPriority w:val="0"/>
    <w:rPr>
      <w:rFonts w:hint="default" w:ascii="Times New Roman" w:hAnsi="Times New Roman" w:eastAsia="微软雅黑" w:cs="Times New Roman"/>
      <w:i/>
      <w:iCs/>
      <w:color w:val="5B9BD5"/>
    </w:rPr>
  </w:style>
  <w:style w:type="character" w:customStyle="1" w:styleId="180">
    <w:name w:val="纯文本 字符"/>
    <w:qFormat/>
    <w:uiPriority w:val="0"/>
    <w:rPr>
      <w:rFonts w:ascii="宋体" w:hAnsi="Courier New" w:eastAsia="宋体" w:cs="Courier New"/>
      <w:kern w:val="2"/>
      <w:sz w:val="21"/>
      <w:szCs w:val="21"/>
      <w:lang w:val="en-US" w:eastAsia="zh-CN" w:bidi="ar-SA"/>
    </w:rPr>
  </w:style>
  <w:style w:type="character" w:customStyle="1" w:styleId="181">
    <w:name w:val="GTA标题4 Char"/>
    <w:qFormat/>
    <w:uiPriority w:val="0"/>
    <w:rPr>
      <w:rFonts w:hint="default" w:ascii="Arial" w:hAnsi="Arial" w:eastAsia="仿宋_GB2312" w:cs="Arial"/>
      <w:b/>
      <w:bCs/>
      <w:kern w:val="2"/>
      <w:sz w:val="24"/>
      <w:szCs w:val="24"/>
    </w:rPr>
  </w:style>
  <w:style w:type="character" w:customStyle="1" w:styleId="182">
    <w:name w:val="Char Char13"/>
    <w:qFormat/>
    <w:locked/>
    <w:uiPriority w:val="0"/>
    <w:rPr>
      <w:rFonts w:ascii="微软雅黑" w:hAnsi="微软雅黑" w:eastAsia="微软雅黑"/>
      <w:b/>
      <w:bCs/>
      <w:lang w:bidi="ar-SA"/>
    </w:rPr>
  </w:style>
  <w:style w:type="character" w:customStyle="1" w:styleId="183">
    <w:name w:val="ca-2"/>
    <w:qFormat/>
    <w:uiPriority w:val="0"/>
  </w:style>
  <w:style w:type="character" w:customStyle="1" w:styleId="184">
    <w:name w:val="Char Char20"/>
    <w:qFormat/>
    <w:locked/>
    <w:uiPriority w:val="0"/>
    <w:rPr>
      <w:rFonts w:eastAsia="微软雅黑"/>
      <w:b/>
      <w:bCs/>
      <w:szCs w:val="32"/>
      <w:lang w:bidi="ar-SA"/>
    </w:rPr>
  </w:style>
  <w:style w:type="character" w:customStyle="1" w:styleId="185">
    <w:name w:val="txet31"/>
    <w:qFormat/>
    <w:uiPriority w:val="0"/>
    <w:rPr>
      <w:rFonts w:cs="Times New Roman"/>
      <w:color w:val="333333"/>
      <w:sz w:val="18"/>
      <w:szCs w:val="18"/>
      <w:u w:val="none"/>
    </w:rPr>
  </w:style>
  <w:style w:type="character" w:customStyle="1" w:styleId="186">
    <w:name w:val="纯文本 Char2"/>
    <w:qFormat/>
    <w:uiPriority w:val="0"/>
    <w:rPr>
      <w:rFonts w:ascii="宋体" w:hAnsi="Courier New" w:eastAsia="宋体" w:cs="Courier New"/>
      <w:kern w:val="2"/>
      <w:sz w:val="21"/>
      <w:szCs w:val="21"/>
      <w:lang w:val="en-US" w:eastAsia="zh-CN" w:bidi="ar-SA"/>
    </w:rPr>
  </w:style>
  <w:style w:type="character" w:customStyle="1" w:styleId="187">
    <w:name w:val="Header Char"/>
    <w:qFormat/>
    <w:locked/>
    <w:uiPriority w:val="0"/>
    <w:rPr>
      <w:rFonts w:ascii="Cambria" w:hAnsi="Cambria" w:eastAsia="宋体"/>
      <w:kern w:val="2"/>
      <w:sz w:val="18"/>
      <w:szCs w:val="18"/>
      <w:lang w:val="en-US" w:eastAsia="zh-CN" w:bidi="ar-SA"/>
    </w:rPr>
  </w:style>
  <w:style w:type="character" w:customStyle="1" w:styleId="188">
    <w:name w:val="font61"/>
    <w:qFormat/>
    <w:uiPriority w:val="0"/>
    <w:rPr>
      <w:rFonts w:hint="eastAsia" w:ascii="宋体" w:hAnsi="宋体" w:eastAsia="宋体" w:cs="宋体"/>
      <w:color w:val="000000"/>
      <w:sz w:val="56"/>
      <w:szCs w:val="56"/>
      <w:u w:val="none"/>
    </w:rPr>
  </w:style>
  <w:style w:type="character" w:customStyle="1" w:styleId="189">
    <w:name w:val="highlight1"/>
    <w:qFormat/>
    <w:uiPriority w:val="0"/>
    <w:rPr>
      <w:color w:val="DB4F33"/>
    </w:rPr>
  </w:style>
  <w:style w:type="character" w:customStyle="1" w:styleId="190">
    <w:name w:val="GTA标题3 Char Char"/>
    <w:link w:val="191"/>
    <w:qFormat/>
    <w:locked/>
    <w:uiPriority w:val="0"/>
    <w:rPr>
      <w:rFonts w:ascii="Arial" w:hAnsi="Arial" w:eastAsia="黑体"/>
      <w:b/>
      <w:bCs/>
      <w:color w:val="000000"/>
      <w:lang w:val="zh-CN" w:bidi="ar-SA"/>
    </w:rPr>
  </w:style>
  <w:style w:type="paragraph" w:customStyle="1" w:styleId="191">
    <w:name w:val="GTA标题3"/>
    <w:basedOn w:val="5"/>
    <w:link w:val="190"/>
    <w:qFormat/>
    <w:uiPriority w:val="0"/>
    <w:pPr>
      <w:tabs>
        <w:tab w:val="left" w:pos="1260"/>
      </w:tabs>
      <w:adjustRightInd w:val="0"/>
      <w:snapToGrid w:val="0"/>
      <w:spacing w:beforeLines="150" w:afterLines="125" w:line="360" w:lineRule="auto"/>
      <w:ind w:left="1260" w:hanging="420"/>
    </w:pPr>
    <w:rPr>
      <w:rFonts w:ascii="Arial" w:hAnsi="Arial" w:eastAsia="黑体"/>
      <w:color w:val="000000"/>
      <w:kern w:val="0"/>
      <w:sz w:val="20"/>
      <w:szCs w:val="20"/>
      <w:lang w:val="zh-CN"/>
    </w:rPr>
  </w:style>
  <w:style w:type="character" w:customStyle="1" w:styleId="192">
    <w:name w:val="GTA正文-2 Char"/>
    <w:link w:val="193"/>
    <w:qFormat/>
    <w:locked/>
    <w:uiPriority w:val="0"/>
    <w:rPr>
      <w:rFonts w:ascii="Arial" w:hAnsi="Arial" w:eastAsia="华文细黑" w:cs="Arial"/>
      <w:lang w:bidi="ar-SA"/>
    </w:rPr>
  </w:style>
  <w:style w:type="paragraph" w:customStyle="1" w:styleId="193">
    <w:name w:val="GTA正文-2"/>
    <w:basedOn w:val="172"/>
    <w:link w:val="192"/>
    <w:qFormat/>
    <w:uiPriority w:val="0"/>
    <w:pPr>
      <w:snapToGrid w:val="0"/>
      <w:spacing w:line="360" w:lineRule="auto"/>
      <w:ind w:firstLine="480"/>
    </w:pPr>
    <w:rPr>
      <w:rFonts w:eastAsia="华文细黑"/>
      <w:sz w:val="20"/>
    </w:rPr>
  </w:style>
  <w:style w:type="paragraph" w:customStyle="1" w:styleId="194">
    <w:name w:val="样式 标题 3 + 四号"/>
    <w:basedOn w:val="5"/>
    <w:qFormat/>
    <w:uiPriority w:val="99"/>
    <w:pPr>
      <w:jc w:val="center"/>
    </w:pPr>
    <w:rPr>
      <w:rFonts w:ascii="Times New Roman" w:hAnsi="Times New Roman"/>
      <w:kern w:val="0"/>
      <w:sz w:val="28"/>
    </w:rPr>
  </w:style>
  <w:style w:type="paragraph" w:customStyle="1" w:styleId="195">
    <w:name w:val="custom_unionstyle"/>
    <w:basedOn w:val="1"/>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paragraph" w:customStyle="1" w:styleId="19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97">
    <w:name w:val="xl86"/>
    <w:basedOn w:val="1"/>
    <w:qFormat/>
    <w:uiPriority w:val="99"/>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98">
    <w:name w:val="xl96"/>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99">
    <w:name w:val="List Paragraph11"/>
    <w:basedOn w:val="1"/>
    <w:qFormat/>
    <w:uiPriority w:val="99"/>
    <w:pPr>
      <w:ind w:firstLine="420"/>
    </w:pPr>
    <w:rPr>
      <w:rFonts w:ascii="Calibri" w:hAnsi="Calibri"/>
      <w:szCs w:val="22"/>
    </w:rPr>
  </w:style>
  <w:style w:type="paragraph" w:customStyle="1" w:styleId="20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202">
    <w:name w:val="Char 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03">
    <w:name w:val="179"/>
    <w:basedOn w:val="1"/>
    <w:qFormat/>
    <w:uiPriority w:val="99"/>
    <w:pPr>
      <w:spacing w:line="240" w:lineRule="auto"/>
      <w:ind w:firstLine="420"/>
    </w:pPr>
    <w:rPr>
      <w:rFonts w:ascii="等线" w:hAnsi="等线" w:eastAsia="等线"/>
      <w:szCs w:val="22"/>
    </w:rPr>
  </w:style>
  <w:style w:type="paragraph" w:customStyle="1" w:styleId="204">
    <w:name w:val="二级条标题"/>
    <w:basedOn w:val="1"/>
    <w:next w:val="1"/>
    <w:qFormat/>
    <w:uiPriority w:val="99"/>
    <w:pPr>
      <w:widowControl/>
      <w:spacing w:line="240" w:lineRule="auto"/>
      <w:ind w:firstLine="0" w:firstLineChars="0"/>
      <w:jc w:val="left"/>
    </w:pPr>
    <w:rPr>
      <w:rFonts w:ascii="Calibri" w:hAnsi="Calibri" w:eastAsia="黑体"/>
      <w:szCs w:val="20"/>
    </w:rPr>
  </w:style>
  <w:style w:type="paragraph" w:customStyle="1" w:styleId="205">
    <w:name w:val="Char Char Char Char Char Char Char Char Char Char"/>
    <w:basedOn w:val="1"/>
    <w:qFormat/>
    <w:uiPriority w:val="99"/>
    <w:pPr>
      <w:tabs>
        <w:tab w:val="left" w:pos="360"/>
      </w:tabs>
      <w:ind w:left="360" w:hanging="360" w:hangingChars="200"/>
    </w:pPr>
    <w:rPr>
      <w:szCs w:val="20"/>
    </w:rPr>
  </w:style>
  <w:style w:type="paragraph" w:customStyle="1" w:styleId="206">
    <w:name w:val="普通(网站)1"/>
    <w:basedOn w:val="1"/>
    <w:qFormat/>
    <w:uiPriority w:val="99"/>
    <w:pPr>
      <w:widowControl/>
      <w:snapToGrid w:val="0"/>
      <w:spacing w:before="100" w:beforeAutospacing="1" w:after="100" w:afterAutospacing="1" w:line="300" w:lineRule="auto"/>
      <w:jc w:val="left"/>
    </w:pPr>
    <w:rPr>
      <w:rFonts w:ascii="宋体" w:hAnsi="宋体" w:eastAsia="微软雅黑"/>
      <w:sz w:val="24"/>
      <w:szCs w:val="22"/>
    </w:rPr>
  </w:style>
  <w:style w:type="paragraph" w:customStyle="1" w:styleId="207">
    <w:name w:val="xl11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8">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09">
    <w:name w:val="xl12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0">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1">
    <w:name w:val="投标文件1"/>
    <w:basedOn w:val="3"/>
    <w:qFormat/>
    <w:uiPriority w:val="99"/>
    <w:pPr>
      <w:jc w:val="both"/>
    </w:pPr>
    <w:rPr>
      <w:rFonts w:eastAsia="方正小标宋简体"/>
      <w:b w:val="0"/>
      <w:sz w:val="32"/>
      <w:szCs w:val="21"/>
    </w:rPr>
  </w:style>
  <w:style w:type="paragraph" w:customStyle="1" w:styleId="212">
    <w:name w:val="xl89"/>
    <w:basedOn w:val="1"/>
    <w:qFormat/>
    <w:uiPriority w:val="99"/>
    <w:pPr>
      <w:widowControl/>
      <w:spacing w:before="100" w:beforeAutospacing="1" w:after="100" w:afterAutospacing="1"/>
      <w:jc w:val="left"/>
      <w:textAlignment w:val="bottom"/>
    </w:pPr>
    <w:rPr>
      <w:rFonts w:ascii="宋体" w:hAnsi="宋体" w:cs="宋体"/>
      <w:kern w:val="0"/>
      <w:szCs w:val="21"/>
    </w:rPr>
  </w:style>
  <w:style w:type="paragraph" w:customStyle="1" w:styleId="213">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Cs w:val="21"/>
    </w:rPr>
  </w:style>
  <w:style w:type="paragraph" w:customStyle="1" w:styleId="214">
    <w:name w:val="正文首行缩进1"/>
    <w:basedOn w:val="1"/>
    <w:qFormat/>
    <w:uiPriority w:val="99"/>
    <w:pPr>
      <w:spacing w:after="120" w:line="240" w:lineRule="auto"/>
      <w:ind w:firstLine="420" w:firstLineChars="100"/>
    </w:pPr>
    <w:rPr>
      <w:rFonts w:ascii="Calibri" w:hAnsi="Calibri"/>
    </w:rPr>
  </w:style>
  <w:style w:type="paragraph" w:customStyle="1" w:styleId="215">
    <w:name w:val="xl64"/>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216">
    <w:name w:val="xl73"/>
    <w:basedOn w:val="1"/>
    <w:qFormat/>
    <w:uiPriority w:val="99"/>
    <w:pPr>
      <w:widowControl/>
      <w:spacing w:before="100" w:beforeAutospacing="1" w:after="100" w:afterAutospacing="1"/>
      <w:jc w:val="center"/>
    </w:pPr>
    <w:rPr>
      <w:rFonts w:ascii="宋体" w:hAnsi="宋体" w:cs="宋体"/>
      <w:kern w:val="0"/>
      <w:szCs w:val="21"/>
    </w:rPr>
  </w:style>
  <w:style w:type="paragraph" w:customStyle="1" w:styleId="217">
    <w:name w:val="msolistparagraph"/>
    <w:basedOn w:val="1"/>
    <w:qFormat/>
    <w:uiPriority w:val="99"/>
    <w:pPr>
      <w:spacing w:line="240" w:lineRule="auto"/>
      <w:ind w:firstLine="420"/>
    </w:pPr>
  </w:style>
  <w:style w:type="paragraph" w:customStyle="1" w:styleId="218">
    <w:name w:val="标书0927"/>
    <w:basedOn w:val="3"/>
    <w:qFormat/>
    <w:uiPriority w:val="99"/>
    <w:pPr>
      <w:tabs>
        <w:tab w:val="left" w:pos="780"/>
      </w:tabs>
      <w:spacing w:before="0" w:after="0" w:line="360" w:lineRule="auto"/>
      <w:ind w:left="780" w:hanging="420"/>
      <w:jc w:val="both"/>
    </w:pPr>
    <w:rPr>
      <w:rFonts w:ascii="宋体" w:eastAsia="宋体"/>
      <w:sz w:val="32"/>
      <w:szCs w:val="32"/>
    </w:rPr>
  </w:style>
  <w:style w:type="paragraph" w:customStyle="1" w:styleId="219">
    <w:name w:val="样式 标题 2 + 宋体"/>
    <w:basedOn w:val="4"/>
    <w:qFormat/>
    <w:uiPriority w:val="99"/>
    <w:pPr>
      <w:jc w:val="center"/>
    </w:pPr>
    <w:rPr>
      <w:rFonts w:ascii="宋体" w:hAnsi="宋体" w:eastAsia="宋体"/>
      <w:kern w:val="0"/>
    </w:rPr>
  </w:style>
  <w:style w:type="paragraph" w:customStyle="1" w:styleId="220">
    <w:name w:val="xl1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21">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2">
    <w:name w:val="pa-5"/>
    <w:basedOn w:val="1"/>
    <w:qFormat/>
    <w:uiPriority w:val="99"/>
    <w:pPr>
      <w:widowControl/>
      <w:spacing w:before="150" w:after="150"/>
      <w:jc w:val="left"/>
    </w:pPr>
    <w:rPr>
      <w:rFonts w:ascii="宋体" w:hAnsi="宋体" w:cs="宋体"/>
      <w:kern w:val="0"/>
      <w:sz w:val="24"/>
    </w:rPr>
  </w:style>
  <w:style w:type="paragraph" w:customStyle="1" w:styleId="223">
    <w:name w:val="xl11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24">
    <w:name w:val="xl75"/>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5">
    <w:name w:val="_Style 223"/>
    <w:unhideWhenUsed/>
    <w:qFormat/>
    <w:uiPriority w:val="99"/>
    <w:rPr>
      <w:rFonts w:ascii="Times New Roman" w:hAnsi="Times New Roman" w:eastAsia="宋体" w:cs="Times New Roman"/>
      <w:kern w:val="2"/>
      <w:sz w:val="21"/>
      <w:szCs w:val="24"/>
      <w:lang w:val="en-US" w:eastAsia="zh-CN" w:bidi="ar-SA"/>
    </w:rPr>
  </w:style>
  <w:style w:type="paragraph" w:customStyle="1" w:styleId="226">
    <w:name w:val="xl85"/>
    <w:basedOn w:val="1"/>
    <w:qFormat/>
    <w:uiPriority w:val="99"/>
    <w:pPr>
      <w:widowControl/>
      <w:pBdr>
        <w:top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27">
    <w:name w:val="xl11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2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29">
    <w:name w:val="xl14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30">
    <w:name w:val="msonormalcxspmiddle"/>
    <w:basedOn w:val="1"/>
    <w:qFormat/>
    <w:uiPriority w:val="99"/>
    <w:pPr>
      <w:widowControl/>
      <w:spacing w:line="315" w:lineRule="atLeast"/>
      <w:jc w:val="left"/>
    </w:pPr>
    <w:rPr>
      <w:rFonts w:ascii="inherit" w:hAnsi="inherit" w:eastAsia="微软雅黑" w:cs="宋体"/>
      <w:color w:val="323232"/>
      <w:kern w:val="0"/>
      <w:sz w:val="18"/>
      <w:szCs w:val="18"/>
    </w:rPr>
  </w:style>
  <w:style w:type="paragraph" w:customStyle="1" w:styleId="231">
    <w:name w:val="正文段"/>
    <w:basedOn w:val="1"/>
    <w:qFormat/>
    <w:uiPriority w:val="99"/>
    <w:pPr>
      <w:widowControl/>
      <w:snapToGrid w:val="0"/>
      <w:spacing w:afterLines="50"/>
    </w:pPr>
    <w:rPr>
      <w:kern w:val="0"/>
      <w:sz w:val="24"/>
      <w:szCs w:val="20"/>
    </w:rPr>
  </w:style>
  <w:style w:type="paragraph" w:customStyle="1" w:styleId="232">
    <w:name w:val="xl11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3">
    <w:name w:val="TOC 标题2"/>
    <w:next w:val="1"/>
    <w:qFormat/>
    <w:uiPriority w:val="99"/>
    <w:pPr>
      <w:wordWrap w:val="0"/>
    </w:pPr>
    <w:rPr>
      <w:rFonts w:ascii="Times New Roman" w:hAnsi="Times New Roman" w:eastAsia="宋体" w:cs="Times New Roman"/>
      <w:sz w:val="32"/>
      <w:lang w:val="en-US" w:eastAsia="zh-CN" w:bidi="ar-SA"/>
    </w:rPr>
  </w:style>
  <w:style w:type="paragraph" w:customStyle="1" w:styleId="234">
    <w:name w:val="5 Char Char Char Char Char Char Char Char Char Char"/>
    <w:basedOn w:val="1"/>
    <w:qFormat/>
    <w:uiPriority w:val="99"/>
  </w:style>
  <w:style w:type="paragraph" w:customStyle="1" w:styleId="235">
    <w:name w:val="p0"/>
    <w:basedOn w:val="1"/>
    <w:qFormat/>
    <w:uiPriority w:val="99"/>
    <w:pPr>
      <w:widowControl/>
      <w:jc w:val="left"/>
    </w:pPr>
    <w:rPr>
      <w:kern w:val="0"/>
      <w:sz w:val="20"/>
      <w:szCs w:val="20"/>
    </w:rPr>
  </w:style>
  <w:style w:type="paragraph" w:customStyle="1" w:styleId="236">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37">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Cs w:val="21"/>
    </w:rPr>
  </w:style>
  <w:style w:type="paragraph" w:customStyle="1" w:styleId="238">
    <w:name w:val="xl121"/>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9">
    <w:name w:val="Char4"/>
    <w:basedOn w:val="1"/>
    <w:qFormat/>
    <w:uiPriority w:val="99"/>
    <w:rPr>
      <w:rFonts w:ascii="Tahoma" w:hAnsi="Tahoma"/>
      <w:sz w:val="24"/>
      <w:szCs w:val="20"/>
    </w:rPr>
  </w:style>
  <w:style w:type="paragraph" w:customStyle="1" w:styleId="240">
    <w:name w:val="Char Char Char1 Char"/>
    <w:basedOn w:val="1"/>
    <w:qFormat/>
    <w:uiPriority w:val="99"/>
    <w:rPr>
      <w:rFonts w:ascii="Calibri" w:hAnsi="Calibri"/>
      <w:szCs w:val="22"/>
    </w:rPr>
  </w:style>
  <w:style w:type="paragraph" w:customStyle="1" w:styleId="241">
    <w:name w:val="pic-info"/>
    <w:basedOn w:val="1"/>
    <w:qFormat/>
    <w:uiPriority w:val="99"/>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42">
    <w:name w:val="xl137"/>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3">
    <w:name w:val="xl145"/>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4">
    <w:name w:val="正文 New New New New"/>
    <w:qFormat/>
    <w:uiPriority w:val="99"/>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paragraph" w:customStyle="1" w:styleId="24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6">
    <w:name w:val="xl10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7">
    <w:name w:val="Char Char Char Char Char Char Char"/>
    <w:basedOn w:val="1"/>
    <w:qFormat/>
    <w:uiPriority w:val="99"/>
  </w:style>
  <w:style w:type="paragraph" w:customStyle="1" w:styleId="24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默认段落字体 Para Char Char Char Char Char Char Char Char Char Char Char Char Char Char Char Char Char Char Char"/>
    <w:basedOn w:val="1"/>
    <w:qFormat/>
    <w:uiPriority w:val="99"/>
    <w:rPr>
      <w:rFonts w:ascii="Calibri" w:hAnsi="Calibri"/>
      <w:szCs w:val="22"/>
    </w:rPr>
  </w:style>
  <w:style w:type="paragraph" w:customStyle="1" w:styleId="250">
    <w:name w:val="样式 标题 1 + 小二"/>
    <w:basedOn w:val="3"/>
    <w:qFormat/>
    <w:uiPriority w:val="99"/>
  </w:style>
  <w:style w:type="paragraph" w:customStyle="1" w:styleId="251">
    <w:name w:val="xl11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53">
    <w:name w:val="xl91"/>
    <w:basedOn w:val="1"/>
    <w:qFormat/>
    <w:uiPriority w:val="99"/>
    <w:pPr>
      <w:widowControl/>
      <w:pBdr>
        <w:top w:val="single" w:color="auto" w:sz="8" w:space="0"/>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54">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5">
    <w:name w:val="xl66"/>
    <w:basedOn w:val="1"/>
    <w:qFormat/>
    <w:uiPriority w:val="99"/>
    <w:pPr>
      <w:widowControl/>
      <w:spacing w:before="100" w:beforeAutospacing="1" w:after="100" w:afterAutospacing="1"/>
      <w:jc w:val="left"/>
      <w:textAlignment w:val="bottom"/>
    </w:pPr>
    <w:rPr>
      <w:rFonts w:ascii="宋体" w:hAnsi="宋体" w:cs="宋体"/>
      <w:color w:val="000000"/>
      <w:kern w:val="0"/>
      <w:szCs w:val="21"/>
    </w:rPr>
  </w:style>
  <w:style w:type="paragraph" w:customStyle="1" w:styleId="25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57">
    <w:name w:val="xl92"/>
    <w:basedOn w:val="1"/>
    <w:qFormat/>
    <w:uiPriority w:val="99"/>
    <w:pPr>
      <w:widowControl/>
      <w:pBdr>
        <w:bottom w:val="single" w:color="auto" w:sz="8" w:space="0"/>
      </w:pBdr>
      <w:spacing w:before="100" w:beforeAutospacing="1" w:after="100" w:afterAutospacing="1"/>
      <w:jc w:val="left"/>
      <w:textAlignment w:val="bottom"/>
    </w:pPr>
    <w:rPr>
      <w:rFonts w:ascii="宋体" w:hAnsi="宋体" w:cs="宋体"/>
      <w:kern w:val="0"/>
      <w:szCs w:val="21"/>
    </w:rPr>
  </w:style>
  <w:style w:type="paragraph" w:customStyle="1" w:styleId="25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59">
    <w:name w:val="xl1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1"/>
    </w:rPr>
  </w:style>
  <w:style w:type="paragraph" w:customStyle="1" w:styleId="260">
    <w:name w:val="xl9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1">
    <w:name w:val="xl11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2">
    <w:name w:val="gta-1"/>
    <w:basedOn w:val="1"/>
    <w:qFormat/>
    <w:uiPriority w:val="99"/>
    <w:pPr>
      <w:widowControl/>
      <w:spacing w:before="100" w:beforeAutospacing="1" w:after="100" w:afterAutospacing="1" w:line="360" w:lineRule="auto"/>
      <w:jc w:val="left"/>
    </w:pPr>
    <w:rPr>
      <w:rFonts w:ascii="宋体" w:hAnsi="宋体" w:cs="宋体"/>
      <w:kern w:val="0"/>
      <w:sz w:val="24"/>
    </w:rPr>
  </w:style>
  <w:style w:type="paragraph" w:customStyle="1" w:styleId="263">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4">
    <w:name w:val="msonormal"/>
    <w:basedOn w:val="1"/>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paragraph" w:customStyle="1" w:styleId="26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7">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68">
    <w:name w:val="font10"/>
    <w:basedOn w:val="1"/>
    <w:qFormat/>
    <w:uiPriority w:val="99"/>
    <w:pPr>
      <w:widowControl/>
      <w:spacing w:before="100" w:beforeAutospacing="1" w:after="100" w:afterAutospacing="1"/>
      <w:jc w:val="left"/>
    </w:pPr>
    <w:rPr>
      <w:kern w:val="0"/>
      <w:sz w:val="20"/>
      <w:szCs w:val="20"/>
    </w:rPr>
  </w:style>
  <w:style w:type="paragraph" w:customStyle="1" w:styleId="269">
    <w:name w:val="xl90"/>
    <w:basedOn w:val="1"/>
    <w:qFormat/>
    <w:uiPriority w:val="99"/>
    <w:pPr>
      <w:widowControl/>
      <w:pBdr>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70">
    <w:name w:val="TOC 标题1"/>
    <w:basedOn w:val="3"/>
    <w:next w:val="1"/>
    <w:qFormat/>
    <w:uiPriority w:val="99"/>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7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xl11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73">
    <w:name w:val="表格文字"/>
    <w:basedOn w:val="1"/>
    <w:qFormat/>
    <w:uiPriority w:val="99"/>
    <w:pPr>
      <w:spacing w:before="25" w:after="25"/>
      <w:jc w:val="left"/>
    </w:pPr>
    <w:rPr>
      <w:bCs/>
      <w:spacing w:val="10"/>
      <w:kern w:val="0"/>
      <w:sz w:val="24"/>
      <w:szCs w:val="20"/>
    </w:rPr>
  </w:style>
  <w:style w:type="paragraph" w:customStyle="1" w:styleId="274">
    <w:name w:val="xl65"/>
    <w:basedOn w:val="1"/>
    <w:qFormat/>
    <w:uiPriority w:val="99"/>
    <w:pPr>
      <w:widowControl/>
      <w:spacing w:before="100" w:beforeAutospacing="1" w:after="100" w:afterAutospacing="1"/>
      <w:jc w:val="center"/>
    </w:pPr>
    <w:rPr>
      <w:rFonts w:ascii="宋体" w:hAnsi="宋体" w:cs="宋体"/>
      <w:color w:val="000000"/>
      <w:kern w:val="0"/>
      <w:szCs w:val="21"/>
    </w:rPr>
  </w:style>
  <w:style w:type="paragraph" w:customStyle="1" w:styleId="275">
    <w:name w:val="xl88"/>
    <w:basedOn w:val="1"/>
    <w:qFormat/>
    <w:uiPriority w:val="99"/>
    <w:pPr>
      <w:widowControl/>
      <w:pBdr>
        <w:top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76">
    <w:name w:val="xl11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77">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278">
    <w:name w:val="xl13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79">
    <w:name w:val="xl1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81">
    <w:name w:val="xl1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2">
    <w:name w:val="xl74"/>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83">
    <w:name w:val="xl104"/>
    <w:basedOn w:val="1"/>
    <w:qFormat/>
    <w:uiPriority w:val="99"/>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84">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p15"/>
    <w:basedOn w:val="1"/>
    <w:qFormat/>
    <w:uiPriority w:val="99"/>
    <w:pPr>
      <w:widowControl/>
    </w:pPr>
    <w:rPr>
      <w:rFonts w:ascii="宋体" w:hAnsi="宋体" w:cs="宋体"/>
      <w:kern w:val="0"/>
      <w:szCs w:val="21"/>
    </w:rPr>
  </w:style>
  <w:style w:type="paragraph" w:customStyle="1" w:styleId="28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87">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8">
    <w:name w:val="正文-公1"/>
    <w:basedOn w:val="1"/>
    <w:qFormat/>
    <w:uiPriority w:val="99"/>
    <w:pPr>
      <w:spacing w:line="240" w:lineRule="auto"/>
      <w:jc w:val="left"/>
    </w:pPr>
    <w:rPr>
      <w:rFonts w:ascii="Calibri" w:hAnsi="Calibri" w:eastAsia="仿宋_GB2312"/>
    </w:rPr>
  </w:style>
  <w:style w:type="paragraph" w:customStyle="1" w:styleId="289">
    <w:name w:val="xl1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0">
    <w:name w:val="Char Char1 Char Char Char Char"/>
    <w:basedOn w:val="17"/>
    <w:qFormat/>
    <w:uiPriority w:val="99"/>
    <w:rPr>
      <w:rFonts w:ascii="Tahoma" w:hAnsi="Tahoma"/>
      <w:sz w:val="24"/>
    </w:rPr>
  </w:style>
  <w:style w:type="paragraph" w:customStyle="1" w:styleId="291">
    <w:name w:val="_Style 8"/>
    <w:basedOn w:val="17"/>
    <w:qFormat/>
    <w:uiPriority w:val="99"/>
    <w:pPr>
      <w:widowControl/>
      <w:spacing w:line="240" w:lineRule="auto"/>
      <w:ind w:firstLine="454" w:firstLineChars="0"/>
      <w:jc w:val="left"/>
    </w:pPr>
  </w:style>
  <w:style w:type="paragraph" w:customStyle="1" w:styleId="292">
    <w:name w:val="xl122"/>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3">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94">
    <w:name w:val="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95">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29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9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298">
    <w:name w:val="xl95"/>
    <w:basedOn w:val="1"/>
    <w:qFormat/>
    <w:uiPriority w:val="99"/>
    <w:pPr>
      <w:widowControl/>
      <w:pBdr>
        <w:bottom w:val="single" w:color="auto" w:sz="8" w:space="0"/>
      </w:pBdr>
      <w:spacing w:before="100" w:beforeAutospacing="1" w:after="100" w:afterAutospacing="1"/>
      <w:jc w:val="left"/>
    </w:pPr>
    <w:rPr>
      <w:rFonts w:ascii="宋体" w:hAnsi="宋体" w:cs="宋体"/>
      <w:color w:val="000000"/>
      <w:kern w:val="0"/>
      <w:szCs w:val="21"/>
    </w:rPr>
  </w:style>
  <w:style w:type="paragraph" w:customStyle="1" w:styleId="299">
    <w:name w:val="文档正文"/>
    <w:basedOn w:val="1"/>
    <w:qFormat/>
    <w:uiPriority w:val="99"/>
    <w:pPr>
      <w:autoSpaceDE w:val="0"/>
      <w:autoSpaceDN w:val="0"/>
      <w:adjustRightInd w:val="0"/>
      <w:spacing w:line="240" w:lineRule="atLeast"/>
      <w:ind w:firstLine="567"/>
    </w:pPr>
    <w:rPr>
      <w:rFonts w:ascii="Arial Narrow" w:hAnsi="Arial Narrow" w:cs="Arial"/>
      <w:sz w:val="24"/>
      <w:lang w:val="zh-CN"/>
    </w:rPr>
  </w:style>
  <w:style w:type="paragraph" w:customStyle="1" w:styleId="300">
    <w:name w:val="xl13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01">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2">
    <w:name w:val="p18"/>
    <w:basedOn w:val="1"/>
    <w:qFormat/>
    <w:uiPriority w:val="99"/>
    <w:pPr>
      <w:widowControl/>
      <w:spacing w:line="240" w:lineRule="auto"/>
      <w:ind w:firstLine="0" w:firstLineChars="0"/>
    </w:pPr>
    <w:rPr>
      <w:rFonts w:ascii="宋体" w:hAnsi="宋体" w:cs="宋体"/>
      <w:kern w:val="0"/>
      <w:szCs w:val="21"/>
    </w:rPr>
  </w:style>
  <w:style w:type="paragraph" w:customStyle="1" w:styleId="303">
    <w:name w:val="xl136"/>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04">
    <w:name w:val="xl11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5">
    <w:name w:val="xl63"/>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306">
    <w:name w:val="_Style 2"/>
    <w:basedOn w:val="1"/>
    <w:qFormat/>
    <w:uiPriority w:val="99"/>
    <w:pPr>
      <w:ind w:firstLine="420"/>
    </w:pPr>
  </w:style>
  <w:style w:type="paragraph" w:customStyle="1" w:styleId="307">
    <w:name w:val="xl97"/>
    <w:basedOn w:val="1"/>
    <w:qFormat/>
    <w:uiPriority w:val="99"/>
    <w:pPr>
      <w:widowControl/>
      <w:spacing w:before="100" w:beforeAutospacing="1" w:after="100" w:afterAutospacing="1"/>
      <w:jc w:val="left"/>
      <w:textAlignment w:val="bottom"/>
    </w:pPr>
    <w:rPr>
      <w:kern w:val="0"/>
      <w:sz w:val="20"/>
      <w:szCs w:val="20"/>
    </w:rPr>
  </w:style>
  <w:style w:type="paragraph" w:customStyle="1" w:styleId="308">
    <w:name w:val="默认段落字体 Para Char Char Char Char Char Char Char Char Char1 Char Char Char Char"/>
    <w:basedOn w:val="1"/>
    <w:qFormat/>
    <w:uiPriority w:val="99"/>
    <w:rPr>
      <w:rFonts w:ascii="Tahoma" w:hAnsi="Tahoma"/>
      <w:sz w:val="24"/>
      <w:szCs w:val="20"/>
    </w:rPr>
  </w:style>
  <w:style w:type="paragraph" w:customStyle="1" w:styleId="309">
    <w:name w:val="Char"/>
    <w:basedOn w:val="17"/>
    <w:qFormat/>
    <w:uiPriority w:val="99"/>
    <w:pPr>
      <w:widowControl/>
      <w:ind w:firstLine="454"/>
      <w:jc w:val="left"/>
    </w:pPr>
    <w:rPr>
      <w:rFonts w:ascii="Tahoma" w:hAnsi="Tahoma" w:cs="宋体"/>
      <w:kern w:val="0"/>
      <w:sz w:val="24"/>
      <w:szCs w:val="20"/>
    </w:rPr>
  </w:style>
  <w:style w:type="paragraph" w:customStyle="1" w:styleId="310">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11">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312">
    <w:name w:val="font9"/>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13">
    <w:name w:val="xl9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1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315">
    <w:name w:val="xl14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6">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317">
    <w:name w:val="样式2"/>
    <w:basedOn w:val="6"/>
    <w:qFormat/>
    <w:uiPriority w:val="99"/>
    <w:rPr>
      <w:rFonts w:ascii="仿宋_GB2312" w:hAnsi="宋体" w:eastAsia="仿宋_GB2312" w:cs="宋体"/>
      <w:kern w:val="0"/>
      <w:sz w:val="24"/>
    </w:rPr>
  </w:style>
  <w:style w:type="paragraph" w:customStyle="1" w:styleId="318">
    <w:name w:val="Heading2"/>
    <w:next w:val="1"/>
    <w:qFormat/>
    <w:uiPriority w:val="99"/>
    <w:pPr>
      <w:keepNext/>
      <w:keepLines/>
      <w:widowControl w:val="0"/>
      <w:spacing w:before="60" w:after="60" w:line="413" w:lineRule="auto"/>
      <w:jc w:val="both"/>
      <w:textAlignment w:val="baseline"/>
    </w:pPr>
    <w:rPr>
      <w:rFonts w:ascii="Arial" w:hAnsi="Arial" w:eastAsia="黑体" w:cs="Times New Roman"/>
      <w:b/>
      <w:bCs/>
      <w:kern w:val="2"/>
      <w:sz w:val="21"/>
      <w:szCs w:val="32"/>
      <w:lang w:val="en-US" w:eastAsia="zh-CN" w:bidi="ar-SA"/>
    </w:rPr>
  </w:style>
  <w:style w:type="paragraph" w:customStyle="1" w:styleId="319">
    <w:name w:val="xl12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20">
    <w:name w:val="浅色网格 - 强调文字颜色 32"/>
    <w:basedOn w:val="1"/>
    <w:qFormat/>
    <w:uiPriority w:val="99"/>
    <w:pPr>
      <w:ind w:firstLine="420"/>
    </w:pPr>
    <w:rPr>
      <w:rFonts w:ascii="Calibri" w:hAnsi="Calibri"/>
      <w:szCs w:val="22"/>
    </w:rPr>
  </w:style>
  <w:style w:type="paragraph" w:customStyle="1" w:styleId="321">
    <w:name w:val="xl87"/>
    <w:basedOn w:val="1"/>
    <w:qFormat/>
    <w:uiPriority w:val="99"/>
    <w:pPr>
      <w:widowControl/>
      <w:pBdr>
        <w:bottom w:val="single" w:color="auto" w:sz="8" w:space="0"/>
      </w:pBdr>
      <w:spacing w:before="100" w:beforeAutospacing="1" w:after="100" w:afterAutospacing="1"/>
      <w:jc w:val="left"/>
    </w:pPr>
    <w:rPr>
      <w:rFonts w:ascii="宋体" w:hAnsi="宋体" w:cs="宋体"/>
      <w:kern w:val="0"/>
      <w:szCs w:val="21"/>
    </w:rPr>
  </w:style>
  <w:style w:type="paragraph" w:customStyle="1" w:styleId="322">
    <w:name w:val="列表段落1"/>
    <w:basedOn w:val="1"/>
    <w:qFormat/>
    <w:uiPriority w:val="34"/>
    <w:pPr>
      <w:spacing w:line="240" w:lineRule="auto"/>
    </w:pPr>
    <w:rPr>
      <w:rFonts w:ascii="Calibri" w:hAnsi="Calibri"/>
    </w:rPr>
  </w:style>
  <w:style w:type="paragraph" w:customStyle="1" w:styleId="323">
    <w:name w:val="font6"/>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24">
    <w:name w:val="unnamed1"/>
    <w:basedOn w:val="1"/>
    <w:qFormat/>
    <w:uiPriority w:val="99"/>
    <w:pPr>
      <w:widowControl/>
      <w:spacing w:before="100" w:beforeAutospacing="1" w:after="100" w:afterAutospacing="1" w:line="288" w:lineRule="auto"/>
      <w:jc w:val="left"/>
    </w:pPr>
    <w:rPr>
      <w:rFonts w:ascii="宋体" w:hAnsi="宋体"/>
      <w:kern w:val="0"/>
      <w:szCs w:val="21"/>
    </w:rPr>
  </w:style>
  <w:style w:type="paragraph" w:customStyle="1" w:styleId="325">
    <w:name w:val="Other|1"/>
    <w:basedOn w:val="1"/>
    <w:qFormat/>
    <w:uiPriority w:val="99"/>
    <w:pPr>
      <w:spacing w:line="240" w:lineRule="auto"/>
      <w:ind w:firstLine="0" w:firstLineChars="0"/>
    </w:pPr>
    <w:rPr>
      <w:rFonts w:ascii="宋体" w:hAnsi="宋体" w:cs="宋体"/>
      <w:lang w:val="zh-TW" w:eastAsia="zh-TW" w:bidi="zh-TW"/>
    </w:rPr>
  </w:style>
  <w:style w:type="paragraph" w:customStyle="1" w:styleId="326">
    <w:name w:val="xl93"/>
    <w:basedOn w:val="1"/>
    <w:qFormat/>
    <w:uiPriority w:val="99"/>
    <w:pPr>
      <w:widowControl/>
      <w:pBdr>
        <w:top w:val="single" w:color="auto" w:sz="8" w:space="0"/>
      </w:pBdr>
      <w:spacing w:before="100" w:beforeAutospacing="1" w:after="100" w:afterAutospacing="1"/>
      <w:jc w:val="left"/>
    </w:pPr>
    <w:rPr>
      <w:rFonts w:ascii="宋体" w:hAnsi="宋体" w:cs="宋体"/>
      <w:color w:val="000000"/>
      <w:kern w:val="0"/>
      <w:szCs w:val="21"/>
    </w:rPr>
  </w:style>
  <w:style w:type="paragraph" w:customStyle="1" w:styleId="327">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28">
    <w:name w:val="font8"/>
    <w:basedOn w:val="1"/>
    <w:qFormat/>
    <w:uiPriority w:val="99"/>
    <w:pPr>
      <w:widowControl/>
      <w:spacing w:before="100" w:beforeAutospacing="1" w:after="100" w:afterAutospacing="1"/>
      <w:jc w:val="left"/>
    </w:pPr>
    <w:rPr>
      <w:color w:val="000000"/>
      <w:kern w:val="0"/>
      <w:sz w:val="22"/>
      <w:szCs w:val="22"/>
    </w:rPr>
  </w:style>
  <w:style w:type="paragraph" w:customStyle="1" w:styleId="329">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0">
    <w:name w:val="1"/>
    <w:basedOn w:val="1"/>
    <w:next w:val="28"/>
    <w:qFormat/>
    <w:uiPriority w:val="99"/>
    <w:rPr>
      <w:rFonts w:ascii="宋体" w:hAnsi="Courier New"/>
      <w:szCs w:val="20"/>
    </w:rPr>
  </w:style>
  <w:style w:type="paragraph" w:customStyle="1" w:styleId="331">
    <w:name w:val="投标文件"/>
    <w:basedOn w:val="45"/>
    <w:qFormat/>
    <w:uiPriority w:val="99"/>
  </w:style>
  <w:style w:type="paragraph" w:customStyle="1" w:styleId="332">
    <w:name w:val="xl11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33">
    <w:name w:val="xl10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3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35">
    <w:name w:val="xl12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6">
    <w:name w:val="List Paragraph1"/>
    <w:basedOn w:val="1"/>
    <w:qFormat/>
    <w:uiPriority w:val="99"/>
    <w:pPr>
      <w:ind w:firstLine="420"/>
    </w:pPr>
  </w:style>
  <w:style w:type="table" w:customStyle="1" w:styleId="337">
    <w:name w:val="网格型2"/>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3"/>
    <w:basedOn w:val="49"/>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1"/>
    <w:basedOn w:val="4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0">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41">
    <w:name w:val="默认 A"/>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126</Pages>
  <Words>13891</Words>
  <Characters>79180</Characters>
  <Lines>659</Lines>
  <Paragraphs>185</Paragraphs>
  <TotalTime>0</TotalTime>
  <ScaleCrop>false</ScaleCrop>
  <LinksUpToDate>false</LinksUpToDate>
  <CharactersWithSpaces>92886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2025-08-26T07:20:00Z</dcterms:created>
  <dc:creator>Administrator</dc:creator>
  <cp:lastModifiedBy>Lenovo</cp:lastModifiedBy>
  <cp:lastPrinted>2025-09-15T01:22:00Z</cp:lastPrinted>
  <dcterms:modified xsi:type="dcterms:W3CDTF">2025-09-26T03:20:43Z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1BD7929C4BB24CC7A52E5BE716731B84</vt:lpwstr>
  </property>
  <property fmtid="{D5CDD505-2E9C-101B-9397-08002B2CF9AE}" pid="4" name="KSOTemplateDocerSaveRecord">
    <vt:lpwstr>eyJoZGlkIjoiMzJjNWE1NjNmNDE2OTRjZjJlOWMyMWJkODk5NmYzOTUifQ==</vt:lpwstr>
  </property>
</Properties>
</file>