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627D4">
      <w:pPr>
        <w:spacing w:after="312" w:afterLines="100"/>
        <w:jc w:val="center"/>
        <w:rPr>
          <w:rFonts w:ascii="Times New Roman" w:hAnsi="Times New Roman" w:eastAsia="微软雅黑" w:cs="Times New Roman"/>
          <w:b/>
          <w:bCs/>
          <w:color w:val="000000"/>
          <w:sz w:val="36"/>
          <w:szCs w:val="36"/>
        </w:rPr>
      </w:pPr>
      <w:r>
        <w:rPr>
          <w:rFonts w:hint="eastAsia" w:ascii="Times New Roman" w:hAnsi="Times New Roman" w:eastAsia="微软雅黑" w:cs="Times New Roman"/>
          <w:b/>
          <w:bCs/>
          <w:color w:val="000000"/>
          <w:sz w:val="36"/>
          <w:szCs w:val="36"/>
        </w:rPr>
        <w:t>东兴市农业农村局</w:t>
      </w:r>
      <w:r>
        <w:rPr>
          <w:rFonts w:ascii="Times New Roman" w:hAnsi="Times New Roman" w:eastAsia="微软雅黑" w:cs="Times New Roman"/>
          <w:b/>
          <w:bCs/>
          <w:color w:val="000000"/>
          <w:sz w:val="36"/>
          <w:szCs w:val="36"/>
        </w:rPr>
        <w:t>2025年10月</w:t>
      </w:r>
      <w:r>
        <w:rPr>
          <w:rFonts w:hint="eastAsia" w:ascii="Times New Roman" w:hAnsi="Times New Roman" w:eastAsia="微软雅黑" w:cs="Times New Roman"/>
          <w:b/>
          <w:bCs/>
          <w:color w:val="000000"/>
          <w:sz w:val="36"/>
          <w:szCs w:val="36"/>
        </w:rPr>
        <w:t>至11月</w:t>
      </w:r>
      <w:r>
        <w:rPr>
          <w:rFonts w:ascii="Times New Roman" w:hAnsi="Times New Roman" w:eastAsia="微软雅黑" w:cs="Times New Roman"/>
          <w:b/>
          <w:bCs/>
          <w:color w:val="000000"/>
          <w:sz w:val="36"/>
          <w:szCs w:val="36"/>
        </w:rPr>
        <w:t>政府采购意向</w:t>
      </w:r>
    </w:p>
    <w:p w14:paraId="509AF1A8">
      <w:pPr>
        <w:spacing w:line="48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Fonts w:hint="eastAsia" w:ascii="Times New Roman" w:hAnsi="Times New Roman" w:eastAsia="仿宋_GB2312" w:cs="Times New Roman"/>
          <w:color w:val="000000"/>
          <w:sz w:val="28"/>
          <w:szCs w:val="28"/>
        </w:rPr>
        <w:t>东兴市农业农村</w:t>
      </w:r>
      <w:r>
        <w:rPr>
          <w:rFonts w:hint="eastAsia" w:ascii="Times New Roman" w:hAnsi="Times New Roman" w:eastAsia="仿宋_GB2312" w:cs="Times New Roman"/>
          <w:color w:val="000000"/>
          <w:sz w:val="28"/>
          <w:szCs w:val="28"/>
          <w:lang w:eastAsia="zh-CN"/>
        </w:rPr>
        <w:t>水利</w:t>
      </w:r>
      <w:r>
        <w:rPr>
          <w:rFonts w:hint="eastAsia" w:ascii="Times New Roman" w:hAnsi="Times New Roman" w:eastAsia="仿宋_GB2312" w:cs="Times New Roman"/>
          <w:color w:val="000000"/>
          <w:sz w:val="28"/>
          <w:szCs w:val="28"/>
        </w:rPr>
        <w:t>局</w:t>
      </w:r>
      <w:r>
        <w:rPr>
          <w:rFonts w:ascii="Times New Roman" w:hAnsi="Times New Roman" w:eastAsia="仿宋_GB2312" w:cs="Times New Roman"/>
          <w:color w:val="000000"/>
          <w:sz w:val="28"/>
          <w:szCs w:val="28"/>
        </w:rPr>
        <w:t>2025年10月</w:t>
      </w:r>
      <w:r>
        <w:rPr>
          <w:rFonts w:hint="eastAsia" w:ascii="Times New Roman" w:hAnsi="Times New Roman" w:eastAsia="仿宋_GB2312" w:cs="Times New Roman"/>
          <w:color w:val="000000"/>
          <w:sz w:val="28"/>
          <w:szCs w:val="28"/>
        </w:rPr>
        <w:t>至11月</w:t>
      </w:r>
      <w:r>
        <w:rPr>
          <w:rFonts w:ascii="Times New Roman" w:hAnsi="Times New Roman" w:eastAsia="仿宋_GB2312" w:cs="Times New Roman"/>
          <w:color w:val="000000"/>
          <w:sz w:val="28"/>
          <w:szCs w:val="28"/>
        </w:rPr>
        <w:t>采购意向公开如下：</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2052"/>
        <w:gridCol w:w="5344"/>
        <w:gridCol w:w="1505"/>
        <w:gridCol w:w="1239"/>
        <w:gridCol w:w="1596"/>
        <w:gridCol w:w="1406"/>
      </w:tblGrid>
      <w:tr w14:paraId="7C19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364" w:type="pct"/>
            <w:vAlign w:val="center"/>
          </w:tcPr>
          <w:p w14:paraId="2DC08E49">
            <w:pPr>
              <w:spacing w:line="400" w:lineRule="exact"/>
              <w:jc w:val="center"/>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序号</w:t>
            </w:r>
          </w:p>
        </w:tc>
        <w:tc>
          <w:tcPr>
            <w:tcW w:w="724" w:type="pct"/>
            <w:vAlign w:val="center"/>
          </w:tcPr>
          <w:p w14:paraId="4228E262">
            <w:pPr>
              <w:spacing w:line="400" w:lineRule="exact"/>
              <w:jc w:val="center"/>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采购项目名称</w:t>
            </w:r>
          </w:p>
        </w:tc>
        <w:tc>
          <w:tcPr>
            <w:tcW w:w="1885" w:type="pct"/>
            <w:vAlign w:val="center"/>
          </w:tcPr>
          <w:p w14:paraId="741B8DDB">
            <w:pPr>
              <w:spacing w:line="400" w:lineRule="exact"/>
              <w:jc w:val="center"/>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采购需求概况</w:t>
            </w:r>
          </w:p>
        </w:tc>
        <w:tc>
          <w:tcPr>
            <w:tcW w:w="531" w:type="pct"/>
            <w:vAlign w:val="center"/>
          </w:tcPr>
          <w:p w14:paraId="370E1F4F">
            <w:pPr>
              <w:spacing w:line="400" w:lineRule="exact"/>
              <w:jc w:val="center"/>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预算金额（万元）</w:t>
            </w:r>
          </w:p>
        </w:tc>
        <w:tc>
          <w:tcPr>
            <w:tcW w:w="437" w:type="pct"/>
            <w:vAlign w:val="center"/>
          </w:tcPr>
          <w:p w14:paraId="6E957DCC">
            <w:pPr>
              <w:spacing w:line="400" w:lineRule="exact"/>
              <w:jc w:val="center"/>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预计采购时间(填写到月)</w:t>
            </w:r>
          </w:p>
        </w:tc>
        <w:tc>
          <w:tcPr>
            <w:tcW w:w="563" w:type="pct"/>
            <w:vAlign w:val="center"/>
          </w:tcPr>
          <w:p w14:paraId="197A7597">
            <w:pPr>
              <w:spacing w:line="400" w:lineRule="exact"/>
              <w:jc w:val="center"/>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落实政府采购政策功能情况</w:t>
            </w:r>
          </w:p>
        </w:tc>
        <w:tc>
          <w:tcPr>
            <w:tcW w:w="496" w:type="pct"/>
            <w:vAlign w:val="center"/>
          </w:tcPr>
          <w:p w14:paraId="36F11CFC">
            <w:pPr>
              <w:spacing w:line="400" w:lineRule="exact"/>
              <w:jc w:val="center"/>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备注</w:t>
            </w:r>
          </w:p>
        </w:tc>
      </w:tr>
      <w:tr w14:paraId="52D9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364" w:type="pct"/>
            <w:vAlign w:val="center"/>
          </w:tcPr>
          <w:p w14:paraId="683917E7">
            <w:pPr>
              <w:spacing w:line="40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w:t>
            </w:r>
          </w:p>
        </w:tc>
        <w:tc>
          <w:tcPr>
            <w:tcW w:w="724" w:type="pct"/>
            <w:vAlign w:val="center"/>
          </w:tcPr>
          <w:p w14:paraId="48606CD6">
            <w:pPr>
              <w:spacing w:line="40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东兴市农村乱占耕地建房住宅类房屋专项整治第二步试点测绘服务项目</w:t>
            </w:r>
          </w:p>
        </w:tc>
        <w:tc>
          <w:tcPr>
            <w:tcW w:w="1885" w:type="pct"/>
            <w:vAlign w:val="center"/>
          </w:tcPr>
          <w:p w14:paraId="05D981E8">
            <w:pPr>
              <w:spacing w:line="40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东兴市农村乱占耕地建房住宅类房屋专项整治第二步试点测绘服务项目，包括精准测绘、入户补充调查、各项问题图斑分析图和外业核查、数据库更新与汇交、一宗一档数字化等</w:t>
            </w:r>
            <w:r>
              <w:rPr>
                <w:rFonts w:ascii="Times New Roman" w:hAnsi="Times New Roman" w:eastAsia="仿宋_GB2312" w:cs="Times New Roman"/>
                <w:color w:val="000000"/>
                <w:sz w:val="28"/>
                <w:szCs w:val="28"/>
              </w:rPr>
              <w:t>。</w:t>
            </w:r>
          </w:p>
        </w:tc>
        <w:tc>
          <w:tcPr>
            <w:tcW w:w="531" w:type="pct"/>
            <w:vAlign w:val="center"/>
          </w:tcPr>
          <w:p w14:paraId="118D204F">
            <w:pPr>
              <w:spacing w:line="400" w:lineRule="exact"/>
              <w:jc w:val="cente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420</w:t>
            </w:r>
          </w:p>
        </w:tc>
        <w:tc>
          <w:tcPr>
            <w:tcW w:w="437" w:type="pct"/>
            <w:vAlign w:val="center"/>
          </w:tcPr>
          <w:p w14:paraId="2CE4469F">
            <w:pPr>
              <w:spacing w:line="40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202</w:t>
            </w:r>
            <w:r>
              <w:rPr>
                <w:rFonts w:hint="eastAsia" w:ascii="Times New Roman" w:hAnsi="Times New Roman" w:eastAsia="仿宋_GB2312" w:cs="Times New Roman"/>
                <w:color w:val="000000"/>
                <w:sz w:val="28"/>
                <w:szCs w:val="28"/>
              </w:rPr>
              <w:t>5</w:t>
            </w:r>
            <w:r>
              <w:rPr>
                <w:rFonts w:ascii="Times New Roman" w:hAnsi="Times New Roman" w:eastAsia="仿宋_GB2312" w:cs="Times New Roman"/>
                <w:color w:val="000000"/>
                <w:sz w:val="28"/>
                <w:szCs w:val="28"/>
              </w:rPr>
              <w:t>年10月</w:t>
            </w:r>
            <w:r>
              <w:rPr>
                <w:rFonts w:hint="eastAsia" w:ascii="Times New Roman" w:hAnsi="Times New Roman" w:eastAsia="仿宋_GB2312" w:cs="Times New Roman"/>
                <w:color w:val="000000"/>
                <w:sz w:val="28"/>
                <w:szCs w:val="28"/>
              </w:rPr>
              <w:t>至11月</w:t>
            </w:r>
          </w:p>
        </w:tc>
        <w:tc>
          <w:tcPr>
            <w:tcW w:w="563" w:type="pct"/>
            <w:vAlign w:val="center"/>
          </w:tcPr>
          <w:p w14:paraId="391EA2F5">
            <w:pPr>
              <w:spacing w:line="40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严格执行政府采购政策。</w:t>
            </w:r>
          </w:p>
        </w:tc>
        <w:tc>
          <w:tcPr>
            <w:tcW w:w="496" w:type="pct"/>
            <w:vAlign w:val="center"/>
          </w:tcPr>
          <w:p w14:paraId="1B73DF6D">
            <w:pPr>
              <w:spacing w:line="40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最终采购资金以国家和自治区下达资金为准。</w:t>
            </w:r>
          </w:p>
        </w:tc>
      </w:tr>
    </w:tbl>
    <w:p w14:paraId="6F3F652B">
      <w:pPr>
        <w:spacing w:line="4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本次公开的采购意向是本单位政府采购工作的初步安排，具体采购项目情况以相关采购公告和采购文件为准。</w:t>
      </w:r>
    </w:p>
    <w:p w14:paraId="7DF09B64">
      <w:pPr>
        <w:spacing w:line="400" w:lineRule="exact"/>
        <w:ind w:firstLine="560" w:firstLineChars="200"/>
        <w:rPr>
          <w:rFonts w:ascii="Times New Roman" w:hAnsi="Times New Roman" w:eastAsia="仿宋_GB2312" w:cs="Times New Roman"/>
          <w:color w:val="000000"/>
          <w:sz w:val="28"/>
          <w:szCs w:val="28"/>
        </w:rPr>
      </w:pPr>
    </w:p>
    <w:p w14:paraId="045F0512">
      <w:pPr>
        <w:spacing w:line="400" w:lineRule="exact"/>
        <w:jc w:val="righ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东兴市农业农村</w:t>
      </w:r>
      <w:r>
        <w:rPr>
          <w:rFonts w:hint="eastAsia" w:ascii="Times New Roman" w:hAnsi="Times New Roman" w:eastAsia="仿宋_GB2312" w:cs="Times New Roman"/>
          <w:color w:val="000000"/>
          <w:sz w:val="28"/>
          <w:szCs w:val="28"/>
          <w:lang w:eastAsia="zh-CN"/>
        </w:rPr>
        <w:t>水利</w:t>
      </w:r>
      <w:r>
        <w:rPr>
          <w:rFonts w:hint="eastAsia" w:ascii="Times New Roman" w:hAnsi="Times New Roman" w:eastAsia="仿宋_GB2312" w:cs="Times New Roman"/>
          <w:color w:val="000000"/>
          <w:sz w:val="28"/>
          <w:szCs w:val="28"/>
        </w:rPr>
        <w:t>局</w:t>
      </w:r>
    </w:p>
    <w:p w14:paraId="40A01336">
      <w:pPr>
        <w:spacing w:line="400" w:lineRule="exact"/>
        <w:jc w:val="righ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2025年</w:t>
      </w:r>
      <w:r>
        <w:rPr>
          <w:rFonts w:hint="eastAsia" w:ascii="Times New Roman" w:hAnsi="Times New Roman" w:eastAsia="仿宋_GB2312" w:cs="Times New Roman"/>
          <w:color w:val="000000"/>
          <w:sz w:val="28"/>
          <w:szCs w:val="28"/>
        </w:rPr>
        <w:t>10</w:t>
      </w:r>
      <w:r>
        <w:rPr>
          <w:rFonts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rPr>
        <w:t>1</w:t>
      </w:r>
      <w:r>
        <w:rPr>
          <w:rFonts w:hint="eastAsia" w:ascii="Times New Roman" w:hAnsi="Times New Roman" w:eastAsia="仿宋_GB2312" w:cs="Times New Roman"/>
          <w:color w:val="000000"/>
          <w:sz w:val="28"/>
          <w:szCs w:val="28"/>
          <w:lang w:val="en-US" w:eastAsia="zh-CN"/>
        </w:rPr>
        <w:t>4</w:t>
      </w:r>
      <w:r>
        <w:rPr>
          <w:rFonts w:ascii="Times New Roman" w:hAnsi="Times New Roman" w:eastAsia="仿宋_GB2312" w:cs="Times New Roman"/>
          <w:color w:val="000000"/>
          <w:sz w:val="28"/>
          <w:szCs w:val="28"/>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CB8"/>
    <w:rsid w:val="00150EAD"/>
    <w:rsid w:val="005A25F4"/>
    <w:rsid w:val="00656DDB"/>
    <w:rsid w:val="00955CB8"/>
    <w:rsid w:val="009A5E13"/>
    <w:rsid w:val="00BC3A1F"/>
    <w:rsid w:val="00E144C1"/>
    <w:rsid w:val="01877B89"/>
    <w:rsid w:val="026C4FD1"/>
    <w:rsid w:val="02B05440"/>
    <w:rsid w:val="0C9A045E"/>
    <w:rsid w:val="0D186481"/>
    <w:rsid w:val="0F076F9B"/>
    <w:rsid w:val="12B72298"/>
    <w:rsid w:val="130D1EB8"/>
    <w:rsid w:val="134C0495"/>
    <w:rsid w:val="14215C1B"/>
    <w:rsid w:val="142179C9"/>
    <w:rsid w:val="154E79E0"/>
    <w:rsid w:val="15E45152"/>
    <w:rsid w:val="16B35B90"/>
    <w:rsid w:val="172B0B5F"/>
    <w:rsid w:val="179D7B8A"/>
    <w:rsid w:val="17BD20FF"/>
    <w:rsid w:val="1BBC447B"/>
    <w:rsid w:val="1C095BE1"/>
    <w:rsid w:val="1E220F0E"/>
    <w:rsid w:val="20322F5E"/>
    <w:rsid w:val="20C95670"/>
    <w:rsid w:val="264D28A0"/>
    <w:rsid w:val="272D73D8"/>
    <w:rsid w:val="2ABC2B33"/>
    <w:rsid w:val="2AE632C3"/>
    <w:rsid w:val="2B2C33CC"/>
    <w:rsid w:val="2CB828E3"/>
    <w:rsid w:val="2D5C1020"/>
    <w:rsid w:val="2F0D1FE2"/>
    <w:rsid w:val="2F860BD0"/>
    <w:rsid w:val="30092F63"/>
    <w:rsid w:val="317F567A"/>
    <w:rsid w:val="32182233"/>
    <w:rsid w:val="3CB6479B"/>
    <w:rsid w:val="3D127F47"/>
    <w:rsid w:val="3D244726"/>
    <w:rsid w:val="4168282C"/>
    <w:rsid w:val="43850E6C"/>
    <w:rsid w:val="43FD36FF"/>
    <w:rsid w:val="44E16B7D"/>
    <w:rsid w:val="45701CAF"/>
    <w:rsid w:val="45B813D8"/>
    <w:rsid w:val="49861083"/>
    <w:rsid w:val="4A7B3E41"/>
    <w:rsid w:val="4C0D0258"/>
    <w:rsid w:val="4EF27FD8"/>
    <w:rsid w:val="5531213F"/>
    <w:rsid w:val="5603587C"/>
    <w:rsid w:val="59DD395F"/>
    <w:rsid w:val="5BFD029B"/>
    <w:rsid w:val="5C0F141D"/>
    <w:rsid w:val="643C5726"/>
    <w:rsid w:val="6643476D"/>
    <w:rsid w:val="67DA328C"/>
    <w:rsid w:val="6A28143D"/>
    <w:rsid w:val="6AB73073"/>
    <w:rsid w:val="6BCB23C0"/>
    <w:rsid w:val="71233EF6"/>
    <w:rsid w:val="7311297D"/>
    <w:rsid w:val="732F0441"/>
    <w:rsid w:val="73AB56B6"/>
    <w:rsid w:val="758D5DE2"/>
    <w:rsid w:val="795F2F24"/>
    <w:rsid w:val="79FA5A10"/>
    <w:rsid w:val="7BB203CE"/>
    <w:rsid w:val="7C24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pPr>
    <w:rPr>
      <w:rFonts w:eastAsia="仿宋_GB2312"/>
      <w:sz w:val="2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tabs>
        <w:tab w:val="right" w:leader="dot" w:pos="8306"/>
      </w:tabs>
    </w:pPr>
    <w:rPr>
      <w:rFonts w:eastAsia="仿宋_GB2312"/>
      <w:sz w:val="28"/>
    </w:rPr>
  </w:style>
  <w:style w:type="paragraph" w:styleId="6">
    <w:name w:val="toc 2"/>
    <w:basedOn w:val="1"/>
    <w:next w:val="1"/>
    <w:qFormat/>
    <w:uiPriority w:val="0"/>
    <w:pPr>
      <w:ind w:left="420" w:leftChars="200"/>
    </w:pPr>
    <w:rPr>
      <w:rFonts w:eastAsia="仿宋_GB2312"/>
      <w:sz w:val="2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4"/>
    <w:qFormat/>
    <w:uiPriority w:val="0"/>
    <w:rPr>
      <w:rFonts w:asciiTheme="minorHAnsi" w:hAnsiTheme="minorHAnsi" w:eastAsiaTheme="minorEastAsia" w:cstheme="minorBidi"/>
      <w:kern w:val="2"/>
      <w:sz w:val="18"/>
      <w:szCs w:val="18"/>
    </w:rPr>
  </w:style>
  <w:style w:type="character" w:customStyle="1" w:styleId="11">
    <w:name w:val="页脚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1</Pages>
  <Words>406</Words>
  <Characters>440</Characters>
  <Lines>3</Lines>
  <Paragraphs>1</Paragraphs>
  <TotalTime>6</TotalTime>
  <ScaleCrop>false</ScaleCrop>
  <LinksUpToDate>false</LinksUpToDate>
  <CharactersWithSpaces>440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2025-10-13T13:20:00Z</dcterms:created>
  <dc:creator>Administrator</dc:creator>
  <cp:lastModifiedBy>福星高照！</cp:lastModifiedBy>
  <dcterms:modified xsi:type="dcterms:W3CDTF">2025-10-14T03:23:37Z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CF9F91B3739A47EBA6BEEB7703B19BF5_12</vt:lpwstr>
  </property>
  <property fmtid="{D5CDD505-2E9C-101B-9397-08002B2CF9AE}" pid="4" name="KSOTemplateDocerSaveRecord">
    <vt:lpwstr>eyJoZGlkIjoiMDcwMTk1N2Q4ZTdiMGQ1YTRmYjU0MWY1MDg1MDJiNzEiLCJ1c2VySWQiOiI0Mjc3NjkxMTIifQ==</vt:lpwstr>
  </property>
</Properties>
</file>