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梧州市第十五中学空调采购项目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更正公告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5"/>
        <w:snapToGrid w:val="0"/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项目基本情况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原公告的采购项目编号：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WZZC2024-J1-00863-CGZX</w:t>
      </w:r>
    </w:p>
    <w:p>
      <w:pPr>
        <w:pStyle w:val="5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原公告的采购项目名称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梧州市第十五中学空调采购项目</w:t>
      </w:r>
    </w:p>
    <w:p>
      <w:pPr>
        <w:pStyle w:val="5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首次公告日期：202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pStyle w:val="5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二、更正信息</w:t>
      </w:r>
    </w:p>
    <w:p>
      <w:pPr>
        <w:pStyle w:val="5"/>
        <w:snapToGrid w:val="0"/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/>
          <w:bCs/>
          <w:sz w:val="32"/>
          <w:szCs w:val="32"/>
        </w:rPr>
        <w:t>更正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事项</w:t>
      </w:r>
      <w:r>
        <w:rPr>
          <w:rFonts w:ascii="楷体" w:hAnsi="楷体" w:eastAsia="楷体" w:cs="Times New Roman"/>
          <w:b/>
          <w:bCs/>
          <w:sz w:val="32"/>
          <w:szCs w:val="32"/>
        </w:rPr>
        <w:t>：采购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需求</w:t>
      </w:r>
    </w:p>
    <w:p>
      <w:pPr>
        <w:pStyle w:val="5"/>
        <w:snapToGrid w:val="0"/>
        <w:spacing w:line="560" w:lineRule="exact"/>
        <w:ind w:firstLine="803" w:firstLineChars="250"/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更正内容：</w:t>
      </w:r>
    </w:p>
    <w:p>
      <w:pPr>
        <w:pStyle w:val="5"/>
        <w:snapToGrid w:val="0"/>
        <w:spacing w:line="560" w:lineRule="exact"/>
        <w:ind w:firstLine="803" w:firstLineChars="250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（一）</w:t>
      </w:r>
    </w:p>
    <w:tbl>
      <w:tblPr>
        <w:tblStyle w:val="8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78"/>
        <w:gridCol w:w="761"/>
        <w:gridCol w:w="813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货物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 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技术参数及性能（配置）要求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（材质工艺要求说明）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5匹冷暖天井式空调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1.冷暖天井式5匹空调；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2.能效等级：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优于或等于2级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3.运行模式：变频；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4.APF：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3.3；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5．额定制冷量：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12640W；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6．额定制热量：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14180W；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7．额定制冷功率：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4700W；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8．额定制热功率：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4600W；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9．室内机噪音（高风）：≤48.0dB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10．室外机噪音：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65dB；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11．循环风量：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2080m³/h；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12．电源规格（PH-V-Hz）：3-380-50；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 适用面积50㎡以上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标准配置：含空调整体安装调试。室内机1台、室外机1台、电池1对、遥控器一个、胶泥1块、墙孔套1个、保修卡1份、说明书1份、合格证1份。                      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为了方便核对参数及后期设备验收，以上参数以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生产厂家宣传彩页样册或空调内机张贴铭牌或产品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检测报告中的铭牌值为准，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竞标文件中须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生产厂家宣传彩页样册或空调内机张贴铭牌或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检测报告（提供复印件并加盖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竞标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人公章，中标后原件备查）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否则竞标无效。</w:t>
            </w:r>
          </w:p>
        </w:tc>
      </w:tr>
    </w:tbl>
    <w:p>
      <w:pPr>
        <w:pStyle w:val="5"/>
        <w:snapToGrid w:val="0"/>
        <w:spacing w:line="56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修改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为：</w:t>
      </w:r>
    </w:p>
    <w:tbl>
      <w:tblPr>
        <w:tblStyle w:val="8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78"/>
        <w:gridCol w:w="761"/>
        <w:gridCol w:w="813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货物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 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技术参数及性能（配置）要求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（材质工艺要求说明）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5匹冷暖天井式空调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1.冷暖天井式 5 匹空调；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2.能效等级：优于或等于 2 级；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3.运行模式：变频；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4.APF： ≥3.0；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▲5．额定制冷量： ≥12500W； 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▲6．额定制热量： ≥14000W； 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▲7．额定制冷功率： ≤4700W； 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▲8．额定制热功率： ≤4600W；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▲9．室内机噪音（高风）： ≤55.0dB: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10．室外机噪音： ≤65dB；</w:t>
            </w:r>
          </w:p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▲11．循环风量： ≥1620m³/h；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12．电源规格（PH-V-Hz）：3-380-50；</w:t>
            </w:r>
          </w:p>
          <w:p>
            <w:pPr>
              <w:bidi w:val="0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 适用面积 50 ㎡以上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14. 标准配置：含空调整体安装调试。室内机 1 台、 室外机 1 台、 电池 1 对、遥控器一个、胶泥 1 块、墙 孔套 1 个、保修卡 1 份、说明书 1 份、合格证 1 份。 15、为了方便核对参数及后期设备验收， 以上参数以 生产厂家宣传彩页样册或空调内机张贴铭牌或产品检 测报告中的铭牌值为准，竞标文件中须提供生产厂家 宣传彩页样册或空调内机张贴铭牌或检测报告（提供 复印件并加盖竞标人公章，中标后原件备查），否则 竞标无效。</w:t>
            </w:r>
          </w:p>
        </w:tc>
      </w:tr>
    </w:tbl>
    <w:p>
      <w:pPr>
        <w:pStyle w:val="5"/>
        <w:snapToGrid w:val="0"/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）投标截止时间(开标时间)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和评审时间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更正为：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“北京时间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2024年5月14日09:30:00”。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更正日期：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、其他补充事宜：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</w:t>
      </w:r>
      <w:r>
        <w:rPr>
          <w:rFonts w:ascii="黑体" w:hAnsi="黑体" w:eastAsia="黑体" w:cs="Times New Roman"/>
          <w:bCs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</w:rPr>
        <w:t>凡对本次公告内容提出询问，请按以下方式联系。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1.采购人信息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名    称：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梧州市第十五中学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地    址：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梧州市长洲区新兴二路126-1号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联系方式：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卢小姐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0774-3842100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2.采购代理机构信息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名称：梧州市公共资源交易中心（梧州市政府采购中心）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地址：梧州市红岭大厦10楼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项目联系人：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小姐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0774-28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11070</w:t>
      </w:r>
    </w:p>
    <w:p>
      <w:pPr>
        <w:spacing w:line="560" w:lineRule="exact"/>
        <w:ind w:firstLine="1280" w:firstLineChars="4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1600" w:firstLineChars="5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梧州市公共资源交易中心（梧州市政府采购中心）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3MWQwYTlmMjZjNzVkNTY0MTZkNmU1YTBhM2Y3ZmIifQ=="/>
  </w:docVars>
  <w:rsids>
    <w:rsidRoot w:val="00C77441"/>
    <w:rsid w:val="000B5106"/>
    <w:rsid w:val="000F6703"/>
    <w:rsid w:val="001629BE"/>
    <w:rsid w:val="001E6423"/>
    <w:rsid w:val="00223B4D"/>
    <w:rsid w:val="00280D51"/>
    <w:rsid w:val="00347CB3"/>
    <w:rsid w:val="003A53DE"/>
    <w:rsid w:val="003D14D4"/>
    <w:rsid w:val="003F1421"/>
    <w:rsid w:val="00460150"/>
    <w:rsid w:val="004F0E5D"/>
    <w:rsid w:val="005A6143"/>
    <w:rsid w:val="005E12AF"/>
    <w:rsid w:val="00611CD7"/>
    <w:rsid w:val="006A2250"/>
    <w:rsid w:val="006E0890"/>
    <w:rsid w:val="007664B7"/>
    <w:rsid w:val="007857E1"/>
    <w:rsid w:val="007A3881"/>
    <w:rsid w:val="00857DB9"/>
    <w:rsid w:val="008C3115"/>
    <w:rsid w:val="00963C1A"/>
    <w:rsid w:val="00B668B7"/>
    <w:rsid w:val="00B70730"/>
    <w:rsid w:val="00BA4B8D"/>
    <w:rsid w:val="00C77441"/>
    <w:rsid w:val="00D358A8"/>
    <w:rsid w:val="00DC760D"/>
    <w:rsid w:val="00DE6623"/>
    <w:rsid w:val="00E0283D"/>
    <w:rsid w:val="01227082"/>
    <w:rsid w:val="07886035"/>
    <w:rsid w:val="12312AC4"/>
    <w:rsid w:val="198772F6"/>
    <w:rsid w:val="221E7E65"/>
    <w:rsid w:val="24683203"/>
    <w:rsid w:val="2B4D4780"/>
    <w:rsid w:val="2CBE296E"/>
    <w:rsid w:val="34FF45F4"/>
    <w:rsid w:val="477D5556"/>
    <w:rsid w:val="4F272714"/>
    <w:rsid w:val="51077C65"/>
    <w:rsid w:val="68E65C59"/>
    <w:rsid w:val="7088468A"/>
    <w:rsid w:val="7F5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"/>
    <w:basedOn w:val="1"/>
    <w:next w:val="1"/>
    <w:qFormat/>
    <w:uiPriority w:val="99"/>
    <w:pPr>
      <w:spacing w:line="380" w:lineRule="exact"/>
    </w:pPr>
    <w:rPr>
      <w:kern w:val="0"/>
      <w:sz w:val="24"/>
    </w:rPr>
  </w:style>
  <w:style w:type="paragraph" w:styleId="5">
    <w:name w:val="Plain Text"/>
    <w:basedOn w:val="1"/>
    <w:link w:val="1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10"/>
    <w:link w:val="5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2791</Words>
  <Characters>3224</Characters>
  <Lines>4</Lines>
  <Paragraphs>1</Paragraphs>
  <TotalTime>1</TotalTime>
  <ScaleCrop>false</ScaleCrop>
  <LinksUpToDate>false</LinksUpToDate>
  <CharactersWithSpaces>3275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2023-05-25T07:54:00Z</dcterms:created>
  <dc:creator>xie</dc:creator>
  <cp:lastModifiedBy>Cyan  老六红酒</cp:lastModifiedBy>
  <cp:lastPrinted>2023-03-24T06:04:00Z</cp:lastPrinted>
  <dcterms:modified xsi:type="dcterms:W3CDTF">2024-05-09T13:13:39Z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B28EAB8FDB2842548849194CBEDB0E6B_12</vt:lpwstr>
  </property>
</Properties>
</file>