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宋体" w:hAnsi="宋体" w:eastAsia="宋体" w:cs="宋体"/>
          <w:color w:val="auto"/>
          <w:highlight w:val="none"/>
        </w:rPr>
      </w:pPr>
    </w:p>
    <w:p>
      <w:pPr>
        <w:snapToGrid w:val="0"/>
        <w:spacing w:beforeLines="50"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中策恒睿建设有限公司</w:t>
      </w:r>
    </w:p>
    <w:p>
      <w:pPr>
        <w:snapToGrid w:val="0"/>
        <w:spacing w:beforeLines="50" w:line="360" w:lineRule="auto"/>
        <w:jc w:val="center"/>
        <w:rPr>
          <w:rFonts w:hint="eastAsia" w:ascii="宋体" w:hAnsi="宋体" w:eastAsia="宋体" w:cs="宋体"/>
          <w:color w:val="auto"/>
          <w:sz w:val="120"/>
          <w:szCs w:val="120"/>
          <w:highlight w:val="none"/>
        </w:rPr>
      </w:pPr>
    </w:p>
    <w:p>
      <w:pPr>
        <w:snapToGrid w:val="0"/>
        <w:spacing w:beforeLines="50" w:line="360" w:lineRule="auto"/>
        <w:jc w:val="center"/>
        <w:rPr>
          <w:rFonts w:hint="eastAsia" w:ascii="宋体" w:hAnsi="宋体" w:eastAsia="宋体" w:cs="宋体"/>
          <w:color w:val="auto"/>
          <w:sz w:val="120"/>
          <w:szCs w:val="120"/>
          <w:highlight w:val="none"/>
        </w:rPr>
      </w:pPr>
      <w:r>
        <w:rPr>
          <w:rFonts w:hint="eastAsia" w:ascii="宋体" w:hAnsi="宋体" w:eastAsia="宋体" w:cs="宋体"/>
          <w:color w:val="auto"/>
          <w:sz w:val="120"/>
          <w:szCs w:val="120"/>
          <w:highlight w:val="none"/>
        </w:rPr>
        <w:t>招 标 文 件</w:t>
      </w:r>
    </w:p>
    <w:p>
      <w:pPr>
        <w:pStyle w:val="8"/>
        <w:snapToGrid w:val="0"/>
        <w:spacing w:line="360" w:lineRule="auto"/>
        <w:ind w:firstLine="1977" w:firstLineChars="691"/>
        <w:rPr>
          <w:rFonts w:hint="eastAsia" w:ascii="宋体" w:hAnsi="宋体" w:eastAsia="宋体" w:cs="宋体"/>
          <w:b/>
          <w:bCs/>
          <w:color w:val="auto"/>
          <w:w w:val="95"/>
          <w:sz w:val="30"/>
          <w:szCs w:val="30"/>
          <w:highlight w:val="none"/>
        </w:rPr>
      </w:pPr>
    </w:p>
    <w:p>
      <w:pPr>
        <w:pStyle w:val="8"/>
        <w:snapToGrid w:val="0"/>
        <w:spacing w:line="360" w:lineRule="auto"/>
        <w:rPr>
          <w:rFonts w:hint="eastAsia" w:ascii="宋体" w:hAnsi="宋体" w:eastAsia="宋体" w:cs="宋体"/>
          <w:b/>
          <w:bCs/>
          <w:color w:val="auto"/>
          <w:sz w:val="30"/>
          <w:szCs w:val="30"/>
          <w:highlight w:val="none"/>
        </w:rPr>
      </w:pPr>
    </w:p>
    <w:p>
      <w:pPr>
        <w:pStyle w:val="8"/>
        <w:snapToGrid w:val="0"/>
        <w:spacing w:line="360" w:lineRule="auto"/>
        <w:ind w:firstLine="2711" w:firstLineChars="900"/>
        <w:rPr>
          <w:rFonts w:hint="eastAsia" w:ascii="宋体" w:hAnsi="宋体" w:eastAsia="宋体" w:cs="宋体"/>
          <w:b/>
          <w:bCs/>
          <w:color w:val="auto"/>
          <w:sz w:val="30"/>
          <w:szCs w:val="30"/>
          <w:highlight w:val="none"/>
          <w:lang w:eastAsia="zh-CN"/>
        </w:rPr>
      </w:pPr>
      <w:bookmarkStart w:id="0" w:name="OLE_LINK74"/>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桂林市执法能力建设项目</w:t>
      </w:r>
    </w:p>
    <w:p>
      <w:pPr>
        <w:pStyle w:val="8"/>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项目编号：</w:t>
      </w:r>
      <w:bookmarkEnd w:id="0"/>
      <w:r>
        <w:rPr>
          <w:rFonts w:hint="eastAsia" w:ascii="宋体" w:hAnsi="宋体" w:eastAsia="宋体" w:cs="宋体"/>
          <w:b/>
          <w:bCs/>
          <w:color w:val="auto"/>
          <w:sz w:val="30"/>
          <w:szCs w:val="30"/>
          <w:highlight w:val="none"/>
        </w:rPr>
        <w:t>GLZC2025-G1-990184-ZCHR</w:t>
      </w:r>
    </w:p>
    <w:p>
      <w:pPr>
        <w:pStyle w:val="8"/>
        <w:snapToGrid w:val="0"/>
        <w:spacing w:line="360" w:lineRule="auto"/>
        <w:ind w:firstLine="1977" w:firstLineChars="691"/>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w w:val="95"/>
          <w:sz w:val="30"/>
          <w:szCs w:val="30"/>
          <w:highlight w:val="none"/>
        </w:rPr>
      </w:pPr>
    </w:p>
    <w:p>
      <w:pPr>
        <w:pStyle w:val="8"/>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桂林市生态环境局</w:t>
      </w:r>
    </w:p>
    <w:p>
      <w:pPr>
        <w:pStyle w:val="8"/>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中策恒睿建设有限公司</w:t>
      </w:r>
    </w:p>
    <w:p>
      <w:pPr>
        <w:pStyle w:val="8"/>
        <w:snapToGrid w:val="0"/>
        <w:spacing w:line="360" w:lineRule="auto"/>
        <w:jc w:val="center"/>
        <w:rPr>
          <w:rFonts w:hint="eastAsia" w:ascii="宋体" w:hAnsi="宋体" w:eastAsia="宋体" w:cs="宋体"/>
          <w:color w:val="auto"/>
          <w:szCs w:val="20"/>
          <w:highlight w:val="none"/>
          <w:lang w:eastAsia="zh-CN"/>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eastAsia="zh-CN"/>
        </w:rPr>
        <w:t>202</w:t>
      </w:r>
      <w:r>
        <w:rPr>
          <w:rFonts w:hint="eastAsia" w:ascii="宋体" w:hAnsi="宋体" w:eastAsia="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eastAsia="zh-CN"/>
        </w:rPr>
        <w:t>年</w:t>
      </w:r>
      <w:r>
        <w:rPr>
          <w:rFonts w:hint="eastAsia" w:hAnsi="宋体" w:cs="宋体"/>
          <w:b/>
          <w:bCs/>
          <w:color w:val="auto"/>
          <w:sz w:val="30"/>
          <w:szCs w:val="30"/>
          <w:highlight w:val="none"/>
          <w:lang w:val="en-US" w:eastAsia="zh-CN"/>
        </w:rPr>
        <w:t>7</w:t>
      </w:r>
      <w:r>
        <w:rPr>
          <w:rFonts w:hint="eastAsia" w:ascii="宋体" w:hAnsi="宋体" w:eastAsia="宋体" w:cs="宋体"/>
          <w:b/>
          <w:bCs/>
          <w:color w:val="auto"/>
          <w:sz w:val="30"/>
          <w:szCs w:val="30"/>
          <w:highlight w:val="none"/>
          <w:lang w:eastAsia="zh-CN"/>
        </w:rPr>
        <w:t>月</w:t>
      </w:r>
    </w:p>
    <w:p>
      <w:pPr>
        <w:pStyle w:val="5"/>
        <w:jc w:val="center"/>
        <w:rPr>
          <w:rFonts w:hint="eastAsia" w:ascii="宋体" w:hAnsi="宋体" w:eastAsia="宋体" w:cs="宋体"/>
          <w:color w:val="auto"/>
          <w:highlight w:val="none"/>
        </w:rPr>
        <w:sectPr>
          <w:headerReference r:id="rId5" w:type="first"/>
          <w:footerReference r:id="rId7" w:type="first"/>
          <w:headerReference r:id="rId3" w:type="default"/>
          <w:headerReference r:id="rId4" w:type="even"/>
          <w:footerReference r:id="rId6" w:type="even"/>
          <w:pgSz w:w="11906" w:h="16838"/>
          <w:pgMar w:top="907" w:right="851" w:bottom="907" w:left="851" w:header="851" w:footer="567" w:gutter="0"/>
          <w:cols w:space="720" w:num="1"/>
          <w:titlePg/>
          <w:rtlGutter w:val="0"/>
          <w:docGrid w:linePitch="312" w:charSpace="0"/>
        </w:sectPr>
      </w:pPr>
    </w:p>
    <w:p>
      <w:pPr>
        <w:pStyle w:val="8"/>
        <w:spacing w:line="440" w:lineRule="exact"/>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目     录</w:t>
      </w:r>
    </w:p>
    <w:p>
      <w:pPr>
        <w:pStyle w:val="8"/>
        <w:jc w:val="center"/>
        <w:rPr>
          <w:rFonts w:hint="eastAsia" w:ascii="宋体" w:hAnsi="宋体" w:eastAsia="宋体" w:cs="宋体"/>
          <w:color w:val="auto"/>
          <w:highlight w:val="none"/>
        </w:rPr>
      </w:pPr>
    </w:p>
    <w:p>
      <w:pPr>
        <w:ind w:firstLine="2730" w:firstLineChars="1300"/>
        <w:rPr>
          <w:rFonts w:hint="eastAsia" w:ascii="宋体" w:hAnsi="宋体" w:eastAsia="宋体" w:cs="宋体"/>
          <w:color w:val="auto"/>
          <w:szCs w:val="21"/>
          <w:highlight w:val="none"/>
        </w:rPr>
      </w:pPr>
    </w:p>
    <w:p>
      <w:pPr>
        <w:pStyle w:val="2"/>
        <w:tabs>
          <w:tab w:val="right" w:leader="dot" w:pos="9040"/>
          <w:tab w:val="clear" w:pos="8398"/>
        </w:tabs>
        <w:spacing w:line="480" w:lineRule="auto"/>
        <w:rPr>
          <w:rFonts w:hint="eastAsia" w:ascii="宋体" w:hAnsi="宋体" w:eastAsia="宋体" w:cs="宋体"/>
          <w:b/>
          <w:bCs/>
          <w:caps w:val="0"/>
          <w:color w:val="auto"/>
          <w:sz w:val="28"/>
          <w:szCs w:val="28"/>
          <w:highlight w:val="none"/>
        </w:rPr>
      </w:pPr>
      <w:r>
        <w:rPr>
          <w:rFonts w:hint="eastAsia" w:ascii="宋体" w:hAnsi="宋体" w:eastAsia="宋体" w:cs="宋体"/>
          <w:b/>
          <w:bCs/>
          <w:caps w:val="0"/>
          <w:color w:val="auto"/>
          <w:sz w:val="28"/>
          <w:szCs w:val="28"/>
          <w:highlight w:val="none"/>
        </w:rPr>
        <w:fldChar w:fldCharType="begin"/>
      </w:r>
      <w:r>
        <w:rPr>
          <w:rFonts w:hint="eastAsia" w:ascii="宋体" w:hAnsi="宋体" w:eastAsia="宋体" w:cs="宋体"/>
          <w:b/>
          <w:bCs/>
          <w:caps w:val="0"/>
          <w:color w:val="auto"/>
          <w:sz w:val="28"/>
          <w:szCs w:val="28"/>
          <w:highlight w:val="none"/>
        </w:rPr>
        <w:instrText xml:space="preserve"> TOC \o "1-1" \h \z \u </w:instrText>
      </w:r>
      <w:r>
        <w:rPr>
          <w:rFonts w:hint="eastAsia" w:ascii="宋体" w:hAnsi="宋体" w:eastAsia="宋体" w:cs="宋体"/>
          <w:b/>
          <w:bCs/>
          <w:caps w:val="0"/>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"_Toc153888697"</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第一章  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_Toc153888697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2"/>
        <w:tabs>
          <w:tab w:val="right" w:leader="dot" w:pos="9040"/>
          <w:tab w:val="clear" w:pos="8398"/>
        </w:tabs>
        <w:spacing w:line="480" w:lineRule="auto"/>
        <w:rPr>
          <w:rFonts w:hint="eastAsia" w:ascii="宋体" w:hAnsi="宋体" w:eastAsia="宋体" w:cs="宋体"/>
          <w:b/>
          <w:bCs/>
          <w:caps w:val="0"/>
          <w:color w:val="auto"/>
          <w:sz w:val="28"/>
          <w:szCs w:val="28"/>
          <w:highlight w:val="none"/>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"_Toc153888698"</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第二章  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fldChar w:fldCharType="end"/>
      </w:r>
    </w:p>
    <w:p>
      <w:pPr>
        <w:pStyle w:val="2"/>
        <w:tabs>
          <w:tab w:val="right" w:leader="dot" w:pos="9040"/>
          <w:tab w:val="clear" w:pos="8398"/>
        </w:tabs>
        <w:spacing w:line="480" w:lineRule="auto"/>
        <w:rPr>
          <w:rFonts w:hint="eastAsia" w:ascii="宋体" w:hAnsi="宋体" w:eastAsia="宋体" w:cs="宋体"/>
          <w:b/>
          <w:bCs/>
          <w:caps w:val="0"/>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"_Toc153888699"</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第三章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_Toc153888699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2"/>
        <w:tabs>
          <w:tab w:val="right" w:leader="dot" w:pos="9040"/>
          <w:tab w:val="clear" w:pos="8398"/>
        </w:tabs>
        <w:spacing w:line="480" w:lineRule="auto"/>
        <w:rPr>
          <w:rFonts w:hint="default" w:ascii="宋体" w:hAnsi="宋体" w:eastAsia="宋体" w:cs="宋体"/>
          <w:b/>
          <w:bCs/>
          <w:caps w:val="0"/>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"_Toc153888700"</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第四章  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45</w:t>
      </w:r>
    </w:p>
    <w:p>
      <w:pPr>
        <w:pStyle w:val="2"/>
        <w:tabs>
          <w:tab w:val="right" w:leader="dot" w:pos="9040"/>
          <w:tab w:val="clear" w:pos="8398"/>
        </w:tabs>
        <w:spacing w:line="480" w:lineRule="auto"/>
        <w:rPr>
          <w:rFonts w:hint="default" w:ascii="宋体" w:hAnsi="宋体" w:eastAsia="宋体" w:cs="宋体"/>
          <w:b/>
          <w:bCs/>
          <w:caps w:val="0"/>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"_Toc153888703"</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第五章  政府采购合同</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48</w:t>
      </w:r>
    </w:p>
    <w:p>
      <w:pPr>
        <w:pStyle w:val="2"/>
        <w:tabs>
          <w:tab w:val="right" w:leader="dot" w:pos="9040"/>
          <w:tab w:val="clear" w:pos="8398"/>
        </w:tabs>
        <w:spacing w:line="480" w:lineRule="auto"/>
        <w:rPr>
          <w:rFonts w:hint="default" w:ascii="宋体" w:hAnsi="宋体" w:eastAsia="宋体" w:cs="宋体"/>
          <w:b/>
          <w:bCs/>
          <w:caps w:val="0"/>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instrText xml:space="preserve">HYPERLINK \l "_Toc153888704"</w:instrText>
      </w:r>
      <w:r>
        <w:rPr>
          <w:rStyle w:val="15"/>
          <w:rFonts w:hint="eastAsia" w:ascii="宋体" w:hAnsi="宋体" w:eastAsia="宋体" w:cs="宋体"/>
          <w:b/>
          <w:bCs/>
          <w:color w:val="auto"/>
          <w:sz w:val="28"/>
          <w:szCs w:val="28"/>
          <w:highlight w:val="none"/>
        </w:rPr>
        <w:instrText xml:space="preserve"> </w:instrText>
      </w:r>
      <w:r>
        <w:rPr>
          <w:rFonts w:hint="eastAsia" w:ascii="宋体" w:hAnsi="宋体" w:eastAsia="宋体" w:cs="宋体"/>
          <w:b/>
          <w:bCs/>
          <w:color w:val="auto"/>
          <w:sz w:val="28"/>
          <w:szCs w:val="28"/>
          <w:highlight w:val="none"/>
        </w:rPr>
        <w:fldChar w:fldCharType="separate"/>
      </w:r>
      <w:r>
        <w:rPr>
          <w:rStyle w:val="15"/>
          <w:rFonts w:hint="eastAsia" w:ascii="宋体" w:hAnsi="宋体" w:eastAsia="宋体" w:cs="宋体"/>
          <w:b/>
          <w:bCs/>
          <w:color w:val="auto"/>
          <w:sz w:val="28"/>
          <w:szCs w:val="28"/>
          <w:highlight w:val="none"/>
        </w:rPr>
        <w:t>第六章  投标文件（格式）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57</w:t>
      </w:r>
    </w:p>
    <w:p>
      <w:pPr>
        <w:spacing w:line="480" w:lineRule="auto"/>
        <w:ind w:firstLine="3654" w:firstLineChars="1300"/>
        <w:rPr>
          <w:rFonts w:hint="eastAsia" w:ascii="宋体" w:hAnsi="宋体" w:eastAsia="宋体" w:cs="宋体"/>
          <w:b/>
          <w:bCs/>
          <w:color w:val="auto"/>
          <w:sz w:val="22"/>
          <w:szCs w:val="22"/>
          <w:highlight w:val="none"/>
        </w:rPr>
      </w:pPr>
      <w:r>
        <w:rPr>
          <w:rFonts w:hint="eastAsia" w:ascii="宋体" w:hAnsi="宋体" w:eastAsia="宋体" w:cs="宋体"/>
          <w:b/>
          <w:bCs/>
          <w:caps/>
          <w:color w:val="auto"/>
          <w:sz w:val="28"/>
          <w:szCs w:val="28"/>
          <w:highlight w:val="none"/>
        </w:rPr>
        <w:fldChar w:fldCharType="end"/>
      </w: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ind w:firstLine="2730" w:firstLineChars="1300"/>
        <w:rPr>
          <w:rFonts w:hint="eastAsia" w:ascii="宋体" w:hAnsi="宋体" w:eastAsia="宋体" w:cs="宋体"/>
          <w:color w:val="auto"/>
          <w:szCs w:val="21"/>
          <w:highlight w:val="none"/>
        </w:rPr>
      </w:pPr>
    </w:p>
    <w:p>
      <w:pPr>
        <w:pStyle w:val="3"/>
        <w:spacing w:line="500" w:lineRule="exact"/>
        <w:jc w:val="center"/>
        <w:rPr>
          <w:rFonts w:hint="eastAsia" w:ascii="宋体" w:hAnsi="宋体" w:eastAsia="宋体" w:cs="宋体"/>
          <w:color w:val="auto"/>
          <w:highlight w:val="none"/>
        </w:rPr>
      </w:pPr>
      <w:bookmarkStart w:id="1" w:name="_Toc153888697"/>
      <w:bookmarkStart w:id="2" w:name="_Toc146525428"/>
    </w:p>
    <w:p>
      <w:pPr>
        <w:pStyle w:val="3"/>
        <w:spacing w:line="500" w:lineRule="exact"/>
        <w:jc w:val="center"/>
        <w:rPr>
          <w:rFonts w:hint="eastAsia" w:ascii="宋体" w:hAnsi="宋体" w:eastAsia="宋体" w:cs="宋体"/>
          <w:color w:val="auto"/>
          <w:highlight w:val="none"/>
        </w:rPr>
      </w:pPr>
    </w:p>
    <w:p>
      <w:pPr>
        <w:pStyle w:val="3"/>
        <w:spacing w:line="500" w:lineRule="exact"/>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color w:val="auto"/>
          <w:highlight w:val="none"/>
        </w:rPr>
      </w:pPr>
    </w:p>
    <w:p>
      <w:pPr>
        <w:pStyle w:val="3"/>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第一章  招标公告</w:t>
      </w:r>
    </w:p>
    <w:bookmarkEnd w:id="1"/>
    <w:bookmarkEnd w:id="2"/>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1"/>
                <w:szCs w:val="21"/>
                <w:highlight w:val="none"/>
              </w:rPr>
            </w:pPr>
            <w:bookmarkStart w:id="3" w:name="OLE_LINK77"/>
            <w:r>
              <w:rPr>
                <w:rFonts w:hint="eastAsia" w:ascii="宋体" w:hAnsi="宋体" w:eastAsia="宋体" w:cs="宋体"/>
                <w:color w:val="auto"/>
                <w:sz w:val="21"/>
                <w:szCs w:val="21"/>
                <w:highlight w:val="none"/>
              </w:rPr>
              <w:t>项目概况</w:t>
            </w:r>
          </w:p>
          <w:p>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桂林市执法能力建设项目</w:t>
            </w:r>
            <w:r>
              <w:rPr>
                <w:rFonts w:hint="eastAsia" w:ascii="宋体" w:hAnsi="宋体" w:eastAsia="宋体" w:cs="宋体"/>
                <w:color w:val="auto"/>
                <w:sz w:val="21"/>
                <w:szCs w:val="21"/>
                <w:highlight w:val="none"/>
              </w:rPr>
              <w:t>招标项目的潜在投标人应在广西政府采购云平台</w:t>
            </w:r>
            <w:bookmarkStart w:id="4" w:name="OLE_LINK3"/>
            <w:r>
              <w:rPr>
                <w:rFonts w:hint="eastAsia" w:ascii="宋体" w:hAnsi="宋体" w:eastAsia="宋体" w:cs="宋体"/>
                <w:color w:val="auto"/>
                <w:sz w:val="21"/>
                <w:szCs w:val="21"/>
                <w:highlight w:val="none"/>
                <w:lang w:eastAsia="zh-CN"/>
              </w:rPr>
              <w:t>（http://www.gcy.zfcg.gxzf.gov.cn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bookmarkEnd w:id="4"/>
            <w:r>
              <w:rPr>
                <w:rFonts w:hint="eastAsia" w:ascii="宋体" w:hAnsi="宋体" w:eastAsia="宋体" w:cs="宋体"/>
                <w:color w:val="auto"/>
                <w:sz w:val="21"/>
                <w:szCs w:val="21"/>
                <w:highlight w:val="none"/>
              </w:rPr>
              <w:t>线上</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rPr>
              <w:t xml:space="preserve">招标文件，并于 </w:t>
            </w:r>
            <w:r>
              <w:rPr>
                <w:rFonts w:hint="eastAsia" w:ascii="宋体" w:hAnsi="宋体" w:eastAsia="宋体" w:cs="宋体"/>
                <w:color w:val="auto"/>
                <w:sz w:val="21"/>
                <w:szCs w:val="21"/>
                <w:highlight w:val="none"/>
                <w:lang w:eastAsia="zh-CN"/>
              </w:rPr>
              <w:t>2025年</w:t>
            </w:r>
            <w:bookmarkStart w:id="5" w:name="OLE_LINK16"/>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日</w:t>
            </w:r>
            <w:bookmarkEnd w:id="5"/>
            <w:r>
              <w:rPr>
                <w:rFonts w:hint="eastAsia" w:ascii="宋体" w:hAnsi="宋体" w:eastAsia="宋体" w:cs="宋体"/>
                <w:color w:val="auto"/>
                <w:sz w:val="21"/>
                <w:szCs w:val="21"/>
                <w:highlight w:val="none"/>
              </w:rPr>
              <w:t xml:space="preserve"> 09:30（北京时间）前递交投标文件。</w:t>
            </w:r>
          </w:p>
        </w:tc>
      </w:tr>
    </w:tbl>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Cs/>
          <w:color w:val="auto"/>
          <w:sz w:val="21"/>
          <w:szCs w:val="21"/>
          <w:highlight w:val="none"/>
        </w:rPr>
      </w:pPr>
      <w:bookmarkStart w:id="6" w:name="OLE_LINK4"/>
      <w:r>
        <w:rPr>
          <w:rFonts w:hint="eastAsia" w:ascii="宋体" w:hAnsi="宋体" w:eastAsia="宋体" w:cs="宋体"/>
          <w:b/>
          <w:color w:val="auto"/>
          <w:sz w:val="21"/>
          <w:szCs w:val="21"/>
          <w:highlight w:val="none"/>
        </w:rPr>
        <w:t>一、项目基本情况</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项目编号：GLZC2025-G1-990184-ZCHR</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bCs/>
          <w:color w:val="auto"/>
          <w:sz w:val="21"/>
          <w:szCs w:val="21"/>
          <w:highlight w:val="none"/>
        </w:rPr>
        <w:t>桂林市执法能力建设项目</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预算总金额（元）：</w:t>
      </w:r>
      <w:r>
        <w:rPr>
          <w:rFonts w:hint="eastAsia" w:ascii="宋体" w:hAnsi="宋体" w:eastAsia="宋体" w:cs="宋体"/>
          <w:color w:val="auto"/>
          <w:sz w:val="21"/>
          <w:szCs w:val="21"/>
          <w:highlight w:val="none"/>
          <w:lang w:val="en-US" w:eastAsia="zh-CN"/>
        </w:rPr>
        <w:t>2000000.00</w:t>
      </w:r>
      <w:r>
        <w:rPr>
          <w:rFonts w:hint="eastAsia" w:ascii="宋体" w:hAnsi="宋体" w:eastAsia="宋体" w:cs="宋体"/>
          <w:color w:val="auto"/>
          <w:sz w:val="21"/>
          <w:szCs w:val="21"/>
          <w:highlight w:val="none"/>
        </w:rPr>
        <w:t>元</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p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eastAsia="宋体" w:cs="宋体"/>
          <w:bCs/>
          <w:color w:val="auto"/>
          <w:sz w:val="21"/>
          <w:szCs w:val="21"/>
          <w:highlight w:val="none"/>
        </w:rPr>
        <w:t>桂林市执法能力建设项目</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数量：不限</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2000000.00</w:t>
      </w:r>
      <w:r>
        <w:rPr>
          <w:rFonts w:hint="eastAsia" w:ascii="宋体" w:hAnsi="宋体" w:eastAsia="宋体" w:cs="宋体"/>
          <w:color w:val="auto"/>
          <w:sz w:val="21"/>
          <w:szCs w:val="21"/>
          <w:highlight w:val="none"/>
        </w:rPr>
        <w:t>元</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简要规格描述或项目基本概况介绍、用途：拟购置2套便携式油气回收三项检测仪、2套车用清净剂检定仪、2套</w:t>
      </w:r>
      <w:r>
        <w:rPr>
          <w:rFonts w:hint="eastAsia" w:ascii="宋体" w:hAnsi="宋体" w:cs="宋体"/>
          <w:color w:val="auto"/>
          <w:sz w:val="21"/>
          <w:szCs w:val="21"/>
          <w:highlight w:val="none"/>
          <w:lang w:eastAsia="zh-CN"/>
        </w:rPr>
        <w:t>手持式</w:t>
      </w:r>
      <w:r>
        <w:rPr>
          <w:rFonts w:hint="eastAsia" w:ascii="宋体" w:hAnsi="宋体" w:eastAsia="宋体" w:cs="宋体"/>
          <w:color w:val="auto"/>
          <w:sz w:val="21"/>
          <w:szCs w:val="21"/>
          <w:highlight w:val="none"/>
        </w:rPr>
        <w:t>VOCS检测仪、5套便携式车用尿素检定仪、3套OBD诊断仪、2套便携式油品检测仪和1套红外热成像气体泄漏检测仪等设备。加强桂林市移动源污染的监督管理能力，提升臭氧治理体系和治理能力现代化水平，为移动源污染监管工作提供人员保障和技术支撑。具体内容详见招标文件。</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2000000.00</w:t>
      </w:r>
      <w:r>
        <w:rPr>
          <w:rFonts w:hint="eastAsia" w:ascii="宋体" w:hAnsi="宋体" w:eastAsia="宋体" w:cs="宋体"/>
          <w:color w:val="auto"/>
          <w:sz w:val="21"/>
          <w:szCs w:val="21"/>
          <w:highlight w:val="none"/>
        </w:rPr>
        <w:t>元</w:t>
      </w:r>
    </w:p>
    <w:p>
      <w:pPr>
        <w:spacing w:line="400" w:lineRule="exact"/>
        <w:ind w:firstLine="420" w:firstLineChars="200"/>
        <w:rPr>
          <w:rFonts w:hint="eastAsia" w:ascii="宋体" w:hAnsi="宋体" w:eastAsia="宋体" w:cs="宋体"/>
          <w:color w:val="auto"/>
          <w:sz w:val="21"/>
          <w:szCs w:val="21"/>
          <w:highlight w:val="none"/>
        </w:rPr>
      </w:pPr>
      <w:bookmarkStart w:id="7" w:name="OLE_LINK26"/>
      <w:r>
        <w:rPr>
          <w:rFonts w:hint="eastAsia" w:ascii="宋体" w:hAnsi="宋体" w:eastAsia="宋体" w:cs="宋体"/>
          <w:color w:val="auto"/>
          <w:sz w:val="21"/>
          <w:szCs w:val="21"/>
          <w:highlight w:val="none"/>
        </w:rPr>
        <w:t>合同履行期限</w:t>
      </w:r>
      <w:bookmarkEnd w:id="7"/>
      <w:r>
        <w:rPr>
          <w:rFonts w:hint="eastAsia" w:ascii="宋体" w:hAnsi="宋体" w:eastAsia="宋体" w:cs="宋体"/>
          <w:color w:val="auto"/>
          <w:sz w:val="21"/>
          <w:szCs w:val="21"/>
          <w:highlight w:val="none"/>
        </w:rPr>
        <w:t>：合同生效后，在接到采购人供货的书面通知30个工作日内交货并完成验收。</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本项目（否）接受联合体投标。</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bookmarkStart w:id="8" w:name="OLE_LINK6"/>
      <w:r>
        <w:rPr>
          <w:rFonts w:hint="eastAsia" w:ascii="宋体" w:hAnsi="宋体" w:eastAsia="宋体" w:cs="宋体"/>
          <w:color w:val="auto"/>
          <w:sz w:val="21"/>
          <w:szCs w:val="21"/>
          <w:highlight w:val="none"/>
        </w:rPr>
        <w:t>1.满足《中华人民共和国政府采购法》第二十二条规定；</w:t>
      </w:r>
      <w:bookmarkStart w:id="62" w:name="_GoBack"/>
      <w:bookmarkEnd w:id="62"/>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w:t>
      </w:r>
      <w:bookmarkStart w:id="9" w:name="OLE_LINK10"/>
      <w:r>
        <w:rPr>
          <w:rFonts w:hint="eastAsia" w:ascii="宋体" w:hAnsi="宋体" w:eastAsia="宋体" w:cs="宋体"/>
          <w:color w:val="auto"/>
          <w:sz w:val="21"/>
          <w:szCs w:val="21"/>
          <w:highlight w:val="none"/>
        </w:rPr>
        <w:t>无；</w:t>
      </w:r>
      <w:bookmarkEnd w:id="9"/>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bookmarkStart w:id="10" w:name="OLE_LINK11"/>
      <w:bookmarkStart w:id="11" w:name="OLE_LINK69"/>
      <w:r>
        <w:rPr>
          <w:rFonts w:hint="eastAsia" w:ascii="宋体" w:hAnsi="宋体" w:eastAsia="宋体" w:cs="宋体"/>
          <w:color w:val="auto"/>
          <w:sz w:val="21"/>
          <w:szCs w:val="21"/>
          <w:highlight w:val="none"/>
        </w:rPr>
        <w:t>无。</w:t>
      </w:r>
      <w:bookmarkEnd w:id="10"/>
      <w:bookmarkEnd w:id="11"/>
    </w:p>
    <w:bookmarkEnd w:id="6"/>
    <w:bookmarkEnd w:id="8"/>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三、获取招标文件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时间：公告发布时间至202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日，每天上午00:00至12:00，下午12:01至23:59（北京时间，法定节假日除外）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w:t>
      </w:r>
      <w:bookmarkStart w:id="12" w:name="OLE_LINK5"/>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lang w:eastAsia="zh-CN"/>
        </w:rPr>
        <w:t>（http://www.gcy.zfcg.gxzf.gov.cn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bookmarkEnd w:id="12"/>
      <w:bookmarkStart w:id="13" w:name="OLE_LINK7"/>
      <w:r>
        <w:rPr>
          <w:rFonts w:hint="eastAsia" w:ascii="宋体" w:hAnsi="宋体" w:eastAsia="宋体" w:cs="宋体"/>
          <w:color w:val="auto"/>
          <w:sz w:val="21"/>
          <w:szCs w:val="21"/>
          <w:highlight w:val="none"/>
        </w:rPr>
        <w:t>线上获取。</w:t>
      </w:r>
      <w:bookmarkEnd w:id="13"/>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方式：</w:t>
      </w:r>
      <w:bookmarkStart w:id="14" w:name="OLE_LINK83"/>
      <w:bookmarkStart w:id="15" w:name="OLE_LINK2"/>
      <w:r>
        <w:rPr>
          <w:rFonts w:hint="eastAsia" w:ascii="宋体" w:hAnsi="宋体" w:eastAsia="宋体" w:cs="宋体"/>
          <w:color w:val="auto"/>
          <w:sz w:val="21"/>
          <w:szCs w:val="21"/>
          <w:highlight w:val="none"/>
        </w:rPr>
        <w:t>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sz w:val="21"/>
          <w:szCs w:val="21"/>
          <w:highlight w:val="none"/>
          <w:lang w:eastAsia="zh-CN"/>
        </w:rPr>
        <w:t>。</w:t>
      </w:r>
      <w:bookmarkEnd w:id="14"/>
    </w:p>
    <w:bookmarkEnd w:id="15"/>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 </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提交投标文件截止时间：</w:t>
      </w:r>
      <w:r>
        <w:rPr>
          <w:rFonts w:hint="eastAsia" w:ascii="宋体" w:hAnsi="宋体" w:eastAsia="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日</w:t>
      </w:r>
      <w:r>
        <w:rPr>
          <w:rFonts w:hint="eastAsia" w:ascii="宋体" w:hAnsi="宋体" w:eastAsia="宋体" w:cs="宋体"/>
          <w:bCs/>
          <w:color w:val="auto"/>
          <w:sz w:val="21"/>
          <w:szCs w:val="21"/>
          <w:highlight w:val="none"/>
        </w:rPr>
        <w:t>上午09:30（北京时间）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投标地点：请登录广西政府采购云平台投标客户端投标。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w:t>
      </w:r>
      <w:r>
        <w:rPr>
          <w:rFonts w:hint="eastAsia" w:ascii="宋体" w:hAnsi="宋体" w:eastAsia="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日</w:t>
      </w:r>
      <w:r>
        <w:rPr>
          <w:rFonts w:hint="eastAsia" w:ascii="宋体" w:hAnsi="宋体" w:eastAsia="宋体" w:cs="宋体"/>
          <w:bCs/>
          <w:color w:val="auto"/>
          <w:sz w:val="21"/>
          <w:szCs w:val="21"/>
          <w:highlight w:val="none"/>
        </w:rPr>
        <w:t>上午09:30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开标地点：</w:t>
      </w:r>
      <w:bookmarkStart w:id="16" w:name="OLE_LINK1"/>
      <w:bookmarkStart w:id="17" w:name="OLE_LINK9"/>
      <w:bookmarkStart w:id="18" w:name="OLE_LINK84"/>
      <w:r>
        <w:rPr>
          <w:rFonts w:hint="eastAsia" w:ascii="宋体" w:hAnsi="宋体" w:eastAsia="宋体" w:cs="宋体"/>
          <w:bCs/>
          <w:color w:val="auto"/>
          <w:sz w:val="21"/>
          <w:szCs w:val="21"/>
          <w:highlight w:val="none"/>
          <w:lang w:eastAsia="zh-CN"/>
        </w:rPr>
        <w:t>桂林市公共资源交易中心</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号政采开标仓，通过</w:t>
      </w:r>
      <w:r>
        <w:rPr>
          <w:rFonts w:hint="eastAsia" w:ascii="宋体" w:hAnsi="宋体" w:eastAsia="宋体" w:cs="宋体"/>
          <w:color w:val="auto"/>
          <w:sz w:val="21"/>
          <w:szCs w:val="21"/>
          <w:highlight w:val="none"/>
        </w:rPr>
        <w:t>广西政府采购云平在线</w:t>
      </w:r>
      <w:r>
        <w:rPr>
          <w:rFonts w:hint="eastAsia" w:ascii="宋体" w:hAnsi="宋体" w:eastAsia="宋体" w:cs="宋体"/>
          <w:color w:val="auto"/>
          <w:sz w:val="21"/>
          <w:szCs w:val="21"/>
          <w:highlight w:val="none"/>
          <w:lang w:bidi="ar"/>
        </w:rPr>
        <w:t>开启投标文件</w:t>
      </w:r>
      <w:bookmarkEnd w:id="16"/>
      <w:r>
        <w:rPr>
          <w:rFonts w:hint="eastAsia" w:ascii="宋体" w:hAnsi="宋体" w:eastAsia="宋体" w:cs="宋体"/>
          <w:bCs/>
          <w:color w:val="auto"/>
          <w:sz w:val="21"/>
          <w:szCs w:val="21"/>
          <w:highlight w:val="none"/>
        </w:rPr>
        <w:t>。</w:t>
      </w:r>
      <w:bookmarkEnd w:id="17"/>
    </w:p>
    <w:bookmarkEnd w:id="18"/>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自本公告发布之日起5个工作日。</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eastAsia="zh-CN"/>
        </w:rPr>
      </w:pPr>
      <w:bookmarkStart w:id="19" w:name="OLE_LINK85"/>
      <w:bookmarkStart w:id="20" w:name="OLE_LINK12"/>
      <w:r>
        <w:rPr>
          <w:rFonts w:hint="eastAsia" w:ascii="宋体" w:hAnsi="宋体" w:eastAsia="宋体" w:cs="宋体"/>
          <w:bCs/>
          <w:color w:val="auto"/>
          <w:sz w:val="21"/>
          <w:szCs w:val="21"/>
          <w:highlight w:val="none"/>
        </w:rPr>
        <w:t>1.信息公告发布媒体：中国政府采购网（www.ccgp.gov.cn）、广西政府采购网（zfcg.gxzf.gov.cn）、桂林市政府采购网（zfcg.czj.guilin.gov.cn）</w:t>
      </w:r>
      <w:r>
        <w:rPr>
          <w:rFonts w:hint="eastAsia" w:ascii="宋体" w:hAnsi="宋体" w:eastAsia="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3.本项目需要落实的政府采购政策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（2）政府采购支持监狱企业发展。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（3）政府采购促进残疾人就业政策。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（4）优先采购节能产品、环境标志产品。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（5）政府采购支持采用本国产品的政策。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4.本项目非专门面向中小企业采购。</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5.资格条件特别说明：</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（2）对在“信用中国”网站(http://www.creditchina.gov.cn) 、中国政府采购网（http://www.ccgp.gov.cn）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6.“广西政府采购云平台”平台电子投标相关事宜说明：</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实行全流程电子化采购，投标人通过“广西政府采购云平台”平台参与电子投标，并应做好以下相关准备工作：①在“广西政府采购云平台”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w:t>
      </w:r>
      <w:r>
        <w:rPr>
          <w:rFonts w:hint="eastAsia" w:ascii="宋体" w:hAnsi="宋体" w:eastAsia="宋体" w:cs="宋体"/>
          <w:bCs/>
          <w:color w:val="auto"/>
          <w:sz w:val="21"/>
          <w:szCs w:val="21"/>
          <w:highlight w:val="none"/>
          <w:lang w:eastAsia="zh-CN"/>
        </w:rPr>
        <w:t>广西壮族自治区全流程电子招投标项目管理系统——</w:t>
      </w:r>
      <w:r>
        <w:rPr>
          <w:rFonts w:hint="eastAsia" w:ascii="宋体" w:hAnsi="宋体" w:eastAsia="宋体" w:cs="宋体"/>
          <w:bCs/>
          <w:color w:val="auto"/>
          <w:sz w:val="21"/>
          <w:szCs w:val="21"/>
          <w:highlight w:val="none"/>
        </w:rPr>
        <w:t>供应商客户端”（操作方法详见广西壮族自治区政府采购网—办事服务—下载专区，以下称“广西政府采购云平台电子投标客户端”）并安装成功，投标人应当在提交投标文件截止时间前在“广西政府采购云平台”平台</w:t>
      </w:r>
      <w:r>
        <w:rPr>
          <w:rFonts w:hint="eastAsia" w:ascii="宋体" w:hAnsi="宋体" w:eastAsia="宋体" w:cs="宋体"/>
          <w:bCs/>
          <w:color w:val="auto"/>
          <w:sz w:val="21"/>
          <w:szCs w:val="21"/>
          <w:highlight w:val="none"/>
          <w:lang w:eastAsia="zh-CN"/>
        </w:rPr>
        <w:t>完成</w:t>
      </w:r>
      <w:r>
        <w:rPr>
          <w:rFonts w:hint="eastAsia" w:ascii="宋体" w:hAnsi="宋体" w:eastAsia="宋体" w:cs="宋体"/>
          <w:bCs/>
          <w:color w:val="auto"/>
          <w:sz w:val="21"/>
          <w:szCs w:val="21"/>
          <w:highlight w:val="none"/>
        </w:rPr>
        <w:t>身份认证，确保能够对相关数据电文进行加密和使用电子签章；④自备计算机和网络设备并确保能接入互联网（费用由投标人自行承担，设备确保可进行视频通话和读取广西政府采购云平台CA证书）。因投标人未做好相关准备工作等自身原因导致无法参加本项目电子投标或投标失败的，造成的一切后果，由投标人自行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（2）电子投标具体操作流程参考《政府采购项目电子交易管理操作指南-供应商》（详见桂林市政府采购网—采购资讯—重要通知）；如遇平台技术问题详询95763。</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（3）电子投标文件的制作、加密、提交、解密等相关事宜详见第二章 “投标人须知”。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7.本项目采购代理服务费按招标文件“投标人须知”第36条规定收取，</w:t>
      </w:r>
      <w:r>
        <w:rPr>
          <w:rFonts w:hint="eastAsia" w:ascii="宋体" w:hAnsi="宋体" w:eastAsia="宋体" w:cs="宋体"/>
          <w:color w:val="auto"/>
          <w:sz w:val="21"/>
          <w:szCs w:val="21"/>
          <w:highlight w:val="none"/>
        </w:rPr>
        <w:t>中标通知书发出之日起5个工作日内，中标人向采购代理机构一次性付清采购代理服务费</w:t>
      </w:r>
      <w:r>
        <w:rPr>
          <w:rFonts w:hint="eastAsia" w:ascii="宋体" w:hAnsi="宋体" w:eastAsia="宋体" w:cs="宋体"/>
          <w:bCs/>
          <w:color w:val="auto"/>
          <w:sz w:val="21"/>
          <w:szCs w:val="21"/>
          <w:highlight w:val="none"/>
        </w:rPr>
        <w:t>。</w:t>
      </w:r>
      <w:bookmarkEnd w:id="19"/>
    </w:p>
    <w:bookmarkEnd w:id="20"/>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七、本次投标联系事项：</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eastAsia="宋体" w:cs="宋体"/>
          <w:color w:val="auto"/>
          <w:sz w:val="21"/>
          <w:szCs w:val="21"/>
          <w:highlight w:val="none"/>
          <w:lang w:eastAsia="zh-CN"/>
        </w:rPr>
        <w:t>桂林市生态环境局</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bookmarkStart w:id="21" w:name="OLE_LINK18"/>
      <w:r>
        <w:rPr>
          <w:rFonts w:hint="eastAsia" w:ascii="宋体" w:hAnsi="宋体" w:eastAsia="宋体" w:cs="宋体"/>
          <w:color w:val="auto"/>
          <w:sz w:val="21"/>
          <w:szCs w:val="21"/>
          <w:highlight w:val="none"/>
          <w:lang w:eastAsia="zh-CN"/>
        </w:rPr>
        <w:t>桂林市临桂区鼎晟大厦（临桂区人民路与万福路交叉路口附近）</w:t>
      </w:r>
      <w:bookmarkEnd w:id="21"/>
    </w:p>
    <w:p>
      <w:pPr>
        <w:keepNext w:val="0"/>
        <w:keepLines w:val="0"/>
        <w:pageBreakBefore w:val="0"/>
        <w:kinsoku/>
        <w:wordWrap/>
        <w:overflowPunct/>
        <w:topLinePunct w:val="0"/>
        <w:autoSpaceDE/>
        <w:autoSpaceDN/>
        <w:bidi w:val="0"/>
        <w:adjustRightInd/>
        <w:snapToGrid/>
        <w:spacing w:line="400" w:lineRule="exact"/>
        <w:ind w:firstLine="525" w:firstLineChars="25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采购人联系人：</w:t>
      </w:r>
      <w:bookmarkStart w:id="22" w:name="OLE_LINK15"/>
      <w:r>
        <w:rPr>
          <w:rFonts w:hint="eastAsia" w:ascii="宋体" w:hAnsi="宋体" w:eastAsia="宋体" w:cs="宋体"/>
          <w:color w:val="auto"/>
          <w:sz w:val="21"/>
          <w:szCs w:val="21"/>
          <w:highlight w:val="none"/>
          <w:lang w:val="en-US" w:eastAsia="zh-CN"/>
        </w:rPr>
        <w:t>徐工</w:t>
      </w:r>
      <w:bookmarkEnd w:id="22"/>
    </w:p>
    <w:p>
      <w:pPr>
        <w:keepNext w:val="0"/>
        <w:keepLines w:val="0"/>
        <w:pageBreakBefore w:val="0"/>
        <w:kinsoku/>
        <w:wordWrap/>
        <w:overflowPunct/>
        <w:topLinePunct w:val="0"/>
        <w:autoSpaceDE/>
        <w:autoSpaceDN/>
        <w:bidi w:val="0"/>
        <w:adjustRightInd/>
        <w:snapToGrid/>
        <w:spacing w:line="400" w:lineRule="exact"/>
        <w:ind w:firstLine="525" w:firstLineChars="25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bookmarkStart w:id="23" w:name="OLE_LINK17"/>
      <w:r>
        <w:rPr>
          <w:rFonts w:hint="eastAsia" w:ascii="宋体" w:hAnsi="宋体" w:eastAsia="宋体" w:cs="宋体"/>
          <w:color w:val="auto"/>
          <w:sz w:val="21"/>
          <w:szCs w:val="21"/>
          <w:highlight w:val="none"/>
          <w:lang w:eastAsia="zh-CN"/>
        </w:rPr>
        <w:t>0773-2883212</w:t>
      </w:r>
      <w:bookmarkEnd w:id="23"/>
    </w:p>
    <w:p>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kinsoku/>
        <w:wordWrap/>
        <w:overflowPunct/>
        <w:topLinePunct w:val="0"/>
        <w:autoSpaceDE/>
        <w:autoSpaceDN/>
        <w:bidi w:val="0"/>
        <w:adjustRightInd/>
        <w:snapToGrid/>
        <w:spacing w:line="400" w:lineRule="exact"/>
        <w:ind w:firstLine="567" w:firstLineChars="27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中策恒睿建设有限公司</w:t>
      </w:r>
    </w:p>
    <w:p>
      <w:pPr>
        <w:pStyle w:val="8"/>
        <w:keepNext w:val="0"/>
        <w:keepLines w:val="0"/>
        <w:pageBreakBefore w:val="0"/>
        <w:kinsoku/>
        <w:wordWrap/>
        <w:overflowPunct/>
        <w:topLinePunct w:val="0"/>
        <w:autoSpaceDE/>
        <w:autoSpaceDN/>
        <w:bidi w:val="0"/>
        <w:adjustRightInd/>
        <w:snapToGrid/>
        <w:spacing w:line="400" w:lineRule="exact"/>
        <w:ind w:firstLine="567" w:firstLineChars="27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临桂区临桂镇西城大道与世纪大道岔口联创.飞扬国际T4幢1单元25-26层3号</w:t>
      </w:r>
    </w:p>
    <w:p>
      <w:pPr>
        <w:pStyle w:val="8"/>
        <w:keepNext w:val="0"/>
        <w:keepLines w:val="0"/>
        <w:pageBreakBefore w:val="0"/>
        <w:kinsoku/>
        <w:wordWrap/>
        <w:overflowPunct/>
        <w:topLinePunct w:val="0"/>
        <w:autoSpaceDE/>
        <w:autoSpaceDN/>
        <w:bidi w:val="0"/>
        <w:adjustRightInd/>
        <w:snapToGrid/>
        <w:spacing w:line="400" w:lineRule="exact"/>
        <w:ind w:firstLine="567" w:firstLineChars="270"/>
        <w:textAlignment w:val="auto"/>
        <w:outlineLvl w:val="9"/>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陈琪</w:t>
      </w:r>
    </w:p>
    <w:p>
      <w:pPr>
        <w:keepNext w:val="0"/>
        <w:keepLines w:val="0"/>
        <w:pageBreakBefore w:val="0"/>
        <w:kinsoku/>
        <w:wordWrap/>
        <w:overflowPunct/>
        <w:topLinePunct w:val="0"/>
        <w:autoSpaceDE/>
        <w:autoSpaceDN/>
        <w:bidi w:val="0"/>
        <w:adjustRightInd/>
        <w:snapToGrid/>
        <w:spacing w:line="400" w:lineRule="exact"/>
        <w:ind w:firstLine="567" w:firstLineChars="27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bookmarkStart w:id="24" w:name="OLE_LINK92"/>
      <w:r>
        <w:rPr>
          <w:rFonts w:hint="eastAsia" w:ascii="宋体" w:hAnsi="宋体" w:eastAsia="宋体" w:cs="宋体"/>
          <w:color w:val="auto"/>
          <w:sz w:val="21"/>
          <w:szCs w:val="21"/>
          <w:highlight w:val="none"/>
          <w:lang w:eastAsia="zh-CN"/>
        </w:rPr>
        <w:t>0773-3661363</w:t>
      </w:r>
      <w:r>
        <w:rPr>
          <w:rFonts w:hint="eastAsia" w:ascii="宋体" w:hAnsi="宋体" w:eastAsia="宋体" w:cs="宋体"/>
          <w:color w:val="auto"/>
          <w:sz w:val="21"/>
          <w:szCs w:val="21"/>
          <w:highlight w:val="none"/>
        </w:rPr>
        <w:t xml:space="preserve">   </w:t>
      </w:r>
      <w:bookmarkEnd w:id="24"/>
    </w:p>
    <w:p>
      <w:pPr>
        <w:keepNext w:val="0"/>
        <w:keepLines w:val="0"/>
        <w:pageBreakBefore w:val="0"/>
        <w:kinsoku/>
        <w:wordWrap/>
        <w:overflowPunct/>
        <w:topLinePunct w:val="0"/>
        <w:autoSpaceDE/>
        <w:autoSpaceDN/>
        <w:bidi w:val="0"/>
        <w:adjustRightInd/>
        <w:snapToGrid/>
        <w:spacing w:line="500" w:lineRule="exact"/>
        <w:ind w:firstLine="567" w:firstLineChars="27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    </w:t>
      </w:r>
    </w:p>
    <w:bookmarkEnd w:id="3"/>
    <w:p>
      <w:pPr>
        <w:keepNext w:val="0"/>
        <w:keepLines w:val="0"/>
        <w:pageBreakBefore w:val="0"/>
        <w:kinsoku/>
        <w:wordWrap/>
        <w:overflowPunct/>
        <w:topLinePunct w:val="0"/>
        <w:autoSpaceDE/>
        <w:autoSpaceDN/>
        <w:bidi w:val="0"/>
        <w:adjustRightInd/>
        <w:snapToGrid/>
        <w:spacing w:line="500" w:lineRule="exact"/>
        <w:ind w:firstLine="630" w:firstLineChars="300"/>
        <w:textAlignment w:val="auto"/>
        <w:outlineLvl w:val="9"/>
        <w:rPr>
          <w:rFonts w:hint="eastAsia" w:ascii="宋体" w:hAnsi="宋体" w:eastAsia="宋体" w:cs="宋体"/>
          <w:color w:val="auto"/>
          <w:sz w:val="21"/>
          <w:szCs w:val="21"/>
          <w:highlight w:val="none"/>
        </w:rPr>
      </w:pPr>
    </w:p>
    <w:p>
      <w:pPr>
        <w:spacing w:line="300" w:lineRule="exact"/>
        <w:ind w:firstLine="630" w:firstLineChars="300"/>
        <w:rPr>
          <w:rFonts w:hint="eastAsia" w:ascii="宋体" w:hAnsi="宋体" w:eastAsia="宋体" w:cs="宋体"/>
          <w:color w:val="auto"/>
          <w:sz w:val="21"/>
          <w:szCs w:val="21"/>
          <w:highlight w:val="none"/>
        </w:rPr>
      </w:pPr>
    </w:p>
    <w:p>
      <w:pPr>
        <w:pStyle w:val="3"/>
        <w:jc w:val="center"/>
        <w:rPr>
          <w:rFonts w:hint="eastAsia" w:ascii="宋体" w:hAnsi="宋体" w:eastAsia="宋体" w:cs="宋体"/>
          <w:color w:val="auto"/>
          <w:highlight w:val="none"/>
        </w:rPr>
      </w:pPr>
      <w:bookmarkStart w:id="25" w:name="_Toc146525429"/>
      <w:r>
        <w:rPr>
          <w:rFonts w:hint="eastAsia" w:ascii="宋体" w:hAnsi="宋体" w:eastAsia="宋体" w:cs="宋体"/>
          <w:color w:val="auto"/>
          <w:highlight w:val="none"/>
        </w:rPr>
        <w:br w:type="page"/>
      </w:r>
      <w:bookmarkStart w:id="26" w:name="_Toc153888698"/>
      <w:r>
        <w:rPr>
          <w:rFonts w:hint="eastAsia" w:ascii="宋体" w:hAnsi="宋体" w:eastAsia="宋体" w:cs="宋体"/>
          <w:color w:val="auto"/>
          <w:highlight w:val="none"/>
        </w:rPr>
        <w:t>第二章  投标人须知</w:t>
      </w:r>
      <w:bookmarkEnd w:id="25"/>
      <w:bookmarkEnd w:id="26"/>
    </w:p>
    <w:p>
      <w:pPr>
        <w:tabs>
          <w:tab w:val="left" w:pos="1065"/>
          <w:tab w:val="center" w:pos="4411"/>
        </w:tabs>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投标人须知前附表</w:t>
      </w:r>
    </w:p>
    <w:tbl>
      <w:tblPr>
        <w:tblStyle w:val="1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50"/>
        <w:gridCol w:w="141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229"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bCs/>
                <w:color w:val="auto"/>
                <w:sz w:val="21"/>
                <w:szCs w:val="21"/>
                <w:highlight w:val="none"/>
                <w:lang w:eastAsia="zh-CN"/>
              </w:rPr>
              <w:t>桂林市执法能力建设项目</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p>
          <w:p>
            <w:pPr>
              <w:spacing w:line="33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项目编号：GLZC2025-G1-990184-ZCHR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法定代表人、负责人、自然人</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为其他组织或者自然人时，本招标文件规定的法定代表人指其他组织的负责人或者自然人本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18" w:type="dxa"/>
            <w:noWrap w:val="0"/>
            <w:vAlign w:val="center"/>
          </w:tcPr>
          <w:p>
            <w:pPr>
              <w:spacing w:line="33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kern w:val="0"/>
                <w:sz w:val="21"/>
                <w:szCs w:val="21"/>
                <w:highlight w:val="none"/>
              </w:rPr>
              <w:t>参与电子投标的准备工作</w:t>
            </w:r>
          </w:p>
        </w:tc>
        <w:tc>
          <w:tcPr>
            <w:tcW w:w="7229" w:type="dxa"/>
            <w:noWrap w:val="0"/>
            <w:vAlign w:val="center"/>
          </w:tcPr>
          <w:p>
            <w:pPr>
              <w:spacing w:line="33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r>
              <w:rPr>
                <w:rFonts w:hint="eastAsia" w:ascii="宋体" w:hAnsi="宋体" w:eastAsia="宋体" w:cs="宋体"/>
                <w:bCs/>
                <w:color w:val="auto"/>
                <w:sz w:val="21"/>
                <w:szCs w:val="21"/>
                <w:highlight w:val="none"/>
              </w:rPr>
              <w:t>本项目实行全流程电子化采购，投标人通过“广西政府采购云平台”参与电子投标，并应做好以下相关准备工作：①在“广西政府采购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w:t>
            </w:r>
            <w:r>
              <w:rPr>
                <w:rFonts w:hint="eastAsia" w:ascii="宋体" w:hAnsi="宋体" w:eastAsia="宋体" w:cs="宋体"/>
                <w:bCs/>
                <w:color w:val="auto"/>
                <w:sz w:val="21"/>
                <w:szCs w:val="21"/>
                <w:highlight w:val="none"/>
                <w:lang w:eastAsia="zh-CN"/>
              </w:rPr>
              <w:t>广西壮族自治区全流程电子招投标项目管理系统——</w:t>
            </w:r>
            <w:r>
              <w:rPr>
                <w:rFonts w:hint="eastAsia" w:ascii="宋体" w:hAnsi="宋体" w:eastAsia="宋体" w:cs="宋体"/>
                <w:bCs/>
                <w:color w:val="auto"/>
                <w:sz w:val="21"/>
                <w:szCs w:val="21"/>
                <w:highlight w:val="none"/>
              </w:rPr>
              <w:t>供应商客户端”（操作方法详见广西壮族自治区政府采购网—办事服务—下载专区，以下称“广西政府采购云平台电子投标客户端”）并安装成功，投标人应当在提交投标文件截止时间前在“广西政府采购云平台”平台</w:t>
            </w:r>
            <w:r>
              <w:rPr>
                <w:rFonts w:hint="eastAsia" w:ascii="宋体" w:hAnsi="宋体" w:eastAsia="宋体" w:cs="宋体"/>
                <w:bCs/>
                <w:color w:val="auto"/>
                <w:sz w:val="21"/>
                <w:szCs w:val="21"/>
                <w:highlight w:val="none"/>
                <w:lang w:eastAsia="zh-CN"/>
              </w:rPr>
              <w:t>完成</w:t>
            </w:r>
            <w:r>
              <w:rPr>
                <w:rFonts w:hint="eastAsia" w:ascii="宋体" w:hAnsi="宋体" w:eastAsia="宋体" w:cs="宋体"/>
                <w:bCs/>
                <w:color w:val="auto"/>
                <w:sz w:val="21"/>
                <w:szCs w:val="21"/>
                <w:highlight w:val="none"/>
              </w:rPr>
              <w:t>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eastAsia="宋体" w:cs="宋体"/>
                <w:color w:val="auto"/>
                <w:kern w:val="0"/>
                <w:sz w:val="21"/>
                <w:szCs w:val="21"/>
                <w:highlight w:val="none"/>
              </w:rPr>
              <w:t>。</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6.2电子投标具体操作流程参考《政府采购项目电子交易管理操作指南-供应商》（详见桂林市政府采购网—采购资讯—重要通知）；如遇平台技术问题详询95763。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0" w:type="dxa"/>
            <w:noWrap w:val="0"/>
            <w:vAlign w:val="center"/>
          </w:tcPr>
          <w:p>
            <w:pPr>
              <w:spacing w:line="33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15.1投标报价必须按招标文件中第六章“投标文件（格式）”填写。</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15.2本项目政府采购预算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200.00万元；投标人报价超出采购预算金额的，投标文件作无效处理。</w:t>
            </w:r>
          </w:p>
          <w:p>
            <w:pPr>
              <w:spacing w:line="33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15.3投标人必须就“采购需求”中所有内容作完整唯一报价，否则，其投标将被拒绝；投标文件只允许有一个报价方案，有选择的或有条件的报价将不予接受。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电子投标文件的制作、加密要求</w:t>
            </w:r>
          </w:p>
        </w:tc>
        <w:tc>
          <w:tcPr>
            <w:tcW w:w="7229" w:type="dxa"/>
            <w:noWrap w:val="0"/>
            <w:vAlign w:val="center"/>
          </w:tcPr>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18.1投标人制作电子投标文件前，应登录“广西政府采购云平台”进行“申请获取采购文件”操作，否则，有可能导致无法在线编制投标文件并参与投标，其不利后果由投标人自行承担。</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人下载或获取招标文件后，登录“广西政府采购云平台电子投标客户端”，按照本招标文件规定的投标文件格式、顺序以及“广西政府采购云平台”的要求，通过“广西政府采购云平台电子投标客户端”编制电子投标文件。</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投标人应按“广西政府采购云平台电子投标客户端”载明的“标书关联”功能进行电子投标文件相应内容的关联定位，以便在评审时点击相应评审项可直接定位到该评审内容；如投标人的电子投标文件未能关联定位相应内容，或者关联定位的内容与该评审项不符，导致无法查询并做出对投标人不利的资格审查或评审结果，相关后果由投标人自行承担。</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电子投标文件不得涂改，若有修改错漏处，须由法定代表人或授权委托代理人签字（或者电子签名）。电子投标文件按本须知载明的投标文件组成及要求进行编排，因投标文件字迹潦草、表达不清、内容不完整</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投标文件相应内容未按要求编排、编排混乱导致投标文件被误读、漏读</w:t>
            </w:r>
            <w:r>
              <w:rPr>
                <w:rFonts w:hint="eastAsia" w:ascii="宋体" w:hAnsi="宋体" w:eastAsia="宋体" w:cs="宋体"/>
                <w:color w:val="auto"/>
                <w:sz w:val="21"/>
                <w:szCs w:val="21"/>
                <w:highlight w:val="none"/>
                <w:lang w:eastAsia="zh-CN"/>
              </w:rPr>
              <w:t>，或者</w:t>
            </w:r>
            <w:r>
              <w:rPr>
                <w:rFonts w:hint="eastAsia" w:ascii="宋体" w:hAnsi="宋体" w:eastAsia="宋体" w:cs="宋体"/>
                <w:color w:val="auto"/>
                <w:sz w:val="21"/>
                <w:szCs w:val="21"/>
                <w:highlight w:val="none"/>
              </w:rPr>
              <w:t>在按招标文件规定的部位查找不到相关内容的，其不利后果由投标人自行承担。18.5投标人编制、生成电子投标文件后应当加密投标文件。投标人未按规定编制并加密的投标文件，“广西政府采购云平台”将予以拒收。</w:t>
            </w:r>
          </w:p>
          <w:p>
            <w:pPr>
              <w:snapToGrid w:val="0"/>
              <w:spacing w:line="33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18.6供应商公章、签字、电子签章、电子签名</w:t>
            </w:r>
            <w:r>
              <w:rPr>
                <w:rFonts w:hint="eastAsia" w:ascii="宋体" w:hAnsi="宋体" w:eastAsia="宋体" w:cs="宋体"/>
                <w:color w:val="auto"/>
                <w:sz w:val="21"/>
                <w:szCs w:val="21"/>
                <w:highlight w:val="none"/>
                <w:lang w:eastAsia="zh-CN"/>
              </w:rPr>
              <w:t>。</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18.6.1本招标文件中描述投标人的“公章”是指根据我国对公章的管理规定，用投标人法定主体行为名称制作的印章，除本招标文件有特殊规定外，投标人的其他形式印章均不能代替公章。</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18.6.2本招标文件中描述投标人的“签字”是指投标人的法定代表人或者委托代理人亲自在文件规定签字处亲笔写上个人的名字的行为，私章、签字章、印鉴、影印等其他形式均不能代替亲笔签字。</w:t>
            </w:r>
          </w:p>
          <w:p>
            <w:pPr>
              <w:pStyle w:val="8"/>
              <w:snapToGrid w:val="0"/>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18.6.3本招标文件所称的“电子签章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签名”，是指经“广西政府采购云平台”认可的CA认证的电子签名数据为表现形式的印章，可用于签署电子投标文件，电子签章、电子签名与实物印章、手写签名具有同等法律效力，不因其采用电子化表现形式而否定其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50" w:type="dxa"/>
            <w:noWrap w:val="0"/>
            <w:vAlign w:val="center"/>
          </w:tcPr>
          <w:p>
            <w:pPr>
              <w:spacing w:line="33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418" w:type="dxa"/>
            <w:noWrap w:val="0"/>
            <w:vAlign w:val="center"/>
          </w:tcPr>
          <w:p>
            <w:pPr>
              <w:spacing w:line="33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投标文件的递交</w:t>
            </w:r>
          </w:p>
        </w:tc>
        <w:tc>
          <w:tcPr>
            <w:tcW w:w="7229" w:type="dxa"/>
            <w:noWrap w:val="0"/>
            <w:vAlign w:val="center"/>
          </w:tcPr>
          <w:p>
            <w:pPr>
              <w:tabs>
                <w:tab w:val="left" w:pos="7200"/>
              </w:tabs>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19.1投标文件递交要求：</w:t>
            </w:r>
          </w:p>
          <w:p>
            <w:pPr>
              <w:tabs>
                <w:tab w:val="left" w:pos="7200"/>
              </w:tabs>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r>
              <w:rPr>
                <w:rFonts w:hint="eastAsia" w:ascii="宋体" w:hAnsi="宋体" w:eastAsia="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上午9时30分。</w:t>
            </w:r>
          </w:p>
          <w:p>
            <w:pPr>
              <w:tabs>
                <w:tab w:val="left" w:pos="7200"/>
              </w:tabs>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投标文件递交地点：通过“广西政府采购云平台”在线提交，逾期递交的投标文件将予以拒收。投标文件递交成功后，投标人在“广西政府采购云平台”自行下载投标回执。</w:t>
            </w:r>
          </w:p>
          <w:p>
            <w:pPr>
              <w:snapToGrid w:val="0"/>
              <w:spacing w:line="33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19.2除招标文件另有规定外，投标人所递交的投标文件不予退还。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50" w:type="dxa"/>
            <w:noWrap w:val="0"/>
            <w:vAlign w:val="center"/>
          </w:tcPr>
          <w:p>
            <w:pPr>
              <w:spacing w:line="33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20</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投标文件的补充、修改和撤回</w:t>
            </w:r>
          </w:p>
        </w:tc>
        <w:tc>
          <w:tcPr>
            <w:tcW w:w="7229" w:type="dxa"/>
            <w:noWrap w:val="0"/>
            <w:vAlign w:val="center"/>
          </w:tcPr>
          <w:p>
            <w:pPr>
              <w:adjustRightInd w:val="0"/>
              <w:snapToGrid w:val="0"/>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投标人在投标截止时间前，可以通过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在线对所递交的投标文件进行补充、修改或者撤回，并书面通知采购代理机构。</w:t>
            </w:r>
            <w:r>
              <w:rPr>
                <w:rFonts w:hint="eastAsia" w:ascii="宋体" w:hAnsi="宋体" w:eastAsia="宋体" w:cs="宋体"/>
                <w:bCs/>
                <w:color w:val="auto"/>
                <w:sz w:val="21"/>
                <w:szCs w:val="21"/>
                <w:highlight w:val="none"/>
              </w:rPr>
              <w:t>补充、修改电子投标文件的，应当先行撤回原文件，补充、修改的内容</w:t>
            </w:r>
            <w:r>
              <w:rPr>
                <w:rFonts w:hint="eastAsia" w:ascii="宋体" w:hAnsi="宋体" w:eastAsia="宋体" w:cs="宋体"/>
                <w:color w:val="auto"/>
                <w:sz w:val="21"/>
                <w:szCs w:val="21"/>
                <w:highlight w:val="none"/>
              </w:rPr>
              <w:t>按照招标文件要求签署、盖章后</w:t>
            </w:r>
            <w:r>
              <w:rPr>
                <w:rFonts w:hint="eastAsia" w:ascii="宋体" w:hAnsi="宋体" w:eastAsia="宋体" w:cs="宋体"/>
                <w:bCs/>
                <w:color w:val="auto"/>
                <w:sz w:val="21"/>
                <w:szCs w:val="21"/>
                <w:highlight w:val="none"/>
              </w:rPr>
              <w:t>重新传输提交至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，作为投标文件的组成部分。</w:t>
            </w:r>
            <w:r>
              <w:rPr>
                <w:rFonts w:hint="eastAsia" w:ascii="宋体" w:hAnsi="宋体" w:eastAsia="宋体" w:cs="宋体"/>
                <w:bCs/>
                <w:color w:val="auto"/>
                <w:sz w:val="21"/>
                <w:szCs w:val="21"/>
                <w:highlight w:val="none"/>
              </w:rPr>
              <w:t>在投标文件递交截止时间后的投标文件有效期内，投标人不得撤回其投标文件。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 </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21.1开标时间及地点：</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上午9时30分；</w:t>
            </w:r>
          </w:p>
          <w:p>
            <w:pPr>
              <w:spacing w:line="33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bCs/>
                <w:color w:val="auto"/>
                <w:sz w:val="21"/>
                <w:szCs w:val="21"/>
                <w:highlight w:val="none"/>
                <w:lang w:eastAsia="zh-CN"/>
              </w:rPr>
              <w:t>桂林市公共资源交易中心</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号政采开标仓，通过</w:t>
            </w:r>
            <w:r>
              <w:rPr>
                <w:rFonts w:hint="eastAsia" w:ascii="宋体" w:hAnsi="宋体" w:eastAsia="宋体" w:cs="宋体"/>
                <w:color w:val="auto"/>
                <w:sz w:val="21"/>
                <w:szCs w:val="21"/>
                <w:highlight w:val="none"/>
              </w:rPr>
              <w:t>广西政府采购云平在线</w:t>
            </w:r>
            <w:r>
              <w:rPr>
                <w:rFonts w:hint="eastAsia" w:ascii="宋体" w:hAnsi="宋体" w:eastAsia="宋体" w:cs="宋体"/>
                <w:color w:val="auto"/>
                <w:sz w:val="21"/>
                <w:szCs w:val="21"/>
                <w:highlight w:val="none"/>
                <w:lang w:bidi="ar"/>
              </w:rPr>
              <w:t>开启投标文件</w:t>
            </w:r>
            <w:r>
              <w:rPr>
                <w:rFonts w:hint="eastAsia" w:ascii="宋体" w:hAnsi="宋体" w:cs="宋体"/>
                <w:color w:val="auto"/>
                <w:sz w:val="21"/>
                <w:szCs w:val="21"/>
                <w:highlight w:val="none"/>
                <w:lang w:eastAsia="zh-CN" w:bidi="ar"/>
              </w:rPr>
              <w:t>。</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21.2投标人不足3家的，不得开标，采购人或者采购代理机构应当重新组织采购。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22.1采购代理机构将按照招标文件规定的时间通过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在线组织开标、解密开启投标文件，投标人的法定代表人或其委托代理人应当保持</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实时在线，并通过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在线出席开标会议。投标人如不出席开标会议的，视同认可开标结果，事后不得对采购相关人员、开标过程和开标结果提出异议，因投标人未保持实时在线，而导致投标文件无法按时解密等一切后果由投标人自行承担。</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22.2投标文件解密：投标文件提交截止时间后，采购代理机构开启解密投标文件操作，</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向各投标人发出电子加密投标文件解密通知，由投标人在系统发出解密通知后30分钟内自行使用</w:t>
            </w:r>
            <w:r>
              <w:rPr>
                <w:rFonts w:hint="eastAsia" w:ascii="宋体" w:hAnsi="宋体" w:eastAsia="宋体" w:cs="宋体"/>
                <w:color w:val="auto"/>
                <w:sz w:val="21"/>
                <w:szCs w:val="21"/>
                <w:highlight w:val="none"/>
                <w:lang w:eastAsia="zh-CN"/>
              </w:rPr>
              <w:t>加密</w:t>
            </w:r>
            <w:r>
              <w:rPr>
                <w:rFonts w:hint="eastAsia" w:ascii="宋体" w:hAnsi="宋体" w:eastAsia="宋体" w:cs="宋体"/>
                <w:color w:val="auto"/>
                <w:sz w:val="21"/>
                <w:szCs w:val="21"/>
                <w:highlight w:val="none"/>
              </w:rPr>
              <w:t>的CA通过“项目采购-开标评标”功能对投标文件进行解密。</w:t>
            </w:r>
            <w:r>
              <w:rPr>
                <w:rFonts w:hint="eastAsia" w:ascii="宋体" w:hAnsi="宋体" w:eastAsia="宋体" w:cs="宋体"/>
                <w:b/>
                <w:color w:val="auto"/>
                <w:sz w:val="21"/>
                <w:szCs w:val="21"/>
                <w:highlight w:val="none"/>
              </w:rPr>
              <w:t>若投标人在规定时间内无法解密或解密失败，视为投标人放弃投标。</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22.3投标文件解密结束后，开标活动组织人员在线开启投标文件。</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22.4开启投标人报价文件，电子开标大厅记录显示并记录投标人投标报价表的投标报价等。</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22.5投标人线上确认投标报价。</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22.6如发现开标结果与所提交的报价文件不一致的，由评标委员会根据报价文件内容进行修正。</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22.8特别说明：如遇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电子化开标或评审程序调整的，按调整后程序执行。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评标委员会组成</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w:t>
            </w:r>
            <w:r>
              <w:rPr>
                <w:rFonts w:hint="eastAsia" w:ascii="宋体" w:hAnsi="宋体" w:eastAsia="宋体" w:cs="宋体"/>
                <w:color w:val="auto"/>
                <w:sz w:val="21"/>
                <w:szCs w:val="21"/>
                <w:highlight w:val="none"/>
                <w:lang w:eastAsia="zh-CN"/>
              </w:rPr>
              <w:t>成员人数共5人</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418" w:type="dxa"/>
            <w:noWrap w:val="0"/>
            <w:vAlign w:val="center"/>
          </w:tcPr>
          <w:p>
            <w:pPr>
              <w:tabs>
                <w:tab w:val="left" w:pos="1140"/>
              </w:tabs>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根据《关于做好政府采购有关信用主体标识码登记及在政府采购活动中查询使用信用记录有关问题的通知》（桂财采〔2016〕37号)的通知，由采购代理机构对第一中标候选人进行信用查询：</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⑴查询渠道：“信用中国”网站(http://www.creditchina.gov.cn)、中国政府采购网（http://www.ccgp.gov.cn）等；</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⑵查询截止时间：中标通知书发出前；</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pPr>
              <w:pStyle w:val="16"/>
              <w:keepNext w:val="0"/>
              <w:keepLines w:val="0"/>
              <w:pageBreakBefore w:val="0"/>
              <w:widowControl w:val="0"/>
              <w:kinsoku/>
              <w:wordWrap w:val="0"/>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http://www.creditchina.gov.cn)、中国政府采购网（http://www.ccgp.gov.cn）等渠道列入失信被执行人、重大税收违法失信主体、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中标公告及中标通知书</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代理机构于评标结束后两个工作日内将评标报告送交采购人，采购人应当自收到评标报告五个工作日内在评标报告推荐的中标候选人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中小企业在政府采购活动过程中，请根据自己的真实情况出具《中小企业声明函》。依法享受中小企业优惠政策的，采购人或采购代理机构在公告中标结果时，同时公告其《中小企业声明函》，接受社会监督。</w:t>
            </w:r>
          </w:p>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33.3中标公告发布同时，采购代理机构通过政采云平台在线向中标人发出中标通知书，中标人应自行关注政采云平台信息，确保及时查收中标通知书。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w:t>
            </w:r>
          </w:p>
        </w:tc>
        <w:tc>
          <w:tcPr>
            <w:tcW w:w="7229" w:type="dxa"/>
            <w:noWrap w:val="0"/>
            <w:vAlign w:val="center"/>
          </w:tcPr>
          <w:p>
            <w:pPr>
              <w:pStyle w:val="8"/>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履约保证金金额按合同金额的3%交纳（人民币，四舍五入到元），如为中型企业中标的按合同金额的2%交纳，如为小微企业中标的则免收履约保证金。乙方于签订合同之前将履约保证金以支票、汇票、本票或者金融机构、担保机构出具的保函等非现金形式提交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中标通知书发出之日起8个工作日内。中标人应按规定与采购人签订合同。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合同公告</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政府采购合同双方自签订之日起2个工作日内在省级以上人民政府财政部门指定媒体上公告。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w:t>
            </w:r>
          </w:p>
        </w:tc>
        <w:tc>
          <w:tcPr>
            <w:tcW w:w="7229" w:type="dxa"/>
            <w:noWrap w:val="0"/>
            <w:vAlign w:val="center"/>
          </w:tcPr>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1、代理服务费支付方式：本项目的招标代理服务费按以下收费标准向中标人收取，领取中标通知书时，中标人应向采购代理机构一次付清招标代理服务费，否则采购代理机构有权不予以办理。</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2、代理服务费收取标准：</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以标项中标金额为计费额，按计价格〔2002〕1980号规定的收费计算标准（☑货物招标/□服务招标/□工程招标）收取。</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3、代理服务费交纳账户信息</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开户名称：中策恒睿建设有限公司</w:t>
            </w:r>
          </w:p>
          <w:p>
            <w:pPr>
              <w:pStyle w:val="8"/>
              <w:spacing w:before="0" w:after="0"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银行账号：000525688700010 </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开户银行：桂林银行临桂支行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418"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229" w:type="dxa"/>
            <w:noWrap w:val="0"/>
            <w:vAlign w:val="center"/>
          </w:tcPr>
          <w:p>
            <w:pPr>
              <w:spacing w:line="3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本招标文件是根据《中华人民共和国政府采购法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中华人民共和国政府采购法实施条例》及</w:t>
            </w:r>
            <w:r>
              <w:rPr>
                <w:rFonts w:hint="eastAsia" w:ascii="宋体" w:hAnsi="宋体" w:eastAsia="宋体" w:cs="宋体"/>
                <w:bCs/>
                <w:color w:val="auto"/>
                <w:sz w:val="21"/>
                <w:szCs w:val="21"/>
                <w:highlight w:val="none"/>
              </w:rPr>
              <w:t>财政部令第87号</w:t>
            </w:r>
            <w:r>
              <w:rPr>
                <w:rFonts w:hint="eastAsia" w:ascii="宋体" w:hAnsi="宋体" w:eastAsia="宋体" w:cs="宋体"/>
                <w:color w:val="auto"/>
                <w:sz w:val="21"/>
                <w:szCs w:val="21"/>
                <w:highlight w:val="none"/>
              </w:rPr>
              <w:t>《政府采购货物和服务招标投标管理办法》和政府采购管理有关规定编制，本招标文件的解释权属于采购代理机构。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4"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50" w:type="dxa"/>
            <w:noWrap w:val="0"/>
            <w:vAlign w:val="center"/>
          </w:tcPr>
          <w:p>
            <w:pPr>
              <w:spacing w:line="33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418" w:type="dxa"/>
            <w:noWrap w:val="0"/>
            <w:vAlign w:val="center"/>
          </w:tcPr>
          <w:p>
            <w:pPr>
              <w:spacing w:line="33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监督管理机构</w:t>
            </w:r>
          </w:p>
        </w:tc>
        <w:tc>
          <w:tcPr>
            <w:tcW w:w="7229" w:type="dxa"/>
            <w:noWrap w:val="0"/>
            <w:vAlign w:val="center"/>
          </w:tcPr>
          <w:p>
            <w:pPr>
              <w:spacing w:line="33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桂林市财政局</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联系电话：0773-2829504</w:t>
            </w:r>
          </w:p>
        </w:tc>
      </w:tr>
    </w:tbl>
    <w:p>
      <w:pPr>
        <w:spacing w:line="400" w:lineRule="exact"/>
        <w:jc w:val="center"/>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28"/>
          <w:szCs w:val="28"/>
          <w:highlight w:val="none"/>
        </w:rPr>
      </w:pPr>
    </w:p>
    <w:p>
      <w:pPr>
        <w:spacing w:line="3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一、总则</w:t>
      </w:r>
    </w:p>
    <w:p>
      <w:pPr>
        <w:spacing w:line="36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项目名称及项目编号</w:t>
      </w:r>
    </w:p>
    <w:p>
      <w:pPr>
        <w:spacing w:line="360" w:lineRule="exact"/>
        <w:ind w:firstLine="720" w:firstLineChars="34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bCs/>
          <w:color w:val="auto"/>
          <w:szCs w:val="21"/>
          <w:highlight w:val="none"/>
          <w:lang w:eastAsia="zh-CN"/>
        </w:rPr>
        <w:t>桂林市执法能力建设项目</w:t>
      </w:r>
      <w:r>
        <w:rPr>
          <w:rFonts w:hint="eastAsia" w:ascii="宋体" w:hAnsi="宋体" w:eastAsia="宋体" w:cs="宋体"/>
          <w:bCs/>
          <w:color w:val="auto"/>
          <w:szCs w:val="21"/>
          <w:highlight w:val="none"/>
        </w:rPr>
        <w:t xml:space="preserve"> </w:t>
      </w:r>
    </w:p>
    <w:p>
      <w:pPr>
        <w:spacing w:line="360" w:lineRule="exact"/>
        <w:ind w:firstLine="720" w:firstLineChars="343"/>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 w:val="21"/>
          <w:szCs w:val="21"/>
          <w:highlight w:val="none"/>
        </w:rPr>
        <w:t>GLZC2025-G1-990184-ZCHR</w:t>
      </w:r>
    </w:p>
    <w:p>
      <w:pPr>
        <w:spacing w:line="36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适应范围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本招标文件适用本招标采购项目的招标、投标、评标、合同履约、验收、付款等行为（</w:t>
      </w:r>
      <w:r>
        <w:rPr>
          <w:rFonts w:hint="eastAsia" w:ascii="宋体" w:hAnsi="宋体" w:eastAsia="宋体" w:cs="宋体"/>
          <w:color w:val="auto"/>
          <w:szCs w:val="21"/>
          <w:highlight w:val="none"/>
          <w:lang w:eastAsia="zh-CN"/>
        </w:rPr>
        <w:t>法律法规</w:t>
      </w:r>
      <w:r>
        <w:rPr>
          <w:rFonts w:hint="eastAsia" w:ascii="宋体" w:hAnsi="宋体" w:eastAsia="宋体" w:cs="宋体"/>
          <w:color w:val="auto"/>
          <w:szCs w:val="21"/>
          <w:highlight w:val="none"/>
        </w:rPr>
        <w:t>另有规定的，从其规定）。</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定义</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3.1“投标人”是指响应招标、参加投标竞争的法人、其他组织或者自然人。</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3.2“货物”系指按招标文件规定，投标人须向采购人提供的一切设备、保险、税金、备品备件、工具、手册及其他有关技术资料和材料。</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3.3“服务”系指按招标文件规定，投标人须承担的安装、调试、技术协助、校准、培训、技术指导以及其他类似的义务。</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3.4“项目”系指投标人按招标文件规定向采购人提供的货物和服务。</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3.5“书面形式”包括信函、传真、电报。</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3.6法定代表人、负责人、自然人：投标人为其他组织或者自然人时，本招标文件规定的法定代表人指其他组织的负责人或者自然人本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spacing w:line="360" w:lineRule="exact"/>
        <w:ind w:firstLine="435"/>
        <w:rPr>
          <w:rFonts w:hint="eastAsia" w:ascii="宋体" w:hAnsi="宋体" w:eastAsia="宋体" w:cs="宋体"/>
          <w:color w:val="auto"/>
          <w:highlight w:val="none"/>
        </w:rPr>
      </w:pPr>
      <w:r>
        <w:rPr>
          <w:rFonts w:hint="eastAsia" w:ascii="宋体" w:hAnsi="宋体" w:eastAsia="宋体" w:cs="宋体"/>
          <w:b/>
          <w:color w:val="auto"/>
          <w:szCs w:val="21"/>
          <w:highlight w:val="none"/>
        </w:rPr>
        <w:t>3.7</w:t>
      </w:r>
      <w:r>
        <w:rPr>
          <w:rFonts w:hint="eastAsia" w:ascii="宋体" w:hAnsi="宋体" w:eastAsia="宋体" w:cs="宋体"/>
          <w:color w:val="auto"/>
          <w:highlight w:val="none"/>
        </w:rPr>
        <w:t>“正偏离”，是指投标文件对招标文件“采购需求”中有关条款作出的响应优于条款基本要求并有利于采购人的情形。</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w:t>
      </w:r>
      <w:r>
        <w:rPr>
          <w:rFonts w:hint="eastAsia" w:ascii="宋体" w:hAnsi="宋体" w:eastAsia="宋体" w:cs="宋体"/>
          <w:color w:val="auto"/>
          <w:szCs w:val="21"/>
          <w:highlight w:val="none"/>
        </w:rPr>
        <w:t>“负偏离”是指投标文件对招标文件“采购需求”中有关条款作出的响应不满足条款要求，导致采购人要求不能得到满足的情形。</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实质性要求：“采购需求”中标注▲号项的条款以及招标文件中要求“必须提供”的条款均为实质性要求，投标人对实质性要求若有任意一项不满足，投标文件按无效处理。“技术要求”允许非“▲”项条款发生负偏离的条款数详见“第三章采购需求”。“技术要求”中非“▲”号项出现负偏离数超出允许发生负偏离的项数时，投标文件按无效处理。</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 招标方式、评分办法</w:t>
      </w:r>
    </w:p>
    <w:p>
      <w:pPr>
        <w:spacing w:line="360" w:lineRule="exact"/>
        <w:ind w:firstLine="749" w:firstLineChars="357"/>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公开招标、综合评分法</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 投标人资格及资格条件特别说明：</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5.1投标人资格</w:t>
      </w:r>
    </w:p>
    <w:p>
      <w:pPr>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w:t>
      </w:r>
    </w:p>
    <w:p>
      <w:pPr>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w:t>
      </w:r>
    </w:p>
    <w:p>
      <w:pPr>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pPr>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5.2资格条件特别说明：</w:t>
      </w:r>
    </w:p>
    <w:p>
      <w:pPr>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（2）对在“信用中国”网站(http://www.creditchina.gov.cn) 、中国政府采购网（http://www.ccgp.gov.cn）被列入失信被执行人、重大税收违法失信主体、政府采购严重违法失信行为记录名单及其他不符合《中华人民共和国政府采购法》第二十二条规定条件的供应商，不得参与政府采购活动。</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 参与电子投标的准备工作</w:t>
      </w:r>
    </w:p>
    <w:p>
      <w:pPr>
        <w:tabs>
          <w:tab w:val="left" w:pos="1635"/>
        </w:tabs>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w:t>
      </w:r>
      <w:r>
        <w:rPr>
          <w:rFonts w:hint="eastAsia" w:ascii="宋体" w:hAnsi="宋体" w:eastAsia="宋体" w:cs="宋体"/>
          <w:bCs/>
          <w:color w:val="auto"/>
          <w:highlight w:val="none"/>
        </w:rPr>
        <w:t>本项目实行全流程电子化采购，投标人通过</w:t>
      </w:r>
      <w:r>
        <w:rPr>
          <w:rFonts w:hint="eastAsia" w:ascii="宋体" w:hAnsi="宋体" w:eastAsia="宋体" w:cs="宋体"/>
          <w:bCs/>
          <w:color w:val="auto"/>
          <w:highlight w:val="none"/>
          <w:lang w:eastAsia="zh-CN"/>
        </w:rPr>
        <w:t>“广西政府采购云平台”</w:t>
      </w:r>
      <w:r>
        <w:rPr>
          <w:rFonts w:hint="eastAsia" w:ascii="宋体" w:hAnsi="宋体" w:eastAsia="宋体" w:cs="宋体"/>
          <w:bCs/>
          <w:color w:val="auto"/>
          <w:highlight w:val="none"/>
        </w:rPr>
        <w:t>参与电子投标，并应做好以下相关准备工作：①在</w:t>
      </w:r>
      <w:r>
        <w:rPr>
          <w:rFonts w:hint="eastAsia" w:ascii="宋体" w:hAnsi="宋体" w:eastAsia="宋体" w:cs="宋体"/>
          <w:bCs/>
          <w:color w:val="auto"/>
          <w:highlight w:val="none"/>
          <w:lang w:eastAsia="zh-CN"/>
        </w:rPr>
        <w:t>“广西政府采购云平台”</w:t>
      </w:r>
      <w:r>
        <w:rPr>
          <w:rFonts w:hint="eastAsia" w:ascii="宋体" w:hAnsi="宋体" w:eastAsia="宋体" w:cs="宋体"/>
          <w:bCs/>
          <w:color w:val="auto"/>
          <w:highlight w:val="none"/>
        </w:rPr>
        <w:t>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w:t>
      </w:r>
      <w:r>
        <w:rPr>
          <w:rFonts w:hint="eastAsia" w:ascii="宋体" w:hAnsi="宋体" w:eastAsia="宋体" w:cs="宋体"/>
          <w:bCs/>
          <w:color w:val="auto"/>
          <w:highlight w:val="none"/>
          <w:lang w:eastAsia="zh-CN"/>
        </w:rPr>
        <w:t>广西壮族自治区全流程电子招投标项目管理系统——</w:t>
      </w:r>
      <w:r>
        <w:rPr>
          <w:rFonts w:hint="eastAsia" w:ascii="宋体" w:hAnsi="宋体" w:eastAsia="宋体" w:cs="宋体"/>
          <w:bCs/>
          <w:color w:val="auto"/>
          <w:highlight w:val="none"/>
        </w:rPr>
        <w:t>供应商客户端”（操作方法详见广西壮族自治区政府采购网—办事服务—下载专区，以下称“政采云电子投标客户端”）并安装成功，投标人应当在提交投标文件截止时间前在</w:t>
      </w:r>
      <w:r>
        <w:rPr>
          <w:rFonts w:hint="eastAsia" w:ascii="宋体" w:hAnsi="宋体" w:eastAsia="宋体" w:cs="宋体"/>
          <w:bCs/>
          <w:color w:val="auto"/>
          <w:highlight w:val="none"/>
          <w:lang w:eastAsia="zh-CN"/>
        </w:rPr>
        <w:t>“广西政府采购云平台”完成</w:t>
      </w:r>
      <w:r>
        <w:rPr>
          <w:rFonts w:hint="eastAsia" w:ascii="宋体" w:hAnsi="宋体" w:eastAsia="宋体" w:cs="宋体"/>
          <w:bCs/>
          <w:color w:val="auto"/>
          <w:highlight w:val="none"/>
        </w:rPr>
        <w:t>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eastAsia="宋体" w:cs="宋体"/>
          <w:color w:val="auto"/>
          <w:kern w:val="0"/>
          <w:szCs w:val="21"/>
          <w:highlight w:val="none"/>
        </w:rPr>
        <w:t>。</w:t>
      </w:r>
    </w:p>
    <w:p>
      <w:pPr>
        <w:tabs>
          <w:tab w:val="left" w:pos="1635"/>
        </w:tabs>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6.2电子投标具体操作流程参考《政府采购项目电子交易管理操作指南-供应商》（详见桂林市政府采购网—采购资讯—重要通知）；如遇平台技术问题详询95763。</w:t>
      </w:r>
    </w:p>
    <w:p>
      <w:pPr>
        <w:tabs>
          <w:tab w:val="left" w:pos="1635"/>
        </w:tabs>
        <w:spacing w:line="360" w:lineRule="exact"/>
        <w:ind w:firstLine="435"/>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6.3</w:t>
      </w:r>
      <w:r>
        <w:rPr>
          <w:rFonts w:hint="eastAsia" w:ascii="宋体" w:hAnsi="宋体" w:eastAsia="宋体" w:cs="宋体"/>
          <w:b/>
          <w:bCs/>
          <w:color w:val="auto"/>
          <w:szCs w:val="21"/>
          <w:highlight w:val="none"/>
        </w:rPr>
        <w:t>本项目资格审查及评审过程中，资格审查人员或评审委员会需要投标人进行澄清（</w:t>
      </w:r>
      <w:r>
        <w:rPr>
          <w:rFonts w:hint="eastAsia" w:ascii="宋体" w:hAnsi="宋体" w:eastAsia="宋体" w:cs="宋体"/>
          <w:b/>
          <w:color w:val="auto"/>
          <w:szCs w:val="21"/>
          <w:highlight w:val="none"/>
        </w:rPr>
        <w:t>说明、更正</w:t>
      </w:r>
      <w:r>
        <w:rPr>
          <w:rFonts w:hint="eastAsia" w:ascii="宋体" w:hAnsi="宋体" w:eastAsia="宋体" w:cs="宋体"/>
          <w:b/>
          <w:bCs/>
          <w:color w:val="auto"/>
          <w:szCs w:val="21"/>
          <w:highlight w:val="none"/>
        </w:rPr>
        <w:t>）等全部事宜，均通过</w:t>
      </w:r>
      <w:r>
        <w:rPr>
          <w:rFonts w:hint="eastAsia" w:ascii="宋体" w:hAnsi="宋体" w:eastAsia="宋体" w:cs="宋体"/>
          <w:b/>
          <w:bCs/>
          <w:color w:val="auto"/>
          <w:szCs w:val="21"/>
          <w:highlight w:val="none"/>
          <w:lang w:eastAsia="zh-CN"/>
        </w:rPr>
        <w:t>“广西政府采购云平台”</w:t>
      </w:r>
      <w:r>
        <w:rPr>
          <w:rFonts w:hint="eastAsia" w:ascii="宋体" w:hAnsi="宋体" w:eastAsia="宋体" w:cs="宋体"/>
          <w:b/>
          <w:bCs/>
          <w:color w:val="auto"/>
          <w:szCs w:val="21"/>
          <w:highlight w:val="none"/>
        </w:rPr>
        <w:t>在线进行。本项目投标文件提交截止时间后至评审结束前，投标人应保持登录</w:t>
      </w:r>
      <w:r>
        <w:rPr>
          <w:rFonts w:hint="eastAsia" w:ascii="宋体" w:hAnsi="宋体" w:eastAsia="宋体" w:cs="宋体"/>
          <w:b/>
          <w:bCs/>
          <w:color w:val="auto"/>
          <w:szCs w:val="21"/>
          <w:highlight w:val="none"/>
          <w:lang w:eastAsia="zh-CN"/>
        </w:rPr>
        <w:t>“广西政府采购云平台”</w:t>
      </w:r>
      <w:r>
        <w:rPr>
          <w:rFonts w:hint="eastAsia" w:ascii="宋体" w:hAnsi="宋体" w:eastAsia="宋体" w:cs="宋体"/>
          <w:b/>
          <w:bCs/>
          <w:color w:val="auto"/>
          <w:szCs w:val="21"/>
          <w:highlight w:val="none"/>
        </w:rPr>
        <w:t>且实时在线以保证及时收发相关信息，否则其不利后果由投标人自行承担。</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 联合体投标要求</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 转包与分包</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8.1本项目不允许转包。</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8.2本项目不接受分包。</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 特别说明</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提供相同品牌产品且通过资格审查、符合性审查的不同投标人参加同一合同项下投标的，按一家投标人计算，评审后得分最高的同品牌投标人获得中标人推荐资格；评审得分相同的，评标报价最低的同品牌投标人获得中标人推荐资格，评标报价也相同的，由评标委员会以抽签方式确定中标候选人，其他同品牌投标人不作为中标候选人。</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非单一产品采购项目，多家投标人提供的核心产品品牌相同的，按前款规定处理。</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9.2关联供应商不得参加同一合同项下政府采购活动，否则投标文件将被视为无效：</w:t>
      </w:r>
    </w:p>
    <w:p>
      <w:pPr>
        <w:tabs>
          <w:tab w:val="left" w:pos="163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（1）单位负责人为同一人或者存在直接控股、管理关系的不同供应商，不得参加同一合同项下的政府采购活动。</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（2）为本采购项目提供整体设计、规范编制或者项目管理、监理、检测等服务的供应商，不得再参加本次采购活动。</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（3）生产厂商授权给供应商后自己不得参加同一合同项下的政府采购活动。</w:t>
      </w:r>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9.3投标人必须仔细阅读招标文件的所有内容，按照招标文件的要求提交投标文件，并对所提供的全部资料的真实性承担法律责任。</w:t>
      </w:r>
    </w:p>
    <w:p>
      <w:pPr>
        <w:tabs>
          <w:tab w:val="left" w:pos="1635"/>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9.4投标人在投标活动中提供任何虚假材料，其投标无效，并报监管部门查处；中标后发现的，中标人须依照《中华人民共和国消费者权益保护法》规定赔偿采购人，且民事赔偿并不免除违法投标人的行政与刑事责任。</w:t>
      </w:r>
    </w:p>
    <w:p>
      <w:pPr>
        <w:tabs>
          <w:tab w:val="left" w:pos="2190"/>
        </w:tabs>
        <w:spacing w:line="36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 质疑和投诉</w:t>
      </w:r>
      <w:r>
        <w:rPr>
          <w:rFonts w:hint="eastAsia" w:ascii="宋体" w:hAnsi="宋体" w:eastAsia="宋体" w:cs="宋体"/>
          <w:b/>
          <w:color w:val="auto"/>
          <w:szCs w:val="21"/>
          <w:highlight w:val="none"/>
        </w:rPr>
        <w:tab/>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eastAsia="宋体" w:cs="宋体"/>
          <w:b/>
          <w:color w:val="auto"/>
          <w:szCs w:val="21"/>
          <w:highlight w:val="none"/>
        </w:rPr>
        <w:t>（“质疑函”格式见附表1）</w:t>
      </w:r>
      <w:r>
        <w:rPr>
          <w:rFonts w:hint="eastAsia" w:ascii="宋体" w:hAnsi="宋体" w:eastAsia="宋体" w:cs="宋体"/>
          <w:color w:val="auto"/>
          <w:szCs w:val="21"/>
          <w:highlight w:val="none"/>
        </w:rPr>
        <w:t>。否则，采购代理机构有权拒收。</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投标人在法定质疑期内应一次性提出与项目相关的质疑，投标人在提出与项目相关的质疑前应当做好全面且详细的工作，代理机构不再受理投标人针对同一采购程序环节的再次质疑。</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10.2投标人对采购代理机构的答复不满意或者采购代理机构未在规定的时间内作出答复的，可以在答复期满后十五个工作日内向桂林市财政局投诉</w:t>
      </w:r>
      <w:r>
        <w:rPr>
          <w:rFonts w:hint="eastAsia" w:ascii="宋体" w:hAnsi="宋体" w:eastAsia="宋体" w:cs="宋体"/>
          <w:b/>
          <w:color w:val="auto"/>
          <w:szCs w:val="21"/>
          <w:highlight w:val="none"/>
        </w:rPr>
        <w:t>（“投诉书”格式见附表2）</w:t>
      </w:r>
      <w:r>
        <w:rPr>
          <w:rFonts w:hint="eastAsia" w:ascii="宋体" w:hAnsi="宋体" w:eastAsia="宋体" w:cs="宋体"/>
          <w:color w:val="auto"/>
          <w:szCs w:val="21"/>
          <w:highlight w:val="none"/>
        </w:rPr>
        <w:t>。</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投标人提出质疑应当提交质疑函和必要的证明材料，针对同一采购程序环节的质疑必须在法定质疑期内一次性提出。质疑函应当包括下列内容：</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（1）供应商的姓名或者名称、地址、邮编、联系人及联系电话；</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（2）质疑项目的名称、编号；</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（3）具体、明确的质疑事项和与质疑事项相关的请求；</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（4）事实依据；</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（5）必要的法律依据；</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（6）提出质疑的日期。</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供应商为自然人的，应当由本人签字；供应商为法人或者其他组织的，应当由法定代表人、主要负责人，或者其授权代表签字或者盖章，并加盖公章。</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r>
        <w:rPr>
          <w:rFonts w:hint="eastAsia" w:ascii="宋体" w:hAnsi="宋体" w:eastAsia="宋体" w:cs="宋体"/>
          <w:color w:val="auto"/>
          <w:szCs w:val="21"/>
          <w:highlight w:val="none"/>
          <w:lang w:eastAsia="zh-CN"/>
        </w:rPr>
        <w:t>中策恒睿建设有限公司</w:t>
      </w:r>
      <w:r>
        <w:rPr>
          <w:rFonts w:hint="eastAsia" w:ascii="宋体" w:hAnsi="宋体" w:eastAsia="宋体" w:cs="宋体"/>
          <w:color w:val="auto"/>
          <w:szCs w:val="21"/>
          <w:highlight w:val="none"/>
        </w:rPr>
        <w:t>，联系人：</w:t>
      </w:r>
      <w:r>
        <w:rPr>
          <w:rFonts w:hint="eastAsia" w:ascii="宋体" w:hAnsi="宋体" w:eastAsia="宋体" w:cs="宋体"/>
          <w:color w:val="auto"/>
          <w:highlight w:val="none"/>
          <w:lang w:eastAsia="zh-CN"/>
        </w:rPr>
        <w:t>陈琪</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0773－</w:t>
      </w:r>
      <w:r>
        <w:rPr>
          <w:rFonts w:hint="eastAsia" w:ascii="宋体" w:hAnsi="宋体" w:cs="宋体"/>
          <w:color w:val="auto"/>
          <w:szCs w:val="21"/>
          <w:highlight w:val="none"/>
          <w:lang w:val="en-US" w:eastAsia="zh-CN"/>
        </w:rPr>
        <w:t>3661363</w:t>
      </w:r>
      <w:r>
        <w:rPr>
          <w:rFonts w:hint="eastAsia" w:ascii="宋体" w:hAnsi="宋体" w:eastAsia="宋体" w:cs="宋体"/>
          <w:color w:val="auto"/>
          <w:szCs w:val="21"/>
          <w:highlight w:val="none"/>
        </w:rPr>
        <w:t>。</w:t>
      </w:r>
    </w:p>
    <w:p>
      <w:pPr>
        <w:tabs>
          <w:tab w:val="left" w:pos="2190"/>
        </w:tabs>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通讯地址：</w:t>
      </w:r>
      <w:r>
        <w:rPr>
          <w:rFonts w:hint="eastAsia" w:ascii="宋体" w:hAnsi="宋体" w:eastAsia="宋体" w:cs="宋体"/>
          <w:color w:val="auto"/>
          <w:kern w:val="0"/>
          <w:szCs w:val="21"/>
          <w:highlight w:val="none"/>
          <w:lang w:eastAsia="zh-CN"/>
        </w:rPr>
        <w:t>临桂区临桂镇西城大道与世纪大道岔口联创.飞扬国际T4幢1单元25-26层3号</w:t>
      </w:r>
      <w:r>
        <w:rPr>
          <w:rFonts w:hint="eastAsia" w:ascii="宋体" w:hAnsi="宋体" w:eastAsia="宋体" w:cs="宋体"/>
          <w:color w:val="auto"/>
          <w:kern w:val="0"/>
          <w:szCs w:val="21"/>
          <w:highlight w:val="none"/>
        </w:rPr>
        <w:t>。</w:t>
      </w:r>
    </w:p>
    <w:p>
      <w:pPr>
        <w:tabs>
          <w:tab w:val="left" w:pos="2190"/>
        </w:tabs>
        <w:spacing w:line="360" w:lineRule="exact"/>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业务时间：工作日每日上午</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时00分到12时00分，</w:t>
      </w:r>
      <w:r>
        <w:rPr>
          <w:rFonts w:hint="eastAsia" w:ascii="宋体" w:hAnsi="宋体" w:eastAsia="宋体" w:cs="宋体"/>
          <w:color w:val="auto"/>
          <w:kern w:val="0"/>
          <w:szCs w:val="21"/>
          <w:highlight w:val="none"/>
          <w:lang w:eastAsia="zh-CN"/>
        </w:rPr>
        <w:t>下午</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lang w:eastAsia="zh-CN"/>
        </w:rPr>
        <w:t>点</w:t>
      </w:r>
      <w:r>
        <w:rPr>
          <w:rFonts w:hint="eastAsia" w:ascii="宋体" w:hAnsi="宋体" w:eastAsia="宋体" w:cs="宋体"/>
          <w:color w:val="auto"/>
          <w:kern w:val="0"/>
          <w:szCs w:val="21"/>
          <w:highlight w:val="none"/>
        </w:rPr>
        <w:t>00分到</w:t>
      </w:r>
      <w:r>
        <w:rPr>
          <w:rFonts w:hint="eastAsia" w:ascii="宋体" w:hAnsi="宋体" w:eastAsia="宋体" w:cs="宋体"/>
          <w:color w:val="auto"/>
          <w:kern w:val="0"/>
          <w:szCs w:val="21"/>
          <w:highlight w:val="none"/>
          <w:lang w:val="en-US" w:eastAsia="zh-CN"/>
        </w:rPr>
        <w:t>17</w:t>
      </w:r>
      <w:r>
        <w:rPr>
          <w:rFonts w:hint="eastAsia" w:ascii="宋体" w:hAnsi="宋体" w:eastAsia="宋体" w:cs="宋体"/>
          <w:color w:val="auto"/>
          <w:kern w:val="0"/>
          <w:szCs w:val="21"/>
          <w:highlight w:val="none"/>
        </w:rPr>
        <w:t>时00分。业务时间以外、双休日和法定节假日不办理业务。</w:t>
      </w:r>
    </w:p>
    <w:p>
      <w:pPr>
        <w:tabs>
          <w:tab w:val="left" w:pos="2190"/>
        </w:tabs>
        <w:spacing w:line="360" w:lineRule="exact"/>
        <w:ind w:firstLine="435"/>
        <w:jc w:val="center"/>
        <w:rPr>
          <w:rFonts w:hint="eastAsia" w:ascii="宋体" w:hAnsi="宋体" w:eastAsia="宋体" w:cs="宋体"/>
          <w:b/>
          <w:color w:val="auto"/>
          <w:sz w:val="28"/>
          <w:szCs w:val="28"/>
          <w:highlight w:val="none"/>
        </w:rPr>
      </w:pPr>
    </w:p>
    <w:p>
      <w:pPr>
        <w:tabs>
          <w:tab w:val="left" w:pos="2190"/>
        </w:tabs>
        <w:spacing w:line="360" w:lineRule="exact"/>
        <w:ind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pPr>
        <w:tabs>
          <w:tab w:val="left" w:pos="2190"/>
        </w:tabs>
        <w:spacing w:line="360" w:lineRule="exact"/>
        <w:ind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 招标文件的构成</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（5）政府采购合同；</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tabs>
          <w:tab w:val="left" w:pos="2190"/>
        </w:tabs>
        <w:spacing w:line="360" w:lineRule="exact"/>
        <w:ind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 招标文件的澄清与修改</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12.1投标人必须认真阅读招标文件，发现其中有误或有不合理要求的，投标人必须</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rPr>
        <w:t>本项目公告期限届满之日起七个工作日内以书面形式要求采购代理机构澄清。</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招标公告发布的同一媒体上发布更正公告；不足15日的，采购代理机构应当顺延提交投标文件的截止时间。</w:t>
      </w:r>
    </w:p>
    <w:p>
      <w:pPr>
        <w:tabs>
          <w:tab w:val="left" w:pos="2190"/>
        </w:tabs>
        <w:spacing w:line="360" w:lineRule="exact"/>
        <w:ind w:firstLine="43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12.3投标人应实时关注本项目公告相关网站了解澄清、修改等与项目有关的内容，如因投标人未及时登录本项目公告相关网站了解澄清、修改等与项目有关的内容，从而导致投标无效的，由投标人自行承担责任。</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12.4必要的澄清、修改的内容为招标文件的组成部分。当澄清、修改通知就同一内容的表述不一致时，以最后发出的书面文件为准。</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12.5招标文件的澄清、修改都应该通过采购代理机构以法定形式发布，采购人非通过本机构，不得擅自澄清、修改招标文件。</w:t>
      </w:r>
    </w:p>
    <w:p>
      <w:pPr>
        <w:tabs>
          <w:tab w:val="left" w:pos="2190"/>
        </w:tabs>
        <w:spacing w:line="360" w:lineRule="exact"/>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12.6采购人或者采购代理机构</w:t>
      </w:r>
      <w:r>
        <w:rPr>
          <w:rFonts w:hint="eastAsia" w:ascii="宋体" w:hAnsi="宋体" w:eastAsia="宋体" w:cs="宋体"/>
          <w:color w:val="auto"/>
          <w:highlight w:val="none"/>
        </w:rPr>
        <w:t>可以视采购具体情况，延长投标截止时间和开标时间，并在</w:t>
      </w:r>
      <w:r>
        <w:rPr>
          <w:rFonts w:hint="eastAsia" w:ascii="宋体" w:hAnsi="宋体" w:eastAsia="宋体" w:cs="宋体"/>
          <w:color w:val="auto"/>
          <w:szCs w:val="21"/>
          <w:highlight w:val="none"/>
        </w:rPr>
        <w:t>本项目招标公告发布的同一媒体上发布变更公告。</w:t>
      </w:r>
    </w:p>
    <w:p>
      <w:pPr>
        <w:tabs>
          <w:tab w:val="left" w:pos="2190"/>
        </w:tabs>
        <w:spacing w:line="360" w:lineRule="exact"/>
        <w:ind w:firstLine="435"/>
        <w:rPr>
          <w:rFonts w:hint="eastAsia" w:ascii="宋体" w:hAnsi="宋体" w:eastAsia="宋体" w:cs="宋体"/>
          <w:color w:val="auto"/>
          <w:szCs w:val="21"/>
          <w:highlight w:val="none"/>
        </w:rPr>
      </w:pPr>
    </w:p>
    <w:p>
      <w:pPr>
        <w:tabs>
          <w:tab w:val="left" w:pos="2190"/>
        </w:tabs>
        <w:spacing w:line="360" w:lineRule="exact"/>
        <w:ind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 投标文件的组成及要求</w:t>
      </w:r>
    </w:p>
    <w:p>
      <w:pPr>
        <w:tabs>
          <w:tab w:val="left" w:pos="2190"/>
        </w:tabs>
        <w:spacing w:line="360" w:lineRule="exact"/>
        <w:ind w:firstLine="43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13.1投标文件组成【格式见第六章“投标文件（格式）”】</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13.1.1资格性响应证明材料：</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bookmarkStart w:id="27" w:name="OLE_LINK19"/>
      <w:bookmarkStart w:id="28" w:name="OLE_LINK86"/>
      <w:r>
        <w:rPr>
          <w:rFonts w:hint="eastAsia" w:ascii="宋体" w:hAnsi="宋体" w:eastAsia="宋体" w:cs="宋体"/>
          <w:color w:val="auto"/>
          <w:szCs w:val="21"/>
          <w:highlight w:val="none"/>
        </w:rPr>
        <w:t>投标人相应的法定代表人身份证正反面复印件</w:t>
      </w:r>
      <w:bookmarkEnd w:id="27"/>
      <w:r>
        <w:rPr>
          <w:rFonts w:hint="eastAsia" w:ascii="宋体" w:hAnsi="宋体" w:eastAsia="宋体" w:cs="宋体"/>
          <w:b/>
          <w:color w:val="auto"/>
          <w:szCs w:val="21"/>
          <w:highlight w:val="none"/>
        </w:rPr>
        <w:t>（必须提供）</w:t>
      </w:r>
      <w:bookmarkEnd w:id="28"/>
      <w:r>
        <w:rPr>
          <w:rFonts w:hint="eastAsia" w:ascii="宋体" w:hAnsi="宋体" w:eastAsia="宋体" w:cs="宋体"/>
          <w:b/>
          <w:color w:val="auto"/>
          <w:szCs w:val="21"/>
          <w:highlight w:val="none"/>
        </w:rPr>
        <w:t>；</w:t>
      </w:r>
    </w:p>
    <w:p>
      <w:pPr>
        <w:tabs>
          <w:tab w:val="left" w:pos="1305"/>
        </w:tabs>
        <w:spacing w:line="36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投标人的授权委托书、委托代理人身份证正反面复印件以及由县级以上（含县级）社会保险经办机构出具的投标人为委托代理人交纳的</w:t>
      </w:r>
      <w:r>
        <w:rPr>
          <w:rFonts w:hint="eastAsia" w:ascii="宋体" w:hAnsi="宋体" w:eastAsia="宋体" w:cs="宋体"/>
          <w:color w:val="auto"/>
          <w:highlight w:val="none"/>
          <w:lang w:eastAsia="zh-CN"/>
        </w:rPr>
        <w:t>2025年以来任意</w:t>
      </w:r>
      <w:r>
        <w:rPr>
          <w:rFonts w:hint="eastAsia" w:ascii="宋体" w:hAnsi="宋体" w:eastAsia="宋体" w:cs="宋体"/>
          <w:color w:val="auto"/>
          <w:highlight w:val="none"/>
        </w:rPr>
        <w:t>一个月社保证明复印件</w:t>
      </w:r>
      <w:r>
        <w:rPr>
          <w:rFonts w:hint="eastAsia" w:ascii="宋体" w:hAnsi="宋体" w:eastAsia="宋体" w:cs="宋体"/>
          <w:b/>
          <w:color w:val="auto"/>
          <w:highlight w:val="none"/>
        </w:rPr>
        <w:t>（委托代理时，必须提供）；</w:t>
      </w:r>
    </w:p>
    <w:p>
      <w:pPr>
        <w:autoSpaceDE w:val="0"/>
        <w:autoSpaceDN w:val="0"/>
        <w:snapToGrid w:val="0"/>
        <w:spacing w:line="360" w:lineRule="exact"/>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highlight w:val="none"/>
        </w:rPr>
        <w:t>注：①投标人为截标时间前60日以内成立的企业，可以提供投标人与委托代理人签订的劳动合同复印件代替社保证明复印件；②委托代理人为免缴纳社保人员，提供免缴纳社保的证明材料复印件及投标人与委托代理人签订的劳动合同复印件代替社保证明复印件；③自然人投标的，应提供由县级以上（含县级）社会保险经办机构出具的自然人本人及委托代理人所交纳的</w:t>
      </w:r>
      <w:r>
        <w:rPr>
          <w:rFonts w:hint="eastAsia" w:ascii="宋体" w:hAnsi="宋体" w:eastAsia="宋体" w:cs="宋体"/>
          <w:color w:val="auto"/>
          <w:highlight w:val="none"/>
          <w:lang w:eastAsia="zh-CN"/>
        </w:rPr>
        <w:t>2025年以来任意</w:t>
      </w:r>
      <w:r>
        <w:rPr>
          <w:rFonts w:hint="eastAsia" w:ascii="宋体" w:hAnsi="宋体" w:eastAsia="宋体" w:cs="宋体"/>
          <w:color w:val="auto"/>
          <w:highlight w:val="none"/>
        </w:rPr>
        <w:t>一个月社保证明复印件</w:t>
      </w:r>
      <w:r>
        <w:rPr>
          <w:rFonts w:hint="eastAsia" w:ascii="宋体" w:hAnsi="宋体" w:eastAsia="宋体" w:cs="宋体"/>
          <w:b/>
          <w:color w:val="auto"/>
          <w:highlight w:val="none"/>
        </w:rPr>
        <w:t>。</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（3）投标人的法人或者其他组织营业执照等证明文件复印件</w:t>
      </w:r>
      <w:r>
        <w:rPr>
          <w:rFonts w:hint="eastAsia" w:ascii="宋体" w:hAnsi="宋体" w:eastAsia="宋体" w:cs="宋体"/>
          <w:b/>
          <w:color w:val="auto"/>
          <w:szCs w:val="21"/>
          <w:highlight w:val="none"/>
        </w:rPr>
        <w:t>（必须提供，自然人除外）；</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w:t>
      </w:r>
      <w:r>
        <w:rPr>
          <w:rFonts w:hint="eastAsia" w:ascii="宋体" w:hAnsi="宋体" w:eastAsia="宋体" w:cs="宋体"/>
          <w:color w:val="auto"/>
          <w:szCs w:val="21"/>
          <w:highlight w:val="none"/>
          <w:lang w:eastAsia="zh-CN"/>
        </w:rPr>
        <w:t>位的</w:t>
      </w:r>
      <w:r>
        <w:rPr>
          <w:rFonts w:hint="eastAsia" w:ascii="宋体" w:hAnsi="宋体" w:eastAsia="宋体" w:cs="宋体"/>
          <w:color w:val="auto"/>
          <w:szCs w:val="21"/>
          <w:highlight w:val="none"/>
        </w:rPr>
        <w:t>，应提供有效的“事业单位法人证书”；供应商为非企业专业服务机构的，应提供执业许可证等证明文件。③分公司参加投标的，应当取得总公司授权，并提供总公司的授权文件（加盖总公司公章）。</w:t>
      </w:r>
    </w:p>
    <w:p>
      <w:pPr>
        <w:tabs>
          <w:tab w:val="left" w:pos="1305"/>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2024年度财务状况报告（或2024年以来银行出具的资信证明）</w:t>
      </w:r>
      <w:r>
        <w:rPr>
          <w:rFonts w:hint="eastAsia" w:ascii="宋体" w:hAnsi="宋体" w:eastAsia="宋体" w:cs="宋体"/>
          <w:b/>
          <w:color w:val="auto"/>
          <w:highlight w:val="none"/>
        </w:rPr>
        <w:t>（必须提供）；</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szCs w:val="21"/>
          <w:highlight w:val="none"/>
        </w:rPr>
        <w:t>）</w:t>
      </w:r>
      <w:bookmarkStart w:id="29" w:name="OLE_LINK20"/>
      <w:r>
        <w:rPr>
          <w:rFonts w:hint="eastAsia" w:ascii="宋体" w:hAnsi="宋体" w:eastAsia="宋体" w:cs="宋体"/>
          <w:color w:val="auto"/>
          <w:highlight w:val="none"/>
        </w:rPr>
        <w:t>投标人</w:t>
      </w:r>
      <w:r>
        <w:rPr>
          <w:rFonts w:hint="eastAsia" w:ascii="宋体" w:hAnsi="宋体" w:eastAsia="宋体" w:cs="宋体"/>
          <w:color w:val="auto"/>
          <w:highlight w:val="none"/>
          <w:lang w:eastAsia="zh-CN"/>
        </w:rPr>
        <w:t>2025年以来任意</w:t>
      </w:r>
      <w:r>
        <w:rPr>
          <w:rFonts w:hint="eastAsia" w:ascii="宋体" w:hAnsi="宋体" w:eastAsia="宋体" w:cs="宋体"/>
          <w:color w:val="auto"/>
          <w:highlight w:val="none"/>
        </w:rPr>
        <w:t>一个月依法缴纳税收的相关材料复印件</w:t>
      </w:r>
      <w:bookmarkEnd w:id="29"/>
      <w:r>
        <w:rPr>
          <w:rFonts w:hint="eastAsia" w:ascii="宋体" w:hAnsi="宋体" w:eastAsia="宋体" w:cs="宋体"/>
          <w:b/>
          <w:color w:val="auto"/>
          <w:highlight w:val="none"/>
        </w:rPr>
        <w:t>（必须提供）；</w:t>
      </w:r>
    </w:p>
    <w:p>
      <w:pPr>
        <w:snapToGrid w:val="0"/>
        <w:spacing w:line="360" w:lineRule="exact"/>
        <w:ind w:firstLine="415" w:firstLineChars="198"/>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）投标人参加政府采购活动前3年内在经营活动中没有重大违法记录及有关信用信息的书面声明</w:t>
      </w:r>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bookmarkStart w:id="30" w:name="OLE_LINK21"/>
      <w:r>
        <w:rPr>
          <w:rFonts w:hint="eastAsia" w:ascii="宋体" w:hAnsi="宋体" w:eastAsia="宋体" w:cs="宋体"/>
          <w:color w:val="auto"/>
          <w:szCs w:val="21"/>
          <w:highlight w:val="none"/>
        </w:rPr>
        <w:t>）投标人参加本项目无围标串标行为的承诺函</w:t>
      </w:r>
      <w:bookmarkEnd w:id="30"/>
      <w:r>
        <w:rPr>
          <w:rFonts w:hint="eastAsia" w:ascii="宋体" w:hAnsi="宋体" w:eastAsia="宋体" w:cs="宋体"/>
          <w:b/>
          <w:color w:val="auto"/>
          <w:szCs w:val="21"/>
          <w:highlight w:val="none"/>
        </w:rPr>
        <w:t>（必须提供）。</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13.1.2商务、技术性响应证明材料：</w:t>
      </w:r>
    </w:p>
    <w:p>
      <w:pPr>
        <w:tabs>
          <w:tab w:val="left" w:pos="1305"/>
        </w:tabs>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31" w:name="OLE_LINK22"/>
      <w:r>
        <w:rPr>
          <w:rFonts w:hint="eastAsia" w:ascii="宋体" w:hAnsi="宋体" w:eastAsia="宋体" w:cs="宋体"/>
          <w:color w:val="auto"/>
          <w:szCs w:val="21"/>
          <w:highlight w:val="none"/>
        </w:rPr>
        <w:t>投标函</w:t>
      </w:r>
      <w:bookmarkEnd w:id="31"/>
      <w:r>
        <w:rPr>
          <w:rFonts w:hint="eastAsia" w:ascii="宋体" w:hAnsi="宋体" w:eastAsia="宋体" w:cs="宋体"/>
          <w:b/>
          <w:color w:val="auto"/>
          <w:szCs w:val="21"/>
          <w:highlight w:val="none"/>
        </w:rPr>
        <w:t>（必须提供）</w:t>
      </w:r>
    </w:p>
    <w:p>
      <w:pPr>
        <w:tabs>
          <w:tab w:val="left" w:pos="1305"/>
        </w:tabs>
        <w:spacing w:line="360" w:lineRule="exact"/>
        <w:ind w:left="42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bookmarkStart w:id="32" w:name="OLE_LINK23"/>
      <w:r>
        <w:rPr>
          <w:rFonts w:hint="eastAsia" w:ascii="宋体" w:hAnsi="宋体" w:eastAsia="宋体" w:cs="宋体"/>
          <w:color w:val="auto"/>
          <w:szCs w:val="21"/>
          <w:highlight w:val="none"/>
        </w:rPr>
        <w:t>投标报价表</w:t>
      </w:r>
      <w:bookmarkEnd w:id="32"/>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（3）技术偏离表</w:t>
      </w:r>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（4）商务响应表</w:t>
      </w:r>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33" w:name="OLE_LINK24"/>
      <w:r>
        <w:rPr>
          <w:rFonts w:hint="eastAsia" w:ascii="宋体" w:hAnsi="宋体" w:eastAsia="宋体" w:cs="宋体"/>
          <w:color w:val="auto"/>
          <w:szCs w:val="21"/>
          <w:highlight w:val="none"/>
        </w:rPr>
        <w:t>产品配置清单</w:t>
      </w:r>
      <w:bookmarkEnd w:id="33"/>
      <w:r>
        <w:rPr>
          <w:rFonts w:hint="eastAsia" w:ascii="宋体" w:hAnsi="宋体" w:eastAsia="宋体" w:cs="宋体"/>
          <w:b/>
          <w:color w:val="auto"/>
          <w:szCs w:val="21"/>
          <w:highlight w:val="none"/>
        </w:rPr>
        <w:t>（必须提供）；</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方案</w:t>
      </w:r>
      <w:r>
        <w:rPr>
          <w:rFonts w:hint="eastAsia" w:ascii="宋体" w:hAnsi="宋体" w:eastAsia="宋体" w:cs="宋体"/>
          <w:b/>
          <w:color w:val="auto"/>
          <w:szCs w:val="21"/>
          <w:highlight w:val="none"/>
        </w:rPr>
        <w:t>（如有，请提供）；</w:t>
      </w:r>
    </w:p>
    <w:p>
      <w:pPr>
        <w:tabs>
          <w:tab w:val="left" w:pos="130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w:t>
      </w:r>
      <w:bookmarkStart w:id="34" w:name="OLE_LINK25"/>
      <w:r>
        <w:rPr>
          <w:rFonts w:hint="eastAsia" w:ascii="宋体" w:hAnsi="宋体" w:eastAsia="宋体" w:cs="宋体"/>
          <w:bCs/>
          <w:color w:val="auto"/>
          <w:szCs w:val="21"/>
          <w:highlight w:val="none"/>
        </w:rPr>
        <w:t>售后服务方案</w:t>
      </w:r>
      <w:bookmarkEnd w:id="34"/>
      <w:r>
        <w:rPr>
          <w:rFonts w:hint="eastAsia" w:ascii="宋体" w:hAnsi="宋体" w:eastAsia="宋体" w:cs="宋体"/>
          <w:b/>
          <w:color w:val="auto"/>
          <w:szCs w:val="21"/>
          <w:highlight w:val="none"/>
        </w:rPr>
        <w:t>（如有，请提供）；</w:t>
      </w:r>
    </w:p>
    <w:p>
      <w:pPr>
        <w:snapToGrid w:val="0"/>
        <w:spacing w:line="360" w:lineRule="exact"/>
        <w:ind w:firstLine="420" w:firstLineChars="200"/>
        <w:outlineLvl w:val="4"/>
        <w:rPr>
          <w:rFonts w:hint="eastAsia" w:ascii="宋体" w:hAnsi="宋体" w:eastAsia="宋体" w:cs="宋体"/>
          <w:b/>
          <w:color w:val="auto"/>
          <w:szCs w:val="21"/>
          <w:highlight w:val="none"/>
        </w:rPr>
      </w:pPr>
      <w:r>
        <w:rPr>
          <w:rFonts w:hint="eastAsia" w:ascii="宋体" w:hAnsi="宋体" w:eastAsia="宋体" w:cs="宋体"/>
          <w:color w:val="auto"/>
          <w:szCs w:val="20"/>
          <w:highlight w:val="none"/>
        </w:rPr>
        <w:t>（8）“采购需求”中有关</w:t>
      </w:r>
      <w:r>
        <w:rPr>
          <w:rFonts w:hint="eastAsia" w:ascii="宋体" w:hAnsi="宋体" w:eastAsia="宋体" w:cs="宋体"/>
          <w:color w:val="auto"/>
          <w:szCs w:val="21"/>
          <w:highlight w:val="none"/>
        </w:rPr>
        <w:t>履约能力的相关证明材料复印件</w:t>
      </w:r>
      <w:r>
        <w:rPr>
          <w:rFonts w:hint="eastAsia" w:ascii="宋体" w:hAnsi="宋体" w:eastAsia="宋体" w:cs="宋体"/>
          <w:b/>
          <w:color w:val="auto"/>
          <w:szCs w:val="21"/>
          <w:highlight w:val="none"/>
        </w:rPr>
        <w:t>（如有，请提供）；</w:t>
      </w:r>
    </w:p>
    <w:p>
      <w:pPr>
        <w:spacing w:line="360" w:lineRule="exact"/>
        <w:ind w:firstLine="420" w:firstLineChars="200"/>
        <w:rPr>
          <w:rFonts w:hint="eastAsia" w:ascii="宋体" w:hAnsi="宋体" w:eastAsia="宋体" w:cs="宋体"/>
          <w:b/>
          <w:color w:val="auto"/>
          <w:highlight w:val="none"/>
        </w:rPr>
      </w:pPr>
      <w:bookmarkStart w:id="35" w:name="OLE_LINK67"/>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ascii="宋体" w:hAnsi="宋体" w:eastAsia="宋体" w:cs="宋体"/>
          <w:bCs/>
          <w:color w:val="auto"/>
          <w:szCs w:val="21"/>
          <w:highlight w:val="none"/>
        </w:rPr>
        <w:t>投标人提供的货物全部由符合政策要求中小企业制造，投标文件中提供《中小企业声明函》</w:t>
      </w:r>
      <w:r>
        <w:rPr>
          <w:rFonts w:hint="eastAsia" w:ascii="宋体" w:hAnsi="宋体" w:eastAsia="宋体" w:cs="宋体"/>
          <w:color w:val="auto"/>
          <w:highlight w:val="none"/>
        </w:rPr>
        <w:t>；属于监狱企业的，提供由省级以上监狱管理局、戒毒管理局(含新疆生产建设兵团)出具的属于监狱企业的证明文件</w:t>
      </w:r>
      <w:r>
        <w:rPr>
          <w:rFonts w:hint="eastAsia" w:ascii="宋体" w:hAnsi="宋体" w:eastAsia="宋体" w:cs="宋体"/>
          <w:b/>
          <w:color w:val="auto"/>
          <w:highlight w:val="none"/>
        </w:rPr>
        <w:t>（如有，请提供）；</w:t>
      </w:r>
    </w:p>
    <w:p>
      <w:pPr>
        <w:tabs>
          <w:tab w:val="left" w:pos="1305"/>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）符合条件的残疾人福利性单位在参加政府采购活动时，提供《残疾人福利性单位声明函》，并对声明的真实性负责</w:t>
      </w:r>
      <w:r>
        <w:rPr>
          <w:rFonts w:hint="eastAsia" w:ascii="宋体" w:hAnsi="宋体" w:eastAsia="宋体" w:cs="宋体"/>
          <w:b/>
          <w:color w:val="auto"/>
          <w:highlight w:val="none"/>
        </w:rPr>
        <w:t>（如有，请提供）；</w:t>
      </w:r>
    </w:p>
    <w:bookmarkEnd w:id="35"/>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szCs w:val="21"/>
          <w:highlight w:val="none"/>
        </w:rPr>
        <w:t>投标人可结合本项目的评标办法视自身情况自行提交相关证明材料</w:t>
      </w:r>
      <w:r>
        <w:rPr>
          <w:rFonts w:hint="eastAsia" w:ascii="宋体" w:hAnsi="宋体" w:eastAsia="宋体" w:cs="宋体"/>
          <w:b/>
          <w:color w:val="auto"/>
          <w:highlight w:val="none"/>
        </w:rPr>
        <w:t>（如有，请提供）</w:t>
      </w:r>
      <w:r>
        <w:rPr>
          <w:rFonts w:hint="eastAsia" w:ascii="宋体" w:hAnsi="宋体" w:eastAsia="宋体" w:cs="宋体"/>
          <w:color w:val="auto"/>
          <w:szCs w:val="21"/>
          <w:highlight w:val="none"/>
        </w:rPr>
        <w:t>。</w:t>
      </w:r>
    </w:p>
    <w:p>
      <w:pPr>
        <w:pStyle w:val="8"/>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注：投标人提供的以上“资格性响应证明材料</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商务、技术性响应证明材料”等相关证明材料必须真实有效，属于“必须提供”的文件应加盖投标人电子签章，否则投标无效；其中“必须提供”的文件在“第六章 投标文件（格式）”中有要求法定代表人或相应的授权委托代理人在规定位置签字（</w:t>
      </w:r>
      <w:r>
        <w:rPr>
          <w:rFonts w:hint="eastAsia" w:ascii="宋体" w:hAnsi="宋体" w:eastAsia="宋体" w:cs="宋体"/>
          <w:b/>
          <w:bCs/>
          <w:color w:val="auto"/>
          <w:szCs w:val="21"/>
          <w:highlight w:val="none"/>
        </w:rPr>
        <w:t>或者电子签名</w:t>
      </w:r>
      <w:r>
        <w:rPr>
          <w:rFonts w:hint="eastAsia" w:ascii="宋体" w:hAnsi="宋体" w:eastAsia="宋体" w:cs="宋体"/>
          <w:b/>
          <w:color w:val="auto"/>
          <w:szCs w:val="21"/>
          <w:highlight w:val="none"/>
        </w:rPr>
        <w:t>）的，必须由法定代表人或委托代理人签字</w:t>
      </w:r>
      <w:r>
        <w:rPr>
          <w:rFonts w:hint="eastAsia" w:ascii="宋体" w:hAnsi="宋体" w:eastAsia="宋体" w:cs="宋体"/>
          <w:b/>
          <w:bCs/>
          <w:color w:val="auto"/>
          <w:szCs w:val="21"/>
          <w:highlight w:val="none"/>
        </w:rPr>
        <w:t>（或者电子签名）</w:t>
      </w:r>
      <w:r>
        <w:rPr>
          <w:rFonts w:hint="eastAsia" w:ascii="宋体" w:hAnsi="宋体" w:eastAsia="宋体" w:cs="宋体"/>
          <w:b/>
          <w:color w:val="auto"/>
          <w:szCs w:val="21"/>
          <w:highlight w:val="none"/>
        </w:rPr>
        <w:t>，否则，投标文件按无效处理。</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13.2</w:t>
      </w:r>
      <w:r>
        <w:rPr>
          <w:rFonts w:hint="eastAsia" w:ascii="宋体" w:hAnsi="宋体" w:eastAsia="宋体" w:cs="宋体"/>
          <w:color w:val="auto"/>
          <w:highlight w:val="none"/>
        </w:rPr>
        <w:t>投标人必须按招标文件第六章“投标文件（格式）”编制投标文件。</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13.3投标文件必须对招标文件提出的要求和条件作出明确响应。</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投标文件的语言及计量</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14.2投标计量单位，招标文件已有明确规定的，使用招标文件规定的计量单位；招标文件没有规定的，必须采用中华人民共和国法定计量单位（货币单位：元人民币），否则视同未响应。</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15.投标报价</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15.1投标报价必须按招标文件中第六章“投标文件（格式）”填写。</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15.2本项目政府采购预算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200.00万元；投标人所投报价超出采购预算金额的，投标文件作无效处理。</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r>
        <w:rPr>
          <w:rFonts w:hint="eastAsia" w:ascii="宋体" w:hAnsi="宋体" w:eastAsia="宋体" w:cs="宋体"/>
          <w:color w:val="auto"/>
          <w:szCs w:val="21"/>
          <w:highlight w:val="none"/>
          <w:lang w:eastAsia="zh-CN"/>
        </w:rPr>
        <w:t>投标人必须就“采购需求”中所有内容作完整唯一报价，否则，其投标将被拒绝；投标文件只允许有一个报价方案，有选择的或有条件的报价将不予接受</w:t>
      </w:r>
      <w:r>
        <w:rPr>
          <w:rFonts w:hint="eastAsia" w:ascii="宋体" w:hAnsi="宋体" w:eastAsia="宋体" w:cs="宋体"/>
          <w:color w:val="auto"/>
          <w:szCs w:val="21"/>
          <w:highlight w:val="none"/>
        </w:rPr>
        <w:t>。</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投标报价：投标报价包括标的价款、标的随配标准附件、包装、运输、装卸、保险、税金、货到位以及安装、安装所需辅材、调试、检验、售后服务、培训、保修、验收费用及其他所有成本费用的总和，投标人应综合考虑在报价中。</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 投标有效期</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r>
        <w:rPr>
          <w:rFonts w:hint="eastAsia" w:ascii="宋体" w:hAnsi="宋体" w:eastAsia="宋体" w:cs="宋体"/>
          <w:b/>
          <w:color w:val="auto"/>
          <w:szCs w:val="21"/>
          <w:highlight w:val="none"/>
        </w:rPr>
        <w:t>投标有效期：投标截止时间之日起90天。</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16.2出现特殊情况下，需要延长投标有效期的，采购代理机构以书面形式通知投标人延长投标有效期。投标人同意延长的，不能修改投标文件。</w:t>
      </w:r>
    </w:p>
    <w:p>
      <w:pPr>
        <w:spacing w:line="360" w:lineRule="exact"/>
        <w:ind w:firstLine="413" w:firstLineChars="196"/>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投标保证金</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本项目无需缴纳投标保证金。</w:t>
      </w:r>
    </w:p>
    <w:p>
      <w:pPr>
        <w:tabs>
          <w:tab w:val="left" w:pos="1305"/>
        </w:tabs>
        <w:spacing w:line="36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18.电子投标文件的制作、加密要求</w:t>
      </w:r>
    </w:p>
    <w:p>
      <w:pPr>
        <w:snapToGrid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highlight w:val="none"/>
        </w:rPr>
        <w:t>18.1投标人制作电子投标文件前，</w:t>
      </w:r>
      <w:r>
        <w:rPr>
          <w:rFonts w:hint="eastAsia" w:ascii="宋体" w:hAnsi="宋体" w:eastAsia="宋体" w:cs="宋体"/>
          <w:bCs/>
          <w:color w:val="auto"/>
          <w:szCs w:val="21"/>
          <w:highlight w:val="none"/>
        </w:rPr>
        <w:t>应登录</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进行“申请获取采购文件”操作，否则，有可能导致无法在线编制投标文件并参与投标，其不利后果由投标人自行承担。</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18.2投标人下载或获取招标文件后，登录“政采云电子投标客户端”，按照本招标文件规定的投标文件格式、顺序以及</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的要求，通过“政采云电子投标客户端”编制电子投标文件。</w:t>
      </w:r>
    </w:p>
    <w:p>
      <w:pPr>
        <w:snapToGrid w:val="0"/>
        <w:spacing w:line="36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18.3投标人应按“政采云电子投标客户端”载明的“标书关联”功能进行电子投标文件相应内容的关联定位，以便在评审时点击相应评审项可直接定位到该评审内容；如投标人的电子投标文件未能关联定位相应内容，或者关联定位的内容与该评审项不符，导致无法查询并做出对投标人不利的资格审查或评审结果，相关后果由投标人自行承担。</w:t>
      </w:r>
    </w:p>
    <w:p>
      <w:pPr>
        <w:snapToGrid w:val="0"/>
        <w:spacing w:line="36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18.4电子投标文件不得涂改，若有修改错漏处，须由法定代表人或授权委托代理人签字（或者电子签名）。电子投标文件按本须知载明的投标文件组成及要求进行编排，因投标文件字迹潦草、表达不清、内容不完整</w:t>
      </w:r>
      <w:r>
        <w:rPr>
          <w:rFonts w:hint="eastAsia" w:ascii="宋体" w:hAnsi="宋体" w:eastAsia="宋体" w:cs="宋体"/>
          <w:b/>
          <w:color w:val="auto"/>
          <w:highlight w:val="none"/>
          <w:lang w:eastAsia="zh-CN"/>
        </w:rPr>
        <w:t>或</w:t>
      </w:r>
      <w:r>
        <w:rPr>
          <w:rFonts w:hint="eastAsia" w:ascii="宋体" w:hAnsi="宋体" w:eastAsia="宋体" w:cs="宋体"/>
          <w:b/>
          <w:color w:val="auto"/>
          <w:highlight w:val="none"/>
        </w:rPr>
        <w:t>投标文件相应内容未按要求编排、编排混乱导致投标文件被误读、漏读</w:t>
      </w:r>
      <w:r>
        <w:rPr>
          <w:rFonts w:hint="eastAsia" w:ascii="宋体" w:hAnsi="宋体" w:eastAsia="宋体" w:cs="宋体"/>
          <w:b/>
          <w:color w:val="auto"/>
          <w:highlight w:val="none"/>
          <w:lang w:eastAsia="zh-CN"/>
        </w:rPr>
        <w:t>，或者</w:t>
      </w:r>
      <w:r>
        <w:rPr>
          <w:rFonts w:hint="eastAsia" w:ascii="宋体" w:hAnsi="宋体" w:eastAsia="宋体" w:cs="宋体"/>
          <w:b/>
          <w:color w:val="auto"/>
          <w:highlight w:val="none"/>
        </w:rPr>
        <w:t>在按招标文件规定的部位查找不到相关内容的，其不利后果由投标人自行承担。</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18.5投标人编制、生成电子投标文件后应当加密投标文件。投标人未按规定编制并加密的投标文件，</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将予以拒收。</w:t>
      </w:r>
    </w:p>
    <w:p>
      <w:pPr>
        <w:snapToGrid w:val="0"/>
        <w:spacing w:line="36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18.6供应商公章、签字、电子签章、电子签名</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18.6.1本招标文件中描述投标人的“公章”是指根据我国对公章的管理规定，用投标人法定主体行为名称制作的印章，除本招标文件有特殊规定外，投标人的其他形式印章均不能代替公章。</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18.6.2本招标文件中描述投标人的“签字”是指投标人的法定代表人或者委托代理人亲自在文件规定签字处亲笔写上个人的名字的行为，私章、签字章、印鉴、影印等其他形式均不能代替亲笔签字。</w:t>
      </w:r>
    </w:p>
    <w:p>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18.6.3本招标文件所称的“电子签章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电子签名”，是指经</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认可的CA认证的电子签名数据为表现形式的印章，可用于签署电子投标文件，电子签章、电子签名与实物印章、手写签名具有同等法律效力，不因其采用电子化表现形式而否定其法律效力。</w:t>
      </w:r>
    </w:p>
    <w:p>
      <w:pPr>
        <w:snapToGrid w:val="0"/>
        <w:spacing w:line="36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19. 投标文件的递交</w:t>
      </w:r>
    </w:p>
    <w:p>
      <w:pPr>
        <w:tabs>
          <w:tab w:val="left" w:pos="720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19.1投标文件递交要求：</w:t>
      </w:r>
    </w:p>
    <w:p>
      <w:pPr>
        <w:tabs>
          <w:tab w:val="left" w:pos="720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上午9时30分。</w:t>
      </w:r>
    </w:p>
    <w:p>
      <w:pPr>
        <w:tabs>
          <w:tab w:val="left" w:pos="7200"/>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投标文件递交地点：通过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在线提交</w:t>
      </w:r>
      <w:r>
        <w:rPr>
          <w:rFonts w:hint="eastAsia" w:ascii="宋体" w:hAnsi="宋体" w:eastAsia="宋体" w:cs="宋体"/>
          <w:color w:val="auto"/>
          <w:highlight w:val="none"/>
        </w:rPr>
        <w:t>，逾期递交的投标文件将予以拒收。投标文件递交成功后，投标人在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自行下载投标回执。</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19.2除招标文件另有规定外，投标人所递交的投标文件不予退还。</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 投标文件的补充、修改和撤回</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投标人在投标截止时间前，可以通过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在线对所递交的投标文件进行补充、修改或者撤回，并书面通知采购代理机构。补充、修改电子投标文件的，应当先行撤回原文件，补充、修改的内容按照招标文件要求签署、盖章后重新传输提交至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，作为投标文件的组成部分。在投标文件递交截止时间后的投标文件有效期内，投标人不得撤回其投标文件。</w:t>
      </w:r>
    </w:p>
    <w:p>
      <w:pPr>
        <w:pStyle w:val="9"/>
        <w:spacing w:line="360" w:lineRule="exact"/>
        <w:rPr>
          <w:rFonts w:hint="eastAsia" w:ascii="宋体" w:hAnsi="宋体" w:eastAsia="宋体" w:cs="宋体"/>
          <w:color w:val="auto"/>
          <w:highlight w:val="none"/>
        </w:rPr>
      </w:pPr>
    </w:p>
    <w:p>
      <w:pPr>
        <w:spacing w:line="360" w:lineRule="exact"/>
        <w:ind w:firstLine="435"/>
        <w:jc w:val="center"/>
        <w:rPr>
          <w:rFonts w:hint="eastAsia" w:ascii="宋体" w:hAnsi="宋体" w:eastAsia="宋体" w:cs="宋体"/>
          <w:b/>
          <w:color w:val="auto"/>
          <w:sz w:val="28"/>
          <w:szCs w:val="28"/>
          <w:highlight w:val="none"/>
        </w:rPr>
      </w:pPr>
    </w:p>
    <w:p>
      <w:pPr>
        <w:spacing w:line="360" w:lineRule="exact"/>
        <w:ind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pPr>
        <w:spacing w:line="360" w:lineRule="exact"/>
        <w:ind w:firstLine="435"/>
        <w:rPr>
          <w:rFonts w:hint="eastAsia" w:ascii="宋体" w:hAnsi="宋体" w:eastAsia="宋体" w:cs="宋体"/>
          <w:b/>
          <w:color w:val="auto"/>
          <w:highlight w:val="none"/>
        </w:rPr>
      </w:pPr>
      <w:r>
        <w:rPr>
          <w:rFonts w:hint="eastAsia" w:ascii="宋体" w:hAnsi="宋体" w:eastAsia="宋体" w:cs="宋体"/>
          <w:b/>
          <w:color w:val="auto"/>
          <w:highlight w:val="none"/>
        </w:rPr>
        <w:t>21. 开标时间及地点</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21.1开标时间及地点：</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lang w:eastAsia="zh-CN"/>
        </w:rPr>
        <w:t>日</w:t>
      </w:r>
      <w:r>
        <w:rPr>
          <w:rFonts w:hint="eastAsia" w:ascii="宋体" w:hAnsi="宋体" w:eastAsia="宋体" w:cs="宋体"/>
          <w:color w:val="auto"/>
          <w:highlight w:val="none"/>
        </w:rPr>
        <w:t>上午9时30分；</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开标地点：通过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在线解密、开标。</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21.2投标人不足3家的，不得开标，采购人或者采购代理机构应当重新组织采购。</w:t>
      </w:r>
    </w:p>
    <w:p>
      <w:pPr>
        <w:spacing w:line="360" w:lineRule="exact"/>
        <w:ind w:firstLine="435"/>
        <w:rPr>
          <w:rFonts w:hint="eastAsia" w:ascii="宋体" w:hAnsi="宋体" w:eastAsia="宋体" w:cs="宋体"/>
          <w:b/>
          <w:color w:val="auto"/>
          <w:highlight w:val="none"/>
        </w:rPr>
      </w:pPr>
      <w:r>
        <w:rPr>
          <w:rFonts w:hint="eastAsia" w:ascii="宋体" w:hAnsi="宋体" w:eastAsia="宋体" w:cs="宋体"/>
          <w:b/>
          <w:color w:val="auto"/>
          <w:highlight w:val="none"/>
        </w:rPr>
        <w:t>22. 开标程序</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22.1采购代理机构将按照招标文件规定的时间通过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在线组织开标、解密开启投标文件，投标人的法定代表人或其委托代理人应当保持</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实时在线，并通过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在线出席开标会议。投标人如不出席开标会议的，视同认可开标结果，事后不得对采购相关人员、开标过程和开标结果提出异议，因投标人未保持实时在线，而导致投标文件无法按时解密等一切后果由投标人自行承担。</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22.2投标文件解密：投标文件提交截止时间后，采购代理机构开启解密投标文件操作，</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向各投标人发出电子加密投标文件解密通知，由投标人在系统发出解密通知后30分钟内自行使用</w:t>
      </w:r>
      <w:r>
        <w:rPr>
          <w:rFonts w:hint="eastAsia" w:ascii="宋体" w:hAnsi="宋体" w:eastAsia="宋体" w:cs="宋体"/>
          <w:color w:val="auto"/>
          <w:highlight w:val="none"/>
          <w:lang w:eastAsia="zh-CN"/>
        </w:rPr>
        <w:t>加密</w:t>
      </w:r>
      <w:r>
        <w:rPr>
          <w:rFonts w:hint="eastAsia" w:ascii="宋体" w:hAnsi="宋体" w:eastAsia="宋体" w:cs="宋体"/>
          <w:color w:val="auto"/>
          <w:highlight w:val="none"/>
        </w:rPr>
        <w:t>的CA通过“项目采购-开标评标”功能对投标文件进行解密。</w:t>
      </w:r>
      <w:r>
        <w:rPr>
          <w:rFonts w:hint="eastAsia" w:ascii="宋体" w:hAnsi="宋体" w:eastAsia="宋体" w:cs="宋体"/>
          <w:b/>
          <w:color w:val="auto"/>
          <w:highlight w:val="none"/>
        </w:rPr>
        <w:t>若投标人在规定时间内无法解密或解密失败，视为投标人放弃投标</w:t>
      </w:r>
      <w:r>
        <w:rPr>
          <w:rFonts w:hint="eastAsia" w:ascii="宋体" w:hAnsi="宋体" w:eastAsia="宋体" w:cs="宋体"/>
          <w:b/>
          <w:color w:val="auto"/>
          <w:highlight w:val="none"/>
          <w:lang w:eastAsia="zh-CN"/>
        </w:rPr>
        <w:t>。</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22.3投标文件解密结束后，开标活动组织人员在线开启投标文件。</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22.4开启投标人报价文件，电子开标大厅记录显示并记录投标人投标报价表的投标报价等。</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22.5投标人线上确认投标报价。</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22.6如发现开标结果与所提交的报价文件不一致的，由评标委员会根据报价文件内容进行修正。</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22.8特别说明：如遇</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电子化开标或评审程序调整的，按调整后程序执行。</w:t>
      </w:r>
    </w:p>
    <w:p>
      <w:pPr>
        <w:tabs>
          <w:tab w:val="left" w:pos="1305"/>
        </w:tabs>
        <w:spacing w:line="360" w:lineRule="exact"/>
        <w:ind w:firstLine="562" w:firstLineChars="200"/>
        <w:jc w:val="center"/>
        <w:rPr>
          <w:rFonts w:hint="eastAsia" w:ascii="宋体" w:hAnsi="宋体" w:eastAsia="宋体" w:cs="宋体"/>
          <w:b/>
          <w:color w:val="auto"/>
          <w:sz w:val="28"/>
          <w:szCs w:val="28"/>
          <w:highlight w:val="none"/>
        </w:rPr>
      </w:pPr>
    </w:p>
    <w:p>
      <w:pPr>
        <w:tabs>
          <w:tab w:val="left" w:pos="1305"/>
        </w:tabs>
        <w:spacing w:line="360" w:lineRule="exact"/>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五、资格性审查</w:t>
      </w:r>
    </w:p>
    <w:p>
      <w:pPr>
        <w:tabs>
          <w:tab w:val="left" w:pos="1305"/>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 资格性审查</w:t>
      </w:r>
    </w:p>
    <w:p>
      <w:pPr>
        <w:tabs>
          <w:tab w:val="left" w:pos="130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23.1公开招标采购项目开标结束后，采购人或者采购代理机构应当依法对投标人的资格进行审查。</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23.2</w:t>
      </w:r>
      <w:r>
        <w:rPr>
          <w:rFonts w:hint="eastAsia" w:ascii="宋体" w:hAnsi="宋体" w:eastAsia="宋体" w:cs="宋体"/>
          <w:b/>
          <w:color w:val="auto"/>
          <w:sz w:val="24"/>
          <w:highlight w:val="none"/>
        </w:rPr>
        <w:t>采购人或者采购代理机构在对投标人进行</w:t>
      </w:r>
      <w:r>
        <w:rPr>
          <w:rFonts w:hint="eastAsia" w:ascii="宋体" w:hAnsi="宋体" w:eastAsia="宋体" w:cs="宋体"/>
          <w:b/>
          <w:color w:val="auto"/>
          <w:sz w:val="24"/>
          <w:highlight w:val="none"/>
          <w:lang w:eastAsia="zh-CN"/>
        </w:rPr>
        <w:t>资格</w:t>
      </w:r>
      <w:r>
        <w:rPr>
          <w:rFonts w:hint="eastAsia" w:ascii="宋体" w:hAnsi="宋体" w:eastAsia="宋体" w:cs="宋体"/>
          <w:b/>
          <w:color w:val="auto"/>
          <w:sz w:val="24"/>
          <w:highlight w:val="none"/>
        </w:rPr>
        <w:t>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查询渠道：《国家企业信用信息公示系统》（网址：http://www.gsxt.gov.cn/index.html）</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审查流程：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（1）进入《国家企业信用信息公示系统》（网址：http://www.gsxt.gov.cn/index.html），输入企业名称，进入企业信息主页面；</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（3）将各投标人的股东及出资信息进行比对，得出审查结论；</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pPr>
        <w:tabs>
          <w:tab w:val="left" w:pos="1305"/>
        </w:tabs>
        <w:spacing w:line="360" w:lineRule="exact"/>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23.3采购人或者采购代理机构在对投标人进行</w:t>
      </w:r>
      <w:r>
        <w:rPr>
          <w:rFonts w:hint="eastAsia" w:ascii="宋体" w:hAnsi="宋体" w:eastAsia="宋体" w:cs="宋体"/>
          <w:color w:val="auto"/>
          <w:szCs w:val="21"/>
          <w:highlight w:val="none"/>
          <w:lang w:eastAsia="zh-CN"/>
        </w:rPr>
        <w:t>资格</w:t>
      </w:r>
      <w:r>
        <w:rPr>
          <w:rFonts w:hint="eastAsia" w:ascii="宋体" w:hAnsi="宋体" w:eastAsia="宋体" w:cs="宋体"/>
          <w:color w:val="auto"/>
          <w:szCs w:val="21"/>
          <w:highlight w:val="none"/>
        </w:rPr>
        <w:t>审查时，如投标人出现下列情况之一者，按资格审查不通过处理：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（1）不具备本招标文件规定的资格要求的；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（2）投标文件中的资格性响应证明材料缺少投标人须知“资格性响应证明材料”规定的任一项“必须提供”的文件资料的；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（3）投标文件中的资格性响应证明材料出现任一项不符合投标人须知“资格性响应证明材料”规定的“必须提供”的文件资料要求或者无效的；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（4）投标文件中的资格性响应证明材料存在投标人须知第28条、29条载明的投标无效情形的。</w:t>
      </w:r>
    </w:p>
    <w:p>
      <w:pPr>
        <w:spacing w:line="360" w:lineRule="exact"/>
        <w:ind w:firstLine="422" w:firstLineChars="200"/>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23.4资格审查不通过的投标人，不得进入下一阶段的评标环节。</w:t>
      </w:r>
      <w:r>
        <w:rPr>
          <w:rFonts w:hint="eastAsia" w:ascii="宋体" w:hAnsi="宋体" w:eastAsia="宋体" w:cs="宋体"/>
          <w:b/>
          <w:color w:val="auto"/>
          <w:highlight w:val="none"/>
        </w:rPr>
        <w:t>通过资格审查的合格投标人不足3家的，予以废标。</w:t>
      </w:r>
    </w:p>
    <w:p>
      <w:pPr>
        <w:tabs>
          <w:tab w:val="center" w:pos="4411"/>
          <w:tab w:val="left" w:pos="5475"/>
        </w:tabs>
        <w:spacing w:line="360" w:lineRule="exact"/>
        <w:jc w:val="center"/>
        <w:rPr>
          <w:rFonts w:hint="eastAsia" w:ascii="宋体" w:hAnsi="宋体" w:eastAsia="宋体" w:cs="宋体"/>
          <w:b/>
          <w:color w:val="auto"/>
          <w:sz w:val="28"/>
          <w:szCs w:val="28"/>
          <w:highlight w:val="none"/>
        </w:rPr>
      </w:pPr>
    </w:p>
    <w:p>
      <w:pPr>
        <w:tabs>
          <w:tab w:val="center" w:pos="4411"/>
          <w:tab w:val="left" w:pos="5475"/>
        </w:tabs>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六、评标</w:t>
      </w:r>
    </w:p>
    <w:p>
      <w:pPr>
        <w:tabs>
          <w:tab w:val="center" w:pos="4411"/>
          <w:tab w:val="left" w:pos="5475"/>
        </w:tabs>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 评标委员会组成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w:t>
      </w:r>
      <w:r>
        <w:rPr>
          <w:rFonts w:hint="eastAsia" w:ascii="宋体" w:hAnsi="宋体" w:eastAsia="宋体" w:cs="宋体"/>
          <w:color w:val="auto"/>
          <w:szCs w:val="21"/>
          <w:highlight w:val="none"/>
          <w:lang w:eastAsia="zh-CN"/>
        </w:rPr>
        <w:t>成员人数共5人</w:t>
      </w:r>
      <w:r>
        <w:rPr>
          <w:rFonts w:hint="eastAsia" w:ascii="宋体" w:hAnsi="宋体" w:eastAsia="宋体" w:cs="宋体"/>
          <w:color w:val="auto"/>
          <w:szCs w:val="21"/>
          <w:highlight w:val="none"/>
        </w:rPr>
        <w:t>。</w:t>
      </w:r>
    </w:p>
    <w:p>
      <w:pPr>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25. 评标办法</w:t>
      </w:r>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25.1评标办法：综合评分法，具体评标内容及标准详见第四章。</w:t>
      </w:r>
    </w:p>
    <w:p>
      <w:pPr>
        <w:tabs>
          <w:tab w:val="left" w:pos="1140"/>
        </w:tabs>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25.2评标委员会应按招标文件进行评标，不得擅自更改评标办法。</w:t>
      </w:r>
      <w:r>
        <w:rPr>
          <w:rFonts w:hint="eastAsia" w:ascii="宋体" w:hAnsi="宋体" w:eastAsia="宋体" w:cs="宋体"/>
          <w:color w:val="auto"/>
          <w:highlight w:val="none"/>
        </w:rPr>
        <w:t>　　　　　　　　　　　　　　　　　　　　　　　　　　　　　　　　　　　　　　　　　　　　　　　　　　　　　　　　　　</w:t>
      </w:r>
    </w:p>
    <w:p>
      <w:pPr>
        <w:tabs>
          <w:tab w:val="left" w:pos="1140"/>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 评标</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采购代理机构负责组织评标工作，宣布评标工作纪律，公布投标人名单，告知评审专家应当回避的情形，组织评标委员会推选评标组长，采购人代表不得担任组长。在评标期间由项目所在公共资源交易中心采取必要的通讯管理措施并保证评标活动不受外界干扰。采购代理机构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w:t>
      </w:r>
      <w:r>
        <w:rPr>
          <w:rFonts w:hint="eastAsia" w:ascii="宋体" w:hAnsi="宋体" w:eastAsia="宋体" w:cs="宋体"/>
          <w:color w:val="auto"/>
          <w:szCs w:val="21"/>
          <w:highlight w:val="none"/>
          <w:lang w:eastAsia="zh-CN"/>
        </w:rPr>
        <w:t>，经</w:t>
      </w:r>
      <w:r>
        <w:rPr>
          <w:rFonts w:hint="eastAsia" w:ascii="宋体" w:hAnsi="宋体" w:eastAsia="宋体" w:cs="宋体"/>
          <w:color w:val="auto"/>
          <w:szCs w:val="21"/>
          <w:highlight w:val="none"/>
        </w:rPr>
        <w:t>评标委员会拒绝的，应予记录并向本级财政部门报告；评审工作完成后，按照规定向评审专家支付劳务报酬和异地评审差旅费，不得向评审专家以外的其他人员支付评审劳务报酬。</w:t>
      </w:r>
    </w:p>
    <w:p>
      <w:pPr>
        <w:pStyle w:val="11"/>
        <w:shd w:val="clear" w:color="auto" w:fill="FFFFFF"/>
        <w:spacing w:before="0" w:beforeAutospacing="0" w:after="0" w:afterAutospacing="0"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1"/>
        <w:shd w:val="clear" w:color="auto" w:fill="FFFFFF"/>
        <w:spacing w:before="0" w:beforeAutospacing="0" w:after="0" w:afterAutospacing="0"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26.3在评标过程中，评标委员会任何人不得对某个投标人发表任何倾向性意见，不得向其他专家评委明示或者暗示自己的评审意见。</w:t>
      </w:r>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26.4评标委员会应当对符合资格的投标人的投标文件进行符合性审查，以确定其是否满足招标文件的实质性要求。</w:t>
      </w:r>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26.5对于投标文件中含义不明确、同类问题表述不一致或者有明显文字和计算错误的内容，评标委员会应当以书面形式要求投标人作出必要的澄清、说明或者补正。</w:t>
      </w:r>
    </w:p>
    <w:p>
      <w:pPr>
        <w:tabs>
          <w:tab w:val="left" w:pos="114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投标人的澄清、说明或者补正应当通过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采用在线书面形式，澄清、说明或者补正应当签字或者电子签名【法定代表人或相应的授权委托代理人签字（或者电子签名）均可】或加盖投标人电子签章。</w:t>
      </w:r>
      <w:r>
        <w:rPr>
          <w:rFonts w:hint="eastAsia" w:ascii="宋体" w:hAnsi="宋体" w:eastAsia="宋体" w:cs="宋体"/>
          <w:color w:val="auto"/>
          <w:szCs w:val="21"/>
          <w:highlight w:val="none"/>
        </w:rPr>
        <w:t>投标人的澄清、说明或者补正不得超出投标文件的范围或者改变投标文件的实质性内容。</w:t>
      </w:r>
    </w:p>
    <w:p>
      <w:pPr>
        <w:pStyle w:val="8"/>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26.6评标委员会应当按照招标文件中规定的评标方法和标准，对符合性审查合格的投标文件进行商务和技术评估，综合比较与评价。</w:t>
      </w:r>
    </w:p>
    <w:p>
      <w:pPr>
        <w:pStyle w:val="8"/>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26.7评标委员会成员应当独立对每个投标人的投标文件进行评价，最终汇总每个投标人的得分。各投标人的得分为所有评委的有效评分的算术平均数。</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26.8投标文件报价出现前后不一致的，除招标文件另有规定外，按照下列规定修正：</w:t>
      </w:r>
    </w:p>
    <w:p>
      <w:pPr>
        <w:spacing w:line="360" w:lineRule="exact"/>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（1）投标文件中投标报价表内容与投标文件中相应内容不一致的，以投标报价表为准；</w:t>
      </w:r>
    </w:p>
    <w:p>
      <w:pPr>
        <w:spacing w:line="360" w:lineRule="exact"/>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（2）大写金额和小写金额不一致的，以大写金额为准；</w:t>
      </w:r>
    </w:p>
    <w:p>
      <w:pPr>
        <w:spacing w:line="360" w:lineRule="exact"/>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（3）单价金额小数点或者百分比有明显错位的，以投标报价表的总价为准，并修改单价；</w:t>
      </w:r>
    </w:p>
    <w:p>
      <w:pPr>
        <w:spacing w:line="360" w:lineRule="exact"/>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（4）总价金额与按单价汇总金额不一致的，以单价金额计算结果为准。</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26.9评标委员会认为投标人的报价明显低于其他通过符合性审</w:t>
      </w:r>
      <w:r>
        <w:rPr>
          <w:rFonts w:hint="eastAsia" w:ascii="宋体" w:hAnsi="宋体" w:eastAsia="宋体" w:cs="宋体"/>
          <w:b/>
          <w:color w:val="auto"/>
          <w:szCs w:val="21"/>
          <w:highlight w:val="none"/>
          <w:lang w:eastAsia="zh-CN"/>
        </w:rPr>
        <w:t>查的</w:t>
      </w:r>
      <w:r>
        <w:rPr>
          <w:rFonts w:hint="eastAsia" w:ascii="宋体" w:hAnsi="宋体" w:eastAsia="宋体" w:cs="宋体"/>
          <w:b/>
          <w:color w:val="auto"/>
          <w:szCs w:val="21"/>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26.10评标委员会成员对需要共同认定的事项存在争议的，应当按照少数服从多数的原则作出结论。持不同意见的评标委员会成员应当在评标报告上签署不同意见及理由，否则视为同意评标报告。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26.11评标结果汇总完成后，除下列情形外，任何人不得修改评标结果：</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（一）分值汇总计算错误的；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（二）分项评分超出评分标准范围的；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（三）评标委员会成员对客观评审因素评分不一致的；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（四）经评标委员会认定评分畸高、畸低的。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评标报告签署前，经复核发现存在以上情形之一的，评标委员会应当当场修改评标结果，并在评标</w:t>
      </w:r>
    </w:p>
    <w:p>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投标人对本条第一款情形提出质疑的，采购人或者采购代理机构可以组织原评标委员会进行重新评审，重新评审改变评标结果的，应当书面报告本级财政部门。</w:t>
      </w:r>
    </w:p>
    <w:p>
      <w:pPr>
        <w:pStyle w:val="8"/>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26.12采购代理机构发现评标委员会有明显的违规倾向或歧视现象，或不按评标办法进行，或其他不正常行为的，应当及时制止。如制止无效，应及时向桂林市财政局报告。</w:t>
      </w:r>
    </w:p>
    <w:p>
      <w:pPr>
        <w:pStyle w:val="8"/>
        <w:tabs>
          <w:tab w:val="left" w:pos="4214"/>
        </w:tabs>
        <w:spacing w:line="3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27</w:t>
      </w:r>
      <w:r>
        <w:rPr>
          <w:rFonts w:hint="eastAsia" w:ascii="宋体" w:hAnsi="宋体" w:eastAsia="宋体" w:cs="宋体"/>
          <w:color w:val="auto"/>
          <w:highlight w:val="none"/>
        </w:rPr>
        <w:t xml:space="preserve">. </w:t>
      </w:r>
      <w:r>
        <w:rPr>
          <w:rFonts w:hint="eastAsia" w:ascii="宋体" w:hAnsi="宋体" w:eastAsia="宋体" w:cs="宋体"/>
          <w:b/>
          <w:color w:val="auto"/>
          <w:highlight w:val="none"/>
        </w:rPr>
        <w:t>推荐及确定中标候选人原则</w:t>
      </w:r>
    </w:p>
    <w:p>
      <w:pPr>
        <w:snapToGrid w:val="0"/>
        <w:spacing w:line="360" w:lineRule="exact"/>
        <w:ind w:firstLine="420" w:firstLineChars="200"/>
        <w:outlineLvl w:val="4"/>
        <w:rPr>
          <w:rFonts w:hint="eastAsia" w:ascii="宋体" w:hAnsi="宋体" w:eastAsia="宋体" w:cs="宋体"/>
          <w:color w:val="auto"/>
          <w:szCs w:val="20"/>
          <w:highlight w:val="none"/>
        </w:rPr>
      </w:pPr>
      <w:r>
        <w:rPr>
          <w:rFonts w:hint="eastAsia" w:ascii="宋体" w:hAnsi="宋体" w:eastAsia="宋体" w:cs="宋体"/>
          <w:color w:val="auto"/>
          <w:szCs w:val="20"/>
          <w:highlight w:val="none"/>
        </w:rPr>
        <w:t>（1）评标委员会将根据评标结果按评审后得分由高到低顺序排列。得分相同的，按投标报价由低到高顺序排列；得分相同且投标报价相同的并列。投标文件满足招标文件全部实质性要求，且按照评审因素的量化指标评审得分最高的投标人为排名第一的中标候选人。</w:t>
      </w:r>
    </w:p>
    <w:p>
      <w:pPr>
        <w:snapToGrid w:val="0"/>
        <w:spacing w:line="360" w:lineRule="exact"/>
        <w:ind w:firstLine="420" w:firstLineChars="200"/>
        <w:outlineLvl w:val="4"/>
        <w:rPr>
          <w:rFonts w:hint="eastAsia" w:ascii="宋体" w:hAnsi="宋体" w:eastAsia="宋体" w:cs="宋体"/>
          <w:color w:val="auto"/>
          <w:szCs w:val="20"/>
          <w:highlight w:val="none"/>
        </w:rPr>
      </w:pPr>
      <w:r>
        <w:rPr>
          <w:rFonts w:hint="eastAsia" w:ascii="宋体" w:hAnsi="宋体" w:eastAsia="宋体" w:cs="宋体"/>
          <w:color w:val="auto"/>
          <w:szCs w:val="20"/>
          <w:highlight w:val="none"/>
        </w:rPr>
        <w:t>（2）采购人应当自收到评标报告之日起5个工作日内，在评标报告确定的中标候选人名单中按顺序确定中标人。中标候选人并列的，采购人按以下的方式确定中标人：依次按货物基本分高的优先、设备安装方案分高的优先、售后服务分高的优先、履约能力分高的优先、政策功能分（节能、环保）高的优先、免费保修期长的优先、交付时间短</w:t>
      </w:r>
      <w:r>
        <w:rPr>
          <w:rFonts w:hint="eastAsia" w:ascii="宋体" w:hAnsi="宋体" w:eastAsia="宋体" w:cs="宋体"/>
          <w:color w:val="auto"/>
          <w:szCs w:val="20"/>
          <w:highlight w:val="none"/>
          <w:lang w:eastAsia="zh-CN"/>
        </w:rPr>
        <w:t>的</w:t>
      </w:r>
      <w:r>
        <w:rPr>
          <w:rFonts w:hint="eastAsia" w:ascii="宋体" w:hAnsi="宋体" w:eastAsia="宋体" w:cs="宋体"/>
          <w:color w:val="auto"/>
          <w:szCs w:val="20"/>
          <w:highlight w:val="none"/>
        </w:rPr>
        <w:t>优先顺序确定中标人。</w:t>
      </w:r>
    </w:p>
    <w:p>
      <w:pPr>
        <w:snapToGrid w:val="0"/>
        <w:spacing w:line="360" w:lineRule="exact"/>
        <w:ind w:firstLine="420" w:firstLineChars="200"/>
        <w:outlineLvl w:val="4"/>
        <w:rPr>
          <w:rFonts w:hint="eastAsia" w:ascii="宋体" w:hAnsi="宋体" w:eastAsia="宋体" w:cs="宋体"/>
          <w:color w:val="auto"/>
          <w:szCs w:val="20"/>
          <w:highlight w:val="none"/>
        </w:rPr>
      </w:pPr>
      <w:r>
        <w:rPr>
          <w:rFonts w:hint="eastAsia" w:ascii="宋体" w:hAnsi="宋体" w:eastAsia="宋体" w:cs="宋体"/>
          <w:color w:val="auto"/>
          <w:szCs w:val="20"/>
          <w:highlight w:val="none"/>
        </w:rPr>
        <w:t>（3）中标人放弃中标、拒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p>
    <w:p>
      <w:pPr>
        <w:snapToGrid w:val="0"/>
        <w:spacing w:line="360" w:lineRule="exact"/>
        <w:ind w:firstLine="422" w:firstLineChars="200"/>
        <w:outlineLvl w:val="4"/>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28</w:t>
      </w:r>
      <w:r>
        <w:rPr>
          <w:rFonts w:hint="eastAsia" w:ascii="宋体" w:hAnsi="宋体" w:eastAsia="宋体" w:cs="宋体"/>
          <w:b/>
          <w:color w:val="auto"/>
          <w:szCs w:val="21"/>
          <w:highlight w:val="none"/>
        </w:rPr>
        <w:t>.属于下列情况之一者，投标无效：</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（1）未按照招标文件规定要求签字、盖章的；</w:t>
      </w:r>
    </w:p>
    <w:p>
      <w:pPr>
        <w:snapToGrid w:val="0"/>
        <w:spacing w:line="360" w:lineRule="exact"/>
        <w:ind w:firstLine="422" w:firstLineChars="200"/>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所投</w:t>
      </w:r>
      <w:r>
        <w:rPr>
          <w:rFonts w:hint="eastAsia" w:ascii="宋体" w:hAnsi="宋体" w:eastAsia="宋体" w:cs="宋体"/>
          <w:b/>
          <w:color w:val="auto"/>
          <w:szCs w:val="21"/>
          <w:highlight w:val="none"/>
        </w:rPr>
        <w:t>报价超过招标文件中规定的预算金额或最高限价的；</w:t>
      </w:r>
    </w:p>
    <w:p>
      <w:pPr>
        <w:snapToGrid w:val="0"/>
        <w:spacing w:line="360" w:lineRule="exact"/>
        <w:ind w:firstLine="422" w:firstLineChars="200"/>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（3）未通过资格审查的；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（4）未按本招标文件规定提供符合性响应证明材料中的任意一项材料的；或提供的符合性响应证明材料中的任意一项材料无效的；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（5）投标文件含有采购人不能接受的附加条件的；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（6）投标文件未按招标文件的内容和要求编制，或提供虚假材料的；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（7）投标人未就“采购需求”中所有内容作完整唯一报价的；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（8）未完全响应招标文件实质性要求的；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（9）投标人为联合体投标的；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w:t>
      </w:r>
      <w:r>
        <w:rPr>
          <w:rFonts w:hint="eastAsia" w:ascii="宋体" w:hAnsi="宋体" w:eastAsia="宋体" w:cs="宋体"/>
          <w:b/>
          <w:color w:val="auto"/>
          <w:szCs w:val="21"/>
          <w:highlight w:val="none"/>
          <w:lang w:eastAsia="zh-CN"/>
        </w:rPr>
        <w:t>法律法规</w:t>
      </w:r>
      <w:r>
        <w:rPr>
          <w:rFonts w:hint="eastAsia" w:ascii="宋体" w:hAnsi="宋体" w:eastAsia="宋体" w:cs="宋体"/>
          <w:b/>
          <w:color w:val="auto"/>
          <w:szCs w:val="21"/>
          <w:highlight w:val="none"/>
        </w:rPr>
        <w:t>和招标文件规定的其他无效情形。</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29.投标人有下列情形之一的，视为串通投标，投标文件将被视为无效：</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（1）不同投标人的投标文件由同一单位或者个人编制；</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（2）不同投标人委托同一单位或者个人办理投标事宜的；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（3）不同的投标人的投标文件载明的项目管</w:t>
      </w:r>
      <w:r>
        <w:rPr>
          <w:rFonts w:hint="eastAsia" w:ascii="宋体" w:hAnsi="宋体" w:eastAsia="宋体" w:cs="宋体"/>
          <w:b/>
          <w:color w:val="auto"/>
          <w:szCs w:val="21"/>
          <w:highlight w:val="none"/>
          <w:lang w:eastAsia="zh-CN"/>
        </w:rPr>
        <w:t>理人</w:t>
      </w:r>
      <w:r>
        <w:rPr>
          <w:rFonts w:hint="eastAsia" w:ascii="宋体" w:hAnsi="宋体" w:eastAsia="宋体" w:cs="宋体"/>
          <w:b/>
          <w:color w:val="auto"/>
          <w:szCs w:val="21"/>
          <w:highlight w:val="none"/>
        </w:rPr>
        <w:t>员为同一个人的；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（4）不同投标人的投标文件异常一致或投标报价呈规律性差异的； </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（5）不同投标人的投标文件相互混装的。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30.属于下列情形之一的，予以废标：</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（1）符合专业条件的供应商或者对招标文件</w:t>
      </w:r>
      <w:r>
        <w:rPr>
          <w:rFonts w:hint="eastAsia" w:ascii="宋体" w:hAnsi="宋体" w:eastAsia="宋体" w:cs="宋体"/>
          <w:b/>
          <w:color w:val="auto"/>
          <w:szCs w:val="21"/>
          <w:highlight w:val="none"/>
          <w:lang w:eastAsia="zh-CN"/>
        </w:rPr>
        <w:t>做</w:t>
      </w:r>
      <w:r>
        <w:rPr>
          <w:rFonts w:hint="eastAsia" w:ascii="宋体" w:hAnsi="宋体" w:eastAsia="宋体" w:cs="宋体"/>
          <w:b/>
          <w:color w:val="auto"/>
          <w:szCs w:val="21"/>
          <w:highlight w:val="none"/>
        </w:rPr>
        <w:t>实质响应的供应商不足3家的；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（2）出现影响采购公正的违法、违规行为的；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（3）采购文件内容违反国家有关强制性规定的；</w:t>
      </w:r>
    </w:p>
    <w:p>
      <w:pPr>
        <w:snapToGrid w:val="0"/>
        <w:spacing w:line="360" w:lineRule="exact"/>
        <w:ind w:firstLine="413" w:firstLineChars="196"/>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（4）因重大变故，采购任务取消的。</w:t>
      </w:r>
    </w:p>
    <w:p>
      <w:pPr>
        <w:pStyle w:val="8"/>
        <w:spacing w:line="360" w:lineRule="exact"/>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31.开标、评标过程的监控</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本项目开标、评标过程实行全程录音、录像监控，投标人在评标过程中所进行的试图影响评标结果的不公正活动，可能导致其投标被拒绝。</w:t>
      </w:r>
    </w:p>
    <w:p>
      <w:pPr>
        <w:pStyle w:val="8"/>
        <w:spacing w:line="360" w:lineRule="exact"/>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32.信用查询</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⑴查询渠道：“信用中国”网站(http://www.creditchina.gov.cn)、中国政府采购网（http://www.ccgp.gov.cn）等；</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⑵查询截止时间：中标通知书发出前；</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⑶信用信息查询记录和证据留存方式：在查询网站中直接打印查询记录，打印材料作为采购活动资料保存；</w:t>
      </w:r>
    </w:p>
    <w:p>
      <w:pPr>
        <w:pStyle w:val="8"/>
        <w:spacing w:line="36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⑷信用信息使用规则：对在“信用中国”网站(http://www.creditchina.gov.cn)、中国政府采购网（http://www.ccgp.gov.cn）等渠道列入失信被执行人、重大税收违法失信主体、政府采购严重违法失信行为记录名单及其他不符合《中华人民共和国政府采购法》第二十二条规定条件的供应商，取消其中标候选人资格。</w:t>
      </w:r>
    </w:p>
    <w:p>
      <w:pPr>
        <w:pStyle w:val="8"/>
        <w:spacing w:line="360" w:lineRule="exact"/>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33. 中标公告及中标通知书</w:t>
      </w:r>
    </w:p>
    <w:p>
      <w:pPr>
        <w:pStyle w:val="8"/>
        <w:tabs>
          <w:tab w:val="left" w:pos="45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采购代理机构于评标结束后两个工作日内将评标报告送交采购人，采购人应当自收到评标报告五个工作日内在评标报告推荐的中标候选人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pPr>
        <w:pStyle w:val="8"/>
        <w:tabs>
          <w:tab w:val="left" w:pos="455"/>
        </w:tabs>
        <w:spacing w:line="36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rPr>
        <w:t>33.2</w:t>
      </w:r>
      <w:r>
        <w:rPr>
          <w:rFonts w:hint="eastAsia" w:ascii="宋体" w:hAnsi="宋体" w:eastAsia="宋体" w:cs="宋体"/>
          <w:b/>
          <w:bCs/>
          <w:color w:val="auto"/>
          <w:szCs w:val="21"/>
          <w:highlight w:val="none"/>
        </w:rPr>
        <w:t>中小企业在政府采购活动过程中，请根据自己的真实情况出具《中小企业声明函》。依法享受中小企业优惠政策的，采购人或采购代理机构在公告中标结果时，同时公告其《中小企业声明函》，接受社会监督。</w:t>
      </w:r>
    </w:p>
    <w:p>
      <w:pPr>
        <w:pStyle w:val="8"/>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33.3中标公告发布同时，采购代理机构通过政采云平台在线向中标人发出中标通知书，中标人应自行关注政采云平台信息，确保及时查收中标通知书。</w:t>
      </w:r>
    </w:p>
    <w:p>
      <w:pPr>
        <w:tabs>
          <w:tab w:val="left" w:pos="1140"/>
        </w:tabs>
        <w:spacing w:line="360" w:lineRule="exact"/>
        <w:ind w:left="420" w:leftChars="200"/>
        <w:rPr>
          <w:rFonts w:hint="eastAsia" w:ascii="宋体" w:hAnsi="宋体" w:eastAsia="宋体" w:cs="宋体"/>
          <w:b/>
          <w:color w:val="auto"/>
          <w:sz w:val="28"/>
          <w:szCs w:val="28"/>
          <w:highlight w:val="none"/>
        </w:rPr>
      </w:pPr>
    </w:p>
    <w:p>
      <w:pPr>
        <w:tabs>
          <w:tab w:val="left" w:pos="1140"/>
        </w:tabs>
        <w:spacing w:line="360" w:lineRule="exact"/>
        <w:ind w:left="420" w:left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七、履约保证金及签订合同</w:t>
      </w:r>
    </w:p>
    <w:p>
      <w:pPr>
        <w:tabs>
          <w:tab w:val="left" w:pos="1305"/>
        </w:tabs>
        <w:spacing w:line="360" w:lineRule="exact"/>
        <w:ind w:firstLine="316" w:firstLineChars="150"/>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pPr>
        <w:tabs>
          <w:tab w:val="left" w:pos="1305"/>
        </w:tabs>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highlight w:val="none"/>
        </w:rPr>
        <w:t>34</w:t>
      </w:r>
      <w:r>
        <w:rPr>
          <w:rFonts w:hint="eastAsia" w:ascii="宋体" w:hAnsi="宋体" w:eastAsia="宋体" w:cs="宋体"/>
          <w:b/>
          <w:color w:val="auto"/>
          <w:szCs w:val="21"/>
          <w:highlight w:val="none"/>
        </w:rPr>
        <w:t>.履约保证金：</w:t>
      </w:r>
      <w:r>
        <w:rPr>
          <w:rFonts w:hint="eastAsia" w:ascii="宋体" w:hAnsi="宋体" w:eastAsia="宋体" w:cs="宋体"/>
          <w:color w:val="auto"/>
          <w:szCs w:val="21"/>
          <w:highlight w:val="none"/>
        </w:rPr>
        <w:t xml:space="preserve"> </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34.1履约保证金金额：本项目履约保证金金额按合同金额的</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%交纳（人民币，四舍五入到元），如为中型企业中标的按合同金额的2%交纳，如为小微企业中标的则免收履约保证金。乙方于签订合同</w:t>
      </w:r>
      <w:r>
        <w:rPr>
          <w:rFonts w:hint="eastAsia" w:ascii="宋体" w:hAnsi="宋体" w:eastAsia="宋体" w:cs="宋体"/>
          <w:color w:val="auto"/>
          <w:szCs w:val="21"/>
          <w:highlight w:val="none"/>
          <w:lang w:val="en-US" w:eastAsia="zh-CN"/>
        </w:rPr>
        <w:t>之</w:t>
      </w:r>
      <w:r>
        <w:rPr>
          <w:rFonts w:hint="eastAsia" w:ascii="宋体" w:hAnsi="宋体" w:eastAsia="宋体" w:cs="宋体"/>
          <w:color w:val="auto"/>
          <w:szCs w:val="21"/>
          <w:highlight w:val="none"/>
        </w:rPr>
        <w:t>前将履约保证金以支票、汇票、本票或者金融机构、担保机构出具的保函等非现金形式提交至甲方。</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34.2履约保证金形式：以支票、汇票、本票或者金融机构、担保机构出具的保函等非现金形式。</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34.3履约保证金递交时间：中标人于中标通知书发出之日起8个工作日内且在签订合同前将履约保证金提交至采购人，否则，采购人有权不予签订合同。</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中标人按合同约定交货、安装调试验收完毕交付采购人使用后，凭《政府采购项目合同验收书》（格式详见附表3）和履约保证金交纳凭证向采购人申请办理退还手续，采购人不得额外要求中标人提交其他证明材料，并应当自收到退还资料之日起5个工作日内退还其履约保证金（无息）。如中标人不按双方签订的合同规定履约，则没收其全部履约保证金，履约保证金不足以赔偿损失的，按实际损失赔偿。</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28.5在履约保证金到期退还前，若中标人的开户名称、开户银行、账号有变动的，以书面形式通知采购人，否则由此产生的后果由中标人自负。</w:t>
      </w:r>
    </w:p>
    <w:p>
      <w:pPr>
        <w:tabs>
          <w:tab w:val="left" w:pos="1140"/>
        </w:tabs>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 签订合同</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35.1签订合同时间：中标通知书发出之日起8个工作日内。中标人应按规定与采购人签订合同。</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如中标人有下列情形之一，情节严重的，由财政部门将其列入不良行为记录名单，在一至三年内禁止参加政府采购活动，并予以通报。采购人可从评标委员会推荐的中标候选人中按顺序重新确定中标人或重新组织招标。</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（1）中标后不与采购人签订合同的（不可抗力除外）或应当向采购人提交履约保证金而未按规定提交的；</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（2）将中</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目转让给他人，或者在投标文件中未说明且未经采购人同意将中</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目分包给他人的；</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35.3合同公告：</w:t>
      </w:r>
      <w:r>
        <w:rPr>
          <w:rFonts w:hint="eastAsia" w:ascii="宋体" w:hAnsi="宋体" w:eastAsia="宋体" w:cs="宋体"/>
          <w:color w:val="auto"/>
          <w:highlight w:val="none"/>
        </w:rPr>
        <w:t>政府采购合同双方自签订之日起2个工作日内在省级以上人民政府财政部门指定媒体上公告</w:t>
      </w:r>
      <w:r>
        <w:rPr>
          <w:rFonts w:hint="eastAsia" w:ascii="宋体" w:hAnsi="宋体" w:eastAsia="宋体" w:cs="宋体"/>
          <w:color w:val="auto"/>
          <w:szCs w:val="21"/>
          <w:highlight w:val="none"/>
        </w:rPr>
        <w:t>。</w:t>
      </w:r>
    </w:p>
    <w:p>
      <w:pPr>
        <w:pStyle w:val="8"/>
        <w:spacing w:line="36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35.4验收证明存档：项目验收合格后，采购人应妥善保存验收证明（详见附表3）。</w:t>
      </w:r>
    </w:p>
    <w:p>
      <w:pPr>
        <w:pStyle w:val="8"/>
        <w:spacing w:line="360" w:lineRule="exact"/>
        <w:ind w:left="2" w:leftChars="1" w:firstLine="420" w:firstLineChars="200"/>
        <w:rPr>
          <w:rFonts w:hint="eastAsia" w:ascii="宋体" w:hAnsi="宋体" w:eastAsia="宋体" w:cs="宋体"/>
          <w:color w:val="auto"/>
          <w:szCs w:val="21"/>
          <w:highlight w:val="none"/>
        </w:rPr>
      </w:pPr>
    </w:p>
    <w:p>
      <w:pPr>
        <w:pStyle w:val="8"/>
        <w:spacing w:line="360" w:lineRule="exact"/>
        <w:ind w:left="3"/>
        <w:jc w:val="center"/>
        <w:rPr>
          <w:rFonts w:hint="eastAsia" w:ascii="宋体" w:hAnsi="宋体" w:eastAsia="宋体" w:cs="宋体"/>
          <w:b/>
          <w:color w:val="auto"/>
          <w:sz w:val="28"/>
          <w:szCs w:val="28"/>
          <w:highlight w:val="none"/>
        </w:rPr>
      </w:pPr>
    </w:p>
    <w:p>
      <w:pPr>
        <w:pStyle w:val="8"/>
        <w:spacing w:line="360" w:lineRule="exact"/>
        <w:ind w:left="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八、其他事项</w:t>
      </w:r>
    </w:p>
    <w:p>
      <w:pPr>
        <w:pStyle w:val="8"/>
        <w:spacing w:line="3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36.采购代理服务费</w:t>
      </w:r>
    </w:p>
    <w:p>
      <w:pPr>
        <w:pStyle w:val="8"/>
        <w:spacing w:line="360" w:lineRule="exact"/>
        <w:ind w:left="25"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36.1</w:t>
      </w:r>
      <w:r>
        <w:rPr>
          <w:rFonts w:hint="eastAsia" w:ascii="宋体" w:hAnsi="宋体" w:eastAsia="宋体" w:cs="宋体"/>
          <w:color w:val="auto"/>
          <w:highlight w:val="none"/>
        </w:rPr>
        <w:t>本项目的招标代理服务收费标准按计价格</w:t>
      </w:r>
      <w:r>
        <w:rPr>
          <w:rFonts w:hint="eastAsia" w:ascii="宋体" w:hAnsi="宋体" w:eastAsia="宋体" w:cs="宋体"/>
          <w:color w:val="auto"/>
          <w:highlight w:val="none"/>
          <w:lang w:eastAsia="zh-CN"/>
        </w:rPr>
        <w:t>〔2002〕1980号</w:t>
      </w:r>
      <w:r>
        <w:rPr>
          <w:rFonts w:hint="eastAsia" w:ascii="宋体" w:hAnsi="宋体" w:eastAsia="宋体" w:cs="宋体"/>
          <w:color w:val="auto"/>
          <w:highlight w:val="none"/>
        </w:rPr>
        <w:t>《招标代理服务收费管理暂行办法》</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类收费标准向中标供应商收取。</w:t>
      </w:r>
    </w:p>
    <w:p>
      <w:pPr>
        <w:spacing w:line="3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37.采购代理机构银行账户（用于交纳采购代理服务费）：</w:t>
      </w:r>
    </w:p>
    <w:p>
      <w:pPr>
        <w:pStyle w:val="8"/>
        <w:snapToGrid w:val="0"/>
        <w:spacing w:line="360" w:lineRule="exact"/>
        <w:ind w:left="420" w:leftChars="200"/>
        <w:rPr>
          <w:rFonts w:hint="eastAsia" w:ascii="宋体" w:hAnsi="宋体" w:eastAsia="宋体" w:cs="宋体"/>
          <w:color w:val="auto"/>
          <w:highlight w:val="none"/>
        </w:rPr>
      </w:pPr>
      <w:r>
        <w:rPr>
          <w:rFonts w:hint="eastAsia" w:ascii="宋体" w:hAnsi="宋体" w:eastAsia="宋体" w:cs="宋体"/>
          <w:color w:val="auto"/>
          <w:highlight w:val="none"/>
        </w:rPr>
        <w:t>开户名称：中策恒睿建设有限公司</w:t>
      </w:r>
    </w:p>
    <w:p>
      <w:pPr>
        <w:pStyle w:val="8"/>
        <w:snapToGrid w:val="0"/>
        <w:spacing w:line="360" w:lineRule="exact"/>
        <w:ind w:left="420" w:leftChars="200"/>
        <w:rPr>
          <w:rFonts w:hint="eastAsia" w:ascii="宋体" w:hAnsi="宋体" w:eastAsia="宋体" w:cs="宋体"/>
          <w:color w:val="auto"/>
          <w:highlight w:val="none"/>
        </w:rPr>
      </w:pPr>
      <w:r>
        <w:rPr>
          <w:rFonts w:hint="eastAsia" w:ascii="宋体" w:hAnsi="宋体" w:eastAsia="宋体" w:cs="宋体"/>
          <w:color w:val="auto"/>
          <w:highlight w:val="none"/>
        </w:rPr>
        <w:t xml:space="preserve">银行账号：000525688700010 </w:t>
      </w:r>
    </w:p>
    <w:p>
      <w:pPr>
        <w:pStyle w:val="8"/>
        <w:snapToGrid w:val="0"/>
        <w:spacing w:line="360" w:lineRule="exact"/>
        <w:ind w:left="420" w:leftChars="200"/>
        <w:rPr>
          <w:rFonts w:hint="eastAsia" w:ascii="宋体" w:hAnsi="宋体" w:eastAsia="宋体" w:cs="宋体"/>
          <w:color w:val="auto"/>
          <w:highlight w:val="none"/>
        </w:rPr>
      </w:pPr>
      <w:r>
        <w:rPr>
          <w:rFonts w:hint="eastAsia" w:ascii="宋体" w:hAnsi="宋体" w:eastAsia="宋体" w:cs="宋体"/>
          <w:color w:val="auto"/>
          <w:highlight w:val="none"/>
        </w:rPr>
        <w:t>开户银行：桂林银行临桂支行</w:t>
      </w:r>
    </w:p>
    <w:p>
      <w:pPr>
        <w:spacing w:line="360" w:lineRule="exact"/>
        <w:ind w:firstLine="422"/>
        <w:rPr>
          <w:rFonts w:hint="eastAsia" w:ascii="宋体" w:hAnsi="宋体" w:eastAsia="宋体" w:cs="宋体"/>
          <w:b/>
          <w:color w:val="auto"/>
          <w:kern w:val="0"/>
          <w:highlight w:val="none"/>
        </w:rPr>
      </w:pPr>
      <w:r>
        <w:rPr>
          <w:rFonts w:hint="eastAsia" w:ascii="宋体" w:hAnsi="宋体" w:eastAsia="宋体" w:cs="宋体"/>
          <w:b/>
          <w:color w:val="auto"/>
          <w:highlight w:val="none"/>
        </w:rPr>
        <w:t>38.</w:t>
      </w:r>
      <w:r>
        <w:rPr>
          <w:rFonts w:hint="eastAsia" w:ascii="宋体" w:hAnsi="宋体" w:eastAsia="宋体" w:cs="宋体"/>
          <w:b/>
          <w:color w:val="auto"/>
          <w:kern w:val="0"/>
          <w:highlight w:val="none"/>
        </w:rPr>
        <w:t>广西线上“政采贷”政策详见附表4.</w:t>
      </w:r>
    </w:p>
    <w:p>
      <w:pPr>
        <w:pStyle w:val="8"/>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highlight w:val="none"/>
        </w:rPr>
        <w:t>39.解释权：</w:t>
      </w:r>
      <w:r>
        <w:rPr>
          <w:rFonts w:hint="eastAsia" w:ascii="宋体" w:hAnsi="宋体" w:eastAsia="宋体" w:cs="宋体"/>
          <w:color w:val="auto"/>
          <w:szCs w:val="21"/>
          <w:highlight w:val="none"/>
        </w:rPr>
        <w:t>本招标文件是根据《中华人民共和国政府采购法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中华人民共和国政府采购法实施条例》及</w:t>
      </w:r>
      <w:r>
        <w:rPr>
          <w:rFonts w:hint="eastAsia" w:ascii="宋体" w:hAnsi="宋体" w:eastAsia="宋体" w:cs="宋体"/>
          <w:bCs/>
          <w:color w:val="auto"/>
          <w:highlight w:val="none"/>
        </w:rPr>
        <w:t>财政部令第87号</w:t>
      </w:r>
      <w:r>
        <w:rPr>
          <w:rFonts w:hint="eastAsia" w:ascii="宋体" w:hAnsi="宋体" w:eastAsia="宋体" w:cs="宋体"/>
          <w:color w:val="auto"/>
          <w:szCs w:val="21"/>
          <w:highlight w:val="none"/>
        </w:rPr>
        <w:t>《政府采购货物和服务招标投标管理办法》和政府采购管理有关规定编制，本招标文件的解释权属于采购代理机构。</w:t>
      </w:r>
    </w:p>
    <w:p>
      <w:pPr>
        <w:snapToGrid w:val="0"/>
        <w:spacing w:line="36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40.</w:t>
      </w:r>
      <w:r>
        <w:rPr>
          <w:rFonts w:hint="eastAsia" w:ascii="宋体" w:hAnsi="宋体" w:eastAsia="宋体" w:cs="宋体"/>
          <w:b/>
          <w:color w:val="auto"/>
          <w:szCs w:val="21"/>
          <w:highlight w:val="none"/>
        </w:rPr>
        <w:t>监督管理机构：</w:t>
      </w:r>
      <w:r>
        <w:rPr>
          <w:rFonts w:hint="eastAsia" w:ascii="宋体" w:hAnsi="宋体" w:eastAsia="宋体" w:cs="宋体"/>
          <w:color w:val="auto"/>
          <w:kern w:val="0"/>
          <w:szCs w:val="21"/>
          <w:highlight w:val="none"/>
        </w:rPr>
        <w:t>桂林市财政局；联系电话：0773-2829504</w:t>
      </w:r>
    </w:p>
    <w:p>
      <w:pPr>
        <w:pStyle w:val="8"/>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41.采购过程中出现以下情形，导致电子交易平台无法正常运行，或者无法保证电子交易的公平、公正和安全时，采购代理机构可以中止电子交易活动：</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（1）电子交易平台发生故障而无法登录访问的； </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（4）病毒发作导致不能进行正常操作的； </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pPr>
        <w:pStyle w:val="8"/>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8"/>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4"/>
          <w:szCs w:val="24"/>
          <w:highlight w:val="none"/>
        </w:rPr>
        <w:t>附表1：</w:t>
      </w: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质疑函（格式）</w:t>
      </w:r>
    </w:p>
    <w:p>
      <w:pPr>
        <w:pStyle w:val="8"/>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一、质疑供应商基本信息：</w:t>
      </w:r>
    </w:p>
    <w:p>
      <w:pPr>
        <w:pStyle w:val="8"/>
        <w:snapToGrid w:val="0"/>
        <w:spacing w:line="36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质疑供应商：</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授权代表：</w:t>
      </w:r>
      <w:r>
        <w:rPr>
          <w:rFonts w:hint="eastAsia" w:ascii="宋体" w:hAnsi="宋体" w:eastAsia="宋体" w:cs="宋体"/>
          <w:bCs/>
          <w:color w:val="auto"/>
          <w:highlight w:val="none"/>
          <w:u w:val="single"/>
        </w:rPr>
        <w:t xml:space="preserve">                      </w:t>
      </w:r>
    </w:p>
    <w:p>
      <w:pPr>
        <w:pStyle w:val="8"/>
        <w:snapToGrid w:val="0"/>
        <w:spacing w:line="36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二、质疑项目基本情况：</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质疑</w:t>
      </w:r>
      <w:r>
        <w:rPr>
          <w:rFonts w:hint="eastAsia" w:ascii="宋体" w:hAnsi="宋体" w:eastAsia="宋体" w:cs="宋体"/>
          <w:color w:val="auto"/>
          <w:szCs w:val="21"/>
          <w:highlight w:val="none"/>
        </w:rPr>
        <w:t>项目的名称：</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u w:val="single"/>
        </w:rPr>
      </w:pPr>
      <w:r>
        <w:rPr>
          <w:rFonts w:hint="eastAsia" w:ascii="宋体" w:hAnsi="宋体" w:eastAsia="宋体" w:cs="宋体"/>
          <w:bCs/>
          <w:color w:val="auto"/>
          <w:highlight w:val="none"/>
        </w:rPr>
        <w:t>质疑</w:t>
      </w:r>
      <w:r>
        <w:rPr>
          <w:rFonts w:hint="eastAsia" w:ascii="宋体" w:hAnsi="宋体" w:eastAsia="宋体" w:cs="宋体"/>
          <w:color w:val="auto"/>
          <w:szCs w:val="21"/>
          <w:highlight w:val="none"/>
        </w:rPr>
        <w:t>项目的编号：</w:t>
      </w:r>
      <w:r>
        <w:rPr>
          <w:rFonts w:hint="eastAsia" w:ascii="宋体" w:hAnsi="宋体" w:eastAsia="宋体" w:cs="宋体"/>
          <w:bCs/>
          <w:color w:val="auto"/>
          <w:highlight w:val="none"/>
          <w:u w:val="single"/>
        </w:rPr>
        <w:t xml:space="preserve">                                    </w:t>
      </w:r>
      <w:r>
        <w:rPr>
          <w:rFonts w:hint="eastAsia" w:ascii="宋体" w:hAnsi="宋体" w:eastAsia="宋体" w:cs="宋体"/>
          <w:color w:val="auto"/>
          <w:szCs w:val="21"/>
          <w:highlight w:val="non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w:t>
      </w:r>
    </w:p>
    <w:p>
      <w:pPr>
        <w:pStyle w:val="8"/>
        <w:spacing w:line="360" w:lineRule="exact"/>
        <w:ind w:left="25" w:leftChars="12" w:firstLine="441" w:firstLineChars="147"/>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w:t>□</w:t>
      </w:r>
      <w:r>
        <w:rPr>
          <w:rFonts w:hint="eastAsia" w:ascii="宋体" w:hAnsi="宋体" w:eastAsia="宋体" w:cs="宋体"/>
          <w:color w:val="auto"/>
          <w:szCs w:val="21"/>
          <w:highlight w:val="none"/>
        </w:rPr>
        <w:t>采购文件   采购文件获取日期：</w:t>
      </w:r>
      <w:r>
        <w:rPr>
          <w:rFonts w:hint="eastAsia" w:ascii="宋体" w:hAnsi="宋体" w:eastAsia="宋体" w:cs="宋体"/>
          <w:bCs/>
          <w:color w:val="auto"/>
          <w:highlight w:val="none"/>
          <w:u w:val="single"/>
        </w:rPr>
        <w:t xml:space="preserve">                                   </w:t>
      </w:r>
    </w:p>
    <w:p>
      <w:pPr>
        <w:pStyle w:val="8"/>
        <w:spacing w:line="360" w:lineRule="exact"/>
        <w:ind w:left="25" w:leftChars="12" w:firstLine="441" w:firstLineChars="147"/>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w:t>□</w:t>
      </w:r>
      <w:r>
        <w:rPr>
          <w:rFonts w:hint="eastAsia" w:ascii="宋体" w:hAnsi="宋体" w:eastAsia="宋体" w:cs="宋体"/>
          <w:color w:val="auto"/>
          <w:szCs w:val="21"/>
          <w:highlight w:val="none"/>
        </w:rPr>
        <w:t xml:space="preserve">采购过程   </w:t>
      </w:r>
    </w:p>
    <w:p>
      <w:pPr>
        <w:pStyle w:val="8"/>
        <w:spacing w:line="360" w:lineRule="exact"/>
        <w:ind w:left="25" w:leftChars="12" w:firstLine="441" w:firstLineChars="147"/>
        <w:rPr>
          <w:rFonts w:hint="eastAsia" w:ascii="宋体" w:hAnsi="宋体" w:eastAsia="宋体" w:cs="宋体"/>
          <w:bCs/>
          <w:color w:val="auto"/>
          <w:highlight w:val="none"/>
          <w:u w:val="single"/>
        </w:rPr>
      </w:pPr>
      <w:r>
        <w:rPr>
          <w:rFonts w:hint="eastAsia" w:ascii="宋体" w:hAnsi="宋体" w:eastAsia="宋体" w:cs="宋体"/>
          <w:color w:val="auto"/>
          <w:sz w:val="30"/>
          <w:szCs w:val="30"/>
          <w:highlight w:val="none"/>
        </w:rPr>
        <w:t>□</w:t>
      </w:r>
      <w:r>
        <w:rPr>
          <w:rFonts w:hint="eastAsia" w:ascii="宋体" w:hAnsi="宋体" w:eastAsia="宋体" w:cs="宋体"/>
          <w:color w:val="auto"/>
          <w:szCs w:val="21"/>
          <w:highlight w:val="none"/>
        </w:rPr>
        <w:t xml:space="preserve">中标结果   </w:t>
      </w:r>
    </w:p>
    <w:p>
      <w:pPr>
        <w:pStyle w:val="8"/>
        <w:spacing w:line="36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三、质疑事项具体内容</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质疑事项1：</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highlight w:val="none"/>
          <w:u w:val="single"/>
        </w:rPr>
        <w:t xml:space="preserve">               </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质疑事项2</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四、与质疑事项相关的质疑请求：</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highlight w:val="none"/>
          <w:u w:val="single"/>
        </w:rPr>
        <w:t xml:space="preserve">                                                                </w:t>
      </w:r>
    </w:p>
    <w:p>
      <w:pPr>
        <w:pStyle w:val="8"/>
        <w:spacing w:line="360" w:lineRule="exact"/>
        <w:ind w:left="25" w:leftChars="12" w:firstLine="308" w:firstLineChars="147"/>
        <w:rPr>
          <w:rFonts w:hint="eastAsia" w:ascii="宋体" w:hAnsi="宋体" w:eastAsia="宋体" w:cs="宋体"/>
          <w:color w:val="auto"/>
          <w:szCs w:val="21"/>
          <w:highlight w:val="none"/>
        </w:rPr>
      </w:pP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pPr>
        <w:pStyle w:val="8"/>
        <w:spacing w:line="360" w:lineRule="exact"/>
        <w:ind w:left="25" w:leftChars="12" w:firstLine="308" w:firstLineChars="147"/>
        <w:rPr>
          <w:rFonts w:hint="eastAsia" w:ascii="宋体" w:hAnsi="宋体" w:eastAsia="宋体" w:cs="宋体"/>
          <w:color w:val="auto"/>
          <w:szCs w:val="21"/>
          <w:highlight w:val="none"/>
        </w:rPr>
      </w:pP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pStyle w:val="8"/>
        <w:snapToGrid w:val="0"/>
        <w:spacing w:line="340" w:lineRule="exact"/>
        <w:rPr>
          <w:rFonts w:hint="eastAsia" w:ascii="宋体" w:hAnsi="宋体" w:eastAsia="宋体" w:cs="宋体"/>
          <w:b/>
          <w:color w:val="auto"/>
          <w:szCs w:val="21"/>
          <w:highlight w:val="none"/>
        </w:rPr>
      </w:pPr>
    </w:p>
    <w:p>
      <w:pPr>
        <w:pStyle w:val="8"/>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pPr>
        <w:pStyle w:val="8"/>
        <w:spacing w:line="340" w:lineRule="exact"/>
        <w:ind w:left="25" w:leftChars="12" w:firstLine="310" w:firstLineChars="147"/>
        <w:rPr>
          <w:rFonts w:hint="eastAsia" w:ascii="宋体" w:hAnsi="宋体" w:eastAsia="宋体" w:cs="宋体"/>
          <w:b/>
          <w:bCs/>
          <w:color w:val="auto"/>
          <w:highlight w:val="none"/>
        </w:rPr>
      </w:pPr>
      <w:r>
        <w:rPr>
          <w:rFonts w:hint="eastAsia" w:ascii="宋体" w:hAnsi="宋体" w:eastAsia="宋体" w:cs="宋体"/>
          <w:b/>
          <w:color w:val="auto"/>
          <w:szCs w:val="21"/>
          <w:highlight w:val="none"/>
        </w:rPr>
        <w:t>1.供应商提出质疑时，应提交质疑函和必要的证明材料</w:t>
      </w:r>
      <w:r>
        <w:rPr>
          <w:rFonts w:hint="eastAsia" w:ascii="宋体" w:hAnsi="宋体" w:eastAsia="宋体" w:cs="宋体"/>
          <w:b/>
          <w:bCs/>
          <w:color w:val="auto"/>
          <w:highlight w:val="none"/>
        </w:rPr>
        <w:t>。</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3.如本项目划分分标的，应注明所质疑的分标。质疑函的质疑事项应具体、明确，并有必要的事实依据和法律依据。</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4.质疑函的质疑请求应与质疑事项相关。</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pPr>
        <w:pStyle w:val="8"/>
        <w:snapToGrid w:val="0"/>
        <w:rPr>
          <w:rFonts w:hint="eastAsia" w:ascii="宋体" w:hAnsi="宋体" w:eastAsia="宋体" w:cs="宋体"/>
          <w:b/>
          <w:color w:val="auto"/>
          <w:sz w:val="24"/>
          <w:szCs w:val="24"/>
          <w:highlight w:val="none"/>
        </w:rPr>
      </w:pPr>
    </w:p>
    <w:p>
      <w:pPr>
        <w:pStyle w:val="8"/>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附表2：</w:t>
      </w:r>
    </w:p>
    <w:p>
      <w:pPr>
        <w:spacing w:line="460" w:lineRule="exact"/>
        <w:jc w:val="center"/>
        <w:rPr>
          <w:rFonts w:hint="eastAsia" w:ascii="宋体" w:hAnsi="宋体" w:eastAsia="宋体" w:cs="宋体"/>
          <w:color w:val="auto"/>
          <w:sz w:val="44"/>
          <w:highlight w:val="none"/>
        </w:rPr>
      </w:pP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投诉书（格式）</w:t>
      </w:r>
    </w:p>
    <w:p>
      <w:pPr>
        <w:pStyle w:val="8"/>
        <w:snapToGrid w:val="0"/>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一、投诉相关主体基本情况：</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投标人：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法定代表人/主要负责人：</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授权代表：</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被投诉人1：</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被投诉人2：</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相关供应商：</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地址：</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邮编：</w:t>
      </w:r>
      <w:r>
        <w:rPr>
          <w:rFonts w:hint="eastAsia" w:ascii="宋体" w:hAnsi="宋体" w:eastAsia="宋体" w:cs="宋体"/>
          <w:bCs/>
          <w:color w:val="auto"/>
          <w:highlight w:val="none"/>
          <w:u w:val="single"/>
        </w:rPr>
        <w:t xml:space="preserve">                         </w:t>
      </w:r>
    </w:p>
    <w:p>
      <w:pPr>
        <w:pStyle w:val="8"/>
        <w:snapToGrid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联系电话：</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pPr>
        <w:pStyle w:val="8"/>
        <w:snapToGrid w:val="0"/>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二、投诉项目基本情况：</w:t>
      </w: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采购</w:t>
      </w:r>
      <w:r>
        <w:rPr>
          <w:rFonts w:hint="eastAsia" w:ascii="宋体" w:hAnsi="宋体" w:eastAsia="宋体" w:cs="宋体"/>
          <w:color w:val="auto"/>
          <w:szCs w:val="21"/>
          <w:highlight w:val="none"/>
        </w:rPr>
        <w:t>项目的名称：</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采购</w:t>
      </w:r>
      <w:r>
        <w:rPr>
          <w:rFonts w:hint="eastAsia" w:ascii="宋体" w:hAnsi="宋体" w:eastAsia="宋体" w:cs="宋体"/>
          <w:color w:val="auto"/>
          <w:szCs w:val="21"/>
          <w:highlight w:val="none"/>
        </w:rPr>
        <w:t>项目的编号：</w:t>
      </w:r>
      <w:r>
        <w:rPr>
          <w:rFonts w:hint="eastAsia" w:ascii="宋体" w:hAnsi="宋体" w:eastAsia="宋体" w:cs="宋体"/>
          <w:bCs/>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8"/>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bCs/>
          <w:color w:val="auto"/>
          <w:highlight w:val="none"/>
        </w:rPr>
        <w:t>采购文件公告：</w:t>
      </w:r>
      <w:r>
        <w:rPr>
          <w:rFonts w:hint="eastAsia" w:ascii="宋体" w:hAnsi="宋体" w:eastAsia="宋体" w:cs="宋体"/>
          <w:bCs/>
          <w:color w:val="auto"/>
          <w:highlight w:val="none"/>
          <w:u w:val="single"/>
        </w:rPr>
        <w:t>是/否</w:t>
      </w:r>
      <w:r>
        <w:rPr>
          <w:rFonts w:hint="eastAsia" w:ascii="宋体" w:hAnsi="宋体" w:eastAsia="宋体" w:cs="宋体"/>
          <w:bCs/>
          <w:color w:val="auto"/>
          <w:highlight w:val="none"/>
        </w:rPr>
        <w:t>公告期限：</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b/>
          <w:color w:val="auto"/>
          <w:szCs w:val="21"/>
          <w:highlight w:val="none"/>
        </w:rPr>
      </w:pPr>
      <w:r>
        <w:rPr>
          <w:rFonts w:hint="eastAsia" w:ascii="宋体" w:hAnsi="宋体" w:eastAsia="宋体" w:cs="宋体"/>
          <w:bCs/>
          <w:color w:val="auto"/>
          <w:highlight w:val="none"/>
        </w:rPr>
        <w:t>采购结果公告：</w:t>
      </w:r>
      <w:r>
        <w:rPr>
          <w:rFonts w:hint="eastAsia" w:ascii="宋体" w:hAnsi="宋体" w:eastAsia="宋体" w:cs="宋体"/>
          <w:bCs/>
          <w:color w:val="auto"/>
          <w:highlight w:val="none"/>
          <w:u w:val="single"/>
        </w:rPr>
        <w:t>是/否</w:t>
      </w:r>
      <w:r>
        <w:rPr>
          <w:rFonts w:hint="eastAsia" w:ascii="宋体" w:hAnsi="宋体" w:eastAsia="宋体" w:cs="宋体"/>
          <w:bCs/>
          <w:color w:val="auto"/>
          <w:highlight w:val="none"/>
        </w:rPr>
        <w:t>公告期限：</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三、质疑基本情况</w:t>
      </w:r>
    </w:p>
    <w:p>
      <w:pPr>
        <w:pStyle w:val="8"/>
        <w:spacing w:line="400" w:lineRule="exact"/>
        <w:ind w:left="25" w:leftChars="12" w:firstLine="833" w:firstLineChars="3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提出质疑，质疑事项为：</w:t>
      </w:r>
    </w:p>
    <w:p>
      <w:pPr>
        <w:pStyle w:val="8"/>
        <w:spacing w:line="400" w:lineRule="exact"/>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u w:val="single"/>
        </w:rPr>
        <w:t xml:space="preserve">                                                                                      </w:t>
      </w:r>
    </w:p>
    <w:p>
      <w:pPr>
        <w:pStyle w:val="8"/>
        <w:spacing w:line="400" w:lineRule="exact"/>
        <w:rPr>
          <w:rFonts w:hint="eastAsia" w:ascii="宋体" w:hAnsi="宋体" w:eastAsia="宋体" w:cs="宋体"/>
          <w:bCs/>
          <w:color w:val="auto"/>
          <w:highlight w:val="none"/>
          <w:u w:val="singl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p>
    <w:p>
      <w:pPr>
        <w:pStyle w:val="8"/>
        <w:spacing w:line="400" w:lineRule="exact"/>
        <w:rPr>
          <w:rFonts w:hint="eastAsia" w:ascii="宋体" w:hAnsi="宋体" w:eastAsia="宋体" w:cs="宋体"/>
          <w:color w:val="auto"/>
          <w:szCs w:val="21"/>
          <w:highlight w:val="non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采购人/代理机构</w:t>
      </w:r>
      <w:r>
        <w:rPr>
          <w:rFonts w:hint="eastAsia" w:ascii="宋体" w:hAnsi="宋体" w:eastAsia="宋体" w:cs="宋体"/>
          <w:bCs/>
          <w:color w:val="auto"/>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Cs/>
          <w:color w:val="auto"/>
          <w:highlight w:val="none"/>
        </w:rPr>
        <w:t xml:space="preserve">就质疑事项作出了答复/没有在法定期限内作出答复。                                                                                             </w:t>
      </w:r>
    </w:p>
    <w:p>
      <w:pPr>
        <w:pStyle w:val="8"/>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四、投诉事项具体内容</w:t>
      </w:r>
    </w:p>
    <w:p>
      <w:pPr>
        <w:pStyle w:val="8"/>
        <w:spacing w:line="400" w:lineRule="exact"/>
        <w:ind w:left="25" w:leftChars="12" w:firstLine="413" w:firstLineChars="197"/>
        <w:rPr>
          <w:rFonts w:hint="eastAsia" w:ascii="宋体" w:hAnsi="宋体" w:eastAsia="宋体" w:cs="宋体"/>
          <w:bCs/>
          <w:color w:val="auto"/>
          <w:highlight w:val="none"/>
          <w:u w:val="single"/>
        </w:rPr>
      </w:pPr>
      <w:r>
        <w:rPr>
          <w:rFonts w:hint="eastAsia" w:ascii="宋体" w:hAnsi="宋体" w:eastAsia="宋体" w:cs="宋体"/>
          <w:color w:val="auto"/>
          <w:szCs w:val="21"/>
          <w:highlight w:val="none"/>
        </w:rPr>
        <w:t>投诉事项1：</w:t>
      </w:r>
      <w:r>
        <w:rPr>
          <w:rFonts w:hint="eastAsia" w:ascii="宋体" w:hAnsi="宋体" w:eastAsia="宋体" w:cs="宋体"/>
          <w:bCs/>
          <w:color w:val="auto"/>
          <w:highlight w:val="none"/>
          <w:u w:val="single"/>
        </w:rPr>
        <w:t xml:space="preserve">                                                                           </w:t>
      </w:r>
    </w:p>
    <w:p>
      <w:pPr>
        <w:pStyle w:val="8"/>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事实依据：</w:t>
      </w: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u w:val="single"/>
        </w:rPr>
        <w:t xml:space="preserve">                                                                                        </w:t>
      </w:r>
    </w:p>
    <w:p>
      <w:pPr>
        <w:pStyle w:val="8"/>
        <w:spacing w:line="40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法律依据：</w:t>
      </w:r>
      <w:r>
        <w:rPr>
          <w:rFonts w:hint="eastAsia" w:ascii="宋体" w:hAnsi="宋体" w:eastAsia="宋体" w:cs="宋体"/>
          <w:color w:val="auto"/>
          <w:szCs w:val="21"/>
          <w:highlight w:val="none"/>
        </w:rPr>
        <w:t xml:space="preserve"> </w:t>
      </w:r>
      <w:r>
        <w:rPr>
          <w:rFonts w:hint="eastAsia" w:ascii="宋体" w:hAnsi="宋体" w:eastAsia="宋体" w:cs="宋体"/>
          <w:bCs/>
          <w:color w:val="auto"/>
          <w:highlight w:val="none"/>
          <w:u w:val="single"/>
        </w:rPr>
        <w:t xml:space="preserve">                                                                                      </w:t>
      </w:r>
    </w:p>
    <w:p>
      <w:pPr>
        <w:pStyle w:val="8"/>
        <w:spacing w:line="400" w:lineRule="exact"/>
        <w:ind w:left="25" w:leftChars="12" w:firstLine="308" w:firstLineChars="147"/>
        <w:rPr>
          <w:rFonts w:hint="eastAsia" w:ascii="宋体" w:hAnsi="宋体" w:eastAsia="宋体" w:cs="宋体"/>
          <w:bCs/>
          <w:color w:val="auto"/>
          <w:highlight w:val="none"/>
          <w:u w:val="single"/>
        </w:rPr>
      </w:pP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u w:val="single"/>
        </w:rPr>
        <w:t xml:space="preserve">                                                                                        </w:t>
      </w:r>
    </w:p>
    <w:p>
      <w:pPr>
        <w:pStyle w:val="8"/>
        <w:spacing w:line="400" w:lineRule="exact"/>
        <w:ind w:left="25" w:leftChars="12" w:firstLine="413" w:firstLineChars="197"/>
        <w:rPr>
          <w:rFonts w:hint="eastAsia" w:ascii="宋体" w:hAnsi="宋体" w:eastAsia="宋体" w:cs="宋体"/>
          <w:bCs/>
          <w:color w:val="auto"/>
          <w:highlight w:val="none"/>
        </w:rPr>
      </w:pPr>
      <w:r>
        <w:rPr>
          <w:rFonts w:hint="eastAsia" w:ascii="宋体" w:hAnsi="宋体" w:eastAsia="宋体" w:cs="宋体"/>
          <w:color w:val="auto"/>
          <w:szCs w:val="21"/>
          <w:highlight w:val="none"/>
        </w:rPr>
        <w:t xml:space="preserve">投诉事项2  </w:t>
      </w:r>
      <w:r>
        <w:rPr>
          <w:rFonts w:hint="eastAsia" w:ascii="宋体" w:hAnsi="宋体" w:eastAsia="宋体" w:cs="宋体"/>
          <w:bCs/>
          <w:color w:val="auto"/>
          <w:highlight w:val="none"/>
        </w:rPr>
        <w:t xml:space="preserve">   </w:t>
      </w:r>
    </w:p>
    <w:p>
      <w:pPr>
        <w:pStyle w:val="8"/>
        <w:spacing w:line="400" w:lineRule="exact"/>
        <w:ind w:left="25" w:leftChars="12" w:firstLine="413" w:firstLineChars="197"/>
        <w:rPr>
          <w:rFonts w:hint="eastAsia" w:ascii="宋体" w:hAnsi="宋体" w:eastAsia="宋体" w:cs="宋体"/>
          <w:bCs/>
          <w:color w:val="auto"/>
          <w:highlight w:val="none"/>
        </w:rPr>
      </w:pPr>
      <w:r>
        <w:rPr>
          <w:rFonts w:hint="eastAsia" w:ascii="宋体" w:hAnsi="宋体" w:eastAsia="宋体" w:cs="宋体"/>
          <w:bCs/>
          <w:color w:val="auto"/>
          <w:highlight w:val="none"/>
        </w:rPr>
        <w:t>……</w:t>
      </w:r>
    </w:p>
    <w:p>
      <w:pPr>
        <w:pStyle w:val="8"/>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五、与投诉事项相关的投诉请求：</w:t>
      </w: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highlight w:val="none"/>
          <w:u w:val="single"/>
        </w:rPr>
        <w:t xml:space="preserve">                                                                                 </w:t>
      </w:r>
    </w:p>
    <w:p>
      <w:pPr>
        <w:pStyle w:val="8"/>
        <w:spacing w:line="400" w:lineRule="exact"/>
        <w:ind w:left="25" w:leftChars="12" w:firstLine="308" w:firstLineChars="147"/>
        <w:rPr>
          <w:rFonts w:hint="eastAsia" w:ascii="宋体" w:hAnsi="宋体" w:eastAsia="宋体" w:cs="宋体"/>
          <w:color w:val="auto"/>
          <w:szCs w:val="21"/>
          <w:highlight w:val="none"/>
        </w:rPr>
      </w:pP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pPr>
        <w:pStyle w:val="8"/>
        <w:spacing w:line="400" w:lineRule="exact"/>
        <w:ind w:left="25" w:leftChars="12" w:firstLine="308" w:firstLineChars="147"/>
        <w:rPr>
          <w:rFonts w:hint="eastAsia" w:ascii="宋体" w:hAnsi="宋体" w:eastAsia="宋体" w:cs="宋体"/>
          <w:color w:val="auto"/>
          <w:szCs w:val="21"/>
          <w:highlight w:val="none"/>
        </w:rPr>
      </w:pPr>
    </w:p>
    <w:p>
      <w:pPr>
        <w:pStyle w:val="8"/>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pStyle w:val="8"/>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highlight w:val="none"/>
        </w:rPr>
        <w:t xml:space="preserve">                                                                                 </w:t>
      </w:r>
    </w:p>
    <w:p>
      <w:pPr>
        <w:pStyle w:val="8"/>
        <w:snapToGrid w:val="0"/>
        <w:spacing w:line="340" w:lineRule="exact"/>
        <w:rPr>
          <w:rFonts w:hint="eastAsia" w:ascii="宋体" w:hAnsi="宋体" w:eastAsia="宋体" w:cs="宋体"/>
          <w:b/>
          <w:color w:val="auto"/>
          <w:szCs w:val="21"/>
          <w:highlight w:val="none"/>
        </w:rPr>
      </w:pPr>
    </w:p>
    <w:p>
      <w:pPr>
        <w:pStyle w:val="8"/>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pPr>
        <w:pStyle w:val="8"/>
        <w:spacing w:line="340" w:lineRule="exact"/>
        <w:ind w:left="25" w:leftChars="12" w:firstLine="310" w:firstLineChars="147"/>
        <w:rPr>
          <w:rFonts w:hint="eastAsia" w:ascii="宋体" w:hAnsi="宋体" w:eastAsia="宋体" w:cs="宋体"/>
          <w:b/>
          <w:bCs/>
          <w:color w:val="auto"/>
          <w:highlight w:val="none"/>
        </w:rPr>
      </w:pPr>
      <w:r>
        <w:rPr>
          <w:rFonts w:hint="eastAsia" w:ascii="宋体" w:hAnsi="宋体" w:eastAsia="宋体" w:cs="宋体"/>
          <w:b/>
          <w:color w:val="auto"/>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highlight w:val="none"/>
        </w:rPr>
        <w:t>。</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3.投诉书应简要列明质疑事项，质疑函、质疑答复等作为附件材料提供。</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4.如本项目划分分标的，应注明所投诉的分标。投诉书的投诉事项应具体、明确，并有必要的事实依据和法律依据。</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5.投诉书的投诉请求应与投诉事项相关。</w:t>
      </w:r>
    </w:p>
    <w:p>
      <w:pPr>
        <w:pStyle w:val="8"/>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6.投诉人为自然人的，投诉书应由本人签字；投诉人为法人或者其他组织的，投诉书应由法定代表人、主要负责人，或者其授权代表签字或者盖章，并加盖公章。</w:t>
      </w:r>
    </w:p>
    <w:p>
      <w:pPr>
        <w:pStyle w:val="8"/>
        <w:spacing w:line="340" w:lineRule="exact"/>
        <w:ind w:left="25" w:leftChars="12" w:firstLine="310" w:firstLineChars="147"/>
        <w:rPr>
          <w:rFonts w:hint="eastAsia" w:ascii="宋体" w:hAnsi="宋体" w:eastAsia="宋体" w:cs="宋体"/>
          <w:b/>
          <w:color w:val="auto"/>
          <w:szCs w:val="21"/>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spacing w:line="380" w:lineRule="exact"/>
        <w:jc w:val="center"/>
        <w:rPr>
          <w:rFonts w:hint="eastAsia" w:ascii="宋体" w:hAnsi="宋体" w:eastAsia="宋体" w:cs="宋体"/>
          <w:b/>
          <w:color w:val="auto"/>
          <w:sz w:val="32"/>
          <w:szCs w:val="32"/>
          <w:highlight w:val="none"/>
        </w:rPr>
      </w:pPr>
    </w:p>
    <w:p>
      <w:pPr>
        <w:pStyle w:val="8"/>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4"/>
          <w:szCs w:val="24"/>
          <w:highlight w:val="none"/>
        </w:rPr>
        <w:t>附表3：</w:t>
      </w: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政府采购项目合同验收书（格式）</w:t>
      </w:r>
    </w:p>
    <w:p>
      <w:pPr>
        <w:widowControl/>
        <w:spacing w:line="600" w:lineRule="atLeast"/>
        <w:jc w:val="center"/>
        <w:rPr>
          <w:rFonts w:hint="eastAsia" w:ascii="宋体" w:hAnsi="宋体" w:eastAsia="宋体" w:cs="宋体"/>
          <w:color w:val="auto"/>
          <w:kern w:val="0"/>
          <w:sz w:val="36"/>
          <w:szCs w:val="36"/>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）的约定，我单位对（</w:t>
      </w:r>
      <w:r>
        <w:rPr>
          <w:rFonts w:hint="eastAsia" w:ascii="宋体" w:hAnsi="宋体" w:eastAsia="宋体" w:cs="宋体"/>
          <w:color w:val="auto"/>
          <w:kern w:val="0"/>
          <w:sz w:val="24"/>
          <w:highlight w:val="none"/>
          <w:u w:val="single"/>
        </w:rPr>
        <w:t> 项目名称   </w:t>
      </w:r>
      <w:r>
        <w:rPr>
          <w:rFonts w:hint="eastAsia" w:ascii="宋体" w:hAnsi="宋体" w:eastAsia="宋体" w:cs="宋体"/>
          <w:color w:val="auto"/>
          <w:kern w:val="0"/>
          <w:sz w:val="24"/>
          <w:highlight w:val="none"/>
        </w:rPr>
        <w:t>）政府采购项目中标（或成交）供应商（</w:t>
      </w:r>
      <w:r>
        <w:rPr>
          <w:rFonts w:hint="eastAsia" w:ascii="宋体" w:hAnsi="宋体" w:eastAsia="宋体" w:cs="宋体"/>
          <w:color w:val="auto"/>
          <w:kern w:val="0"/>
          <w:sz w:val="24"/>
          <w:highlight w:val="none"/>
          <w:u w:val="single"/>
        </w:rPr>
        <w:t>      公司名称         </w:t>
      </w:r>
      <w:r>
        <w:rPr>
          <w:rFonts w:hint="eastAsia" w:ascii="宋体" w:hAnsi="宋体" w:eastAsia="宋体" w:cs="宋体"/>
          <w:color w:val="auto"/>
          <w:kern w:val="0"/>
          <w:sz w:val="24"/>
          <w:highlight w:val="none"/>
        </w:rPr>
        <w:t>） 提供的货物（或工程、服务）进行了验收，验收情况如下：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验收方式：</w:t>
            </w:r>
          </w:p>
        </w:tc>
        <w:tc>
          <w:tcPr>
            <w:tcW w:w="58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序号</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名 称</w:t>
            </w:r>
          </w:p>
        </w:tc>
        <w:tc>
          <w:tcPr>
            <w:tcW w:w="34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货物型号规格、标准及配置等</w:t>
            </w:r>
          </w:p>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（或服务内容、标准）</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数量</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34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34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34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       计</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实际供货日期</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6"/>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合同交货验收日期</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15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验收具体内容</w:t>
            </w:r>
          </w:p>
        </w:tc>
        <w:tc>
          <w:tcPr>
            <w:tcW w:w="8100"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应按采购合同、招标文件、投标投标文件及验收方案等进行验收；并核对中标或者中标人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验收小组意见</w:t>
            </w:r>
          </w:p>
        </w:tc>
        <w:tc>
          <w:tcPr>
            <w:tcW w:w="81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验收结论性意见：</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p>
        </w:tc>
        <w:tc>
          <w:tcPr>
            <w:tcW w:w="81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96"/>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有异议的意见和说明理由：</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监督人员或其他相关人员签字：</w:t>
            </w:r>
          </w:p>
          <w:p>
            <w:pPr>
              <w:keepNext w:val="0"/>
              <w:keepLines w:val="0"/>
              <w:pageBreakBefore w:val="0"/>
              <w:widowControl/>
              <w:kinsoku/>
              <w:wordWrap/>
              <w:overflowPunct/>
              <w:topLinePunct w:val="0"/>
              <w:autoSpaceDE/>
              <w:autoSpaceDN/>
              <w:bidi w:val="0"/>
              <w:adjustRightInd/>
              <w:snapToGrid/>
              <w:spacing w:line="400" w:lineRule="exact"/>
              <w:ind w:firstLine="74"/>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74"/>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中标或者中标人负责人签字或盖章：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联系电话：        年   月   日</w:t>
            </w:r>
          </w:p>
        </w:tc>
        <w:tc>
          <w:tcPr>
            <w:tcW w:w="48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采购人或受托机构的意见（盖章）：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联系电话：                 年    月    日</w:t>
            </w:r>
          </w:p>
        </w:tc>
      </w:tr>
    </w:tbl>
    <w:p>
      <w:pPr>
        <w:snapToGrid w:val="0"/>
        <w:spacing w:line="340" w:lineRule="exact"/>
        <w:rPr>
          <w:rFonts w:hint="eastAsia" w:ascii="宋体" w:hAnsi="宋体" w:eastAsia="宋体" w:cs="宋体"/>
          <w:b/>
          <w:color w:val="auto"/>
          <w:highlight w:val="none"/>
        </w:rPr>
      </w:pPr>
    </w:p>
    <w:p>
      <w:pPr>
        <w:pStyle w:val="8"/>
        <w:snapToGrid w:val="0"/>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附表4：</w:t>
      </w:r>
    </w:p>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drawing>
          <wp:inline distT="0" distB="0" distL="114300" distR="114300">
            <wp:extent cx="5928995" cy="5828665"/>
            <wp:effectExtent l="0" t="0" r="1460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928995" cy="5828665"/>
                    </a:xfrm>
                    <a:prstGeom prst="rect">
                      <a:avLst/>
                    </a:prstGeom>
                    <a:noFill/>
                    <a:ln>
                      <a:noFill/>
                    </a:ln>
                  </pic:spPr>
                </pic:pic>
              </a:graphicData>
            </a:graphic>
          </wp:inline>
        </w:drawing>
      </w:r>
    </w:p>
    <w:p>
      <w:pPr>
        <w:spacing w:line="360" w:lineRule="exact"/>
        <w:ind w:firstLine="480"/>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spacing w:line="360" w:lineRule="exact"/>
        <w:ind w:firstLine="643"/>
        <w:jc w:val="center"/>
        <w:rPr>
          <w:rFonts w:hint="eastAsia" w:ascii="宋体" w:hAnsi="宋体" w:eastAsia="宋体" w:cs="宋体"/>
          <w:b/>
          <w:color w:val="auto"/>
          <w:sz w:val="32"/>
          <w:szCs w:val="32"/>
          <w:highlight w:val="none"/>
        </w:rPr>
      </w:pPr>
    </w:p>
    <w:p>
      <w:pPr>
        <w:pStyle w:val="3"/>
        <w:jc w:val="center"/>
        <w:rPr>
          <w:rFonts w:hint="eastAsia" w:ascii="宋体" w:hAnsi="宋体" w:eastAsia="宋体" w:cs="宋体"/>
          <w:b/>
          <w:bCs/>
          <w:color w:val="auto"/>
          <w:sz w:val="21"/>
          <w:szCs w:val="21"/>
          <w:highlight w:val="none"/>
        </w:rPr>
      </w:pPr>
      <w:bookmarkStart w:id="36" w:name="_Toc146525431"/>
      <w:r>
        <w:rPr>
          <w:rFonts w:hint="eastAsia" w:ascii="宋体" w:hAnsi="宋体" w:eastAsia="宋体" w:cs="宋体"/>
          <w:color w:val="auto"/>
          <w:highlight w:val="none"/>
        </w:rPr>
        <w:t>第三章　采购需求</w:t>
      </w:r>
    </w:p>
    <w:p>
      <w:pPr>
        <w:adjustRightInd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Ⅰ.说明：</w:t>
      </w:r>
    </w:p>
    <w:p>
      <w:pPr>
        <w:adjustRightInd w:val="0"/>
        <w:spacing w:line="35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一、本项目所要执行的政府采购政策：</w:t>
      </w:r>
    </w:p>
    <w:p>
      <w:pPr>
        <w:spacing w:line="3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（一）根据《政府采购促进中小企业发展管理办法》（财库</w:t>
      </w:r>
      <w:r>
        <w:rPr>
          <w:rFonts w:hint="eastAsia" w:ascii="宋体" w:hAnsi="宋体" w:eastAsia="宋体" w:cs="宋体"/>
          <w:color w:val="auto"/>
          <w:sz w:val="21"/>
          <w:szCs w:val="21"/>
          <w:highlight w:val="none"/>
          <w:lang w:eastAsia="zh-CN"/>
        </w:rPr>
        <w:t>〔2020〕46号</w:t>
      </w:r>
      <w:r>
        <w:rPr>
          <w:rFonts w:hint="eastAsia" w:ascii="宋体" w:hAnsi="宋体" w:eastAsia="宋体" w:cs="宋体"/>
          <w:color w:val="auto"/>
          <w:sz w:val="21"/>
          <w:szCs w:val="21"/>
          <w:highlight w:val="none"/>
        </w:rPr>
        <w:t>）、《广西壮族自治区财政厅关于进一步发挥政府采购政策功能促进企业发展的通知》（桂财采〔2022〕30号）的规定，投标人提供的货物全部由符合政策要求的小型、微型企业制造，投标文件中提供符合要求的《中小企业声明函》的，投标人的投标报价给予20%的扣除。本项目非专门面向中小企业采购。</w:t>
      </w:r>
    </w:p>
    <w:p>
      <w:pPr>
        <w:spacing w:line="3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（二）根据财政部、司法部关于政府采购支持监狱企业发展有关问题的通知（财库</w:t>
      </w:r>
      <w:r>
        <w:rPr>
          <w:rFonts w:hint="eastAsia" w:ascii="宋体" w:hAnsi="宋体" w:eastAsia="宋体" w:cs="宋体"/>
          <w:color w:val="auto"/>
          <w:sz w:val="21"/>
          <w:szCs w:val="21"/>
          <w:highlight w:val="none"/>
          <w:lang w:eastAsia="zh-CN"/>
        </w:rPr>
        <w:t>〔2014〕68号</w:t>
      </w:r>
      <w:r>
        <w:rPr>
          <w:rFonts w:hint="eastAsia" w:ascii="宋体" w:hAnsi="宋体" w:eastAsia="宋体" w:cs="宋体"/>
          <w:color w:val="auto"/>
          <w:sz w:val="21"/>
          <w:szCs w:val="21"/>
          <w:highlight w:val="none"/>
        </w:rPr>
        <w:t>），监狱企业视同小型、微型企业，</w:t>
      </w:r>
      <w:r>
        <w:rPr>
          <w:rFonts w:hint="eastAsia" w:ascii="宋体" w:hAnsi="宋体" w:eastAsia="宋体" w:cs="宋体"/>
          <w:bCs/>
          <w:color w:val="auto"/>
          <w:sz w:val="21"/>
          <w:szCs w:val="21"/>
          <w:highlight w:val="none"/>
        </w:rPr>
        <w:t>享受预留份额、评审中价格扣除等政府采购政策。</w:t>
      </w:r>
      <w:r>
        <w:rPr>
          <w:rFonts w:hint="eastAsia" w:ascii="宋体" w:hAnsi="宋体" w:eastAsia="宋体" w:cs="宋体"/>
          <w:color w:val="auto"/>
          <w:sz w:val="21"/>
          <w:szCs w:val="21"/>
          <w:highlight w:val="none"/>
        </w:rPr>
        <w:t>监狱企业</w:t>
      </w:r>
      <w:r>
        <w:rPr>
          <w:rFonts w:hint="eastAsia" w:ascii="宋体" w:hAnsi="宋体" w:eastAsia="宋体" w:cs="宋体"/>
          <w:bCs/>
          <w:color w:val="auto"/>
          <w:sz w:val="21"/>
          <w:szCs w:val="21"/>
          <w:highlight w:val="none"/>
        </w:rPr>
        <w:t>属于小型、微型企业的，不重复享受政策。</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（三）按照</w:t>
      </w:r>
      <w:r>
        <w:rPr>
          <w:rFonts w:hint="eastAsia" w:ascii="宋体" w:hAnsi="宋体" w:eastAsia="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5"/>
        <w:spacing w:line="350" w:lineRule="exact"/>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 xml:space="preserve">    （四）根据财库〔2019〕9号及财库〔2019〕19号文件规定，台式计算机，便携式计算机、平板式微型计算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bookmarkStart w:id="37" w:name="OLE_LINK8"/>
      <w:r>
        <w:rPr>
          <w:rFonts w:hint="eastAsia" w:ascii="宋体" w:hAnsi="宋体" w:eastAsia="宋体" w:cs="宋体"/>
          <w:b/>
          <w:bCs/>
          <w:color w:val="auto"/>
          <w:sz w:val="21"/>
          <w:szCs w:val="21"/>
          <w:highlight w:val="none"/>
        </w:rPr>
        <w:t>★</w:t>
      </w:r>
      <w:bookmarkEnd w:id="37"/>
      <w:r>
        <w:rPr>
          <w:rFonts w:hint="eastAsia" w:ascii="宋体" w:hAnsi="宋体" w:eastAsia="宋体" w:cs="宋体"/>
          <w:b/>
          <w:bCs/>
          <w:color w:val="auto"/>
          <w:sz w:val="21"/>
          <w:szCs w:val="21"/>
          <w:highlight w:val="none"/>
        </w:rPr>
        <w:t>”的品目，属于政府强制采购节能产品。</w:t>
      </w:r>
    </w:p>
    <w:p>
      <w:pPr>
        <w:adjustRightInd w:val="0"/>
        <w:spacing w:line="350" w:lineRule="exact"/>
        <w:ind w:firstLine="43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（五）优先采购环境标志产品、节能产品。</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三、投标人必须自行为其投标产品侵犯他人的知识产权或者专利成果或其他合法权益的行为承担相应法律责任。</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、“实质性要求”是指招标文件中已经指明不满足则投标无效的条款，或者不能负偏离的条款，或者采购需求中标注“▲”号的条款。</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五</w:t>
      </w:r>
      <w:r>
        <w:rPr>
          <w:rFonts w:hint="eastAsia" w:ascii="宋体" w:hAnsi="宋体" w:eastAsia="宋体" w:cs="宋体"/>
          <w:bCs/>
          <w:color w:val="auto"/>
          <w:sz w:val="21"/>
          <w:szCs w:val="21"/>
          <w:highlight w:val="none"/>
        </w:rPr>
        <w:t>、本项目中小企业划分标准所属行业名称：</w:t>
      </w:r>
      <w:r>
        <w:rPr>
          <w:rFonts w:hint="eastAsia" w:ascii="宋体" w:hAnsi="宋体" w:eastAsia="宋体" w:cs="宋体"/>
          <w:bCs/>
          <w:color w:val="auto"/>
          <w:sz w:val="21"/>
          <w:szCs w:val="21"/>
          <w:highlight w:val="none"/>
          <w:lang w:val="en-US" w:eastAsia="zh-CN"/>
        </w:rPr>
        <w:t>工业</w:t>
      </w:r>
      <w:r>
        <w:rPr>
          <w:rFonts w:hint="eastAsia" w:ascii="宋体" w:hAnsi="宋体" w:eastAsia="宋体" w:cs="宋体"/>
          <w:bCs/>
          <w:color w:val="auto"/>
          <w:sz w:val="21"/>
          <w:szCs w:val="21"/>
          <w:highlight w:val="none"/>
        </w:rPr>
        <w:t>。</w:t>
      </w:r>
    </w:p>
    <w:p>
      <w:pPr>
        <w:spacing w:line="35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rPr>
        <w:t>、本项目货物不接受进口产品（即通过中国海关报关验放进入中国境内且产自关境外的产品）参与投标，如有进口产品参与投标的按无效投标处理。</w:t>
      </w:r>
    </w:p>
    <w:p>
      <w:pPr>
        <w:pStyle w:val="2"/>
        <w:rPr>
          <w:rFonts w:hint="eastAsia" w:ascii="宋体" w:hAnsi="宋体" w:eastAsia="宋体" w:cs="宋体"/>
          <w:color w:val="auto"/>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pStyle w:val="6"/>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Ⅱ.</w:t>
      </w:r>
      <w:r>
        <w:rPr>
          <w:rFonts w:hint="eastAsia" w:ascii="宋体" w:hAnsi="宋体" w:eastAsia="宋体" w:cs="宋体"/>
          <w:b/>
          <w:bCs/>
          <w:color w:val="auto"/>
          <w:sz w:val="21"/>
          <w:szCs w:val="21"/>
          <w:highlight w:val="none"/>
        </w:rPr>
        <w:t>采购需求</w:t>
      </w:r>
    </w:p>
    <w:tbl>
      <w:tblPr>
        <w:tblStyle w:val="12"/>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201"/>
        <w:gridCol w:w="200"/>
        <w:gridCol w:w="751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8" w:type="dxa"/>
            <w:gridSpan w:val="5"/>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bookmarkStart w:id="38" w:name="_Toc96502252"/>
            <w:bookmarkStart w:id="39" w:name="OLE_LINK66"/>
            <w:r>
              <w:rPr>
                <w:rFonts w:hint="eastAsia" w:ascii="宋体" w:hAnsi="宋体" w:eastAsia="宋体" w:cs="宋体"/>
                <w:color w:val="auto"/>
                <w:sz w:val="21"/>
                <w:szCs w:val="21"/>
                <w:highlight w:val="none"/>
              </w:rPr>
              <w:t>一、技术</w:t>
            </w:r>
            <w:bookmarkEnd w:id="38"/>
            <w:r>
              <w:rPr>
                <w:rFonts w:hint="eastAsia" w:ascii="宋体" w:hAnsi="宋体" w:eastAsia="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401"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bookmarkStart w:id="40" w:name="_Toc96502254"/>
            <w:r>
              <w:rPr>
                <w:rFonts w:hint="eastAsia" w:ascii="宋体" w:hAnsi="宋体" w:eastAsia="宋体" w:cs="宋体"/>
                <w:color w:val="auto"/>
                <w:sz w:val="21"/>
                <w:szCs w:val="21"/>
                <w:highlight w:val="none"/>
              </w:rPr>
              <w:t>标的</w:t>
            </w:r>
            <w:bookmarkEnd w:id="40"/>
            <w:r>
              <w:rPr>
                <w:rFonts w:hint="eastAsia" w:ascii="宋体" w:hAnsi="宋体" w:eastAsia="宋体" w:cs="宋体"/>
                <w:color w:val="auto"/>
                <w:sz w:val="21"/>
                <w:szCs w:val="21"/>
                <w:highlight w:val="none"/>
              </w:rPr>
              <w:t>名称</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技术参数及其性能（配置）要求</w:t>
            </w:r>
          </w:p>
        </w:tc>
        <w:tc>
          <w:tcPr>
            <w:tcW w:w="1075"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bookmarkStart w:id="41" w:name="_Hlk112295633"/>
            <w:r>
              <w:rPr>
                <w:rFonts w:hint="eastAsia" w:ascii="宋体" w:hAnsi="宋体" w:eastAsia="宋体" w:cs="宋体"/>
                <w:bCs/>
                <w:color w:val="auto"/>
                <w:sz w:val="21"/>
                <w:szCs w:val="21"/>
                <w:highlight w:val="none"/>
              </w:rPr>
              <w:t>1</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便携式油气回收三项检测仪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一、主要用途</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加油站油气回收系统的密闭性、液阻和气液比等参数的检测。以及加油站油气回收在线监测系统的气液比、系统压力指标的比对；也可用于现有加油站的汽油油气排放管理，以及新、改、扩建加油站项目的环境影响评价、设计、竣工验收及其建成后的油气排放管理。</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二、性能参数要求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1.设备性能满足《油品运输大气污染物排放标准》 （GB 20951-2020）、《加油站大气污染物排放标准》（GB 20952-2020）的技术要求；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2.一台主机及操作软件即可完成加油站密闭性、液阻和气液比三项检测，也可用于汽油运输罐车油气回收系统密闭性检测；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3.设备须通过国家防爆产品质量监督检验中心认证，防爆等级必须为Ex ib ⅡB T4 Gb</w:t>
            </w:r>
            <w:r>
              <w:rPr>
                <w:rFonts w:hint="eastAsia" w:ascii="宋体" w:hAnsi="宋体" w:eastAsia="宋体" w:cs="宋体"/>
                <w:color w:val="auto"/>
                <w:sz w:val="21"/>
                <w:szCs w:val="21"/>
                <w:highlight w:val="none"/>
                <w:lang w:eastAsia="zh-CN"/>
              </w:rPr>
              <w:t>（提供有效的防爆等级证明材料扫描件）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4.内置压力发生器，可直接进行适配器和仪器自身密闭性检测，实时测量环境温湿度、大气压等气象参数；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5.配置至少64G内存防爆手操器，可直接生成检测报告和检测记录，支持查询、导出和打印；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6.加油枪适配器可适用于市面上主流的各种加油枪；</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Hans"/>
              </w:rPr>
              <w:t>软件升级支持联网升级及U盘升级</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Hans"/>
              </w:rPr>
              <w:t>具备防护等级</w:t>
            </w:r>
            <w:r>
              <w:rPr>
                <w:rFonts w:hint="eastAsia" w:ascii="宋体" w:hAnsi="宋体" w:eastAsia="宋体" w:cs="宋体"/>
                <w:color w:val="auto"/>
                <w:sz w:val="21"/>
                <w:szCs w:val="21"/>
                <w:highlight w:val="none"/>
              </w:rPr>
              <w:t>不低于</w:t>
            </w:r>
            <w:r>
              <w:rPr>
                <w:rFonts w:hint="eastAsia" w:ascii="宋体" w:hAnsi="宋体" w:eastAsia="宋体" w:cs="宋体"/>
                <w:color w:val="auto"/>
                <w:sz w:val="21"/>
                <w:szCs w:val="21"/>
                <w:highlight w:val="none"/>
                <w:lang w:eastAsia="zh-Hans"/>
              </w:rPr>
              <w:t>IP66</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内置锂电</w:t>
            </w:r>
            <w:r>
              <w:rPr>
                <w:rFonts w:hint="eastAsia" w:ascii="宋体" w:hAnsi="宋体" w:cs="宋体"/>
                <w:color w:val="auto"/>
                <w:sz w:val="21"/>
                <w:szCs w:val="21"/>
                <w:highlight w:val="none"/>
                <w:lang w:val="en-US" w:eastAsia="zh-CN"/>
              </w:rPr>
              <w:t>容量≥</w:t>
            </w:r>
            <w:r>
              <w:rPr>
                <w:rFonts w:hint="eastAsia" w:ascii="宋体" w:hAnsi="宋体" w:eastAsia="宋体" w:cs="宋体"/>
                <w:color w:val="auto"/>
                <w:sz w:val="21"/>
                <w:szCs w:val="21"/>
                <w:highlight w:val="none"/>
                <w:lang w:val="en-US" w:eastAsia="zh-CN"/>
              </w:rPr>
              <w:t>13600mAh；</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可存储至少200个加油站的检测数据，检测数据可以长期保存、重复打印</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11.设备主机需可通过北斗卫星进行检测地点自动定位，可显示地理坐标信息及地图上所在位置，可通过移动网络将所有测量数据传输至远程监控平台（</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Hans"/>
              </w:rPr>
              <w:t>压力测量范围：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Hans"/>
              </w:rPr>
              <w:t>000～</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Hans"/>
              </w:rPr>
              <w:t>000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Pa，分辨率：1Pa，准确度：≤±0.2%FS；</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Hans"/>
              </w:rPr>
              <w:t>流量测量范围：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0～1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Hans"/>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L/min，分辨率：0.1L/min，准确度：≤±1.5%（提供具有CMA或者CNAS资质的第三方检测机构出具的检测报告复印件）；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14.功耗 ≤3.0W，</w:t>
            </w:r>
            <w:r>
              <w:rPr>
                <w:rFonts w:hint="eastAsia" w:ascii="宋体" w:hAnsi="宋体" w:cs="宋体"/>
                <w:color w:val="auto"/>
                <w:sz w:val="21"/>
                <w:szCs w:val="21"/>
                <w:highlight w:val="none"/>
                <w:lang w:val="en-US" w:eastAsia="zh-CN"/>
              </w:rPr>
              <w:t>设备连续</w:t>
            </w:r>
            <w:r>
              <w:rPr>
                <w:rFonts w:hint="eastAsia" w:ascii="宋体" w:hAnsi="宋体" w:eastAsia="宋体" w:cs="宋体"/>
                <w:color w:val="auto"/>
                <w:sz w:val="21"/>
                <w:szCs w:val="21"/>
                <w:highlight w:val="none"/>
              </w:rPr>
              <w:t>工作时间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8小时，待机时间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10 小时，</w:t>
            </w:r>
            <w:r>
              <w:rPr>
                <w:rFonts w:hint="eastAsia" w:ascii="宋体" w:hAnsi="宋体" w:cs="宋体"/>
                <w:color w:val="auto"/>
                <w:sz w:val="21"/>
                <w:szCs w:val="21"/>
                <w:highlight w:val="none"/>
                <w:lang w:val="en-US" w:eastAsia="zh-CN"/>
              </w:rPr>
              <w:t>电池</w:t>
            </w:r>
            <w:r>
              <w:rPr>
                <w:rFonts w:hint="eastAsia" w:ascii="宋体" w:hAnsi="宋体" w:eastAsia="宋体" w:cs="宋体"/>
                <w:color w:val="auto"/>
                <w:sz w:val="21"/>
                <w:szCs w:val="21"/>
                <w:highlight w:val="none"/>
              </w:rPr>
              <w:t>充电时间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 小时。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15.配置</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9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主机1台（含防爆手操器）、主机接地线1根、油桶和氮气瓶接地线1套、油桶组件一套升降小车组件1套、便携式热敏打印机1台、可拆卸式北斗定位器1套。</w:t>
            </w:r>
          </w:p>
          <w:p>
            <w:pPr>
              <w:pStyle w:val="2"/>
              <w:rPr>
                <w:rFonts w:hint="default"/>
                <w:color w:val="auto"/>
                <w:highlight w:val="none"/>
                <w:lang w:val="en-US"/>
              </w:rPr>
            </w:pPr>
            <w:r>
              <w:rPr>
                <w:rFonts w:hint="eastAsia" w:ascii="宋体" w:hAnsi="宋体" w:eastAsia="宋体" w:cs="宋体"/>
                <w:color w:val="auto"/>
                <w:highlight w:val="none"/>
                <w:lang w:eastAsia="zh-Hans"/>
              </w:rPr>
              <w:t>▲</w:t>
            </w:r>
            <w:r>
              <w:rPr>
                <w:rFonts w:hint="eastAsia" w:ascii="宋体" w:hAnsi="宋体" w:eastAsia="宋体" w:cs="宋体"/>
                <w:b w:val="0"/>
                <w:bCs w:val="0"/>
                <w:caps w:val="0"/>
                <w:color w:val="auto"/>
                <w:kern w:val="2"/>
                <w:sz w:val="21"/>
                <w:szCs w:val="21"/>
                <w:highlight w:val="none"/>
                <w:lang w:val="en-US" w:eastAsia="zh-Hans" w:bidi="ar-SA"/>
              </w:rPr>
              <w:t>16.</w:t>
            </w:r>
            <w:r>
              <w:rPr>
                <w:rFonts w:hint="eastAsia" w:cs="宋体"/>
                <w:b w:val="0"/>
                <w:bCs w:val="0"/>
                <w:caps w:val="0"/>
                <w:color w:val="auto"/>
                <w:kern w:val="2"/>
                <w:sz w:val="21"/>
                <w:szCs w:val="21"/>
                <w:highlight w:val="none"/>
                <w:lang w:val="en-US" w:eastAsia="zh-CN" w:bidi="ar-SA"/>
              </w:rPr>
              <w:t>售后服务免费提供</w:t>
            </w:r>
            <w:r>
              <w:rPr>
                <w:rFonts w:hint="eastAsia" w:ascii="宋体" w:hAnsi="宋体" w:eastAsia="宋体" w:cs="宋体"/>
                <w:b w:val="0"/>
                <w:bCs w:val="0"/>
                <w:caps w:val="0"/>
                <w:color w:val="auto"/>
                <w:kern w:val="2"/>
                <w:sz w:val="21"/>
                <w:szCs w:val="21"/>
                <w:highlight w:val="none"/>
                <w:lang w:val="en-US" w:eastAsia="zh-Hans" w:bidi="ar-SA"/>
              </w:rPr>
              <w:t>2年</w:t>
            </w:r>
            <w:r>
              <w:rPr>
                <w:rFonts w:hint="eastAsia" w:cs="宋体"/>
                <w:b w:val="0"/>
                <w:bCs w:val="0"/>
                <w:caps w:val="0"/>
                <w:color w:val="auto"/>
                <w:kern w:val="2"/>
                <w:sz w:val="21"/>
                <w:szCs w:val="21"/>
                <w:highlight w:val="none"/>
                <w:lang w:val="en-US" w:eastAsia="zh-CN" w:bidi="ar-SA"/>
              </w:rPr>
              <w:t>设备</w:t>
            </w:r>
            <w:r>
              <w:rPr>
                <w:rFonts w:hint="eastAsia" w:ascii="宋体" w:hAnsi="宋体" w:eastAsia="宋体" w:cs="宋体"/>
                <w:b w:val="0"/>
                <w:bCs w:val="0"/>
                <w:caps w:val="0"/>
                <w:color w:val="auto"/>
                <w:kern w:val="2"/>
                <w:sz w:val="21"/>
                <w:szCs w:val="21"/>
                <w:highlight w:val="none"/>
                <w:lang w:val="en-US" w:eastAsia="zh-Hans" w:bidi="ar-SA"/>
              </w:rPr>
              <w:t>仪器计量</w:t>
            </w:r>
            <w:r>
              <w:rPr>
                <w:rFonts w:hint="eastAsia" w:cs="宋体"/>
                <w:b w:val="0"/>
                <w:bCs w:val="0"/>
                <w:caps w:val="0"/>
                <w:color w:val="auto"/>
                <w:kern w:val="2"/>
                <w:sz w:val="21"/>
                <w:szCs w:val="21"/>
                <w:highlight w:val="none"/>
                <w:lang w:val="en-US" w:eastAsia="zh-CN" w:bidi="ar-SA"/>
              </w:rPr>
              <w:t>校准检定服务。</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 套</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车用清净剂检定仪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、一机两用，具备</w:t>
            </w:r>
            <w:r>
              <w:rPr>
                <w:rFonts w:hint="eastAsia" w:ascii="宋体" w:hAnsi="宋体" w:eastAsia="宋体" w:cs="宋体"/>
                <w:color w:val="auto"/>
                <w:sz w:val="21"/>
                <w:szCs w:val="21"/>
                <w:highlight w:val="none"/>
              </w:rPr>
              <w:t>检测汽油辛烷值和柴油十六烷值。检测快速、准确操作简单，大屏幕中文显示，具有EL背光灯支持，方便在光线昏暗环境中使用，主机面板中文菜单式操作。具有高强度，高抗冲击，绝对密封防水，防潮，防尘，内附方格海绵。可预先设置模式上、下限，超出范围自动显示，方便用户检测需要。具有自动关机节能功能，低功耗设计。</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二、测量项目：车用汽油和车用柴油 </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.操作范围：温度-10℃~+40℃，相对湿度30%～81%R.H., 大气压力64~106kPa。</w:t>
            </w:r>
          </w:p>
          <w:p>
            <w:pPr>
              <w:pStyle w:val="2"/>
              <w:keepNext w:val="0"/>
              <w:keepLines w:val="0"/>
              <w:pageBreakBefore w:val="0"/>
              <w:kinsoku/>
              <w:wordWrap/>
              <w:overflowPunct/>
              <w:topLinePunct w:val="0"/>
              <w:autoSpaceDN/>
              <w:bidi w:val="0"/>
              <w:adjustRightInd/>
              <w:snapToGrid/>
              <w:spacing w:before="0" w:after="0" w:line="390" w:lineRule="exact"/>
              <w:ind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.辛烷值的测量范围（ON）以ON为计量单位（可根据客户需求自行调节）40-120；</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.辛烷值仪的允许测量误差，每单位（最大值）±0.5（同台式标准法相比）；</w:t>
            </w:r>
          </w:p>
          <w:p>
            <w:pPr>
              <w:pStyle w:val="2"/>
              <w:keepNext w:val="0"/>
              <w:keepLines w:val="0"/>
              <w:pageBreakBefore w:val="0"/>
              <w:kinsoku/>
              <w:wordWrap/>
              <w:overflowPunct/>
              <w:topLinePunct w:val="0"/>
              <w:autoSpaceDN/>
              <w:bidi w:val="0"/>
              <w:adjustRightInd/>
              <w:snapToGrid/>
              <w:spacing w:before="0" w:after="0" w:line="390" w:lineRule="exact"/>
              <w:ind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.辛烷值仪测量结果的可浮动范围，每单位（最大值）±0.2；</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.十六烷值的测量范围（CN），以CN为计量单位（可根据客户需求自行调节）20-100；</w:t>
            </w:r>
          </w:p>
          <w:p>
            <w:pPr>
              <w:pStyle w:val="2"/>
              <w:keepNext w:val="0"/>
              <w:keepLines w:val="0"/>
              <w:pageBreakBefore w:val="0"/>
              <w:kinsoku/>
              <w:wordWrap/>
              <w:overflowPunct/>
              <w:topLinePunct w:val="0"/>
              <w:autoSpaceDN/>
              <w:bidi w:val="0"/>
              <w:adjustRightInd/>
              <w:snapToGrid/>
              <w:spacing w:before="0" w:after="0" w:line="390" w:lineRule="exact"/>
              <w:ind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.十六烷值仪的允许测量误差，CN单位（最大值）±1（同台式标准法相比）；</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.十六烷值仪测量结果的可浮动范围， CN单位（最大值）±0.5；</w:t>
            </w:r>
          </w:p>
          <w:p>
            <w:pPr>
              <w:keepNext w:val="0"/>
              <w:keepLines w:val="0"/>
              <w:pageBreakBefore w:val="0"/>
              <w:kinsoku/>
              <w:wordWrap/>
              <w:overflowPunct/>
              <w:topLinePunct w:val="0"/>
              <w:autoSpaceDN/>
              <w:bidi w:val="0"/>
              <w:adjustRightInd/>
              <w:snapToGrid/>
              <w:spacing w:line="39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.测量时间（秒）&lt;20。</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cs="宋体"/>
                <w:color w:val="auto"/>
                <w:sz w:val="21"/>
                <w:szCs w:val="21"/>
                <w:highlight w:val="none"/>
                <w:lang w:val="en-US" w:eastAsia="zh-CN"/>
              </w:rPr>
              <w:t>手持式</w:t>
            </w:r>
            <w:r>
              <w:rPr>
                <w:rFonts w:hint="eastAsia" w:ascii="宋体" w:hAnsi="宋体" w:eastAsia="宋体" w:cs="宋体"/>
                <w:color w:val="auto"/>
                <w:sz w:val="21"/>
                <w:szCs w:val="21"/>
                <w:highlight w:val="none"/>
              </w:rPr>
              <w:t>VOCS 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一、设备用途</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用于锅炉烟气排放、汽车尾气排放、工艺废气排放、石化企业管道排放泄漏检测和执法督查、加油站和油气回收现 场排查、无组织排放现场应急检测、VOCs排放溯源排查、VOCs治理设施的效果检测等。便于执法人员快速分析检测现场。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二、性能参数要求</w:t>
            </w:r>
          </w:p>
          <w:p>
            <w:pPr>
              <w:keepNext w:val="0"/>
              <w:keepLines w:val="0"/>
              <w:pageBreakBefore w:val="0"/>
              <w:kinsoku/>
              <w:wordWrap/>
              <w:overflowPunct/>
              <w:topLinePunct w:val="0"/>
              <w:autoSpaceDN/>
              <w:bidi w:val="0"/>
              <w:adjustRightInd/>
              <w:snapToGrid/>
              <w:spacing w:line="39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Hans"/>
              </w:rPr>
              <w:t>检测原理：FID（氢火焰离子化检测器）及PID（光离子化气体检测器）双检测器，</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lang w:eastAsia="zh-Hans"/>
              </w:rPr>
              <w:t>支持加装氧气、一氧化碳和二氧化碳传感器，实现多参数检测（提供具有CMA或者CNAS资质的第三方检测机构出具的检测报告复印件）；</w:t>
            </w:r>
          </w:p>
          <w:p>
            <w:pPr>
              <w:keepNext w:val="0"/>
              <w:keepLines w:val="0"/>
              <w:pageBreakBefore w:val="0"/>
              <w:kinsoku/>
              <w:wordWrap/>
              <w:overflowPunct/>
              <w:topLinePunct w:val="0"/>
              <w:autoSpaceDN/>
              <w:bidi w:val="0"/>
              <w:adjustRightInd/>
              <w:snapToGrid/>
              <w:spacing w:line="39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Hans"/>
              </w:rPr>
              <w:t>最低检出限：FID 检出限≤0.3μmol/mol甲烷，PID检出限≤0.3μmol/mol异丁烯</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firstLine="420" w:firstLineChars="20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Hans"/>
              </w:rPr>
              <w:t>采样探头过滤器：可过滤颗粒物的尺寸＜2μm；</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lang w:eastAsia="zh-Hans"/>
              </w:rPr>
            </w:pPr>
            <w:r>
              <w:rPr>
                <w:rFonts w:hint="eastAsia"/>
                <w:color w:val="auto"/>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可</w:t>
            </w:r>
            <w:r>
              <w:rPr>
                <w:rFonts w:hint="eastAsia" w:ascii="宋体" w:hAnsi="宋体" w:eastAsia="宋体" w:cs="宋体"/>
                <w:color w:val="auto"/>
                <w:sz w:val="21"/>
                <w:szCs w:val="21"/>
                <w:highlight w:val="none"/>
                <w:lang w:eastAsia="zh-Hans"/>
              </w:rPr>
              <w:t>配置手操器通过</w:t>
            </w:r>
            <w:r>
              <w:rPr>
                <w:rFonts w:hint="eastAsia" w:ascii="宋体" w:hAnsi="宋体" w:eastAsia="宋体" w:cs="宋体"/>
                <w:color w:val="auto"/>
                <w:sz w:val="21"/>
                <w:szCs w:val="21"/>
                <w:highlight w:val="none"/>
              </w:rPr>
              <w:t>Wi-Fi</w:t>
            </w:r>
            <w:r>
              <w:rPr>
                <w:rFonts w:hint="eastAsia" w:ascii="宋体" w:hAnsi="宋体" w:eastAsia="宋体" w:cs="宋体"/>
                <w:color w:val="auto"/>
                <w:sz w:val="21"/>
                <w:szCs w:val="21"/>
                <w:highlight w:val="none"/>
                <w:lang w:eastAsia="zh-Hans"/>
              </w:rPr>
              <w:t>连接主机，方便、快捷、可靠，内置LDARAPP管理平台软件，可实现拍照建档（群组与密封点），上传档案，连接主机，从平台获取检测任务，执行检测任务，查看及上传检测数据等功能；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lang w:eastAsia="zh-Hans"/>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准确度：FID：±1%或±1.0ppm，此准确度为使用甲烷在（100～500）ppm（包括漂移）校准时，在（3000～50000）ppm量程用20000ppm甲烷做单点校准读数误差±1%。PID：±1%或±0.05ppm，此准确度为使用异丁烯在1000ppm（包括漂移）校准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lang w:eastAsia="zh-Hans"/>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动态范围：FID：（1～50000）ppm甲烷，PID：（0.5～2000）ppm异丁烯；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lang w:eastAsia="zh-Hans"/>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线性范围：FID：（1～50000）ppm甲烷，PID：（0.5～2000）ppm异丁烯；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lang w:eastAsia="zh-Hans"/>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探头采样响应时间：FID:10000ppm甲烷，＜3.5s,T90，PID:500ppm异丁烯，＜3.5s,T90；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采样速度：样品探头入口处≥0.</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Hans"/>
              </w:rPr>
              <w:t>L/min；</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.连续工作时间：</w:t>
            </w:r>
            <w:r>
              <w:rPr>
                <w:rFonts w:hint="eastAsia" w:ascii="宋体" w:hAnsi="宋体" w:cs="宋体"/>
                <w:color w:val="auto"/>
                <w:highlight w:val="none"/>
              </w:rPr>
              <w:t>≥6小时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.支持北斗授时及定位，自动存储定位信息，自动生成主要功能操作和测量参数标定的日志记录，方便检查仪器的操作流程；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正常维护清洁情况下使用寿命：FID：＞</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Hans"/>
              </w:rPr>
              <w:t>000小时，PID：＞2500小时；</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left"/>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数据存储：SD卡；存储：</w:t>
            </w:r>
            <w:r>
              <w:rPr>
                <w:rFonts w:hint="eastAsia" w:ascii="宋体" w:hAnsi="宋体" w:eastAsia="宋体" w:cs="宋体"/>
                <w:color w:val="auto"/>
                <w:sz w:val="21"/>
                <w:szCs w:val="21"/>
                <w:highlight w:val="none"/>
                <w:lang w:val="en-US" w:eastAsia="zh-Hans"/>
              </w:rPr>
              <w:t>≥64GB</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.防爆等级：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主机：ExdiaIICT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Hans"/>
              </w:rPr>
              <w:t>Gb</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.设备配置：</w:t>
            </w:r>
          </w:p>
          <w:p>
            <w:pPr>
              <w:keepNext w:val="0"/>
              <w:keepLines w:val="0"/>
              <w:pageBreakBefore w:val="0"/>
              <w:kinsoku/>
              <w:wordWrap/>
              <w:overflowPunct/>
              <w:topLinePunct w:val="0"/>
              <w:autoSpaceDN/>
              <w:bidi w:val="0"/>
              <w:adjustRightInd/>
              <w:snapToGrid/>
              <w:spacing w:line="39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color w:val="auto"/>
                <w:highlight w:val="none"/>
              </w:rPr>
              <w:t>主机1台，氢气发生器1套，电池和电源适配器1套及配套设施等</w:t>
            </w:r>
            <w:r>
              <w:rPr>
                <w:rFonts w:hint="eastAsia" w:eastAsiaTheme="minorEastAsia"/>
                <w:color w:val="auto"/>
                <w:highlight w:val="none"/>
                <w:lang w:eastAsia="zh-CN"/>
              </w:rPr>
              <w:t>。</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便携式车用尿素检测仪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一、设备功能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1.可快速测量车用尿素的浓度和折光率，具有自动温度补偿功能；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2.液晶显示屏显示检测结果等信息；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3.仪器可方便携带，适用于野外户外使用；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4.支持检测报告打印功能；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二、性能参数要求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1.检测范围：尿素含量 0 ～ 51.0%；折光率 1.3330 ～1.4200nD；</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2.测量精度：尿素含量 0.1%；折光率 0.0001nD；</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3.准确度：尿素含量±0.2%；折光率±0.0004nD；</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4.测量时间：不高于 2 秒；</w:t>
            </w:r>
          </w:p>
          <w:p>
            <w:pPr>
              <w:keepNext w:val="0"/>
              <w:keepLines w:val="0"/>
              <w:pageBreakBefore w:val="0"/>
              <w:kinsoku/>
              <w:wordWrap/>
              <w:overflowPunct/>
              <w:topLinePunct w:val="0"/>
              <w:autoSpaceDN/>
              <w:bidi w:val="0"/>
              <w:adjustRightInd/>
              <w:snapToGrid/>
              <w:spacing w:line="39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5.仪器净重：≤1kg（包含电池），方便野外工作。</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5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OBD 诊断仪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一、基本功能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1.车辆及 OBD 信息检查、故障代码获取、就绪状态描述、OBD 系统的实际监测频率（IUPR）相关数据记录、实时数据流读取及打印等功能。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2.可连续获取、转换及显示车辆排放相关的数据和故障代码，按照标准规定的格式读取并自动传输。避免误读、漏读、更改及清除故障代码及相关信息等篡改检验结果行为。 </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3.支持且不限于读取符合以下通信协议的车辆 OBD 信息：ISO 9141、ISO 13400、ISO 14229、ISO 14230、ISO 15031、ISO 15765、ISO 27145、SAE J1850、SAE J1939、SAE J1979 等。 </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4.满足基于ISO 9141 通讯协议支持五波特率初始化的要求、基于ISO 14230 通讯协议需同时支持五波特率初始化和快速初始化的要求。基于 CAN（ISO 15765 / SAE J1939 / ISO 27145）通讯和 K 线（ISO 14230）通讯的波特率（250 kbps 或 500 kbps）进行自动检测和匹配的要求；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5.满足GB 18285-2018《 汽油车污染物排放限值及测量方法（双怠速法及简易工况法）》、GB 3847-2018《柴油车污染物排放限值及测量方法（自由加速法及加载减速法）》、HJ 1237-2021《 机动车排放定期检验规范》等法规的检测要求；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6.满足HJ437-2008, GB17691-2018中对车载OBD系统技术规范要求的检查功能。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二、工作条件：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工作环境温度：0～50℃；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工作环境湿度：5%～85℃；</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三、性能参数：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1.支持深度稽查和快速稽查功能，设备接入车辆后自动进入系统且在60秒内生成初步筛查报告单，对深度车辆可以进行深度稽查，提供更高效且专业的执法流程；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2.依据车载OBD系统技术规范法规对目标车辆进行全系统检查，上传数据到环保监管平台，以及通过环保平台查询目标车CAL ID和CVN信息，智能判断车辆是否存在加装作弊器，或刷写ECU，篡改车载OBD系统等行为；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3.提供动态稽查功能，精准判断车辆是否加装氮氧传感器，尿素喷射传感器等车载传感器模拟装置；</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4.当稽查到目标车辆排放数据不合理时，能有效区分车辆自身不规范和车主加装作弊器，减少执法误判和纠纷；</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5.稽查功能涵盖，重型柴油车，重型天然气以及重型汽油车等商用车；</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6.稽查软件应支持在线升级，自动生成报告，本地存储分享打印报告等更多服务功能。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7.配置要求：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 ）内存 RAM≥2GB；</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（2）存储≥32GB；</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）显示屏：配备不小于 7寸高强度显示屏，分辨率不低于 1280*800，滤蓝光防眩光，户外强光下可视；</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（4）触摸方式：电容式，支持多点触摸；</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）防水等级：IP67；</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（6）电池：常温下续航时间 7 小时以上；</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（7）重量：≤1kg，方便野外工作。</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（8）OBD检测盒</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接口要求：DB15+USB串口；设计规格：一体式塑料外壳，硅胶防护套；</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通讯协议：ISO 9141、ISO 13400、 ISO 14229、ISO 14230、ISO 15031、ISO 15765、ISO 27145、SAE J1850、SAE J1939、SAE J1979 等；链接要求：独立检测盒外接DB15转OBD16延长线，插头故障时确保易于更换不至于损坏主机。</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3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pStyle w:val="10"/>
              <w:keepNext w:val="0"/>
              <w:keepLines w:val="0"/>
              <w:pageBreakBefore w:val="0"/>
              <w:pBdr>
                <w:bottom w:val="none" w:color="auto" w:sz="0" w:space="0"/>
              </w:pBdr>
              <w:tabs>
                <w:tab w:val="center" w:pos="0"/>
                <w:tab w:val="left" w:pos="8306"/>
                <w:tab w:val="clear" w:pos="4153"/>
              </w:tabs>
              <w:kinsoku/>
              <w:wordWrap/>
              <w:overflowPunct/>
              <w:topLinePunct w:val="0"/>
              <w:autoSpaceDN/>
              <w:bidi w:val="0"/>
              <w:adjustRightInd/>
              <w:snapToGrid/>
              <w:spacing w:line="39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便携式油品检测仪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1.设备主要功能及结构组成</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1.1主要功能：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可用于快速、定量检测普通柴油硫含量，满足环保现场执法和管理要求。（非手持式、台式仪器）。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1.2结构组成：</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包括主机，以及现场检测正常使用所必需的电源、样品盒、密封膜等全部配件，设备自身具备一定的抗振动和辐射防护设计，在使用现场不需要单独携带额外的支架或辐射防护配件。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2.主要技术参数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2.1硫含量检测范围：3 mg/kg ≤设备检测范围≤46000 mg/kg；</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2.2测量精度：样品硫含量不超过 10mg/kg时±8%， 样品硫含量超过10mg/kg时±4%；</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2.3检测速度：不超过 300s；</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2.4总重量：不超过15KG，方便野外工作。</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2.5数据显示系统：显示器：5-6英寸，采用工业级彩色触摸屏。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2.6结果记录简便性：检测结果可现场读取并打印；设备可储存、调看不少于10万条历史检测结果或设备不少于25GB内存卡；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2.7检测样品准备：用于制作样品的各类配件标准化程度高，制作样品的过程简单易操作，且样品在启动检测前无需经过复杂的前处理；</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2.8便携性：主机及所有配件（不需要携带到现场的替换配件不计入）方便携带，同时可解放双手、适合单兵作业。</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2.9核心元件寿命：正常连续使用时间≥9000小时；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2.10内部电路和箱体：连续使用时间≥12000小时；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2.11环境温度与湿度：0℃~40℃环境可正常使用，并可在-20℃~50℃环境下长时间存放。在20%～80%RH环境可正常使用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2.12操作系统简便：设备操作界面简便，满足环保执法常规需要。</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2.13电池：自带移动电源，支持连续检测样品数量≥50个，电池不插入设备可在电池上直接查看电池电量，且插入设备也可在电池上直接查看电池电量，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2.14防震功能：设备须具有防震功能。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安全性保证：设备应具有屏蔽样品舱等防护措施，具有在测试过程中样品舱的止锁功能。具有自动切断保护装置、安全联动锁装置，样品舱关闭后属于全封闭性能，操作界面有样品舱关闭提示功能，可通过软件和外部机械开关打开样品舱。</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2.16云端服务功能：设备有配套使用可同步控制的移动端APP服务，移动端APP服务具有数据累积汇总，标签信息卡片化管理；可同步录入标签信息、测试仪器，返回实时数据；设备支持手工录入数据等功能；</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红外热成像气体泄漏检测仪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一、基本要求：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挥发性有机气体（VOCs）的非接触式检测设备，以图像形式对泄漏源进行快速、准确定位，可检测气体至少包含：甲烷、乙烷、丙烷、丁烷、戊烷、环氧乙烷、溴甲烷、溴乙烷、氯甲烷、1-己烷、乙烯、丙烯、异戊二烯、异丁烯等多种常见的挥发性有机气体；</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1.探测器类型：中波制冷型高灵敏度探测器；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2.工作波段：3.2-3.5μm；分辨率320*256像素；热灵敏度≤15mk@25℃；</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3.空间分辨率：≤1mrad，支持更远距离目标观测；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4.红外镜头：焦距30mm，视场角：≤18°×14.6°；焦距100mm，视场角：≤5.5°×4.4°；</w:t>
            </w:r>
            <w:r>
              <w:rPr>
                <w:rFonts w:hint="eastAsia" w:ascii="宋体" w:hAnsi="宋体" w:eastAsia="宋体" w:cs="宋体"/>
                <w:color w:val="auto"/>
                <w:sz w:val="21"/>
                <w:szCs w:val="21"/>
                <w:highlight w:val="none"/>
                <w:lang w:val="en-US" w:eastAsia="zh-CN"/>
              </w:rPr>
              <w:t>配有标准镜头和长焦镜头两种，可快捷更换长焦镜头，长焦镜头焦距≥75mm。标准镜头测试距离不低于 500 米，长焦镜头测试距离不低于 1000 米</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5.显示屏：</w:t>
            </w:r>
            <w:r>
              <w:rPr>
                <w:rFonts w:hint="eastAsia" w:ascii="宋体" w:hAnsi="宋体" w:eastAsia="宋体" w:cs="宋体"/>
                <w:color w:val="auto"/>
                <w:sz w:val="21"/>
                <w:szCs w:val="21"/>
                <w:highlight w:val="none"/>
                <w:lang w:val="en-US" w:eastAsia="zh-CN"/>
              </w:rPr>
              <w:t>采用</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英寸</w:t>
            </w:r>
            <w:r>
              <w:rPr>
                <w:rFonts w:hint="eastAsia" w:ascii="宋体" w:hAnsi="宋体" w:eastAsia="宋体" w:cs="宋体"/>
                <w:color w:val="auto"/>
                <w:sz w:val="21"/>
                <w:szCs w:val="21"/>
                <w:highlight w:val="none"/>
              </w:rPr>
              <w:t>液晶显示屏，分辨率：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800*480；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6.可旋转手柄：可旋转180°；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7.目镜：≥800×600（OLED），可旋转；</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8.可见光摄像头：≥500万像素（CMOS，带双补光灯）；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9.图像调色板：≥12种；</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10.自动/手动调整对比度、亮度；</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Hans"/>
              </w:rPr>
              <w:t>▲</w:t>
            </w:r>
            <w:r>
              <w:rPr>
                <w:rFonts w:hint="eastAsia" w:ascii="宋体" w:hAnsi="宋体" w:eastAsia="宋体" w:cs="宋体"/>
                <w:color w:val="auto"/>
                <w:sz w:val="21"/>
                <w:szCs w:val="21"/>
                <w:highlight w:val="none"/>
              </w:rPr>
              <w:t>11.数码变焦：≥1~8倍数字变焦；</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12.图像模式：普通红外图像、高灵敏度红外图像、可见光图像；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13.测温范围：-50℃～+500℃，测温精度±2℃或±2%（0-100）℃，测温精度为±1℃；</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14.电池类型：可拆卸锂电池，电池连续稳定工作时间≥4小时，具备电池电压低报警、自动关机或自动熄屏功能（提供检测机构出具的检测报告）；</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15.启动时间：≤7 min（常温）；</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16.工作温度：-20℃-50℃；储存环境温度：-40℃-70℃；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17.仪器防护等级：≥IP66</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18.防爆等级：不低于Ex ic IIc T4 Gc</w:t>
            </w:r>
            <w:r>
              <w:rPr>
                <w:rFonts w:hint="eastAsia" w:ascii="宋体" w:hAnsi="宋体" w:eastAsia="宋体" w:cs="宋体"/>
                <w:color w:val="auto"/>
                <w:sz w:val="21"/>
                <w:szCs w:val="21"/>
                <w:highlight w:val="none"/>
                <w:lang w:eastAsia="zh-Hans"/>
              </w:rPr>
              <w:t>（提供有效的防爆等级证明材料扫描件）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19.数据传输接口需支持：Wi-Fi、USB、蓝牙、HDMI、3.5mm音频插孔；支持TF卡存储，TF卡容量不低于1TB；</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20.可选配防爆手操器，通过Wi-Fi连接红外热成像气体泄漏检测仪，进行图像远程传输和远程控制；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21.具有激光指示和激光测距功能，测距量程≥800米，可在屏幕上显示距离信息；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22.支持北斗定位，实时显示经纬度信息；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23.语音记录和回放功能：可随图像一同存储不少于60秒语音记录；</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24.可与便携式挥发性有机物检测仪（FID）实现互联互通，仪器显示屏可同步显示FID的实时监测数据（提供原厂家盖章的显示图片）。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val="en-US" w:eastAsia="zh-CN"/>
              </w:rPr>
              <w:t>整机</w:t>
            </w:r>
            <w:r>
              <w:rPr>
                <w:rFonts w:hint="eastAsia" w:ascii="宋体" w:hAnsi="宋体" w:eastAsia="宋体" w:cs="宋体"/>
                <w:color w:val="auto"/>
                <w:sz w:val="21"/>
                <w:szCs w:val="21"/>
                <w:highlight w:val="none"/>
              </w:rPr>
              <w:t>配置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主机含1TB内存卡、电池2块、电池座充1套、HDMI线缆1根、USB数据线1根、镜头清洁套装1件、三脚架1套、</w:t>
            </w:r>
            <w:r>
              <w:rPr>
                <w:rFonts w:hint="eastAsia" w:ascii="宋体" w:hAnsi="宋体" w:eastAsia="宋体" w:cs="宋体"/>
                <w:color w:val="auto"/>
                <w:sz w:val="21"/>
                <w:szCs w:val="21"/>
                <w:highlight w:val="none"/>
                <w:lang w:val="en-US" w:eastAsia="zh-CN"/>
              </w:rPr>
              <w:t>配套</w:t>
            </w:r>
            <w:r>
              <w:rPr>
                <w:rFonts w:hint="eastAsia" w:ascii="宋体" w:hAnsi="宋体" w:eastAsia="宋体" w:cs="宋体"/>
                <w:color w:val="auto"/>
                <w:sz w:val="21"/>
                <w:szCs w:val="21"/>
                <w:highlight w:val="none"/>
              </w:rPr>
              <w:t>收音</w:t>
            </w:r>
            <w:r>
              <w:rPr>
                <w:rFonts w:hint="eastAsia" w:ascii="宋体" w:hAnsi="宋体" w:eastAsia="宋体" w:cs="宋体"/>
                <w:color w:val="auto"/>
                <w:sz w:val="21"/>
                <w:szCs w:val="21"/>
                <w:highlight w:val="none"/>
                <w:lang w:val="en-US" w:eastAsia="zh-CN"/>
              </w:rPr>
              <w:t>麦克风</w:t>
            </w:r>
            <w:r>
              <w:rPr>
                <w:rFonts w:hint="eastAsia" w:ascii="宋体" w:hAnsi="宋体" w:eastAsia="宋体" w:cs="宋体"/>
                <w:color w:val="auto"/>
                <w:sz w:val="21"/>
                <w:szCs w:val="21"/>
                <w:highlight w:val="none"/>
              </w:rPr>
              <w:t>1套</w:t>
            </w:r>
            <w:r>
              <w:rPr>
                <w:rFonts w:hint="eastAsia" w:ascii="宋体" w:hAnsi="宋体" w:eastAsia="宋体" w:cs="宋体"/>
                <w:color w:val="auto"/>
                <w:sz w:val="21"/>
                <w:szCs w:val="21"/>
                <w:highlight w:val="none"/>
                <w:lang w:eastAsia="zh-CN"/>
              </w:rPr>
              <w:t>。</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bookmarkStart w:id="42" w:name="_Toc96502264"/>
            <w:r>
              <w:rPr>
                <w:rFonts w:hint="eastAsia" w:ascii="宋体" w:hAnsi="宋体" w:eastAsia="宋体" w:cs="宋体"/>
                <w:color w:val="auto"/>
                <w:sz w:val="21"/>
                <w:szCs w:val="21"/>
                <w:highlight w:val="none"/>
              </w:rPr>
              <w:t>8</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手持红外线热成像仪</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一、基本要求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1.探测器类型：非制冷焦平面探测器；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2.操作方式：具备中文操作界面，用按键或者触摸屏操作；</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具备自动、手动、电动对焦三种聚焦方式；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测温模式：单点或多点测温显示功能：具备不少于10个可移动点同时测温。手动/自动，能设置多个可移动点，能设置多个区域，在区域内能设置最高温、最低温、等温线、温差，具有声音报警和颜色报警，同时自动跟踪最高、最低温度点。具备最多20 个点测温、20 个区域测温、20 个线测温；</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5.背景温度补偿：自动，根据输入的背景温度；</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6.修正功能：输入目标距离、目标发射率、环境温度、反射温度、相对湿度后，自动计算修正大气透过率和目标表面反射率对测量结果的影响；</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7.图像存储模式：同时保存红外图像和可见光图像；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8.显示模式：在红外方式下，具有白热、黑热、伪彩色（12种伪彩色调色板可选）3种显示模式，可以手动/自动调节色标，色标可反向；</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9.图像融合功能：具备红外图像与可见光图像叠加、双波段动态融合成像功能、画中画、数据图像细节增强；数字图像增强：具备双波段动态成像功能，具备图像数字处理DDE显示技术；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10.具备通过Wi-Fi或蓝牙实时传输原始灰度数据功能；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11.专用分析软件：可进行某点温度的温度变化趋势分析；可提示用户操作或使用模板创建分析报告。可存储用户生成的报告，并可打开。可使用用户自定义的调色板伪彩显示热图；</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12.电池：内置可充电锂电池，单个电池连续稳定工作时间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4小时，可</w:t>
            </w:r>
            <w:r>
              <w:rPr>
                <w:rFonts w:hint="eastAsia" w:ascii="宋体" w:hAnsi="宋体" w:cs="宋体"/>
                <w:color w:val="auto"/>
                <w:sz w:val="21"/>
                <w:szCs w:val="21"/>
                <w:highlight w:val="none"/>
                <w:lang w:val="en-US" w:eastAsia="zh-CN"/>
              </w:rPr>
              <w:t>拆卸</w:t>
            </w:r>
            <w:r>
              <w:rPr>
                <w:rFonts w:hint="eastAsia" w:ascii="宋体" w:hAnsi="宋体" w:eastAsia="宋体" w:cs="宋体"/>
                <w:color w:val="auto"/>
                <w:sz w:val="21"/>
                <w:szCs w:val="21"/>
                <w:highlight w:val="none"/>
              </w:rPr>
              <w:t>更换。</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1.工作温度：-20℃～+50℃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2.测温范围：-40℃～+600℃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3.工作波段：7.5～14μm（</w:t>
            </w:r>
            <w:r>
              <w:rPr>
                <w:rFonts w:hint="eastAsia" w:ascii="宋体" w:hAnsi="宋体" w:eastAsia="宋体" w:cs="宋体"/>
                <w:color w:val="auto"/>
                <w:sz w:val="21"/>
                <w:szCs w:val="21"/>
                <w:highlight w:val="none"/>
                <w:lang w:eastAsia="zh-Hans"/>
              </w:rPr>
              <w:t>提供具有CMA或者CNAS资质的第三方检测机构出具的检测报告复印件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4.分辨率：≥384×288像素</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5.测温精度：±2℃ 或 ±2%</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6.视场：24°×18°（±5%）</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7.内置数码相机像素：≥500M像素</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8.数字变焦：1～10倍连续变焦</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9.整机重量 ：＜950g（含电池和标准镜头）10.热灵敏：≤30mK</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11.显示屏：4.3"TFT触摸屏</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12.辐射率校正：0.01至1.0辐射率可调，或通过预定义的物质辐射率表校正辐射率</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13.存储卡：32G 高速闪存卡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三、主要配置</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红外热像仪主机1台、锂电池2块、充电器及电源适配器1套、视频线和USB线各1根、高速TF卡及读卡器1套、蓝牙耳机1个；</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内窥镜</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一、性能要求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1.菜单语言：支持简体中文</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2.端 口：包含 USB "A"端接 口，type-c 接 口，支持 TF存储卡插槽。</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3.摄像头：支持电动 360°转向控制，不少于 200°单向弯曲角度，IP67级防水防油防尘。</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4.对焦范围：≥ 30mm</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5.软管长度：≥1米。</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6.工作温度：探头工作温度-20°～70°，主机工作温度-10°~50°。电池</w:t>
            </w:r>
            <w:r>
              <w:rPr>
                <w:rFonts w:hint="eastAsia" w:ascii="宋体" w:hAnsi="宋体" w:eastAsia="宋体" w:cs="宋体"/>
                <w:color w:val="auto"/>
                <w:sz w:val="21"/>
                <w:szCs w:val="21"/>
                <w:highlight w:val="none"/>
                <w:lang w:val="en-US" w:eastAsia="zh-CN"/>
              </w:rPr>
              <w:t>续航</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5 小时。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1.屏 幕 类 型 ：≥ 5</w:t>
            </w:r>
            <w:r>
              <w:rPr>
                <w:rFonts w:hint="eastAsia" w:ascii="宋体" w:hAnsi="宋体" w:eastAsia="宋体" w:cs="宋体"/>
                <w:color w:val="auto"/>
                <w:sz w:val="21"/>
                <w:szCs w:val="21"/>
                <w:highlight w:val="none"/>
                <w:lang w:val="en-US" w:eastAsia="zh-CN"/>
              </w:rPr>
              <w:t>英寸</w:t>
            </w:r>
            <w:r>
              <w:rPr>
                <w:rFonts w:hint="eastAsia" w:ascii="宋体" w:hAnsi="宋体" w:eastAsia="宋体" w:cs="宋体"/>
                <w:color w:val="auto"/>
                <w:sz w:val="21"/>
                <w:szCs w:val="21"/>
                <w:highlight w:val="none"/>
              </w:rPr>
              <w:t>IPS 屏 幕 ， 分 辨 率≥ 1920*1080，支持 180°画面翻转。</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2.摄像头直径：6.0mm ，像素≥ 100万像素，含有辅助照明 LED 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3.录像分辨率：≥1280*720，支持 AVI、MP4 等多种格式录制（记录包含时间和日期）。</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4.拍照分辨率：≥1920*1080，支持 JPG、PNG 等多种图片格式（记录包含时间和日期）。</w:t>
            </w:r>
          </w:p>
          <w:p>
            <w:pPr>
              <w:keepNext w:val="0"/>
              <w:keepLines w:val="0"/>
              <w:pageBreakBefore w:val="0"/>
              <w:kinsoku/>
              <w:wordWrap/>
              <w:overflowPunct/>
              <w:topLinePunct w:val="0"/>
              <w:autoSpaceDN/>
              <w:bidi w:val="0"/>
              <w:adjustRightInd/>
              <w:snapToGrid/>
              <w:spacing w:line="39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5.包含 2 次培训。 内容包括设备使用、软件操作、 日常维护等。</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移动执法箱</w:t>
            </w:r>
          </w:p>
        </w:tc>
        <w:tc>
          <w:tcPr>
            <w:tcW w:w="7513" w:type="dxa"/>
            <w:vAlign w:val="center"/>
          </w:tcPr>
          <w:p>
            <w:pPr>
              <w:pStyle w:val="5"/>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color w:val="auto"/>
                <w:highlight w:val="none"/>
              </w:rPr>
            </w:pPr>
            <w:r>
              <w:rPr>
                <w:rFonts w:hint="eastAsia"/>
                <w:color w:val="auto"/>
                <w:highlight w:val="none"/>
              </w:rPr>
              <w:t>一、单套执法箱清单：移动执法箱体一个（定制），移动执法便携打印机 1 台，</w:t>
            </w:r>
            <w:r>
              <w:rPr>
                <w:rFonts w:hint="eastAsia"/>
                <w:color w:val="auto"/>
                <w:highlight w:val="none"/>
                <w:lang w:val="en-US" w:eastAsia="zh-CN"/>
              </w:rPr>
              <w:t>移动执法终端1台，</w:t>
            </w:r>
            <w:r>
              <w:rPr>
                <w:rFonts w:hint="eastAsia"/>
                <w:color w:val="auto"/>
                <w:highlight w:val="none"/>
              </w:rPr>
              <w:t>移动执法便携扫描仪 1 台，移动执法终端辅助设备（移动路由）（含移动数据上网卡）1 台，</w:t>
            </w:r>
          </w:p>
          <w:p>
            <w:pPr>
              <w:keepNext w:val="0"/>
              <w:keepLines w:val="0"/>
              <w:pageBreakBefore w:val="0"/>
              <w:widowControl w:val="0"/>
              <w:kinsoku/>
              <w:wordWrap/>
              <w:overflowPunct/>
              <w:topLinePunct w:val="0"/>
              <w:autoSpaceDE/>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移动执法背包 1 个（定制）。</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二、参数要求</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（1）移动执法便携打印机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支持 A4 打印，分辨率不低于 300DPI。打印机内置可充电锂电池，支持电源及 USB 充电，电池容量不低于 2000mAh。支持无线、蓝牙、有线方式连接，能与笔记本电脑、平板电脑、手机无缝连接。</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移动执法终端</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CPU: 主频率≥4.4GHz；核心数≥12 个、16 线程。</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内存：≥16GB，支持 2 个及以上插槽，可扩展到 64GB。</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数据储存：能够存储≥2TB 的数据，数据传输速度≥3500MB/S，数据采用固态硬盘方式存储，支持≥1 个固态硬盘扩展。</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接口：≥2 USB3.2 Gen1 接口、2*Type-C 全功能接口；≥1 个HDMI接口，≥2个M.2固态硬盘接口，≥1个M.2 Wi-Fi6+蓝牙接口，≥1 个原生 RJ45 有线网口。</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显示尺寸：≥13 英寸，分辨率≥2560*1440。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其他</w:t>
            </w:r>
            <w:r>
              <w:rPr>
                <w:rFonts w:hint="eastAsia"/>
                <w:color w:val="auto"/>
                <w:highlight w:val="none"/>
                <w:lang w:val="en-US" w:eastAsia="zh-CN"/>
              </w:rPr>
              <w:t>配置</w:t>
            </w:r>
            <w:r>
              <w:rPr>
                <w:rFonts w:hint="eastAsia"/>
                <w:color w:val="auto"/>
                <w:highlight w:val="none"/>
              </w:rPr>
              <w:t>：配备 500 万像素、720P 以上高清摄像头，键盘防泼溅，支持 USB 屏蔽技术，支持双全功能 Type-C 接口充电。</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lang w:val="en-US" w:eastAsia="zh-CN"/>
              </w:rPr>
              <w:t>终端</w:t>
            </w:r>
            <w:r>
              <w:rPr>
                <w:rFonts w:hint="eastAsia"/>
                <w:color w:val="auto"/>
                <w:highlight w:val="none"/>
              </w:rPr>
              <w:t>系统</w:t>
            </w:r>
            <w:r>
              <w:rPr>
                <w:rFonts w:hint="eastAsia"/>
                <w:color w:val="auto"/>
                <w:highlight w:val="none"/>
                <w:lang w:val="en-US" w:eastAsia="zh-CN"/>
              </w:rPr>
              <w:t>供货时，</w:t>
            </w:r>
            <w:r>
              <w:rPr>
                <w:rFonts w:hint="eastAsia"/>
                <w:color w:val="auto"/>
                <w:highlight w:val="none"/>
              </w:rPr>
              <w:t>预装正版简体操作系统（包含正版办公软件，正版PDF阅读器）。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3.移动执法便携式扫描仪</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支持即插即用、一键扫描、自动页面送入。支持单面扫描和单程双面扫描（单次扫描可以自动扫描出文件正面和背面图像），光学分辨率为不低于 600dpi，送入容量不低于 20 张 A4 纸。</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扫描模式有彩色、灰白、黑白和自动。可扫描纸张、合同、收据、名片、信件和塑料 ID 卡等，普通模式下支持 A4、A5、A6、B5、B6、商务名片、明信片、信纸等各种标准尺寸以及自定义尺寸。</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接口：高速 USB 接口，可以直接使用 USB 供电。使用 USB 供电时扫描速度：黑白/灰度≥12ppm（单面）/14ipm（双面），彩色≥10ppm（单面）/10ipm（双面）。</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4.移动执法终端辅助设备（移动路由）</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≥30 米传输距离，信号智能跟踪；热点多分享，支持≥8 台设备连接；</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充电接口：Type-C；支持 Wi-Fi4+等及以上协议；上下行速率：≥150Mbps。</w:t>
            </w:r>
          </w:p>
          <w:p>
            <w:pPr>
              <w:keepNext w:val="0"/>
              <w:keepLines w:val="0"/>
              <w:pageBreakBefore w:val="0"/>
              <w:numPr>
                <w:ilvl w:val="0"/>
                <w:numId w:val="1"/>
              </w:numPr>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rPr>
              <w:t>移动执法背包面料耐刮耐磨，软质防护内衬，执法包体积：≤25L，包重量：≤1KG；</w:t>
            </w:r>
          </w:p>
          <w:p>
            <w:pPr>
              <w:keepNext w:val="0"/>
              <w:keepLines w:val="0"/>
              <w:pageBreakBefore w:val="0"/>
              <w:numPr>
                <w:ilvl w:val="0"/>
                <w:numId w:val="1"/>
              </w:numPr>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lang w:val="en-US" w:eastAsia="zh-CN"/>
              </w:rPr>
              <w:t>设备</w:t>
            </w:r>
            <w:r>
              <w:rPr>
                <w:rFonts w:hint="eastAsia"/>
                <w:color w:val="auto"/>
                <w:highlight w:val="none"/>
              </w:rPr>
              <w:t>内置≥3000 毫安电池；</w:t>
            </w:r>
          </w:p>
          <w:p>
            <w:pPr>
              <w:keepNext w:val="0"/>
              <w:keepLines w:val="0"/>
              <w:pageBreakBefore w:val="0"/>
              <w:numPr>
                <w:ilvl w:val="0"/>
                <w:numId w:val="1"/>
              </w:numPr>
              <w:kinsoku/>
              <w:wordWrap/>
              <w:overflowPunct/>
              <w:topLinePunct w:val="0"/>
              <w:autoSpaceDN/>
              <w:bidi w:val="0"/>
              <w:adjustRightInd/>
              <w:snapToGrid/>
              <w:spacing w:line="390" w:lineRule="exact"/>
              <w:ind w:right="0" w:rightChars="0"/>
              <w:jc w:val="left"/>
              <w:textAlignment w:val="auto"/>
              <w:rPr>
                <w:rFonts w:hint="eastAsia"/>
                <w:color w:val="auto"/>
                <w:highlight w:val="none"/>
                <w:lang w:eastAsia="zh-CN"/>
              </w:rPr>
            </w:pPr>
            <w:bookmarkStart w:id="43" w:name="OLE_LINK28"/>
            <w:r>
              <w:rPr>
                <w:rFonts w:hint="eastAsia"/>
                <w:color w:val="auto"/>
                <w:highlight w:val="none"/>
              </w:rPr>
              <w:t>支持：</w:t>
            </w:r>
            <w:bookmarkEnd w:id="43"/>
            <w:r>
              <w:rPr>
                <w:rFonts w:hint="eastAsia"/>
                <w:color w:val="auto"/>
                <w:highlight w:val="none"/>
              </w:rPr>
              <w:t>4G及以上网络；</w:t>
            </w:r>
            <w:r>
              <w:rPr>
                <w:rFonts w:hint="eastAsia"/>
                <w:color w:val="auto"/>
                <w:highlight w:val="none"/>
                <w:lang w:val="en-US" w:eastAsia="zh-CN"/>
              </w:rPr>
              <w:t>可安装</w:t>
            </w:r>
            <w:r>
              <w:rPr>
                <w:rFonts w:hint="eastAsia"/>
                <w:color w:val="auto"/>
                <w:highlight w:val="none"/>
              </w:rPr>
              <w:t>移动数据上网卡</w:t>
            </w:r>
            <w:r>
              <w:rPr>
                <w:rFonts w:hint="eastAsia"/>
                <w:color w:val="auto"/>
                <w:highlight w:val="none"/>
                <w:lang w:eastAsia="zh-CN"/>
              </w:rPr>
              <w:t>。</w:t>
            </w:r>
          </w:p>
          <w:p>
            <w:pPr>
              <w:keepNext w:val="0"/>
              <w:keepLines w:val="0"/>
              <w:pageBreakBefore w:val="0"/>
              <w:numPr>
                <w:ilvl w:val="0"/>
                <w:numId w:val="1"/>
              </w:numPr>
              <w:kinsoku/>
              <w:wordWrap/>
              <w:overflowPunct/>
              <w:topLinePunct w:val="0"/>
              <w:autoSpaceDN/>
              <w:bidi w:val="0"/>
              <w:adjustRightInd/>
              <w:snapToGrid/>
              <w:spacing w:line="390" w:lineRule="exact"/>
              <w:ind w:right="0" w:rightChars="0"/>
              <w:jc w:val="left"/>
              <w:textAlignment w:val="auto"/>
              <w:rPr>
                <w:rFonts w:hint="eastAsia"/>
                <w:color w:val="auto"/>
                <w:highlight w:val="none"/>
              </w:rPr>
            </w:pPr>
            <w:r>
              <w:rPr>
                <w:rFonts w:hint="eastAsia"/>
                <w:color w:val="auto"/>
                <w:highlight w:val="none"/>
                <w:lang w:val="en-US" w:eastAsia="zh-CN"/>
              </w:rPr>
              <w:t>供货时，免费提供</w:t>
            </w:r>
            <w:r>
              <w:rPr>
                <w:rFonts w:hint="eastAsia"/>
                <w:color w:val="auto"/>
                <w:highlight w:val="none"/>
              </w:rPr>
              <w:t xml:space="preserve"> 3 年</w:t>
            </w:r>
            <w:r>
              <w:rPr>
                <w:rFonts w:hint="eastAsia"/>
                <w:color w:val="auto"/>
                <w:highlight w:val="none"/>
                <w:lang w:val="en-US" w:eastAsia="zh-CN"/>
              </w:rPr>
              <w:t>移动</w:t>
            </w:r>
            <w:r>
              <w:rPr>
                <w:rFonts w:hint="eastAsia"/>
                <w:color w:val="auto"/>
                <w:highlight w:val="none"/>
              </w:rPr>
              <w:t>数据流量</w:t>
            </w:r>
            <w:r>
              <w:rPr>
                <w:rFonts w:hint="eastAsia"/>
                <w:color w:val="auto"/>
                <w:highlight w:val="none"/>
                <w:lang w:val="en-US" w:eastAsia="zh-CN"/>
              </w:rPr>
              <w:t>服务</w:t>
            </w:r>
            <w:r>
              <w:rPr>
                <w:rFonts w:hint="eastAsia"/>
                <w:color w:val="auto"/>
                <w:highlight w:val="none"/>
                <w:lang w:eastAsia="zh-CN"/>
              </w:rPr>
              <w:t>。（</w:t>
            </w:r>
            <w:r>
              <w:rPr>
                <w:rFonts w:hint="eastAsia"/>
                <w:color w:val="auto"/>
                <w:highlight w:val="none"/>
              </w:rPr>
              <w:t xml:space="preserve">每年不低于 </w:t>
            </w:r>
            <w:r>
              <w:rPr>
                <w:rFonts w:hint="eastAsia"/>
                <w:color w:val="auto"/>
                <w:highlight w:val="none"/>
                <w:lang w:val="en-US" w:eastAsia="zh-CN"/>
              </w:rPr>
              <w:t>600</w:t>
            </w:r>
            <w:r>
              <w:rPr>
                <w:rFonts w:hint="eastAsia"/>
                <w:color w:val="auto"/>
                <w:highlight w:val="none"/>
              </w:rPr>
              <w:t>G数据流量</w:t>
            </w:r>
            <w:r>
              <w:rPr>
                <w:rFonts w:hint="eastAsia"/>
                <w:color w:val="auto"/>
                <w:highlight w:val="none"/>
                <w:lang w:eastAsia="zh-CN"/>
              </w:rPr>
              <w:t>）</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579" w:type="dxa"/>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01" w:type="dxa"/>
            <w:gridSpan w:val="2"/>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无人机</w:t>
            </w:r>
          </w:p>
        </w:tc>
        <w:tc>
          <w:tcPr>
            <w:tcW w:w="7513" w:type="dxa"/>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飞行器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最大上升速度：6 米/秒（普通挡），8 米/秒（运动挡）。 最大下降速度：6 米/秒（普通挡），6 米/秒（运动挡），最大水平飞行速度（海平面附近无风）：15 米/秒（普通挡），前飞：21 米/秒，侧飞：20 米/秒，后飞：19 米/秒（运动挡）。最大抗风速度：12 米/秒，最长飞行时间（无风环境）：45 分钟，最长悬停时间（无风环境）：38 分钟，最大续航里程：32 公里，最大可倾斜角度：30°（普通挡），35°（运动挡），最大旋转角速度：200°/s。GNSS：GPS + Galileo + BeiDou + GLONASS（仅在 RTK 模块开启时支持 GLONASS）。悬停精度（无风或微风环境），垂直：±0.1 米（视觉定位正常工作时）；±0.5 米（GNSS 正常工作时）：±0.1 米（RTK 正常工作时），水平：±0.3 米（视觉定位正常工作时）：±0.5 米（高精度定位系统正常工作时）；±0.1 米（RTK 正常工作时）。工作温度：-10℃至 40℃，机载内存：无，夜航灯：无人机内置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电池容量&gt; 6</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 xml:space="preserve"> 毫安时</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广角相机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影像传感器：1/2"CMOS，有效像素 4800 万。镜头视角：84°，等效焦距：24 毫米，光圈：f/2.8，对焦点：1 米至无穷远，ISO 范围：100 至 25600。快门速度：电子快门 8 秒至 1/8000秒。最大照片尺寸：单张拍摄：1200万像素/4800 万像素，定时拍摄 ：1200 万像素 /4800 万像素。</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长焦相机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影像传感器 1/2"CMOS，有效像素 1200 万，镜头视角15°，等效焦距 162 毫米，光圈 f/4.4，对焦点 3 米至无穷远，ISO 范围 100 至 25600，快门速度：电子快门：8 秒至 1/8000秒。最大照片尺寸 4000X3000，照片格式 JPEG。视频格式MP4（MPEG-4AVC/H.264）</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热成像相机</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热成像传感器类型：非制冷氧化钒（VOx），像元间距：12 微米，帧率：30 赫兹，镜头 DFOV:61°，等效焦距：40 毫米，光圈：£/1.0，对焦距离：5 米至无穷远，灵敏度：≤50mk@F1.1</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云台</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稳定系统，三轴机械云台（俯仰、横滚、平移），结构设计范围，俯仰：-135°至 45°，横滚：-45°至 45°，平移：-27°至 27°，可控转动范围，俯仰：-90°至 35°，平移：不可控，最大控制转速（俯仰）100%，角度抖动量±0.007°。</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感知</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感知系统类型全向双目视觉系统，辅以机身底部红外传感器。</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前视：测距范围：0.5 米至 20 米，可探测范围：0.5 米至 200 米，有效避障速度：飞行速度 ≤15 米/秒，视角（FOV）：水平 90°，垂直 103°。</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后视：测距范围：0.5 米至 16 米，有效避障速度：飞行速度≤12 米/秒视角（FOV）：水平 90°，垂直 103°。</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侧视：测距范围：0.5 米至 25 米，有效避障速度：飞行速度 ≤15 米/秒，视角（FOV）：水平 90°，垂直 85°。</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上视：测距范围：0.2 米至 10 米，有效避障速度：飞行速度≤6 米/利，视角（FOV）：前后 100°，左右 90°。</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下视：测距范围：0.3 米至 18 米，有效避障速度：飞行速度≤6 米/秒，视角（FOV）：前后130°，左右 160°。有效使用环境：前、后、左、右</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上方：表面有丰富纹理，光照条件充足（&gt;15Lux，室内日光灯正常照射环境）</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下方：表面为漫反射材质且反射率&gt;20%（如墙面，树木，人等），光照条件充足（&gt;15Lux，室内日光灯正常照射环境）</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图传</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实时图传质量：遥控器1080p/30fps。</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存储卡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无人机专业视频高清卡 256G SD 存储卡 4K 铂金高速版， 耐冷耐热，防水防磁，抗冲击。</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 3 年售后服务。</w:t>
            </w:r>
          </w:p>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服务保障范围：包含机身、配套云台相机、电池、桨叶及遥控器（人为损坏 1 年内2次置换）。</w:t>
            </w:r>
          </w:p>
        </w:tc>
        <w:tc>
          <w:tcPr>
            <w:tcW w:w="1075" w:type="dxa"/>
            <w:vAlign w:val="center"/>
          </w:tcPr>
          <w:p>
            <w:pPr>
              <w:keepNext w:val="0"/>
              <w:keepLines w:val="0"/>
              <w:pageBreakBefore w:val="0"/>
              <w:widowControl/>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8" w:type="dxa"/>
            <w:gridSpan w:val="5"/>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二、商务要求</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1、本标项核心产品为第</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项“红外热成像气体泄漏检测仪 ”。</w:t>
            </w:r>
          </w:p>
          <w:p>
            <w:pPr>
              <w:keepNext w:val="0"/>
              <w:keepLines w:val="0"/>
              <w:pageBreakBefore w:val="0"/>
              <w:kinsoku/>
              <w:wordWrap/>
              <w:overflowPunct/>
              <w:topLinePunct w:val="0"/>
              <w:autoSpaceDE w:val="0"/>
              <w:autoSpaceDN/>
              <w:bidi w:val="0"/>
              <w:adjustRightInd/>
              <w:snapToGrid/>
              <w:spacing w:line="39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提供相同品牌产品且通过资格审查、符合性审查的不同投标人参加同一合同项下投标的，按一家投标人计算，评审后得分最高的同品牌投标人获得中标人推荐资格，其他同品牌投标人不推荐为中标候选人。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自成交通知书发出之日起8个工作日内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▲交付使用时间及交货地点</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交付时间：合同生效后，在接到采购人供货的书面通知30个工作日内交货并完成验收。</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交付地点：广西桂林市采购人指定地点。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竞标报价为采购人指定地点的现场交货价，包括但不限于：</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报价包含设备、备品备件、辅助材料、运抵指定交货地点、材料运输及人工搬运费、施工垃圾清理及排放、完工清场清洁、保险、现场安装、调试及验收的各种费用和售后服务、人工费、税金及其他所有成本费用的总和，合同履行过程中，采购人不再支付合同以外的其他费用。竞标人负责工人人身、设备安全责任，验收前，设备丢失自行负责。</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2.本项目为“交钥匙工程”，报价应含本项目安装调试所需的配件及材料。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售后及服务要求</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1、质保期不少于 2 年（自项目验收合格之日起算）。要求货物是由厂家正规生产且未经改装的、全新的、合格的及授权的货物。所有零部件、配件采用未经使用的全新的并符合国家有关质量安全标准的产品。所供货物不能涉及任何知识产权方面的法律纠纷。</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设备发生故障时，接到通知后2小时内响应，24小时内到达现场维修，48小时内解决问题。48小时内无法解决问题的，中标人提供同品牌同型号或更高型号的备用设备进行暂时替换，以保证采购人的正常工作。</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3、投标人必须承诺设备验收合格后对采购人的使用人员进行操作及相关知识的培训，包含2次培训，内容包括设备使用、软件操作、 日常维护等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并确保有2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3人能熟练掌握设备原理、现场操作及日常维护等，并能排除简单的软硬件故障。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▲验收标准及要求</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1.验收依据</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按合同要求及国家标准进行验收。</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2.验收标准</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（1）所供产品的规格、数量、功能、材质、颜色等符合采购文件采购需求及采购合同约定的要求。</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（2）所供产品的外观完好，无严重碰撞、表皮脱落、五金件生锈等明显瑕疵。</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（3）所供产品结构牢固，无安全隐患。</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（4）如有抽检要求的，检测结果符合采购需求及采购合同约定的要求。</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（5）所有产品均已运输至指定地点，并安装调试完毕。</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（6）采购文件采购需求及采购合同约定的附件、技术资料等齐全；提供产品使用说明书。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（7）要求竞标货物是全新的、未经改装的、合格的、满足本项目技术需求及要求的货物。所有零部件、配件必须是未经使用的全新的并符合国家有关质量安全标准的产品。成交人须针对项号3 </w:t>
            </w:r>
            <w:r>
              <w:rPr>
                <w:rFonts w:hint="eastAsia" w:ascii="宋体" w:hAnsi="宋体" w:cs="宋体"/>
                <w:color w:val="auto"/>
                <w:sz w:val="21"/>
                <w:szCs w:val="21"/>
                <w:highlight w:val="none"/>
                <w:lang w:eastAsia="zh-CN"/>
              </w:rPr>
              <w:t>手持式</w:t>
            </w:r>
            <w:r>
              <w:rPr>
                <w:rFonts w:hint="eastAsia" w:ascii="宋体" w:hAnsi="宋体" w:eastAsia="宋体" w:cs="宋体"/>
                <w:color w:val="auto"/>
                <w:sz w:val="21"/>
                <w:szCs w:val="21"/>
                <w:highlight w:val="none"/>
              </w:rPr>
              <w:t xml:space="preserve"> VOCS 检测仪中“防爆等级：</w:t>
            </w:r>
            <w:r>
              <w:rPr>
                <w:rFonts w:hint="eastAsia" w:ascii="宋体" w:hAnsi="宋体" w:eastAsia="宋体" w:cs="宋体"/>
                <w:color w:val="auto"/>
                <w:sz w:val="21"/>
                <w:szCs w:val="21"/>
                <w:highlight w:val="none"/>
                <w:lang w:eastAsia="zh-Hans"/>
              </w:rPr>
              <w:t>主机：ExdiaIICT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Hans"/>
              </w:rPr>
              <w:t>Gb</w:t>
            </w:r>
            <w:r>
              <w:rPr>
                <w:rFonts w:hint="eastAsia" w:ascii="宋体" w:hAnsi="宋体" w:eastAsia="宋体" w:cs="宋体"/>
                <w:color w:val="auto"/>
                <w:sz w:val="21"/>
                <w:szCs w:val="21"/>
                <w:highlight w:val="none"/>
              </w:rPr>
              <w:t>”在供货时提供防爆</w:t>
            </w:r>
            <w:r>
              <w:rPr>
                <w:rFonts w:hint="eastAsia" w:ascii="宋体" w:hAnsi="宋体" w:cs="宋体"/>
                <w:color w:val="auto"/>
                <w:sz w:val="21"/>
                <w:szCs w:val="21"/>
                <w:highlight w:val="none"/>
                <w:lang w:val="en-US" w:eastAsia="zh-CN"/>
              </w:rPr>
              <w:t>等级</w:t>
            </w:r>
            <w:r>
              <w:rPr>
                <w:rFonts w:hint="eastAsia" w:ascii="宋体" w:hAnsi="宋体" w:eastAsia="宋体" w:cs="宋体"/>
                <w:color w:val="auto"/>
                <w:sz w:val="21"/>
                <w:szCs w:val="21"/>
                <w:highlight w:val="none"/>
              </w:rPr>
              <w:t>证书</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rPr>
              <w:t>及项号8 手持红外线热成像仪中“设备具备自动、手动、电动对焦三种聚焦方式”在供货时提供具有CMA或者CNAS资质的第三方检测机构出具的检测报告复印件，货物正规渠道来源证明原件、厂家售后服务承诺书原件，否则不予签收。</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3、验收要求</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（1）采购人可以根据采购项目具体情况自行组织验收，或者委托第三方机构或部门开展采购项目履约验收工作，验收过程中所产生的一切费用均由成交人承担，报价时应考虑相关费用。</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验收如委托第三方机构组织实施的，由验收小组对照采购文件的技术参数要求核对检验，如不符合采购文件的技术参数要求的，按合同约定执行，成交人承担所有责任和费用。采购人保留进一步追究责任的权利。</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①验收活动开始前，成交人应对货物作出全面检查和对验收文件进行整理，并列出清单，作为采购人收货验收和使用的技术条件依据。</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②因验收不合格的，需要再次组织验收的，由此产生的相关成本费用由成交人承担。</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（3）验收时成交人提供验收文档，包括货物签收表、货物合格证、使用说明书、测试报告等，装订成册，由采购人根据验收文档对项目组织验收。</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人与采购人交货时，采购人根据采购文件要求对所有要求出具的检测报告、证明材料的原件进行核查。交货时，成交人必须按技术参数及性能（配置）的要求，提供资料复印件并加盖生产厂家公章，不按要求提供的视为供应商违约，采购人有权终止合同拒收货物，并追究供应商责任，同时报财政部门备案。</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了保证本次货物的质量，供应商在全部货物交货安装前，采购人有权对供货设备测试预验收，以确认产品的技术指标和性能是否达到采购文件中所规定以及响应文件所承诺的技术功能要求。采购人依据采购文件技术参数和响应文件进行逐一预验收，若测试结果不能满足采购文件参数要求以及响应文件所承诺的技术功能要求，采购人有权单方面终止合同，并追究供应商责任。</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交供应商所供设备必须是具备厂家合法渠道的全新、未使用过的合格正品产品。产品包装必须按照原厂标准包装规格供货，不接受散装或拆包装件。所有货物都提供使用说明书和详细装箱清单及质量合格证。</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（7）项目验收过程中，需委托第三方检测机构介入的，费用由成交人另行承担。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1．合同签订后成交供应商向采购人开具合同总金额 50%的请款函和对应金额的合法发票。采购人在收到成交供应商的请款函和发票后，向成交供应商申请支付合同总金额50%的预付款。成交供应商在收到预付款后 30 日内将全部货物交付采购人。</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2.对所有货物最终验收合格后，成交供应商提供合同总金额 50%的请款函和对应金额的合法发票。采购人在收到成交供应商的请款函和发票后，向成交供应商申请支付合同总金额的50%。</w:t>
            </w:r>
          </w:p>
          <w:p>
            <w:pPr>
              <w:pStyle w:val="2"/>
              <w:keepNext w:val="0"/>
              <w:keepLines w:val="0"/>
              <w:pageBreakBefore w:val="0"/>
              <w:kinsoku/>
              <w:wordWrap/>
              <w:overflowPunct/>
              <w:topLinePunct w:val="0"/>
              <w:autoSpaceDN/>
              <w:bidi w:val="0"/>
              <w:adjustRightInd/>
              <w:snapToGrid/>
              <w:spacing w:before="0" w:after="0" w:line="390" w:lineRule="exact"/>
              <w:ind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3.每次付款前，成交人提交的请款材料包括请款函、对应支付金额的合法发票以及相关材料。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1.履约保证金金额：履约保证金为合同金额的2%，签订合同前交至指定账户。</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2.履约保证金递交方式：成交人在签订合同前以银行转账、电汇、网上支付、支票、汇票、本票、保函等非现金形式向采购人提交。</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退付方式、时间及条件：项目验收合格后，成交人提供《履约保证金退付意见书》及《验收报告》，向采购人提出书面申请退还，采购人在5个工作日内办理履约保证金退还手续。若验收结果不合格的，履约保证金将不予退还，并按合同约定处理。</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履约保证金金额：本项目履约保证金金额按合同金额的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%交纳（人民币，四舍五入到元），如为中型企业中标的按合同金额的2%交纳，如为小微企业中标的则免收履约保证金。乙方于签订合同</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前将履约保证金以支票、汇票、本票或者金融机构、担保机构出具的保函等非现金形式提交至甲方。</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履约保证金形式：以支票、汇票、本票或者金融机构、担保机构出具的保函等非现金形式。</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履约保证金递交时间：中标人于中标通知书发出之日起8个工作日内且在签订合同前将履约保证金提交至采购人，否则，采购人有权不予签订合同。</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退付方式、时间及条件：项目验收合格后，成交人提供《履约保证金退付意见书》及《验收报告》，向采购人提出书面申请退还，采购人在5个工作日内办理履约保证金退还手续。若验收结果不合格的，履约保证金将不予退还，并按合同约定处理。</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.履约保证金不予退还情况，包括但不限于：</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.1.成交人不按采购文件要求签订合同的。</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成交人提供的货物不符合技术需求要求，验收结果不合格的，履约保证金将不予退还，并按合同约定处理，还可能会报告本项目同级财政部门并按照政府采购法律法规及有关规定给予行政处罚或者以失信行为记入诚信档案。</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 成交人不履行合同约定的义务或其履行不符合合同的约定，采购人有权扣划全部或相应金额的履约保证金。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0" w:type="dxa"/>
            <w:gridSpan w:val="2"/>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其他要求</w:t>
            </w:r>
          </w:p>
        </w:tc>
        <w:tc>
          <w:tcPr>
            <w:tcW w:w="8788" w:type="dxa"/>
            <w:gridSpan w:val="3"/>
            <w:vAlign w:val="center"/>
          </w:tcPr>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于响应文件中对所竞产品的技术参数要求作出真实、有效的响应和承诺书。所提供的货物必须是全新、未经使用的原装产品，且在正常安装、使用和保养条件下，其使用寿命期内各项指标均达到质量要求。且不侵犯第三方知识产权，否则，由此产生的相关法律责任及经济损失由成交人自行承担。 </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本项目货物不接受进口产品（即通过中国海关报关验放进入中国境内且产自关境外的产品）参与竞标。</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p>
            <w:pPr>
              <w:keepNext w:val="0"/>
              <w:keepLines w:val="0"/>
              <w:pageBreakBefore w:val="0"/>
              <w:kinsoku/>
              <w:wordWrap/>
              <w:overflowPunct/>
              <w:topLinePunct w:val="0"/>
              <w:autoSpaceDN/>
              <w:bidi w:val="0"/>
              <w:adjustRightInd/>
              <w:snapToGrid/>
              <w:spacing w:line="39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采购货物纳入强制性产品认证（3C认证）的，竞标人所竞产品必须从其规定。</w:t>
            </w:r>
          </w:p>
        </w:tc>
      </w:tr>
    </w:tbl>
    <w:p>
      <w:pPr>
        <w:spacing w:line="32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bookmarkEnd w:id="39"/>
      <w:r>
        <w:rPr>
          <w:rFonts w:hint="eastAsia" w:ascii="宋体" w:hAnsi="宋体" w:eastAsia="宋体" w:cs="宋体"/>
          <w:b/>
          <w:bCs/>
          <w:color w:val="auto"/>
          <w:sz w:val="21"/>
          <w:szCs w:val="21"/>
          <w:highlight w:val="none"/>
        </w:rPr>
        <w:t>附件1：</w:t>
      </w:r>
    </w:p>
    <w:p>
      <w:pPr>
        <w:spacing w:line="528"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节能产品政府采购品目清单</w:t>
      </w:r>
    </w:p>
    <w:tbl>
      <w:tblPr>
        <w:tblStyle w:val="12"/>
        <w:tblW w:w="0" w:type="auto"/>
        <w:jc w:val="center"/>
        <w:tblLayout w:type="fixed"/>
        <w:tblCellMar>
          <w:top w:w="0" w:type="dxa"/>
          <w:left w:w="0" w:type="dxa"/>
          <w:bottom w:w="0" w:type="dxa"/>
          <w:right w:w="0" w:type="dxa"/>
        </w:tblCellMar>
      </w:tblPr>
      <w:tblGrid>
        <w:gridCol w:w="713"/>
        <w:gridCol w:w="1583"/>
        <w:gridCol w:w="1972"/>
        <w:gridCol w:w="6"/>
        <w:gridCol w:w="1993"/>
        <w:gridCol w:w="3888"/>
        <w:gridCol w:w="5"/>
      </w:tblGrid>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品目序号</w:t>
            </w:r>
          </w:p>
        </w:tc>
        <w:tc>
          <w:tcPr>
            <w:tcW w:w="5554" w:type="dxa"/>
            <w:gridSpan w:val="4"/>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依据的标准</w:t>
            </w:r>
          </w:p>
        </w:tc>
      </w:tr>
      <w:tr>
        <w:tblPrEx>
          <w:tblCellMar>
            <w:top w:w="0" w:type="dxa"/>
            <w:left w:w="0" w:type="dxa"/>
            <w:bottom w:w="0" w:type="dxa"/>
            <w:right w:w="0" w:type="dxa"/>
          </w:tblCellMar>
        </w:tblPrEx>
        <w:trPr>
          <w:trHeight w:val="820"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A020101计算机设备</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★A02010104台式计算机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tblPrEx>
          <w:tblCellMar>
            <w:top w:w="0" w:type="dxa"/>
            <w:left w:w="0" w:type="dxa"/>
            <w:bottom w:w="0" w:type="dxa"/>
            <w:right w:w="0" w:type="dxa"/>
          </w:tblCellMar>
        </w:tblPrEx>
        <w:trPr>
          <w:trHeight w:val="744"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★A02010105便携式计算机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lang w:eastAsia="en-US"/>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tblPrEx>
          <w:tblCellMar>
            <w:top w:w="0" w:type="dxa"/>
            <w:left w:w="0" w:type="dxa"/>
            <w:bottom w:w="0" w:type="dxa"/>
            <w:right w:w="0" w:type="dxa"/>
          </w:tblCellMar>
        </w:tblPrEx>
        <w:trPr>
          <w:trHeight w:val="763"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★A02010107平板式微型计算机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tblPrEx>
          <w:tblCellMar>
            <w:top w:w="0" w:type="dxa"/>
            <w:left w:w="0" w:type="dxa"/>
            <w:bottom w:w="0" w:type="dxa"/>
            <w:right w:w="0" w:type="dxa"/>
          </w:tblCellMar>
        </w:tblPrEx>
        <w:trPr>
          <w:trHeight w:val="820"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A020106输入输出设备</w:t>
            </w:r>
          </w:p>
        </w:tc>
        <w:tc>
          <w:tcPr>
            <w:tcW w:w="19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A02010601打印设备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A0201060101喷墨打印机</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tblPrEx>
          <w:tblCellMar>
            <w:top w:w="0" w:type="dxa"/>
            <w:left w:w="0" w:type="dxa"/>
            <w:bottom w:w="0" w:type="dxa"/>
            <w:right w:w="0" w:type="dxa"/>
          </w:tblCellMar>
        </w:tblPrEx>
        <w:trPr>
          <w:trHeight w:val="813"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★A0201060102激光打印机</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tblPrEx>
          <w:tblCellMar>
            <w:top w:w="0" w:type="dxa"/>
            <w:left w:w="0" w:type="dxa"/>
            <w:bottom w:w="0" w:type="dxa"/>
            <w:right w:w="0" w:type="dxa"/>
          </w:tblCellMar>
        </w:tblPrEx>
        <w:trPr>
          <w:trHeight w:val="813"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★A0201060104针式打印机</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tblPrEx>
          <w:tblCellMar>
            <w:top w:w="0" w:type="dxa"/>
            <w:left w:w="0" w:type="dxa"/>
            <w:bottom w:w="0" w:type="dxa"/>
            <w:right w:w="0" w:type="dxa"/>
          </w:tblCellMar>
        </w:tblPrEx>
        <w:trPr>
          <w:trHeight w:val="876"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A02010604显示设备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★A0201060401液晶</w:t>
            </w:r>
          </w:p>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《计算机显示器能效限定值及能效等级》（GB21520）</w:t>
            </w:r>
          </w:p>
        </w:tc>
      </w:tr>
      <w:tr>
        <w:tblPrEx>
          <w:tblCellMar>
            <w:top w:w="0" w:type="dxa"/>
            <w:left w:w="0" w:type="dxa"/>
            <w:bottom w:w="0" w:type="dxa"/>
            <w:right w:w="0" w:type="dxa"/>
          </w:tblCellMar>
        </w:tblPrEx>
        <w:trPr>
          <w:trHeight w:val="1455"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A02010609图形图像输入设备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A0201060901扫描仪</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参照《复印机、打印机和传真机能效限定值及能效等级》（GB21521</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中打印速度为15页/分的针式打印机相关要求</w:t>
            </w:r>
          </w:p>
        </w:tc>
      </w:tr>
      <w:tr>
        <w:tblPrEx>
          <w:tblCellMar>
            <w:top w:w="0" w:type="dxa"/>
            <w:left w:w="0" w:type="dxa"/>
            <w:bottom w:w="0" w:type="dxa"/>
            <w:right w:w="0" w:type="dxa"/>
          </w:tblCellMar>
        </w:tblPrEx>
        <w:trPr>
          <w:trHeight w:val="93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A020202投影仪</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《投影机能效限定值及能效等级</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（GB32028）</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A020204多功能一体机</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A020519泵</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A02051901离心泵</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《清水离心泵能效限定值及节能评价值》（GB19762）</w:t>
            </w:r>
          </w:p>
        </w:tc>
      </w:tr>
      <w:tr>
        <w:tblPrEx>
          <w:tblCellMar>
            <w:top w:w="0" w:type="dxa"/>
            <w:left w:w="0" w:type="dxa"/>
            <w:bottom w:w="0" w:type="dxa"/>
            <w:right w:w="0" w:type="dxa"/>
          </w:tblCellMar>
        </w:tblPrEx>
        <w:trPr>
          <w:trHeight w:val="1167"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A020523制冷空调设备</w:t>
            </w:r>
          </w:p>
        </w:tc>
        <w:tc>
          <w:tcPr>
            <w:tcW w:w="19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★A02052301制冷压缩机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冷水机组</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《冷水机组能效限定值及能效等级》（GB19577），《低环境温度空气源热泵（冷水）机组能效限定值及能效等级》（GB37480）</w:t>
            </w:r>
          </w:p>
        </w:tc>
      </w:tr>
      <w:tr>
        <w:tblPrEx>
          <w:tblCellMar>
            <w:top w:w="0" w:type="dxa"/>
            <w:left w:w="0" w:type="dxa"/>
            <w:bottom w:w="0" w:type="dxa"/>
            <w:right w:w="0" w:type="dxa"/>
          </w:tblCellMar>
        </w:tblPrEx>
        <w:trPr>
          <w:trHeight w:val="752"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水源热泵机组</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《水（地）源热泵机组能效限定值及能效等级》（GB30721）</w:t>
            </w:r>
          </w:p>
        </w:tc>
      </w:tr>
      <w:tr>
        <w:tblPrEx>
          <w:tblCellMar>
            <w:top w:w="0" w:type="dxa"/>
            <w:left w:w="0" w:type="dxa"/>
            <w:bottom w:w="0" w:type="dxa"/>
            <w:right w:w="0" w:type="dxa"/>
          </w:tblCellMar>
        </w:tblPrEx>
        <w:trPr>
          <w:trHeight w:val="475"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溴化锂吸收式冷水机组</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《溴化锂吸收式冷水机组能效限定值及能效等级》（GB29540）</w:t>
            </w:r>
          </w:p>
        </w:tc>
      </w:tr>
      <w:tr>
        <w:tblPrEx>
          <w:tblCellMar>
            <w:top w:w="0" w:type="dxa"/>
            <w:left w:w="0" w:type="dxa"/>
            <w:bottom w:w="0" w:type="dxa"/>
            <w:right w:w="0" w:type="dxa"/>
          </w:tblCellMar>
        </w:tblPrEx>
        <w:trPr>
          <w:trHeight w:val="1054"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★A02052305空调机组</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多联式空调（热泵）机组(制冷量&gt;14000W)</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《多联式空调（热泵）机组能效限定值及能源效率等级》（GB21454</w:t>
            </w:r>
          </w:p>
        </w:tc>
      </w:tr>
      <w:tr>
        <w:tblPrEx>
          <w:tblCellMar>
            <w:top w:w="0" w:type="dxa"/>
            <w:left w:w="0" w:type="dxa"/>
            <w:bottom w:w="0" w:type="dxa"/>
            <w:right w:w="0" w:type="dxa"/>
          </w:tblCellMar>
        </w:tblPrEx>
        <w:trPr>
          <w:trHeight w:val="1058"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(制冷量&gt;14000W)</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《单元式空气调节机能效限定值及能效等级》（GB19576）《风管送风式空调机组能效限定值及能效等级》（GB37479）</w:t>
            </w:r>
          </w:p>
        </w:tc>
      </w:tr>
      <w:tr>
        <w:tblPrEx>
          <w:tblCellMar>
            <w:top w:w="0" w:type="dxa"/>
            <w:left w:w="0" w:type="dxa"/>
            <w:bottom w:w="0" w:type="dxa"/>
            <w:right w:w="0" w:type="dxa"/>
          </w:tblCellMar>
        </w:tblPrEx>
        <w:trPr>
          <w:trHeight w:val="843" w:hRule="atLeast"/>
          <w:jc w:val="center"/>
        </w:trPr>
        <w:tc>
          <w:tcPr>
            <w:tcW w:w="71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★A02052309专用制冷、空调设备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机房空调</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《单元式空气调节机能效限定值及能效等级》（GB19576）</w:t>
            </w:r>
          </w:p>
        </w:tc>
      </w:tr>
      <w:tr>
        <w:tblPrEx>
          <w:tblCellMar>
            <w:top w:w="0" w:type="dxa"/>
            <w:left w:w="0" w:type="dxa"/>
            <w:bottom w:w="0" w:type="dxa"/>
            <w:right w:w="0" w:type="dxa"/>
          </w:tblCellMar>
        </w:tblPrEx>
        <w:trPr>
          <w:trHeight w:val="1247"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A02052399其他制冷空调设备</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冷却塔</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《机械通风冷却塔第1部分：中小型开式冷却塔》（GB/T7190.1）</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《机械通风冷却塔第2部分：大型开式冷却塔》（GB/T7190.2</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A020601电机</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《中小型三相异步电动机能效限定值及能效等级》（GB18613）</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83" w:type="dxa"/>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A020602变压器</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配电变压器</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《三相配电变压器能效限定值及能效等级》（GB20052）</w:t>
            </w:r>
          </w:p>
        </w:tc>
      </w:tr>
      <w:tr>
        <w:tblPrEx>
          <w:tblCellMar>
            <w:top w:w="0" w:type="dxa"/>
            <w:left w:w="0" w:type="dxa"/>
            <w:bottom w:w="0" w:type="dxa"/>
            <w:right w:w="0" w:type="dxa"/>
          </w:tblCellMar>
        </w:tblPrEx>
        <w:trPr>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83" w:type="dxa"/>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★A020609镇流器</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管型荧光灯镇流器</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《管形荧光灯镇流器能效限定值及能效等级》（GB17896）</w:t>
            </w:r>
          </w:p>
        </w:tc>
      </w:tr>
      <w:tr>
        <w:tblPrEx>
          <w:tblCellMar>
            <w:top w:w="0" w:type="dxa"/>
            <w:left w:w="0" w:type="dxa"/>
            <w:bottom w:w="0" w:type="dxa"/>
            <w:right w:w="0" w:type="dxa"/>
          </w:tblCellMar>
        </w:tblPrEx>
        <w:trPr>
          <w:trHeight w:val="820" w:hRule="atLeast"/>
          <w:jc w:val="center"/>
        </w:trPr>
        <w:tc>
          <w:tcPr>
            <w:tcW w:w="713" w:type="dxa"/>
            <w:vMerge w:val="restart"/>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83" w:type="dxa"/>
            <w:vMerge w:val="restart"/>
            <w:tcBorders>
              <w:top w:val="single" w:color="auto" w:sz="4" w:space="0"/>
              <w:left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A020618生活用电器</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A0206180101电冰箱</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《家用电冰箱耗电量限定值及能效等级》（GB12021.2）</w:t>
            </w:r>
          </w:p>
        </w:tc>
      </w:tr>
      <w:tr>
        <w:tblPrEx>
          <w:tblCellMar>
            <w:top w:w="0" w:type="dxa"/>
            <w:left w:w="0" w:type="dxa"/>
            <w:bottom w:w="0" w:type="dxa"/>
            <w:right w:w="0" w:type="dxa"/>
          </w:tblCellMar>
        </w:tblPrEx>
        <w:trPr>
          <w:trHeight w:val="1522"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★A0206180203空调机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房间空气调节器</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《转速可控型房间空气调节器能效限定值及能效等级》（GB21455-2013），待2019年修订发布后，按《房间空气调节器能效限定值及能效等级》（GB21455-2019）实施。</w:t>
            </w:r>
          </w:p>
        </w:tc>
      </w:tr>
      <w:tr>
        <w:tblPrEx>
          <w:tblCellMar>
            <w:top w:w="0" w:type="dxa"/>
            <w:left w:w="0" w:type="dxa"/>
            <w:bottom w:w="0" w:type="dxa"/>
            <w:right w:w="0" w:type="dxa"/>
          </w:tblCellMar>
        </w:tblPrEx>
        <w:trPr>
          <w:trHeight w:val="1054"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多联式空调（热泵）机组（制冷量≤14000W）</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《多联式空调（热泵）机组能效限定值及能源效率等级》（GB21454</w:t>
            </w:r>
          </w:p>
        </w:tc>
      </w:tr>
      <w:tr>
        <w:tblPrEx>
          <w:tblCellMar>
            <w:top w:w="0" w:type="dxa"/>
            <w:left w:w="0" w:type="dxa"/>
            <w:bottom w:w="0" w:type="dxa"/>
            <w:right w:w="0" w:type="dxa"/>
          </w:tblCellMar>
        </w:tblPrEx>
        <w:trPr>
          <w:trHeight w:val="768"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单元式空气调节机</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《单元式空气调节机能效限定值及能源效率等级》（GB19576）《风</w:t>
            </w:r>
          </w:p>
        </w:tc>
      </w:tr>
      <w:tr>
        <w:tblPrEx>
          <w:tblCellMar>
            <w:top w:w="0" w:type="dxa"/>
            <w:left w:w="0" w:type="dxa"/>
            <w:bottom w:w="0" w:type="dxa"/>
            <w:right w:w="0" w:type="dxa"/>
          </w:tblCellMar>
        </w:tblPrEx>
        <w:trPr>
          <w:trHeight w:val="493"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(制冷量≤14000W)</w:t>
            </w: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管送风式空调机组能效限定值及能效等级》（GB37479）</w:t>
            </w:r>
          </w:p>
        </w:tc>
      </w:tr>
      <w:tr>
        <w:tblPrEx>
          <w:tblCellMar>
            <w:top w:w="0" w:type="dxa"/>
            <w:left w:w="0" w:type="dxa"/>
            <w:bottom w:w="0" w:type="dxa"/>
            <w:right w:w="0" w:type="dxa"/>
          </w:tblCellMar>
        </w:tblPrEx>
        <w:trPr>
          <w:trHeight w:val="709"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A0206180301洗衣机</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firstLine="0" w:firstLineChars="0"/>
              <w:jc w:val="center"/>
              <w:textAlignment w:val="auto"/>
              <w:rPr>
                <w:rFonts w:hint="eastAsia" w:ascii="宋体" w:hAnsi="宋体" w:eastAsia="宋体" w:cs="宋体"/>
                <w:color w:val="auto"/>
                <w:kern w:val="0"/>
                <w:sz w:val="21"/>
                <w:szCs w:val="21"/>
                <w:highlight w:val="none"/>
                <w:lang w:eastAsia="en-US"/>
              </w:rPr>
            </w:pPr>
          </w:p>
        </w:tc>
        <w:tc>
          <w:tcPr>
            <w:tcW w:w="3893"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52"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A02061808热水器</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★电热水器</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tabs>
                <w:tab w:val="left" w:pos="1608"/>
              </w:tabs>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448"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燃气热水器</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《家用燃气快速热水器和燃气采暖热水炉能效限定值及能效等级》</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91" w:hRule="atLeast"/>
          <w:jc w:val="center"/>
        </w:trPr>
        <w:tc>
          <w:tcPr>
            <w:tcW w:w="71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lang w:eastAsia="en-US"/>
              </w:rPr>
            </w:pPr>
          </w:p>
        </w:tc>
        <w:tc>
          <w:tcPr>
            <w:tcW w:w="15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热泵热水器</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52" w:hRule="atLeast"/>
          <w:jc w:val="center"/>
        </w:trPr>
        <w:tc>
          <w:tcPr>
            <w:tcW w:w="7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太阳能热水系统</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A020619照明设备</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★普通照明用双端荧光灯</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9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LED道路/隧道照明产品</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81"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LED筒灯</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703"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普通照明用非定向自镇流LED灯</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★A020910电视设备</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A02091001普通电视设备（电视机）</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18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★A020911视频设备</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A02091107视频监控设备</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监视器</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A031210饮食炊事机械</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商用燃气灶具</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937"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★A060805便器</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坐便器</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《坐便器水效限定值及水效等级》</w:t>
            </w:r>
          </w:p>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lang w:eastAsia="en-US"/>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蹲便器</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trHeight w:val="82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kern w:val="0"/>
                <w:sz w:val="21"/>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小便器</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kern w:val="0"/>
                <w:sz w:val="21"/>
                <w:szCs w:val="21"/>
                <w:highlight w:val="none"/>
                <w:lang w:eastAsia="en-US"/>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《小便器用水效率限定值及用水效率等级》（GB28377）</w:t>
            </w:r>
          </w:p>
        </w:tc>
      </w:tr>
      <w:tr>
        <w:tblPrEx>
          <w:tblCellMar>
            <w:top w:w="0" w:type="dxa"/>
            <w:left w:w="0" w:type="dxa"/>
            <w:bottom w:w="0" w:type="dxa"/>
            <w:right w:w="0" w:type="dxa"/>
          </w:tblCellMar>
        </w:tblPrEx>
        <w:trPr>
          <w:gridAfter w:val="1"/>
          <w:wAfter w:w="7" w:type="dxa"/>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★A060806水嘴</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《水嘴用水效率限定值及用水效率等级》（GB 25501）</w:t>
            </w:r>
          </w:p>
        </w:tc>
      </w:tr>
      <w:tr>
        <w:tblPrEx>
          <w:tblCellMar>
            <w:top w:w="0" w:type="dxa"/>
            <w:left w:w="0" w:type="dxa"/>
            <w:bottom w:w="0" w:type="dxa"/>
            <w:right w:w="0" w:type="dxa"/>
          </w:tblCellMar>
        </w:tblPrEx>
        <w:trPr>
          <w:gridAfter w:val="1"/>
          <w:wAfter w:w="7" w:type="dxa"/>
          <w:trHeight w:val="8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A060807便器冲洗阀</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《便器冲洗阀用水效率限定值及用水效率等级》（GB28379）</w:t>
            </w:r>
          </w:p>
        </w:tc>
      </w:tr>
      <w:tr>
        <w:tblPrEx>
          <w:tblCellMar>
            <w:top w:w="0" w:type="dxa"/>
            <w:left w:w="0" w:type="dxa"/>
            <w:bottom w:w="0" w:type="dxa"/>
            <w:right w:w="0" w:type="dxa"/>
          </w:tblCellMar>
        </w:tblPrEx>
        <w:trPr>
          <w:gridAfter w:val="1"/>
          <w:wAfter w:w="7" w:type="dxa"/>
          <w:trHeight w:val="917" w:hRule="exac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A060810淋浴器</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kinsoku/>
              <w:wordWrap/>
              <w:overflowPunct/>
              <w:topLinePunct w:val="0"/>
              <w:autoSpaceDE/>
              <w:autoSpaceDN/>
              <w:bidi w:val="0"/>
              <w:adjustRightInd/>
              <w:spacing w:line="360" w:lineRule="exact"/>
              <w:ind w:left="0" w:leftChars="0" w:right="0" w:hanging="7"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《淋浴器用水效率限定值及用水效率等级》（GB28378）</w:t>
            </w:r>
          </w:p>
        </w:tc>
      </w:tr>
    </w:tbl>
    <w:p>
      <w:pPr>
        <w:pStyle w:val="6"/>
        <w:keepNext w:val="0"/>
        <w:keepLines w:val="0"/>
        <w:pageBreakBefore w:val="0"/>
        <w:kinsoku/>
        <w:wordWrap/>
        <w:overflowPunct/>
        <w:topLinePunct w:val="0"/>
        <w:autoSpaceDE/>
        <w:autoSpaceDN/>
        <w:bidi w:val="0"/>
        <w:adjustRightInd/>
        <w:spacing w:line="36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注：1.节能产品认证应依据相关国家标准的最新版本，依据国家标准中二级能效（水效）</w:t>
      </w:r>
      <w:r>
        <w:rPr>
          <w:rFonts w:hint="eastAsia" w:ascii="宋体" w:hAnsi="宋体" w:eastAsia="宋体" w:cs="宋体"/>
          <w:color w:val="auto"/>
          <w:sz w:val="21"/>
          <w:szCs w:val="21"/>
          <w:highlight w:val="none"/>
        </w:rPr>
        <w:t>指标。</w:t>
      </w:r>
    </w:p>
    <w:p>
      <w:pPr>
        <w:keepNext w:val="0"/>
        <w:keepLines w:val="0"/>
        <w:pageBreakBefore w:val="0"/>
        <w:kinsoku/>
        <w:wordWrap/>
        <w:overflowPunct/>
        <w:topLinePunct w:val="0"/>
        <w:autoSpaceDE/>
        <w:autoSpaceDN/>
        <w:bidi w:val="0"/>
        <w:adjustRightInd/>
        <w:snapToGrid w:val="0"/>
        <w:spacing w:line="3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2.以“★”标注的为政府强制采购产品。</w:t>
      </w:r>
    </w:p>
    <w:p>
      <w:pPr>
        <w:spacing w:line="320" w:lineRule="exact"/>
        <w:rPr>
          <w:rFonts w:hint="eastAsia" w:ascii="宋体" w:hAnsi="宋体" w:eastAsia="宋体" w:cs="宋体"/>
          <w:b/>
          <w:bCs w:val="0"/>
          <w:color w:val="auto"/>
          <w:sz w:val="21"/>
          <w:szCs w:val="21"/>
          <w:highlight w:val="none"/>
        </w:rPr>
      </w:pPr>
      <w:r>
        <w:rPr>
          <w:rFonts w:hint="eastAsia" w:ascii="宋体" w:hAnsi="宋体" w:eastAsia="宋体" w:cs="宋体"/>
          <w:bCs/>
          <w:color w:val="auto"/>
          <w:sz w:val="21"/>
          <w:szCs w:val="21"/>
          <w:highlight w:val="none"/>
        </w:rPr>
        <w:br w:type="page"/>
      </w:r>
      <w:r>
        <w:rPr>
          <w:rFonts w:hint="eastAsia" w:ascii="宋体" w:hAnsi="宋体" w:eastAsia="宋体" w:cs="宋体"/>
          <w:b/>
          <w:bCs w:val="0"/>
          <w:color w:val="auto"/>
          <w:sz w:val="21"/>
          <w:szCs w:val="21"/>
          <w:highlight w:val="none"/>
        </w:rPr>
        <w:t>附件2：</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中小微企业划型标准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1500"/>
        <w:gridCol w:w="777"/>
        <w:gridCol w:w="1233"/>
        <w:gridCol w:w="1864"/>
        <w:gridCol w:w="1684"/>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blHeader/>
          <w:jc w:val="center"/>
        </w:trPr>
        <w:tc>
          <w:tcPr>
            <w:tcW w:w="2317"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00"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77"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r>
              <w:rPr>
                <w:rFonts w:hint="eastAsia" w:ascii="宋体" w:hAnsi="宋体" w:eastAsia="宋体" w:cs="宋体"/>
                <w:b/>
                <w:bCs/>
                <w:color w:val="auto"/>
                <w:kern w:val="0"/>
                <w:sz w:val="21"/>
                <w:szCs w:val="21"/>
                <w:highlight w:val="none"/>
              </w:rPr>
              <w:br w:type="textWrapping"/>
            </w:r>
            <w:r>
              <w:rPr>
                <w:rFonts w:hint="eastAsia" w:ascii="宋体" w:hAnsi="宋体" w:eastAsia="宋体" w:cs="宋体"/>
                <w:b/>
                <w:bCs/>
                <w:color w:val="auto"/>
                <w:kern w:val="0"/>
                <w:sz w:val="21"/>
                <w:szCs w:val="21"/>
                <w:highlight w:val="none"/>
              </w:rPr>
              <w:t>单位</w:t>
            </w:r>
          </w:p>
        </w:tc>
        <w:tc>
          <w:tcPr>
            <w:tcW w:w="1233"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64"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684"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65" w:type="dxa"/>
            <w:shd w:val="clear" w:color="auto" w:fill="FFFFFF"/>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684" w:type="dxa"/>
            <w:noWrap w:val="0"/>
            <w:vAlign w:val="center"/>
          </w:tcPr>
          <w:p>
            <w:pPr>
              <w:widowControl/>
              <w:spacing w:line="240" w:lineRule="exact"/>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684" w:type="dxa"/>
            <w:noWrap w:val="0"/>
            <w:vAlign w:val="center"/>
          </w:tcPr>
          <w:p>
            <w:pPr>
              <w:widowControl/>
              <w:spacing w:line="240" w:lineRule="exact"/>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684" w:type="dxa"/>
            <w:noWrap w:val="0"/>
            <w:vAlign w:val="center"/>
          </w:tcPr>
          <w:p>
            <w:pPr>
              <w:widowControl/>
              <w:spacing w:line="240" w:lineRule="exact"/>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spacing w:val="-12"/>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restart"/>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317" w:type="dxa"/>
            <w:vMerge w:val="continue"/>
            <w:noWrap w:val="0"/>
            <w:vAlign w:val="center"/>
          </w:tcPr>
          <w:p>
            <w:pPr>
              <w:widowControl/>
              <w:spacing w:line="240" w:lineRule="exact"/>
              <w:jc w:val="left"/>
              <w:rPr>
                <w:rFonts w:hint="eastAsia" w:ascii="宋体" w:hAnsi="宋体" w:eastAsia="宋体" w:cs="宋体"/>
                <w:color w:val="auto"/>
                <w:kern w:val="0"/>
                <w:sz w:val="21"/>
                <w:szCs w:val="21"/>
                <w:highlight w:val="none"/>
              </w:rPr>
            </w:pP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6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2317" w:type="dxa"/>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w:t>
            </w:r>
          </w:p>
        </w:tc>
        <w:tc>
          <w:tcPr>
            <w:tcW w:w="1500"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77"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3"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4" w:type="dxa"/>
            <w:noWrap w:val="0"/>
            <w:vAlign w:val="center"/>
          </w:tcPr>
          <w:p>
            <w:pPr>
              <w:widowControl/>
              <w:spacing w:line="240" w:lineRule="exact"/>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684"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65" w:type="dxa"/>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kern w:val="0"/>
          <w:sz w:val="21"/>
          <w:szCs w:val="21"/>
          <w:highlight w:val="none"/>
        </w:rPr>
        <w:t>说明：</w:t>
      </w:r>
      <w:r>
        <w:rPr>
          <w:rFonts w:hint="eastAsia" w:ascii="宋体" w:hAnsi="宋体" w:eastAsia="宋体" w:cs="宋体"/>
          <w:color w:val="auto"/>
          <w:spacing w:val="8"/>
          <w:sz w:val="21"/>
          <w:szCs w:val="21"/>
          <w:highlight w:val="none"/>
        </w:rPr>
        <w:t>1.大型、中型和小型企业须同时满足所列指标的下限，否则下划一档；微型企业只</w:t>
      </w:r>
      <w:r>
        <w:rPr>
          <w:rFonts w:hint="eastAsia" w:ascii="宋体" w:hAnsi="宋体" w:eastAsia="宋体" w:cs="宋体"/>
          <w:color w:val="auto"/>
          <w:spacing w:val="8"/>
          <w:sz w:val="21"/>
          <w:szCs w:val="21"/>
          <w:highlight w:val="none"/>
          <w:lang w:eastAsia="zh-CN"/>
        </w:rPr>
        <w:t>需</w:t>
      </w:r>
      <w:r>
        <w:rPr>
          <w:rFonts w:hint="eastAsia" w:ascii="宋体" w:hAnsi="宋体" w:eastAsia="宋体" w:cs="宋体"/>
          <w:color w:val="auto"/>
          <w:spacing w:val="8"/>
          <w:sz w:val="21"/>
          <w:szCs w:val="21"/>
          <w:highlight w:val="none"/>
        </w:rPr>
        <w:t>满足所列指标中的一项即可。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br w:type="page"/>
      </w:r>
      <w:bookmarkStart w:id="44" w:name="_Toc153888700"/>
      <w:r>
        <w:rPr>
          <w:rFonts w:hint="eastAsia" w:ascii="宋体" w:hAnsi="宋体" w:eastAsia="宋体" w:cs="宋体"/>
          <w:color w:val="auto"/>
          <w:highlight w:val="none"/>
        </w:rPr>
        <w:t>第四章 评标办法</w:t>
      </w:r>
      <w:bookmarkEnd w:id="36"/>
      <w:bookmarkEnd w:id="44"/>
    </w:p>
    <w:p>
      <w:pPr>
        <w:pStyle w:val="8"/>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b/>
          <w:bCs/>
          <w:color w:val="auto"/>
          <w:sz w:val="21"/>
          <w:szCs w:val="21"/>
          <w:highlight w:val="none"/>
        </w:rPr>
      </w:pPr>
      <w:bookmarkStart w:id="45" w:name="OLE_LINK64"/>
      <w:bookmarkStart w:id="46" w:name="_Toc146525434"/>
      <w:r>
        <w:rPr>
          <w:rFonts w:hint="eastAsia" w:ascii="宋体" w:hAnsi="宋体" w:eastAsia="宋体" w:cs="宋体"/>
          <w:b/>
          <w:bCs/>
          <w:color w:val="auto"/>
          <w:sz w:val="21"/>
          <w:szCs w:val="21"/>
          <w:highlight w:val="none"/>
        </w:rPr>
        <w:t>一、评标依据及方式</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1.评标依据：评标委员会以招标文件和投标文件为评标依据，对投标人的投标文件进行评审并按百分制打分。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2.评标方式：以封闭方式进行评标。</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3.根据财库〔2012〕69号文规定，采购人和采购代理机构、评标委员会成员要严格遵守政府采购相关法律制度，依法履行各自职责，公正、客观、审慎地组织和参与评审工作。</w:t>
      </w:r>
    </w:p>
    <w:p>
      <w:pPr>
        <w:pStyle w:val="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二、评标办法</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（一）对进入详评的，采用综合评分法。</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（二）计分办法（按四舍五入取至小数点后二位）</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rPr>
        <w:t>价格分……………………………………………………………………………………………30分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（1）符合《政府采购促进中小企业发展管理办法》（财库〔2020〕46号）规定条件</w:t>
      </w:r>
      <w:r>
        <w:rPr>
          <w:rFonts w:hint="eastAsia" w:ascii="宋体" w:hAnsi="宋体" w:eastAsia="宋体" w:cs="宋体"/>
          <w:bCs/>
          <w:color w:val="auto"/>
          <w:sz w:val="21"/>
          <w:szCs w:val="21"/>
          <w:highlight w:val="none"/>
          <w:lang w:val="en-US" w:eastAsia="zh-CN"/>
        </w:rPr>
        <w:t>并</w:t>
      </w:r>
      <w:r>
        <w:rPr>
          <w:rFonts w:hint="eastAsia" w:ascii="宋体" w:hAnsi="宋体" w:eastAsia="宋体" w:cs="宋体"/>
          <w:bCs/>
          <w:color w:val="auto"/>
          <w:sz w:val="21"/>
          <w:szCs w:val="21"/>
          <w:highlight w:val="none"/>
        </w:rPr>
        <w:t>按该办法中规定的格式提供了《中小企业声明函》的，且其投标产品全部为小型和微型企业产品的，对其投标价给予20%的扣除，扣除后的价格为评标价，即评标价=投标价×（1-20%）。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注：中小微型企业划分标准按照《国家统计局关于印发〈统计上大中小微型企业划分办法〉〔2017〕的通知》（国统字〔2017〕213号）执行，具体划分标准见附表《统计上大中小微型企业划分标准》。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对于不属于以上情形的投标人，其投标报价即为评标价。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（4）价格分采用低价优先法计算，即满足招标文件要求且评标报价最低的评标报价为评标基准价，其价格分为30分。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价格分计算公式：</w:t>
      </w:r>
      <w:r>
        <w:rPr>
          <w:rFonts w:hint="eastAsia" w:ascii="宋体" w:hAnsi="宋体" w:eastAsia="宋体" w:cs="宋体"/>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某投标人价格分 =（最低投标人</w:t>
      </w:r>
      <w:r>
        <w:rPr>
          <w:rFonts w:hint="eastAsia" w:ascii="宋体" w:hAnsi="宋体" w:eastAsia="宋体" w:cs="宋体"/>
          <w:color w:val="auto"/>
          <w:sz w:val="21"/>
          <w:szCs w:val="21"/>
          <w:highlight w:val="none"/>
        </w:rPr>
        <w:t>评标报价</w:t>
      </w:r>
      <w:r>
        <w:rPr>
          <w:rFonts w:hint="eastAsia" w:ascii="宋体" w:hAnsi="宋体" w:eastAsia="宋体" w:cs="宋体"/>
          <w:bCs/>
          <w:color w:val="auto"/>
          <w:sz w:val="21"/>
          <w:szCs w:val="21"/>
          <w:highlight w:val="none"/>
        </w:rPr>
        <w:t>金额/  某投标人</w:t>
      </w:r>
      <w:r>
        <w:rPr>
          <w:rFonts w:hint="eastAsia" w:ascii="宋体" w:hAnsi="宋体" w:eastAsia="宋体" w:cs="宋体"/>
          <w:color w:val="auto"/>
          <w:sz w:val="21"/>
          <w:szCs w:val="21"/>
          <w:highlight w:val="none"/>
        </w:rPr>
        <w:t>评标报价</w:t>
      </w:r>
      <w:r>
        <w:rPr>
          <w:rFonts w:hint="eastAsia" w:ascii="宋体" w:hAnsi="宋体" w:eastAsia="宋体" w:cs="宋体"/>
          <w:bCs/>
          <w:color w:val="auto"/>
          <w:sz w:val="21"/>
          <w:szCs w:val="21"/>
          <w:highlight w:val="none"/>
        </w:rPr>
        <w:t xml:space="preserve">金额） ×  30分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2.技术评审</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lang w:val="en-US" w:eastAsia="zh-CN"/>
        </w:rPr>
        <w:t>45</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评委根据招标文件要求，对通过资格性和符合性审查进入详评的各投标人投标文件进行独立评审：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（1）产品参数分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lang w:val="en-US" w:eastAsia="zh-CN"/>
        </w:rPr>
        <w:t>23</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bookmarkStart w:id="47" w:name="OLE_LINK87"/>
      <w:r>
        <w:rPr>
          <w:rFonts w:hint="eastAsia" w:ascii="宋体" w:hAnsi="宋体" w:eastAsia="宋体" w:cs="宋体"/>
          <w:color w:val="auto"/>
          <w:sz w:val="21"/>
          <w:szCs w:val="21"/>
          <w:highlight w:val="none"/>
        </w:rPr>
        <w:t>通过资格和符合性审查的投标人得基本分15分。评标委员会将根据招标文件第二章“采购需求”中技术条款要求，对比各投标人相应所投产品的技术参数，并按以下标准评分：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（1）经评标委员会认定为负偏离的，按以下标准扣分，最多扣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不满足未标注▲号技术指标的，每有1项扣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备注：若有在技术要求中要求提供证明材料的，但投标文件中未提供的，视为该项技术指标负偏离。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（2）经评标委员会认定为正偏离的，按以下标准加分，最多加8分：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①标注▲号技术指标优于招标文件要求，并同时提供相关证明材料的，每有1项加2分；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②未标注▲号技术指标优于招标文件要求，并同时提供了相关证明材料的，每有1项加1分。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备注：投标文件中注明为正偏离技术指标的，必须同时提供相关证明材料，相关证明材料包括但不限于彩页或官网或功能截图或检测（验）报告等，未提供证明材料的评标委员会不予认定为正偏离。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0"/>
          <w:sz w:val="21"/>
          <w:szCs w:val="21"/>
          <w:highlight w:val="none"/>
        </w:rPr>
        <w:t>项目实施方案分</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比各投标人提供的项目实施方案，包含但不限于：①产品运输配送方案；②安装调试方案；③产品试运行；④验收方案；⑤质量保障措施；⑥技术人员投入方案等内容进行综合评定，并按以下内容进行独立评审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一档（0 分）：未提供方案得 0 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二档（5 分）：方案简单，包含项目管理措施、具体实施流程等，整体方案满足基本要求的。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三档（10 分）：方案较详细，包含管理措施、具体实施流程、供货安装进度安排、技术人员投入方案，整体方案满足招标文件要求的。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四档（16 分）：方案详细完善，包含管理措施、安装调试方案、供货安装进度计划、验收方案、交货期保证措施、质量保障措施、技术人员投入方案等，整体方案可行性高。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五档（22 分）：方案详细全面完善，包含管理措施、安装调试方案、供货安装进度计划、验收方案、交货期保证措施、质量保障措施、技术培训措施、技术人员投入方案等，整体方案可行性高。方案有针对性，能针对本项目进一步细化、明确措施，并能提供相关具体的措施和资源配置用以支撑上述方案的实施，项目实施可行性强，对项目实施有保障的。</w:t>
      </w:r>
    </w:p>
    <w:bookmarkEnd w:id="47"/>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3.商务评审…</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（1）售后服务分……………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评标委员会对比各投标人提供的售后服务内容，并按以下标准独立评分：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一档（0 分）：未提供方案得 0 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二档（5 分）：能满足招标文件要求，未提出详细的售后服务承诺。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三档（10 分）：售后服务方案有详细的售后服务承诺，有售后服务流程、故障出现解决措施、定期维护措施。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售后服务方案有该项目详细的流程、质量保障措施、故障出现解决措施、场外应急状况服务或现场抢险指导，遇到紧急情况到达故障现场时间；定期维护（注明时间）承诺；售后服务技术人员名单和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五档（2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售后服务方案有该项目详细的售后服务流程、质量保障措施、故障出现解决措施、场外应急状况服务或现场抢险指导，遇到紧急情况到达故障现场时间；定期维护（注明时间）承诺；售后服务技术人员名单和联系方式；质保期内和质保期外的运维服务措施。能针对本项目进一步细化、明确措施，并能提供相关具体的措施和资源配置用以支撑上述方案的实施，项目售后服务保障切实可行，对项目实施保障有理有据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bookmarkStart w:id="48" w:name="OLE_LINK88"/>
      <w:r>
        <w:rPr>
          <w:rFonts w:hint="eastAsia" w:ascii="宋体" w:hAnsi="宋体" w:eastAsia="宋体" w:cs="宋体"/>
          <w:b/>
          <w:bCs/>
          <w:color w:val="auto"/>
          <w:sz w:val="21"/>
          <w:szCs w:val="21"/>
          <w:highlight w:val="none"/>
        </w:rPr>
        <w:t>（2）业绩分……………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…………………………………5分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投标人或核心产品生产厂家2022年以来完成同类产品（</w:t>
      </w:r>
      <w:r>
        <w:rPr>
          <w:rFonts w:hint="eastAsia" w:ascii="宋体" w:hAnsi="宋体" w:eastAsia="宋体" w:cs="宋体"/>
          <w:color w:val="auto"/>
          <w:kern w:val="0"/>
          <w:sz w:val="21"/>
          <w:szCs w:val="21"/>
          <w:highlight w:val="none"/>
        </w:rPr>
        <w:t>红外热成像气体泄漏检测仪</w:t>
      </w:r>
      <w:r>
        <w:rPr>
          <w:rFonts w:hint="eastAsia" w:ascii="宋体" w:hAnsi="宋体" w:eastAsia="宋体" w:cs="宋体"/>
          <w:color w:val="auto"/>
          <w:sz w:val="21"/>
          <w:szCs w:val="21"/>
          <w:highlight w:val="none"/>
        </w:rPr>
        <w:t>）相关业绩的，以合同或中标（成交）通知书复印件为准，否则将不予计分；同一个编号的项目有两个或两个以上的分标中标的只算一次]，每个业绩得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bookmarkEnd w:id="48"/>
    </w:p>
    <w:p>
      <w:pPr>
        <w:pStyle w:val="8"/>
        <w:keepNext w:val="0"/>
        <w:keepLines w:val="0"/>
        <w:pageBreakBefore w:val="0"/>
        <w:widowControl w:val="0"/>
        <w:kinsoku/>
        <w:wordWrap/>
        <w:overflowPunct/>
        <w:topLinePunct w:val="0"/>
        <w:autoSpaceDE/>
        <w:autoSpaceDN/>
        <w:bidi w:val="0"/>
        <w:adjustRightInd/>
        <w:snapToGrid/>
        <w:spacing w:line="400" w:lineRule="exact"/>
        <w:ind w:firstLine="538" w:firstLineChars="255"/>
        <w:textAlignment w:val="auto"/>
        <w:rPr>
          <w:rFonts w:hint="eastAsia" w:ascii="宋体" w:hAnsi="宋体" w:eastAsia="宋体" w:cs="宋体"/>
          <w:b/>
          <w:color w:val="auto"/>
          <w:sz w:val="21"/>
          <w:szCs w:val="21"/>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firstLine="538" w:firstLineChars="25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.综合得分＝1+2+3</w:t>
      </w:r>
    </w:p>
    <w:p>
      <w:pPr>
        <w:pStyle w:val="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p>
    <w:p>
      <w:pPr>
        <w:pStyle w:val="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三、推荐及确定中标候选人原则</w:t>
      </w:r>
    </w:p>
    <w:p>
      <w:pPr>
        <w:pStyle w:val="8"/>
        <w:keepNext w:val="0"/>
        <w:keepLines w:val="0"/>
        <w:pageBreakBefore w:val="0"/>
        <w:widowControl w:val="0"/>
        <w:kinsoku/>
        <w:wordWrap/>
        <w:overflowPunct/>
        <w:topLinePunct w:val="0"/>
        <w:autoSpaceDE/>
        <w:autoSpaceDN/>
        <w:bidi w:val="0"/>
        <w:adjustRightInd/>
        <w:snapToGrid/>
        <w:spacing w:line="400" w:lineRule="exact"/>
        <w:ind w:firstLine="535" w:firstLineChars="25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将根据评标结果按评审后得分由高到低顺序排列。得分相同的，按投标报价由低到高顺序排列；得分相同且投标报价相同的并列。投标文件满足招标文件全部实质性要求，且按照评审因素的量化指标评审得分最高的投标人为排名第一的中标候选人。</w:t>
      </w:r>
    </w:p>
    <w:p>
      <w:pPr>
        <w:pStyle w:val="8"/>
        <w:keepNext w:val="0"/>
        <w:keepLines w:val="0"/>
        <w:pageBreakBefore w:val="0"/>
        <w:widowControl w:val="0"/>
        <w:kinsoku/>
        <w:wordWrap/>
        <w:overflowPunct/>
        <w:topLinePunct w:val="0"/>
        <w:autoSpaceDE/>
        <w:autoSpaceDN/>
        <w:bidi w:val="0"/>
        <w:adjustRightInd/>
        <w:snapToGrid/>
        <w:spacing w:line="400" w:lineRule="exact"/>
        <w:ind w:firstLine="535" w:firstLineChars="25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收到评标报告之日起5个工作日内，在评标报告确定的中标候选人名单中按顺序确定中标人。中标候选人并列的，采购人按以下的方式确定中标人：依次按货物基本分高的优先、设备安装方案分高的优先、售后服务分高的优先、履约能力分高的优先、政策功能分（节能、环保）高的优先、免费保修期长的优先、交付时间短</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优先顺序确定中标人。</w:t>
      </w:r>
    </w:p>
    <w:p>
      <w:pPr>
        <w:pStyle w:val="8"/>
        <w:keepNext w:val="0"/>
        <w:keepLines w:val="0"/>
        <w:pageBreakBefore w:val="0"/>
        <w:widowControl w:val="0"/>
        <w:kinsoku/>
        <w:wordWrap/>
        <w:overflowPunct/>
        <w:topLinePunct w:val="0"/>
        <w:autoSpaceDE/>
        <w:autoSpaceDN/>
        <w:bidi w:val="0"/>
        <w:adjustRightInd/>
        <w:snapToGrid/>
        <w:spacing w:line="400" w:lineRule="exact"/>
        <w:ind w:firstLine="535" w:firstLineChars="25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放弃中标、拒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p>
    <w:p>
      <w:pPr>
        <w:rPr>
          <w:rFonts w:hint="eastAsia" w:ascii="宋体" w:hAnsi="宋体" w:eastAsia="宋体" w:cs="宋体"/>
          <w:color w:val="auto"/>
          <w:highlight w:val="none"/>
        </w:rPr>
      </w:pPr>
    </w:p>
    <w:bookmarkEnd w:id="45"/>
    <w:p>
      <w:pPr>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9" w:name="_Toc153888703"/>
      <w:r>
        <w:rPr>
          <w:rFonts w:hint="eastAsia" w:ascii="宋体" w:hAnsi="宋体" w:eastAsia="宋体" w:cs="宋体"/>
          <w:color w:val="auto"/>
          <w:highlight w:val="none"/>
        </w:rPr>
        <w:t>第五章  政府采购合同</w:t>
      </w:r>
      <w:bookmarkEnd w:id="46"/>
      <w:bookmarkEnd w:id="49"/>
    </w:p>
    <w:p>
      <w:pPr>
        <w:pStyle w:val="8"/>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pPr>
        <w:keepNext w:val="0"/>
        <w:keepLines w:val="0"/>
        <w:pageBreakBefore w:val="0"/>
        <w:kinsoku/>
        <w:wordWrap/>
        <w:overflowPunct/>
        <w:topLinePunct w:val="0"/>
        <w:autoSpaceDE/>
        <w:autoSpaceDN/>
        <w:bidi w:val="0"/>
        <w:spacing w:line="380" w:lineRule="exact"/>
        <w:ind w:firstLine="1446" w:firstLineChars="400"/>
        <w:jc w:val="left"/>
        <w:rPr>
          <w:rFonts w:hint="eastAsia" w:ascii="宋体" w:hAnsi="宋体" w:eastAsia="宋体" w:cs="宋体"/>
          <w:b/>
          <w:color w:val="auto"/>
          <w:kern w:val="0"/>
          <w:sz w:val="36"/>
          <w:szCs w:val="36"/>
          <w:highlight w:val="none"/>
        </w:rPr>
      </w:pPr>
    </w:p>
    <w:p>
      <w:pPr>
        <w:keepNext w:val="0"/>
        <w:keepLines w:val="0"/>
        <w:pageBreakBefore w:val="0"/>
        <w:kinsoku/>
        <w:wordWrap/>
        <w:overflowPunct/>
        <w:topLinePunct w:val="0"/>
        <w:autoSpaceDE/>
        <w:autoSpaceDN/>
        <w:bidi w:val="0"/>
        <w:spacing w:line="380" w:lineRule="exact"/>
        <w:ind w:firstLine="1285" w:firstLineChars="400"/>
        <w:jc w:val="left"/>
        <w:rPr>
          <w:rFonts w:hint="eastAsia" w:ascii="宋体" w:hAnsi="宋体" w:eastAsia="宋体" w:cs="宋体"/>
          <w:b/>
          <w:color w:val="auto"/>
          <w:kern w:val="0"/>
          <w:sz w:val="32"/>
          <w:szCs w:val="32"/>
          <w:highlight w:val="none"/>
        </w:rPr>
      </w:pP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合同名称：</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keepNext w:val="0"/>
        <w:keepLines w:val="0"/>
        <w:pageBreakBefore w:val="0"/>
        <w:kinsoku/>
        <w:wordWrap/>
        <w:overflowPunct/>
        <w:topLinePunct w:val="0"/>
        <w:autoSpaceDE/>
        <w:autoSpaceDN/>
        <w:bidi w:val="0"/>
        <w:spacing w:line="380" w:lineRule="exact"/>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合同编号：</w:t>
      </w:r>
      <w:r>
        <w:rPr>
          <w:rFonts w:hint="eastAsia" w:ascii="宋体" w:hAnsi="宋体" w:eastAsia="宋体" w:cs="宋体"/>
          <w:b/>
          <w:color w:val="auto"/>
          <w:kern w:val="0"/>
          <w:sz w:val="32"/>
          <w:szCs w:val="32"/>
          <w:highlight w:val="none"/>
          <w:u w:val="single"/>
        </w:rPr>
        <w:t xml:space="preserve">                                 </w:t>
      </w:r>
    </w:p>
    <w:p>
      <w:pPr>
        <w:keepNext w:val="0"/>
        <w:keepLines w:val="0"/>
        <w:pageBreakBefore w:val="0"/>
        <w:widowControl/>
        <w:kinsoku/>
        <w:wordWrap/>
        <w:overflowPunct/>
        <w:topLinePunct w:val="0"/>
        <w:autoSpaceDE/>
        <w:autoSpaceDN/>
        <w:bidi w:val="0"/>
        <w:spacing w:line="380" w:lineRule="exact"/>
        <w:jc w:val="left"/>
        <w:rPr>
          <w:rFonts w:hint="eastAsia" w:ascii="宋体" w:hAnsi="宋体" w:eastAsia="宋体" w:cs="宋体"/>
          <w:color w:val="auto"/>
          <w:szCs w:val="20"/>
          <w:highlight w:val="none"/>
        </w:rPr>
      </w:pP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采购人（甲方）</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rPr>
      </w:pP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中标人（乙方）</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签订合同地点：</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签订</w:t>
      </w:r>
      <w:r>
        <w:rPr>
          <w:rFonts w:hint="eastAsia" w:ascii="宋体" w:hAnsi="宋体" w:eastAsia="宋体" w:cs="宋体"/>
          <w:b/>
          <w:color w:val="auto"/>
          <w:sz w:val="32"/>
          <w:szCs w:val="32"/>
          <w:highlight w:val="none"/>
        </w:rPr>
        <w:t>合同时间：</w:t>
      </w:r>
      <w:r>
        <w:rPr>
          <w:rFonts w:hint="eastAsia" w:ascii="宋体" w:hAnsi="宋体" w:eastAsia="宋体" w:cs="宋体"/>
          <w:b/>
          <w:color w:val="auto"/>
          <w:kern w:val="0"/>
          <w:sz w:val="32"/>
          <w:szCs w:val="32"/>
          <w:highlight w:val="none"/>
          <w:u w:val="single"/>
        </w:rPr>
        <w:t xml:space="preserve">                            </w:t>
      </w: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p>
    <w:p>
      <w:pPr>
        <w:keepNext w:val="0"/>
        <w:keepLines w:val="0"/>
        <w:pageBreakBefore w:val="0"/>
        <w:kinsoku/>
        <w:wordWrap/>
        <w:overflowPunct/>
        <w:topLinePunct w:val="0"/>
        <w:autoSpaceDE/>
        <w:autoSpaceDN/>
        <w:bidi w:val="0"/>
        <w:spacing w:line="380" w:lineRule="exact"/>
        <w:jc w:val="center"/>
        <w:outlineLvl w:val="1"/>
        <w:rPr>
          <w:rFonts w:hint="eastAsia" w:ascii="宋体" w:hAnsi="宋体" w:eastAsia="宋体" w:cs="宋体"/>
          <w:b/>
          <w:color w:val="auto"/>
          <w:kern w:val="0"/>
          <w:sz w:val="52"/>
          <w:szCs w:val="52"/>
          <w:highlight w:val="none"/>
        </w:rPr>
      </w:pPr>
    </w:p>
    <w:p>
      <w:pPr>
        <w:keepNext w:val="0"/>
        <w:keepLines w:val="0"/>
        <w:pageBreakBefore w:val="0"/>
        <w:kinsoku/>
        <w:wordWrap/>
        <w:overflowPunct/>
        <w:topLinePunct w:val="0"/>
        <w:autoSpaceDE/>
        <w:autoSpaceDN/>
        <w:bidi w:val="0"/>
        <w:spacing w:line="380" w:lineRule="exact"/>
        <w:ind w:left="1050" w:leftChars="500"/>
        <w:rPr>
          <w:rFonts w:hint="eastAsia" w:ascii="宋体" w:hAnsi="宋体" w:eastAsia="宋体" w:cs="宋体"/>
          <w:b/>
          <w:color w:val="auto"/>
          <w:kern w:val="0"/>
          <w:sz w:val="32"/>
          <w:szCs w:val="32"/>
          <w:highlight w:val="none"/>
          <w:u w:val="single"/>
        </w:rPr>
      </w:pPr>
    </w:p>
    <w:p>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color w:val="auto"/>
          <w:kern w:val="0"/>
          <w:sz w:val="32"/>
          <w:szCs w:val="32"/>
          <w:highlight w:val="none"/>
          <w:u w:val="single"/>
        </w:rPr>
      </w:pPr>
      <w:r>
        <w:rPr>
          <w:rFonts w:hint="eastAsia" w:ascii="宋体" w:hAnsi="宋体" w:eastAsia="宋体" w:cs="宋体"/>
          <w:color w:val="auto"/>
          <w:szCs w:val="21"/>
          <w:highlight w:val="none"/>
        </w:rPr>
        <w:br w:type="page"/>
      </w:r>
      <w:r>
        <w:rPr>
          <w:rFonts w:hint="eastAsia" w:ascii="宋体" w:hAnsi="宋体" w:eastAsia="宋体" w:cs="宋体"/>
          <w:b/>
          <w:color w:val="auto"/>
          <w:kern w:val="0"/>
          <w:sz w:val="32"/>
          <w:szCs w:val="32"/>
          <w:highlight w:val="none"/>
        </w:rPr>
        <w:t>合同主要条款</w:t>
      </w:r>
    </w:p>
    <w:p>
      <w:pPr>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color w:val="auto"/>
          <w:kern w:val="0"/>
          <w:sz w:val="24"/>
          <w:szCs w:val="20"/>
          <w:highlight w:val="none"/>
        </w:rPr>
      </w:pPr>
    </w:p>
    <w:p>
      <w:pPr>
        <w:snapToGrid w:val="0"/>
        <w:spacing w:line="420" w:lineRule="exact"/>
        <w:ind w:right="480" w:firstLine="420" w:firstLineChars="200"/>
        <w:rPr>
          <w:rFonts w:hint="eastAsia" w:ascii="宋体" w:hAnsi="宋体" w:eastAsia="宋体" w:cs="宋体"/>
          <w:bCs/>
          <w:color w:val="auto"/>
          <w:sz w:val="21"/>
          <w:szCs w:val="21"/>
          <w:highlight w:val="none"/>
          <w:u w:val="single"/>
        </w:rPr>
      </w:pPr>
      <w:bookmarkStart w:id="50" w:name="OLE_LINK65"/>
      <w:r>
        <w:rPr>
          <w:rFonts w:hint="eastAsia" w:ascii="宋体" w:hAnsi="宋体" w:eastAsia="宋体" w:cs="宋体"/>
          <w:bCs/>
          <w:color w:val="auto"/>
          <w:sz w:val="21"/>
          <w:szCs w:val="21"/>
          <w:highlight w:val="none"/>
        </w:rPr>
        <w:t>合同编号：</w:t>
      </w:r>
    </w:p>
    <w:p>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0"/>
          <w:sz w:val="21"/>
          <w:szCs w:val="21"/>
          <w:highlight w:val="none"/>
        </w:rPr>
        <w:t>采 购 计 划 号</w:t>
      </w:r>
      <w:r>
        <w:rPr>
          <w:rFonts w:hint="eastAsia" w:ascii="宋体" w:hAnsi="宋体" w:eastAsia="宋体" w:cs="宋体"/>
          <w:color w:val="auto"/>
          <w:sz w:val="21"/>
          <w:szCs w:val="21"/>
          <w:highlight w:val="none"/>
          <w:u w:val="single"/>
        </w:rPr>
        <w:t xml:space="preserve">             </w:t>
      </w:r>
    </w:p>
    <w:p>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0"/>
          <w:sz w:val="21"/>
          <w:szCs w:val="21"/>
          <w:highlight w:val="none"/>
        </w:rPr>
        <w:t>招  标  编  号</w:t>
      </w:r>
      <w:r>
        <w:rPr>
          <w:rFonts w:hint="eastAsia" w:ascii="宋体" w:hAnsi="宋体" w:eastAsia="宋体" w:cs="宋体"/>
          <w:color w:val="auto"/>
          <w:sz w:val="21"/>
          <w:szCs w:val="21"/>
          <w:highlight w:val="none"/>
          <w:u w:val="single"/>
        </w:rPr>
        <w:t xml:space="preserve">             </w:t>
      </w:r>
    </w:p>
    <w:p>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eastAsia="宋体" w:cs="宋体"/>
          <w:color w:val="auto"/>
          <w:sz w:val="21"/>
          <w:szCs w:val="21"/>
          <w:highlight w:val="none"/>
          <w:u w:val="single"/>
        </w:rPr>
        <w:t xml:space="preserve">             </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本合同为中小企业预留合同：</w:t>
      </w:r>
      <w:r>
        <w:rPr>
          <w:rFonts w:hint="eastAsia" w:ascii="宋体" w:hAnsi="宋体" w:eastAsia="宋体" w:cs="宋体"/>
          <w:color w:val="auto"/>
          <w:sz w:val="21"/>
          <w:szCs w:val="21"/>
          <w:highlight w:val="none"/>
          <w:u w:val="single"/>
        </w:rPr>
        <w:t xml:space="preserve">（否） </w:t>
      </w:r>
      <w:r>
        <w:rPr>
          <w:rFonts w:hint="eastAsia" w:ascii="宋体" w:hAnsi="宋体" w:eastAsia="宋体" w:cs="宋体"/>
          <w:color w:val="auto"/>
          <w:sz w:val="21"/>
          <w:szCs w:val="21"/>
          <w:highlight w:val="none"/>
        </w:rPr>
        <w:t>。</w:t>
      </w:r>
    </w:p>
    <w:p>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根据《中华人民共和国政府采购法》《中华人民共和国民法典》等法律法规规定，按照招标文件规定条款和中标供应商承诺，甲乙双方签订本合同。</w:t>
      </w:r>
    </w:p>
    <w:p>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第一条 合同标的及合同金额 </w:t>
      </w:r>
    </w:p>
    <w:p>
      <w:pPr>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甲方向乙方购买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见下表）；设备配置包括但不限于双方签字（甲方为使用科室签字）确认的清单（清单附后），该配置必须同时满足乙方在投标文件中所有的响应条款以及在采购和商务谈判过程中做出的所有承诺，并综合配置清单、招标文件及投标文件承诺中的条款进行验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40"/>
        <w:gridCol w:w="2089"/>
        <w:gridCol w:w="1621"/>
        <w:gridCol w:w="684"/>
        <w:gridCol w:w="529"/>
        <w:gridCol w:w="1153"/>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20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生产厂家、品牌、规格型号</w:t>
            </w: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技术参数性能指标等</w:t>
            </w: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5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5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单价（元）②</w:t>
            </w: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单项合计 =数量×单价＝①×②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0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0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08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44" w:type="dxa"/>
            <w:gridSpan w:val="7"/>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4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bl>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根据《中标通知书》的中标内容，合同的总金额为：（大写）</w:t>
      </w:r>
      <w:r>
        <w:rPr>
          <w:rFonts w:hint="eastAsia" w:ascii="宋体" w:hAnsi="宋体" w:eastAsia="宋体" w:cs="宋体"/>
          <w:bCs/>
          <w:color w:val="auto"/>
          <w:sz w:val="21"/>
          <w:szCs w:val="21"/>
          <w:highlight w:val="none"/>
        </w:rPr>
        <w:t>人民币</w:t>
      </w:r>
      <w:r>
        <w:rPr>
          <w:rFonts w:hint="eastAsia" w:ascii="宋体" w:hAnsi="宋体" w:eastAsia="宋体" w:cs="宋体"/>
          <w:bCs/>
          <w:color w:val="auto"/>
          <w:sz w:val="21"/>
          <w:szCs w:val="21"/>
          <w:highlight w:val="none"/>
          <w:u w:val="single"/>
        </w:rPr>
        <w:t>（¥          元）</w:t>
      </w:r>
      <w:r>
        <w:rPr>
          <w:rFonts w:hint="eastAsia" w:ascii="宋体" w:hAnsi="宋体" w:eastAsia="宋体" w:cs="宋体"/>
          <w:bCs/>
          <w:color w:val="auto"/>
          <w:sz w:val="21"/>
          <w:szCs w:val="21"/>
          <w:highlight w:val="none"/>
        </w:rPr>
        <w:t xml:space="preserve"> 。</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合计金额包括货物价款，备件、专用工具、安装、调试、检验、技术培训及技术资料和包装、运输、装卸、税金、售后服务、物料、人工、差旅、通讯、文印、保险、进出口手续费用（如有）等使得货物达到正常使用状态和技术要求的全部费用。</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质量保证</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1.乙方所提供的货物型号、商标品牌、生产厂家、技术规格、技术参数等质量必须与投标文件的承诺相一致。乙方提供的自主创新产品、节能和环保产品必须是列入政府采购清单的产品。</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2.乙方所提供的货物必须是全新、未使用的原装产品，且在正常安装、使用和保养条件下，其使用寿命期内各项指标均达到质量要求。</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3.如在使用过程中发生质量问题，乙方在接到甲方通知后在按乙方投标文件中承诺的不超过招标要求的响应时间内到达甲方现场处理。</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4.乙方提供货物的免费保修期为自货物验收合格之日起</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年，</w:t>
      </w:r>
      <w:r>
        <w:rPr>
          <w:rFonts w:hint="eastAsia" w:ascii="宋体" w:hAnsi="宋体" w:eastAsia="宋体" w:cs="宋体"/>
          <w:color w:val="auto"/>
          <w:kern w:val="0"/>
          <w:sz w:val="21"/>
          <w:szCs w:val="21"/>
          <w:highlight w:val="none"/>
        </w:rPr>
        <w:t>若产品到货之日起20个日历天内未进行安装调试的，免费保修期自到货之日起第30个日历天开始计算。</w:t>
      </w:r>
      <w:r>
        <w:rPr>
          <w:rFonts w:hint="eastAsia" w:ascii="宋体" w:hAnsi="宋体" w:eastAsia="宋体" w:cs="宋体"/>
          <w:color w:val="auto"/>
          <w:sz w:val="21"/>
          <w:szCs w:val="21"/>
          <w:highlight w:val="none"/>
        </w:rPr>
        <w:t>（企业备案标准厂家规定免费保修期超过1年的，按厂家规定，“采购需求”有规定的，按规定执行）。</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免费保修期内，乙方应对货物出现的质量及安全问题负责处理解决并承担一切费用。在免费保修期内因货物本身的质量问题发生故障，乙方应负责免费修理和更换零部件。乙方同意，对达不到技术要求者，根据实际情况，甲方可以要求乙方按以下办法（1）处理：</w:t>
      </w:r>
    </w:p>
    <w:p>
      <w:pPr>
        <w:spacing w:line="400" w:lineRule="exact"/>
        <w:ind w:left="412" w:left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（1）更换：由乙方承担所发生的全部费用。</w:t>
      </w:r>
    </w:p>
    <w:p>
      <w:pPr>
        <w:spacing w:line="400" w:lineRule="exact"/>
        <w:ind w:left="412" w:left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（2）贬值处理：由甲乙双方合议定价。</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（3）退货处理：乙方应退还甲方支付的合同款，同时应承担该货物的直接费用（运输、保险、检验、贷款利息及银行手续费等）。</w:t>
      </w:r>
    </w:p>
    <w:p>
      <w:pPr>
        <w:snapToGrid w:val="0"/>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乙方应按投标文件承诺的货物规格型号、技术参数、质量标准等向甲方提供未经使用的全新原装产品（包括产品的零部件），且在正常安装使用和保养条件下，其使用寿命期内各项指标均达到采购文件及投标/响应文件承诺的质量标准。乙方提供的节能和环境标志产品必须是列入现行政府采购清单目录内的产品。</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权利保证</w:t>
      </w:r>
    </w:p>
    <w:p>
      <w:pPr>
        <w:spacing w:line="400" w:lineRule="exact"/>
        <w:ind w:firstLine="411" w:firstLineChars="196"/>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乙方应保证所提供货物在使用时不会侵犯任何第三方的专利权、商标权、著作权在内的知识产权或其他权利。如果甲方因此遭受任何第三方的索赔、诉讼或任何权利请求，乙方有义务以买方名义自费处理纠纷，并承担所有法律和经济责任。</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2.乙方应按招标文件规定的时间向甲方提供使用货物的有关技术资料。</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3.乙方保证所交付的货物的所有权完全属于甲方，且无任何抵押、质押、查封等物权瑕疵，乙方保证对甲方所交付的货物享有完全的处分权。</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保证对本合同项下产品及其配件在合同期内拥有完全知识产权或知识产权授权，对于所涉及的第三方知识产权予以了充分的尊重和依法保护，乙方为本合同所提供的相关产品均不存在知识产权方面的瑕疵，否则乙方应对甲方因使用乙方产品导致任何第三方向甲方提起知识产权索赔要求、诉讼或其他侵权指控行为承担全部责任（包括甲方因此造成的直接和间接的损失赔偿）。</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保证对本合同项下产品拥有完全的销售权利（包括但不限于代理经营权等），如因乙方原因导致无法在90天内供货，甲方可单方解除合同。乙方应当承担本合同总金额20%的违约责任，且应当承担甲方全部损失，包括但不限于重新采购、使用替代产品等。</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对履行本协议过程中所接触到的甲方的保密信息，包括但不限于个人信息、内部资料及相关技术资料等负有保密义务，不得进行任何形式的使用或者透露给任何第三方或作为其他商业用途。未经甲方书面同意，乙方不得以任何形式向第三方透露，否则应承担由此给甲方造成的所有损失。乙方对于保密信息的义务应延续至该等信息因合法的原因而成为公开信息。</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货物包装、运输</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1.乙方应在货物发运前对其进行满足运输距离、防潮、防震、防锈和防破损装卸等要求的包装，以保证货物安全无损运达甲方指定地点。</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2.使用中文说明书（货物属于进口产品的，供货时应同时附上中文使用说明书）、质量检验证明书、随配附件和工具以及清单一并附随货物送达。</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3.乙方在货物发运手续办理完毕后二十四小时内或货到甲方四十八小时前通知甲方，以准备接货。</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4.货物在交付甲方前发生的全部风险和责任均由乙方负责承担，甲方对此不负责任。</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交付</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1.交付使用日期：自本合同签订后，甲方书面通知发货之日起</w:t>
      </w:r>
      <w:r>
        <w:rPr>
          <w:rFonts w:hint="eastAsia" w:ascii="宋体" w:hAnsi="宋体" w:eastAsia="宋体" w:cs="宋体"/>
          <w:color w:val="auto"/>
          <w:sz w:val="21"/>
          <w:szCs w:val="21"/>
          <w:highlight w:val="none"/>
          <w:u w:val="single"/>
        </w:rPr>
        <w:t xml:space="preserve">  60  </w:t>
      </w:r>
      <w:r>
        <w:rPr>
          <w:rFonts w:hint="eastAsia" w:ascii="宋体" w:hAnsi="宋体" w:eastAsia="宋体" w:cs="宋体"/>
          <w:color w:val="auto"/>
          <w:sz w:val="21"/>
          <w:szCs w:val="21"/>
          <w:highlight w:val="none"/>
        </w:rPr>
        <w:t>日历天；地点：</w:t>
      </w:r>
      <w:r>
        <w:rPr>
          <w:rFonts w:hint="eastAsia" w:ascii="宋体" w:hAnsi="宋体" w:eastAsia="宋体" w:cs="宋体"/>
          <w:color w:val="auto"/>
          <w:sz w:val="21"/>
          <w:szCs w:val="21"/>
          <w:highlight w:val="none"/>
          <w:u w:val="single"/>
        </w:rPr>
        <w:t>广西桂林市内甲方指定地点，</w:t>
      </w:r>
      <w:r>
        <w:rPr>
          <w:rFonts w:hint="eastAsia" w:ascii="宋体" w:hAnsi="宋体" w:eastAsia="宋体" w:cs="宋体"/>
          <w:color w:val="auto"/>
          <w:sz w:val="21"/>
          <w:szCs w:val="21"/>
          <w:highlight w:val="none"/>
        </w:rPr>
        <w:t>该交付日为绝对交付日，即乙方已经充分考虑交付前的相关风险等原因，乙方确认货物将在该交付日在甲方的指定地点交付给甲方。</w:t>
      </w:r>
      <w:r>
        <w:rPr>
          <w:rFonts w:hint="eastAsia" w:ascii="宋体" w:hAnsi="宋体" w:eastAsia="宋体" w:cs="宋体"/>
          <w:color w:val="auto"/>
          <w:kern w:val="0"/>
          <w:sz w:val="21"/>
          <w:szCs w:val="21"/>
          <w:highlight w:val="none"/>
        </w:rPr>
        <w:t>因甲方无法提供合格的安装场地和条件，需逾期交付，甲方提前60个日历天告知乙方，</w:t>
      </w:r>
      <w:r>
        <w:rPr>
          <w:rFonts w:hint="eastAsia" w:ascii="宋体" w:hAnsi="宋体" w:eastAsia="宋体" w:cs="宋体"/>
          <w:color w:val="auto"/>
          <w:sz w:val="21"/>
          <w:szCs w:val="21"/>
          <w:highlight w:val="none"/>
        </w:rPr>
        <w:t>双方通过友好协商变更交付时间。</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2.乙方提供不符合招投标和招标文件及本合同规定的货物，甲方有权拒绝接受。</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将所有提供货物的装箱清单、用户手册、原厂保修卡、随机资料、工具和备用、备件等交付给甲方，货物属于进口产品的，供货时应同时附上中文使用说明书，如有缺失应及时补齐，补齐时间由甲方规定的时间为准，否则视为逾期交货。</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调试和验收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1.乙方交货前应对产品做出全面的检查和对验收文件进行整理，并列出清单，作为甲方验收和使用的技术条件依据，验收的结果应随货物交甲方。</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甲方依据招标文件要求、投标文件的承诺和国家有关质量标准对货物进行现场初步验收，外观、说明书符合招标文件技术要求的，给予签收，初步验收不合格的不予签收。货到后，甲方应当在设备（含附件）全部安装到位、调试完好、相关培训结束后七个工作日内进行验收。验收合格后由甲乙双方签署货物验收单并加盖公章，甲乙双方各执一份。</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3.甲方对乙方提供的货物在使用前进行调试和试用时，乙方需负责安装并培训甲方的使用操作人员，并协助甲方人员一起调试，乙方对于培训质量负责直到符合技术要求，甲方才做最终验收。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对技术复杂的货物（“技术复杂的货物”以甲方定义为准），甲方可以请国家认可的专业检测机构参与初步验收及最终验收，并由其出具质量检测报告。进口设备必须提供货物清关记录，具备省级（或相当于省级）商检部门的检验证明。甲方针对技术复杂的货物可以按照以下流程进行初步验收及最终验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招标文件“采购需求”要求的验收标准与本合同约定标准进行验收。甲乙双方如对质量要求和技术指标的约定标准有相互抵触或异议的事项，由甲方在招标文件与投标文件中，按质量要求和技术指标比较优胜的原则，确定该项的约定标准进行验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（3）验收结束后，应当出具验收书，列明各项标准的验收情况及项目总体评价，由验收双方共同签署。</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5.验收时乙方必须在现场，验收完毕后做出验收结果报告，验收费用及产生的相关费用由乙方全部负担。</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6.甲方对验收有异议的，在验收后五个工作日内以书面形式向乙方提出，乙方应自收到甲方书面异议后3日内及时予以解决。</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供货时必须向甲方提供招标文件中约定的证明材料，否则不予验收。如有委托代理人，乙方必须提供：①关于本项目的授权委托书（授权需要含有授权事由、权限范围、时间期限、法定代表人签字、写上日期</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盖公章）；②被委托人/被授权人的身份证彩色扫描打印件（加盖公章）；③法定代表人身份证扫描件（加盖公章）。</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供货时，乙方必须提供全新的原装正品，符合有关质量标准的产品；乙方所提供的货物规格、技术标准等质量必须与采购需求及投标文件中承诺的参数一致。甲方将委托具有检测资质的第三方检测机构，邀请相关专家，根据招标文件要求及投标文件承诺，逐条对应进行现场核验。核验不合格的，乙方应在3个工作日内进行更换。乙方未按要求进行更换或再次验收不合格的，甲方有权解除合同，同时报相关监督管理部门处理，由此造成甲方损失的由乙方负责承担全部赔偿责任和本合同总金额20%的违约金，甲方有权处理已进场的产品。如有异议，将交由具有检测资质的第三方检测机构邀请相关专家进行实际检验，以实测值为准，所有产生的费用由乙方承担。验收完成后乙方须提供完整的安装、操作、使用和维护手册及设备位置图等所有技术资料、图纸。</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安装和培训</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1.甲方应提供必要安装条件（如场地、电源、水源等）。</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设备到达甲方使用科室后，乙方负责派工程师免费安装、调试机器，并在甲方指定时间地点，培训甲方工作人员，直至熟练掌握设备的操作、日常维护保养技能为止。乙方负责提供针对甲方维修工程师的现场操作、维修、维护培训服务。乙方负责免费安装，甲方不再支付任何与安装、检测（校准）、验收、使用等相关的费用。乙方安装完毕后立即清理包装等残留垃圾，不准在甲方场所内堆放，乙方承担一切清理费用。</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  售后服务约定</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1.乙方应按照国家有关法律规定和“三包”规定以及招标文件要求、乙方投标文件承诺为甲方提供售后服务。</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2.送货上门、安装调试合格，向甲方提供培训服务，直至甲方相关人员熟练使用为止。</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3.免费保修要求：</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（1）免费保修期内定期上门检查、上门维修。在使用过程中若产品发生质量问题或故障，在接到甲方通知后个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小时内到达故障现场处理，一般故障处理时限不超过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小时修复；重大故障处理时限不超过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小时修复（不可抗力情况除外）。如遇更换配件或其它特殊原因短时间内无法解决的（故障发生后的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无法修复），应向甲方提供备用产品以保障甲方工作的正常开展，如无法提供备用产品的，则按实际停止使用时间的7倍顺延保修期（如停止使用1天，保修期则在原有保修年限基础上加7天，停止使用2天则加14天，停3天则加21天，以此类推）。</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（2）若产品自带软件的，则须提供软件永久使用权和终身免费升级服务。</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（3）乙方如将设备运离甲方处进行维修，须事先征得甲方设备管理部门和使用科室的同意，并留下书面字据。免费保修期内厂家应每年对设备进行1—2次的巡回检修，并出具检修报告。</w:t>
      </w:r>
    </w:p>
    <w:p>
      <w:pPr>
        <w:adjustRightInd w:val="0"/>
        <w:snapToGrid w:val="0"/>
        <w:spacing w:line="400" w:lineRule="exact"/>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（4）签订合同时，由厂家提供的保修承诺作为合同的附件，效力与合同正文一致。乙方保证厂家提供的保修承诺与乙方承诺的售后服务条款并行有效。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4.本项目为交钥匙项目（甲方确保场地已通水、通电），乙方必须按甲方要求提供经甲方确认的配套设备机房的设计及装修。</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5.在免费保修期内，乙方应对货物出现的质量及安全问题负责处理解决并承担一切费用。</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  税费</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本合同执行中相关的一切税费均由乙方自行全部负担。</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付款方式</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1．合同签订后成交供应商向采购人开具合同总金额 50%的请款函和对应金额的合法发票。采购人在收到成交供应商的请款函和发票后，向成交供应商申请支付合同总金额50%的预付款。成交供应商在收到预付款后 30 日内将全部货物交付采购人。</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2.对所有货物最终验收合格后，成交供应商提供合同总金额 50%的请款函和对应金额的合法发票。采购人在收到成交供应商的请款函和发票后，向成交供应商申请支付合同总金额的50%。</w:t>
      </w:r>
    </w:p>
    <w:p>
      <w:pPr>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3.每次付款前，成交人提交的请款材料包括请款函、对应支付金额的合法发票以及相关材料。</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  违约责任</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1.乙方所提供的货物规格、技术标准、材料等质量不合格的，应及时更换。</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2.乙方提供的货物如果侵犯了第三方合法权益而引发的任何纠纷或诉讼，均由乙方负责交涉并承担全部责任，如果累及甲方，需赔偿甲方的损失（包括处理费用）。</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3.因包装、运输引起的货物损坏，按质量不合格处理。</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4.乙方逾期交货的，每天向对方偿付违约货款额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违约金，但违约金累计不得超过违约货款额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u w:val="single"/>
        </w:rPr>
        <w:t xml:space="preserve"> 5 天</w:t>
      </w:r>
      <w:r>
        <w:rPr>
          <w:rFonts w:hint="eastAsia" w:ascii="宋体" w:hAnsi="宋体" w:eastAsia="宋体" w:cs="宋体"/>
          <w:color w:val="auto"/>
          <w:sz w:val="21"/>
          <w:szCs w:val="21"/>
          <w:highlight w:val="none"/>
        </w:rPr>
        <w:t>甲方有权解除合同，乙方承担甲方损失，包括但不限于甲方为维护权利而支付的律师费、诉讼费、保全费、财产保全保险费、鉴定费、交通费、食宿费等费用。因甲方未能提供合格的安装场地和条件，造成的逾期交货和逾期安装验收，双方应通过友好协商，确定是否继续履行合同，或变更交货期限。乙方履行本合同和投标文件相关义务后，甲方未按本合同约定期限付款，每天向乙方偿付合同总金额</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的违约金。</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5.若商品存在设计、工艺或材料的缺陷，且这些缺陷使得商品无法正常使用，乙方应当负责维修或更换；若维修不能解决问题，乙方应退还商品价格并承担由此导致的其他合理费用。</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6.因乙方的行为造成违约的，甲方有权解除合同或者继续履行合同，乙方还应承担甲方为维护权利而支付的律师费、诉讼费、保全费、财产保全保险费、鉴定费、交通费、食宿费等费用。</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违约方造成对方损害的，应当赔偿损失。如未能按期支付相关违约金的，乙方同意按两倍同期银行贷款利率向甲方支付此违约金的利息，甲方有权利以货款抵扣违约金及利息。解除通知的送达方式包括但不限于：书面手递送达、邮政快递送达、电子邮件送达、短信送达等。送达地址为本合同列明的地址，自解除通知发出之日起7个自然日后视为送达。</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  不可抗力事件处理</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乙方因不可抗力事件导致不能履行合同，则合同履行期可延长，其延长期与不可抗力影响期相同。不可抗力事件包括但不限于自然灾害、战争、政府行为等无法预见且无法避免并无法克服的外力事件。乙方在不可抗力事件发生后，应立即以书面形式通知甲方，并在15日内提供由公证机构出具的与不可抗力事件相关的证明。</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第十三条  合同争议解决</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2.因履行本合同引起的或与本合同有关的争议，甲乙双方应首先通过友好协商解决，如果协商不能解决，可向甲方所在地有管辖权的人民法院起诉。</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第十四条  合同生效及其他</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1.本合同履行期限为：       ；合同履行地点为：</w:t>
      </w:r>
      <w:r>
        <w:rPr>
          <w:rFonts w:hint="eastAsia" w:ascii="宋体" w:hAnsi="宋体" w:eastAsia="宋体" w:cs="宋体"/>
          <w:color w:val="auto"/>
          <w:sz w:val="21"/>
          <w:szCs w:val="21"/>
          <w:highlight w:val="none"/>
          <w:u w:val="single"/>
        </w:rPr>
        <w:t>桂林市内甲方指定地点</w:t>
      </w:r>
      <w:r>
        <w:rPr>
          <w:rFonts w:hint="eastAsia" w:ascii="宋体" w:hAnsi="宋体" w:eastAsia="宋体" w:cs="宋体"/>
          <w:color w:val="auto"/>
          <w:sz w:val="21"/>
          <w:szCs w:val="21"/>
          <w:highlight w:val="none"/>
        </w:rPr>
        <w:t>；合同履行的方式：</w:t>
      </w:r>
      <w:r>
        <w:rPr>
          <w:rFonts w:hint="eastAsia" w:ascii="宋体" w:hAnsi="宋体" w:eastAsia="宋体" w:cs="宋体"/>
          <w:color w:val="auto"/>
          <w:sz w:val="21"/>
          <w:szCs w:val="21"/>
          <w:highlight w:val="none"/>
          <w:u w:val="single"/>
        </w:rPr>
        <w:t>按照本合同约定</w:t>
      </w:r>
      <w:r>
        <w:rPr>
          <w:rFonts w:hint="eastAsia" w:ascii="宋体" w:hAnsi="宋体" w:eastAsia="宋体" w:cs="宋体"/>
          <w:color w:val="auto"/>
          <w:sz w:val="21"/>
          <w:szCs w:val="21"/>
          <w:highlight w:val="none"/>
        </w:rPr>
        <w:t>。</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2.合同经甲乙双方法定代表人或相应的授权代表签字并加盖供应商公章后生效。</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3.合同执行中涉及采购资金和采购内容修改或补充的，需经财政部门审批，并签订书面补充协议报桂林市政府采购监督管理部门备案，方可作为主合同不可分割的一部分。</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4.本合同未尽事宜，遵照《中华人民共和国民法典》及有关条文执行。</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第十五条  合同的变更、终止与转让</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2.乙方不得未经甲方书面同意，擅自转让其应履行的合同义务。违反此条款的，甲方有权解除合同。</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3.合同期内，未经甲方同意，乙方供货义务不得转让给第三人，否则，甲方可以单方解除本合同。本合同项下乙方收取货款的权利，未经甲方同意，不得转让。</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第十六条  合同解除</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乙方如有下列情形之一的，甲方有权解除合同，并要求乙方支付违约金，并赔偿损失：</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1.在合同期内甲方有权对乙方的售后服务质量、响应及时性、货物质量等进行不定期考核，甲方评价乙方考核不合格的；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内如乙方出现（1）犯罪行为；（2）被行政执法机关处以吊销营业执照、取消资质、责令停业、行政罚款金额较大（叁万元人民币以上）、暂扣安全生产许可证；（3）财务被接管或冻结情况的。包括但不限于偷税漏税、虚假宣传、商业欺诈、商业贿赂、非法生产等商业不良行为；</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3.乙方在合同签署前未主动告知甲方其在合同签署前三年之内有本条第2款中的行为的；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4.乙方处于司法诉讼中且甲方认为乙方存在经营风险或专利侵权风险等可能影响合同履行的情形。</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5.因乙方原因，未按期交货一次以上，含专机专用试剂耗材（如有）；或未按招标文件、投标文件及合同规定履行服务承诺一次以上；</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其他解除情形依照本合同约定。</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第十七条 专机专用试剂/耗材声明与承诺</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试剂/耗材是指某类设备所配套使用的持续消耗品，包括但不限于试剂、校准品、质控品、电极模块、清洗保养品、消耗品等设备日常运作、维修、维护所需要全部材料，专机专用试剂/耗材是指在上述基础上符合下列条件之一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1）仅有唯一生产厂家（包括但不限于设备制造商、试剂/耗材生产商等）自行配套生产的；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2）其他生产厂家不生产或其他产品无法替代的；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注：如甲乙方对本合同项下产品是否包含专机专用试剂/耗材产生争议，不包含专机专用试剂/耗材的举证责任归乙方承担，适用举证责任倒置。</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2.乙方承诺，本合同项下全部设备专机专用试剂耗材在本合同签订前的招投标过程中已向甲方以特别提醒的方式明示（是否提醒甲方由乙方承担举证责任）并在投标文件中明示单次完整使用之消耗量及对应价格。</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3.乙方承诺，如若甲方选择乙方供应专机专用耗材，则乙方提供的价格不高于桂林市同属单位相同产品或类似产品的价格。</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本条款效力在本合同终止、解除后依然有效。</w:t>
      </w:r>
    </w:p>
    <w:p>
      <w:pPr>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第十八条 反商业贿赂条款</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1.甲乙双方都清楚并愿意严格遵守中华人民共和国反商业贿赂的法律规定，双方都清楚任何形式的贿赂和贪渎行为都将触犯法律，并将受到法律的严惩。</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3.甲方严格禁止甲方经办人员的任何商业贿赂行为。甲方经办人发生本条第二款所列示的任何一种行为，都是违反甲方制度的，都将受到甲方制度和国家法律的惩处。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4.甲方郑重提示：甲方反对乙方或乙方经办人员为了本合同之目的与本合同以外的任何第三方发生本条第二款所列示的任何一种行为，该等行为都是违反国家法律的行为，并将受到国家法律的惩处。</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5.如因一方或一方经办人涉嫌违反第二十条第2点、第3点、第4点之规定，相对方均有权终止合同；如经司法机关调查后其商业贿赂行为属实，则相对方有权解除合同，造成守约方损失的，应承担损害赔偿责任。</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6.本条所称“其他相关人员”是指甲乙方经办人以外的与合同有直接或间接利益关系的人员，包括但不仅限于合同经办人的亲友。</w:t>
      </w:r>
    </w:p>
    <w:p>
      <w:pPr>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color w:val="auto"/>
          <w:sz w:val="21"/>
          <w:szCs w:val="21"/>
          <w:highlight w:val="none"/>
        </w:rPr>
        <w:t>九</w:t>
      </w:r>
      <w:r>
        <w:rPr>
          <w:rFonts w:hint="eastAsia" w:ascii="宋体" w:hAnsi="宋体" w:eastAsia="宋体" w:cs="宋体"/>
          <w:b/>
          <w:bCs/>
          <w:color w:val="auto"/>
          <w:sz w:val="21"/>
          <w:szCs w:val="21"/>
          <w:highlight w:val="none"/>
        </w:rPr>
        <w:t>条  签订本合同时包括但不限于以下文件，以下文件属于本合同的依据和附件，具有与合同正文同等的法律效力：</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1.合同主要条款； </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2.采购需求；</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3.投标函、</w:t>
      </w:r>
      <w:r>
        <w:rPr>
          <w:rFonts w:hint="eastAsia" w:ascii="宋体" w:hAnsi="宋体" w:eastAsia="宋体" w:cs="宋体"/>
          <w:color w:val="auto"/>
          <w:sz w:val="21"/>
          <w:szCs w:val="21"/>
          <w:highlight w:val="none"/>
        </w:rPr>
        <w:t>投标报价表、易损件报价表（如有）</w:t>
      </w:r>
      <w:r>
        <w:rPr>
          <w:rFonts w:hint="eastAsia" w:ascii="宋体" w:hAnsi="宋体" w:eastAsia="宋体" w:cs="宋体"/>
          <w:bCs/>
          <w:color w:val="auto"/>
          <w:sz w:val="21"/>
          <w:szCs w:val="21"/>
          <w:highlight w:val="none"/>
        </w:rPr>
        <w:t>；</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技术偏离表、</w:t>
      </w:r>
      <w:r>
        <w:rPr>
          <w:rFonts w:hint="eastAsia" w:ascii="宋体" w:hAnsi="宋体" w:eastAsia="宋体" w:cs="宋体"/>
          <w:bCs/>
          <w:color w:val="auto"/>
          <w:sz w:val="21"/>
          <w:szCs w:val="21"/>
          <w:highlight w:val="none"/>
        </w:rPr>
        <w:t>商</w:t>
      </w:r>
      <w:r>
        <w:rPr>
          <w:rFonts w:hint="eastAsia" w:ascii="宋体" w:hAnsi="宋体" w:eastAsia="宋体" w:cs="宋体"/>
          <w:color w:val="auto"/>
          <w:sz w:val="21"/>
          <w:szCs w:val="21"/>
          <w:highlight w:val="none"/>
        </w:rPr>
        <w:t>务响应表</w:t>
      </w:r>
      <w:r>
        <w:rPr>
          <w:rFonts w:hint="eastAsia" w:ascii="宋体" w:hAnsi="宋体" w:eastAsia="宋体" w:cs="宋体"/>
          <w:bCs/>
          <w:color w:val="auto"/>
          <w:sz w:val="21"/>
          <w:szCs w:val="21"/>
          <w:highlight w:val="none"/>
        </w:rPr>
        <w:t xml:space="preserve">； </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5.厂家售后服务承诺书（盖厂家公章，如有）； </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6.乙方设备安装方案、售后服务实施方案（盖乙方公章）；</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7.产品配置清单（盖乙方公章）；</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8.法定代表人授权委托书（详情见第六条第8款）；</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9.中标单位注册证（三证合一）；</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10.产品代理授权书（如有，请提供1.授权书必须加盖厂家的公章2.有上级代理的，还应当提供上级代理公司出具的授权，授权必须加盖上级代理公司的公章3.授权链条务必完整）；</w:t>
      </w:r>
    </w:p>
    <w:p>
      <w:pPr>
        <w:spacing w:line="40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11.中标通知书。</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本项目的招标文件及投标文件均作为本合同的附件之一，效力等同于本合同正文。如有双方均认可的有利于甲方的条款更改或增加（如乙方出具的书面优惠承诺书等），则以更改或增加后的条款为准。 </w:t>
      </w:r>
    </w:p>
    <w:p>
      <w:pP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本合同甲乙双方签字盖章后生效，一式陆份，具有同等法律效力，甲方肆份、乙方壹份，政府采购合同双方自签订之日起 1 个工作日内将合同原件壹份交采购代理机构。</w:t>
      </w:r>
    </w:p>
    <w:p>
      <w:pPr>
        <w:spacing w:line="40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spacing w:line="400" w:lineRule="exact"/>
        <w:rPr>
          <w:rFonts w:hint="eastAsia" w:ascii="宋体" w:hAnsi="宋体" w:eastAsia="宋体" w:cs="宋体"/>
          <w:color w:val="auto"/>
          <w:kern w:val="0"/>
          <w:sz w:val="21"/>
          <w:szCs w:val="21"/>
          <w:highlight w:val="none"/>
        </w:rPr>
      </w:pPr>
    </w:p>
    <w:p>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甲方（公章）：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乙方（公章）：</w:t>
      </w:r>
      <w:r>
        <w:rPr>
          <w:rFonts w:hint="eastAsia" w:ascii="宋体" w:hAnsi="宋体" w:eastAsia="宋体" w:cs="宋体"/>
          <w:color w:val="auto"/>
          <w:kern w:val="0"/>
          <w:sz w:val="21"/>
          <w:szCs w:val="21"/>
          <w:highlight w:val="none"/>
          <w:u w:val="single"/>
        </w:rPr>
        <w:t xml:space="preserve">                               </w:t>
      </w:r>
    </w:p>
    <w:p>
      <w:pPr>
        <w:widowControl/>
        <w:spacing w:line="400" w:lineRule="exact"/>
        <w:ind w:left="5040" w:hanging="4410" w:hangingChars="21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法定代表人签字：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法定代表人签字：</w:t>
      </w:r>
      <w:r>
        <w:rPr>
          <w:rFonts w:hint="eastAsia" w:ascii="宋体" w:hAnsi="宋体" w:eastAsia="宋体" w:cs="宋体"/>
          <w:color w:val="auto"/>
          <w:kern w:val="0"/>
          <w:sz w:val="21"/>
          <w:szCs w:val="21"/>
          <w:highlight w:val="none"/>
          <w:u w:val="single"/>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pPr>
        <w:widowControl/>
        <w:spacing w:line="400" w:lineRule="exact"/>
        <w:ind w:left="8640" w:hanging="7560" w:hangingChars="36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 xml:space="preserve">开户名称：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开户名称：</w:t>
      </w:r>
      <w:r>
        <w:rPr>
          <w:rFonts w:hint="eastAsia" w:ascii="宋体" w:hAnsi="宋体" w:eastAsia="宋体" w:cs="宋体"/>
          <w:color w:val="auto"/>
          <w:kern w:val="0"/>
          <w:sz w:val="21"/>
          <w:szCs w:val="21"/>
          <w:highlight w:val="none"/>
          <w:u w:val="single"/>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sz w:val="21"/>
          <w:szCs w:val="21"/>
          <w:highlight w:val="none"/>
          <w:u w:val="single"/>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银行账号：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银行账号：</w:t>
      </w:r>
      <w:r>
        <w:rPr>
          <w:rFonts w:hint="eastAsia" w:ascii="宋体" w:hAnsi="宋体" w:eastAsia="宋体" w:cs="宋体"/>
          <w:color w:val="auto"/>
          <w:sz w:val="21"/>
          <w:szCs w:val="21"/>
          <w:highlight w:val="none"/>
          <w:u w:val="single"/>
        </w:rPr>
        <w:t xml:space="preserve">                                   </w:t>
      </w:r>
    </w:p>
    <w:p>
      <w:pPr>
        <w:widowControl/>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4"/>
          <w:highlight w:val="none"/>
          <w:u w:val="single"/>
        </w:rPr>
        <w:t xml:space="preserve">   </w:t>
      </w:r>
    </w:p>
    <w:p>
      <w:pPr>
        <w:rPr>
          <w:rFonts w:hint="eastAsia" w:ascii="宋体" w:hAnsi="宋体" w:eastAsia="宋体" w:cs="宋体"/>
          <w:color w:val="auto"/>
          <w:highlight w:val="none"/>
        </w:rPr>
      </w:pPr>
    </w:p>
    <w:bookmarkEnd w:id="50"/>
    <w:p>
      <w:pPr>
        <w:pStyle w:val="3"/>
        <w:keepNext w:val="0"/>
        <w:keepLines w:val="0"/>
        <w:spacing w:before="0" w:after="0" w:line="360" w:lineRule="auto"/>
        <w:jc w:val="center"/>
        <w:textAlignment w:val="center"/>
        <w:rPr>
          <w:rFonts w:hint="eastAsia" w:ascii="宋体" w:hAnsi="宋体" w:eastAsia="宋体" w:cs="宋体"/>
          <w:color w:val="auto"/>
          <w:highlight w:val="none"/>
        </w:rPr>
      </w:pPr>
      <w:bookmarkStart w:id="51" w:name="_Toc74320805"/>
      <w:r>
        <w:rPr>
          <w:rFonts w:hint="eastAsia" w:ascii="宋体" w:hAnsi="宋体" w:eastAsia="宋体" w:cs="宋体"/>
          <w:color w:val="auto"/>
          <w:highlight w:val="none"/>
        </w:rPr>
        <w:br w:type="page"/>
      </w:r>
      <w:r>
        <w:rPr>
          <w:rFonts w:hint="eastAsia" w:ascii="宋体" w:hAnsi="宋体" w:eastAsia="宋体" w:cs="宋体"/>
          <w:color w:val="auto"/>
          <w:highlight w:val="none"/>
        </w:rPr>
        <w:t>第六章　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格式</w:t>
      </w:r>
      <w:bookmarkEnd w:id="51"/>
      <w:r>
        <w:rPr>
          <w:rFonts w:hint="eastAsia" w:ascii="宋体" w:hAnsi="宋体" w:eastAsia="宋体" w:cs="宋体"/>
          <w:color w:val="auto"/>
          <w:highlight w:val="none"/>
          <w:lang w:eastAsia="zh-CN"/>
        </w:rPr>
        <w:t>）</w:t>
      </w:r>
    </w:p>
    <w:p>
      <w:pPr>
        <w:spacing w:line="400" w:lineRule="exact"/>
        <w:jc w:val="center"/>
        <w:rPr>
          <w:rFonts w:hint="eastAsia" w:ascii="宋体" w:hAnsi="宋体" w:eastAsia="宋体" w:cs="宋体"/>
          <w:b/>
          <w:color w:val="auto"/>
          <w:sz w:val="32"/>
          <w:szCs w:val="32"/>
          <w:highlight w:val="none"/>
        </w:rPr>
      </w:pPr>
    </w:p>
    <w:p>
      <w:pPr>
        <w:outlineLvl w:val="1"/>
        <w:rPr>
          <w:rFonts w:hint="eastAsia" w:ascii="宋体" w:hAnsi="宋体" w:cs="宋体"/>
          <w:b/>
          <w:bCs/>
          <w:color w:val="auto"/>
          <w:sz w:val="32"/>
          <w:szCs w:val="32"/>
          <w:highlight w:val="none"/>
        </w:rPr>
      </w:pPr>
      <w:r>
        <w:rPr>
          <w:rFonts w:hint="eastAsia" w:ascii="宋体" w:hAnsi="宋体" w:cs="宋体"/>
          <w:b/>
          <w:bCs/>
          <w:color w:val="auto"/>
          <w:sz w:val="30"/>
          <w:szCs w:val="30"/>
          <w:highlight w:val="none"/>
        </w:rPr>
        <w:t>投标文件封面格式：</w:t>
      </w:r>
    </w:p>
    <w:p>
      <w:pPr>
        <w:adjustRightInd w:val="0"/>
        <w:snapToGrid w:val="0"/>
        <w:rPr>
          <w:rFonts w:hint="eastAsia" w:ascii="宋体" w:hAnsi="宋体" w:cs="宋体"/>
          <w:b/>
          <w:color w:val="auto"/>
          <w:sz w:val="44"/>
          <w:szCs w:val="44"/>
          <w:highlight w:val="none"/>
        </w:rPr>
      </w:pPr>
    </w:p>
    <w:p>
      <w:pPr>
        <w:adjustRightInd w:val="0"/>
        <w:snapToGrid w:val="0"/>
        <w:jc w:val="center"/>
        <w:rPr>
          <w:rFonts w:hint="eastAsia" w:ascii="宋体" w:hAnsi="宋体" w:cs="宋体"/>
          <w:bCs/>
          <w:color w:val="auto"/>
          <w:sz w:val="72"/>
          <w:szCs w:val="72"/>
          <w:highlight w:val="none"/>
        </w:rPr>
      </w:pPr>
      <w:bookmarkStart w:id="52" w:name="_Toc13659_WPSOffice_Level1"/>
      <w:bookmarkStart w:id="53" w:name="_Toc3441_WPSOffice_Level1"/>
    </w:p>
    <w:p>
      <w:pPr>
        <w:adjustRightInd w:val="0"/>
        <w:snapToGrid w:val="0"/>
        <w:jc w:val="center"/>
        <w:rPr>
          <w:rFonts w:hint="eastAsia" w:ascii="宋体" w:hAnsi="宋体" w:cs="宋体"/>
          <w:b/>
          <w:color w:val="auto"/>
          <w:sz w:val="44"/>
          <w:szCs w:val="44"/>
          <w:highlight w:val="none"/>
        </w:rPr>
      </w:pPr>
      <w:r>
        <w:rPr>
          <w:rFonts w:hint="eastAsia" w:ascii="宋体" w:hAnsi="宋体" w:cs="宋体"/>
          <w:bCs/>
          <w:color w:val="auto"/>
          <w:sz w:val="72"/>
          <w:szCs w:val="72"/>
          <w:highlight w:val="none"/>
        </w:rPr>
        <w:t>投标文件</w:t>
      </w:r>
      <w:bookmarkEnd w:id="52"/>
      <w:bookmarkEnd w:id="53"/>
    </w:p>
    <w:p>
      <w:pPr>
        <w:adjustRightInd w:val="0"/>
        <w:snapToGrid w:val="0"/>
        <w:rPr>
          <w:rFonts w:hint="eastAsia" w:ascii="宋体" w:hAnsi="宋体" w:cs="宋体"/>
          <w:b/>
          <w:color w:val="auto"/>
          <w:sz w:val="44"/>
          <w:szCs w:val="44"/>
          <w:highlight w:val="none"/>
        </w:rPr>
      </w:pPr>
    </w:p>
    <w:p>
      <w:pPr>
        <w:adjustRightInd w:val="0"/>
        <w:snapToGrid w:val="0"/>
        <w:rPr>
          <w:rFonts w:hint="eastAsia" w:ascii="宋体" w:hAnsi="宋体" w:cs="宋体"/>
          <w:b/>
          <w:color w:val="auto"/>
          <w:sz w:val="44"/>
          <w:szCs w:val="44"/>
          <w:highlight w:val="none"/>
        </w:rPr>
      </w:pPr>
    </w:p>
    <w:p>
      <w:pPr>
        <w:ind w:firstLine="1800" w:firstLineChars="600"/>
        <w:jc w:val="left"/>
        <w:rPr>
          <w:rFonts w:hint="eastAsia" w:ascii="宋体" w:hAnsi="宋体" w:eastAsia="宋体" w:cs="宋体"/>
          <w:bCs/>
          <w:color w:val="auto"/>
          <w:sz w:val="30"/>
          <w:szCs w:val="30"/>
          <w:highlight w:val="none"/>
          <w:lang w:eastAsia="zh-CN"/>
        </w:rPr>
      </w:pPr>
      <w:r>
        <w:rPr>
          <w:rFonts w:hint="eastAsia" w:ascii="宋体" w:hAnsi="宋体" w:cs="宋体"/>
          <w:bCs/>
          <w:color w:val="auto"/>
          <w:sz w:val="30"/>
          <w:szCs w:val="30"/>
          <w:highlight w:val="none"/>
        </w:rPr>
        <w:t>项目名称：桂林市执法能力建设项目</w:t>
      </w:r>
    </w:p>
    <w:p>
      <w:pPr>
        <w:ind w:firstLine="1800" w:firstLineChars="600"/>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30"/>
          <w:szCs w:val="30"/>
          <w:highlight w:val="none"/>
        </w:rPr>
        <w:t>项目编号：GLZC2025-G1-990184-ZCHR</w:t>
      </w:r>
    </w:p>
    <w:p>
      <w:pPr>
        <w:snapToGrid w:val="0"/>
        <w:spacing w:before="165" w:beforeLines="50" w:after="50"/>
        <w:ind w:firstLine="1260" w:firstLineChars="450"/>
        <w:rPr>
          <w:rFonts w:hint="eastAsia" w:ascii="宋体" w:hAnsi="宋体" w:cs="宋体"/>
          <w:bCs/>
          <w:color w:val="auto"/>
          <w:sz w:val="28"/>
          <w:szCs w:val="28"/>
          <w:highlight w:val="none"/>
        </w:rPr>
      </w:pPr>
    </w:p>
    <w:p>
      <w:pPr>
        <w:snapToGrid w:val="0"/>
        <w:spacing w:before="165" w:beforeLines="50" w:after="50"/>
        <w:rPr>
          <w:rFonts w:hint="eastAsia" w:ascii="宋体" w:hAnsi="宋体" w:cs="宋体"/>
          <w:bCs/>
          <w:color w:val="auto"/>
          <w:sz w:val="28"/>
          <w:szCs w:val="28"/>
          <w:highlight w:val="none"/>
        </w:rPr>
      </w:pPr>
    </w:p>
    <w:p>
      <w:pPr>
        <w:snapToGrid w:val="0"/>
        <w:spacing w:before="165" w:beforeLines="50" w:after="50"/>
        <w:ind w:firstLine="1260" w:firstLineChars="450"/>
        <w:rPr>
          <w:rFonts w:hint="eastAsia" w:ascii="宋体" w:hAnsi="宋体" w:cs="宋体"/>
          <w:bCs/>
          <w:color w:val="auto"/>
          <w:sz w:val="28"/>
          <w:szCs w:val="28"/>
          <w:highlight w:val="none"/>
        </w:rPr>
      </w:pPr>
    </w:p>
    <w:p>
      <w:pPr>
        <w:ind w:firstLine="964" w:firstLineChars="300"/>
        <w:jc w:val="left"/>
        <w:rPr>
          <w:rFonts w:hint="eastAsia" w:ascii="宋体" w:hAnsi="宋体" w:cs="宋体"/>
          <w:b/>
          <w:color w:val="auto"/>
          <w:sz w:val="32"/>
          <w:szCs w:val="32"/>
          <w:highlight w:val="none"/>
        </w:rPr>
      </w:pPr>
    </w:p>
    <w:p>
      <w:pPr>
        <w:pStyle w:val="7"/>
        <w:ind w:left="980" w:hanging="560" w:hangingChars="2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采购代理机构：</w:t>
      </w:r>
      <w:r>
        <w:rPr>
          <w:rFonts w:hint="eastAsia" w:ascii="宋体" w:hAnsi="宋体" w:cs="宋体"/>
          <w:bCs/>
          <w:color w:val="auto"/>
          <w:sz w:val="28"/>
          <w:szCs w:val="28"/>
          <w:highlight w:val="none"/>
          <w:u w:val="single"/>
        </w:rPr>
        <w:t xml:space="preserve">中策恒睿建设有限公司                   </w:t>
      </w:r>
    </w:p>
    <w:p>
      <w:pPr>
        <w:pStyle w:val="7"/>
        <w:ind w:left="980" w:hanging="560" w:hangingChars="200"/>
        <w:rPr>
          <w:rFonts w:hint="eastAsia" w:ascii="宋体" w:hAnsi="宋体" w:cs="宋体"/>
          <w:bCs/>
          <w:color w:val="auto"/>
          <w:sz w:val="28"/>
          <w:szCs w:val="28"/>
          <w:highlight w:val="none"/>
        </w:rPr>
      </w:pPr>
      <w:bookmarkStart w:id="54" w:name="_Toc4932_WPSOffice_Level2"/>
      <w:bookmarkStart w:id="55" w:name="_Toc20319_WPSOffice_Level2"/>
      <w:r>
        <w:rPr>
          <w:rFonts w:hint="eastAsia" w:ascii="宋体" w:hAnsi="宋体" w:cs="宋体"/>
          <w:bCs/>
          <w:color w:val="auto"/>
          <w:sz w:val="28"/>
          <w:szCs w:val="28"/>
          <w:highlight w:val="none"/>
        </w:rPr>
        <w:t>投标人（公章、自然人除外）：</w:t>
      </w:r>
      <w:r>
        <w:rPr>
          <w:rFonts w:hint="eastAsia" w:ascii="宋体" w:hAnsi="宋体" w:cs="宋体"/>
          <w:bCs/>
          <w:color w:val="auto"/>
          <w:sz w:val="28"/>
          <w:szCs w:val="28"/>
          <w:highlight w:val="none"/>
          <w:u w:val="single"/>
        </w:rPr>
        <w:t xml:space="preserve">                       </w:t>
      </w:r>
      <w:bookmarkEnd w:id="54"/>
      <w:bookmarkEnd w:id="55"/>
      <w:r>
        <w:rPr>
          <w:rFonts w:hint="eastAsia" w:ascii="宋体" w:hAnsi="宋体" w:cs="宋体"/>
          <w:bCs/>
          <w:color w:val="auto"/>
          <w:sz w:val="28"/>
          <w:szCs w:val="28"/>
          <w:highlight w:val="none"/>
          <w:u w:val="single"/>
        </w:rPr>
        <w:t xml:space="preserve">       </w:t>
      </w:r>
    </w:p>
    <w:p>
      <w:pPr>
        <w:pStyle w:val="8"/>
        <w:spacing w:line="320" w:lineRule="exact"/>
        <w:ind w:firstLine="420"/>
        <w:rPr>
          <w:rFonts w:hint="eastAsia" w:hAnsi="宋体" w:cs="宋体"/>
          <w:color w:val="auto"/>
          <w:sz w:val="28"/>
          <w:szCs w:val="28"/>
          <w:highlight w:val="none"/>
        </w:rPr>
      </w:pPr>
      <w:r>
        <w:rPr>
          <w:rFonts w:hint="eastAsia" w:hAnsi="宋体" w:cs="宋体"/>
          <w:color w:val="auto"/>
          <w:sz w:val="28"/>
          <w:szCs w:val="28"/>
          <w:highlight w:val="none"/>
        </w:rPr>
        <w:t>法定代表人、负责人、自然人或相应的委托代理人签字（或盖章）</w:t>
      </w:r>
    </w:p>
    <w:p>
      <w:pPr>
        <w:pStyle w:val="7"/>
        <w:ind w:left="980" w:hanging="560" w:hangingChars="2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（属自然人的应在签名处加盖大拇指指印）：</w:t>
      </w:r>
      <w:r>
        <w:rPr>
          <w:rFonts w:hint="eastAsia" w:ascii="宋体" w:hAnsi="宋体" w:cs="宋体"/>
          <w:color w:val="auto"/>
          <w:sz w:val="28"/>
          <w:szCs w:val="28"/>
          <w:highlight w:val="none"/>
          <w:u w:val="single"/>
        </w:rPr>
        <w:t xml:space="preserve">                  </w:t>
      </w:r>
    </w:p>
    <w:p>
      <w:pPr>
        <w:pStyle w:val="7"/>
        <w:ind w:left="980" w:hanging="560" w:hangingChars="2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联系电话：</w:t>
      </w:r>
      <w:r>
        <w:rPr>
          <w:rFonts w:hint="eastAsia" w:ascii="宋体" w:hAnsi="宋体" w:cs="宋体"/>
          <w:bCs/>
          <w:color w:val="auto"/>
          <w:sz w:val="28"/>
          <w:szCs w:val="28"/>
          <w:highlight w:val="none"/>
          <w:u w:val="single"/>
        </w:rPr>
        <w:t xml:space="preserve">                                                </w:t>
      </w:r>
    </w:p>
    <w:p>
      <w:pPr>
        <w:pStyle w:val="7"/>
        <w:ind w:left="980" w:hanging="560" w:hangingChars="200"/>
        <w:rPr>
          <w:rFonts w:hint="eastAsia" w:ascii="宋体" w:hAnsi="宋体" w:cs="宋体"/>
          <w:b/>
          <w:color w:val="auto"/>
          <w:sz w:val="32"/>
          <w:szCs w:val="32"/>
          <w:highlight w:val="none"/>
        </w:rPr>
      </w:pPr>
      <w:bookmarkStart w:id="56" w:name="_Toc26465_WPSOffice_Level2"/>
      <w:bookmarkStart w:id="57" w:name="_Toc15933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bookmarkEnd w:id="56"/>
      <w:bookmarkEnd w:id="57"/>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投标文件目录</w:t>
      </w:r>
    </w:p>
    <w:p>
      <w:pPr>
        <w:tabs>
          <w:tab w:val="left" w:pos="1305"/>
        </w:tabs>
        <w:spacing w:line="380" w:lineRule="exact"/>
        <w:ind w:firstLine="562" w:firstLineChars="200"/>
        <w:rPr>
          <w:rFonts w:hint="eastAsia" w:ascii="宋体" w:hAnsi="宋体" w:eastAsia="宋体" w:cs="宋体"/>
          <w:b/>
          <w:color w:val="auto"/>
          <w:sz w:val="28"/>
          <w:szCs w:val="28"/>
          <w:highlight w:val="none"/>
        </w:rPr>
      </w:pP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562" w:firstLineChars="200"/>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一、资格性响应证明材料</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（1）投标人相应的法定代表人身份证正反面复印件（必须提供）；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（2）投标人的授权委托书、委托代理人身份证正反面复印件以及由县级以上（含县级）社会保险经办机构出具的投标人为委托代理人交纳的</w:t>
      </w:r>
      <w:r>
        <w:rPr>
          <w:rFonts w:hint="eastAsia" w:ascii="宋体" w:hAnsi="宋体" w:eastAsia="宋体" w:cs="宋体"/>
          <w:color w:val="auto"/>
          <w:sz w:val="24"/>
          <w:highlight w:val="none"/>
          <w:lang w:eastAsia="zh-CN"/>
        </w:rPr>
        <w:t>2025年以来任意</w:t>
      </w:r>
      <w:r>
        <w:rPr>
          <w:rFonts w:hint="eastAsia" w:ascii="宋体" w:hAnsi="宋体" w:eastAsia="宋体" w:cs="宋体"/>
          <w:color w:val="auto"/>
          <w:sz w:val="24"/>
          <w:highlight w:val="none"/>
        </w:rPr>
        <w:t>一个月社保证明复印件（委托代理时，必须提供）；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①投标人为截标时间前60日以内成立的企业，可以提供投标人与委托代理人签订的劳动合同复印件代替社保证明复印件；②委托代理人为免缴纳社保人员，提供免缴纳社保的证明材料复印件及投标人与委托代理人签订的劳动合同复印件代替社保证明复印件；③自然人投标的，应提供由县级以上（含县级）社会保险经办机构出具的自然人本人及委托代理人所交纳的</w:t>
      </w:r>
      <w:r>
        <w:rPr>
          <w:rFonts w:hint="eastAsia" w:ascii="宋体" w:hAnsi="宋体" w:eastAsia="宋体" w:cs="宋体"/>
          <w:color w:val="auto"/>
          <w:sz w:val="24"/>
          <w:highlight w:val="none"/>
          <w:lang w:eastAsia="zh-CN"/>
        </w:rPr>
        <w:t>2025年以来任意</w:t>
      </w:r>
      <w:r>
        <w:rPr>
          <w:rFonts w:hint="eastAsia" w:ascii="宋体" w:hAnsi="宋体" w:eastAsia="宋体" w:cs="宋体"/>
          <w:color w:val="auto"/>
          <w:sz w:val="24"/>
          <w:highlight w:val="none"/>
        </w:rPr>
        <w:t>一个月社保证明复印件。</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（3）投标人的法人或者其他组织营业执照等证明文件复印件（必须提供，自然人除外）；</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w:t>
      </w:r>
      <w:r>
        <w:rPr>
          <w:rFonts w:hint="eastAsia" w:ascii="宋体" w:hAnsi="宋体" w:eastAsia="宋体" w:cs="宋体"/>
          <w:color w:val="auto"/>
          <w:sz w:val="24"/>
          <w:highlight w:val="none"/>
          <w:lang w:eastAsia="zh-CN"/>
        </w:rPr>
        <w:t>位的</w:t>
      </w:r>
      <w:r>
        <w:rPr>
          <w:rFonts w:hint="eastAsia" w:ascii="宋体" w:hAnsi="宋体" w:eastAsia="宋体" w:cs="宋体"/>
          <w:color w:val="auto"/>
          <w:sz w:val="24"/>
          <w:highlight w:val="none"/>
        </w:rPr>
        <w:t>，应提供有效的“事业单位法人证书”；供应商为非企业专业服务机构的，应提供执业许可证等证明文件。③分公司参加投标的，应当取得总公司授权，并提供总公司的授权文件（加盖总公司公章）。</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w:t>
      </w:r>
      <w:r>
        <w:rPr>
          <w:rFonts w:hint="eastAsia" w:ascii="宋体" w:hAnsi="宋体" w:eastAsia="宋体" w:cs="宋体"/>
          <w:color w:val="auto"/>
          <w:sz w:val="24"/>
          <w:highlight w:val="none"/>
          <w:lang w:eastAsia="zh-CN"/>
        </w:rPr>
        <w:t>2024年度财务状况报告（或2024年以来银行出具的资信证明）</w:t>
      </w:r>
      <w:r>
        <w:rPr>
          <w:rFonts w:hint="eastAsia" w:ascii="宋体" w:hAnsi="宋体" w:eastAsia="宋体" w:cs="宋体"/>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2025年以来任意</w:t>
      </w:r>
      <w:r>
        <w:rPr>
          <w:rFonts w:hint="eastAsia" w:ascii="宋体" w:hAnsi="宋体" w:eastAsia="宋体" w:cs="宋体"/>
          <w:color w:val="auto"/>
          <w:sz w:val="24"/>
          <w:highlight w:val="none"/>
        </w:rPr>
        <w:t>一个月依法缴纳税收的相关材料复印件（必须提供）；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）投标人参加政府采购活动前3年内在经营活动中没有重大违法记录及有关信用信息的书面声明（必须提供）；</w:t>
      </w:r>
    </w:p>
    <w:p>
      <w:pPr>
        <w:keepNext w:val="0"/>
        <w:keepLines w:val="0"/>
        <w:pageBreakBefore w:val="0"/>
        <w:widowControl w:val="0"/>
        <w:tabs>
          <w:tab w:val="left" w:pos="1305"/>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）投标人参加本项目无围标串标行为的承诺函（必须提供）。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color w:val="auto"/>
          <w:sz w:val="28"/>
          <w:szCs w:val="28"/>
          <w:highlight w:val="none"/>
        </w:rPr>
      </w:pP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二、商务、技术性响应及其他证明材料：</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2.投标报价表</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3.技术偏离表</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4.商务响应表</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5.产品配置清单</w:t>
      </w:r>
      <w:r>
        <w:rPr>
          <w:rFonts w:hint="eastAsia" w:ascii="宋体" w:hAnsi="宋体" w:eastAsia="宋体" w:cs="宋体"/>
          <w:b/>
          <w:color w:val="auto"/>
          <w:sz w:val="24"/>
          <w:highlight w:val="none"/>
        </w:rPr>
        <w:t>（必须提供）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方案</w:t>
      </w:r>
      <w:r>
        <w:rPr>
          <w:rFonts w:hint="eastAsia" w:ascii="宋体" w:hAnsi="宋体" w:eastAsia="宋体" w:cs="宋体"/>
          <w:b/>
          <w:color w:val="auto"/>
          <w:sz w:val="24"/>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Cs/>
          <w:color w:val="auto"/>
          <w:sz w:val="24"/>
          <w:highlight w:val="none"/>
        </w:rPr>
        <w:t>售后服务方案</w:t>
      </w:r>
      <w:r>
        <w:rPr>
          <w:rFonts w:hint="eastAsia" w:ascii="宋体" w:hAnsi="宋体" w:eastAsia="宋体" w:cs="宋体"/>
          <w:b/>
          <w:color w:val="auto"/>
          <w:sz w:val="24"/>
          <w:highlight w:val="none"/>
        </w:rPr>
        <w:t>（如有，请提供）</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4"/>
        <w:rPr>
          <w:rFonts w:hint="eastAsia" w:ascii="宋体" w:hAnsi="宋体" w:eastAsia="宋体" w:cs="宋体"/>
          <w:b/>
          <w:color w:val="auto"/>
          <w:sz w:val="24"/>
          <w:highlight w:val="none"/>
        </w:rPr>
      </w:pPr>
      <w:r>
        <w:rPr>
          <w:rFonts w:hint="eastAsia" w:ascii="宋体" w:hAnsi="宋体" w:eastAsia="宋体" w:cs="宋体"/>
          <w:color w:val="auto"/>
          <w:sz w:val="24"/>
          <w:highlight w:val="none"/>
        </w:rPr>
        <w:t>8.“采购需求”中有关履约能力的相关证明材料复印件</w:t>
      </w:r>
      <w:r>
        <w:rPr>
          <w:rFonts w:hint="eastAsia" w:ascii="宋体" w:hAnsi="宋体" w:eastAsia="宋体" w:cs="宋体"/>
          <w:b/>
          <w:color w:val="auto"/>
          <w:sz w:val="24"/>
          <w:highlight w:val="none"/>
        </w:rPr>
        <w:t>（如有，请提供）</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4"/>
        <w:rPr>
          <w:rFonts w:hint="eastAsia" w:ascii="宋体" w:hAnsi="宋体" w:eastAsia="宋体" w:cs="宋体"/>
          <w:b/>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bCs/>
          <w:color w:val="auto"/>
          <w:sz w:val="24"/>
          <w:highlight w:val="none"/>
        </w:rPr>
        <w:t>投标人提供的货物全部由符合政策要求中小企业制造，投标文件中提供《中小企业声明函》</w:t>
      </w:r>
      <w:r>
        <w:rPr>
          <w:rFonts w:hint="eastAsia" w:ascii="宋体" w:hAnsi="宋体" w:eastAsia="宋体" w:cs="宋体"/>
          <w:color w:val="auto"/>
          <w:sz w:val="24"/>
          <w:highlight w:val="none"/>
        </w:rPr>
        <w:t>；属于监狱企业的，提供由省级以上监狱管理局、戒毒管理局(含新疆生产建设兵团)出具的属于监狱企业的证明文件</w:t>
      </w:r>
      <w:r>
        <w:rPr>
          <w:rFonts w:hint="eastAsia" w:ascii="宋体" w:hAnsi="宋体" w:eastAsia="宋体" w:cs="宋体"/>
          <w:b/>
          <w:color w:val="auto"/>
          <w:sz w:val="24"/>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.符合条件的残疾人福利性单位在参加政府采购活动时，提供《残疾人福利性单位声明函》，并对声明的真实性负责</w:t>
      </w:r>
      <w:r>
        <w:rPr>
          <w:rFonts w:hint="eastAsia" w:ascii="宋体" w:hAnsi="宋体" w:eastAsia="宋体" w:cs="宋体"/>
          <w:b/>
          <w:color w:val="auto"/>
          <w:sz w:val="24"/>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.投标人可结合本项目的评标办法视自身情况自行提交相关证明材料</w:t>
      </w:r>
      <w:r>
        <w:rPr>
          <w:rFonts w:hint="eastAsia" w:ascii="宋体" w:hAnsi="宋体" w:eastAsia="宋体" w:cs="宋体"/>
          <w:b/>
          <w:color w:val="auto"/>
          <w:sz w:val="24"/>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一、资格性响应证明材料</w:t>
      </w:r>
    </w:p>
    <w:p>
      <w:pPr>
        <w:tabs>
          <w:tab w:val="left" w:pos="1305"/>
        </w:tabs>
        <w:spacing w:line="400" w:lineRule="exact"/>
        <w:rPr>
          <w:rFonts w:hint="eastAsia" w:ascii="宋体" w:hAnsi="宋体" w:eastAsia="宋体" w:cs="宋体"/>
          <w:b/>
          <w:color w:val="auto"/>
          <w:sz w:val="32"/>
          <w:szCs w:val="32"/>
          <w:highlight w:val="none"/>
        </w:rPr>
      </w:pPr>
    </w:p>
    <w:p>
      <w:pPr>
        <w:tabs>
          <w:tab w:val="left" w:pos="1305"/>
        </w:tabs>
        <w:spacing w:line="400" w:lineRule="exact"/>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1.投标人相应的法定代表人身份证正反面复印件（必须提供）</w:t>
      </w:r>
    </w:p>
    <w:p>
      <w:pPr>
        <w:tabs>
          <w:tab w:val="left" w:pos="1305"/>
        </w:tabs>
        <w:spacing w:line="400" w:lineRule="exact"/>
        <w:ind w:firstLine="643" w:firstLineChars="200"/>
        <w:rPr>
          <w:rFonts w:hint="eastAsia" w:ascii="宋体" w:hAnsi="宋体" w:eastAsia="宋体" w:cs="宋体"/>
          <w:b/>
          <w:color w:val="auto"/>
          <w:sz w:val="32"/>
          <w:szCs w:val="32"/>
          <w:highlight w:val="none"/>
        </w:rPr>
      </w:pPr>
    </w:p>
    <w:p>
      <w:pPr>
        <w:tabs>
          <w:tab w:val="left" w:pos="1305"/>
        </w:tabs>
        <w:spacing w:line="400" w:lineRule="exact"/>
        <w:ind w:firstLine="643" w:firstLineChars="200"/>
        <w:rPr>
          <w:rFonts w:hint="eastAsia" w:ascii="宋体" w:hAnsi="宋体" w:eastAsia="宋体" w:cs="宋体"/>
          <w:b/>
          <w:color w:val="auto"/>
          <w:sz w:val="32"/>
          <w:szCs w:val="32"/>
          <w:highlight w:val="none"/>
        </w:rPr>
      </w:pPr>
    </w:p>
    <w:p>
      <w:pPr>
        <w:tabs>
          <w:tab w:val="left" w:pos="1305"/>
        </w:tabs>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2.投标人的授权委托书、委托代理人身份证正反面复印件以及由县级以上（含县级）社会保险经办机构出具的投标人为委托代理人交纳的</w:t>
      </w:r>
      <w:r>
        <w:rPr>
          <w:rFonts w:hint="eastAsia" w:ascii="宋体" w:hAnsi="宋体" w:eastAsia="宋体" w:cs="宋体"/>
          <w:b/>
          <w:color w:val="auto"/>
          <w:sz w:val="32"/>
          <w:szCs w:val="32"/>
          <w:highlight w:val="none"/>
          <w:lang w:eastAsia="zh-CN"/>
        </w:rPr>
        <w:t>2025年以来任意</w:t>
      </w:r>
      <w:r>
        <w:rPr>
          <w:rFonts w:hint="eastAsia" w:ascii="宋体" w:hAnsi="宋体" w:eastAsia="宋体" w:cs="宋体"/>
          <w:b/>
          <w:color w:val="auto"/>
          <w:sz w:val="32"/>
          <w:szCs w:val="32"/>
          <w:highlight w:val="none"/>
        </w:rPr>
        <w:t>一个月社保证明复印件（委托代理时，必须提供）</w:t>
      </w:r>
    </w:p>
    <w:p>
      <w:pPr>
        <w:autoSpaceDE w:val="0"/>
        <w:autoSpaceDN w:val="0"/>
        <w:snapToGrid w:val="0"/>
        <w:spacing w:line="350" w:lineRule="exact"/>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highlight w:val="none"/>
        </w:rPr>
        <w:t>注：①投标人为截标时间前60日以内成立的企业，可以提供投标人与委托代理人签订的劳动合同复印件代替社保证明复印件；②委托代理人为免缴纳社保人员，提供免缴纳社保的证明材料复印件及投标人与委托代理人签订的劳动合同复印件代替社保证明复印件；③自然人投标的，应提供由县级以上（含县级）社会保险经办机构出具的自然人本人及委托代理人所交纳的</w:t>
      </w:r>
      <w:r>
        <w:rPr>
          <w:rFonts w:hint="eastAsia" w:ascii="宋体" w:hAnsi="宋体" w:eastAsia="宋体" w:cs="宋体"/>
          <w:color w:val="auto"/>
          <w:highlight w:val="none"/>
          <w:lang w:eastAsia="zh-CN"/>
        </w:rPr>
        <w:t>2025年以来任意</w:t>
      </w:r>
      <w:r>
        <w:rPr>
          <w:rFonts w:hint="eastAsia" w:ascii="宋体" w:hAnsi="宋体" w:eastAsia="宋体" w:cs="宋体"/>
          <w:color w:val="auto"/>
          <w:highlight w:val="none"/>
        </w:rPr>
        <w:t>一个月社保证明复印件</w:t>
      </w:r>
      <w:r>
        <w:rPr>
          <w:rFonts w:hint="eastAsia" w:ascii="宋体" w:hAnsi="宋体" w:eastAsia="宋体" w:cs="宋体"/>
          <w:b/>
          <w:color w:val="auto"/>
          <w:highlight w:val="none"/>
        </w:rPr>
        <w:t>。</w:t>
      </w:r>
    </w:p>
    <w:p>
      <w:pPr>
        <w:tabs>
          <w:tab w:val="left" w:pos="1305"/>
        </w:tabs>
        <w:spacing w:line="400" w:lineRule="exact"/>
        <w:rPr>
          <w:rFonts w:hint="eastAsia" w:ascii="宋体" w:hAnsi="宋体" w:eastAsia="宋体" w:cs="宋体"/>
          <w:b/>
          <w:color w:val="auto"/>
          <w:sz w:val="30"/>
          <w:szCs w:val="30"/>
          <w:highlight w:val="none"/>
        </w:rPr>
      </w:pPr>
    </w:p>
    <w:p>
      <w:pPr>
        <w:tabs>
          <w:tab w:val="left" w:pos="1305"/>
        </w:tabs>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授权委托书（格式一，适用于法人或其他组织投标）</w:t>
      </w:r>
    </w:p>
    <w:p>
      <w:pPr>
        <w:snapToGrid w:val="0"/>
        <w:spacing w:line="400" w:lineRule="exact"/>
        <w:outlineLvl w:val="4"/>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lang w:eastAsia="zh-CN"/>
        </w:rPr>
        <w:t>中策恒睿建设有限公司</w:t>
      </w:r>
    </w:p>
    <w:p>
      <w:pPr>
        <w:snapToGrid w:val="0"/>
        <w:spacing w:line="400" w:lineRule="exact"/>
        <w:outlineLvl w:val="4"/>
        <w:rPr>
          <w:rFonts w:hint="eastAsia" w:ascii="宋体" w:hAnsi="宋体" w:eastAsia="宋体" w:cs="宋体"/>
          <w:color w:val="auto"/>
          <w:szCs w:val="21"/>
          <w:highlight w:val="none"/>
          <w:u w:val="single"/>
        </w:rPr>
      </w:pPr>
    </w:p>
    <w:p>
      <w:pPr>
        <w:pStyle w:val="8"/>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（投标人名称）的法定代表人，现授权委托本单位在职职工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项目的投标活动，并代表我方全权办理针对上述项目的投标、开标、评标、签约等具体事务和签署相关文件。</w:t>
      </w:r>
    </w:p>
    <w:p>
      <w:pPr>
        <w:pStyle w:val="8"/>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pPr>
        <w:pStyle w:val="8"/>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授权委托代理期限：自即日起至该项目政府采购活动结束。                                                                                         </w:t>
      </w:r>
    </w:p>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napToGrid w:val="0"/>
        <w:spacing w:line="40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napToGrid w:val="0"/>
        <w:spacing w:line="400" w:lineRule="exact"/>
        <w:ind w:firstLine="420"/>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投标人（电子签章）：</w:t>
      </w:r>
      <w:r>
        <w:rPr>
          <w:rFonts w:hint="eastAsia" w:ascii="宋体" w:hAnsi="宋体" w:eastAsia="宋体" w:cs="宋体"/>
          <w:color w:val="auto"/>
          <w:szCs w:val="21"/>
          <w:highlight w:val="none"/>
          <w:u w:val="single"/>
        </w:rPr>
        <w:t xml:space="preserve">                                   </w:t>
      </w:r>
    </w:p>
    <w:p>
      <w:pPr>
        <w:snapToGrid w:val="0"/>
        <w:spacing w:line="400" w:lineRule="exact"/>
        <w:ind w:firstLine="420"/>
        <w:outlineLvl w:val="4"/>
        <w:rPr>
          <w:rFonts w:hint="eastAsia" w:ascii="宋体" w:hAnsi="宋体" w:eastAsia="宋体" w:cs="宋体"/>
          <w:color w:val="auto"/>
          <w:szCs w:val="21"/>
          <w:highlight w:val="none"/>
        </w:rPr>
      </w:pPr>
    </w:p>
    <w:p>
      <w:pPr>
        <w:snapToGrid w:val="0"/>
        <w:spacing w:line="40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法定代表人签字（或者电子签名）：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400" w:lineRule="exact"/>
        <w:ind w:firstLine="420"/>
        <w:outlineLvl w:val="4"/>
        <w:rPr>
          <w:rFonts w:hint="eastAsia" w:ascii="宋体" w:hAnsi="宋体" w:eastAsia="宋体" w:cs="宋体"/>
          <w:color w:val="auto"/>
          <w:szCs w:val="21"/>
          <w:highlight w:val="none"/>
        </w:rPr>
      </w:pPr>
    </w:p>
    <w:p>
      <w:pPr>
        <w:snapToGrid w:val="0"/>
        <w:spacing w:line="40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00" w:lineRule="exact"/>
        <w:ind w:firstLine="420"/>
        <w:outlineLvl w:val="4"/>
        <w:rPr>
          <w:rFonts w:hint="eastAsia" w:ascii="宋体" w:hAnsi="宋体" w:eastAsia="宋体" w:cs="宋体"/>
          <w:color w:val="auto"/>
          <w:szCs w:val="21"/>
          <w:highlight w:val="none"/>
        </w:rPr>
      </w:pPr>
    </w:p>
    <w:p>
      <w:pPr>
        <w:tabs>
          <w:tab w:val="left" w:pos="1305"/>
        </w:tabs>
        <w:spacing w:line="5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附：委托代理人身份证正反面复印件（委托代理时必须提供）。</w:t>
      </w:r>
    </w:p>
    <w:p>
      <w:pPr>
        <w:pStyle w:val="8"/>
        <w:jc w:val="center"/>
        <w:rPr>
          <w:rFonts w:hint="eastAsia" w:ascii="宋体" w:hAnsi="宋体" w:eastAsia="宋体" w:cs="宋体"/>
          <w:b/>
          <w:color w:val="auto"/>
          <w:sz w:val="32"/>
          <w:highlight w:val="none"/>
        </w:rPr>
      </w:pPr>
    </w:p>
    <w:p>
      <w:pPr>
        <w:pStyle w:val="4"/>
        <w:ind w:firstLine="42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授权委托书（格式二，适用于自然人投标）</w:t>
      </w:r>
    </w:p>
    <w:p>
      <w:pPr>
        <w:snapToGrid w:val="0"/>
        <w:spacing w:line="400" w:lineRule="exact"/>
        <w:outlineLvl w:val="4"/>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lang w:eastAsia="zh-CN"/>
        </w:rPr>
        <w:t>中策恒睿建设有限公司</w:t>
      </w:r>
    </w:p>
    <w:p>
      <w:pPr>
        <w:snapToGrid w:val="0"/>
        <w:spacing w:line="400" w:lineRule="exact"/>
        <w:outlineLvl w:val="4"/>
        <w:rPr>
          <w:rFonts w:hint="eastAsia" w:ascii="宋体" w:hAnsi="宋体" w:eastAsia="宋体" w:cs="宋体"/>
          <w:color w:val="auto"/>
          <w:szCs w:val="21"/>
          <w:highlight w:val="none"/>
          <w:u w:val="single"/>
        </w:rPr>
      </w:pPr>
    </w:p>
    <w:p>
      <w:pPr>
        <w:pStyle w:val="8"/>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项目的投标活动，并代表本人全权办理针对上述项目的投标、开标、评标、签约等具体事务和签署相关文件。</w:t>
      </w:r>
    </w:p>
    <w:p>
      <w:pPr>
        <w:pStyle w:val="8"/>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pStyle w:val="8"/>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pPr>
        <w:pStyle w:val="8"/>
        <w:spacing w:line="340" w:lineRule="exact"/>
        <w:ind w:firstLine="420" w:firstLineChars="200"/>
        <w:rPr>
          <w:rFonts w:hint="eastAsia" w:ascii="宋体" w:hAnsi="宋体" w:eastAsia="宋体" w:cs="宋体"/>
          <w:color w:val="auto"/>
          <w:highlight w:val="none"/>
          <w:u w:val="single"/>
        </w:rPr>
      </w:pPr>
    </w:p>
    <w:p>
      <w:pPr>
        <w:pStyle w:val="8"/>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napToGrid w:val="0"/>
        <w:spacing w:line="340" w:lineRule="exact"/>
        <w:ind w:firstLine="525"/>
        <w:outlineLvl w:val="4"/>
        <w:rPr>
          <w:rFonts w:hint="eastAsia" w:ascii="宋体" w:hAnsi="宋体" w:eastAsia="宋体" w:cs="宋体"/>
          <w:color w:val="auto"/>
          <w:szCs w:val="21"/>
          <w:highlight w:val="none"/>
        </w:rPr>
      </w:pPr>
    </w:p>
    <w:p>
      <w:pPr>
        <w:snapToGrid w:val="0"/>
        <w:spacing w:line="34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napToGrid w:val="0"/>
        <w:spacing w:line="340" w:lineRule="exact"/>
        <w:ind w:firstLine="420"/>
        <w:outlineLvl w:val="4"/>
        <w:rPr>
          <w:rFonts w:hint="eastAsia" w:ascii="宋体" w:hAnsi="宋体" w:eastAsia="宋体" w:cs="宋体"/>
          <w:color w:val="auto"/>
          <w:szCs w:val="21"/>
          <w:highlight w:val="none"/>
        </w:rPr>
      </w:pPr>
    </w:p>
    <w:p>
      <w:pPr>
        <w:snapToGrid w:val="0"/>
        <w:spacing w:line="340" w:lineRule="exact"/>
        <w:ind w:firstLine="42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自然人签字（或者电子签名）：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340" w:lineRule="exact"/>
        <w:ind w:firstLine="420"/>
        <w:outlineLvl w:val="4"/>
        <w:rPr>
          <w:rFonts w:hint="eastAsia" w:ascii="宋体" w:hAnsi="宋体" w:eastAsia="宋体" w:cs="宋体"/>
          <w:color w:val="auto"/>
          <w:szCs w:val="21"/>
          <w:highlight w:val="none"/>
        </w:rPr>
      </w:pPr>
    </w:p>
    <w:p>
      <w:pPr>
        <w:pStyle w:val="8"/>
        <w:spacing w:line="400" w:lineRule="exact"/>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附：委托代理人身份证正反面复印件（委托代理时必须提供）。</w:t>
      </w:r>
    </w:p>
    <w:p>
      <w:pPr>
        <w:pStyle w:val="8"/>
        <w:spacing w:line="400" w:lineRule="exact"/>
        <w:ind w:left="420" w:leftChars="200" w:firstLine="157" w:firstLineChars="49"/>
        <w:rPr>
          <w:rFonts w:hint="eastAsia" w:ascii="宋体" w:hAnsi="宋体" w:eastAsia="宋体" w:cs="宋体"/>
          <w:b/>
          <w:color w:val="auto"/>
          <w:sz w:val="32"/>
          <w:szCs w:val="32"/>
          <w:highlight w:val="none"/>
        </w:rPr>
      </w:pPr>
    </w:p>
    <w:p>
      <w:pPr>
        <w:pStyle w:val="8"/>
        <w:spacing w:line="400" w:lineRule="exact"/>
        <w:ind w:left="420" w:leftChars="200" w:firstLine="157" w:firstLineChars="49"/>
        <w:rPr>
          <w:rFonts w:hint="eastAsia" w:ascii="宋体" w:hAnsi="宋体" w:eastAsia="宋体" w:cs="宋体"/>
          <w:b/>
          <w:color w:val="auto"/>
          <w:sz w:val="32"/>
          <w:szCs w:val="32"/>
          <w:highlight w:val="none"/>
        </w:rPr>
      </w:pPr>
    </w:p>
    <w:p>
      <w:pPr>
        <w:pStyle w:val="8"/>
        <w:spacing w:line="400" w:lineRule="exact"/>
        <w:ind w:left="420" w:leftChars="200" w:firstLine="157" w:firstLineChars="49"/>
        <w:rPr>
          <w:rFonts w:hint="eastAsia" w:ascii="宋体" w:hAnsi="宋体" w:eastAsia="宋体" w:cs="宋体"/>
          <w:b/>
          <w:color w:val="auto"/>
          <w:sz w:val="32"/>
          <w:szCs w:val="32"/>
          <w:highlight w:val="none"/>
        </w:rPr>
      </w:pPr>
    </w:p>
    <w:p>
      <w:pPr>
        <w:pStyle w:val="8"/>
        <w:spacing w:line="400" w:lineRule="exact"/>
        <w:ind w:left="420" w:leftChars="200" w:firstLine="157" w:firstLineChars="49"/>
        <w:rPr>
          <w:rFonts w:hint="eastAsia" w:ascii="宋体" w:hAnsi="宋体" w:eastAsia="宋体" w:cs="宋体"/>
          <w:b/>
          <w:color w:val="auto"/>
          <w:sz w:val="32"/>
          <w:szCs w:val="32"/>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3.投标人的法人或者其他组织营业执照等证明文件复印件（必须提供，自然人除外）</w:t>
      </w:r>
    </w:p>
    <w:p>
      <w:pPr>
        <w:pStyle w:val="9"/>
        <w:rPr>
          <w:rFonts w:hint="eastAsia" w:ascii="宋体" w:hAnsi="宋体" w:eastAsia="宋体" w:cs="宋体"/>
          <w:color w:val="auto"/>
          <w:sz w:val="21"/>
          <w:szCs w:val="21"/>
          <w:highlight w:val="none"/>
          <w:lang w:val="en-US" w:eastAsia="zh-CN"/>
        </w:rPr>
      </w:pPr>
    </w:p>
    <w:p>
      <w:pPr>
        <w:pStyle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的，应提供有效的“事业单位法人证书”；供应商为非企业专业服务机构的，应提供执业许可证等证明文件。</w:t>
      </w:r>
      <w:r>
        <w:rPr>
          <w:rFonts w:hint="eastAsia" w:ascii="宋体" w:hAnsi="宋体" w:eastAsia="宋体" w:cs="宋体"/>
          <w:color w:val="auto"/>
          <w:sz w:val="21"/>
          <w:szCs w:val="21"/>
          <w:highlight w:val="none"/>
        </w:rPr>
        <w:t>③分公司参加投标的，应当取得总公司授权，并提供总公司的授权文件（加盖总公司公章）。</w:t>
      </w: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lang w:eastAsia="zh-CN"/>
        </w:rPr>
      </w:pPr>
    </w:p>
    <w:p>
      <w:pPr>
        <w:pStyle w:val="9"/>
        <w:rPr>
          <w:rFonts w:hint="eastAsia" w:ascii="宋体" w:hAnsi="宋体" w:eastAsia="宋体" w:cs="宋体"/>
          <w:b/>
          <w:color w:val="auto"/>
          <w:szCs w:val="21"/>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4.投标人</w:t>
      </w:r>
      <w:r>
        <w:rPr>
          <w:rFonts w:hint="eastAsia" w:ascii="宋体" w:hAnsi="宋体" w:eastAsia="宋体" w:cs="宋体"/>
          <w:b/>
          <w:color w:val="auto"/>
          <w:sz w:val="32"/>
          <w:szCs w:val="32"/>
          <w:highlight w:val="none"/>
          <w:lang w:eastAsia="zh-CN"/>
        </w:rPr>
        <w:t>2024年度财务状况报告（或2024年以来银行出具的资信证明）</w:t>
      </w:r>
      <w:r>
        <w:rPr>
          <w:rFonts w:hint="eastAsia" w:ascii="宋体" w:hAnsi="宋体" w:eastAsia="宋体" w:cs="宋体"/>
          <w:b/>
          <w:color w:val="auto"/>
          <w:sz w:val="32"/>
          <w:szCs w:val="32"/>
          <w:highlight w:val="none"/>
        </w:rPr>
        <w:t>（必须提供）</w:t>
      </w:r>
    </w:p>
    <w:p>
      <w:pPr>
        <w:pStyle w:val="8"/>
        <w:spacing w:line="400" w:lineRule="exact"/>
        <w:rPr>
          <w:rFonts w:hint="eastAsia" w:ascii="宋体" w:hAnsi="宋体" w:eastAsia="宋体" w:cs="宋体"/>
          <w:b/>
          <w:color w:val="auto"/>
          <w:sz w:val="32"/>
          <w:szCs w:val="32"/>
          <w:highlight w:val="none"/>
        </w:rPr>
      </w:pPr>
    </w:p>
    <w:p>
      <w:pPr>
        <w:pStyle w:val="4"/>
        <w:ind w:firstLine="42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 投标人</w:t>
      </w:r>
      <w:r>
        <w:rPr>
          <w:rFonts w:hint="eastAsia" w:ascii="宋体" w:hAnsi="宋体" w:eastAsia="宋体" w:cs="宋体"/>
          <w:b/>
          <w:color w:val="auto"/>
          <w:sz w:val="32"/>
          <w:szCs w:val="32"/>
          <w:highlight w:val="none"/>
          <w:lang w:eastAsia="zh-CN"/>
        </w:rPr>
        <w:t>2025年以来任意</w:t>
      </w:r>
      <w:r>
        <w:rPr>
          <w:rFonts w:hint="eastAsia" w:ascii="宋体" w:hAnsi="宋体" w:eastAsia="宋体" w:cs="宋体"/>
          <w:b/>
          <w:color w:val="auto"/>
          <w:sz w:val="32"/>
          <w:szCs w:val="32"/>
          <w:highlight w:val="none"/>
        </w:rPr>
        <w:t>一个月依法缴纳税收的相关材料复印件（必须提供）</w:t>
      </w:r>
    </w:p>
    <w:p>
      <w:pPr>
        <w:pStyle w:val="4"/>
        <w:ind w:firstLine="420"/>
        <w:rPr>
          <w:rFonts w:hint="eastAsia" w:ascii="宋体" w:hAnsi="宋体" w:eastAsia="宋体" w:cs="宋体"/>
          <w:color w:val="auto"/>
          <w:highlight w:val="none"/>
        </w:rPr>
      </w:pPr>
    </w:p>
    <w:p>
      <w:pPr>
        <w:pStyle w:val="4"/>
        <w:ind w:left="0" w:firstLine="0" w:firstLineChars="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.投标人参加政府采购活动前3年内在经营活动中没有重大违法记录及有关信用信息的书面声明（必须提供）</w:t>
      </w: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spacing w:line="400" w:lineRule="exact"/>
        <w:jc w:val="center"/>
        <w:rPr>
          <w:rFonts w:hint="eastAsia" w:ascii="宋体" w:hAnsi="宋体" w:eastAsia="宋体" w:cs="宋体"/>
          <w:b/>
          <w:color w:val="auto"/>
          <w:sz w:val="32"/>
          <w:szCs w:val="32"/>
          <w:highlight w:val="none"/>
        </w:rPr>
      </w:pPr>
    </w:p>
    <w:p>
      <w:pPr>
        <w:pStyle w:val="8"/>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   明（格式）</w:t>
      </w:r>
    </w:p>
    <w:p>
      <w:pPr>
        <w:snapToGrid w:val="0"/>
        <w:spacing w:line="400" w:lineRule="exact"/>
        <w:outlineLvl w:val="4"/>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lang w:eastAsia="zh-CN"/>
        </w:rPr>
        <w:t>中策恒睿建设有限公司</w:t>
      </w:r>
    </w:p>
    <w:p>
      <w:pPr>
        <w:snapToGrid w:val="0"/>
        <w:spacing w:line="400" w:lineRule="exact"/>
        <w:outlineLvl w:val="4"/>
        <w:rPr>
          <w:rFonts w:hint="eastAsia" w:ascii="宋体" w:hAnsi="宋体" w:eastAsia="宋体" w:cs="宋体"/>
          <w:color w:val="auto"/>
          <w:szCs w:val="21"/>
          <w:highlight w:val="none"/>
          <w:u w:val="single"/>
        </w:rPr>
      </w:pPr>
    </w:p>
    <w:p>
      <w:pPr>
        <w:pStyle w:val="8"/>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hint="eastAsia" w:ascii="宋体" w:hAnsi="宋体" w:eastAsia="宋体" w:cs="宋体"/>
          <w:color w:val="auto"/>
          <w:szCs w:val="21"/>
          <w:highlight w:val="none"/>
        </w:rPr>
      </w:pPr>
    </w:p>
    <w:p>
      <w:pPr>
        <w:snapToGrid w:val="0"/>
        <w:spacing w:line="400" w:lineRule="exact"/>
        <w:ind w:firstLine="4515" w:firstLineChars="2150"/>
        <w:outlineLvl w:val="4"/>
        <w:rPr>
          <w:rFonts w:hint="eastAsia" w:ascii="宋体" w:hAnsi="宋体" w:eastAsia="宋体" w:cs="宋体"/>
          <w:color w:val="auto"/>
          <w:szCs w:val="21"/>
          <w:highlight w:val="none"/>
        </w:rPr>
      </w:pPr>
    </w:p>
    <w:p>
      <w:pPr>
        <w:snapToGrid w:val="0"/>
        <w:spacing w:line="400" w:lineRule="exact"/>
        <w:ind w:firstLine="4515" w:firstLineChars="2150"/>
        <w:outlineLvl w:val="4"/>
        <w:rPr>
          <w:rFonts w:hint="eastAsia" w:ascii="宋体" w:hAnsi="宋体" w:eastAsia="宋体" w:cs="宋体"/>
          <w:color w:val="auto"/>
          <w:szCs w:val="21"/>
          <w:highlight w:val="none"/>
        </w:rPr>
      </w:pPr>
    </w:p>
    <w:p>
      <w:pPr>
        <w:snapToGrid w:val="0"/>
        <w:spacing w:line="400" w:lineRule="exact"/>
        <w:ind w:firstLine="1890" w:firstLineChars="900"/>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 (电子签章)：</w:t>
      </w:r>
      <w:r>
        <w:rPr>
          <w:rFonts w:hint="eastAsia" w:ascii="宋体" w:hAnsi="宋体" w:eastAsia="宋体" w:cs="宋体"/>
          <w:color w:val="auto"/>
          <w:szCs w:val="21"/>
          <w:highlight w:val="none"/>
          <w:u w:val="single"/>
        </w:rPr>
        <w:t xml:space="preserve">                                     </w:t>
      </w:r>
    </w:p>
    <w:p>
      <w:pPr>
        <w:pStyle w:val="8"/>
        <w:spacing w:line="44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或相应的委托代理人</w:t>
      </w:r>
      <w:r>
        <w:rPr>
          <w:rFonts w:hint="eastAsia" w:ascii="宋体" w:hAnsi="宋体" w:eastAsia="宋体" w:cs="宋体"/>
          <w:color w:val="auto"/>
          <w:szCs w:val="21"/>
          <w:highlight w:val="none"/>
        </w:rPr>
        <w:t>签字（或者电子签名）</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pStyle w:val="8"/>
        <w:spacing w:line="440" w:lineRule="exact"/>
        <w:ind w:firstLine="420"/>
        <w:jc w:val="center"/>
        <w:rPr>
          <w:rFonts w:hint="eastAsia" w:ascii="宋体" w:hAnsi="宋体" w:eastAsia="宋体" w:cs="宋体"/>
          <w:color w:val="auto"/>
          <w:highlight w:val="none"/>
          <w:u w:val="single"/>
        </w:rPr>
      </w:pPr>
    </w:p>
    <w:p>
      <w:pPr>
        <w:spacing w:line="400" w:lineRule="exact"/>
        <w:rPr>
          <w:rFonts w:hint="eastAsia" w:ascii="宋体" w:hAnsi="宋体" w:eastAsia="宋体" w:cs="宋体"/>
          <w:color w:val="auto"/>
          <w:sz w:val="24"/>
          <w:highlight w:val="none"/>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.投标人参加本项目无围标串标行为的承诺函（必须提供）</w:t>
      </w: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spacing w:line="400" w:lineRule="exact"/>
        <w:jc w:val="center"/>
        <w:rPr>
          <w:rFonts w:hint="eastAsia" w:ascii="宋体" w:hAnsi="宋体" w:eastAsia="宋体" w:cs="宋体"/>
          <w:b/>
          <w:color w:val="auto"/>
          <w:sz w:val="32"/>
          <w:szCs w:val="32"/>
          <w:highlight w:val="none"/>
        </w:rPr>
      </w:pPr>
    </w:p>
    <w:p>
      <w:pPr>
        <w:pStyle w:val="8"/>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投标人参加本项目无围标串标行为的承诺函（格式）</w:t>
      </w:r>
    </w:p>
    <w:p>
      <w:pPr>
        <w:spacing w:line="400" w:lineRule="exact"/>
        <w:rPr>
          <w:rFonts w:hint="eastAsia" w:ascii="宋体" w:hAnsi="宋体" w:eastAsia="宋体" w:cs="宋体"/>
          <w:b/>
          <w:color w:val="auto"/>
          <w:sz w:val="32"/>
          <w:szCs w:val="32"/>
          <w:highlight w:val="none"/>
        </w:rPr>
      </w:pPr>
    </w:p>
    <w:p>
      <w:pPr>
        <w:snapToGrid w:val="0"/>
        <w:spacing w:beforeLines="50" w:after="50"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一、我公司承诺无下列相互串通投标的情形：</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3.不同的投标人的投标文件载明的项目管</w:t>
      </w:r>
      <w:r>
        <w:rPr>
          <w:rFonts w:hint="eastAsia" w:ascii="宋体" w:hAnsi="宋体" w:eastAsia="宋体" w:cs="宋体"/>
          <w:color w:val="auto"/>
          <w:highlight w:val="none"/>
          <w:lang w:eastAsia="zh-CN"/>
        </w:rPr>
        <w:t>理人</w:t>
      </w:r>
      <w:r>
        <w:rPr>
          <w:rFonts w:hint="eastAsia" w:ascii="宋体" w:hAnsi="宋体" w:eastAsia="宋体" w:cs="宋体"/>
          <w:color w:val="auto"/>
          <w:highlight w:val="none"/>
        </w:rPr>
        <w:t>员为同一个人；</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4.不同投标人的投标文件异常一致或投标报价呈规律性差异； </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snapToGrid w:val="0"/>
        <w:spacing w:beforeLines="50" w:after="50" w:line="36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二、我公司承诺无下列恶意串通的情形：</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1.供应商直接或者间接从采购人或者采购代理机构处获得其他供应商的相关信息并修改其投标文件或者投标文件；</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2.供应商按照采购人或者采购代理机构的授意撤换、修改投标文件或者投标文件；</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3.供应商之间协商报价、技术方案等投标文件或者投标文件的实质性内容；</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w:t>
      </w:r>
      <w:r>
        <w:rPr>
          <w:rFonts w:hint="eastAsia" w:ascii="宋体" w:hAnsi="宋体" w:eastAsia="宋体" w:cs="宋体"/>
          <w:color w:val="auto"/>
          <w:highlight w:val="none"/>
          <w:lang w:val="en-US" w:eastAsia="zh-CN"/>
        </w:rPr>
        <w:t>招标项目</w:t>
      </w:r>
      <w:r>
        <w:rPr>
          <w:rFonts w:hint="eastAsia" w:ascii="宋体" w:hAnsi="宋体" w:eastAsia="宋体" w:cs="宋体"/>
          <w:color w:val="auto"/>
          <w:highlight w:val="none"/>
        </w:rPr>
        <w:t>中事先约定轮流以高价位或者低价位中标，或者事先约定由某一特定供应商中标，然后再参加投标；</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pPr>
        <w:snapToGrid w:val="0"/>
        <w:spacing w:beforeLines="50" w:after="50" w:line="320" w:lineRule="exact"/>
        <w:ind w:firstLine="470" w:firstLineChars="196"/>
        <w:jc w:val="left"/>
        <w:rPr>
          <w:rFonts w:hint="eastAsia" w:ascii="宋体" w:hAnsi="宋体" w:eastAsia="宋体" w:cs="宋体"/>
          <w:color w:val="auto"/>
          <w:sz w:val="24"/>
          <w:highlight w:val="none"/>
        </w:rPr>
      </w:pPr>
    </w:p>
    <w:p>
      <w:pPr>
        <w:snapToGrid w:val="0"/>
        <w:spacing w:beforeLines="50" w:after="50"/>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以上情形一经核查属实，我方愿意承担一切后果，并不再寻求任何旨在减轻或免除法律责任的辩解。</w:t>
      </w:r>
    </w:p>
    <w:p>
      <w:pPr>
        <w:snapToGrid w:val="0"/>
        <w:spacing w:line="400" w:lineRule="exact"/>
        <w:ind w:firstLine="1890" w:firstLineChars="900"/>
        <w:outlineLvl w:val="4"/>
        <w:rPr>
          <w:rFonts w:hint="eastAsia" w:ascii="宋体" w:hAnsi="宋体" w:eastAsia="宋体" w:cs="宋体"/>
          <w:color w:val="auto"/>
          <w:szCs w:val="21"/>
          <w:highlight w:val="none"/>
        </w:rPr>
      </w:pPr>
    </w:p>
    <w:p>
      <w:pPr>
        <w:snapToGrid w:val="0"/>
        <w:spacing w:line="400" w:lineRule="exact"/>
        <w:ind w:firstLine="1890" w:firstLineChars="900"/>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 (电子签章)：</w:t>
      </w:r>
      <w:r>
        <w:rPr>
          <w:rFonts w:hint="eastAsia" w:ascii="宋体" w:hAnsi="宋体" w:eastAsia="宋体" w:cs="宋体"/>
          <w:color w:val="auto"/>
          <w:szCs w:val="21"/>
          <w:highlight w:val="none"/>
          <w:u w:val="single"/>
        </w:rPr>
        <w:t xml:space="preserve">                                     </w:t>
      </w:r>
    </w:p>
    <w:p>
      <w:pPr>
        <w:pStyle w:val="8"/>
        <w:spacing w:line="44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或相应的委托代理人</w:t>
      </w:r>
      <w:r>
        <w:rPr>
          <w:rFonts w:hint="eastAsia" w:ascii="宋体" w:hAnsi="宋体" w:eastAsia="宋体" w:cs="宋体"/>
          <w:color w:val="auto"/>
          <w:szCs w:val="21"/>
          <w:highlight w:val="none"/>
        </w:rPr>
        <w:t>签字（或者电子签名）</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spacing w:line="34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二、商务、技术性响应及其他有效证明材料</w:t>
      </w: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1.投标函（必须提供）</w:t>
      </w:r>
    </w:p>
    <w:p>
      <w:pPr>
        <w:spacing w:line="400" w:lineRule="exact"/>
        <w:rPr>
          <w:rFonts w:hint="eastAsia" w:ascii="宋体" w:hAnsi="宋体" w:eastAsia="宋体" w:cs="宋体"/>
          <w:b/>
          <w:color w:val="auto"/>
          <w:sz w:val="32"/>
          <w:szCs w:val="32"/>
          <w:highlight w:val="none"/>
        </w:rPr>
      </w:pPr>
    </w:p>
    <w:p>
      <w:pPr>
        <w:spacing w:line="44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投标函（格式）</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lang w:eastAsia="zh-CN"/>
        </w:rPr>
        <w:t>中策恒睿建设有限公司</w:t>
      </w:r>
      <w:r>
        <w:rPr>
          <w:rFonts w:hint="eastAsia" w:ascii="宋体" w:hAnsi="宋体" w:eastAsia="宋体" w:cs="宋体"/>
          <w:color w:val="auto"/>
          <w:szCs w:val="21"/>
          <w:highlight w:val="none"/>
        </w:rPr>
        <w:t>：</w:t>
      </w:r>
    </w:p>
    <w:p>
      <w:pPr>
        <w:spacing w:line="32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w:t>
      </w:r>
      <w:r>
        <w:rPr>
          <w:rFonts w:hint="eastAsia" w:ascii="宋体" w:hAnsi="宋体" w:eastAsia="宋体" w:cs="宋体"/>
          <w:color w:val="auto"/>
          <w:szCs w:val="21"/>
          <w:highlight w:val="none"/>
          <w:u w:val="single"/>
        </w:rPr>
        <w:t xml:space="preserve"> 项目名称</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）的招标公告，签字代表______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（姓名）经正式授权并代表投标人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（投标人名称）提交投标文件。</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据此函，我方宣布同意如下：</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2.我方在投标之前已经完全理解并接受招标文件的各项规定和要求，对招标文件的合理性、合法性不再有异议。</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3.本投标有效期自投标截止之日起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4.如我方中标，本投标文件至本项目合同履行完毕止均保持有效，我方将按“招标文件”及政府采购</w:t>
      </w:r>
      <w:r>
        <w:rPr>
          <w:rFonts w:hint="eastAsia" w:ascii="宋体" w:hAnsi="宋体" w:eastAsia="宋体" w:cs="宋体"/>
          <w:color w:val="auto"/>
          <w:szCs w:val="21"/>
          <w:highlight w:val="none"/>
          <w:lang w:eastAsia="zh-CN"/>
        </w:rPr>
        <w:t>法律法规</w:t>
      </w:r>
      <w:r>
        <w:rPr>
          <w:rFonts w:hint="eastAsia" w:ascii="宋体" w:hAnsi="宋体" w:eastAsia="宋体" w:cs="宋体"/>
          <w:color w:val="auto"/>
          <w:szCs w:val="21"/>
          <w:highlight w:val="none"/>
        </w:rPr>
        <w:t>的规定履行合同责任和义务。</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szCs w:val="21"/>
          <w:highlight w:val="none"/>
        </w:rPr>
        <w:t>5.</w:t>
      </w:r>
      <w:r>
        <w:rPr>
          <w:rFonts w:hint="eastAsia" w:ascii="宋体" w:hAnsi="宋体" w:eastAsia="宋体" w:cs="宋体"/>
          <w:color w:val="auto"/>
          <w:kern w:val="0"/>
          <w:szCs w:val="20"/>
          <w:highlight w:val="none"/>
        </w:rPr>
        <w:t>如我方中标，我方保证按本项目招标文件的规定及标准向贵单位一次性足额支付代理服务费。代理服务费发票我方选择开具：</w:t>
      </w:r>
      <w:r>
        <w:rPr>
          <w:rFonts w:hint="eastAsia" w:ascii="宋体" w:hAnsi="宋体" w:eastAsia="宋体" w:cs="宋体"/>
          <w:color w:val="auto"/>
          <w:kern w:val="0"/>
          <w:highlight w:val="none"/>
        </w:rPr>
        <w:t>□</w:t>
      </w:r>
      <w:r>
        <w:rPr>
          <w:rFonts w:hint="eastAsia" w:ascii="宋体" w:hAnsi="宋体" w:eastAsia="宋体" w:cs="宋体"/>
          <w:color w:val="auto"/>
          <w:kern w:val="0"/>
          <w:szCs w:val="20"/>
          <w:highlight w:val="none"/>
          <w:u w:val="single"/>
        </w:rPr>
        <w:t>增值税普通发票</w:t>
      </w:r>
      <w:r>
        <w:rPr>
          <w:rFonts w:hint="eastAsia" w:ascii="宋体" w:hAnsi="宋体" w:eastAsia="宋体" w:cs="宋体"/>
          <w:color w:val="auto"/>
          <w:kern w:val="0"/>
          <w:szCs w:val="20"/>
          <w:highlight w:val="none"/>
        </w:rPr>
        <w:t>、</w:t>
      </w:r>
      <w:r>
        <w:rPr>
          <w:rFonts w:hint="eastAsia" w:ascii="宋体" w:hAnsi="宋体" w:eastAsia="宋体" w:cs="宋体"/>
          <w:color w:val="auto"/>
          <w:kern w:val="0"/>
          <w:highlight w:val="none"/>
        </w:rPr>
        <w:t>□</w:t>
      </w:r>
      <w:r>
        <w:rPr>
          <w:rFonts w:hint="eastAsia" w:ascii="宋体" w:hAnsi="宋体" w:eastAsia="宋体" w:cs="宋体"/>
          <w:color w:val="auto"/>
          <w:kern w:val="0"/>
          <w:szCs w:val="20"/>
          <w:highlight w:val="none"/>
          <w:u w:val="single"/>
        </w:rPr>
        <w:t>增值税专用发票</w:t>
      </w:r>
      <w:r>
        <w:rPr>
          <w:rFonts w:hint="eastAsia" w:ascii="宋体" w:hAnsi="宋体" w:eastAsia="宋体" w:cs="宋体"/>
          <w:color w:val="auto"/>
          <w:kern w:val="0"/>
          <w:szCs w:val="20"/>
          <w:highlight w:val="none"/>
        </w:rPr>
        <w:t>，开票信息如下:</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开具增值税</w:t>
      </w:r>
      <w:r>
        <w:rPr>
          <w:rFonts w:hint="eastAsia" w:ascii="宋体" w:hAnsi="宋体" w:eastAsia="宋体" w:cs="宋体"/>
          <w:b/>
          <w:color w:val="auto"/>
          <w:kern w:val="0"/>
          <w:szCs w:val="20"/>
          <w:highlight w:val="none"/>
        </w:rPr>
        <w:t>普通</w:t>
      </w:r>
      <w:r>
        <w:rPr>
          <w:rFonts w:hint="eastAsia" w:ascii="宋体" w:hAnsi="宋体" w:eastAsia="宋体" w:cs="宋体"/>
          <w:color w:val="auto"/>
          <w:kern w:val="0"/>
          <w:szCs w:val="20"/>
          <w:highlight w:val="none"/>
        </w:rPr>
        <w:t>发票开票信息:</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①公司名称：</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②纳税人识别号：</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开具增值税</w:t>
      </w:r>
      <w:r>
        <w:rPr>
          <w:rFonts w:hint="eastAsia" w:ascii="宋体" w:hAnsi="宋体" w:eastAsia="宋体" w:cs="宋体"/>
          <w:b/>
          <w:color w:val="auto"/>
          <w:kern w:val="0"/>
          <w:szCs w:val="20"/>
          <w:highlight w:val="none"/>
        </w:rPr>
        <w:t>专用</w:t>
      </w:r>
      <w:r>
        <w:rPr>
          <w:rFonts w:hint="eastAsia" w:ascii="宋体" w:hAnsi="宋体" w:eastAsia="宋体" w:cs="宋体"/>
          <w:color w:val="auto"/>
          <w:kern w:val="0"/>
          <w:szCs w:val="20"/>
          <w:highlight w:val="none"/>
        </w:rPr>
        <w:t>发票开票信息:</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①公司名称：</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②纳税人识别号：_</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③税局登记地址：</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④税局登记电话：</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⑤开户银行：</w:t>
      </w:r>
      <w:r>
        <w:rPr>
          <w:rFonts w:hint="eastAsia" w:ascii="宋体" w:hAnsi="宋体" w:eastAsia="宋体" w:cs="宋体"/>
          <w:color w:val="auto"/>
          <w:kern w:val="0"/>
          <w:szCs w:val="20"/>
          <w:highlight w:val="none"/>
          <w:u w:val="single"/>
        </w:rPr>
        <w:t xml:space="preserve">               </w:t>
      </w:r>
    </w:p>
    <w:p>
      <w:pPr>
        <w:spacing w:line="320" w:lineRule="exact"/>
        <w:ind w:firstLine="42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⑥银行账户：</w:t>
      </w:r>
      <w:r>
        <w:rPr>
          <w:rFonts w:hint="eastAsia" w:ascii="宋体" w:hAnsi="宋体" w:eastAsia="宋体" w:cs="宋体"/>
          <w:color w:val="auto"/>
          <w:kern w:val="0"/>
          <w:szCs w:val="20"/>
          <w:highlight w:val="none"/>
          <w:u w:val="single"/>
        </w:rPr>
        <w:t xml:space="preserve">               </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6.我方同意按照贵方要求提供与投标有关的一切数据或者资料。</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7.我方向贵方提交的所有投标文件、资料都是准确的和真实的。</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8.以上事项如有虚假或者隐瞒，我方愿意承担一切后果，并不再寻求任何旨在减轻或者免除法律责任的辩解。</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□我方本次投标文件</w:t>
      </w:r>
      <w:r>
        <w:rPr>
          <w:rFonts w:hint="eastAsia" w:ascii="宋体" w:hAnsi="宋体" w:eastAsia="宋体" w:cs="宋体"/>
          <w:color w:val="auto"/>
          <w:kern w:val="0"/>
          <w:szCs w:val="21"/>
          <w:highlight w:val="none"/>
        </w:rPr>
        <w:t>内容中</w:t>
      </w:r>
      <w:r>
        <w:rPr>
          <w:rFonts w:hint="eastAsia" w:ascii="宋体" w:hAnsi="宋体" w:eastAsia="宋体" w:cs="宋体"/>
          <w:color w:val="auto"/>
          <w:szCs w:val="21"/>
          <w:highlight w:val="none"/>
        </w:rPr>
        <w:t>未</w:t>
      </w:r>
      <w:r>
        <w:rPr>
          <w:rFonts w:hint="eastAsia" w:ascii="宋体" w:hAnsi="宋体" w:eastAsia="宋体" w:cs="宋体"/>
          <w:color w:val="auto"/>
          <w:kern w:val="0"/>
          <w:szCs w:val="21"/>
          <w:highlight w:val="none"/>
        </w:rPr>
        <w:t>涉及商业秘密；</w:t>
      </w:r>
    </w:p>
    <w:p>
      <w:pPr>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□我方本次投标文件</w:t>
      </w:r>
      <w:r>
        <w:rPr>
          <w:rFonts w:hint="eastAsia" w:ascii="宋体" w:hAnsi="宋体" w:eastAsia="宋体" w:cs="宋体"/>
          <w:color w:val="auto"/>
          <w:kern w:val="0"/>
          <w:szCs w:val="21"/>
          <w:highlight w:val="none"/>
        </w:rPr>
        <w:t>涉及商业秘密的内容有：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napToGrid w:val="0"/>
        <w:spacing w:line="320" w:lineRule="exact"/>
        <w:jc w:val="left"/>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20" w:lineRule="exact"/>
        <w:ind w:firstLine="315" w:firstLineChars="150"/>
        <w:jc w:val="left"/>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投标人电子签章：</w:t>
      </w:r>
      <w:r>
        <w:rPr>
          <w:rFonts w:hint="eastAsia" w:ascii="宋体" w:hAnsi="宋体" w:eastAsia="宋体" w:cs="宋体"/>
          <w:color w:val="auto"/>
          <w:szCs w:val="21"/>
          <w:highlight w:val="none"/>
          <w:u w:val="single"/>
        </w:rPr>
        <w:t xml:space="preserve">                                     </w:t>
      </w:r>
    </w:p>
    <w:p>
      <w:pPr>
        <w:pStyle w:val="8"/>
        <w:spacing w:line="320" w:lineRule="exact"/>
        <w:ind w:firstLine="315" w:firstLineChars="150"/>
        <w:jc w:val="left"/>
        <w:rPr>
          <w:rFonts w:hint="eastAsia" w:ascii="宋体" w:hAnsi="宋体" w:eastAsia="宋体" w:cs="宋体"/>
          <w:color w:val="auto"/>
          <w:szCs w:val="21"/>
          <w:highlight w:val="none"/>
          <w:u w:val="single"/>
        </w:rPr>
      </w:pPr>
      <w:r>
        <w:rPr>
          <w:rFonts w:hint="eastAsia" w:ascii="宋体" w:hAnsi="宋体" w:eastAsia="宋体" w:cs="宋体"/>
          <w:color w:val="auto"/>
          <w:szCs w:val="24"/>
          <w:highlight w:val="none"/>
        </w:rPr>
        <w:t>法定代表人</w:t>
      </w:r>
      <w:r>
        <w:rPr>
          <w:rFonts w:hint="eastAsia" w:ascii="宋体" w:hAnsi="宋体" w:eastAsia="宋体" w:cs="宋体"/>
          <w:color w:val="auto"/>
          <w:highlight w:val="none"/>
        </w:rPr>
        <w:t>或相应的委托代理人</w:t>
      </w:r>
      <w:r>
        <w:rPr>
          <w:rFonts w:hint="eastAsia" w:ascii="宋体" w:hAnsi="宋体" w:eastAsia="宋体" w:cs="宋体"/>
          <w:color w:val="auto"/>
          <w:szCs w:val="21"/>
          <w:highlight w:val="none"/>
        </w:rPr>
        <w:t>签字（或者电子签名）</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spacing w:line="32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2.投标报价表（必须提供）</w:t>
      </w:r>
    </w:p>
    <w:p>
      <w:pPr>
        <w:spacing w:line="400" w:lineRule="exact"/>
        <w:rPr>
          <w:rFonts w:hint="eastAsia" w:ascii="宋体" w:hAnsi="宋体" w:eastAsia="宋体" w:cs="宋体"/>
          <w:b/>
          <w:color w:val="auto"/>
          <w:sz w:val="30"/>
          <w:szCs w:val="30"/>
          <w:highlight w:val="none"/>
        </w:rPr>
      </w:pP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spacing w:line="44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投标报价表（格式）</w:t>
      </w:r>
    </w:p>
    <w:p>
      <w:pPr>
        <w:spacing w:line="240" w:lineRule="exact"/>
        <w:jc w:val="center"/>
        <w:rPr>
          <w:rFonts w:hint="eastAsia" w:ascii="宋体" w:hAnsi="宋体" w:eastAsia="宋体" w:cs="宋体"/>
          <w:color w:val="auto"/>
          <w:sz w:val="32"/>
          <w:highlight w:val="none"/>
        </w:rPr>
      </w:pPr>
    </w:p>
    <w:p>
      <w:pPr>
        <w:spacing w:line="400" w:lineRule="exact"/>
        <w:rPr>
          <w:rFonts w:hint="eastAsia" w:ascii="宋体" w:hAnsi="宋体" w:eastAsia="宋体" w:cs="宋体"/>
          <w:b/>
          <w:bCs/>
          <w:color w:val="auto"/>
          <w:highlight w:val="none"/>
          <w:lang w:eastAsia="zh-CN"/>
        </w:rPr>
      </w:pPr>
      <w:r>
        <w:rPr>
          <w:rFonts w:hint="eastAsia" w:ascii="宋体" w:hAnsi="宋体" w:eastAsia="宋体" w:cs="宋体"/>
          <w:b/>
          <w:bCs/>
          <w:color w:val="auto"/>
          <w:szCs w:val="21"/>
          <w:highlight w:val="none"/>
        </w:rPr>
        <w:t>致：</w:t>
      </w:r>
      <w:r>
        <w:rPr>
          <w:rFonts w:hint="eastAsia" w:ascii="宋体" w:hAnsi="宋体" w:eastAsia="宋体" w:cs="宋体"/>
          <w:b/>
          <w:bCs/>
          <w:color w:val="auto"/>
          <w:highlight w:val="none"/>
          <w:u w:val="single"/>
          <w:lang w:eastAsia="zh-CN"/>
        </w:rPr>
        <w:t>中策恒睿建设有限公司</w:t>
      </w:r>
    </w:p>
    <w:p>
      <w:pPr>
        <w:pStyle w:val="8"/>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（姓名）经正式授权并代表投标人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投标单位名称），并做出如下报价：</w:t>
      </w:r>
    </w:p>
    <w:p>
      <w:pPr>
        <w:pStyle w:val="4"/>
        <w:ind w:left="0" w:leftChars="0" w:firstLine="0" w:firstLineChars="0"/>
        <w:rPr>
          <w:rFonts w:hint="eastAsia" w:ascii="宋体" w:hAnsi="宋体" w:eastAsia="宋体" w:cs="宋体"/>
          <w:b/>
          <w:bCs/>
          <w:color w:val="auto"/>
          <w:highlight w:val="none"/>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074"/>
        <w:gridCol w:w="1342"/>
        <w:gridCol w:w="887"/>
        <w:gridCol w:w="1402"/>
        <w:gridCol w:w="759"/>
        <w:gridCol w:w="504"/>
        <w:gridCol w:w="860"/>
        <w:gridCol w:w="1272"/>
        <w:gridCol w:w="1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生产厂家</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①</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单价（元）</w:t>
            </w:r>
          </w:p>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②</w:t>
            </w:r>
          </w:p>
        </w:tc>
        <w:tc>
          <w:tcPr>
            <w:tcW w:w="1272" w:type="dxa"/>
            <w:tcBorders>
              <w:top w:val="single" w:color="auto" w:sz="4" w:space="0"/>
              <w:left w:val="single" w:color="auto" w:sz="4" w:space="0"/>
              <w:bottom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单项合计=数量×单价</w:t>
            </w:r>
          </w:p>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③＝①×②</w:t>
            </w:r>
          </w:p>
        </w:tc>
        <w:tc>
          <w:tcPr>
            <w:tcW w:w="1272" w:type="dxa"/>
            <w:tcBorders>
              <w:top w:val="single" w:color="auto" w:sz="4" w:space="0"/>
              <w:left w:val="single" w:color="auto" w:sz="4" w:space="0"/>
              <w:bottom w:val="single" w:color="auto" w:sz="4" w:space="0"/>
            </w:tcBorders>
            <w:noWrap w:val="0"/>
            <w:vAlign w:val="center"/>
          </w:tcPr>
          <w:p>
            <w:pPr>
              <w:spacing w:line="2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5" w:hRule="atLeast"/>
        </w:trPr>
        <w:tc>
          <w:tcPr>
            <w:tcW w:w="648"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c>
          <w:tcPr>
            <w:tcW w:w="1272"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c>
          <w:tcPr>
            <w:tcW w:w="1272" w:type="dxa"/>
            <w:vMerge w:val="restart"/>
            <w:tcBorders>
              <w:top w:val="single" w:color="auto" w:sz="4" w:space="0"/>
              <w:left w:val="single" w:color="auto" w:sz="4" w:space="0"/>
            </w:tcBorders>
            <w:noWrap w:val="0"/>
            <w:vAlign w:val="center"/>
          </w:tcPr>
          <w:p>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所投标</w:t>
            </w:r>
            <w:r>
              <w:rPr>
                <w:rFonts w:hint="eastAsia" w:ascii="宋体" w:hAnsi="宋体" w:eastAsia="宋体" w:cs="宋体"/>
                <w:bCs/>
                <w:color w:val="auto"/>
                <w:highlight w:val="none"/>
                <w:lang w:eastAsia="zh-CN"/>
              </w:rPr>
              <w:t>的</w:t>
            </w:r>
            <w:r>
              <w:rPr>
                <w:rFonts w:hint="eastAsia" w:ascii="宋体" w:hAnsi="宋体" w:eastAsia="宋体" w:cs="宋体"/>
                <w:bCs/>
                <w:color w:val="auto"/>
                <w:highlight w:val="none"/>
              </w:rPr>
              <w:t>技术参数、配置等，详见“技术偏离表”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648"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c>
          <w:tcPr>
            <w:tcW w:w="1272"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c>
          <w:tcPr>
            <w:tcW w:w="1272" w:type="dxa"/>
            <w:vMerge w:val="continue"/>
            <w:tcBorders>
              <w:left w:val="single" w:color="auto" w:sz="4" w:space="0"/>
              <w:bottom w:val="single" w:color="auto" w:sz="4" w:space="0"/>
            </w:tcBorders>
            <w:noWrap w:val="0"/>
            <w:vAlign w:val="center"/>
          </w:tcPr>
          <w:p>
            <w:pPr>
              <w:spacing w:line="440" w:lineRule="exact"/>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10020" w:type="dxa"/>
            <w:gridSpan w:val="10"/>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投标报价（大写）： </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4" w:hRule="atLeast"/>
        </w:trPr>
        <w:tc>
          <w:tcPr>
            <w:tcW w:w="10020"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其中：</w:t>
            </w:r>
          </w:p>
          <w:p>
            <w:pPr>
              <w:spacing w:line="30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属于财政部</w:t>
            </w:r>
            <w:r>
              <w:rPr>
                <w:rFonts w:hint="eastAsia" w:ascii="宋体" w:hAnsi="宋体" w:eastAsia="宋体" w:cs="宋体"/>
                <w:bCs/>
                <w:color w:val="auto"/>
                <w:highlight w:val="none"/>
              </w:rPr>
              <w:t>《节能产品政府采购品目清单》</w:t>
            </w:r>
            <w:r>
              <w:rPr>
                <w:rFonts w:hint="eastAsia" w:ascii="宋体" w:hAnsi="宋体" w:eastAsia="宋体" w:cs="宋体"/>
                <w:color w:val="auto"/>
                <w:spacing w:val="-6"/>
                <w:szCs w:val="21"/>
                <w:highlight w:val="none"/>
              </w:rPr>
              <w:t xml:space="preserve">内产品的总金额为人民币（大写）：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元（¥</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pPr>
              <w:spacing w:line="30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属于财政部</w:t>
            </w:r>
            <w:r>
              <w:rPr>
                <w:rFonts w:hint="eastAsia" w:ascii="宋体" w:hAnsi="宋体" w:eastAsia="宋体" w:cs="宋体"/>
                <w:bCs/>
                <w:color w:val="auto"/>
                <w:highlight w:val="none"/>
              </w:rPr>
              <w:t>《环境标志产品政府采购品目清单》</w:t>
            </w:r>
            <w:r>
              <w:rPr>
                <w:rFonts w:hint="eastAsia" w:ascii="宋体" w:hAnsi="宋体" w:eastAsia="宋体" w:cs="宋体"/>
                <w:color w:val="auto"/>
                <w:spacing w:val="-6"/>
                <w:szCs w:val="21"/>
                <w:highlight w:val="none"/>
              </w:rPr>
              <w:t>内产品的总金额为人民币（大写）：</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元（¥</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w:t>
            </w:r>
          </w:p>
          <w:p>
            <w:pPr>
              <w:spacing w:line="300" w:lineRule="exact"/>
              <w:rPr>
                <w:rFonts w:hint="eastAsia"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3" w:hRule="atLeast"/>
        </w:trPr>
        <w:tc>
          <w:tcPr>
            <w:tcW w:w="10020"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tabs>
                <w:tab w:val="left" w:pos="1305"/>
              </w:tabs>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投标报价包括所投标的价款、标的随配标准附件、包装、运输、装卸、保险、税金、货到位以及安装、安装所需辅材、调试、检验、售后服务、培训、保修、验收费用及其他所有成本费用的总和，投标人应综合考虑在报价中。</w:t>
            </w:r>
          </w:p>
          <w:p>
            <w:pPr>
              <w:spacing w:line="300" w:lineRule="exact"/>
              <w:rPr>
                <w:rFonts w:hint="eastAsia" w:ascii="宋体" w:hAnsi="宋体" w:eastAsia="宋体" w:cs="宋体"/>
                <w:b/>
                <w:color w:val="auto"/>
                <w:highlight w:val="none"/>
              </w:rPr>
            </w:pPr>
            <w:r>
              <w:rPr>
                <w:rFonts w:hint="eastAsia" w:ascii="宋体" w:hAnsi="宋体" w:eastAsia="宋体" w:cs="宋体"/>
                <w:color w:val="auto"/>
                <w:kern w:val="0"/>
                <w:szCs w:val="21"/>
                <w:highlight w:val="none"/>
              </w:rPr>
              <w:t>2.投标人投标报价超出采购预算金额的，投标文件按无效处理。</w:t>
            </w:r>
          </w:p>
        </w:tc>
      </w:tr>
    </w:tbl>
    <w:p>
      <w:pPr>
        <w:pStyle w:val="8"/>
        <w:spacing w:line="340" w:lineRule="exact"/>
        <w:ind w:firstLine="420"/>
        <w:rPr>
          <w:rFonts w:hint="eastAsia" w:ascii="宋体" w:hAnsi="宋体" w:eastAsia="宋体" w:cs="宋体"/>
          <w:color w:val="auto"/>
          <w:highlight w:val="none"/>
        </w:rPr>
      </w:pP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与本投标有关的正式通讯地址为：</w:t>
      </w: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8"/>
        <w:spacing w:line="340" w:lineRule="exact"/>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办公电话：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 xml:space="preserve">            </w:t>
      </w:r>
    </w:p>
    <w:p>
      <w:pPr>
        <w:pStyle w:val="8"/>
        <w:spacing w:line="340" w:lineRule="exact"/>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委托代理人联系电话：</w:t>
      </w:r>
      <w:r>
        <w:rPr>
          <w:rFonts w:hint="eastAsia" w:ascii="宋体" w:hAnsi="宋体" w:eastAsia="宋体" w:cs="宋体"/>
          <w:color w:val="auto"/>
          <w:highlight w:val="none"/>
          <w:u w:val="single"/>
        </w:rPr>
        <w:t xml:space="preserve">                </w:t>
      </w: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pPr>
        <w:pStyle w:val="8"/>
        <w:spacing w:line="3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账号：</w:t>
      </w:r>
      <w:r>
        <w:rPr>
          <w:rFonts w:hint="eastAsia" w:ascii="宋体" w:hAnsi="宋体" w:eastAsia="宋体" w:cs="宋体"/>
          <w:color w:val="auto"/>
          <w:highlight w:val="none"/>
          <w:u w:val="single"/>
        </w:rPr>
        <w:t xml:space="preserve">                                   　　　   </w:t>
      </w:r>
    </w:p>
    <w:p>
      <w:pPr>
        <w:snapToGrid w:val="0"/>
        <w:spacing w:line="400" w:lineRule="exact"/>
        <w:jc w:val="left"/>
        <w:outlineLvl w:val="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投标人 (电子签章)：</w:t>
      </w:r>
      <w:r>
        <w:rPr>
          <w:rFonts w:hint="eastAsia" w:ascii="宋体" w:hAnsi="宋体" w:eastAsia="宋体" w:cs="宋体"/>
          <w:color w:val="auto"/>
          <w:szCs w:val="21"/>
          <w:highlight w:val="none"/>
          <w:u w:val="single"/>
        </w:rPr>
        <w:t xml:space="preserve">                                     </w:t>
      </w:r>
    </w:p>
    <w:p>
      <w:pPr>
        <w:pStyle w:val="8"/>
        <w:spacing w:line="44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或相应的委托代理人</w:t>
      </w:r>
      <w:r>
        <w:rPr>
          <w:rFonts w:hint="eastAsia" w:ascii="宋体" w:hAnsi="宋体" w:eastAsia="宋体" w:cs="宋体"/>
          <w:color w:val="auto"/>
          <w:szCs w:val="21"/>
          <w:highlight w:val="none"/>
        </w:rPr>
        <w:t>签字（或者电子签名）</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spacing w:line="34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pStyle w:val="8"/>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pStyle w:val="8"/>
        <w:spacing w:line="400" w:lineRule="exact"/>
        <w:ind w:firstLine="316" w:firstLineChars="15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1.投标人必须按本投标报价表（格式）要求注明清楚联系方式（包括地址、邮编、邮箱、电话等），从而确保中标结果等相关信息能及时通知到位。</w:t>
      </w:r>
    </w:p>
    <w:p>
      <w:pPr>
        <w:pStyle w:val="8"/>
        <w:spacing w:line="400" w:lineRule="exact"/>
        <w:ind w:firstLine="315" w:firstLineChars="150"/>
        <w:rPr>
          <w:rFonts w:hint="eastAsia" w:ascii="宋体" w:hAnsi="宋体" w:eastAsia="宋体" w:cs="宋体"/>
          <w:b/>
          <w:color w:val="auto"/>
          <w:sz w:val="32"/>
          <w:szCs w:val="32"/>
          <w:highlight w:val="none"/>
        </w:rPr>
      </w:pPr>
      <w:r>
        <w:rPr>
          <w:rFonts w:hint="eastAsia" w:ascii="宋体" w:hAnsi="宋体" w:eastAsia="宋体" w:cs="宋体"/>
          <w:bCs/>
          <w:color w:val="auto"/>
          <w:szCs w:val="21"/>
          <w:highlight w:val="none"/>
        </w:rPr>
        <w:t>2.如全部或部分产品属于</w:t>
      </w:r>
      <w:r>
        <w:rPr>
          <w:rFonts w:hint="eastAsia" w:ascii="宋体" w:hAnsi="宋体" w:eastAsia="宋体" w:cs="宋体"/>
          <w:bCs/>
          <w:color w:val="auto"/>
          <w:highlight w:val="none"/>
        </w:rPr>
        <w:t>财政部《节能产品政府采购品目清单》或《环境标志产品政府采购品目清单》内产品的</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投标人</w:t>
      </w:r>
      <w:r>
        <w:rPr>
          <w:rFonts w:hint="eastAsia" w:ascii="宋体" w:hAnsi="宋体" w:eastAsia="宋体" w:cs="宋体"/>
          <w:bCs/>
          <w:color w:val="auto"/>
          <w:szCs w:val="21"/>
          <w:highlight w:val="none"/>
        </w:rPr>
        <w:t>于投标</w:t>
      </w:r>
      <w:r>
        <w:rPr>
          <w:rFonts w:hint="eastAsia" w:ascii="宋体" w:hAnsi="宋体" w:eastAsia="宋体" w:cs="宋体"/>
          <w:bCs/>
          <w:color w:val="auto"/>
          <w:highlight w:val="none"/>
        </w:rPr>
        <w:t>文件中提供该产品由</w:t>
      </w:r>
      <w:r>
        <w:rPr>
          <w:rFonts w:hint="eastAsia" w:ascii="宋体" w:hAnsi="宋体" w:eastAsia="宋体" w:cs="宋体"/>
          <w:bCs/>
          <w:color w:val="auto"/>
          <w:szCs w:val="21"/>
          <w:highlight w:val="none"/>
        </w:rPr>
        <w:t>国家确定的认证机构出具的、处于有效期之内的</w:t>
      </w:r>
      <w:r>
        <w:rPr>
          <w:rFonts w:hint="eastAsia" w:ascii="宋体" w:hAnsi="宋体" w:eastAsia="宋体" w:cs="宋体"/>
          <w:bCs/>
          <w:color w:val="auto"/>
          <w:highlight w:val="none"/>
        </w:rPr>
        <w:t>认证证书复印件及相应的品目清单（标注出所投产品在品目清单中所属的品目）</w:t>
      </w:r>
      <w:r>
        <w:rPr>
          <w:rFonts w:hint="eastAsia" w:ascii="宋体" w:hAnsi="宋体" w:eastAsia="宋体" w:cs="宋体"/>
          <w:bCs/>
          <w:color w:val="auto"/>
          <w:szCs w:val="21"/>
          <w:highlight w:val="none"/>
        </w:rPr>
        <w:t>，以便评标委员会作为评审或优先采购的依据。</w:t>
      </w:r>
    </w:p>
    <w:p>
      <w:pPr>
        <w:pStyle w:val="8"/>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pPr>
    </w:p>
    <w:p>
      <w:pPr>
        <w:tabs>
          <w:tab w:val="left" w:pos="1305"/>
        </w:tabs>
        <w:spacing w:line="340" w:lineRule="exact"/>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3.技术偏离表（必须提供）</w:t>
      </w:r>
    </w:p>
    <w:p>
      <w:pPr>
        <w:spacing w:line="400" w:lineRule="exact"/>
        <w:rPr>
          <w:rFonts w:hint="eastAsia" w:ascii="宋体" w:hAnsi="宋体" w:eastAsia="宋体" w:cs="宋体"/>
          <w:b/>
          <w:color w:val="auto"/>
          <w:sz w:val="30"/>
          <w:szCs w:val="30"/>
          <w:highlight w:val="none"/>
        </w:rPr>
      </w:pP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jc w:val="center"/>
        <w:rPr>
          <w:rFonts w:hint="eastAsia" w:ascii="宋体" w:hAnsi="宋体" w:eastAsia="宋体" w:cs="宋体"/>
          <w:b/>
          <w:bCs/>
          <w:color w:val="auto"/>
          <w:sz w:val="32"/>
          <w:highlight w:val="none"/>
        </w:rPr>
      </w:pPr>
      <w:r>
        <w:rPr>
          <w:rFonts w:hint="eastAsia" w:ascii="宋体" w:hAnsi="宋体" w:eastAsia="宋体" w:cs="宋体"/>
          <w:b/>
          <w:color w:val="auto"/>
          <w:sz w:val="32"/>
          <w:szCs w:val="32"/>
          <w:highlight w:val="none"/>
        </w:rPr>
        <w:t>技术偏离表</w:t>
      </w:r>
      <w:r>
        <w:rPr>
          <w:rFonts w:hint="eastAsia" w:ascii="宋体" w:hAnsi="宋体" w:eastAsia="宋体" w:cs="宋体"/>
          <w:b/>
          <w:bCs/>
          <w:color w:val="auto"/>
          <w:sz w:val="32"/>
          <w:highlight w:val="none"/>
        </w:rPr>
        <w:t>（格式）</w:t>
      </w:r>
    </w:p>
    <w:p>
      <w:pPr>
        <w:pStyle w:val="4"/>
        <w:ind w:left="0" w:leftChars="0" w:firstLine="0" w:firstLineChars="0"/>
        <w:rPr>
          <w:rFonts w:hint="eastAsia" w:ascii="宋体" w:hAnsi="宋体" w:eastAsia="宋体" w:cs="宋体"/>
          <w:b/>
          <w:bCs/>
          <w:color w:val="auto"/>
          <w:highlight w:val="none"/>
          <w:lang w:eastAsia="zh-CN"/>
        </w:rPr>
      </w:pPr>
    </w:p>
    <w:p>
      <w:pPr>
        <w:pStyle w:val="4"/>
        <w:ind w:left="0" w:leftChars="0" w:firstLine="0" w:firstLineChars="0"/>
        <w:rPr>
          <w:rFonts w:hint="eastAsia" w:ascii="宋体" w:hAnsi="宋体" w:eastAsia="宋体" w:cs="宋体"/>
          <w:color w:val="auto"/>
          <w:highlight w:val="none"/>
        </w:rPr>
      </w:pPr>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6"/>
        <w:gridCol w:w="3260"/>
        <w:gridCol w:w="3119"/>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47" w:type="dxa"/>
            <w:noWrap w:val="0"/>
            <w:vAlign w:val="center"/>
          </w:tcPr>
          <w:p>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项号</w:t>
            </w:r>
          </w:p>
        </w:tc>
        <w:tc>
          <w:tcPr>
            <w:tcW w:w="1276" w:type="dxa"/>
            <w:noWrap w:val="0"/>
            <w:vAlign w:val="center"/>
          </w:tcPr>
          <w:p>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标的名称</w:t>
            </w:r>
          </w:p>
        </w:tc>
        <w:tc>
          <w:tcPr>
            <w:tcW w:w="3260" w:type="dxa"/>
            <w:noWrap w:val="0"/>
            <w:vAlign w:val="center"/>
          </w:tcPr>
          <w:p>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招标文件的“技术要求”</w:t>
            </w:r>
          </w:p>
        </w:tc>
        <w:tc>
          <w:tcPr>
            <w:tcW w:w="3119" w:type="dxa"/>
            <w:noWrap w:val="0"/>
            <w:vAlign w:val="center"/>
          </w:tcPr>
          <w:p>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对应招标文件的“技术要求”，投标文件的详细响应情况</w:t>
            </w:r>
          </w:p>
        </w:tc>
        <w:tc>
          <w:tcPr>
            <w:tcW w:w="1193" w:type="dxa"/>
            <w:noWrap w:val="0"/>
            <w:vAlign w:val="center"/>
          </w:tcPr>
          <w:p>
            <w:pPr>
              <w:pStyle w:val="8"/>
              <w:spacing w:line="400" w:lineRule="exact"/>
              <w:jc w:val="center"/>
              <w:rPr>
                <w:rFonts w:hint="eastAsia" w:ascii="宋体" w:hAnsi="宋体" w:eastAsia="宋体" w:cs="宋体"/>
                <w:color w:val="auto"/>
                <w:highlight w:val="none"/>
              </w:rPr>
            </w:pPr>
            <w:bookmarkStart w:id="58" w:name="_Toc254970560"/>
            <w:bookmarkStart w:id="59" w:name="_Toc254970701"/>
            <w:r>
              <w:rPr>
                <w:rFonts w:hint="eastAsia" w:ascii="宋体" w:hAnsi="宋体" w:eastAsia="宋体" w:cs="宋体"/>
                <w:color w:val="auto"/>
                <w:highlight w:val="none"/>
              </w:rPr>
              <w:t>偏离情况</w:t>
            </w:r>
            <w:bookmarkEnd w:id="58"/>
            <w:bookmarkEnd w:id="59"/>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noWrap w:val="0"/>
            <w:vAlign w:val="center"/>
          </w:tcPr>
          <w:p>
            <w:pPr>
              <w:spacing w:line="440" w:lineRule="exact"/>
              <w:jc w:val="center"/>
              <w:rPr>
                <w:rFonts w:hint="eastAsia" w:ascii="宋体" w:hAnsi="宋体" w:eastAsia="宋体" w:cs="宋体"/>
                <w:color w:val="auto"/>
                <w:szCs w:val="21"/>
                <w:highlight w:val="none"/>
              </w:rPr>
            </w:pPr>
          </w:p>
        </w:tc>
        <w:tc>
          <w:tcPr>
            <w:tcW w:w="3260" w:type="dxa"/>
            <w:noWrap w:val="0"/>
            <w:vAlign w:val="top"/>
          </w:tcPr>
          <w:p>
            <w:pPr>
              <w:pStyle w:val="8"/>
              <w:spacing w:line="600" w:lineRule="exact"/>
              <w:rPr>
                <w:rFonts w:hint="eastAsia" w:ascii="宋体" w:hAnsi="宋体" w:eastAsia="宋体" w:cs="宋体"/>
                <w:color w:val="auto"/>
                <w:highlight w:val="none"/>
              </w:rPr>
            </w:pPr>
          </w:p>
        </w:tc>
        <w:tc>
          <w:tcPr>
            <w:tcW w:w="3119" w:type="dxa"/>
            <w:noWrap w:val="0"/>
            <w:vAlign w:val="top"/>
          </w:tcPr>
          <w:p>
            <w:pPr>
              <w:pStyle w:val="8"/>
              <w:spacing w:line="600" w:lineRule="exact"/>
              <w:rPr>
                <w:rFonts w:hint="eastAsia" w:ascii="宋体" w:hAnsi="宋体" w:eastAsia="宋体" w:cs="宋体"/>
                <w:color w:val="auto"/>
                <w:highlight w:val="none"/>
              </w:rPr>
            </w:pPr>
          </w:p>
        </w:tc>
        <w:tc>
          <w:tcPr>
            <w:tcW w:w="1193" w:type="dxa"/>
            <w:noWrap w:val="0"/>
            <w:vAlign w:val="top"/>
          </w:tcPr>
          <w:p>
            <w:pPr>
              <w:pStyle w:val="8"/>
              <w:spacing w:line="6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7" w:type="dxa"/>
            <w:noWrap w:val="0"/>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6" w:type="dxa"/>
            <w:noWrap w:val="0"/>
            <w:vAlign w:val="center"/>
          </w:tcPr>
          <w:p>
            <w:pPr>
              <w:spacing w:line="440" w:lineRule="exact"/>
              <w:jc w:val="center"/>
              <w:rPr>
                <w:rFonts w:hint="eastAsia" w:ascii="宋体" w:hAnsi="宋体" w:eastAsia="宋体" w:cs="宋体"/>
                <w:color w:val="auto"/>
                <w:szCs w:val="21"/>
                <w:highlight w:val="none"/>
              </w:rPr>
            </w:pPr>
          </w:p>
        </w:tc>
        <w:tc>
          <w:tcPr>
            <w:tcW w:w="3260" w:type="dxa"/>
            <w:noWrap w:val="0"/>
            <w:vAlign w:val="top"/>
          </w:tcPr>
          <w:p>
            <w:pPr>
              <w:pStyle w:val="8"/>
              <w:spacing w:line="600" w:lineRule="exact"/>
              <w:rPr>
                <w:rFonts w:hint="eastAsia" w:ascii="宋体" w:hAnsi="宋体" w:eastAsia="宋体" w:cs="宋体"/>
                <w:color w:val="auto"/>
                <w:highlight w:val="none"/>
              </w:rPr>
            </w:pPr>
          </w:p>
        </w:tc>
        <w:tc>
          <w:tcPr>
            <w:tcW w:w="3119" w:type="dxa"/>
            <w:noWrap w:val="0"/>
            <w:vAlign w:val="top"/>
          </w:tcPr>
          <w:p>
            <w:pPr>
              <w:pStyle w:val="8"/>
              <w:spacing w:line="600" w:lineRule="exact"/>
              <w:rPr>
                <w:rFonts w:hint="eastAsia" w:ascii="宋体" w:hAnsi="宋体" w:eastAsia="宋体" w:cs="宋体"/>
                <w:color w:val="auto"/>
                <w:highlight w:val="none"/>
              </w:rPr>
            </w:pPr>
          </w:p>
        </w:tc>
        <w:tc>
          <w:tcPr>
            <w:tcW w:w="1193" w:type="dxa"/>
            <w:noWrap w:val="0"/>
            <w:vAlign w:val="top"/>
          </w:tcPr>
          <w:p>
            <w:pPr>
              <w:pStyle w:val="8"/>
              <w:spacing w:line="600" w:lineRule="exact"/>
              <w:rPr>
                <w:rFonts w:hint="eastAsia" w:ascii="宋体" w:hAnsi="宋体" w:eastAsia="宋体" w:cs="宋体"/>
                <w:color w:val="auto"/>
                <w:highlight w:val="none"/>
              </w:rPr>
            </w:pPr>
          </w:p>
        </w:tc>
      </w:tr>
    </w:tbl>
    <w:p>
      <w:pPr>
        <w:snapToGrid w:val="0"/>
        <w:spacing w:line="400" w:lineRule="exact"/>
        <w:ind w:firstLine="3780" w:firstLineChars="1800"/>
        <w:outlineLvl w:val="4"/>
        <w:rPr>
          <w:rFonts w:hint="eastAsia" w:ascii="宋体" w:hAnsi="宋体" w:eastAsia="宋体" w:cs="宋体"/>
          <w:color w:val="auto"/>
          <w:szCs w:val="20"/>
          <w:highlight w:val="none"/>
          <w:u w:val="single"/>
        </w:rPr>
      </w:pP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pStyle w:val="8"/>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pPr>
        <w:pStyle w:val="8"/>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注：1. 说明：投标人应对照招标文件第三章“采购需求”中的“技术要求”逐条作出明确响应，并作出偏离说明。</w:t>
      </w:r>
    </w:p>
    <w:p>
      <w:pPr>
        <w:pStyle w:val="8"/>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2. 投标人应根据投标设备的性能指标，对照招标文件要求，在“偏离说明”中注明“正偏离</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负偏离”或者“无偏离”。既不属于“正偏离”也不属于“负偏离”即为“无偏离”。</w:t>
      </w: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4.商务响应表（必须提供）</w:t>
      </w:r>
    </w:p>
    <w:p>
      <w:pPr>
        <w:pStyle w:val="8"/>
        <w:spacing w:line="400" w:lineRule="exact"/>
        <w:rPr>
          <w:rFonts w:hint="eastAsia" w:ascii="宋体" w:hAnsi="宋体" w:eastAsia="宋体" w:cs="宋体"/>
          <w:b/>
          <w:color w:val="auto"/>
          <w:sz w:val="32"/>
          <w:szCs w:val="32"/>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pPr>
        <w:pStyle w:val="8"/>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商务响应表（格式）</w:t>
      </w:r>
    </w:p>
    <w:p>
      <w:pPr>
        <w:pStyle w:val="4"/>
        <w:ind w:left="0" w:leftChars="0" w:firstLine="0" w:firstLineChars="0"/>
        <w:rPr>
          <w:rFonts w:hint="eastAsia" w:ascii="宋体" w:hAnsi="宋体" w:eastAsia="宋体" w:cs="宋体"/>
          <w:b/>
          <w:bCs/>
          <w:color w:val="auto"/>
          <w:highlight w:val="none"/>
          <w:lang w:eastAsia="zh-CN"/>
        </w:rPr>
      </w:pPr>
    </w:p>
    <w:p>
      <w:pPr>
        <w:pStyle w:val="4"/>
        <w:ind w:left="0" w:firstLine="0" w:firstLineChars="0"/>
        <w:rPr>
          <w:rFonts w:hint="eastAsia" w:ascii="宋体" w:hAnsi="宋体" w:eastAsia="宋体" w:cs="宋体"/>
          <w:b/>
          <w:color w:val="auto"/>
          <w:highlight w:val="none"/>
        </w:rPr>
      </w:pPr>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3876"/>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448" w:type="dxa"/>
            <w:noWrap w:val="0"/>
            <w:vAlign w:val="center"/>
          </w:tcPr>
          <w:p>
            <w:pPr>
              <w:snapToGrid w:val="0"/>
              <w:spacing w:beforeLines="50" w:line="2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w:t>
            </w:r>
          </w:p>
        </w:tc>
        <w:tc>
          <w:tcPr>
            <w:tcW w:w="3876" w:type="dxa"/>
            <w:noWrap w:val="0"/>
            <w:vAlign w:val="center"/>
          </w:tcPr>
          <w:p>
            <w:pPr>
              <w:snapToGrid w:val="0"/>
              <w:spacing w:beforeLines="50" w:line="2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招标文件的“商务要求”</w:t>
            </w:r>
          </w:p>
        </w:tc>
        <w:tc>
          <w:tcPr>
            <w:tcW w:w="3550" w:type="dxa"/>
            <w:noWrap w:val="0"/>
            <w:vAlign w:val="center"/>
          </w:tcPr>
          <w:p>
            <w:pPr>
              <w:snapToGrid w:val="0"/>
              <w:spacing w:beforeLines="50" w:line="2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0"/>
                <w:highlight w:val="none"/>
              </w:rPr>
              <w:t>对应招标文件的“商务要求”，投标文件的详细响应情况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48" w:type="dxa"/>
            <w:noWrap w:val="0"/>
            <w:vAlign w:val="center"/>
          </w:tcPr>
          <w:p>
            <w:pPr>
              <w:adjustRightInd w:val="0"/>
              <w:snapToGrid w:val="0"/>
              <w:spacing w:line="360" w:lineRule="exact"/>
              <w:jc w:val="center"/>
              <w:textAlignment w:val="center"/>
              <w:rPr>
                <w:rFonts w:hint="eastAsia" w:ascii="宋体" w:hAnsi="宋体" w:eastAsia="宋体" w:cs="宋体"/>
                <w:b/>
                <w:color w:val="auto"/>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48" w:type="dxa"/>
            <w:noWrap w:val="0"/>
            <w:vAlign w:val="center"/>
          </w:tcPr>
          <w:p>
            <w:pPr>
              <w:adjustRightInd w:val="0"/>
              <w:snapToGrid w:val="0"/>
              <w:spacing w:line="360" w:lineRule="exact"/>
              <w:jc w:val="center"/>
              <w:rPr>
                <w:rFonts w:hint="eastAsia" w:ascii="宋体" w:hAnsi="宋体" w:eastAsia="宋体" w:cs="宋体"/>
                <w:color w:val="auto"/>
                <w:kern w:val="0"/>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48" w:type="dxa"/>
            <w:noWrap w:val="0"/>
            <w:vAlign w:val="center"/>
          </w:tcPr>
          <w:p>
            <w:pPr>
              <w:adjustRightInd w:val="0"/>
              <w:snapToGrid w:val="0"/>
              <w:spacing w:line="360" w:lineRule="exact"/>
              <w:jc w:val="center"/>
              <w:rPr>
                <w:rFonts w:hint="eastAsia" w:ascii="宋体" w:hAnsi="宋体" w:eastAsia="宋体" w:cs="宋体"/>
                <w:b/>
                <w:color w:val="auto"/>
                <w:kern w:val="0"/>
                <w:szCs w:val="21"/>
                <w:highlight w:val="none"/>
              </w:rPr>
            </w:pPr>
          </w:p>
        </w:tc>
        <w:tc>
          <w:tcPr>
            <w:tcW w:w="3876" w:type="dxa"/>
            <w:noWrap w:val="0"/>
            <w:vAlign w:val="center"/>
          </w:tcPr>
          <w:p>
            <w:pPr>
              <w:spacing w:line="240" w:lineRule="exact"/>
              <w:rPr>
                <w:rFonts w:hint="eastAsia" w:ascii="宋体" w:hAnsi="宋体" w:eastAsia="宋体" w:cs="宋体"/>
                <w:color w:val="auto"/>
                <w:szCs w:val="21"/>
                <w:highlight w:val="none"/>
              </w:rPr>
            </w:pPr>
          </w:p>
        </w:tc>
        <w:tc>
          <w:tcPr>
            <w:tcW w:w="3550" w:type="dxa"/>
            <w:noWrap w:val="0"/>
            <w:vAlign w:val="center"/>
          </w:tcPr>
          <w:p>
            <w:pPr>
              <w:pStyle w:val="8"/>
              <w:spacing w:line="240" w:lineRule="exact"/>
              <w:rPr>
                <w:rFonts w:hint="eastAsia" w:ascii="宋体" w:hAnsi="宋体" w:eastAsia="宋体" w:cs="宋体"/>
                <w:color w:val="auto"/>
                <w:highlight w:val="none"/>
              </w:rPr>
            </w:pPr>
          </w:p>
        </w:tc>
      </w:tr>
    </w:tbl>
    <w:p>
      <w:pPr>
        <w:snapToGrid w:val="0"/>
        <w:spacing w:line="400" w:lineRule="exact"/>
        <w:outlineLvl w:val="4"/>
        <w:rPr>
          <w:rFonts w:hint="eastAsia" w:ascii="宋体" w:hAnsi="宋体" w:eastAsia="宋体" w:cs="宋体"/>
          <w:color w:val="auto"/>
          <w:szCs w:val="20"/>
          <w:highlight w:val="none"/>
          <w:u w:val="single"/>
        </w:rPr>
      </w:pPr>
      <w:r>
        <w:rPr>
          <w:rFonts w:hint="eastAsia" w:ascii="宋体" w:hAnsi="宋体" w:eastAsia="宋体" w:cs="宋体"/>
          <w:color w:val="auto"/>
          <w:szCs w:val="21"/>
          <w:highlight w:val="none"/>
        </w:rPr>
        <w:t xml:space="preserve">   </w:t>
      </w:r>
    </w:p>
    <w:p>
      <w:pPr>
        <w:snapToGrid w:val="0"/>
        <w:spacing w:line="600" w:lineRule="exact"/>
        <w:jc w:val="left"/>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napToGrid w:val="0"/>
        <w:spacing w:line="600" w:lineRule="exact"/>
        <w:jc w:val="left"/>
        <w:outlineLvl w:val="4"/>
        <w:rPr>
          <w:rFonts w:hint="eastAsia" w:ascii="宋体" w:hAnsi="宋体" w:eastAsia="宋体" w:cs="宋体"/>
          <w:b/>
          <w:color w:val="auto"/>
          <w:highlight w:val="none"/>
        </w:rPr>
      </w:pPr>
    </w:p>
    <w:p>
      <w:pPr>
        <w:pStyle w:val="8"/>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5.产品配置清单（必须提供）</w:t>
      </w:r>
    </w:p>
    <w:p>
      <w:pPr>
        <w:spacing w:line="380" w:lineRule="exact"/>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产品配置清单（格式）</w:t>
      </w:r>
    </w:p>
    <w:p>
      <w:pPr>
        <w:spacing w:line="380" w:lineRule="exact"/>
        <w:rPr>
          <w:rFonts w:hint="eastAsia" w:ascii="宋体" w:hAnsi="宋体" w:eastAsia="宋体" w:cs="宋体"/>
          <w:b/>
          <w:color w:val="auto"/>
          <w:sz w:val="32"/>
          <w:szCs w:val="32"/>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874"/>
        <w:gridCol w:w="2196"/>
        <w:gridCol w:w="1679"/>
        <w:gridCol w:w="1425"/>
        <w:gridCol w:w="1677"/>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标的名称</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标的的配置名称</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74" w:type="dxa"/>
            <w:vMerge w:val="continue"/>
            <w:tcBorders>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restart"/>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74" w:type="dxa"/>
            <w:vMerge w:val="continue"/>
            <w:tcBorders>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bl>
    <w:p>
      <w:pPr>
        <w:spacing w:line="380" w:lineRule="exact"/>
        <w:rPr>
          <w:rFonts w:hint="eastAsia" w:ascii="宋体" w:hAnsi="宋体" w:eastAsia="宋体" w:cs="宋体"/>
          <w:b/>
          <w:color w:val="auto"/>
          <w:sz w:val="32"/>
          <w:szCs w:val="32"/>
          <w:highlight w:val="none"/>
        </w:rPr>
      </w:pPr>
    </w:p>
    <w:p>
      <w:pPr>
        <w:pStyle w:val="8"/>
        <w:spacing w:line="600" w:lineRule="exact"/>
        <w:ind w:firstLine="420"/>
        <w:jc w:val="left"/>
        <w:rPr>
          <w:rFonts w:hint="eastAsia" w:ascii="宋体" w:hAnsi="宋体" w:eastAsia="宋体" w:cs="宋体"/>
          <w:color w:val="auto"/>
          <w:szCs w:val="21"/>
          <w:highlight w:val="none"/>
        </w:rPr>
      </w:pPr>
    </w:p>
    <w:p>
      <w:pPr>
        <w:pStyle w:val="8"/>
        <w:spacing w:line="600" w:lineRule="exact"/>
        <w:ind w:firstLine="420"/>
        <w:jc w:val="left"/>
        <w:rPr>
          <w:rFonts w:hint="eastAsia" w:ascii="宋体" w:hAnsi="宋体" w:eastAsia="宋体" w:cs="宋体"/>
          <w:color w:val="auto"/>
          <w:szCs w:val="21"/>
          <w:highlight w:val="none"/>
        </w:rPr>
      </w:pP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6.</w:t>
      </w:r>
      <w:r>
        <w:rPr>
          <w:rFonts w:hint="eastAsia" w:ascii="宋体" w:hAnsi="宋体" w:eastAsia="宋体" w:cs="宋体"/>
          <w:b/>
          <w:color w:val="auto"/>
          <w:sz w:val="32"/>
          <w:szCs w:val="32"/>
          <w:highlight w:val="none"/>
          <w:lang w:val="en-US" w:eastAsia="zh-CN"/>
        </w:rPr>
        <w:t>技术</w:t>
      </w:r>
      <w:r>
        <w:rPr>
          <w:rFonts w:hint="eastAsia" w:ascii="宋体" w:hAnsi="宋体" w:eastAsia="宋体" w:cs="宋体"/>
          <w:b/>
          <w:color w:val="auto"/>
          <w:sz w:val="32"/>
          <w:szCs w:val="32"/>
          <w:highlight w:val="none"/>
        </w:rPr>
        <w:t>方案（如有，请提供）</w:t>
      </w:r>
    </w:p>
    <w:p>
      <w:pPr>
        <w:spacing w:line="400" w:lineRule="exact"/>
        <w:rPr>
          <w:rFonts w:hint="eastAsia" w:ascii="宋体" w:hAnsi="宋体" w:eastAsia="宋体" w:cs="宋体"/>
          <w:b/>
          <w:color w:val="auto"/>
          <w:sz w:val="30"/>
          <w:szCs w:val="30"/>
          <w:highlight w:val="none"/>
        </w:rPr>
      </w:pP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技术</w:t>
      </w:r>
      <w:r>
        <w:rPr>
          <w:rFonts w:hint="eastAsia" w:ascii="宋体" w:hAnsi="宋体" w:eastAsia="宋体" w:cs="宋体"/>
          <w:b/>
          <w:bCs/>
          <w:color w:val="auto"/>
          <w:sz w:val="32"/>
          <w:highlight w:val="none"/>
        </w:rPr>
        <w:t>方案（格式）</w:t>
      </w:r>
    </w:p>
    <w:p>
      <w:pPr>
        <w:pStyle w:val="8"/>
        <w:spacing w:line="600" w:lineRule="exact"/>
        <w:ind w:firstLine="420"/>
        <w:jc w:val="left"/>
        <w:rPr>
          <w:rFonts w:hint="eastAsia" w:ascii="宋体" w:hAnsi="宋体" w:eastAsia="宋体" w:cs="宋体"/>
          <w:color w:val="auto"/>
          <w:szCs w:val="21"/>
          <w:highlight w:val="none"/>
        </w:rPr>
      </w:pPr>
    </w:p>
    <w:p>
      <w:pPr>
        <w:pStyle w:val="8"/>
        <w:spacing w:line="6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p>
    <w:p>
      <w:pPr>
        <w:pStyle w:val="4"/>
        <w:ind w:firstLine="420"/>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p>
    <w:p>
      <w:pPr>
        <w:spacing w:line="38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7.售后服务方案（如有，请提供）</w:t>
      </w:r>
    </w:p>
    <w:p>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p>
    <w:p>
      <w:pPr>
        <w:pStyle w:val="8"/>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售后服务方案（格式）</w:t>
      </w:r>
    </w:p>
    <w:p>
      <w:pPr>
        <w:pStyle w:val="8"/>
        <w:spacing w:line="600" w:lineRule="exact"/>
        <w:ind w:firstLine="420"/>
        <w:jc w:val="left"/>
        <w:rPr>
          <w:rFonts w:hint="eastAsia" w:ascii="宋体" w:hAnsi="宋体" w:eastAsia="宋体" w:cs="宋体"/>
          <w:color w:val="auto"/>
          <w:szCs w:val="21"/>
          <w:highlight w:val="none"/>
        </w:rPr>
      </w:pPr>
    </w:p>
    <w:p>
      <w:pPr>
        <w:pStyle w:val="8"/>
        <w:spacing w:line="6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p>
    <w:p>
      <w:pPr>
        <w:pStyle w:val="4"/>
        <w:ind w:firstLine="420"/>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投标人 (电子签章)：</w:t>
      </w:r>
      <w:r>
        <w:rPr>
          <w:rFonts w:hint="eastAsia" w:ascii="宋体" w:hAnsi="宋体" w:eastAsia="宋体" w:cs="宋体"/>
          <w:color w:val="auto"/>
          <w:szCs w:val="21"/>
          <w:highlight w:val="none"/>
          <w:u w:val="single"/>
        </w:rPr>
        <w:t xml:space="preserve">                                     </w:t>
      </w:r>
    </w:p>
    <w:p>
      <w:pPr>
        <w:pStyle w:val="8"/>
        <w:spacing w:line="6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或相应的委托代理人签字（或者电子签名）：</w:t>
      </w:r>
      <w:r>
        <w:rPr>
          <w:rFonts w:hint="eastAsia" w:ascii="宋体" w:hAnsi="宋体" w:eastAsia="宋体" w:cs="宋体"/>
          <w:color w:val="auto"/>
          <w:szCs w:val="21"/>
          <w:highlight w:val="none"/>
          <w:u w:val="single"/>
        </w:rPr>
        <w:t xml:space="preserve">                              </w:t>
      </w:r>
    </w:p>
    <w:p>
      <w:pPr>
        <w:spacing w:line="6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spacing w:line="380" w:lineRule="exact"/>
        <w:rPr>
          <w:rFonts w:hint="eastAsia" w:ascii="宋体" w:hAnsi="宋体" w:eastAsia="宋体" w:cs="宋体"/>
          <w:b/>
          <w:color w:val="auto"/>
          <w:sz w:val="32"/>
          <w:szCs w:val="32"/>
          <w:highlight w:val="none"/>
        </w:rPr>
      </w:pPr>
    </w:p>
    <w:p>
      <w:pPr>
        <w:pStyle w:val="8"/>
        <w:spacing w:line="400" w:lineRule="exact"/>
        <w:rPr>
          <w:rFonts w:hint="eastAsia" w:ascii="宋体" w:hAnsi="宋体" w:eastAsia="宋体" w:cs="宋体"/>
          <w:b/>
          <w:color w:val="auto"/>
          <w:sz w:val="32"/>
          <w:szCs w:val="32"/>
          <w:highlight w:val="none"/>
        </w:rPr>
      </w:pPr>
    </w:p>
    <w:p>
      <w:pPr>
        <w:pStyle w:val="4"/>
        <w:ind w:firstLine="42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8.“采购需求”中有关履约能力的相关证明材料复印件（如有，请提供）</w:t>
      </w:r>
    </w:p>
    <w:p>
      <w:pPr>
        <w:pStyle w:val="8"/>
        <w:spacing w:line="400" w:lineRule="exact"/>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b/>
          <w:color w:val="auto"/>
          <w:sz w:val="32"/>
          <w:szCs w:val="32"/>
          <w:highlight w:val="none"/>
          <w:lang w:val="en-US" w:eastAsia="zh-CN"/>
        </w:rPr>
      </w:pPr>
    </w:p>
    <w:p>
      <w:pPr>
        <w:pStyle w:val="8"/>
        <w:spacing w:line="400" w:lineRule="exact"/>
        <w:rPr>
          <w:rFonts w:hint="eastAsia" w:ascii="宋体" w:hAnsi="宋体" w:eastAsia="宋体" w:cs="宋体"/>
          <w:color w:val="auto"/>
          <w:sz w:val="28"/>
          <w:szCs w:val="28"/>
          <w:highlight w:val="none"/>
        </w:rPr>
      </w:pPr>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rPr>
        <w:t>.投标人提供的货物全部由符合政策要求中小企业制造，投标文件中提供《中小企业声明函》；属于监狱企业的，提供由省级以上监狱管理局、戒毒管理局(含新疆生产建设兵团)出具的属于监狱企业的证明文件（如有，请提供）</w:t>
      </w: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pStyle w:val="8"/>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pPr>
        <w:snapToGrid w:val="0"/>
        <w:spacing w:beforeLines="50" w:after="50"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中小企业声明函（货物）（格式）</w:t>
      </w:r>
    </w:p>
    <w:p>
      <w:pPr>
        <w:snapToGrid w:val="0"/>
        <w:spacing w:beforeLines="50" w:after="50" w:line="320" w:lineRule="exact"/>
        <w:jc w:val="center"/>
        <w:rPr>
          <w:rFonts w:hint="eastAsia" w:ascii="宋体" w:hAnsi="宋体" w:eastAsia="宋体" w:cs="宋体"/>
          <w:b/>
          <w:color w:val="auto"/>
          <w:sz w:val="32"/>
          <w:szCs w:val="32"/>
          <w:highlight w:val="none"/>
        </w:rPr>
      </w:pP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万元，属于（中型企业、小型企业、微型企业）；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万元，属于（中型企业、小型企业、微型企业）；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400" w:lineRule="exact"/>
        <w:ind w:firstLine="480" w:firstLineChars="200"/>
        <w:jc w:val="right"/>
        <w:rPr>
          <w:rFonts w:hint="eastAsia" w:ascii="宋体" w:hAnsi="宋体" w:eastAsia="宋体" w:cs="宋体"/>
          <w:color w:val="auto"/>
          <w:sz w:val="24"/>
          <w:highlight w:val="none"/>
        </w:rPr>
      </w:pPr>
    </w:p>
    <w:p>
      <w:pPr>
        <w:spacing w:line="4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单位名称（电子签章）：          </w:t>
      </w:r>
    </w:p>
    <w:p>
      <w:pPr>
        <w:spacing w:line="4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ind w:firstLine="482" w:firstLineChars="200"/>
        <w:rPr>
          <w:rFonts w:hint="eastAsia" w:ascii="宋体" w:hAnsi="宋体" w:eastAsia="宋体" w:cs="宋体"/>
          <w:b/>
          <w:color w:val="auto"/>
          <w:sz w:val="24"/>
          <w:highlight w:val="none"/>
        </w:rPr>
      </w:pP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1.从业人员、营业收入、资产总额填报上一年度数据，无上一年度数据的新成立企业可不填报。</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2.中小企业在政府采购活动过程中，请根据自己的真实情况出具本声明函。依法享受中小企业优惠政策的，采购人或采购代理机构在公告中标结果时，同时公告其《中小企业声明函》，接受社会监督。</w:t>
      </w:r>
    </w:p>
    <w:p>
      <w:pPr>
        <w:tabs>
          <w:tab w:val="left" w:pos="1305"/>
        </w:tabs>
        <w:spacing w:line="38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lang w:val="en-US" w:eastAsia="zh-CN"/>
        </w:rPr>
        <w:t>0</w:t>
      </w:r>
      <w:r>
        <w:rPr>
          <w:rFonts w:hint="eastAsia" w:ascii="宋体" w:hAnsi="宋体" w:eastAsia="宋体" w:cs="宋体"/>
          <w:b/>
          <w:bCs/>
          <w:color w:val="auto"/>
          <w:sz w:val="32"/>
          <w:szCs w:val="32"/>
          <w:highlight w:val="none"/>
        </w:rPr>
        <w:t>.符合条件的残疾人福利性单位在参加政府采购活动时，提供《残疾人福利性单位声明函》，并对声明的真实性负责（如有，请提供）</w:t>
      </w:r>
    </w:p>
    <w:p>
      <w:pPr>
        <w:pStyle w:val="8"/>
        <w:ind w:firstLine="472" w:firstLineChars="147"/>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pPr>
        <w:tabs>
          <w:tab w:val="left" w:pos="1305"/>
        </w:tabs>
        <w:spacing w:line="380" w:lineRule="exact"/>
        <w:rPr>
          <w:rFonts w:hint="eastAsia" w:ascii="宋体" w:hAnsi="宋体" w:eastAsia="宋体" w:cs="宋体"/>
          <w:b/>
          <w:bCs/>
          <w:color w:val="auto"/>
          <w:sz w:val="32"/>
          <w:szCs w:val="32"/>
          <w:highlight w:val="none"/>
        </w:rPr>
      </w:pPr>
    </w:p>
    <w:p>
      <w:pPr>
        <w:pStyle w:val="8"/>
        <w:jc w:val="center"/>
        <w:rPr>
          <w:rFonts w:hint="eastAsia" w:ascii="宋体" w:hAnsi="宋体" w:eastAsia="宋体" w:cs="宋体"/>
          <w:b/>
          <w:bCs/>
          <w:color w:val="auto"/>
          <w:sz w:val="32"/>
          <w:szCs w:val="32"/>
          <w:highlight w:val="none"/>
        </w:rPr>
      </w:pPr>
      <w:bookmarkStart w:id="60" w:name="OLE_LINK14"/>
      <w:bookmarkStart w:id="61" w:name="OLE_LINK13"/>
      <w:r>
        <w:rPr>
          <w:rFonts w:hint="eastAsia" w:ascii="宋体" w:hAnsi="宋体" w:eastAsia="宋体" w:cs="宋体"/>
          <w:b/>
          <w:bCs/>
          <w:color w:val="auto"/>
          <w:sz w:val="32"/>
          <w:szCs w:val="32"/>
          <w:highlight w:val="none"/>
        </w:rPr>
        <w:t>残疾人福利性单位声明函（格式）</w:t>
      </w:r>
    </w:p>
    <w:bookmarkEnd w:id="60"/>
    <w:bookmarkEnd w:id="61"/>
    <w:p>
      <w:pPr>
        <w:spacing w:line="588" w:lineRule="exact"/>
        <w:rPr>
          <w:rFonts w:hint="eastAsia" w:ascii="宋体" w:hAnsi="宋体" w:eastAsia="宋体" w:cs="宋体"/>
          <w:b/>
          <w:color w:val="auto"/>
          <w:spacing w:val="6"/>
          <w:sz w:val="30"/>
          <w:szCs w:val="30"/>
          <w:highlight w:val="none"/>
        </w:rPr>
      </w:pPr>
    </w:p>
    <w:p>
      <w:pPr>
        <w:spacing w:line="588" w:lineRule="exact"/>
        <w:ind w:firstLine="624" w:firstLineChars="200"/>
        <w:rPr>
          <w:rFonts w:hint="eastAsia" w:ascii="宋体" w:hAnsi="宋体" w:eastAsia="宋体" w:cs="宋体"/>
          <w:color w:val="auto"/>
          <w:spacing w:val="6"/>
          <w:sz w:val="30"/>
          <w:szCs w:val="30"/>
          <w:highlight w:val="none"/>
        </w:rPr>
      </w:pPr>
      <w:r>
        <w:rPr>
          <w:rFonts w:hint="eastAsia" w:ascii="宋体" w:hAnsi="宋体" w:eastAsia="宋体" w:cs="宋体"/>
          <w:color w:val="auto"/>
          <w:spacing w:val="6"/>
          <w:sz w:val="30"/>
          <w:szCs w:val="30"/>
          <w:highlight w:val="none"/>
        </w:rPr>
        <w:t>本单位郑重声明，根据《财政部 民政部 中国残疾人联合会关于促进残疾人就业政府采购政策的通知》（财库</w:t>
      </w:r>
      <w:r>
        <w:rPr>
          <w:rFonts w:hint="eastAsia" w:ascii="宋体" w:hAnsi="宋体" w:eastAsia="宋体" w:cs="宋体"/>
          <w:color w:val="auto"/>
          <w:spacing w:val="6"/>
          <w:sz w:val="30"/>
          <w:szCs w:val="30"/>
          <w:highlight w:val="none"/>
          <w:lang w:eastAsia="zh-CN"/>
        </w:rPr>
        <w:t>〔2017〕141号</w:t>
      </w:r>
      <w:r>
        <w:rPr>
          <w:rFonts w:hint="eastAsia" w:ascii="宋体" w:hAnsi="宋体" w:eastAsia="宋体" w:cs="宋体"/>
          <w:color w:val="auto"/>
          <w:spacing w:val="6"/>
          <w:sz w:val="30"/>
          <w:szCs w:val="30"/>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eastAsia="宋体" w:cs="宋体"/>
          <w:color w:val="auto"/>
          <w:spacing w:val="6"/>
          <w:sz w:val="30"/>
          <w:szCs w:val="30"/>
          <w:highlight w:val="none"/>
        </w:rPr>
      </w:pPr>
      <w:r>
        <w:rPr>
          <w:rFonts w:hint="eastAsia" w:ascii="宋体" w:hAnsi="宋体" w:eastAsia="宋体" w:cs="宋体"/>
          <w:color w:val="auto"/>
          <w:spacing w:val="6"/>
          <w:sz w:val="30"/>
          <w:szCs w:val="30"/>
          <w:highlight w:val="none"/>
        </w:rPr>
        <w:t>本单位对上述声明的真实性负责。如有虚假，将依法承担相应责任。</w:t>
      </w:r>
    </w:p>
    <w:p>
      <w:pPr>
        <w:spacing w:line="588" w:lineRule="exact"/>
        <w:ind w:firstLine="624" w:firstLineChars="200"/>
        <w:rPr>
          <w:rFonts w:hint="eastAsia" w:ascii="宋体" w:hAnsi="宋体" w:eastAsia="宋体" w:cs="宋体"/>
          <w:color w:val="auto"/>
          <w:spacing w:val="6"/>
          <w:sz w:val="30"/>
          <w:szCs w:val="30"/>
          <w:highlight w:val="none"/>
        </w:rPr>
      </w:pPr>
    </w:p>
    <w:p>
      <w:pPr>
        <w:tabs>
          <w:tab w:val="left" w:pos="4860"/>
        </w:tabs>
        <w:spacing w:line="588" w:lineRule="exact"/>
        <w:ind w:right="1560" w:firstLine="624" w:firstLineChars="200"/>
        <w:jc w:val="center"/>
        <w:rPr>
          <w:rFonts w:hint="eastAsia" w:ascii="宋体" w:hAnsi="宋体" w:eastAsia="宋体" w:cs="宋体"/>
          <w:color w:val="auto"/>
          <w:spacing w:val="6"/>
          <w:sz w:val="30"/>
          <w:szCs w:val="30"/>
          <w:highlight w:val="none"/>
        </w:rPr>
      </w:pPr>
      <w:r>
        <w:rPr>
          <w:rFonts w:hint="eastAsia" w:ascii="宋体" w:hAnsi="宋体" w:eastAsia="宋体" w:cs="宋体"/>
          <w:color w:val="auto"/>
          <w:spacing w:val="6"/>
          <w:sz w:val="30"/>
          <w:szCs w:val="30"/>
          <w:highlight w:val="none"/>
        </w:rPr>
        <w:t xml:space="preserve">      单位名称（电子签章）：</w:t>
      </w:r>
    </w:p>
    <w:p>
      <w:pPr>
        <w:tabs>
          <w:tab w:val="left" w:pos="4860"/>
        </w:tabs>
        <w:spacing w:line="588" w:lineRule="exact"/>
        <w:ind w:right="1560" w:firstLine="624" w:firstLineChars="200"/>
        <w:jc w:val="center"/>
        <w:rPr>
          <w:rFonts w:hint="eastAsia" w:ascii="宋体" w:hAnsi="宋体" w:eastAsia="宋体" w:cs="宋体"/>
          <w:color w:val="auto"/>
          <w:spacing w:val="6"/>
          <w:sz w:val="30"/>
          <w:szCs w:val="30"/>
          <w:highlight w:val="none"/>
        </w:rPr>
      </w:pPr>
      <w:r>
        <w:rPr>
          <w:rFonts w:hint="eastAsia" w:ascii="宋体" w:hAnsi="宋体" w:eastAsia="宋体" w:cs="宋体"/>
          <w:color w:val="auto"/>
          <w:spacing w:val="6"/>
          <w:sz w:val="30"/>
          <w:szCs w:val="30"/>
          <w:highlight w:val="none"/>
        </w:rPr>
        <w:t xml:space="preserve">   日  期：</w:t>
      </w: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p>
    <w:p>
      <w:pPr>
        <w:spacing w:line="5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投标人可结合本项目的评标办法视自身情况自行提交相关证明材料（如有，请提供）</w:t>
      </w:r>
    </w:p>
    <w:p>
      <w:pPr>
        <w:spacing w:line="500" w:lineRule="exact"/>
        <w:rPr>
          <w:rFonts w:hint="eastAsia" w:ascii="宋体" w:hAnsi="宋体" w:eastAsia="宋体" w:cs="宋体"/>
          <w:b/>
          <w:bCs/>
          <w:color w:val="auto"/>
          <w:sz w:val="32"/>
          <w:szCs w:val="3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sectPr>
      <w:footerReference r:id="rId8" w:type="default"/>
      <w:pgSz w:w="11906" w:h="16838"/>
      <w:pgMar w:top="1021" w:right="1134" w:bottom="1021" w:left="1134" w:header="851" w:footer="992" w:gutter="0"/>
      <w:pgNumType w:start="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4"/>
      </w:rPr>
    </w:pPr>
    <w:r>
      <w:fldChar w:fldCharType="begin"/>
    </w:r>
    <w:r>
      <w:rPr>
        <w:rStyle w:val="14"/>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4"/>
      </w:rPr>
      <w:instrText xml:space="preserve"> PAGE </w:instrText>
    </w:r>
    <w:r>
      <w:fldChar w:fldCharType="separate"/>
    </w:r>
    <w:r>
      <w:rPr>
        <w:rStyle w:val="14"/>
      </w:rPr>
      <w:t>97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0"/>
        <w:tab w:val="left" w:pos="8306"/>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0"/>
        <w:tab w:val="left" w:pos="8306"/>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38457"/>
    <w:multiLevelType w:val="singleLevel"/>
    <w:tmpl w:val="D7438457"/>
    <w:lvl w:ilvl="0" w:tentative="0">
      <w:start w:val="5"/>
      <w:numFmt w:val="decimal"/>
      <w:lvlText w:val="%1."/>
      <w:lvlJc w:val="left"/>
      <w:pPr>
        <w:tabs>
          <w:tab w:val="left" w:pos="312"/>
        </w:tabs>
      </w:pPr>
    </w:lvl>
  </w:abstractNum>
  <w:abstractNum w:abstractNumId="1">
    <w:nsid w:val="51FB4126"/>
    <w:multiLevelType w:val="multilevel"/>
    <w:tmpl w:val="51FB4126"/>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TJmODY5NmRlMTZhZGM3MTAyNGQ1Y2YxNTc3YjcifQ=="/>
    <w:docVar w:name="KSO_WPS_MARK_KEY" w:val="f01fb619-cf9e-4fbc-865d-ebc929c6fe59"/>
  </w:docVars>
  <w:rsids>
    <w:rsidRoot w:val="62F95F34"/>
    <w:rsid w:val="03361050"/>
    <w:rsid w:val="0BFD21E3"/>
    <w:rsid w:val="0D443A40"/>
    <w:rsid w:val="14B15091"/>
    <w:rsid w:val="14B84CF7"/>
    <w:rsid w:val="15CC1BB7"/>
    <w:rsid w:val="17DE0670"/>
    <w:rsid w:val="1DE610B3"/>
    <w:rsid w:val="1EF85999"/>
    <w:rsid w:val="25870DA4"/>
    <w:rsid w:val="2AF62EC0"/>
    <w:rsid w:val="38D14D83"/>
    <w:rsid w:val="3C4238D3"/>
    <w:rsid w:val="418364F8"/>
    <w:rsid w:val="419A49AC"/>
    <w:rsid w:val="42097ADB"/>
    <w:rsid w:val="454717DD"/>
    <w:rsid w:val="4A1F3051"/>
    <w:rsid w:val="4D347560"/>
    <w:rsid w:val="555026C0"/>
    <w:rsid w:val="5B184523"/>
    <w:rsid w:val="60A16409"/>
    <w:rsid w:val="61AB7705"/>
    <w:rsid w:val="62F95F34"/>
    <w:rsid w:val="650D51C5"/>
    <w:rsid w:val="65982924"/>
    <w:rsid w:val="6FA06B69"/>
    <w:rsid w:val="71AB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398"/>
      </w:tabs>
      <w:spacing w:before="120" w:after="120" w:line="400" w:lineRule="exact"/>
      <w:ind w:firstLine="240" w:firstLineChars="100"/>
      <w:jc w:val="left"/>
    </w:pPr>
    <w:rPr>
      <w:rFonts w:ascii="宋体" w:hAnsi="宋体"/>
      <w:b/>
      <w:bCs/>
      <w:caps/>
      <w:sz w:val="24"/>
    </w:rPr>
  </w:style>
  <w:style w:type="paragraph" w:styleId="4">
    <w:name w:val="index 8"/>
    <w:basedOn w:val="1"/>
    <w:next w:val="1"/>
    <w:qFormat/>
    <w:uiPriority w:val="99"/>
    <w:pPr>
      <w:spacing w:line="400" w:lineRule="exact"/>
      <w:ind w:left="2940" w:firstLine="1044" w:firstLineChars="200"/>
      <w:jc w:val="left"/>
    </w:pPr>
  </w:style>
  <w:style w:type="paragraph" w:styleId="5">
    <w:name w:val="annotation text"/>
    <w:basedOn w:val="1"/>
    <w:qFormat/>
    <w:uiPriority w:val="99"/>
    <w:pPr>
      <w:jc w:val="left"/>
    </w:pPr>
  </w:style>
  <w:style w:type="paragraph" w:styleId="6">
    <w:name w:val="Body Text"/>
    <w:basedOn w:val="1"/>
    <w:next w:val="1"/>
    <w:qFormat/>
    <w:uiPriority w:val="99"/>
    <w:pPr>
      <w:spacing w:line="380" w:lineRule="exact"/>
      <w:ind w:firstLine="1044" w:firstLineChars="200"/>
      <w:jc w:val="left"/>
    </w:pPr>
    <w:rPr>
      <w:sz w:val="24"/>
    </w:rPr>
  </w:style>
  <w:style w:type="paragraph" w:styleId="7">
    <w:name w:val="Body Text Indent"/>
    <w:basedOn w:val="1"/>
    <w:qFormat/>
    <w:uiPriority w:val="0"/>
    <w:pPr>
      <w:spacing w:after="120"/>
      <w:ind w:left="420" w:leftChars="200"/>
    </w:pPr>
    <w:rPr>
      <w:rFonts w:ascii="Tahoma" w:hAnsi="Tahoma"/>
    </w:rPr>
  </w:style>
  <w:style w:type="paragraph" w:styleId="8">
    <w:name w:val="Plain Text"/>
    <w:basedOn w:val="1"/>
    <w:next w:val="4"/>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page number"/>
    <w:qFormat/>
    <w:uiPriority w:val="0"/>
  </w:style>
  <w:style w:type="character" w:styleId="15">
    <w:name w:val="Hyperlink"/>
    <w:qFormat/>
    <w:uiPriority w:val="99"/>
    <w:rPr>
      <w:color w:val="0000FF"/>
      <w:u w:val="single"/>
    </w:rPr>
  </w:style>
  <w:style w:type="paragraph" w:customStyle="1" w:styleId="16">
    <w:name w:val="1"/>
    <w:basedOn w:val="1"/>
    <w:next w:val="8"/>
    <w:qFormat/>
    <w:uiPriority w:val="99"/>
    <w:rPr>
      <w:rFonts w:ascii="宋体" w:hAnsi="Courier New"/>
      <w:szCs w:val="20"/>
    </w:rPr>
  </w:style>
  <w:style w:type="paragraph" w:customStyle="1" w:styleId="17">
    <w:name w:val="Table Paragraph"/>
    <w:basedOn w:val="1"/>
    <w:qFormat/>
    <w:uiPriority w:val="1"/>
    <w:pPr>
      <w:spacing w:line="400" w:lineRule="exact"/>
      <w:ind w:firstLine="1044"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54699</Words>
  <Characters>59373</Characters>
  <Lines>0</Lines>
  <Paragraphs>0</Paragraphs>
  <TotalTime>38</TotalTime>
  <ScaleCrop>false</ScaleCrop>
  <LinksUpToDate>false</LinksUpToDate>
  <CharactersWithSpaces>66468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2025-05-21T07:40:00Z</dcterms:created>
  <dc:creator>歪歪</dc:creator>
  <cp:lastModifiedBy>中策恒睿人事行政部</cp:lastModifiedBy>
  <dcterms:modified xsi:type="dcterms:W3CDTF">2025-07-16T04:05:53Z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24C3D216C3534260ACEE45F501FEAEB4_11</vt:lpwstr>
  </property>
  <property fmtid="{D5CDD505-2E9C-101B-9397-08002B2CF9AE}" pid="4" name="KSOTemplateDocerSaveRecord">
    <vt:lpwstr>eyJoZGlkIjoiZTIxNjM4YmI2ODMxY2FmMmI3NzJjNGRlNTA2MDA0MzciLCJ1c2VySWQiOiI1MjE2ODA1MjUifQ==</vt:lpwstr>
  </property>
</Properties>
</file>