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E3021">
      <w:pPr>
        <w:pStyle w:val="17"/>
        <w:pageBreakBefore w:val="0"/>
        <w:kinsoku/>
        <w:wordWrap/>
        <w:overflowPunct/>
        <w:topLinePunct w:val="0"/>
        <w:bidi w:val="0"/>
        <w:jc w:val="center"/>
        <w:outlineLvl w:val="9"/>
        <w:rPr>
          <w:rFonts w:ascii="黑体" w:hAnsi="黑体" w:eastAsia="黑体" w:cs="宋体"/>
          <w:b/>
          <w:bCs/>
          <w:color w:val="000000" w:themeColor="text1"/>
          <w:spacing w:val="80"/>
          <w:sz w:val="52"/>
          <w:szCs w:val="52"/>
          <w:highlight w:val="none"/>
          <w14:textFill>
            <w14:solidFill>
              <w14:schemeClr w14:val="tx1"/>
            </w14:solidFill>
          </w14:textFill>
        </w:rPr>
      </w:pPr>
      <w:r>
        <w:rPr>
          <w:rFonts w:hint="eastAsia" w:ascii="黑体" w:hAnsi="黑体" w:eastAsia="黑体" w:cs="宋体"/>
          <w:b/>
          <w:bCs/>
          <w:color w:val="000000" w:themeColor="text1"/>
          <w:spacing w:val="80"/>
          <w:sz w:val="52"/>
          <w:szCs w:val="52"/>
          <w:highlight w:val="none"/>
          <w14:textFill>
            <w14:solidFill>
              <w14:schemeClr w14:val="tx1"/>
            </w14:solidFill>
          </w14:textFill>
        </w:rPr>
        <w:t>广西奥金斯项目管理有限公司</w:t>
      </w:r>
    </w:p>
    <w:p w14:paraId="6EC9403F">
      <w:pPr>
        <w:pStyle w:val="17"/>
        <w:pageBreakBefore w:val="0"/>
        <w:kinsoku/>
        <w:wordWrap/>
        <w:overflowPunct/>
        <w:topLinePunct w:val="0"/>
        <w:bidi w:val="0"/>
        <w:jc w:val="center"/>
        <w:outlineLvl w:val="9"/>
        <w:rPr>
          <w:rFonts w:hAnsi="宋体" w:cs="宋体"/>
          <w:b/>
          <w:bCs/>
          <w:color w:val="000000" w:themeColor="text1"/>
          <w:spacing w:val="80"/>
          <w:sz w:val="72"/>
          <w:highlight w:val="none"/>
          <w14:textFill>
            <w14:solidFill>
              <w14:schemeClr w14:val="tx1"/>
            </w14:solidFill>
          </w14:textFill>
        </w:rPr>
      </w:pPr>
    </w:p>
    <w:p w14:paraId="39B29E0F">
      <w:pPr>
        <w:pStyle w:val="17"/>
        <w:pageBreakBefore w:val="0"/>
        <w:kinsoku/>
        <w:wordWrap/>
        <w:overflowPunct/>
        <w:topLinePunct w:val="0"/>
        <w:bidi w:val="0"/>
        <w:jc w:val="center"/>
        <w:outlineLvl w:val="9"/>
        <w:rPr>
          <w:rFonts w:hAnsi="宋体" w:cs="宋体"/>
          <w:b/>
          <w:bCs/>
          <w:color w:val="000000" w:themeColor="text1"/>
          <w:sz w:val="72"/>
          <w:highlight w:val="none"/>
          <w14:textFill>
            <w14:solidFill>
              <w14:schemeClr w14:val="tx1"/>
            </w14:solidFill>
          </w14:textFill>
        </w:rPr>
      </w:pPr>
    </w:p>
    <w:p w14:paraId="4412D241">
      <w:pPr>
        <w:pStyle w:val="7"/>
        <w:pageBreakBefore w:val="0"/>
        <w:kinsoku/>
        <w:wordWrap/>
        <w:overflowPunct/>
        <w:topLinePunct w:val="0"/>
        <w:bidi w:val="0"/>
        <w:outlineLvl w:val="9"/>
        <w:rPr>
          <w:rFonts w:hAnsi="宋体" w:cs="宋体"/>
          <w:b/>
          <w:bCs/>
          <w:color w:val="000000" w:themeColor="text1"/>
          <w:sz w:val="72"/>
          <w:highlight w:val="none"/>
          <w14:textFill>
            <w14:solidFill>
              <w14:schemeClr w14:val="tx1"/>
            </w14:solidFill>
          </w14:textFill>
        </w:rPr>
      </w:pPr>
    </w:p>
    <w:p w14:paraId="5AEA08F5">
      <w:pPr>
        <w:pageBreakBefore w:val="0"/>
        <w:kinsoku/>
        <w:wordWrap/>
        <w:overflowPunct/>
        <w:topLinePunct w:val="0"/>
        <w:bidi w:val="0"/>
        <w:outlineLvl w:val="9"/>
        <w:rPr>
          <w:color w:val="000000" w:themeColor="text1"/>
          <w14:textFill>
            <w14:solidFill>
              <w14:schemeClr w14:val="tx1"/>
            </w14:solidFill>
          </w14:textFill>
        </w:rPr>
      </w:pPr>
    </w:p>
    <w:p w14:paraId="146671F4">
      <w:pPr>
        <w:pStyle w:val="17"/>
        <w:pageBreakBefore w:val="0"/>
        <w:kinsoku/>
        <w:wordWrap/>
        <w:overflowPunct/>
        <w:topLinePunct w:val="0"/>
        <w:bidi w:val="0"/>
        <w:jc w:val="center"/>
        <w:outlineLvl w:val="9"/>
        <w:rPr>
          <w:rFonts w:hAnsi="宋体" w:cs="宋体"/>
          <w:color w:val="000000" w:themeColor="text1"/>
          <w:highlight w:val="none"/>
          <w14:textFill>
            <w14:solidFill>
              <w14:schemeClr w14:val="tx1"/>
            </w14:solidFill>
          </w14:textFill>
        </w:rPr>
      </w:pPr>
    </w:p>
    <w:p w14:paraId="392E6293">
      <w:pPr>
        <w:pageBreakBefore w:val="0"/>
        <w:kinsoku/>
        <w:wordWrap/>
        <w:overflowPunct/>
        <w:topLinePunct w:val="0"/>
        <w:bidi w:val="0"/>
        <w:spacing w:line="1400" w:lineRule="exact"/>
        <w:jc w:val="center"/>
        <w:outlineLvl w:val="9"/>
        <w:rPr>
          <w:rFonts w:ascii="宋体" w:hAnsi="宋体" w:cs="宋体"/>
          <w:b/>
          <w:color w:val="000000" w:themeColor="text1"/>
          <w:spacing w:val="60"/>
          <w:sz w:val="112"/>
          <w:szCs w:val="112"/>
          <w:highlight w:val="none"/>
          <w14:textFill>
            <w14:solidFill>
              <w14:schemeClr w14:val="tx1"/>
            </w14:solidFill>
          </w14:textFill>
        </w:rPr>
      </w:pPr>
      <w:r>
        <w:rPr>
          <w:rFonts w:hint="eastAsia" w:ascii="宋体" w:hAnsi="宋体" w:cs="宋体"/>
          <w:b/>
          <w:color w:val="000000" w:themeColor="text1"/>
          <w:spacing w:val="60"/>
          <w:sz w:val="112"/>
          <w:szCs w:val="112"/>
          <w:highlight w:val="none"/>
          <w14:textFill>
            <w14:solidFill>
              <w14:schemeClr w14:val="tx1"/>
            </w14:solidFill>
          </w14:textFill>
        </w:rPr>
        <w:t>招标文件</w:t>
      </w:r>
    </w:p>
    <w:p w14:paraId="43887F70">
      <w:pPr>
        <w:pStyle w:val="17"/>
        <w:pageBreakBefore w:val="0"/>
        <w:kinsoku/>
        <w:wordWrap/>
        <w:overflowPunct/>
        <w:topLinePunct w:val="0"/>
        <w:bidi w:val="0"/>
        <w:outlineLvl w:val="9"/>
        <w:rPr>
          <w:rFonts w:hAnsi="宋体" w:cs="宋体"/>
          <w:color w:val="000000" w:themeColor="text1"/>
          <w:highlight w:val="none"/>
          <w14:textFill>
            <w14:solidFill>
              <w14:schemeClr w14:val="tx1"/>
            </w14:solidFill>
          </w14:textFill>
        </w:rPr>
      </w:pPr>
    </w:p>
    <w:p w14:paraId="668DC3F3">
      <w:pPr>
        <w:pStyle w:val="17"/>
        <w:pageBreakBefore w:val="0"/>
        <w:kinsoku/>
        <w:wordWrap/>
        <w:overflowPunct/>
        <w:topLinePunct w:val="0"/>
        <w:bidi w:val="0"/>
        <w:jc w:val="center"/>
        <w:outlineLvl w:val="9"/>
        <w:rPr>
          <w:rFonts w:hAnsi="宋体" w:cs="宋体"/>
          <w:b/>
          <w:color w:val="000000" w:themeColor="text1"/>
          <w:sz w:val="28"/>
          <w:szCs w:val="28"/>
          <w:highlight w:val="none"/>
          <w14:textFill>
            <w14:solidFill>
              <w14:schemeClr w14:val="tx1"/>
            </w14:solidFill>
          </w14:textFill>
        </w:rPr>
      </w:pPr>
    </w:p>
    <w:p w14:paraId="67A3406E">
      <w:pPr>
        <w:pStyle w:val="17"/>
        <w:pageBreakBefore w:val="0"/>
        <w:kinsoku/>
        <w:wordWrap/>
        <w:overflowPunct/>
        <w:topLinePunct w:val="0"/>
        <w:bidi w:val="0"/>
        <w:outlineLvl w:val="9"/>
        <w:rPr>
          <w:rFonts w:hAnsi="宋体" w:cs="宋体"/>
          <w:color w:val="000000" w:themeColor="text1"/>
          <w:highlight w:val="none"/>
          <w14:textFill>
            <w14:solidFill>
              <w14:schemeClr w14:val="tx1"/>
            </w14:solidFill>
          </w14:textFill>
        </w:rPr>
      </w:pPr>
    </w:p>
    <w:p w14:paraId="7CEB9F2A">
      <w:pPr>
        <w:pStyle w:val="17"/>
        <w:pageBreakBefore w:val="0"/>
        <w:kinsoku/>
        <w:wordWrap/>
        <w:overflowPunct/>
        <w:topLinePunct w:val="0"/>
        <w:bidi w:val="0"/>
        <w:outlineLvl w:val="9"/>
        <w:rPr>
          <w:rFonts w:hAnsi="宋体" w:cs="宋体"/>
          <w:color w:val="000000" w:themeColor="text1"/>
          <w:highlight w:val="none"/>
          <w14:textFill>
            <w14:solidFill>
              <w14:schemeClr w14:val="tx1"/>
            </w14:solidFill>
          </w14:textFill>
        </w:rPr>
      </w:pPr>
    </w:p>
    <w:p w14:paraId="41D9E14A">
      <w:pPr>
        <w:pageBreakBefore w:val="0"/>
        <w:kinsoku/>
        <w:wordWrap/>
        <w:overflowPunct/>
        <w:topLinePunct w:val="0"/>
        <w:bidi w:val="0"/>
        <w:spacing w:line="600" w:lineRule="auto"/>
        <w:outlineLvl w:val="9"/>
        <w:rPr>
          <w:rFonts w:hint="eastAsia" w:ascii="宋体" w:hAnsi="宋体" w:cs="宋体"/>
          <w:b/>
          <w:bCs/>
          <w:color w:val="000000" w:themeColor="text1"/>
          <w:spacing w:val="40"/>
          <w:sz w:val="32"/>
          <w:highlight w:val="none"/>
          <w14:textFill>
            <w14:solidFill>
              <w14:schemeClr w14:val="tx1"/>
            </w14:solidFill>
          </w14:textFill>
        </w:rPr>
      </w:pPr>
    </w:p>
    <w:p w14:paraId="75BA383C">
      <w:pPr>
        <w:pageBreakBefore w:val="0"/>
        <w:kinsoku/>
        <w:wordWrap/>
        <w:overflowPunct/>
        <w:topLinePunct w:val="0"/>
        <w:bidi w:val="0"/>
        <w:spacing w:line="600" w:lineRule="auto"/>
        <w:ind w:firstLine="1605" w:firstLineChars="400"/>
        <w:jc w:val="both"/>
        <w:outlineLvl w:val="9"/>
        <w:rPr>
          <w:rFonts w:hint="eastAsia" w:ascii="宋体" w:hAnsi="宋体" w:eastAsia="宋体" w:cs="宋体"/>
          <w:b/>
          <w:bCs/>
          <w:color w:val="000000" w:themeColor="text1"/>
          <w:spacing w:val="-36"/>
          <w:sz w:val="32"/>
          <w:highlight w:val="none"/>
          <w:lang w:eastAsia="zh-CN"/>
          <w14:textFill>
            <w14:solidFill>
              <w14:schemeClr w14:val="tx1"/>
            </w14:solidFill>
          </w14:textFill>
        </w:rPr>
      </w:pPr>
      <w:r>
        <w:rPr>
          <w:rFonts w:hint="eastAsia" w:ascii="宋体" w:hAnsi="宋体" w:cs="宋体"/>
          <w:b/>
          <w:bCs/>
          <w:color w:val="000000" w:themeColor="text1"/>
          <w:spacing w:val="40"/>
          <w:sz w:val="32"/>
          <w:highlight w:val="none"/>
          <w14:textFill>
            <w14:solidFill>
              <w14:schemeClr w14:val="tx1"/>
            </w14:solidFill>
          </w14:textFill>
        </w:rPr>
        <w:t>项目名称：</w:t>
      </w:r>
      <w:r>
        <w:rPr>
          <w:rFonts w:hint="eastAsia" w:ascii="宋体" w:hAnsi="宋体" w:cs="宋体"/>
          <w:b/>
          <w:bCs/>
          <w:color w:val="000000" w:themeColor="text1"/>
          <w:spacing w:val="40"/>
          <w:sz w:val="32"/>
          <w:highlight w:val="none"/>
          <w:lang w:eastAsia="zh-CN"/>
          <w14:textFill>
            <w14:solidFill>
              <w14:schemeClr w14:val="tx1"/>
            </w14:solidFill>
          </w14:textFill>
        </w:rPr>
        <w:t>检验检测设备维护保养服务</w:t>
      </w:r>
    </w:p>
    <w:p w14:paraId="040C59E6">
      <w:pPr>
        <w:pageBreakBefore w:val="0"/>
        <w:kinsoku/>
        <w:wordWrap/>
        <w:overflowPunct/>
        <w:topLinePunct w:val="0"/>
        <w:bidi w:val="0"/>
        <w:spacing w:line="600" w:lineRule="auto"/>
        <w:ind w:firstLine="1605" w:firstLineChars="400"/>
        <w:jc w:val="both"/>
        <w:outlineLvl w:val="9"/>
        <w:rPr>
          <w:rFonts w:hint="eastAsia" w:ascii="宋体" w:hAnsi="宋体" w:eastAsia="宋体" w:cs="宋体"/>
          <w:b/>
          <w:bCs/>
          <w:color w:val="000000" w:themeColor="text1"/>
          <w:sz w:val="32"/>
          <w:highlight w:val="none"/>
          <w:lang w:eastAsia="zh-CN"/>
          <w14:textFill>
            <w14:solidFill>
              <w14:schemeClr w14:val="tx1"/>
            </w14:solidFill>
          </w14:textFill>
        </w:rPr>
      </w:pPr>
      <w:r>
        <w:rPr>
          <w:rFonts w:hint="eastAsia" w:ascii="宋体" w:hAnsi="宋体" w:cs="宋体"/>
          <w:b/>
          <w:bCs/>
          <w:color w:val="000000" w:themeColor="text1"/>
          <w:spacing w:val="40"/>
          <w:sz w:val="32"/>
          <w:highlight w:val="none"/>
          <w14:textFill>
            <w14:solidFill>
              <w14:schemeClr w14:val="tx1"/>
            </w14:solidFill>
          </w14:textFill>
        </w:rPr>
        <w:t>项目编号：</w:t>
      </w:r>
      <w:r>
        <w:rPr>
          <w:rFonts w:hint="eastAsia" w:ascii="宋体" w:hAnsi="宋体" w:cs="宋体"/>
          <w:b/>
          <w:bCs/>
          <w:color w:val="000000" w:themeColor="text1"/>
          <w:spacing w:val="40"/>
          <w:sz w:val="32"/>
          <w:highlight w:val="none"/>
          <w:lang w:eastAsia="zh-CN"/>
          <w14:textFill>
            <w14:solidFill>
              <w14:schemeClr w14:val="tx1"/>
            </w14:solidFill>
          </w14:textFill>
        </w:rPr>
        <w:t>GLZC2025-G3-990413-GXAJ</w:t>
      </w:r>
    </w:p>
    <w:p w14:paraId="68E18905">
      <w:pPr>
        <w:pageBreakBefore w:val="0"/>
        <w:kinsoku/>
        <w:wordWrap/>
        <w:overflowPunct/>
        <w:topLinePunct w:val="0"/>
        <w:bidi w:val="0"/>
        <w:ind w:left="-2" w:leftChars="-1" w:firstLine="840" w:firstLineChars="40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cr/>
      </w:r>
    </w:p>
    <w:p w14:paraId="2F52750F">
      <w:pPr>
        <w:pageBreakBefore w:val="0"/>
        <w:kinsoku/>
        <w:wordWrap/>
        <w:overflowPunct/>
        <w:topLinePunct w:val="0"/>
        <w:bidi w:val="0"/>
        <w:ind w:left="-2" w:leftChars="-1" w:firstLine="630" w:firstLineChars="30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ab/>
      </w:r>
    </w:p>
    <w:p w14:paraId="0D84B930">
      <w:pPr>
        <w:pageBreakBefore w:val="0"/>
        <w:kinsoku/>
        <w:wordWrap/>
        <w:overflowPunct/>
        <w:topLinePunct w:val="0"/>
        <w:bidi w:val="0"/>
        <w:jc w:val="both"/>
        <w:outlineLvl w:val="9"/>
        <w:rPr>
          <w:rFonts w:ascii="宋体" w:hAnsi="宋体" w:cs="宋体"/>
          <w:color w:val="000000" w:themeColor="text1"/>
          <w:highlight w:val="none"/>
          <w14:textFill>
            <w14:solidFill>
              <w14:schemeClr w14:val="tx1"/>
            </w14:solidFill>
          </w14:textFill>
        </w:rPr>
      </w:pPr>
    </w:p>
    <w:p w14:paraId="0A463336">
      <w:pPr>
        <w:pageBreakBefore w:val="0"/>
        <w:kinsoku/>
        <w:wordWrap/>
        <w:overflowPunct/>
        <w:topLinePunct w:val="0"/>
        <w:bidi w:val="0"/>
        <w:outlineLvl w:val="9"/>
        <w:rPr>
          <w:color w:val="000000" w:themeColor="text1"/>
          <w:highlight w:val="none"/>
          <w14:textFill>
            <w14:solidFill>
              <w14:schemeClr w14:val="tx1"/>
            </w14:solidFill>
          </w14:textFill>
        </w:rPr>
      </w:pPr>
    </w:p>
    <w:p w14:paraId="37C12707">
      <w:pPr>
        <w:pageBreakBefore w:val="0"/>
        <w:kinsoku/>
        <w:wordWrap/>
        <w:overflowPunct/>
        <w:topLinePunct w:val="0"/>
        <w:bidi w:val="0"/>
        <w:spacing w:line="600" w:lineRule="auto"/>
        <w:ind w:left="103" w:leftChars="49" w:firstLine="1470" w:firstLineChars="700"/>
        <w:jc w:val="center"/>
        <w:outlineLvl w:val="9"/>
        <w:rPr>
          <w:rFonts w:ascii="宋体" w:hAnsi="宋体" w:cs="宋体"/>
          <w:b/>
          <w:bCs/>
          <w:color w:val="000000" w:themeColor="text1"/>
          <w:spacing w:val="40"/>
          <w:sz w:val="32"/>
          <w:szCs w:val="32"/>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cr/>
      </w:r>
      <w:r>
        <w:rPr>
          <w:rFonts w:hint="eastAsia" w:ascii="宋体" w:hAnsi="宋体" w:cs="宋体"/>
          <w:b/>
          <w:bCs/>
          <w:color w:val="000000" w:themeColor="text1"/>
          <w:spacing w:val="40"/>
          <w:sz w:val="32"/>
          <w:szCs w:val="32"/>
          <w:highlight w:val="none"/>
          <w14:textFill>
            <w14:solidFill>
              <w14:schemeClr w14:val="tx1"/>
            </w14:solidFill>
          </w14:textFill>
        </w:rPr>
        <w:t>采购代理机构：广西奥金斯项目管理有限公司</w:t>
      </w:r>
    </w:p>
    <w:p w14:paraId="0803010D">
      <w:pPr>
        <w:pageBreakBefore w:val="0"/>
        <w:kinsoku/>
        <w:wordWrap/>
        <w:overflowPunct/>
        <w:topLinePunct w:val="0"/>
        <w:bidi w:val="0"/>
        <w:spacing w:line="600" w:lineRule="auto"/>
        <w:jc w:val="center"/>
        <w:outlineLvl w:val="9"/>
        <w:rPr>
          <w:rFonts w:hint="eastAsia" w:ascii="宋体" w:hAnsi="宋体" w:eastAsia="宋体" w:cs="宋体"/>
          <w:bCs/>
          <w:color w:val="000000" w:themeColor="text1"/>
          <w:sz w:val="30"/>
          <w:szCs w:val="30"/>
          <w:highlight w:val="none"/>
          <w:lang w:eastAsia="zh-CN"/>
          <w14:textFill>
            <w14:solidFill>
              <w14:schemeClr w14:val="tx1"/>
            </w14:solidFill>
          </w14:textFill>
        </w:rPr>
      </w:pPr>
      <w:r>
        <w:rPr>
          <w:rFonts w:hint="eastAsia" w:ascii="宋体" w:hAnsi="宋体" w:cs="宋体"/>
          <w:b/>
          <w:bCs/>
          <w:color w:val="000000" w:themeColor="text1"/>
          <w:sz w:val="32"/>
          <w:highlight w:val="none"/>
          <w:lang w:eastAsia="zh-CN"/>
          <w14:textFill>
            <w14:solidFill>
              <w14:schemeClr w14:val="tx1"/>
            </w14:solidFill>
          </w14:textFill>
        </w:rPr>
        <w:t>2025年8月</w:t>
      </w:r>
    </w:p>
    <w:p w14:paraId="764C0A77">
      <w:pPr>
        <w:pStyle w:val="120"/>
        <w:pageBreakBefore w:val="0"/>
        <w:kinsoku/>
        <w:wordWrap/>
        <w:overflowPunct/>
        <w:topLinePunct w:val="0"/>
        <w:bidi w:val="0"/>
        <w:jc w:val="center"/>
        <w:outlineLvl w:val="9"/>
        <w:rPr>
          <w:rFonts w:ascii="宋体" w:hAnsi="宋体" w:eastAsia="宋体" w:cs="宋体"/>
          <w:color w:val="000000" w:themeColor="text1"/>
          <w:highlight w:val="none"/>
          <w:lang w:val="zh-CN"/>
          <w14:textFill>
            <w14:solidFill>
              <w14:schemeClr w14:val="tx1"/>
            </w14:solidFill>
          </w14:textFill>
        </w:rPr>
        <w:sectPr>
          <w:pgSz w:w="11906" w:h="16838"/>
          <w:pgMar w:top="1440" w:right="1080" w:bottom="1440" w:left="1080" w:header="851" w:footer="992" w:gutter="0"/>
          <w:pgNumType w:fmt="numberInDash"/>
          <w:cols w:space="720" w:num="1"/>
          <w:docGrid w:type="lines" w:linePitch="312" w:charSpace="0"/>
        </w:sectPr>
      </w:pPr>
    </w:p>
    <w:sdt>
      <w:sdtPr>
        <w:rPr>
          <w:rFonts w:ascii="宋体" w:hAnsi="宋体" w:eastAsia="宋体" w:cs="Times New Roman"/>
          <w:b/>
          <w:bCs/>
          <w:color w:val="000000" w:themeColor="text1"/>
          <w:kern w:val="2"/>
          <w:sz w:val="36"/>
          <w:szCs w:val="36"/>
          <w:lang w:val="en-US" w:eastAsia="zh-CN" w:bidi="ar-SA"/>
          <w14:textFill>
            <w14:solidFill>
              <w14:schemeClr w14:val="tx1"/>
            </w14:solidFill>
          </w14:textFill>
        </w:rPr>
        <w:id w:val="147471793"/>
        <w15:color w:val="DBDBDB"/>
        <w:docPartObj>
          <w:docPartGallery w:val="Table of Contents"/>
          <w:docPartUnique/>
        </w:docPartObj>
      </w:sdtPr>
      <w:sdtEndPr>
        <w:rPr>
          <w:rFonts w:ascii="宋体" w:hAnsi="宋体" w:eastAsia="宋体" w:cs="宋体"/>
          <w:b/>
          <w:bCs/>
          <w:color w:val="000000" w:themeColor="text1"/>
          <w:kern w:val="2"/>
          <w:sz w:val="21"/>
          <w:szCs w:val="21"/>
          <w:highlight w:val="none"/>
          <w:lang w:val="en-US" w:eastAsia="zh-CN" w:bidi="ar-SA"/>
          <w14:textFill>
            <w14:solidFill>
              <w14:schemeClr w14:val="tx1"/>
            </w14:solidFill>
          </w14:textFill>
        </w:rPr>
      </w:sdtEndPr>
      <w:sdtContent>
        <w:p w14:paraId="483AC2F7">
          <w:pPr>
            <w:spacing w:before="0" w:beforeLines="0" w:after="0" w:afterLines="0" w:line="240" w:lineRule="auto"/>
            <w:ind w:left="0" w:leftChars="0" w:right="0" w:rightChars="0" w:firstLine="0" w:firstLineChars="0"/>
            <w:jc w:val="center"/>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目</w:t>
          </w:r>
          <w:r>
            <w:rPr>
              <w:rFonts w:hint="eastAsia" w:ascii="宋体" w:hAnsi="宋体" w:eastAsia="宋体" w:cs="宋体"/>
              <w:b/>
              <w:bCs/>
              <w:color w:val="000000" w:themeColor="text1"/>
              <w:sz w:val="36"/>
              <w:szCs w:val="36"/>
              <w:lang w:val="en-US" w:eastAsia="zh-CN"/>
              <w14:textFill>
                <w14:solidFill>
                  <w14:schemeClr w14:val="tx1"/>
                </w14:solidFill>
              </w14:textFill>
            </w:rPr>
            <w:t xml:space="preserve">  </w:t>
          </w:r>
          <w:r>
            <w:rPr>
              <w:rFonts w:hint="eastAsia" w:ascii="宋体" w:hAnsi="宋体" w:eastAsia="宋体" w:cs="宋体"/>
              <w:b/>
              <w:bCs/>
              <w:color w:val="000000" w:themeColor="text1"/>
              <w:sz w:val="36"/>
              <w:szCs w:val="36"/>
              <w14:textFill>
                <w14:solidFill>
                  <w14:schemeClr w14:val="tx1"/>
                </w14:solidFill>
              </w14:textFill>
            </w:rPr>
            <w:t>录</w:t>
          </w:r>
        </w:p>
        <w:p w14:paraId="18F214C5">
          <w:pPr>
            <w:pStyle w:val="23"/>
            <w:tabs>
              <w:tab w:val="right" w:leader="dot" w:pos="9746"/>
            </w:tabs>
            <w:spacing w:line="72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TOC \o "1-1" \h \u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_Toc6045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 xml:space="preserve">第一章 </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公开招标公告</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_Toc6045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6FA46017">
          <w:pPr>
            <w:pStyle w:val="23"/>
            <w:tabs>
              <w:tab w:val="right" w:leader="dot" w:pos="9746"/>
            </w:tabs>
            <w:spacing w:line="72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_Toc29324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bCs/>
              <w:color w:val="000000" w:themeColor="text1"/>
              <w:kern w:val="44"/>
              <w:sz w:val="28"/>
              <w:szCs w:val="28"/>
              <w:highlight w:val="none"/>
              <w14:textFill>
                <w14:solidFill>
                  <w14:schemeClr w14:val="tx1"/>
                </w14:solidFill>
              </w14:textFill>
            </w:rPr>
            <w:t>第二章  投标人须知</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_Toc29324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31049F3D">
          <w:pPr>
            <w:pStyle w:val="23"/>
            <w:tabs>
              <w:tab w:val="right" w:leader="dot" w:pos="9746"/>
            </w:tabs>
            <w:spacing w:line="72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_Toc18957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第三章</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服务采购需求</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_Toc18957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22</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159284B1">
          <w:pPr>
            <w:pStyle w:val="23"/>
            <w:tabs>
              <w:tab w:val="right" w:leader="dot" w:pos="9746"/>
            </w:tabs>
            <w:spacing w:line="72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_Toc15410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bCs w:val="0"/>
              <w:color w:val="000000" w:themeColor="text1"/>
              <w:sz w:val="28"/>
              <w:szCs w:val="28"/>
              <w14:textFill>
                <w14:solidFill>
                  <w14:schemeClr w14:val="tx1"/>
                </w14:solidFill>
              </w14:textFill>
            </w:rPr>
            <w:t xml:space="preserve">第四章 </w:t>
          </w:r>
          <w:r>
            <w:rPr>
              <w:rFonts w:hint="eastAsia" w:ascii="宋体" w:hAnsi="宋体" w:eastAsia="宋体" w:cs="宋体"/>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Cs w:val="0"/>
              <w:color w:val="000000" w:themeColor="text1"/>
              <w:sz w:val="28"/>
              <w:szCs w:val="28"/>
              <w:highlight w:val="none"/>
              <w14:textFill>
                <w14:solidFill>
                  <w14:schemeClr w14:val="tx1"/>
                </w14:solidFill>
              </w14:textFill>
            </w:rPr>
            <w:t>评标办法</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_Toc15410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30</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004A9335">
          <w:pPr>
            <w:pStyle w:val="23"/>
            <w:tabs>
              <w:tab w:val="right" w:leader="dot" w:pos="9746"/>
            </w:tabs>
            <w:spacing w:line="72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_Toc26434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第五章  政府采购合同（合同主要条款及格式）</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_Toc26434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35</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39F864C4">
          <w:pPr>
            <w:pStyle w:val="23"/>
            <w:tabs>
              <w:tab w:val="right" w:leader="dot" w:pos="9746"/>
            </w:tabs>
            <w:spacing w:line="72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_Toc6607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bCs/>
              <w:color w:val="000000" w:themeColor="text1"/>
              <w:kern w:val="44"/>
              <w:sz w:val="28"/>
              <w:szCs w:val="28"/>
              <w:highlight w:val="none"/>
              <w14:textFill>
                <w14:solidFill>
                  <w14:schemeClr w14:val="tx1"/>
                </w14:solidFill>
              </w14:textFill>
            </w:rPr>
            <w:t>第六章  投标文件（格式）</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_Toc6607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39</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56098F7A">
          <w:pPr>
            <w:pageBreakBefore w:val="0"/>
            <w:kinsoku/>
            <w:wordWrap/>
            <w:overflowPunct/>
            <w:topLinePunct w:val="0"/>
            <w:bidi w:val="0"/>
            <w:spacing w:line="720" w:lineRule="auto"/>
            <w:outlineLvl w:val="9"/>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end"/>
          </w:r>
        </w:p>
      </w:sdtContent>
    </w:sdt>
    <w:p w14:paraId="0BE60158">
      <w:pPr>
        <w:pageBreakBefore w:val="0"/>
        <w:kinsoku/>
        <w:wordWrap/>
        <w:overflowPunct/>
        <w:topLinePunct w:val="0"/>
        <w:bidi w:val="0"/>
        <w:spacing w:line="720" w:lineRule="auto"/>
        <w:outlineLvl w:val="9"/>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p>
    <w:p w14:paraId="47D228DE">
      <w:pPr>
        <w:pageBreakBefore w:val="0"/>
        <w:kinsoku/>
        <w:wordWrap/>
        <w:overflowPunct/>
        <w:topLinePunct w:val="0"/>
        <w:bidi w:val="0"/>
        <w:jc w:val="center"/>
        <w:outlineLvl w:val="9"/>
        <w:rPr>
          <w:rFonts w:ascii="宋体" w:hAnsi="宋体" w:cs="宋体"/>
          <w:color w:val="000000" w:themeColor="text1"/>
          <w:sz w:val="32"/>
          <w:szCs w:val="32"/>
          <w:highlight w:val="none"/>
          <w14:textFill>
            <w14:solidFill>
              <w14:schemeClr w14:val="tx1"/>
            </w14:solidFill>
          </w14:textFill>
        </w:rPr>
        <w:sectPr>
          <w:pgSz w:w="11906" w:h="16838"/>
          <w:pgMar w:top="1440" w:right="1080" w:bottom="1440" w:left="1080" w:header="851" w:footer="992" w:gutter="0"/>
          <w:pgNumType w:fmt="numberInDash" w:start="1"/>
          <w:cols w:space="720" w:num="1"/>
          <w:docGrid w:type="lines" w:linePitch="312" w:charSpace="0"/>
        </w:sectPr>
      </w:pPr>
    </w:p>
    <w:p w14:paraId="6476958D">
      <w:pPr>
        <w:keepNext w:val="0"/>
        <w:keepLines w:val="0"/>
        <w:pageBreakBefore w:val="0"/>
        <w:widowControl w:val="0"/>
        <w:numPr>
          <w:ilvl w:val="0"/>
          <w:numId w:val="1"/>
        </w:numPr>
        <w:tabs>
          <w:tab w:val="left" w:pos="0"/>
          <w:tab w:val="left" w:pos="3165"/>
          <w:tab w:val="center" w:pos="4153"/>
        </w:tabs>
        <w:kinsoku/>
        <w:wordWrap/>
        <w:overflowPunct/>
        <w:topLinePunct w:val="0"/>
        <w:autoSpaceDE w:val="0"/>
        <w:autoSpaceDN w:val="0"/>
        <w:bidi w:val="0"/>
        <w:adjustRightInd w:val="0"/>
        <w:snapToGrid/>
        <w:spacing w:before="0" w:after="0" w:line="440" w:lineRule="exact"/>
        <w:jc w:val="center"/>
        <w:textAlignment w:val="auto"/>
        <w:outlineLvl w:val="0"/>
        <w:rPr>
          <w:rFonts w:ascii="宋体" w:hAnsi="宋体" w:cs="宋体"/>
          <w:color w:val="000000" w:themeColor="text1"/>
          <w:sz w:val="32"/>
          <w:szCs w:val="32"/>
          <w:highlight w:val="none"/>
          <w14:textFill>
            <w14:solidFill>
              <w14:schemeClr w14:val="tx1"/>
            </w14:solidFill>
          </w14:textFill>
        </w:rPr>
      </w:pPr>
      <w:bookmarkStart w:id="0" w:name="_Toc9643"/>
      <w:bookmarkStart w:id="1" w:name="_Toc28359001"/>
      <w:bookmarkStart w:id="2" w:name="_Toc461"/>
      <w:bookmarkStart w:id="3" w:name="_Toc6045"/>
      <w:bookmarkStart w:id="4" w:name="_Toc35393789"/>
      <w:bookmarkStart w:id="5" w:name="_Toc19680"/>
      <w:r>
        <w:rPr>
          <w:rFonts w:hint="eastAsia" w:ascii="宋体" w:hAnsi="宋体" w:cs="宋体"/>
          <w:color w:val="000000" w:themeColor="text1"/>
          <w:sz w:val="32"/>
          <w:szCs w:val="32"/>
          <w:highlight w:val="none"/>
          <w14:textFill>
            <w14:solidFill>
              <w14:schemeClr w14:val="tx1"/>
            </w14:solidFill>
          </w14:textFill>
        </w:rPr>
        <w:t>公开招标公告</w:t>
      </w:r>
      <w:bookmarkEnd w:id="0"/>
      <w:bookmarkEnd w:id="1"/>
      <w:bookmarkEnd w:id="2"/>
      <w:bookmarkEnd w:id="3"/>
      <w:bookmarkEnd w:id="4"/>
      <w:bookmarkEnd w:id="5"/>
    </w:p>
    <w:tbl>
      <w:tblPr>
        <w:tblStyle w:val="32"/>
        <w:tblpPr w:leftFromText="180" w:rightFromText="180" w:vertAnchor="text" w:tblpX="38" w:tblpY="1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2A385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9962" w:type="dxa"/>
          </w:tcPr>
          <w:p w14:paraId="34543850">
            <w:pPr>
              <w:keepNext w:val="0"/>
              <w:keepLines w:val="0"/>
              <w:pageBreakBefore w:val="0"/>
              <w:kinsoku/>
              <w:wordWrap/>
              <w:overflowPunct/>
              <w:topLinePunct w:val="0"/>
              <w:autoSpaceDE/>
              <w:autoSpaceDN/>
              <w:bidi w:val="0"/>
              <w:adjustRightInd/>
              <w:snapToGrid/>
              <w:spacing w:line="43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项目概况</w:t>
            </w:r>
          </w:p>
          <w:p w14:paraId="1E0112BB">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u w:val="single"/>
                <w:lang w:eastAsia="zh-CN"/>
                <w14:textFill>
                  <w14:solidFill>
                    <w14:schemeClr w14:val="tx1"/>
                  </w14:solidFill>
                </w14:textFill>
              </w:rPr>
              <w:t>检验检测设备维护保养服务</w:t>
            </w:r>
            <w:r>
              <w:rPr>
                <w:rFonts w:hint="eastAsia" w:ascii="宋体" w:hAnsi="宋体" w:eastAsia="宋体" w:cs="宋体"/>
                <w:color w:val="000000" w:themeColor="text1"/>
                <w:sz w:val="21"/>
                <w:szCs w:val="21"/>
                <w:highlight w:val="none"/>
                <w14:textFill>
                  <w14:solidFill>
                    <w14:schemeClr w14:val="tx1"/>
                  </w14:solidFill>
                </w14:textFill>
              </w:rPr>
              <w:t>采购项目的潜在供应商应在广西政府采购云平台（</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"https://www.gcy.zfcg.gxzf.gov.cn/）获取采购文件，并于2024年4月"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https://www.gcy.zfcg.gxzf.gov.cn/）获取采购文件，并于2025年</w:t>
            </w:r>
            <w:r>
              <w:rPr>
                <w:rFonts w:hint="eastAsia" w:ascii="宋体" w:hAnsi="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cs="宋体"/>
                <w:color w:val="000000" w:themeColor="text1"/>
                <w:sz w:val="21"/>
                <w:szCs w:val="21"/>
                <w:highlight w:val="none"/>
                <w:lang w:val="en-US" w:eastAsia="zh-CN"/>
                <w14:textFill>
                  <w14:solidFill>
                    <w14:schemeClr w14:val="tx1"/>
                  </w14:solidFill>
                </w14:textFill>
              </w:rPr>
              <w:t>26</w:t>
            </w:r>
            <w:bookmarkStart w:id="342" w:name="_GoBack"/>
            <w:bookmarkEnd w:id="342"/>
            <w:r>
              <w:rPr>
                <w:rFonts w:hint="eastAsia" w:ascii="宋体" w:hAnsi="宋体" w:eastAsia="宋体" w:cs="宋体"/>
                <w:color w:val="000000" w:themeColor="text1"/>
                <w:sz w:val="21"/>
                <w:szCs w:val="21"/>
                <w:highlight w:val="none"/>
                <w14:textFill>
                  <w14:solidFill>
                    <w14:schemeClr w14:val="tx1"/>
                  </w14:solidFill>
                </w14:textFill>
              </w:rPr>
              <w:t>日09：30（北京时间）前提交投标文件。</w:t>
            </w:r>
          </w:p>
        </w:tc>
      </w:tr>
    </w:tbl>
    <w:p w14:paraId="7D26D1DE">
      <w:pPr>
        <w:keepNext w:val="0"/>
        <w:keepLines w:val="0"/>
        <w:pageBreakBefore w:val="0"/>
        <w:kinsoku/>
        <w:wordWrap/>
        <w:overflowPunct/>
        <w:topLinePunct w:val="0"/>
        <w:autoSpaceDE/>
        <w:autoSpaceDN/>
        <w:bidi w:val="0"/>
        <w:adjustRightInd/>
        <w:snapToGrid/>
        <w:spacing w:line="43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bookmarkStart w:id="6" w:name="_Toc28359002"/>
      <w:bookmarkStart w:id="7" w:name="_Toc28359079"/>
      <w:bookmarkStart w:id="8" w:name="_Toc35393621"/>
      <w:bookmarkStart w:id="9" w:name="_Toc35393790"/>
      <w:bookmarkStart w:id="10" w:name="_Hlk24379207"/>
      <w:r>
        <w:rPr>
          <w:rFonts w:hint="eastAsia" w:ascii="宋体" w:hAnsi="宋体" w:eastAsia="宋体" w:cs="宋体"/>
          <w:color w:val="000000" w:themeColor="text1"/>
          <w:sz w:val="21"/>
          <w:szCs w:val="21"/>
          <w:highlight w:val="none"/>
          <w14:textFill>
            <w14:solidFill>
              <w14:schemeClr w14:val="tx1"/>
            </w14:solidFill>
          </w14:textFill>
        </w:rPr>
        <w:t>一、项目基本情况</w:t>
      </w:r>
      <w:bookmarkEnd w:id="6"/>
      <w:bookmarkEnd w:id="7"/>
      <w:bookmarkEnd w:id="8"/>
      <w:bookmarkEnd w:id="9"/>
    </w:p>
    <w:p w14:paraId="5727E3A9">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项目编号：</w:t>
      </w:r>
      <w:r>
        <w:rPr>
          <w:rFonts w:hint="eastAsia" w:ascii="宋体" w:hAnsi="宋体" w:cs="宋体"/>
          <w:bCs/>
          <w:color w:val="000000" w:themeColor="text1"/>
          <w:sz w:val="21"/>
          <w:szCs w:val="21"/>
          <w:highlight w:val="none"/>
          <w:lang w:eastAsia="zh-CN"/>
          <w14:textFill>
            <w14:solidFill>
              <w14:schemeClr w14:val="tx1"/>
            </w14:solidFill>
          </w14:textFill>
        </w:rPr>
        <w:t>GLZC2025-G3-990413-GXAJ</w:t>
      </w:r>
    </w:p>
    <w:p w14:paraId="34B5C01D">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ascii="宋体" w:hAnsi="宋体" w:cs="宋体"/>
          <w:bCs/>
          <w:color w:val="000000" w:themeColor="text1"/>
          <w:sz w:val="21"/>
          <w:szCs w:val="21"/>
          <w:highlight w:val="none"/>
          <w:lang w:eastAsia="zh-CN"/>
          <w14:textFill>
            <w14:solidFill>
              <w14:schemeClr w14:val="tx1"/>
            </w14:solidFill>
          </w14:textFill>
        </w:rPr>
        <w:t>检验检测设备维护保养服务</w:t>
      </w:r>
    </w:p>
    <w:bookmarkEnd w:id="10"/>
    <w:p w14:paraId="3B97F299">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采购方式：公开招标</w:t>
      </w:r>
    </w:p>
    <w:p w14:paraId="4F42BE29">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预算总金额（元）：</w:t>
      </w:r>
      <w:r>
        <w:rPr>
          <w:rFonts w:hint="eastAsia" w:ascii="宋体" w:hAnsi="宋体" w:cs="宋体"/>
          <w:color w:val="000000" w:themeColor="text1"/>
          <w:sz w:val="21"/>
          <w:szCs w:val="21"/>
          <w:highlight w:val="none"/>
          <w:lang w:eastAsia="zh-CN"/>
          <w14:textFill>
            <w14:solidFill>
              <w14:schemeClr w14:val="tx1"/>
            </w14:solidFill>
          </w14:textFill>
        </w:rPr>
        <w:t>2000000</w:t>
      </w:r>
    </w:p>
    <w:p w14:paraId="4E85F7EC">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预算金额：</w:t>
      </w:r>
      <w:r>
        <w:rPr>
          <w:rFonts w:hint="eastAsia" w:ascii="宋体" w:hAnsi="宋体" w:cs="宋体"/>
          <w:color w:val="000000" w:themeColor="text1"/>
          <w:sz w:val="21"/>
          <w:szCs w:val="21"/>
          <w:highlight w:val="none"/>
          <w:lang w:eastAsia="zh-CN"/>
          <w14:textFill>
            <w14:solidFill>
              <w14:schemeClr w14:val="tx1"/>
            </w14:solidFill>
          </w14:textFill>
        </w:rPr>
        <w:t>2000000</w:t>
      </w:r>
      <w:r>
        <w:rPr>
          <w:rFonts w:hint="eastAsia" w:ascii="宋体" w:hAnsi="宋体" w:eastAsia="宋体" w:cs="宋体"/>
          <w:color w:val="000000" w:themeColor="text1"/>
          <w:sz w:val="21"/>
          <w:szCs w:val="21"/>
          <w:highlight w:val="none"/>
          <w14:textFill>
            <w14:solidFill>
              <w14:schemeClr w14:val="tx1"/>
            </w14:solidFill>
          </w14:textFill>
        </w:rPr>
        <w:t>元。</w:t>
      </w:r>
    </w:p>
    <w:p w14:paraId="0484E816">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采购需求：</w:t>
      </w:r>
    </w:p>
    <w:p w14:paraId="79C8552D">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标项名称：</w:t>
      </w:r>
      <w:r>
        <w:rPr>
          <w:rFonts w:hint="eastAsia" w:ascii="宋体" w:hAnsi="宋体" w:cs="宋体"/>
          <w:color w:val="000000" w:themeColor="text1"/>
          <w:sz w:val="21"/>
          <w:szCs w:val="21"/>
          <w:highlight w:val="none"/>
          <w:lang w:eastAsia="zh-CN"/>
          <w14:textFill>
            <w14:solidFill>
              <w14:schemeClr w14:val="tx1"/>
            </w14:solidFill>
          </w14:textFill>
        </w:rPr>
        <w:t>检验检测设备维护保养服务</w:t>
      </w:r>
    </w:p>
    <w:p w14:paraId="1578A09A">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数量：1</w:t>
      </w:r>
    </w:p>
    <w:p w14:paraId="4FB5F429">
      <w:pPr>
        <w:pStyle w:val="9"/>
        <w:keepNext w:val="0"/>
        <w:keepLines w:val="0"/>
        <w:pageBreakBefore w:val="0"/>
        <w:kinsoku/>
        <w:wordWrap/>
        <w:overflowPunct/>
        <w:topLinePunct w:val="0"/>
        <w:autoSpaceDE/>
        <w:autoSpaceDN/>
        <w:bidi w:val="0"/>
        <w:adjustRightInd/>
        <w:snapToGrid/>
        <w:spacing w:line="43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简要规格描述或项目基本概况介绍、用途：</w:t>
      </w:r>
      <w:r>
        <w:rPr>
          <w:rFonts w:hint="eastAsia" w:ascii="宋体" w:hAnsi="宋体" w:cs="宋体"/>
          <w:color w:val="000000" w:themeColor="text1"/>
          <w:sz w:val="21"/>
          <w:szCs w:val="21"/>
          <w:highlight w:val="none"/>
          <w:lang w:eastAsia="zh-CN"/>
          <w14:textFill>
            <w14:solidFill>
              <w14:schemeClr w14:val="tx1"/>
            </w14:solidFill>
          </w14:textFill>
        </w:rPr>
        <w:t>检验检测设备维护保养服务</w:t>
      </w:r>
      <w:r>
        <w:rPr>
          <w:rFonts w:hint="eastAsia" w:ascii="宋体" w:hAnsi="宋体" w:eastAsia="宋体" w:cs="宋体"/>
          <w:color w:val="000000" w:themeColor="text1"/>
          <w:sz w:val="21"/>
          <w:szCs w:val="21"/>
          <w:highlight w:val="none"/>
          <w14:textFill>
            <w14:solidFill>
              <w14:schemeClr w14:val="tx1"/>
            </w14:solidFill>
          </w14:textFill>
        </w:rPr>
        <w:t>一项，详见招标文件服务采购需求。</w:t>
      </w:r>
    </w:p>
    <w:p w14:paraId="126495ED">
      <w:pPr>
        <w:keepNext w:val="0"/>
        <w:keepLines w:val="0"/>
        <w:pageBreakBefore w:val="0"/>
        <w:kinsoku/>
        <w:wordWrap/>
        <w:overflowPunct/>
        <w:topLinePunct w:val="0"/>
        <w:autoSpaceDE/>
        <w:autoSpaceDN/>
        <w:bidi w:val="0"/>
        <w:adjustRightInd/>
        <w:snapToGrid/>
        <w:spacing w:line="430" w:lineRule="exact"/>
        <w:textAlignment w:val="auto"/>
        <w:outlineLvl w:val="9"/>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合同履行期限：</w:t>
      </w:r>
      <w:r>
        <w:rPr>
          <w:rFonts w:hint="eastAsia" w:ascii="宋体" w:hAnsi="宋体" w:cs="宋体"/>
          <w:color w:val="000000" w:themeColor="text1"/>
          <w:sz w:val="21"/>
          <w:szCs w:val="21"/>
          <w:highlight w:val="none"/>
          <w:lang w:eastAsia="zh-CN"/>
          <w14:textFill>
            <w14:solidFill>
              <w14:schemeClr w14:val="tx1"/>
            </w14:solidFill>
          </w14:textFill>
        </w:rPr>
        <w:t>自合同签订之日起两年</w:t>
      </w:r>
      <w:r>
        <w:rPr>
          <w:rFonts w:hint="eastAsia" w:ascii="宋体" w:hAnsi="宋体" w:cs="宋体"/>
          <w:color w:val="000000" w:themeColor="text1"/>
          <w:sz w:val="21"/>
          <w:szCs w:val="21"/>
          <w:highlight w:val="none"/>
          <w:lang w:val="en-US" w:eastAsia="zh-CN"/>
          <w14:textFill>
            <w14:solidFill>
              <w14:schemeClr w14:val="tx1"/>
            </w14:solidFill>
          </w14:textFill>
        </w:rPr>
        <w:t>。</w:t>
      </w:r>
    </w:p>
    <w:p w14:paraId="37D84E16">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w:t>
      </w:r>
      <w:r>
        <w:rPr>
          <w:rFonts w:hint="eastAsia" w:ascii="宋体" w:hAnsi="宋体" w:cs="宋体"/>
          <w:color w:val="000000" w:themeColor="text1"/>
          <w:sz w:val="21"/>
          <w:szCs w:val="21"/>
          <w:highlight w:val="none"/>
          <w:lang w:val="en-US" w:eastAsia="zh-CN"/>
          <w14:textFill>
            <w14:solidFill>
              <w14:schemeClr w14:val="tx1"/>
            </w14:solidFill>
          </w14:textFill>
        </w:rPr>
        <w:t>否</w:t>
      </w:r>
      <w:r>
        <w:rPr>
          <w:rFonts w:hint="eastAsia" w:ascii="宋体" w:hAnsi="宋体" w:eastAsia="宋体" w:cs="宋体"/>
          <w:color w:val="000000" w:themeColor="text1"/>
          <w:sz w:val="21"/>
          <w:szCs w:val="21"/>
          <w:highlight w:val="none"/>
          <w14:textFill>
            <w14:solidFill>
              <w14:schemeClr w14:val="tx1"/>
            </w14:solidFill>
          </w14:textFill>
        </w:rPr>
        <w:t>）接受联合体投标。</w:t>
      </w:r>
    </w:p>
    <w:p w14:paraId="0038632F">
      <w:pPr>
        <w:keepNext w:val="0"/>
        <w:keepLines w:val="0"/>
        <w:pageBreakBefore w:val="0"/>
        <w:kinsoku/>
        <w:wordWrap/>
        <w:overflowPunct/>
        <w:topLinePunct w:val="0"/>
        <w:autoSpaceDE/>
        <w:autoSpaceDN/>
        <w:bidi w:val="0"/>
        <w:adjustRightInd/>
        <w:snapToGrid/>
        <w:spacing w:line="43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bookmarkStart w:id="11" w:name="_Toc28359080"/>
      <w:bookmarkStart w:id="12" w:name="_Toc28359003"/>
      <w:bookmarkStart w:id="13" w:name="_Toc35393791"/>
      <w:bookmarkStart w:id="14" w:name="_Toc35393622"/>
      <w:r>
        <w:rPr>
          <w:rFonts w:hint="eastAsia" w:ascii="宋体" w:hAnsi="宋体" w:eastAsia="宋体" w:cs="宋体"/>
          <w:color w:val="000000" w:themeColor="text1"/>
          <w:sz w:val="21"/>
          <w:szCs w:val="21"/>
          <w:highlight w:val="none"/>
          <w14:textFill>
            <w14:solidFill>
              <w14:schemeClr w14:val="tx1"/>
            </w14:solidFill>
          </w14:textFill>
        </w:rPr>
        <w:t>二、申请人的资格要求：</w:t>
      </w:r>
      <w:bookmarkEnd w:id="11"/>
      <w:bookmarkEnd w:id="12"/>
      <w:bookmarkEnd w:id="13"/>
      <w:bookmarkEnd w:id="14"/>
    </w:p>
    <w:p w14:paraId="0E41B69A">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1.满足《中华人民共和国政府采购法》第二十二条规定；</w:t>
      </w:r>
    </w:p>
    <w:p w14:paraId="0A06F217">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w:t>
      </w:r>
    </w:p>
    <w:p w14:paraId="47820A6B">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bookmarkStart w:id="15" w:name="_Toc28359081"/>
      <w:bookmarkStart w:id="16" w:name="_Toc28359004"/>
      <w:r>
        <w:rPr>
          <w:rFonts w:hint="eastAsia" w:ascii="宋体" w:hAnsi="宋体" w:eastAsia="宋体" w:cs="宋体"/>
          <w:color w:val="000000" w:themeColor="text1"/>
          <w:sz w:val="21"/>
          <w:szCs w:val="21"/>
          <w:highlight w:val="none"/>
          <w14:textFill>
            <w14:solidFill>
              <w14:schemeClr w14:val="tx1"/>
            </w14:solidFill>
          </w14:textFill>
        </w:rPr>
        <w:t>3.落实政府采购政策需满足的资格要求：</w:t>
      </w:r>
      <w:r>
        <w:rPr>
          <w:rFonts w:hint="eastAsia" w:ascii="宋体" w:hAnsi="宋体" w:cs="宋体"/>
          <w:bCs/>
          <w:color w:val="000000" w:themeColor="text1"/>
          <w:sz w:val="21"/>
          <w:szCs w:val="21"/>
          <w14:textFill>
            <w14:solidFill>
              <w14:schemeClr w14:val="tx1"/>
            </w14:solidFill>
          </w14:textFill>
        </w:rPr>
        <w:t>本项目专门面向中小企业采购</w:t>
      </w:r>
      <w:r>
        <w:rPr>
          <w:rFonts w:hint="eastAsia"/>
          <w:bCs/>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根据财政部、司法部关于政府采购支持监狱企业发展有关问题的通</w:t>
      </w:r>
      <w:r>
        <w:rPr>
          <w:rFonts w:hint="eastAsia" w:ascii="宋体" w:hAnsi="宋体" w:cs="宋体"/>
          <w:color w:val="000000" w:themeColor="text1"/>
          <w:sz w:val="21"/>
          <w:szCs w:val="21"/>
          <w14:textFill>
            <w14:solidFill>
              <w14:schemeClr w14:val="tx1"/>
            </w14:solidFill>
          </w14:textFill>
        </w:rPr>
        <w:t>知（财库〔2014〕68号）及《关于促进残疾人就业政府采购政策的通知》（财库〔2017〕141号）的规定，监狱企业、残疾人福利单位视同小型、微型企业</w:t>
      </w:r>
      <w:r>
        <w:rPr>
          <w:rFonts w:hint="eastAsia" w:ascii="宋体" w:hAnsi="宋体" w:eastAsia="宋体" w:cs="宋体"/>
          <w:color w:val="000000" w:themeColor="text1"/>
          <w:sz w:val="21"/>
          <w:szCs w:val="21"/>
          <w:highlight w:val="none"/>
          <w14:textFill>
            <w14:solidFill>
              <w14:schemeClr w14:val="tx1"/>
            </w14:solidFill>
          </w14:textFill>
        </w:rPr>
        <w:t>。</w:t>
      </w:r>
    </w:p>
    <w:p w14:paraId="62D68165">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4.本项目的特定资格要求：无。</w:t>
      </w:r>
    </w:p>
    <w:p w14:paraId="5A2ED987">
      <w:pPr>
        <w:keepNext w:val="0"/>
        <w:keepLines w:val="0"/>
        <w:pageBreakBefore w:val="0"/>
        <w:kinsoku/>
        <w:wordWrap/>
        <w:overflowPunct/>
        <w:topLinePunct w:val="0"/>
        <w:autoSpaceDE/>
        <w:autoSpaceDN/>
        <w:bidi w:val="0"/>
        <w:adjustRightInd/>
        <w:snapToGrid/>
        <w:spacing w:line="43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bookmarkStart w:id="17" w:name="_Toc35393792"/>
      <w:bookmarkStart w:id="18" w:name="_Toc35393623"/>
      <w:r>
        <w:rPr>
          <w:rFonts w:hint="eastAsia" w:ascii="宋体" w:hAnsi="宋体" w:eastAsia="宋体" w:cs="宋体"/>
          <w:color w:val="000000" w:themeColor="text1"/>
          <w:sz w:val="21"/>
          <w:szCs w:val="21"/>
          <w:highlight w:val="none"/>
          <w14:textFill>
            <w14:solidFill>
              <w14:schemeClr w14:val="tx1"/>
            </w14:solidFill>
          </w14:textFill>
        </w:rPr>
        <w:t>三、获取招标文件</w:t>
      </w:r>
      <w:bookmarkEnd w:id="15"/>
      <w:bookmarkEnd w:id="16"/>
      <w:bookmarkEnd w:id="17"/>
      <w:bookmarkEnd w:id="18"/>
    </w:p>
    <w:p w14:paraId="525C0814">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时间：招标公告发布之时起至投标截止时间止，每天上午00:00至1</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59</w:t>
      </w:r>
      <w:r>
        <w:rPr>
          <w:rFonts w:hint="eastAsia" w:ascii="宋体" w:hAnsi="宋体" w:eastAsia="宋体" w:cs="宋体"/>
          <w:color w:val="000000" w:themeColor="text1"/>
          <w:sz w:val="21"/>
          <w:szCs w:val="21"/>
          <w:highlight w:val="none"/>
          <w14:textFill>
            <w14:solidFill>
              <w14:schemeClr w14:val="tx1"/>
            </w14:solidFill>
          </w14:textFill>
        </w:rPr>
        <w:t xml:space="preserve"> ，下午12:00至23:59（北京时间，法定节假日除外）</w:t>
      </w:r>
    </w:p>
    <w:p w14:paraId="2FAEC0A8">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bookmarkStart w:id="19" w:name="_Toc28359082"/>
      <w:bookmarkStart w:id="20" w:name="_Toc28359005"/>
      <w:bookmarkStart w:id="21" w:name="_Toc35393793"/>
      <w:bookmarkStart w:id="22" w:name="_Toc35393624"/>
      <w:r>
        <w:rPr>
          <w:rFonts w:hint="eastAsia" w:ascii="宋体" w:hAnsi="宋体" w:eastAsia="宋体" w:cs="宋体"/>
          <w:color w:val="000000" w:themeColor="text1"/>
          <w:sz w:val="21"/>
          <w:szCs w:val="21"/>
          <w:highlight w:val="none"/>
          <w14:textFill>
            <w14:solidFill>
              <w14:schemeClr w14:val="tx1"/>
            </w14:solidFill>
          </w14:textFill>
        </w:rPr>
        <w:t>地点（网址）：广西政府采购云平台（ https://www.gcy.zfcg.gxzf.gov.cn/）。</w:t>
      </w:r>
    </w:p>
    <w:p w14:paraId="5E21BB41">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方式：供应商登录广西政府采购云平台（ https://www.gcy.zfcg.gxzf.gov.cn/）在线申请获取采购文件（进入“项目采购”应用，在获取采购文件菜单中选择项目，申请获取采购文件）。</w:t>
      </w:r>
    </w:p>
    <w:p w14:paraId="4F199EBA">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售价（元）：0 </w:t>
      </w:r>
    </w:p>
    <w:p w14:paraId="24EB37EA">
      <w:pPr>
        <w:keepNext w:val="0"/>
        <w:keepLines w:val="0"/>
        <w:pageBreakBefore w:val="0"/>
        <w:kinsoku/>
        <w:wordWrap/>
        <w:overflowPunct/>
        <w:topLinePunct w:val="0"/>
        <w:autoSpaceDE/>
        <w:autoSpaceDN/>
        <w:bidi w:val="0"/>
        <w:adjustRightInd/>
        <w:snapToGrid/>
        <w:spacing w:line="43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四、提交投标文件</w:t>
      </w:r>
      <w:bookmarkEnd w:id="19"/>
      <w:bookmarkEnd w:id="20"/>
      <w:r>
        <w:rPr>
          <w:rFonts w:hint="eastAsia" w:ascii="宋体" w:hAnsi="宋体" w:eastAsia="宋体" w:cs="宋体"/>
          <w:color w:val="000000" w:themeColor="text1"/>
          <w:sz w:val="21"/>
          <w:szCs w:val="21"/>
          <w:highlight w:val="none"/>
          <w14:textFill>
            <w14:solidFill>
              <w14:schemeClr w14:val="tx1"/>
            </w14:solidFill>
          </w14:textFill>
        </w:rPr>
        <w:t>截止时间、开标时间和地点</w:t>
      </w:r>
      <w:bookmarkEnd w:id="21"/>
      <w:bookmarkEnd w:id="22"/>
    </w:p>
    <w:p w14:paraId="6ECCC686">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截止时间：</w:t>
      </w:r>
      <w:r>
        <w:rPr>
          <w:rFonts w:hint="eastAsia" w:ascii="宋体" w:hAnsi="宋体" w:cs="宋体"/>
          <w:color w:val="000000" w:themeColor="text1"/>
          <w:sz w:val="21"/>
          <w:szCs w:val="21"/>
          <w:highlight w:val="none"/>
          <w:lang w:eastAsia="zh-CN"/>
          <w14:textFill>
            <w14:solidFill>
              <w14:schemeClr w14:val="tx1"/>
            </w14:solidFill>
          </w14:textFill>
        </w:rPr>
        <w:t>2025年9月26日</w:t>
      </w:r>
      <w:r>
        <w:rPr>
          <w:rFonts w:hint="eastAsia" w:ascii="宋体" w:hAnsi="宋体" w:eastAsia="宋体" w:cs="宋体"/>
          <w:color w:val="000000" w:themeColor="text1"/>
          <w:sz w:val="21"/>
          <w:szCs w:val="21"/>
          <w:highlight w:val="none"/>
          <w14:textFill>
            <w14:solidFill>
              <w14:schemeClr w14:val="tx1"/>
            </w14:solidFill>
          </w14:textFill>
        </w:rPr>
        <w:t>9时30分</w:t>
      </w:r>
      <w:r>
        <w:rPr>
          <w:rFonts w:hint="eastAsia" w:ascii="宋体" w:hAnsi="宋体" w:eastAsia="宋体" w:cs="宋体"/>
          <w:bCs/>
          <w:color w:val="000000" w:themeColor="text1"/>
          <w:sz w:val="21"/>
          <w:szCs w:val="21"/>
          <w:highlight w:val="none"/>
          <w14:textFill>
            <w14:solidFill>
              <w14:schemeClr w14:val="tx1"/>
            </w14:solidFill>
          </w14:textFill>
        </w:rPr>
        <w:t>（北京时间）。</w:t>
      </w:r>
    </w:p>
    <w:p w14:paraId="40E8FD90">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    点：通过广西政府采购云平台实行在线投标。</w:t>
      </w:r>
    </w:p>
    <w:p w14:paraId="455452F5">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开标时间：</w:t>
      </w:r>
      <w:r>
        <w:rPr>
          <w:rFonts w:hint="eastAsia" w:ascii="宋体" w:hAnsi="宋体" w:cs="宋体"/>
          <w:color w:val="000000" w:themeColor="text1"/>
          <w:sz w:val="21"/>
          <w:szCs w:val="21"/>
          <w:highlight w:val="none"/>
          <w:lang w:eastAsia="zh-CN"/>
          <w14:textFill>
            <w14:solidFill>
              <w14:schemeClr w14:val="tx1"/>
            </w14:solidFill>
          </w14:textFill>
        </w:rPr>
        <w:t>2025年9月26日</w:t>
      </w:r>
      <w:r>
        <w:rPr>
          <w:rFonts w:hint="eastAsia" w:ascii="宋体" w:hAnsi="宋体" w:eastAsia="宋体" w:cs="宋体"/>
          <w:color w:val="000000" w:themeColor="text1"/>
          <w:sz w:val="21"/>
          <w:szCs w:val="21"/>
          <w:highlight w:val="none"/>
          <w14:textFill>
            <w14:solidFill>
              <w14:schemeClr w14:val="tx1"/>
            </w14:solidFill>
          </w14:textFill>
        </w:rPr>
        <w:t>9时30分</w:t>
      </w:r>
      <w:r>
        <w:rPr>
          <w:rFonts w:hint="eastAsia" w:ascii="宋体" w:hAnsi="宋体" w:eastAsia="宋体" w:cs="宋体"/>
          <w:bCs/>
          <w:color w:val="000000" w:themeColor="text1"/>
          <w:sz w:val="21"/>
          <w:szCs w:val="21"/>
          <w:highlight w:val="none"/>
          <w14:textFill>
            <w14:solidFill>
              <w14:schemeClr w14:val="tx1"/>
            </w14:solidFill>
          </w14:textFill>
        </w:rPr>
        <w:t>（北京时间）</w:t>
      </w:r>
      <w:r>
        <w:rPr>
          <w:rFonts w:hint="eastAsia" w:ascii="宋体" w:hAnsi="宋体" w:eastAsia="宋体" w:cs="宋体"/>
          <w:color w:val="000000" w:themeColor="text1"/>
          <w:sz w:val="21"/>
          <w:szCs w:val="21"/>
          <w:highlight w:val="none"/>
          <w14:textFill>
            <w14:solidFill>
              <w14:schemeClr w14:val="tx1"/>
            </w14:solidFill>
          </w14:textFill>
        </w:rPr>
        <w:t>截标后。</w:t>
      </w:r>
    </w:p>
    <w:p w14:paraId="4EFF4C15">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地点：通过广西政府采购云平台实行在线解密开启。</w:t>
      </w:r>
    </w:p>
    <w:p w14:paraId="33169B9E">
      <w:pPr>
        <w:keepNext w:val="0"/>
        <w:keepLines w:val="0"/>
        <w:pageBreakBefore w:val="0"/>
        <w:kinsoku/>
        <w:wordWrap/>
        <w:overflowPunct/>
        <w:topLinePunct w:val="0"/>
        <w:autoSpaceDE/>
        <w:autoSpaceDN/>
        <w:bidi w:val="0"/>
        <w:adjustRightInd/>
        <w:snapToGrid/>
        <w:spacing w:line="43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bookmarkStart w:id="23" w:name="_Toc35393625"/>
      <w:bookmarkStart w:id="24" w:name="_Toc28359007"/>
      <w:bookmarkStart w:id="25" w:name="_Toc28359084"/>
      <w:bookmarkStart w:id="26" w:name="_Toc35393794"/>
      <w:r>
        <w:rPr>
          <w:rFonts w:hint="eastAsia" w:ascii="宋体" w:hAnsi="宋体" w:eastAsia="宋体" w:cs="宋体"/>
          <w:color w:val="000000" w:themeColor="text1"/>
          <w:sz w:val="21"/>
          <w:szCs w:val="21"/>
          <w:highlight w:val="none"/>
          <w14:textFill>
            <w14:solidFill>
              <w14:schemeClr w14:val="tx1"/>
            </w14:solidFill>
          </w14:textFill>
        </w:rPr>
        <w:t>五、公告期限</w:t>
      </w:r>
      <w:bookmarkEnd w:id="23"/>
      <w:bookmarkEnd w:id="24"/>
      <w:bookmarkEnd w:id="25"/>
      <w:bookmarkEnd w:id="26"/>
    </w:p>
    <w:p w14:paraId="055CDC03">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自本公告发布之日起5个工作日。</w:t>
      </w:r>
    </w:p>
    <w:p w14:paraId="567109DF">
      <w:pPr>
        <w:keepNext w:val="0"/>
        <w:keepLines w:val="0"/>
        <w:pageBreakBefore w:val="0"/>
        <w:kinsoku/>
        <w:wordWrap/>
        <w:overflowPunct/>
        <w:topLinePunct w:val="0"/>
        <w:autoSpaceDE/>
        <w:autoSpaceDN/>
        <w:bidi w:val="0"/>
        <w:adjustRightInd/>
        <w:snapToGrid/>
        <w:spacing w:line="43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bookmarkStart w:id="27" w:name="_Toc35393795"/>
      <w:bookmarkStart w:id="28" w:name="_Toc35393626"/>
      <w:r>
        <w:rPr>
          <w:rFonts w:hint="eastAsia" w:ascii="宋体" w:hAnsi="宋体" w:eastAsia="宋体" w:cs="宋体"/>
          <w:color w:val="000000" w:themeColor="text1"/>
          <w:sz w:val="21"/>
          <w:szCs w:val="21"/>
          <w:highlight w:val="none"/>
          <w14:textFill>
            <w14:solidFill>
              <w14:schemeClr w14:val="tx1"/>
            </w14:solidFill>
          </w14:textFill>
        </w:rPr>
        <w:t>六、其他补充事宜</w:t>
      </w:r>
      <w:bookmarkEnd w:id="27"/>
      <w:bookmarkEnd w:id="28"/>
    </w:p>
    <w:p w14:paraId="4994A559">
      <w:pPr>
        <w:keepNext w:val="0"/>
        <w:keepLines w:val="0"/>
        <w:pageBreakBefore w:val="0"/>
        <w:kinsoku/>
        <w:wordWrap/>
        <w:overflowPunct/>
        <w:topLinePunct w:val="0"/>
        <w:autoSpaceDE/>
        <w:autoSpaceDN/>
        <w:bidi w:val="0"/>
        <w:adjustRightInd/>
        <w:snapToGrid/>
        <w:spacing w:line="43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bookmarkStart w:id="29" w:name="_Toc35393627"/>
      <w:bookmarkStart w:id="30" w:name="_Toc35393796"/>
      <w:bookmarkStart w:id="31" w:name="_Toc28359008"/>
      <w:bookmarkStart w:id="32" w:name="_Toc28359085"/>
      <w:r>
        <w:rPr>
          <w:rFonts w:hint="eastAsia" w:ascii="宋体" w:hAnsi="宋体" w:eastAsia="宋体" w:cs="宋体"/>
          <w:color w:val="000000" w:themeColor="text1"/>
          <w:sz w:val="21"/>
          <w:szCs w:val="21"/>
          <w:highlight w:val="none"/>
          <w14:textFill>
            <w14:solidFill>
              <w14:schemeClr w14:val="tx1"/>
            </w14:solidFill>
          </w14:textFill>
        </w:rPr>
        <w:t>1.本项目需要落实的政府采购政策</w:t>
      </w:r>
    </w:p>
    <w:p w14:paraId="66983267">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（1）《政府采购促进中小企业发展管理办法》（财库[2020]46号），</w:t>
      </w:r>
      <w:r>
        <w:rPr>
          <w:rFonts w:hint="eastAsia" w:ascii="宋体" w:hAnsi="宋体" w:eastAsia="宋体" w:cs="宋体"/>
          <w:b/>
          <w:color w:val="000000" w:themeColor="text1"/>
          <w:sz w:val="21"/>
          <w:szCs w:val="21"/>
          <w:highlight w:val="none"/>
          <w14:textFill>
            <w14:solidFill>
              <w14:schemeClr w14:val="tx1"/>
            </w14:solidFill>
          </w14:textFill>
        </w:rPr>
        <w:t>本项目专门面向中小企业采购</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本项目采购标的在 《中小企业划分标准》所属行业为：</w:t>
      </w:r>
      <w:r>
        <w:rPr>
          <w:rFonts w:hint="eastAsia" w:ascii="宋体" w:hAnsi="宋体" w:cs="宋体"/>
          <w:b/>
          <w:bCs/>
          <w:color w:val="000000" w:themeColor="text1"/>
          <w:sz w:val="21"/>
          <w:szCs w:val="21"/>
          <w:highlight w:val="none"/>
          <w:lang w:eastAsia="zh-CN"/>
          <w14:textFill>
            <w14:solidFill>
              <w14:schemeClr w14:val="tx1"/>
            </w14:solidFill>
          </w14:textFill>
        </w:rPr>
        <w:t>其他末列明行业</w:t>
      </w:r>
      <w:r>
        <w:rPr>
          <w:rFonts w:hint="eastAsia" w:ascii="宋体" w:hAnsi="宋体" w:eastAsia="宋体" w:cs="宋体"/>
          <w:color w:val="000000" w:themeColor="text1"/>
          <w:sz w:val="21"/>
          <w:szCs w:val="21"/>
          <w:highlight w:val="none"/>
          <w14:textFill>
            <w14:solidFill>
              <w14:schemeClr w14:val="tx1"/>
            </w14:solidFill>
          </w14:textFill>
        </w:rPr>
        <w:t>。</w:t>
      </w:r>
    </w:p>
    <w:p w14:paraId="77D288E8">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（2）《关于政府采购支持监狱企业发展有关问题的通知》（财库[2014]68号）。</w:t>
      </w:r>
    </w:p>
    <w:p w14:paraId="62DB3745">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（3）《关于促进残疾人就业政府采购政策的通知》（财库[2017]141号）。</w:t>
      </w:r>
    </w:p>
    <w:p w14:paraId="0EE4502D">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（4）强制采购节能产品、优先采购节能产品、环境标志产品。</w:t>
      </w:r>
    </w:p>
    <w:p w14:paraId="67E4765B">
      <w:pPr>
        <w:keepNext w:val="0"/>
        <w:keepLines w:val="0"/>
        <w:pageBreakBefore w:val="0"/>
        <w:kinsoku/>
        <w:wordWrap/>
        <w:overflowPunct/>
        <w:topLinePunct w:val="0"/>
        <w:autoSpaceDE/>
        <w:autoSpaceDN/>
        <w:bidi w:val="0"/>
        <w:adjustRightInd/>
        <w:snapToGrid/>
        <w:spacing w:line="43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2.信息公告发布媒体：</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"http://www.ccgp.gov.cn"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www.ccgp.gov.cn</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（中国政府采购网）、zfcg.gxzf.gov.cn（广西壮族自治区政府采购网）、桂林市政府采购网（zfcg.czj.guilin.gov.cn）。</w:t>
      </w:r>
    </w:p>
    <w:p w14:paraId="429D811C">
      <w:pPr>
        <w:keepNext w:val="0"/>
        <w:keepLines w:val="0"/>
        <w:pageBreakBefore w:val="0"/>
        <w:kinsoku/>
        <w:wordWrap/>
        <w:overflowPunct/>
        <w:topLinePunct w:val="0"/>
        <w:autoSpaceDE/>
        <w:autoSpaceDN/>
        <w:bidi w:val="0"/>
        <w:adjustRightInd/>
        <w:snapToGrid/>
        <w:spacing w:line="43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3.特别说明：</w:t>
      </w:r>
    </w:p>
    <w:p w14:paraId="2F6EF946">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F5DADB3">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57DD7981">
      <w:pPr>
        <w:keepNext w:val="0"/>
        <w:keepLines w:val="0"/>
        <w:pageBreakBefore w:val="0"/>
        <w:kinsoku/>
        <w:wordWrap/>
        <w:overflowPunct/>
        <w:topLinePunct w:val="0"/>
        <w:autoSpaceDE/>
        <w:autoSpaceDN/>
        <w:bidi w:val="0"/>
        <w:adjustRightInd/>
        <w:snapToGrid/>
        <w:spacing w:line="43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4.投标文件解密时间：截标时间后30分钟内投标人可以登录广西政府采购云平台，用“项目采购-开标评标”功能进行解密投标文件。若投标人在规定时间内无法解密或解密失败，可以以电子备份投标文件作为依据</w:t>
      </w:r>
      <w:r>
        <w:rPr>
          <w:rFonts w:hint="eastAsia" w:ascii="宋体" w:hAnsi="宋体" w:eastAsia="宋体" w:cs="宋体"/>
          <w:b/>
          <w:color w:val="000000" w:themeColor="text1"/>
          <w:sz w:val="21"/>
          <w:szCs w:val="21"/>
          <w:highlight w:val="none"/>
          <w14:textFill>
            <w14:solidFill>
              <w14:schemeClr w14:val="tx1"/>
            </w14:solidFill>
          </w14:textFill>
        </w:rPr>
        <w:t>【在接到无法解密或解密失败的通知后，投标人可根据自身实际情况按通知时要求的时间到桂林市公共资源交易中心现场提交或以电子邮件的形式（以通知时所告知的电子邮箱地址为准）提交电子备份投标文件】</w:t>
      </w:r>
      <w:r>
        <w:rPr>
          <w:rFonts w:hint="eastAsia" w:ascii="宋体" w:hAnsi="宋体" w:eastAsia="宋体" w:cs="宋体"/>
          <w:color w:val="000000" w:themeColor="text1"/>
          <w:sz w:val="21"/>
          <w:szCs w:val="21"/>
          <w:highlight w:val="none"/>
          <w14:textFill>
            <w14:solidFill>
              <w14:schemeClr w14:val="tx1"/>
            </w14:solidFill>
          </w14:textFill>
        </w:rPr>
        <w:t>，若投标人在规定时间内无法解密或解密失败且未提供电子备份投标文件的(包含提供的电子备份文件无效或无法解密的情况)，视为投标无效。</w:t>
      </w:r>
    </w:p>
    <w:p w14:paraId="668B1CA8">
      <w:pPr>
        <w:keepNext w:val="0"/>
        <w:keepLines w:val="0"/>
        <w:pageBreakBefore w:val="0"/>
        <w:kinsoku/>
        <w:wordWrap/>
        <w:overflowPunct/>
        <w:topLinePunct w:val="0"/>
        <w:autoSpaceDE/>
        <w:autoSpaceDN/>
        <w:bidi w:val="0"/>
        <w:adjustRightInd/>
        <w:snapToGrid/>
        <w:spacing w:line="43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5.在线投标（电子投标）说明</w:t>
      </w:r>
    </w:p>
    <w:p w14:paraId="01D74E39">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本项目通过广西政府采购云平台实行在线投标响应（电子投标），投标人需要先安装“广西政府采购云平台电子交易客户端”，并按照本招标文件和广西政府采购云平台的要求，通过“广西政府采购云平台电子交易客户端”编制并加密投标文件。投标人未按规定编制并加密的投标文件，广西政府采购云平台将予以拒收。</w:t>
      </w:r>
    </w:p>
    <w:p w14:paraId="3BE0977B">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广西政府采购云平台云电子交易客户端”请自行前往广西政府采购网下载并安装（http://www.ccgp-guangxi.gov.cn/OfficeService/DownloadArea/2455918.html?utm=sites_group_front.b8b6c91.0.0.c51f9820a48111eabb9bcbdf01af125e）；电子投标具体操作流程参考《政府采购项目电子交易管理操作指南-供应商》；在使用广西政府采购云平台投标客户端时，建议使用WIN7及以上操作系统,通过广西政府采购云平台参与在线投标时如遇平台技术问题详询95763。</w:t>
      </w:r>
    </w:p>
    <w:p w14:paraId="32201B0F">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为确保网上操作合法、有效和安全，投标人应当在投标截止时间前完成在“广西政府采购云平台”的身份认证，确保在电子投标过程中能够对相关数据电子文件进行加密和使用电子签章。使用“广西政府采购云平台电子交易客户端”需要提前申领CA数字证书，申领流程请自行前往广西政府采购云平台网站进行查阅；</w:t>
      </w:r>
      <w:r>
        <w:rPr>
          <w:rFonts w:hint="eastAsia" w:ascii="宋体" w:hAnsi="宋体" w:eastAsia="宋体" w:cs="宋体"/>
          <w:b/>
          <w:color w:val="000000" w:themeColor="text1"/>
          <w:sz w:val="21"/>
          <w:szCs w:val="21"/>
          <w:highlight w:val="none"/>
          <w14:textFill>
            <w14:solidFill>
              <w14:schemeClr w14:val="tx1"/>
            </w14:solidFill>
          </w14:textFill>
        </w:rPr>
        <w:t>（完成CA数字证书办理预计一周左右，建议供应商获取投标文件后立即办理。）</w:t>
      </w:r>
    </w:p>
    <w:p w14:paraId="14BAE2F9">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投标人应当在投标截止时间前，将生成的“投标文件”上传递交至广西政府采购云平台。投标文件递交截止时间前可以撤回电子投标文件。补充或者修改电子投标文件的，应当先行撤回原文件，补充、修改后重新传输递交，投标文件递交截止时间前未完成传输的，视为撤回投标文件。</w:t>
      </w:r>
    </w:p>
    <w:p w14:paraId="60A219BC">
      <w:pPr>
        <w:keepNext w:val="0"/>
        <w:keepLines w:val="0"/>
        <w:pageBreakBefore w:val="0"/>
        <w:kinsoku/>
        <w:wordWrap/>
        <w:overflowPunct/>
        <w:topLinePunct w:val="0"/>
        <w:autoSpaceDE/>
        <w:autoSpaceDN/>
        <w:bidi w:val="0"/>
        <w:adjustRightInd/>
        <w:snapToGrid/>
        <w:spacing w:line="43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本采购项目为广西政府采购云平台全流程电子化操作，参与投标的供应商需自备计算机和网络设备（设备需可视频通话和读取广西政府采购云CA数字证书），确保投标过程顺利进行；因供应商自身设备或网络原因造成的一切后果，由供应商自行承担。</w:t>
      </w:r>
    </w:p>
    <w:p w14:paraId="45C232BD">
      <w:pPr>
        <w:keepNext w:val="0"/>
        <w:keepLines w:val="0"/>
        <w:pageBreakBefore w:val="0"/>
        <w:kinsoku/>
        <w:wordWrap/>
        <w:overflowPunct/>
        <w:topLinePunct w:val="0"/>
        <w:autoSpaceDE/>
        <w:autoSpaceDN/>
        <w:bidi w:val="0"/>
        <w:adjustRightInd/>
        <w:snapToGrid/>
        <w:spacing w:line="43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七、对本次招标提出询问，请按以下方式联系。</w:t>
      </w:r>
      <w:bookmarkEnd w:id="29"/>
      <w:bookmarkEnd w:id="30"/>
      <w:bookmarkEnd w:id="31"/>
      <w:bookmarkEnd w:id="32"/>
    </w:p>
    <w:p w14:paraId="462156A6">
      <w:pPr>
        <w:keepNext w:val="0"/>
        <w:keepLines w:val="0"/>
        <w:pageBreakBefore w:val="0"/>
        <w:widowControl/>
        <w:kinsoku/>
        <w:wordWrap/>
        <w:overflowPunct/>
        <w:topLinePunct w:val="0"/>
        <w:autoSpaceDE/>
        <w:autoSpaceDN/>
        <w:bidi w:val="0"/>
        <w:adjustRightInd/>
        <w:snapToGrid/>
        <w:spacing w:line="430" w:lineRule="exact"/>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1.采购人信息</w:t>
      </w:r>
    </w:p>
    <w:p w14:paraId="0805FDEB">
      <w:pPr>
        <w:keepNext w:val="0"/>
        <w:keepLines w:val="0"/>
        <w:pageBreakBefore w:val="0"/>
        <w:kinsoku/>
        <w:wordWrap/>
        <w:overflowPunct/>
        <w:topLinePunct w:val="0"/>
        <w:autoSpaceDE/>
        <w:autoSpaceDN/>
        <w:bidi w:val="0"/>
        <w:adjustRightInd/>
        <w:snapToGrid/>
        <w:spacing w:line="430" w:lineRule="exact"/>
        <w:ind w:firstLine="630" w:firstLineChars="300"/>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33" w:name="_Toc28359086"/>
      <w:bookmarkStart w:id="34" w:name="_Toc28359009"/>
      <w:r>
        <w:rPr>
          <w:rFonts w:hint="eastAsia" w:ascii="宋体" w:hAnsi="宋体" w:eastAsia="宋体" w:cs="宋体"/>
          <w:color w:val="000000" w:themeColor="text1"/>
          <w:sz w:val="21"/>
          <w:szCs w:val="21"/>
          <w:highlight w:val="none"/>
          <w14:textFill>
            <w14:solidFill>
              <w14:schemeClr w14:val="tx1"/>
            </w14:solidFill>
          </w14:textFill>
        </w:rPr>
        <w:t>名    称：</w:t>
      </w:r>
      <w:r>
        <w:rPr>
          <w:rFonts w:hint="eastAsia" w:ascii="宋体" w:hAnsi="宋体" w:cs="宋体"/>
          <w:color w:val="000000" w:themeColor="text1"/>
          <w:sz w:val="21"/>
          <w:szCs w:val="21"/>
          <w:highlight w:val="none"/>
          <w:lang w:eastAsia="zh-CN"/>
          <w14:textFill>
            <w14:solidFill>
              <w14:schemeClr w14:val="tx1"/>
            </w14:solidFill>
          </w14:textFill>
        </w:rPr>
        <w:t>桂林市食品药品检验所</w:t>
      </w:r>
    </w:p>
    <w:p w14:paraId="68EACB27">
      <w:pPr>
        <w:keepNext w:val="0"/>
        <w:keepLines w:val="0"/>
        <w:pageBreakBefore w:val="0"/>
        <w:kinsoku/>
        <w:wordWrap/>
        <w:overflowPunct/>
        <w:topLinePunct w:val="0"/>
        <w:autoSpaceDE/>
        <w:autoSpaceDN/>
        <w:bidi w:val="0"/>
        <w:adjustRightInd/>
        <w:snapToGrid/>
        <w:spacing w:line="430" w:lineRule="exact"/>
        <w:ind w:firstLine="630" w:firstLineChars="300"/>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    址：</w:t>
      </w:r>
      <w:r>
        <w:rPr>
          <w:rFonts w:hint="eastAsia" w:ascii="宋体" w:hAnsi="宋体" w:cs="宋体"/>
          <w:color w:val="000000" w:themeColor="text1"/>
          <w:sz w:val="21"/>
          <w:szCs w:val="21"/>
          <w:highlight w:val="none"/>
          <w:lang w:eastAsia="zh-CN"/>
          <w14:textFill>
            <w14:solidFill>
              <w14:schemeClr w14:val="tx1"/>
            </w14:solidFill>
          </w14:textFill>
        </w:rPr>
        <w:t>桂林市叠彩区北和路 15 号</w:t>
      </w:r>
    </w:p>
    <w:p w14:paraId="12808C82">
      <w:pPr>
        <w:keepNext w:val="0"/>
        <w:keepLines w:val="0"/>
        <w:pageBreakBefore w:val="0"/>
        <w:kinsoku/>
        <w:wordWrap/>
        <w:overflowPunct/>
        <w:topLinePunct w:val="0"/>
        <w:autoSpaceDE/>
        <w:autoSpaceDN/>
        <w:bidi w:val="0"/>
        <w:adjustRightInd/>
        <w:snapToGrid/>
        <w:spacing w:line="430" w:lineRule="exact"/>
        <w:ind w:firstLine="630" w:firstLineChars="300"/>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项目联系人：</w:t>
      </w:r>
      <w:r>
        <w:rPr>
          <w:rFonts w:hint="eastAsia" w:ascii="宋体" w:hAnsi="宋体" w:cs="宋体"/>
          <w:color w:val="000000" w:themeColor="text1"/>
          <w:sz w:val="21"/>
          <w:szCs w:val="21"/>
          <w:highlight w:val="none"/>
          <w:lang w:eastAsia="zh-CN"/>
          <w14:textFill>
            <w14:solidFill>
              <w14:schemeClr w14:val="tx1"/>
            </w14:solidFill>
          </w14:textFill>
        </w:rPr>
        <w:t>文主任</w:t>
      </w:r>
    </w:p>
    <w:p w14:paraId="689B1BEF">
      <w:pPr>
        <w:keepNext w:val="0"/>
        <w:keepLines w:val="0"/>
        <w:pageBreakBefore w:val="0"/>
        <w:kinsoku/>
        <w:wordWrap/>
        <w:overflowPunct/>
        <w:topLinePunct w:val="0"/>
        <w:autoSpaceDE/>
        <w:autoSpaceDN/>
        <w:bidi w:val="0"/>
        <w:adjustRightInd/>
        <w:snapToGrid/>
        <w:spacing w:line="430" w:lineRule="exact"/>
        <w:ind w:firstLine="630" w:firstLineChars="300"/>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项目联系方式：</w:t>
      </w:r>
      <w:r>
        <w:rPr>
          <w:rFonts w:hint="eastAsia" w:ascii="宋体" w:hAnsi="宋体" w:cs="宋体"/>
          <w:color w:val="000000" w:themeColor="text1"/>
          <w:sz w:val="21"/>
          <w:szCs w:val="21"/>
          <w:highlight w:val="none"/>
          <w:lang w:eastAsia="zh-CN"/>
          <w14:textFill>
            <w14:solidFill>
              <w14:schemeClr w14:val="tx1"/>
            </w14:solidFill>
          </w14:textFill>
        </w:rPr>
        <w:t>0773-2267162</w:t>
      </w:r>
    </w:p>
    <w:p w14:paraId="218B8F52">
      <w:pPr>
        <w:keepNext w:val="0"/>
        <w:keepLines w:val="0"/>
        <w:pageBreakBefore w:val="0"/>
        <w:kinsoku/>
        <w:wordWrap/>
        <w:overflowPunct/>
        <w:topLinePunct w:val="0"/>
        <w:autoSpaceDE/>
        <w:autoSpaceDN/>
        <w:bidi w:val="0"/>
        <w:adjustRightInd/>
        <w:snapToGrid/>
        <w:spacing w:line="430" w:lineRule="exact"/>
        <w:ind w:firstLine="525" w:firstLineChars="250"/>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2.采购代理机构信息</w:t>
      </w:r>
      <w:bookmarkEnd w:id="33"/>
      <w:bookmarkEnd w:id="34"/>
    </w:p>
    <w:p w14:paraId="0205FB0F">
      <w:pPr>
        <w:keepNext w:val="0"/>
        <w:keepLines w:val="0"/>
        <w:pageBreakBefore w:val="0"/>
        <w:kinsoku/>
        <w:wordWrap/>
        <w:overflowPunct/>
        <w:topLinePunct w:val="0"/>
        <w:autoSpaceDE/>
        <w:autoSpaceDN/>
        <w:bidi w:val="0"/>
        <w:adjustRightInd/>
        <w:snapToGrid/>
        <w:spacing w:line="430" w:lineRule="exact"/>
        <w:ind w:firstLine="630" w:firstLineChars="300"/>
        <w:textAlignment w:val="auto"/>
        <w:outlineLvl w:val="9"/>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名  称：广西奥金斯项目管理有限公司　</w:t>
      </w:r>
    </w:p>
    <w:p w14:paraId="3A7D1FC1">
      <w:pPr>
        <w:keepNext w:val="0"/>
        <w:keepLines w:val="0"/>
        <w:pageBreakBefore w:val="0"/>
        <w:kinsoku/>
        <w:wordWrap/>
        <w:overflowPunct/>
        <w:topLinePunct w:val="0"/>
        <w:autoSpaceDE/>
        <w:autoSpaceDN/>
        <w:bidi w:val="0"/>
        <w:adjustRightInd/>
        <w:snapToGrid/>
        <w:spacing w:line="430" w:lineRule="exact"/>
        <w:ind w:firstLine="630" w:firstLineChars="300"/>
        <w:textAlignment w:val="auto"/>
        <w:outlineLvl w:val="9"/>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地　址：桂林市秀峰区翠竹路23号50-2号</w:t>
      </w:r>
    </w:p>
    <w:p w14:paraId="6D37F685">
      <w:pPr>
        <w:keepNext w:val="0"/>
        <w:keepLines w:val="0"/>
        <w:pageBreakBefore w:val="0"/>
        <w:kinsoku/>
        <w:wordWrap/>
        <w:overflowPunct/>
        <w:topLinePunct w:val="0"/>
        <w:autoSpaceDE/>
        <w:autoSpaceDN/>
        <w:bidi w:val="0"/>
        <w:adjustRightInd/>
        <w:snapToGrid/>
        <w:spacing w:line="430" w:lineRule="exact"/>
        <w:ind w:firstLine="630" w:firstLineChars="300"/>
        <w:textAlignment w:val="auto"/>
        <w:outlineLvl w:val="9"/>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联系方式：</w:t>
      </w:r>
      <w:bookmarkStart w:id="35" w:name="_Toc28359087"/>
      <w:bookmarkStart w:id="36" w:name="_Toc28359010"/>
      <w:r>
        <w:rPr>
          <w:rFonts w:hint="eastAsia" w:ascii="宋体" w:hAnsi="宋体" w:eastAsia="宋体" w:cs="宋体"/>
          <w:color w:val="000000" w:themeColor="text1"/>
          <w:sz w:val="21"/>
          <w:szCs w:val="21"/>
          <w:highlight w:val="none"/>
          <w:u w:val="none"/>
          <w14:textFill>
            <w14:solidFill>
              <w14:schemeClr w14:val="tx1"/>
            </w14:solidFill>
          </w14:textFill>
        </w:rPr>
        <w:t>0773-2690777</w:t>
      </w:r>
    </w:p>
    <w:p w14:paraId="16F94122">
      <w:pPr>
        <w:keepNext w:val="0"/>
        <w:keepLines w:val="0"/>
        <w:pageBreakBefore w:val="0"/>
        <w:kinsoku/>
        <w:wordWrap/>
        <w:overflowPunct/>
        <w:topLinePunct w:val="0"/>
        <w:autoSpaceDE/>
        <w:autoSpaceDN/>
        <w:bidi w:val="0"/>
        <w:adjustRightInd/>
        <w:snapToGrid/>
        <w:spacing w:line="430" w:lineRule="exact"/>
        <w:ind w:firstLine="630" w:firstLineChars="300"/>
        <w:textAlignment w:val="auto"/>
        <w:outlineLvl w:val="9"/>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3.项目联系方式</w:t>
      </w:r>
      <w:bookmarkEnd w:id="35"/>
      <w:bookmarkEnd w:id="36"/>
    </w:p>
    <w:p w14:paraId="73446FB8">
      <w:pPr>
        <w:keepNext w:val="0"/>
        <w:keepLines w:val="0"/>
        <w:pageBreakBefore w:val="0"/>
        <w:kinsoku/>
        <w:wordWrap/>
        <w:overflowPunct/>
        <w:topLinePunct w:val="0"/>
        <w:autoSpaceDE/>
        <w:autoSpaceDN/>
        <w:bidi w:val="0"/>
        <w:adjustRightInd/>
        <w:snapToGrid/>
        <w:spacing w:line="430" w:lineRule="exact"/>
        <w:ind w:firstLine="630" w:firstLineChars="300"/>
        <w:textAlignment w:val="auto"/>
        <w:outlineLvl w:val="9"/>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项目联系人：</w:t>
      </w:r>
      <w:r>
        <w:rPr>
          <w:rFonts w:hint="eastAsia" w:ascii="宋体" w:hAnsi="宋体" w:cs="宋体"/>
          <w:color w:val="000000" w:themeColor="text1"/>
          <w:sz w:val="21"/>
          <w:szCs w:val="21"/>
          <w:highlight w:val="none"/>
          <w:u w:val="none"/>
          <w:lang w:val="en-US" w:eastAsia="zh-CN"/>
          <w14:textFill>
            <w14:solidFill>
              <w14:schemeClr w14:val="tx1"/>
            </w14:solidFill>
          </w14:textFill>
        </w:rPr>
        <w:t>杨云龙</w:t>
      </w:r>
    </w:p>
    <w:p w14:paraId="318841E6">
      <w:pPr>
        <w:keepNext w:val="0"/>
        <w:keepLines w:val="0"/>
        <w:pageBreakBefore w:val="0"/>
        <w:kinsoku/>
        <w:wordWrap/>
        <w:overflowPunct/>
        <w:topLinePunct w:val="0"/>
        <w:autoSpaceDE/>
        <w:autoSpaceDN/>
        <w:bidi w:val="0"/>
        <w:adjustRightInd/>
        <w:snapToGrid/>
        <w:spacing w:line="430" w:lineRule="exact"/>
        <w:ind w:firstLine="630" w:firstLineChars="300"/>
        <w:textAlignment w:val="auto"/>
        <w:outlineLvl w:val="9"/>
        <w:rPr>
          <w:rFonts w:ascii="宋体" w:hAnsi="宋体" w:cs="宋体"/>
          <w:color w:val="000000" w:themeColor="text1"/>
          <w:sz w:val="32"/>
          <w:szCs w:val="32"/>
          <w:highlight w:val="none"/>
          <w14:textFill>
            <w14:solidFill>
              <w14:schemeClr w14:val="tx1"/>
            </w14:solidFill>
          </w14:textFill>
        </w:rPr>
      </w:pPr>
      <w:bookmarkStart w:id="37" w:name="_Toc29324"/>
      <w:r>
        <w:rPr>
          <w:rFonts w:hint="eastAsia" w:ascii="宋体" w:hAnsi="宋体" w:eastAsia="宋体" w:cs="宋体"/>
          <w:color w:val="000000" w:themeColor="text1"/>
          <w:sz w:val="21"/>
          <w:szCs w:val="21"/>
          <w:highlight w:val="none"/>
          <w:u w:val="none"/>
          <w14:textFill>
            <w14:solidFill>
              <w14:schemeClr w14:val="tx1"/>
            </w14:solidFill>
          </w14:textFill>
        </w:rPr>
        <w:t xml:space="preserve">电　话：0773-2690777       </w:t>
      </w:r>
      <w:r>
        <w:rPr>
          <w:rFonts w:hint="eastAsia" w:ascii="宋体" w:hAnsi="宋体" w:eastAsia="宋体" w:cs="宋体"/>
          <w:color w:val="000000" w:themeColor="text1"/>
          <w:sz w:val="21"/>
          <w:szCs w:val="21"/>
          <w:highlight w:val="none"/>
          <w:u w:val="none"/>
          <w14:textFill>
            <w14:solidFill>
              <w14:schemeClr w14:val="tx1"/>
            </w14:solidFill>
          </w14:textFill>
        </w:rPr>
        <w:br w:type="page"/>
      </w:r>
      <w:bookmarkStart w:id="38" w:name="_Toc6817"/>
      <w:bookmarkStart w:id="39" w:name="_Toc8888"/>
      <w:bookmarkStart w:id="40" w:name="_Toc12553"/>
      <w:bookmarkStart w:id="41" w:name="_Toc11477"/>
      <w:r>
        <w:rPr>
          <w:rFonts w:hint="eastAsia" w:ascii="宋体" w:hAnsi="宋体" w:cs="宋体"/>
          <w:color w:val="000000" w:themeColor="text1"/>
          <w:sz w:val="32"/>
          <w:szCs w:val="32"/>
          <w:highlight w:val="none"/>
          <w:lang w:val="en-US" w:eastAsia="zh-CN"/>
          <w14:textFill>
            <w14:solidFill>
              <w14:schemeClr w14:val="tx1"/>
            </w14:solidFill>
          </w14:textFill>
        </w:rPr>
        <w:t xml:space="preserve">                      </w:t>
      </w:r>
      <w:r>
        <w:rPr>
          <w:rFonts w:hint="eastAsia" w:ascii="宋体" w:hAnsi="宋体" w:cs="宋体"/>
          <w:b/>
          <w:bCs/>
          <w:color w:val="000000" w:themeColor="text1"/>
          <w:kern w:val="44"/>
          <w:sz w:val="32"/>
          <w:szCs w:val="32"/>
          <w:highlight w:val="none"/>
          <w14:textFill>
            <w14:solidFill>
              <w14:schemeClr w14:val="tx1"/>
            </w14:solidFill>
          </w14:textFill>
        </w:rPr>
        <w:t>第二章  投标人须知</w:t>
      </w:r>
      <w:bookmarkEnd w:id="37"/>
      <w:bookmarkEnd w:id="38"/>
      <w:bookmarkEnd w:id="39"/>
      <w:bookmarkEnd w:id="40"/>
      <w:bookmarkEnd w:id="41"/>
    </w:p>
    <w:p w14:paraId="5354DD9C">
      <w:pPr>
        <w:pageBreakBefore w:val="0"/>
        <w:tabs>
          <w:tab w:val="left" w:pos="1065"/>
          <w:tab w:val="center" w:pos="4411"/>
        </w:tabs>
        <w:kinsoku/>
        <w:wordWrap/>
        <w:overflowPunct/>
        <w:topLinePunct w:val="0"/>
        <w:bidi w:val="0"/>
        <w:spacing w:line="440" w:lineRule="exact"/>
        <w:jc w:val="center"/>
        <w:outlineLvl w:val="9"/>
        <w:rPr>
          <w:rFonts w:ascii="宋体" w:hAnsi="宋体" w:cs="宋体"/>
          <w:b/>
          <w:color w:val="000000" w:themeColor="text1"/>
          <w:sz w:val="24"/>
          <w:highlight w:val="none"/>
          <w14:textFill>
            <w14:solidFill>
              <w14:schemeClr w14:val="tx1"/>
            </w14:solidFill>
          </w14:textFill>
        </w:rPr>
      </w:pPr>
      <w:bookmarkStart w:id="42" w:name="_Toc495841753"/>
      <w:bookmarkStart w:id="43" w:name="_Toc14561"/>
      <w:bookmarkStart w:id="44" w:name="_Toc14222"/>
      <w:bookmarkStart w:id="45" w:name="_Toc26457"/>
      <w:bookmarkStart w:id="46" w:name="_Toc17978"/>
      <w:r>
        <w:rPr>
          <w:rFonts w:hint="eastAsia" w:ascii="宋体" w:hAnsi="宋体" w:cs="宋体"/>
          <w:b/>
          <w:color w:val="000000" w:themeColor="text1"/>
          <w:sz w:val="24"/>
          <w:highlight w:val="none"/>
          <w14:textFill>
            <w14:solidFill>
              <w14:schemeClr w14:val="tx1"/>
            </w14:solidFill>
          </w14:textFill>
        </w:rPr>
        <w:t>投标人须知前附表</w:t>
      </w:r>
      <w:bookmarkEnd w:id="42"/>
      <w:bookmarkEnd w:id="43"/>
      <w:bookmarkEnd w:id="44"/>
      <w:bookmarkEnd w:id="45"/>
      <w:bookmarkEnd w:id="46"/>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63"/>
        <w:gridCol w:w="1587"/>
        <w:gridCol w:w="7011"/>
      </w:tblGrid>
      <w:tr w14:paraId="2480B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trPr>
        <w:tc>
          <w:tcPr>
            <w:tcW w:w="456" w:type="dxa"/>
            <w:shd w:val="clear" w:color="auto" w:fill="8DB3E2"/>
            <w:vAlign w:val="center"/>
          </w:tcPr>
          <w:p w14:paraId="79C68754">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序号</w:t>
            </w:r>
          </w:p>
        </w:tc>
        <w:tc>
          <w:tcPr>
            <w:tcW w:w="863" w:type="dxa"/>
            <w:shd w:val="clear" w:color="auto" w:fill="8DB3E2"/>
            <w:vAlign w:val="center"/>
          </w:tcPr>
          <w:p w14:paraId="5042A3AA">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条款号</w:t>
            </w:r>
          </w:p>
        </w:tc>
        <w:tc>
          <w:tcPr>
            <w:tcW w:w="1587" w:type="dxa"/>
            <w:shd w:val="clear" w:color="auto" w:fill="8DB3E2"/>
            <w:vAlign w:val="center"/>
          </w:tcPr>
          <w:p w14:paraId="278D9E3B">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条款名称</w:t>
            </w:r>
          </w:p>
        </w:tc>
        <w:tc>
          <w:tcPr>
            <w:tcW w:w="7011" w:type="dxa"/>
            <w:shd w:val="clear" w:color="auto" w:fill="8DB3E2"/>
            <w:vAlign w:val="center"/>
          </w:tcPr>
          <w:p w14:paraId="7EFBFF5E">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内容、要求</w:t>
            </w:r>
          </w:p>
        </w:tc>
      </w:tr>
      <w:tr w14:paraId="2F432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786D8DC9">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863" w:type="dxa"/>
            <w:vAlign w:val="center"/>
          </w:tcPr>
          <w:p w14:paraId="1DE54F28">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587" w:type="dxa"/>
            <w:vAlign w:val="center"/>
          </w:tcPr>
          <w:p w14:paraId="011A842E">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项目名称及项目编号</w:t>
            </w:r>
          </w:p>
        </w:tc>
        <w:tc>
          <w:tcPr>
            <w:tcW w:w="7011" w:type="dxa"/>
            <w:vAlign w:val="center"/>
          </w:tcPr>
          <w:p w14:paraId="714D9999">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ascii="宋体" w:hAnsi="宋体" w:cs="宋体"/>
                <w:bCs/>
                <w:color w:val="000000" w:themeColor="text1"/>
                <w:sz w:val="21"/>
                <w:szCs w:val="21"/>
                <w:highlight w:val="none"/>
                <w:lang w:eastAsia="zh-CN"/>
                <w14:textFill>
                  <w14:solidFill>
                    <w14:schemeClr w14:val="tx1"/>
                  </w14:solidFill>
                </w14:textFill>
              </w:rPr>
              <w:t>检验检测设备维护保养服务</w:t>
            </w:r>
          </w:p>
          <w:p w14:paraId="490A67F6">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项目编号：</w:t>
            </w:r>
            <w:r>
              <w:rPr>
                <w:rFonts w:hint="eastAsia" w:ascii="宋体" w:hAnsi="宋体" w:cs="宋体"/>
                <w:color w:val="000000" w:themeColor="text1"/>
                <w:sz w:val="21"/>
                <w:szCs w:val="21"/>
                <w:highlight w:val="none"/>
                <w:lang w:eastAsia="zh-CN"/>
                <w14:textFill>
                  <w14:solidFill>
                    <w14:schemeClr w14:val="tx1"/>
                  </w14:solidFill>
                </w14:textFill>
              </w:rPr>
              <w:t>GLZC2025-G3-990413-GXAJ</w:t>
            </w:r>
          </w:p>
        </w:tc>
      </w:tr>
      <w:tr w14:paraId="06B60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7" w:hRule="atLeast"/>
        </w:trPr>
        <w:tc>
          <w:tcPr>
            <w:tcW w:w="456" w:type="dxa"/>
            <w:vAlign w:val="center"/>
          </w:tcPr>
          <w:p w14:paraId="3DE018CA">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863" w:type="dxa"/>
            <w:vAlign w:val="center"/>
          </w:tcPr>
          <w:p w14:paraId="5923C5FD">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1587" w:type="dxa"/>
            <w:vAlign w:val="center"/>
          </w:tcPr>
          <w:p w14:paraId="4C6F5520">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投标人资格</w:t>
            </w:r>
          </w:p>
        </w:tc>
        <w:tc>
          <w:tcPr>
            <w:tcW w:w="7011" w:type="dxa"/>
            <w:vAlign w:val="center"/>
          </w:tcPr>
          <w:p w14:paraId="66217AC6">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5.1满足《中华人民共和国政府采购法》第二十二条规定。</w:t>
            </w:r>
          </w:p>
          <w:p w14:paraId="2D6FE914">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5.2 本项目</w:t>
            </w:r>
            <w:r>
              <w:rPr>
                <w:rFonts w:hint="eastAsia" w:ascii="宋体" w:hAnsi="宋体" w:cs="宋体"/>
                <w:color w:val="000000" w:themeColor="text1"/>
                <w:sz w:val="21"/>
                <w:szCs w:val="21"/>
                <w:highlight w:val="none"/>
                <w:lang w:val="en-US" w:eastAsia="zh-CN"/>
                <w14:textFill>
                  <w14:solidFill>
                    <w14:schemeClr w14:val="tx1"/>
                  </w14:solidFill>
                </w14:textFill>
              </w:rPr>
              <w:t>否</w:t>
            </w:r>
            <w:r>
              <w:rPr>
                <w:rFonts w:hint="eastAsia" w:ascii="宋体" w:hAnsi="宋体" w:eastAsia="宋体" w:cs="宋体"/>
                <w:color w:val="000000" w:themeColor="text1"/>
                <w:sz w:val="21"/>
                <w:szCs w:val="21"/>
                <w:highlight w:val="none"/>
                <w14:textFill>
                  <w14:solidFill>
                    <w14:schemeClr w14:val="tx1"/>
                  </w14:solidFill>
                </w14:textFill>
              </w:rPr>
              <w:t>接受联合体投标。</w:t>
            </w:r>
          </w:p>
          <w:p w14:paraId="394D745D">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5.3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w:t>
            </w:r>
          </w:p>
          <w:p w14:paraId="6B75F44A">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5.4落实政府采购政策需满足的资格要求：</w:t>
            </w:r>
            <w:r>
              <w:rPr>
                <w:rFonts w:hint="eastAsia" w:ascii="宋体" w:hAnsi="宋体" w:cs="宋体"/>
                <w:bCs/>
                <w:color w:val="000000" w:themeColor="text1"/>
                <w:sz w:val="21"/>
                <w:szCs w:val="21"/>
                <w14:textFill>
                  <w14:solidFill>
                    <w14:schemeClr w14:val="tx1"/>
                  </w14:solidFill>
                </w14:textFill>
              </w:rPr>
              <w:t>本项目专门面向中小企业采购</w:t>
            </w:r>
            <w:r>
              <w:rPr>
                <w:rFonts w:hint="eastAsia"/>
                <w:bCs/>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根据财政部、司法部关于政府采购支持监狱企业发展有关问题的通</w:t>
            </w:r>
            <w:r>
              <w:rPr>
                <w:rFonts w:hint="eastAsia" w:ascii="宋体" w:hAnsi="宋体" w:cs="宋体"/>
                <w:color w:val="000000" w:themeColor="text1"/>
                <w:sz w:val="21"/>
                <w:szCs w:val="21"/>
                <w14:textFill>
                  <w14:solidFill>
                    <w14:schemeClr w14:val="tx1"/>
                  </w14:solidFill>
                </w14:textFill>
              </w:rPr>
              <w:t>知（财库〔2014〕68号）及《关于促进残疾人就业政府采购政策的通知》（财库〔2017〕141号）的规定，监狱企业、残疾人福利单位视同小型、微型企业</w:t>
            </w:r>
            <w:r>
              <w:rPr>
                <w:rFonts w:hint="eastAsia" w:ascii="宋体" w:hAnsi="宋体" w:eastAsia="宋体" w:cs="宋体"/>
                <w:color w:val="000000" w:themeColor="text1"/>
                <w:sz w:val="21"/>
                <w:szCs w:val="21"/>
                <w:highlight w:val="none"/>
                <w14:textFill>
                  <w14:solidFill>
                    <w14:schemeClr w14:val="tx1"/>
                  </w14:solidFill>
                </w14:textFill>
              </w:rPr>
              <w:t>。</w:t>
            </w:r>
          </w:p>
          <w:p w14:paraId="2729B94A">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5.5本项目的特定资格要求：无。</w:t>
            </w:r>
          </w:p>
        </w:tc>
      </w:tr>
      <w:tr w14:paraId="5FCA6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56" w:type="dxa"/>
            <w:vAlign w:val="center"/>
          </w:tcPr>
          <w:p w14:paraId="118AA1A5">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863" w:type="dxa"/>
            <w:vAlign w:val="center"/>
          </w:tcPr>
          <w:p w14:paraId="0E67F80F">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1587" w:type="dxa"/>
            <w:vAlign w:val="center"/>
          </w:tcPr>
          <w:p w14:paraId="45A40501">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position w:val="-2"/>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投标费用</w:t>
            </w:r>
          </w:p>
        </w:tc>
        <w:tc>
          <w:tcPr>
            <w:tcW w:w="7011" w:type="dxa"/>
            <w:vAlign w:val="center"/>
          </w:tcPr>
          <w:p w14:paraId="4060E1FD">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不论投标结果如何，投标人均应自行承担所有与投标有关的全部费用。</w:t>
            </w:r>
          </w:p>
        </w:tc>
      </w:tr>
      <w:tr w14:paraId="0C6E1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73B4DA35">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863" w:type="dxa"/>
            <w:vAlign w:val="center"/>
          </w:tcPr>
          <w:p w14:paraId="7C241F08">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position w:val="-2"/>
                <w:sz w:val="21"/>
                <w:szCs w:val="21"/>
                <w:highlight w:val="none"/>
                <w14:textFill>
                  <w14:solidFill>
                    <w14:schemeClr w14:val="tx1"/>
                  </w14:solidFill>
                </w14:textFill>
              </w:rPr>
            </w:pPr>
            <w:r>
              <w:rPr>
                <w:rFonts w:hint="eastAsia" w:ascii="宋体" w:hAnsi="宋体" w:eastAsia="宋体" w:cs="宋体"/>
                <w:color w:val="000000" w:themeColor="text1"/>
                <w:position w:val="-2"/>
                <w:sz w:val="21"/>
                <w:szCs w:val="21"/>
                <w:highlight w:val="none"/>
                <w14:textFill>
                  <w14:solidFill>
                    <w14:schemeClr w14:val="tx1"/>
                  </w14:solidFill>
                </w14:textFill>
              </w:rPr>
              <w:t>15</w:t>
            </w:r>
          </w:p>
        </w:tc>
        <w:tc>
          <w:tcPr>
            <w:tcW w:w="1587" w:type="dxa"/>
            <w:vAlign w:val="center"/>
          </w:tcPr>
          <w:p w14:paraId="10C778CF">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采购预算金额及投标报价</w:t>
            </w:r>
          </w:p>
        </w:tc>
        <w:tc>
          <w:tcPr>
            <w:tcW w:w="7011" w:type="dxa"/>
            <w:vAlign w:val="center"/>
          </w:tcPr>
          <w:p w14:paraId="4F725D43">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15.1投标报价应按招标文件中第六章“投标文件（格式）”填写，</w:t>
            </w:r>
            <w:r>
              <w:rPr>
                <w:rFonts w:hint="eastAsia" w:ascii="宋体" w:hAnsi="宋体" w:eastAsia="宋体" w:cs="宋体"/>
                <w:b/>
                <w:color w:val="000000" w:themeColor="text1"/>
                <w:sz w:val="21"/>
                <w:szCs w:val="21"/>
                <w:highlight w:val="none"/>
                <w14:textFill>
                  <w14:solidFill>
                    <w14:schemeClr w14:val="tx1"/>
                  </w14:solidFill>
                </w14:textFill>
              </w:rPr>
              <w:t>本项目采购预算金额（人民币）：</w:t>
            </w:r>
            <w:r>
              <w:rPr>
                <w:rFonts w:hint="eastAsia" w:ascii="宋体" w:hAnsi="宋体" w:eastAsia="宋体" w:cs="宋体"/>
                <w:b/>
                <w:color w:val="000000" w:themeColor="text1"/>
                <w:sz w:val="21"/>
                <w:szCs w:val="21"/>
                <w:highlight w:val="none"/>
                <w:lang w:eastAsia="zh-CN"/>
                <w14:textFill>
                  <w14:solidFill>
                    <w14:schemeClr w14:val="tx1"/>
                  </w14:solidFill>
                </w14:textFill>
              </w:rPr>
              <w:t>2000000</w:t>
            </w:r>
            <w:r>
              <w:rPr>
                <w:rFonts w:hint="eastAsia" w:ascii="宋体" w:hAnsi="宋体" w:eastAsia="宋体" w:cs="宋体"/>
                <w:b/>
                <w:color w:val="000000" w:themeColor="text1"/>
                <w:sz w:val="21"/>
                <w:szCs w:val="21"/>
                <w:highlight w:val="none"/>
                <w14:textFill>
                  <w14:solidFill>
                    <w14:schemeClr w14:val="tx1"/>
                  </w14:solidFill>
                </w14:textFill>
              </w:rPr>
              <w:t>.00元，</w:t>
            </w:r>
            <w:r>
              <w:rPr>
                <w:rFonts w:hint="eastAsia" w:ascii="宋体" w:hAnsi="宋体" w:eastAsia="宋体" w:cs="宋体"/>
                <w:b/>
                <w:bCs/>
                <w:color w:val="000000" w:themeColor="text1"/>
                <w:sz w:val="21"/>
                <w:szCs w:val="21"/>
                <w:highlight w:val="none"/>
                <w14:textFill>
                  <w14:solidFill>
                    <w14:schemeClr w14:val="tx1"/>
                  </w14:solidFill>
                </w14:textFill>
              </w:rPr>
              <w:t>投标报价超过采购预算金额的，投标文件作无效处理。</w:t>
            </w:r>
          </w:p>
          <w:p w14:paraId="7170B8CA">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15.2投标人必须就所投标项“服务采购需求”中内容作完整唯一报价，否则，其投标将被拒绝；投标文件只允许有一个报价，有选择的或有条件的报价将不予接受。</w:t>
            </w:r>
          </w:p>
        </w:tc>
      </w:tr>
      <w:tr w14:paraId="79A3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56" w:type="dxa"/>
            <w:vAlign w:val="center"/>
          </w:tcPr>
          <w:p w14:paraId="771B991E">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863" w:type="dxa"/>
            <w:vAlign w:val="center"/>
          </w:tcPr>
          <w:p w14:paraId="78CDFCCB">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16.1</w:t>
            </w:r>
          </w:p>
        </w:tc>
        <w:tc>
          <w:tcPr>
            <w:tcW w:w="1587" w:type="dxa"/>
            <w:vAlign w:val="center"/>
          </w:tcPr>
          <w:p w14:paraId="11680357">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投标有效期</w:t>
            </w:r>
          </w:p>
        </w:tc>
        <w:tc>
          <w:tcPr>
            <w:tcW w:w="7011" w:type="dxa"/>
            <w:vAlign w:val="center"/>
          </w:tcPr>
          <w:p w14:paraId="5E54E35D">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投标截止时间之日起90天。</w:t>
            </w:r>
          </w:p>
        </w:tc>
      </w:tr>
      <w:tr w14:paraId="512B3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0BC9F410">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863" w:type="dxa"/>
            <w:vAlign w:val="center"/>
          </w:tcPr>
          <w:p w14:paraId="5DA4B173">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w:t>
            </w:r>
          </w:p>
        </w:tc>
        <w:tc>
          <w:tcPr>
            <w:tcW w:w="1587" w:type="dxa"/>
            <w:vAlign w:val="center"/>
          </w:tcPr>
          <w:p w14:paraId="123865FE">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投标保证金</w:t>
            </w:r>
          </w:p>
        </w:tc>
        <w:tc>
          <w:tcPr>
            <w:tcW w:w="7011" w:type="dxa"/>
          </w:tcPr>
          <w:p w14:paraId="18AD7341">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本项目无需缴纳投标保证金</w:t>
            </w:r>
            <w:r>
              <w:rPr>
                <w:rFonts w:hint="eastAsia" w:ascii="宋体" w:hAnsi="宋体" w:eastAsia="宋体" w:cs="宋体"/>
                <w:color w:val="000000" w:themeColor="text1"/>
                <w:sz w:val="21"/>
                <w:szCs w:val="21"/>
                <w:highlight w:val="none"/>
                <w14:textFill>
                  <w14:solidFill>
                    <w14:schemeClr w14:val="tx1"/>
                  </w14:solidFill>
                </w14:textFill>
              </w:rPr>
              <w:t>。</w:t>
            </w:r>
          </w:p>
        </w:tc>
      </w:tr>
      <w:tr w14:paraId="128C6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02F6B1D1">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863" w:type="dxa"/>
            <w:vAlign w:val="center"/>
          </w:tcPr>
          <w:p w14:paraId="4D103F4B">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position w:val="1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w:t>
            </w:r>
          </w:p>
        </w:tc>
        <w:tc>
          <w:tcPr>
            <w:tcW w:w="1587" w:type="dxa"/>
            <w:vAlign w:val="center"/>
          </w:tcPr>
          <w:p w14:paraId="03590C13">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position w:val="10"/>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投标文件的</w:t>
            </w:r>
            <w:r>
              <w:rPr>
                <w:rFonts w:hint="eastAsia" w:ascii="宋体" w:hAnsi="宋体" w:eastAsia="宋体" w:cs="宋体"/>
                <w:color w:val="000000" w:themeColor="text1"/>
                <w:sz w:val="21"/>
                <w:szCs w:val="21"/>
                <w:highlight w:val="none"/>
                <w:lang w:val="en-US" w:eastAsia="zh-CN"/>
                <w14:textFill>
                  <w14:solidFill>
                    <w14:schemeClr w14:val="tx1"/>
                  </w14:solidFill>
                </w14:textFill>
              </w:rPr>
              <w:t>签章</w:t>
            </w:r>
          </w:p>
        </w:tc>
        <w:tc>
          <w:tcPr>
            <w:tcW w:w="7011" w:type="dxa"/>
            <w:vAlign w:val="center"/>
          </w:tcPr>
          <w:p w14:paraId="0A30E7A2">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18.1 电子投标文件中须加盖供应商公章部分均采用 CA 签章，并根据“政府采购项目电子交易管理操作指南-供应商” 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漏读，或者在按招标文件规定的部位查找不到相关内容的，由供应商自行承担。</w:t>
            </w:r>
          </w:p>
          <w:p w14:paraId="1132E435">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18.2 CA 签章上目前没有法人（负责人）或授权代表签字信息，供应商在投标文件中涉及到签字的位置线下签好字然后扫描或者拍照做成 PDF 的格式即可。 </w:t>
            </w:r>
          </w:p>
          <w:p w14:paraId="68697B20">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18.3 投标文件不得涂改，若有修改错漏处，须法定代表人（负责人）或授权委托人签字。投标文件因字迹潦草或表达不清所引起的后果由供应商负责。</w:t>
            </w:r>
          </w:p>
          <w:p w14:paraId="31A56B78">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18.4评审前准备 </w:t>
            </w:r>
          </w:p>
          <w:p w14:paraId="3218A333">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18.4.1本项目实行网上评审，采用电子投标文件。若供应商参与投标，自行承担投标一切费用。 </w:t>
            </w:r>
          </w:p>
          <w:p w14:paraId="7639B5BD">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18.4.2各供应商在截标前应确保成为广西政府采购云平台正式注册入库供应商，并完成 CA 数字证书申领。因未注册入库、未办理 CA 数字证书等原因造成无法投标或投标失败等后果由供应商自行承担。 </w:t>
            </w:r>
          </w:p>
          <w:p w14:paraId="1EFE082D">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18.4.3供应商将广西政府采购云电子交易客户端下载、安装完成后，可通过账号密码或 CA 登录客户端进行投标文件制作。客户端请至网站下载专区查看，如有问题可拨打政采云客户服务热线 95763 进行咨询。</w:t>
            </w:r>
          </w:p>
        </w:tc>
      </w:tr>
      <w:tr w14:paraId="5858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FF9A752">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863" w:type="dxa"/>
            <w:vAlign w:val="center"/>
          </w:tcPr>
          <w:p w14:paraId="1794D12E">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19.1</w:t>
            </w:r>
          </w:p>
        </w:tc>
        <w:tc>
          <w:tcPr>
            <w:tcW w:w="1587" w:type="dxa"/>
            <w:vAlign w:val="center"/>
          </w:tcPr>
          <w:p w14:paraId="432983C3">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投标文件的补充、修改和撤回</w:t>
            </w:r>
          </w:p>
        </w:tc>
        <w:tc>
          <w:tcPr>
            <w:tcW w:w="7011" w:type="dxa"/>
            <w:vAlign w:val="center"/>
          </w:tcPr>
          <w:p w14:paraId="2AB0B691">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19.1 投标文件递交截止时间前可以撤回电子投标文件。补充或者修改电子投标文件的，应当先行撤回原文件，补充、修改后重新传输递交，投标文件递交截止时间前未完成传输的，视为撤回投标文件。</w:t>
            </w:r>
          </w:p>
        </w:tc>
      </w:tr>
      <w:tr w14:paraId="62481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5DF061AF">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863" w:type="dxa"/>
            <w:vAlign w:val="center"/>
          </w:tcPr>
          <w:p w14:paraId="69E05EDF">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20.1</w:t>
            </w:r>
          </w:p>
        </w:tc>
        <w:tc>
          <w:tcPr>
            <w:tcW w:w="1587" w:type="dxa"/>
            <w:vAlign w:val="center"/>
          </w:tcPr>
          <w:p w14:paraId="5FA48B38">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投标文件递交</w:t>
            </w:r>
          </w:p>
        </w:tc>
        <w:tc>
          <w:tcPr>
            <w:tcW w:w="7011" w:type="dxa"/>
            <w:vAlign w:val="center"/>
          </w:tcPr>
          <w:p w14:paraId="467DC700">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20.1投标文件递交截止时间：于</w:t>
            </w:r>
            <w:r>
              <w:rPr>
                <w:rFonts w:hint="eastAsia" w:ascii="宋体" w:hAnsi="宋体" w:cs="宋体"/>
                <w:color w:val="000000" w:themeColor="text1"/>
                <w:sz w:val="21"/>
                <w:szCs w:val="21"/>
                <w:highlight w:val="none"/>
                <w:u w:val="single"/>
                <w:lang w:eastAsia="zh-CN"/>
                <w14:textFill>
                  <w14:solidFill>
                    <w14:schemeClr w14:val="tx1"/>
                  </w14:solidFill>
                </w14:textFill>
              </w:rPr>
              <w:t>2025年9月26日</w:t>
            </w:r>
            <w:r>
              <w:rPr>
                <w:rFonts w:hint="eastAsia" w:ascii="宋体" w:hAnsi="宋体" w:eastAsia="宋体" w:cs="宋体"/>
                <w:color w:val="000000" w:themeColor="text1"/>
                <w:sz w:val="21"/>
                <w:szCs w:val="21"/>
                <w:highlight w:val="none"/>
                <w:u w:val="single"/>
                <w14:textFill>
                  <w14:solidFill>
                    <w14:schemeClr w14:val="tx1"/>
                  </w14:solidFill>
                </w14:textFill>
              </w:rPr>
              <w:t>9时30分</w:t>
            </w:r>
            <w:r>
              <w:rPr>
                <w:rFonts w:hint="eastAsia" w:ascii="宋体" w:hAnsi="宋体" w:eastAsia="宋体" w:cs="宋体"/>
                <w:color w:val="000000" w:themeColor="text1"/>
                <w:sz w:val="21"/>
                <w:szCs w:val="21"/>
                <w:highlight w:val="none"/>
                <w14:textFill>
                  <w14:solidFill>
                    <w14:schemeClr w14:val="tx1"/>
                  </w14:solidFill>
                </w14:textFill>
              </w:rPr>
              <w:t>整之前将电子投标文件上传到广西政府采购云平台。应按照本项目招标文件和广西政府采购云平台的要求编制、加密传输投标文件。供应商在使用系统进行投标的过程中遇到涉及平台使用的任何问题，可致电政采云平台技术支持热线咨询，联系方式：95763。</w:t>
            </w:r>
          </w:p>
        </w:tc>
      </w:tr>
      <w:tr w14:paraId="744C7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0252F975">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863" w:type="dxa"/>
            <w:vAlign w:val="center"/>
          </w:tcPr>
          <w:p w14:paraId="4438B015">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20.2</w:t>
            </w:r>
          </w:p>
        </w:tc>
        <w:tc>
          <w:tcPr>
            <w:tcW w:w="1587" w:type="dxa"/>
            <w:vAlign w:val="center"/>
          </w:tcPr>
          <w:p w14:paraId="4DC7E069">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投标文件解密</w:t>
            </w:r>
          </w:p>
        </w:tc>
        <w:tc>
          <w:tcPr>
            <w:tcW w:w="7011" w:type="dxa"/>
            <w:vAlign w:val="center"/>
          </w:tcPr>
          <w:p w14:paraId="07F8F144">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20.2投标文件解密时间：截标时间后</w:t>
            </w:r>
            <w:r>
              <w:rPr>
                <w:rFonts w:hint="eastAsia" w:ascii="宋体" w:hAnsi="宋体" w:eastAsia="宋体" w:cs="宋体"/>
                <w:color w:val="000000" w:themeColor="text1"/>
                <w:sz w:val="21"/>
                <w:szCs w:val="21"/>
                <w:highlight w:val="none"/>
                <w:u w:val="single"/>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分钟内（</w:t>
            </w:r>
            <w:r>
              <w:rPr>
                <w:rFonts w:hint="eastAsia" w:ascii="宋体" w:hAnsi="宋体" w:cs="宋体"/>
                <w:color w:val="000000" w:themeColor="text1"/>
                <w:sz w:val="21"/>
                <w:szCs w:val="21"/>
                <w:highlight w:val="none"/>
                <w:u w:val="single"/>
                <w:lang w:eastAsia="zh-CN"/>
                <w14:textFill>
                  <w14:solidFill>
                    <w14:schemeClr w14:val="tx1"/>
                  </w14:solidFill>
                </w14:textFill>
              </w:rPr>
              <w:t>2025年9月26日</w:t>
            </w:r>
            <w:r>
              <w:rPr>
                <w:rFonts w:hint="eastAsia" w:ascii="宋体" w:hAnsi="宋体" w:eastAsia="宋体" w:cs="宋体"/>
                <w:color w:val="000000" w:themeColor="text1"/>
                <w:sz w:val="21"/>
                <w:szCs w:val="21"/>
                <w:highlight w:val="none"/>
                <w:u w:val="single"/>
                <w14:textFill>
                  <w14:solidFill>
                    <w14:schemeClr w14:val="tx1"/>
                  </w14:solidFill>
                </w14:textFill>
              </w:rPr>
              <w:t>9时30分至10时00分</w:t>
            </w:r>
            <w:r>
              <w:rPr>
                <w:rFonts w:hint="eastAsia" w:ascii="宋体" w:hAnsi="宋体" w:eastAsia="宋体" w:cs="宋体"/>
                <w:color w:val="000000" w:themeColor="text1"/>
                <w:sz w:val="21"/>
                <w:szCs w:val="21"/>
                <w:highlight w:val="none"/>
                <w14:textFill>
                  <w14:solidFill>
                    <w14:schemeClr w14:val="tx1"/>
                  </w14:solidFill>
                </w14:textFill>
              </w:rPr>
              <w:t>)投标人可以登录广西政府采购云平台，用“项目采购-开标评标”功能进行解密投标文件。若投标人在规定时间内无法解密或解密失败，可以以电子备份投标文件作为依据</w:t>
            </w:r>
            <w:r>
              <w:rPr>
                <w:rFonts w:hint="eastAsia" w:ascii="宋体" w:hAnsi="宋体" w:eastAsia="宋体" w:cs="宋体"/>
                <w:b/>
                <w:bCs/>
                <w:color w:val="000000" w:themeColor="text1"/>
                <w:sz w:val="21"/>
                <w:szCs w:val="21"/>
                <w:highlight w:val="none"/>
                <w14:textFill>
                  <w14:solidFill>
                    <w14:schemeClr w14:val="tx1"/>
                  </w14:solidFill>
                </w14:textFill>
              </w:rPr>
              <w:t>【在接到无法解密或解密失败的通知后，投标人可根据自身实际情况按通知时要求的时间到桂林市公共资源交易中心现场提交或以电子邮件的形式（以通知时所告知的电子邮箱地址为准）提交电子备份投标文件】</w:t>
            </w:r>
            <w:r>
              <w:rPr>
                <w:rFonts w:hint="eastAsia" w:ascii="宋体" w:hAnsi="宋体" w:eastAsia="宋体" w:cs="宋体"/>
                <w:color w:val="000000" w:themeColor="text1"/>
                <w:sz w:val="21"/>
                <w:szCs w:val="21"/>
                <w:highlight w:val="none"/>
                <w14:textFill>
                  <w14:solidFill>
                    <w14:schemeClr w14:val="tx1"/>
                  </w14:solidFill>
                </w14:textFill>
              </w:rPr>
              <w:t>，若投标人在规定时间内无法解密或解密失败且未提供电子备份投标文件的(包含提供的电子备份文件无效或无法解密的情况)，视为投标无效。</w:t>
            </w:r>
          </w:p>
        </w:tc>
      </w:tr>
      <w:tr w14:paraId="13692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3598AC9F">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p>
        </w:tc>
        <w:tc>
          <w:tcPr>
            <w:tcW w:w="863" w:type="dxa"/>
            <w:vAlign w:val="center"/>
          </w:tcPr>
          <w:p w14:paraId="3D232CE6">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position w:val="-2"/>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21.1</w:t>
            </w:r>
          </w:p>
        </w:tc>
        <w:tc>
          <w:tcPr>
            <w:tcW w:w="1587" w:type="dxa"/>
            <w:vAlign w:val="center"/>
          </w:tcPr>
          <w:p w14:paraId="097E44EE">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position w:val="-2"/>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开标时间及地点</w:t>
            </w:r>
          </w:p>
        </w:tc>
        <w:tc>
          <w:tcPr>
            <w:tcW w:w="7011" w:type="dxa"/>
          </w:tcPr>
          <w:p w14:paraId="4C271BFA">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开标时间：</w:t>
            </w:r>
            <w:r>
              <w:rPr>
                <w:rFonts w:hint="eastAsia" w:ascii="宋体" w:hAnsi="宋体" w:cs="宋体"/>
                <w:color w:val="000000" w:themeColor="text1"/>
                <w:sz w:val="21"/>
                <w:szCs w:val="21"/>
                <w:highlight w:val="none"/>
                <w:u w:val="single"/>
                <w:lang w:eastAsia="zh-CN"/>
                <w14:textFill>
                  <w14:solidFill>
                    <w14:schemeClr w14:val="tx1"/>
                  </w14:solidFill>
                </w14:textFill>
              </w:rPr>
              <w:t>2025年9月26日</w:t>
            </w:r>
            <w:r>
              <w:rPr>
                <w:rFonts w:hint="eastAsia" w:ascii="宋体" w:hAnsi="宋体" w:eastAsia="宋体" w:cs="宋体"/>
                <w:color w:val="000000" w:themeColor="text1"/>
                <w:sz w:val="21"/>
                <w:szCs w:val="21"/>
                <w:highlight w:val="none"/>
                <w:u w:val="single"/>
                <w14:textFill>
                  <w14:solidFill>
                    <w14:schemeClr w14:val="tx1"/>
                  </w14:solidFill>
                </w14:textFill>
              </w:rPr>
              <w:t>9时30分</w:t>
            </w:r>
            <w:r>
              <w:rPr>
                <w:rFonts w:hint="eastAsia" w:ascii="宋体" w:hAnsi="宋体" w:eastAsia="宋体" w:cs="宋体"/>
                <w:color w:val="000000" w:themeColor="text1"/>
                <w:sz w:val="21"/>
                <w:szCs w:val="21"/>
                <w:highlight w:val="none"/>
                <w14:textFill>
                  <w14:solidFill>
                    <w14:schemeClr w14:val="tx1"/>
                  </w14:solidFill>
                </w14:textFill>
              </w:rPr>
              <w:t>（北京时间）截标后。地点：通过广西政府采购云平台实行在线解密开启。投标人可以由法定代表人、负责人、自然人或其委托代理人出席开标会议。</w:t>
            </w:r>
          </w:p>
        </w:tc>
      </w:tr>
      <w:tr w14:paraId="58C3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456" w:type="dxa"/>
            <w:vAlign w:val="center"/>
          </w:tcPr>
          <w:p w14:paraId="43AB3FA9">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w:t>
            </w:r>
          </w:p>
        </w:tc>
        <w:tc>
          <w:tcPr>
            <w:tcW w:w="863" w:type="dxa"/>
            <w:vAlign w:val="center"/>
          </w:tcPr>
          <w:p w14:paraId="1BB61076">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w:t>
            </w:r>
          </w:p>
        </w:tc>
        <w:tc>
          <w:tcPr>
            <w:tcW w:w="1587" w:type="dxa"/>
            <w:vAlign w:val="center"/>
          </w:tcPr>
          <w:p w14:paraId="32A23F15">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评标委员会组成</w:t>
            </w:r>
          </w:p>
        </w:tc>
        <w:tc>
          <w:tcPr>
            <w:tcW w:w="7011" w:type="dxa"/>
            <w:vAlign w:val="center"/>
          </w:tcPr>
          <w:p w14:paraId="155AD5A8">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评标委员会由采购人代表和有关技术、经济等方面的专家组成，成员人数共5人，其中采购人代表1人，技术、经济等专家 4人。</w:t>
            </w:r>
          </w:p>
        </w:tc>
      </w:tr>
      <w:tr w14:paraId="2B30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56" w:type="dxa"/>
            <w:vAlign w:val="center"/>
          </w:tcPr>
          <w:p w14:paraId="59E239CA">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w:t>
            </w:r>
          </w:p>
        </w:tc>
        <w:tc>
          <w:tcPr>
            <w:tcW w:w="863" w:type="dxa"/>
            <w:vAlign w:val="center"/>
          </w:tcPr>
          <w:p w14:paraId="56CFD545">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25.1</w:t>
            </w:r>
          </w:p>
        </w:tc>
        <w:tc>
          <w:tcPr>
            <w:tcW w:w="1587" w:type="dxa"/>
            <w:vAlign w:val="center"/>
          </w:tcPr>
          <w:p w14:paraId="7E359E91">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评标办法</w:t>
            </w:r>
          </w:p>
        </w:tc>
        <w:tc>
          <w:tcPr>
            <w:tcW w:w="7011" w:type="dxa"/>
            <w:vAlign w:val="center"/>
          </w:tcPr>
          <w:p w14:paraId="6A110D18">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综合评分法，具体评标内容及标准详见第四章。</w:t>
            </w:r>
          </w:p>
        </w:tc>
      </w:tr>
      <w:tr w14:paraId="01AA3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56" w:type="dxa"/>
            <w:vAlign w:val="center"/>
          </w:tcPr>
          <w:p w14:paraId="76D22744">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w:t>
            </w:r>
          </w:p>
        </w:tc>
        <w:tc>
          <w:tcPr>
            <w:tcW w:w="863" w:type="dxa"/>
            <w:vAlign w:val="center"/>
          </w:tcPr>
          <w:p w14:paraId="77395C5A">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w:t>
            </w:r>
          </w:p>
        </w:tc>
        <w:tc>
          <w:tcPr>
            <w:tcW w:w="1587" w:type="dxa"/>
            <w:vAlign w:val="center"/>
          </w:tcPr>
          <w:p w14:paraId="6E98E440">
            <w:pPr>
              <w:keepNext w:val="0"/>
              <w:keepLines w:val="0"/>
              <w:pageBreakBefore w:val="0"/>
              <w:widowControl w:val="0"/>
              <w:tabs>
                <w:tab w:val="left" w:pos="1140"/>
              </w:tabs>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信用查询</w:t>
            </w:r>
          </w:p>
        </w:tc>
        <w:tc>
          <w:tcPr>
            <w:tcW w:w="7011" w:type="dxa"/>
            <w:vAlign w:val="center"/>
          </w:tcPr>
          <w:p w14:paraId="7A795951">
            <w:pPr>
              <w:keepNext w:val="0"/>
              <w:keepLines w:val="0"/>
              <w:pageBreakBefore w:val="0"/>
              <w:widowControl w:val="0"/>
              <w:kinsoku/>
              <w:wordWrap/>
              <w:overflowPunct/>
              <w:topLinePunct w:val="0"/>
              <w:autoSpaceDE w:val="0"/>
              <w:autoSpaceDN w:val="0"/>
              <w:bidi w:val="0"/>
              <w:adjustRightInd/>
              <w:snapToGrid w:val="0"/>
              <w:spacing w:line="440" w:lineRule="exact"/>
              <w:textAlignment w:val="bottom"/>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根据《关于做好政府采购有关信用主体标识码登记及在政府采购活动中查询使用信用记录有关问题的通知》桂财采〔2016〕37号的通知，由采购代理机构对第一中标候选供应商进行信用查询：</w:t>
            </w:r>
          </w:p>
          <w:p w14:paraId="1C647230">
            <w:pPr>
              <w:keepNext w:val="0"/>
              <w:keepLines w:val="0"/>
              <w:pageBreakBefore w:val="0"/>
              <w:widowControl w:val="0"/>
              <w:kinsoku/>
              <w:wordWrap/>
              <w:overflowPunct/>
              <w:topLinePunct w:val="0"/>
              <w:autoSpaceDE w:val="0"/>
              <w:autoSpaceDN w:val="0"/>
              <w:bidi w:val="0"/>
              <w:adjustRightInd/>
              <w:snapToGrid w:val="0"/>
              <w:spacing w:line="440" w:lineRule="exact"/>
              <w:textAlignment w:val="bottom"/>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⑴查询渠道：“信用中国”网站(www.creditchina.gov.cn)、中国政府采购网(www.ccgp.gov.cn)等；</w:t>
            </w:r>
          </w:p>
          <w:p w14:paraId="547D555B">
            <w:pPr>
              <w:keepNext w:val="0"/>
              <w:keepLines w:val="0"/>
              <w:pageBreakBefore w:val="0"/>
              <w:widowControl w:val="0"/>
              <w:kinsoku/>
              <w:wordWrap/>
              <w:overflowPunct/>
              <w:topLinePunct w:val="0"/>
              <w:autoSpaceDE w:val="0"/>
              <w:autoSpaceDN w:val="0"/>
              <w:bidi w:val="0"/>
              <w:adjustRightInd/>
              <w:snapToGrid w:val="0"/>
              <w:spacing w:line="440" w:lineRule="exact"/>
              <w:textAlignment w:val="bottom"/>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⑵查询时间：中标通知书发出前；</w:t>
            </w:r>
          </w:p>
          <w:p w14:paraId="67406D8E">
            <w:pPr>
              <w:keepNext w:val="0"/>
              <w:keepLines w:val="0"/>
              <w:pageBreakBefore w:val="0"/>
              <w:widowControl w:val="0"/>
              <w:kinsoku/>
              <w:wordWrap/>
              <w:overflowPunct/>
              <w:topLinePunct w:val="0"/>
              <w:autoSpaceDE w:val="0"/>
              <w:autoSpaceDN w:val="0"/>
              <w:bidi w:val="0"/>
              <w:adjustRightInd/>
              <w:snapToGrid w:val="0"/>
              <w:spacing w:line="440" w:lineRule="exact"/>
              <w:textAlignment w:val="bottom"/>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⑶信用信息查询记录和证据留存方式：在查询网站中直接打印查询记录，打印材料作为采购活动资料保存；</w:t>
            </w:r>
          </w:p>
          <w:p w14:paraId="2DB7D733">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⑷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中标候选供应商资格。</w:t>
            </w:r>
          </w:p>
          <w:p w14:paraId="00C7879D">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14:paraId="08B3C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56" w:type="dxa"/>
            <w:vAlign w:val="center"/>
          </w:tcPr>
          <w:p w14:paraId="7AB85597">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863" w:type="dxa"/>
            <w:vAlign w:val="center"/>
          </w:tcPr>
          <w:p w14:paraId="0CB875E2">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w:t>
            </w:r>
          </w:p>
        </w:tc>
        <w:tc>
          <w:tcPr>
            <w:tcW w:w="1587" w:type="dxa"/>
            <w:vAlign w:val="center"/>
          </w:tcPr>
          <w:p w14:paraId="1B8F192C">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中标公告及中标通知书</w:t>
            </w:r>
          </w:p>
        </w:tc>
        <w:tc>
          <w:tcPr>
            <w:tcW w:w="7011" w:type="dxa"/>
            <w:vAlign w:val="center"/>
          </w:tcPr>
          <w:p w14:paraId="5BC57E0E">
            <w:pPr>
              <w:keepNext w:val="0"/>
              <w:keepLines w:val="0"/>
              <w:pageBreakBefore w:val="0"/>
              <w:widowControl w:val="0"/>
              <w:tabs>
                <w:tab w:val="left" w:pos="455"/>
              </w:tabs>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w:t>
            </w:r>
            <w:r>
              <w:rPr>
                <w:rFonts w:hint="eastAsia" w:ascii="宋体" w:hAnsi="宋体" w:eastAsia="宋体" w:cs="宋体"/>
                <w:color w:val="000000" w:themeColor="text1"/>
                <w:sz w:val="21"/>
                <w:szCs w:val="21"/>
                <w:highlight w:val="none"/>
                <w:lang w:eastAsia="zh-CN"/>
                <w14:textFill>
                  <w14:solidFill>
                    <w14:schemeClr w14:val="tx1"/>
                  </w14:solidFill>
                </w14:textFill>
              </w:rPr>
              <w:t>公开招标公告同一</w:t>
            </w:r>
            <w:r>
              <w:rPr>
                <w:rFonts w:hint="eastAsia" w:ascii="宋体" w:hAnsi="宋体" w:eastAsia="宋体" w:cs="宋体"/>
                <w:color w:val="000000" w:themeColor="text1"/>
                <w:sz w:val="21"/>
                <w:szCs w:val="21"/>
                <w:highlight w:val="none"/>
                <w14:textFill>
                  <w14:solidFill>
                    <w14:schemeClr w14:val="tx1"/>
                  </w14:solidFill>
                </w14:textFill>
              </w:rPr>
              <w:t>媒体上公告中标结果，中标公告期限为一个工作日。</w:t>
            </w:r>
          </w:p>
          <w:p w14:paraId="4281CD75">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33.2中标公告发布的同时，采购代理机构向中标供应商发出中标通知书，中标供应商应自接到通知之日起七个工作日内，办理中标通知书领取手续。</w:t>
            </w:r>
          </w:p>
        </w:tc>
      </w:tr>
      <w:tr w14:paraId="18A22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56" w:type="dxa"/>
            <w:vAlign w:val="center"/>
          </w:tcPr>
          <w:p w14:paraId="74660DFF">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w:t>
            </w:r>
          </w:p>
        </w:tc>
        <w:tc>
          <w:tcPr>
            <w:tcW w:w="863" w:type="dxa"/>
            <w:vAlign w:val="center"/>
          </w:tcPr>
          <w:p w14:paraId="0A33D7CA">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w:t>
            </w:r>
          </w:p>
        </w:tc>
        <w:tc>
          <w:tcPr>
            <w:tcW w:w="1587" w:type="dxa"/>
            <w:vAlign w:val="center"/>
          </w:tcPr>
          <w:p w14:paraId="01EA2672">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履约保证金</w:t>
            </w:r>
          </w:p>
        </w:tc>
        <w:tc>
          <w:tcPr>
            <w:tcW w:w="7011" w:type="dxa"/>
            <w:vAlign w:val="center"/>
          </w:tcPr>
          <w:p w14:paraId="0ED19086">
            <w:pPr>
              <w:keepNext w:val="0"/>
              <w:keepLines w:val="0"/>
              <w:pageBreakBefore w:val="0"/>
              <w:widowControl w:val="0"/>
              <w:tabs>
                <w:tab w:val="left" w:pos="455"/>
              </w:tabs>
              <w:kinsoku/>
              <w:wordWrap/>
              <w:overflowPunct/>
              <w:topLinePunct w:val="0"/>
              <w:bidi w:val="0"/>
              <w:adjustRightInd/>
              <w:spacing w:line="440" w:lineRule="exact"/>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本项目无需缴纳履约保证金。</w:t>
            </w:r>
          </w:p>
        </w:tc>
      </w:tr>
      <w:tr w14:paraId="12567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56" w:type="dxa"/>
            <w:vAlign w:val="center"/>
          </w:tcPr>
          <w:p w14:paraId="1F854830">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w:t>
            </w:r>
          </w:p>
        </w:tc>
        <w:tc>
          <w:tcPr>
            <w:tcW w:w="863" w:type="dxa"/>
            <w:vAlign w:val="center"/>
          </w:tcPr>
          <w:p w14:paraId="572F251D">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35.1</w:t>
            </w:r>
          </w:p>
        </w:tc>
        <w:tc>
          <w:tcPr>
            <w:tcW w:w="1587" w:type="dxa"/>
            <w:vAlign w:val="center"/>
          </w:tcPr>
          <w:p w14:paraId="46AFB4E8">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签订合同时间</w:t>
            </w:r>
          </w:p>
        </w:tc>
        <w:tc>
          <w:tcPr>
            <w:tcW w:w="7011" w:type="dxa"/>
            <w:vAlign w:val="center"/>
          </w:tcPr>
          <w:p w14:paraId="5DBC0D48">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中标通知书发出之日起</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个工作日内。中标人领取中标通知书后，应按规定与采购人签订合同。</w:t>
            </w:r>
          </w:p>
        </w:tc>
      </w:tr>
      <w:tr w14:paraId="0617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56" w:type="dxa"/>
            <w:vAlign w:val="center"/>
          </w:tcPr>
          <w:p w14:paraId="1B1FBBED">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w:t>
            </w:r>
          </w:p>
        </w:tc>
        <w:tc>
          <w:tcPr>
            <w:tcW w:w="863" w:type="dxa"/>
            <w:vAlign w:val="center"/>
          </w:tcPr>
          <w:p w14:paraId="2B792C6B">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35.4</w:t>
            </w:r>
          </w:p>
        </w:tc>
        <w:tc>
          <w:tcPr>
            <w:tcW w:w="1587" w:type="dxa"/>
            <w:vAlign w:val="center"/>
          </w:tcPr>
          <w:p w14:paraId="62A9DCFC">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合同备案存档</w:t>
            </w:r>
          </w:p>
        </w:tc>
        <w:tc>
          <w:tcPr>
            <w:tcW w:w="7011" w:type="dxa"/>
            <w:vAlign w:val="center"/>
          </w:tcPr>
          <w:p w14:paraId="298FA0C4">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政府采购合同双方自签订之日起一个工作日内将合同原件一份交采购代理机构，采购人于合同签订之日起七个工作日内将一份合同原件送本级财政部门备案。</w:t>
            </w:r>
          </w:p>
        </w:tc>
      </w:tr>
      <w:tr w14:paraId="2031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56" w:type="dxa"/>
            <w:vAlign w:val="center"/>
          </w:tcPr>
          <w:p w14:paraId="45A3907E">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w:t>
            </w:r>
          </w:p>
        </w:tc>
        <w:tc>
          <w:tcPr>
            <w:tcW w:w="863" w:type="dxa"/>
            <w:vAlign w:val="center"/>
          </w:tcPr>
          <w:p w14:paraId="2EEB01CC">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36</w:t>
            </w:r>
          </w:p>
        </w:tc>
        <w:tc>
          <w:tcPr>
            <w:tcW w:w="1587" w:type="dxa"/>
            <w:vAlign w:val="center"/>
          </w:tcPr>
          <w:p w14:paraId="08B0C8A7">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招标代理服务费</w:t>
            </w:r>
          </w:p>
        </w:tc>
        <w:tc>
          <w:tcPr>
            <w:tcW w:w="7011" w:type="dxa"/>
            <w:vAlign w:val="center"/>
          </w:tcPr>
          <w:p w14:paraId="010E6478">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本项目的招标代理服务费：参照计价格[2002]1980号《招标代理服务收费管理暂行办法》服务类收费标准计取。由各标项中标人在领取中标通知书之前向广西奥金斯项目管理有限公司一次性付清代理服务费。</w:t>
            </w:r>
          </w:p>
        </w:tc>
      </w:tr>
      <w:tr w14:paraId="10F70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56" w:type="dxa"/>
            <w:vAlign w:val="center"/>
          </w:tcPr>
          <w:p w14:paraId="15B6BF8A">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w:t>
            </w:r>
          </w:p>
        </w:tc>
        <w:tc>
          <w:tcPr>
            <w:tcW w:w="863" w:type="dxa"/>
            <w:vAlign w:val="center"/>
          </w:tcPr>
          <w:p w14:paraId="1EDED01D">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w:t>
            </w:r>
          </w:p>
        </w:tc>
        <w:tc>
          <w:tcPr>
            <w:tcW w:w="1587" w:type="dxa"/>
            <w:vAlign w:val="center"/>
          </w:tcPr>
          <w:p w14:paraId="64E2A27E">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解释权</w:t>
            </w:r>
          </w:p>
        </w:tc>
        <w:tc>
          <w:tcPr>
            <w:tcW w:w="7011" w:type="dxa"/>
            <w:vAlign w:val="center"/>
          </w:tcPr>
          <w:p w14:paraId="65809593">
            <w:pPr>
              <w:keepNext w:val="0"/>
              <w:keepLines w:val="0"/>
              <w:pageBreakBefore w:val="0"/>
              <w:widowControl w:val="0"/>
              <w:kinsoku/>
              <w:wordWrap/>
              <w:overflowPunct/>
              <w:topLinePunct w:val="0"/>
              <w:bidi w:val="0"/>
              <w:adjustRightInd/>
              <w:snapToGrid w:val="0"/>
              <w:spacing w:line="44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招标文件是根据《中华人民共和国政府采购法》《中华人民共和国政府采购法实施条例》及《政府采购货物和服务招标投标管理办法》（财政部令第87号）和政府采购管理有关规定编制，本招标文件的解释权属于广西奥金斯项目管理有限公司。</w:t>
            </w:r>
          </w:p>
        </w:tc>
      </w:tr>
      <w:tr w14:paraId="28B7C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56" w:type="dxa"/>
            <w:vAlign w:val="center"/>
          </w:tcPr>
          <w:p w14:paraId="70402921">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w:t>
            </w:r>
          </w:p>
        </w:tc>
        <w:tc>
          <w:tcPr>
            <w:tcW w:w="863" w:type="dxa"/>
            <w:vAlign w:val="center"/>
          </w:tcPr>
          <w:p w14:paraId="6876DC82">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38</w:t>
            </w:r>
          </w:p>
        </w:tc>
        <w:tc>
          <w:tcPr>
            <w:tcW w:w="1587" w:type="dxa"/>
            <w:vAlign w:val="center"/>
          </w:tcPr>
          <w:p w14:paraId="32F65B71">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监督管理机构</w:t>
            </w:r>
          </w:p>
        </w:tc>
        <w:tc>
          <w:tcPr>
            <w:tcW w:w="7011" w:type="dxa"/>
            <w:vAlign w:val="center"/>
          </w:tcPr>
          <w:p w14:paraId="301ECD54">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桂林市财政局</w:t>
            </w:r>
            <w:r>
              <w:rPr>
                <w:rFonts w:hint="eastAsia" w:ascii="宋体" w:hAnsi="宋体" w:eastAsia="宋体" w:cs="宋体"/>
                <w:color w:val="000000" w:themeColor="text1"/>
                <w:sz w:val="21"/>
                <w:szCs w:val="21"/>
                <w:highlight w:val="none"/>
                <w14:textFill>
                  <w14:solidFill>
                    <w14:schemeClr w14:val="tx1"/>
                  </w14:solidFill>
                </w14:textFill>
              </w:rPr>
              <w:t xml:space="preserve">                   联系电话：</w:t>
            </w:r>
            <w:r>
              <w:rPr>
                <w:rFonts w:hint="eastAsia" w:ascii="宋体" w:hAnsi="宋体" w:eastAsia="宋体" w:cs="宋体"/>
                <w:color w:val="000000" w:themeColor="text1"/>
                <w:sz w:val="21"/>
                <w:szCs w:val="21"/>
                <w:highlight w:val="none"/>
                <w:lang w:eastAsia="zh-CN"/>
                <w14:textFill>
                  <w14:solidFill>
                    <w14:schemeClr w14:val="tx1"/>
                  </w14:solidFill>
                </w14:textFill>
              </w:rPr>
              <w:t>0773-2862142</w:t>
            </w:r>
          </w:p>
        </w:tc>
      </w:tr>
    </w:tbl>
    <w:p w14:paraId="2DC3104F">
      <w:pPr>
        <w:pageBreakBefore w:val="0"/>
        <w:kinsoku/>
        <w:wordWrap/>
        <w:overflowPunct/>
        <w:topLinePunct w:val="0"/>
        <w:bidi w:val="0"/>
        <w:spacing w:line="360" w:lineRule="auto"/>
        <w:jc w:val="center"/>
        <w:outlineLvl w:val="9"/>
        <w:rPr>
          <w:rFonts w:ascii="宋体" w:hAnsi="宋体" w:cs="宋体"/>
          <w:b/>
          <w:color w:val="000000" w:themeColor="text1"/>
          <w:sz w:val="28"/>
          <w:szCs w:val="28"/>
          <w:highlight w:val="none"/>
          <w14:textFill>
            <w14:solidFill>
              <w14:schemeClr w14:val="tx1"/>
            </w14:solidFill>
          </w14:textFill>
        </w:rPr>
      </w:pPr>
      <w:bookmarkStart w:id="47" w:name="_Toc3679"/>
      <w:bookmarkStart w:id="48" w:name="_Toc495841754"/>
      <w:r>
        <w:rPr>
          <w:rFonts w:hint="eastAsia" w:ascii="宋体" w:hAnsi="宋体" w:cs="宋体"/>
          <w:b/>
          <w:color w:val="000000" w:themeColor="text1"/>
          <w:sz w:val="28"/>
          <w:szCs w:val="28"/>
          <w:highlight w:val="none"/>
          <w14:textFill>
            <w14:solidFill>
              <w14:schemeClr w14:val="tx1"/>
            </w14:solidFill>
          </w14:textFill>
        </w:rPr>
        <w:br w:type="page"/>
      </w:r>
      <w:bookmarkStart w:id="49" w:name="_Toc9775"/>
      <w:bookmarkStart w:id="50" w:name="_Toc11795"/>
      <w:bookmarkStart w:id="51" w:name="_Toc3164"/>
      <w:r>
        <w:rPr>
          <w:rFonts w:hint="eastAsia" w:ascii="宋体" w:hAnsi="宋体" w:cs="宋体"/>
          <w:b/>
          <w:color w:val="000000" w:themeColor="text1"/>
          <w:sz w:val="28"/>
          <w:szCs w:val="28"/>
          <w:highlight w:val="none"/>
          <w14:textFill>
            <w14:solidFill>
              <w14:schemeClr w14:val="tx1"/>
            </w14:solidFill>
          </w14:textFill>
        </w:rPr>
        <w:t>一、总则</w:t>
      </w:r>
      <w:bookmarkEnd w:id="47"/>
      <w:bookmarkEnd w:id="48"/>
      <w:bookmarkEnd w:id="49"/>
      <w:bookmarkEnd w:id="50"/>
      <w:bookmarkEnd w:id="51"/>
    </w:p>
    <w:p w14:paraId="2F556677">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52" w:name="_Toc3575"/>
      <w:bookmarkStart w:id="53" w:name="_Toc6019"/>
      <w:bookmarkStart w:id="54" w:name="_Toc9917"/>
      <w:bookmarkStart w:id="55" w:name="_Toc23807"/>
      <w:r>
        <w:rPr>
          <w:rFonts w:hint="eastAsia" w:ascii="宋体" w:hAnsi="宋体" w:eastAsia="宋体" w:cs="宋体"/>
          <w:b/>
          <w:color w:val="000000" w:themeColor="text1"/>
          <w:sz w:val="21"/>
          <w:szCs w:val="21"/>
          <w:highlight w:val="none"/>
          <w14:textFill>
            <w14:solidFill>
              <w14:schemeClr w14:val="tx1"/>
            </w14:solidFill>
          </w14:textFill>
        </w:rPr>
        <w:t>1. 项目名称及项目编号</w:t>
      </w:r>
      <w:bookmarkEnd w:id="52"/>
      <w:bookmarkEnd w:id="53"/>
      <w:bookmarkEnd w:id="54"/>
      <w:bookmarkEnd w:id="55"/>
    </w:p>
    <w:p w14:paraId="7A48ACCF">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56" w:name="_Toc340"/>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ascii="宋体" w:hAnsi="宋体" w:cs="宋体"/>
          <w:bCs/>
          <w:color w:val="000000" w:themeColor="text1"/>
          <w:sz w:val="21"/>
          <w:szCs w:val="21"/>
          <w:highlight w:val="none"/>
          <w:lang w:eastAsia="zh-CN"/>
          <w14:textFill>
            <w14:solidFill>
              <w14:schemeClr w14:val="tx1"/>
            </w14:solidFill>
          </w14:textFill>
        </w:rPr>
        <w:t>检验检测设备维护保养服务</w:t>
      </w:r>
    </w:p>
    <w:p w14:paraId="511A6946">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57" w:name="_Toc4835"/>
      <w:bookmarkStart w:id="58" w:name="_Toc8277"/>
      <w:bookmarkStart w:id="59" w:name="_Toc9123"/>
      <w:bookmarkStart w:id="60" w:name="_Toc12501"/>
      <w:bookmarkStart w:id="61" w:name="_Toc31099"/>
      <w:bookmarkStart w:id="62" w:name="_Toc13482"/>
      <w:bookmarkStart w:id="63" w:name="_Toc6216"/>
      <w:bookmarkStart w:id="64" w:name="_Toc22222"/>
      <w:bookmarkStart w:id="65" w:name="_Toc12938"/>
      <w:bookmarkStart w:id="66" w:name="_Toc7167"/>
      <w:r>
        <w:rPr>
          <w:rFonts w:hint="eastAsia" w:ascii="宋体" w:hAnsi="宋体" w:eastAsia="宋体" w:cs="宋体"/>
          <w:color w:val="000000" w:themeColor="text1"/>
          <w:sz w:val="21"/>
          <w:szCs w:val="21"/>
          <w:highlight w:val="none"/>
          <w14:textFill>
            <w14:solidFill>
              <w14:schemeClr w14:val="tx1"/>
            </w14:solidFill>
          </w14:textFill>
        </w:rPr>
        <w:t>项目编号：</w:t>
      </w:r>
      <w:bookmarkEnd w:id="57"/>
      <w:bookmarkEnd w:id="58"/>
      <w:bookmarkEnd w:id="59"/>
      <w:bookmarkEnd w:id="60"/>
      <w:bookmarkEnd w:id="61"/>
      <w:bookmarkEnd w:id="62"/>
      <w:bookmarkEnd w:id="63"/>
      <w:bookmarkEnd w:id="64"/>
      <w:bookmarkEnd w:id="65"/>
      <w:bookmarkEnd w:id="66"/>
      <w:r>
        <w:rPr>
          <w:rFonts w:hint="eastAsia" w:ascii="宋体" w:hAnsi="宋体" w:cs="宋体"/>
          <w:bCs/>
          <w:color w:val="000000" w:themeColor="text1"/>
          <w:sz w:val="21"/>
          <w:szCs w:val="21"/>
          <w:highlight w:val="none"/>
          <w:lang w:eastAsia="zh-CN"/>
          <w14:textFill>
            <w14:solidFill>
              <w14:schemeClr w14:val="tx1"/>
            </w14:solidFill>
          </w14:textFill>
        </w:rPr>
        <w:t>GLZC2025-G3-990413-GXAJ</w:t>
      </w:r>
    </w:p>
    <w:p w14:paraId="7D4587CE">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67" w:name="_Toc25564"/>
      <w:bookmarkStart w:id="68" w:name="_Toc6964"/>
      <w:bookmarkStart w:id="69" w:name="_Toc1834"/>
      <w:r>
        <w:rPr>
          <w:rFonts w:hint="eastAsia" w:ascii="宋体" w:hAnsi="宋体" w:eastAsia="宋体" w:cs="宋体"/>
          <w:b/>
          <w:color w:val="000000" w:themeColor="text1"/>
          <w:sz w:val="21"/>
          <w:szCs w:val="21"/>
          <w:highlight w:val="none"/>
          <w14:textFill>
            <w14:solidFill>
              <w14:schemeClr w14:val="tx1"/>
            </w14:solidFill>
          </w14:textFill>
        </w:rPr>
        <w:t>2. 适应范围</w:t>
      </w:r>
      <w:bookmarkEnd w:id="56"/>
      <w:bookmarkEnd w:id="67"/>
      <w:bookmarkEnd w:id="68"/>
      <w:bookmarkEnd w:id="69"/>
    </w:p>
    <w:p w14:paraId="6F77E0D2">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本招标文件适用本招标采购项目的招标、投标、评标、合同履约、验收、付款等行为（法律、法规另有规定的，从其规定）。</w:t>
      </w:r>
    </w:p>
    <w:p w14:paraId="64F8C336">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70" w:name="_Toc27335"/>
      <w:bookmarkStart w:id="71" w:name="_Toc9873"/>
      <w:bookmarkStart w:id="72" w:name="_Toc1895"/>
      <w:bookmarkStart w:id="73" w:name="_Toc13271"/>
      <w:r>
        <w:rPr>
          <w:rFonts w:hint="eastAsia" w:ascii="宋体" w:hAnsi="宋体" w:eastAsia="宋体" w:cs="宋体"/>
          <w:b/>
          <w:color w:val="000000" w:themeColor="text1"/>
          <w:sz w:val="21"/>
          <w:szCs w:val="21"/>
          <w:highlight w:val="none"/>
          <w14:textFill>
            <w14:solidFill>
              <w14:schemeClr w14:val="tx1"/>
            </w14:solidFill>
          </w14:textFill>
        </w:rPr>
        <w:t>3. 定义</w:t>
      </w:r>
      <w:bookmarkEnd w:id="70"/>
      <w:bookmarkEnd w:id="71"/>
      <w:bookmarkEnd w:id="72"/>
      <w:bookmarkEnd w:id="73"/>
    </w:p>
    <w:p w14:paraId="3665D040">
      <w:pPr>
        <w:keepNext w:val="0"/>
        <w:keepLines w:val="0"/>
        <w:pageBreakBefore w:val="0"/>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3.1“投标人”系指响应招标、参加投标竞争的法人、其他组织或者自然人。</w:t>
      </w:r>
    </w:p>
    <w:p w14:paraId="55A3565D">
      <w:pPr>
        <w:keepNext w:val="0"/>
        <w:keepLines w:val="0"/>
        <w:pageBreakBefore w:val="0"/>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“服务”系指按招标文件规定，投标人</w:t>
      </w:r>
      <w:r>
        <w:rPr>
          <w:rFonts w:hint="eastAsia" w:ascii="宋体" w:hAnsi="宋体" w:cs="宋体"/>
          <w:color w:val="000000" w:themeColor="text1"/>
          <w:sz w:val="21"/>
          <w:szCs w:val="21"/>
          <w:highlight w:val="none"/>
          <w:lang w:eastAsia="zh-CN"/>
          <w14:textFill>
            <w14:solidFill>
              <w14:schemeClr w14:val="tx1"/>
            </w14:solidFill>
          </w14:textFill>
        </w:rPr>
        <w:t>向采购人提供以</w:t>
      </w:r>
      <w:r>
        <w:rPr>
          <w:rFonts w:hint="eastAsia" w:ascii="宋体" w:hAnsi="宋体" w:eastAsia="宋体" w:cs="宋体"/>
          <w:color w:val="000000" w:themeColor="text1"/>
          <w:sz w:val="21"/>
          <w:szCs w:val="21"/>
          <w:highlight w:val="none"/>
          <w14:textFill>
            <w14:solidFill>
              <w14:schemeClr w14:val="tx1"/>
            </w14:solidFill>
          </w14:textFill>
        </w:rPr>
        <w:t>桂林市临桂区中心城区城镇开发边界划定范围，以及</w:t>
      </w:r>
      <w:r>
        <w:rPr>
          <w:rFonts w:hint="eastAsia" w:ascii="宋体" w:hAnsi="宋体" w:cs="宋体"/>
          <w:color w:val="000000" w:themeColor="text1"/>
          <w:sz w:val="21"/>
          <w:szCs w:val="21"/>
          <w:highlight w:val="none"/>
          <w:lang w:eastAsia="zh-CN"/>
          <w14:textFill>
            <w14:solidFill>
              <w14:schemeClr w14:val="tx1"/>
            </w14:solidFill>
          </w14:textFill>
        </w:rPr>
        <w:t>桂林经济技术开发区</w:t>
      </w:r>
      <w:r>
        <w:rPr>
          <w:rFonts w:hint="eastAsia" w:ascii="宋体" w:hAnsi="宋体" w:eastAsia="宋体" w:cs="宋体"/>
          <w:color w:val="000000" w:themeColor="text1"/>
          <w:sz w:val="21"/>
          <w:szCs w:val="21"/>
          <w:highlight w:val="none"/>
          <w14:textFill>
            <w14:solidFill>
              <w14:schemeClr w14:val="tx1"/>
            </w14:solidFill>
          </w14:textFill>
        </w:rPr>
        <w:t>苏桥镇城镇开发边界划定范围</w:t>
      </w:r>
      <w:r>
        <w:rPr>
          <w:rFonts w:hint="eastAsia" w:ascii="宋体" w:hAnsi="宋体" w:cs="宋体"/>
          <w:color w:val="000000" w:themeColor="text1"/>
          <w:sz w:val="21"/>
          <w:szCs w:val="21"/>
          <w:highlight w:val="none"/>
          <w:lang w:eastAsia="zh-CN"/>
          <w14:textFill>
            <w14:solidFill>
              <w14:schemeClr w14:val="tx1"/>
            </w14:solidFill>
          </w14:textFill>
        </w:rPr>
        <w:t>的《</w:t>
      </w:r>
      <w:r>
        <w:rPr>
          <w:rFonts w:hint="eastAsia" w:ascii="宋体" w:hAnsi="宋体" w:eastAsia="宋体" w:cs="宋体"/>
          <w:bCs/>
          <w:color w:val="000000" w:themeColor="text1"/>
          <w:sz w:val="21"/>
          <w:szCs w:val="21"/>
          <w:highlight w:val="none"/>
          <w14:textFill>
            <w14:solidFill>
              <w14:schemeClr w14:val="tx1"/>
            </w14:solidFill>
          </w14:textFill>
        </w:rPr>
        <w:t>临桂区中心城区控规大纲</w:t>
      </w:r>
      <w:r>
        <w:rPr>
          <w:rFonts w:hint="eastAsia" w:ascii="宋体" w:hAnsi="宋体" w:cs="宋体"/>
          <w:color w:val="000000" w:themeColor="text1"/>
          <w:sz w:val="21"/>
          <w:szCs w:val="21"/>
          <w:highlight w:val="none"/>
          <w:lang w:eastAsia="zh-CN"/>
          <w14:textFill>
            <w14:solidFill>
              <w14:schemeClr w14:val="tx1"/>
            </w14:solidFill>
          </w14:textFill>
        </w:rPr>
        <w:t>》编制服务</w:t>
      </w:r>
      <w:r>
        <w:rPr>
          <w:rFonts w:hint="eastAsia" w:ascii="宋体" w:hAnsi="宋体" w:eastAsia="宋体" w:cs="宋体"/>
          <w:color w:val="000000" w:themeColor="text1"/>
          <w:sz w:val="21"/>
          <w:szCs w:val="21"/>
          <w:highlight w:val="none"/>
          <w14:textFill>
            <w14:solidFill>
              <w14:schemeClr w14:val="tx1"/>
            </w14:solidFill>
          </w14:textFill>
        </w:rPr>
        <w:t>、技术指导以及其他类似的义务。</w:t>
      </w:r>
    </w:p>
    <w:p w14:paraId="7635230C">
      <w:pPr>
        <w:keepNext w:val="0"/>
        <w:keepLines w:val="0"/>
        <w:pageBreakBefore w:val="0"/>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“项目”系指投标人按招标文件规定向采购人提供的货物和服务。</w:t>
      </w:r>
    </w:p>
    <w:p w14:paraId="6F8E6776">
      <w:pPr>
        <w:keepNext w:val="0"/>
        <w:keepLines w:val="0"/>
        <w:pageBreakBefore w:val="0"/>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“书面形式”包括信函、传真、电报等。</w:t>
      </w:r>
    </w:p>
    <w:p w14:paraId="45240D7B">
      <w:pPr>
        <w:keepNext w:val="0"/>
        <w:keepLines w:val="0"/>
        <w:pageBreakBefore w:val="0"/>
        <w:kinsoku/>
        <w:wordWrap/>
        <w:overflowPunct/>
        <w:topLinePunct w:val="0"/>
        <w:bidi w:val="0"/>
        <w:spacing w:line="440" w:lineRule="exact"/>
        <w:ind w:firstLine="435"/>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w:t>
      </w:r>
      <w:r>
        <w:rPr>
          <w:rFonts w:hint="eastAsia" w:ascii="宋体" w:hAnsi="宋体" w:cs="宋体"/>
          <w:b/>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color w:val="000000" w:themeColor="text1"/>
          <w:sz w:val="21"/>
          <w:szCs w:val="21"/>
          <w:highlight w:val="none"/>
          <w14:textFill>
            <w14:solidFill>
              <w14:schemeClr w14:val="tx1"/>
            </w14:solidFill>
          </w14:textFill>
        </w:rPr>
        <w:t>实质性要求：《服务采购需求》中带“▲”的条款要求为实质性要求，不允许负偏离，否则投标无效。</w:t>
      </w:r>
    </w:p>
    <w:p w14:paraId="13260C04">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74" w:name="_Toc28906"/>
      <w:bookmarkStart w:id="75" w:name="_Toc19935"/>
      <w:bookmarkStart w:id="76" w:name="_Toc194"/>
      <w:bookmarkStart w:id="77" w:name="_Toc31846"/>
      <w:r>
        <w:rPr>
          <w:rFonts w:hint="eastAsia" w:ascii="宋体" w:hAnsi="宋体" w:eastAsia="宋体" w:cs="宋体"/>
          <w:b/>
          <w:color w:val="000000" w:themeColor="text1"/>
          <w:sz w:val="21"/>
          <w:szCs w:val="21"/>
          <w:highlight w:val="none"/>
          <w14:textFill>
            <w14:solidFill>
              <w14:schemeClr w14:val="tx1"/>
            </w14:solidFill>
          </w14:textFill>
        </w:rPr>
        <w:t>4. 招标方式、评分办法</w:t>
      </w:r>
      <w:bookmarkEnd w:id="74"/>
      <w:bookmarkEnd w:id="75"/>
      <w:bookmarkEnd w:id="76"/>
      <w:bookmarkEnd w:id="77"/>
    </w:p>
    <w:p w14:paraId="35A7B13F">
      <w:pPr>
        <w:keepNext w:val="0"/>
        <w:keepLines w:val="0"/>
        <w:pageBreakBefore w:val="0"/>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公开招标、综合评分法</w:t>
      </w:r>
    </w:p>
    <w:p w14:paraId="7D4795C6">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78" w:name="_Toc19879"/>
      <w:bookmarkStart w:id="79" w:name="_Toc598"/>
      <w:bookmarkStart w:id="80" w:name="_Toc18449"/>
      <w:bookmarkStart w:id="81" w:name="_Toc17906"/>
      <w:r>
        <w:rPr>
          <w:rFonts w:hint="eastAsia" w:ascii="宋体" w:hAnsi="宋体" w:eastAsia="宋体" w:cs="宋体"/>
          <w:b/>
          <w:color w:val="000000" w:themeColor="text1"/>
          <w:sz w:val="21"/>
          <w:szCs w:val="21"/>
          <w:highlight w:val="none"/>
          <w14:textFill>
            <w14:solidFill>
              <w14:schemeClr w14:val="tx1"/>
            </w14:solidFill>
          </w14:textFill>
        </w:rPr>
        <w:t>5. 投标人资格</w:t>
      </w:r>
      <w:bookmarkEnd w:id="78"/>
      <w:bookmarkEnd w:id="79"/>
      <w:bookmarkEnd w:id="80"/>
      <w:bookmarkEnd w:id="81"/>
    </w:p>
    <w:p w14:paraId="3E49CF9B">
      <w:pPr>
        <w:keepNext w:val="0"/>
        <w:keepLines w:val="0"/>
        <w:pageBreakBefore w:val="0"/>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5.1满足《中华人民共和国政府采购法》第二十二条规定。</w:t>
      </w:r>
    </w:p>
    <w:p w14:paraId="30AE3EC2">
      <w:pPr>
        <w:keepNext w:val="0"/>
        <w:keepLines w:val="0"/>
        <w:pageBreakBefore w:val="0"/>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5.2 本项目</w:t>
      </w:r>
      <w:r>
        <w:rPr>
          <w:rFonts w:hint="eastAsia" w:ascii="宋体" w:hAnsi="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14:textFill>
            <w14:solidFill>
              <w14:schemeClr w14:val="tx1"/>
            </w14:solidFill>
          </w14:textFill>
        </w:rPr>
        <w:t>接受联合体投标。</w:t>
      </w:r>
    </w:p>
    <w:p w14:paraId="27AA5CF6">
      <w:pPr>
        <w:keepNext w:val="0"/>
        <w:keepLines w:val="0"/>
        <w:pageBreakBefore w:val="0"/>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5.3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w:t>
      </w:r>
    </w:p>
    <w:p w14:paraId="4DBD23F4">
      <w:pPr>
        <w:keepNext w:val="0"/>
        <w:keepLines w:val="0"/>
        <w:pageBreakBefore w:val="0"/>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bookmarkStart w:id="82" w:name="_Toc24742"/>
      <w:r>
        <w:rPr>
          <w:rFonts w:hint="eastAsia" w:ascii="宋体" w:hAnsi="宋体" w:eastAsia="宋体" w:cs="宋体"/>
          <w:color w:val="000000" w:themeColor="text1"/>
          <w:sz w:val="21"/>
          <w:szCs w:val="21"/>
          <w:highlight w:val="none"/>
          <w14:textFill>
            <w14:solidFill>
              <w14:schemeClr w14:val="tx1"/>
            </w14:solidFill>
          </w14:textFill>
        </w:rPr>
        <w:t>5.4落实政府采购政策需满足的资格要求：</w:t>
      </w:r>
      <w:r>
        <w:rPr>
          <w:rFonts w:hint="eastAsia" w:ascii="宋体" w:hAnsi="宋体" w:cs="宋体"/>
          <w:bCs/>
          <w:color w:val="000000" w:themeColor="text1"/>
          <w:sz w:val="21"/>
          <w:szCs w:val="21"/>
          <w14:textFill>
            <w14:solidFill>
              <w14:schemeClr w14:val="tx1"/>
            </w14:solidFill>
          </w14:textFill>
        </w:rPr>
        <w:t>本项目专门面向中小企业采购</w:t>
      </w:r>
      <w:r>
        <w:rPr>
          <w:rFonts w:hint="eastAsia"/>
          <w:bCs/>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根据财政部、司法部关于政府采购支持监狱企业发展有关问题的通</w:t>
      </w:r>
      <w:r>
        <w:rPr>
          <w:rFonts w:hint="eastAsia" w:ascii="宋体" w:hAnsi="宋体" w:cs="宋体"/>
          <w:color w:val="000000" w:themeColor="text1"/>
          <w:sz w:val="21"/>
          <w:szCs w:val="21"/>
          <w14:textFill>
            <w14:solidFill>
              <w14:schemeClr w14:val="tx1"/>
            </w14:solidFill>
          </w14:textFill>
        </w:rPr>
        <w:t>知（财库〔2014〕68号）及《关于促进残疾人就业政府采购政策的通知》（财库〔2017〕141号）的规定，监狱企业、残疾人福利单位视同小型、微型企业</w:t>
      </w:r>
      <w:r>
        <w:rPr>
          <w:rFonts w:hint="eastAsia" w:ascii="宋体" w:hAnsi="宋体" w:eastAsia="宋体" w:cs="宋体"/>
          <w:color w:val="000000" w:themeColor="text1"/>
          <w:sz w:val="21"/>
          <w:szCs w:val="21"/>
          <w:highlight w:val="none"/>
          <w14:textFill>
            <w14:solidFill>
              <w14:schemeClr w14:val="tx1"/>
            </w14:solidFill>
          </w14:textFill>
        </w:rPr>
        <w:t>。</w:t>
      </w:r>
    </w:p>
    <w:p w14:paraId="6C1938A1">
      <w:pPr>
        <w:keepNext w:val="0"/>
        <w:keepLines w:val="0"/>
        <w:pageBreakBefore w:val="0"/>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5.5 本项目的特定资格要求：无。</w:t>
      </w:r>
    </w:p>
    <w:p w14:paraId="1E9E7565">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83" w:name="_Toc2826"/>
      <w:bookmarkStart w:id="84" w:name="_Toc25658"/>
      <w:bookmarkStart w:id="85" w:name="_Toc21769"/>
      <w:r>
        <w:rPr>
          <w:rFonts w:hint="eastAsia" w:ascii="宋体" w:hAnsi="宋体" w:eastAsia="宋体" w:cs="宋体"/>
          <w:b/>
          <w:color w:val="000000" w:themeColor="text1"/>
          <w:sz w:val="21"/>
          <w:szCs w:val="21"/>
          <w:highlight w:val="none"/>
          <w14:textFill>
            <w14:solidFill>
              <w14:schemeClr w14:val="tx1"/>
            </w14:solidFill>
          </w14:textFill>
        </w:rPr>
        <w:t>6. 投标费用</w:t>
      </w:r>
      <w:bookmarkEnd w:id="82"/>
      <w:bookmarkEnd w:id="83"/>
      <w:bookmarkEnd w:id="84"/>
      <w:bookmarkEnd w:id="85"/>
    </w:p>
    <w:p w14:paraId="400A75BD">
      <w:pPr>
        <w:keepNext w:val="0"/>
        <w:keepLines w:val="0"/>
        <w:pageBreakBefore w:val="0"/>
        <w:kinsoku/>
        <w:wordWrap/>
        <w:overflowPunct/>
        <w:topLinePunct w:val="0"/>
        <w:bidi w:val="0"/>
        <w:spacing w:line="440" w:lineRule="exact"/>
        <w:ind w:firstLine="435"/>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不论投标结果如何，投标人均应自行承担所有与投标有关的全部费用。</w:t>
      </w:r>
    </w:p>
    <w:p w14:paraId="6C53A987">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86" w:name="_Toc20471"/>
      <w:bookmarkStart w:id="87" w:name="_Toc6563"/>
      <w:bookmarkStart w:id="88" w:name="_Toc22702"/>
      <w:bookmarkStart w:id="89" w:name="_Toc3583"/>
      <w:r>
        <w:rPr>
          <w:rFonts w:hint="eastAsia" w:ascii="宋体" w:hAnsi="宋体" w:eastAsia="宋体" w:cs="宋体"/>
          <w:b/>
          <w:color w:val="000000" w:themeColor="text1"/>
          <w:sz w:val="21"/>
          <w:szCs w:val="21"/>
          <w:highlight w:val="none"/>
          <w14:textFill>
            <w14:solidFill>
              <w14:schemeClr w14:val="tx1"/>
            </w14:solidFill>
          </w14:textFill>
        </w:rPr>
        <w:t>7. 联合体投标要求</w:t>
      </w:r>
      <w:bookmarkEnd w:id="86"/>
      <w:bookmarkEnd w:id="87"/>
      <w:bookmarkEnd w:id="88"/>
      <w:bookmarkEnd w:id="89"/>
    </w:p>
    <w:p w14:paraId="609B8006">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w:t>
      </w:r>
      <w:r>
        <w:rPr>
          <w:rFonts w:hint="eastAsia" w:ascii="宋体" w:hAnsi="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14:textFill>
            <w14:solidFill>
              <w14:schemeClr w14:val="tx1"/>
            </w14:solidFill>
          </w14:textFill>
        </w:rPr>
        <w:t>接受联合体投标。</w:t>
      </w:r>
    </w:p>
    <w:p w14:paraId="488B5A3E">
      <w:pPr>
        <w:keepNext w:val="0"/>
        <w:keepLines w:val="0"/>
        <w:pageBreakBefore w:val="0"/>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7.1 两个以上投标人可以组成一个投标联合体，以一个投标人的身份参与投标。</w:t>
      </w:r>
    </w:p>
    <w:p w14:paraId="2511E43A">
      <w:pPr>
        <w:keepNext w:val="0"/>
        <w:keepLines w:val="0"/>
        <w:pageBreakBefore w:val="0"/>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7.2 以联合体形式参加投标的，联合体各方均应当符合“具有独立承担民事责任的能力”的条件。本项目有特殊要求规定投标人特定条件的，联合体各方中至少应当有一方符合招标文件规定的特定条件。</w:t>
      </w:r>
    </w:p>
    <w:p w14:paraId="3A6D4788">
      <w:pPr>
        <w:keepNext w:val="0"/>
        <w:keepLines w:val="0"/>
        <w:pageBreakBefore w:val="0"/>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7.3 联合体各方之间应当签订联合投标协议书，协议书应当明确牵头人并约定联合体各方承担的工作和相应的责任（各方承担责任与义务的分工应当符合采购需求，涉及行政许可范围的内容应由具有相应资质的成员承担；否则，联合体投标不成立），并在响应文件提供联合投标协议书（格式见附件）。联合体各方签订联合投标协议书后，不得再以自己名义单独在同一合同项目中投标，也不得组成新的联合体参加同一合同项目投标。否则，与之相关的响应文件均无效。</w:t>
      </w:r>
    </w:p>
    <w:p w14:paraId="0D5E0AAB">
      <w:pPr>
        <w:keepNext w:val="0"/>
        <w:keepLines w:val="0"/>
        <w:pageBreakBefore w:val="0"/>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7.4 联合体的业绩和信誉按联合体各方都可以计算。</w:t>
      </w:r>
    </w:p>
    <w:p w14:paraId="6BCC08ED">
      <w:pPr>
        <w:keepNext w:val="0"/>
        <w:keepLines w:val="0"/>
        <w:pageBreakBefore w:val="0"/>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7.5 联合体各方中至少应当有一方符合招标文件规定的特定资质条件，有同类资质的投标人组成的联合体按照联合体分工承担相同工作的，应当按照资质等级较低的投标人确定资质等级。</w:t>
      </w:r>
    </w:p>
    <w:p w14:paraId="0D7F5EE4">
      <w:pPr>
        <w:keepNext w:val="0"/>
        <w:keepLines w:val="0"/>
        <w:pageBreakBefore w:val="0"/>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7.6 联合体各方均应按照招标文件的规定分别提交资格文件。</w:t>
      </w:r>
    </w:p>
    <w:p w14:paraId="6A680ECB">
      <w:pPr>
        <w:keepNext w:val="0"/>
        <w:keepLines w:val="0"/>
        <w:pageBreakBefore w:val="0"/>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7.7 根据《政府采购促进中小企业发展管理办法》（财库[2020]46 号）第四条规定，以联合体形式参加政府采购活动，联合体各方均为中小企业的，联合体视同中小企业。其中，联合体各方均为小微企业的，联合体视同小微企业。第九条规定，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350C63E7">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90" w:name="_Toc27336"/>
      <w:bookmarkStart w:id="91" w:name="_Toc5893"/>
      <w:bookmarkStart w:id="92" w:name="_Toc6046"/>
      <w:bookmarkStart w:id="93" w:name="_Toc7639"/>
      <w:r>
        <w:rPr>
          <w:rFonts w:hint="eastAsia" w:ascii="宋体" w:hAnsi="宋体" w:eastAsia="宋体" w:cs="宋体"/>
          <w:b/>
          <w:color w:val="000000" w:themeColor="text1"/>
          <w:sz w:val="21"/>
          <w:szCs w:val="21"/>
          <w:highlight w:val="none"/>
          <w14:textFill>
            <w14:solidFill>
              <w14:schemeClr w14:val="tx1"/>
            </w14:solidFill>
          </w14:textFill>
        </w:rPr>
        <w:t>8. 转包与分包</w:t>
      </w:r>
      <w:bookmarkEnd w:id="90"/>
      <w:bookmarkEnd w:id="91"/>
      <w:bookmarkEnd w:id="92"/>
      <w:bookmarkEnd w:id="93"/>
    </w:p>
    <w:p w14:paraId="37616CCF">
      <w:pPr>
        <w:keepNext w:val="0"/>
        <w:keepLines w:val="0"/>
        <w:pageBreakBefore w:val="0"/>
        <w:tabs>
          <w:tab w:val="left" w:pos="1635"/>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8.1本项目不允许转包。</w:t>
      </w:r>
    </w:p>
    <w:p w14:paraId="2F981D83">
      <w:pPr>
        <w:keepNext w:val="0"/>
        <w:keepLines w:val="0"/>
        <w:pageBreakBefore w:val="0"/>
        <w:tabs>
          <w:tab w:val="left" w:pos="1635"/>
        </w:tabs>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8.2本项目不可以分包。</w:t>
      </w:r>
    </w:p>
    <w:p w14:paraId="79B0FC09">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94" w:name="_Toc1504"/>
      <w:bookmarkStart w:id="95" w:name="_Toc27391"/>
      <w:bookmarkStart w:id="96" w:name="_Toc25644"/>
      <w:bookmarkStart w:id="97" w:name="_Toc13781"/>
      <w:r>
        <w:rPr>
          <w:rFonts w:hint="eastAsia" w:ascii="宋体" w:hAnsi="宋体" w:eastAsia="宋体" w:cs="宋体"/>
          <w:b/>
          <w:color w:val="000000" w:themeColor="text1"/>
          <w:sz w:val="21"/>
          <w:szCs w:val="21"/>
          <w:highlight w:val="none"/>
          <w14:textFill>
            <w14:solidFill>
              <w14:schemeClr w14:val="tx1"/>
            </w14:solidFill>
          </w14:textFill>
        </w:rPr>
        <w:t>9. 特别说明</w:t>
      </w:r>
      <w:bookmarkEnd w:id="94"/>
      <w:bookmarkEnd w:id="95"/>
      <w:bookmarkEnd w:id="96"/>
      <w:bookmarkEnd w:id="97"/>
    </w:p>
    <w:p w14:paraId="15C1D01F">
      <w:pPr>
        <w:keepNext w:val="0"/>
        <w:keepLines w:val="0"/>
        <w:pageBreakBefore w:val="0"/>
        <w:tabs>
          <w:tab w:val="left" w:pos="1635"/>
        </w:tabs>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9.1关联供应商不得参加同一合同项下政府采购活动，否则投标文件将被视为无效：</w:t>
      </w:r>
    </w:p>
    <w:p w14:paraId="4759E9A3">
      <w:pPr>
        <w:keepNext w:val="0"/>
        <w:keepLines w:val="0"/>
        <w:pageBreakBefore w:val="0"/>
        <w:tabs>
          <w:tab w:val="left" w:pos="1635"/>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（1）单位负责人为同一人或者存在直接控股、管理关系的不同供应商，不得参加同一合同项下的政府采购活动。</w:t>
      </w:r>
    </w:p>
    <w:p w14:paraId="5F64EAC7">
      <w:pPr>
        <w:keepNext w:val="0"/>
        <w:keepLines w:val="0"/>
        <w:pageBreakBefore w:val="0"/>
        <w:tabs>
          <w:tab w:val="left" w:pos="1635"/>
        </w:tabs>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（2）为本采购项目提供整体设计、规范编制或者项目管理、监理、检测等服务的供应商，不得再参加本次采购活动。</w:t>
      </w:r>
    </w:p>
    <w:p w14:paraId="3D8FC8F5">
      <w:pPr>
        <w:keepNext w:val="0"/>
        <w:keepLines w:val="0"/>
        <w:pageBreakBefore w:val="0"/>
        <w:tabs>
          <w:tab w:val="left" w:pos="1635"/>
        </w:tabs>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9.2投标人应仔细阅读招标文件的所有内容，按照招标文件的要求提交投标文件，并对所提供的全部资料的真实性承担法律责任。</w:t>
      </w:r>
    </w:p>
    <w:p w14:paraId="501D31B9">
      <w:pPr>
        <w:keepNext w:val="0"/>
        <w:keepLines w:val="0"/>
        <w:pageBreakBefore w:val="0"/>
        <w:tabs>
          <w:tab w:val="left" w:pos="1635"/>
        </w:tabs>
        <w:kinsoku/>
        <w:wordWrap/>
        <w:overflowPunct/>
        <w:topLinePunct w:val="0"/>
        <w:bidi w:val="0"/>
        <w:spacing w:line="440" w:lineRule="exact"/>
        <w:ind w:firstLine="435"/>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9.3投标人在投标活动中提供任何虚假材料，其投标无效，并报监管部门查处；中标后发现的，中标供应商须依照《中华人民共和国消费者权益保护法》赔偿采购人，且民事赔偿并不免除违法投标人的行政与刑事责任。</w:t>
      </w:r>
    </w:p>
    <w:p w14:paraId="0B09746E">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98" w:name="_Toc6489"/>
      <w:bookmarkStart w:id="99" w:name="_Toc16798"/>
      <w:bookmarkStart w:id="100" w:name="_Toc8760"/>
      <w:bookmarkStart w:id="101" w:name="_Toc11946"/>
      <w:r>
        <w:rPr>
          <w:rFonts w:hint="eastAsia" w:ascii="宋体" w:hAnsi="宋体" w:eastAsia="宋体" w:cs="宋体"/>
          <w:b/>
          <w:color w:val="000000" w:themeColor="text1"/>
          <w:sz w:val="21"/>
          <w:szCs w:val="21"/>
          <w:highlight w:val="none"/>
          <w14:textFill>
            <w14:solidFill>
              <w14:schemeClr w14:val="tx1"/>
            </w14:solidFill>
          </w14:textFill>
        </w:rPr>
        <w:t>10. 质疑和投诉</w:t>
      </w:r>
      <w:bookmarkEnd w:id="98"/>
      <w:bookmarkEnd w:id="99"/>
      <w:bookmarkEnd w:id="100"/>
      <w:bookmarkEnd w:id="101"/>
    </w:p>
    <w:p w14:paraId="04C45ADC">
      <w:pPr>
        <w:keepNext w:val="0"/>
        <w:keepLines w:val="0"/>
        <w:pageBreakBefore w:val="0"/>
        <w:tabs>
          <w:tab w:val="left" w:pos="1635"/>
        </w:tabs>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bookmarkStart w:id="102" w:name="_Toc26087"/>
      <w:bookmarkStart w:id="103" w:name="_Toc8195"/>
      <w:r>
        <w:rPr>
          <w:rFonts w:hint="eastAsia" w:ascii="宋体" w:hAnsi="宋体" w:eastAsia="宋体" w:cs="宋体"/>
          <w:color w:val="000000" w:themeColor="text1"/>
          <w:sz w:val="21"/>
          <w:szCs w:val="21"/>
          <w:highlight w:val="none"/>
          <w14:textFill>
            <w14:solidFill>
              <w14:schemeClr w14:val="tx1"/>
            </w14:solidFill>
          </w14:textFill>
        </w:rPr>
        <w:t>10.1投标人认为招标文件使自己的合法权益受到损害的，应当在本项目招标公告期限届满之日起七个工作日内以书面形式向广西奥金斯项目管理有限公司提出质疑。投标人认为招标过程或中标结果使自己的合法权益受到损害的，应当在采购程序环节结束之日或中标公告期限届满之日起七个工作日内，以书面形式向广西奥金斯项目管理有限公司提出质疑。广西奥金斯项目管理有限公司应认真做好质疑处理工作。</w:t>
      </w:r>
      <w:bookmarkEnd w:id="102"/>
      <w:bookmarkEnd w:id="103"/>
    </w:p>
    <w:p w14:paraId="7BDE548E">
      <w:pPr>
        <w:keepNext w:val="0"/>
        <w:keepLines w:val="0"/>
        <w:pageBreakBefore w:val="0"/>
        <w:kinsoku/>
        <w:wordWrap/>
        <w:overflowPunct/>
        <w:topLinePunct w:val="0"/>
        <w:bidi w:val="0"/>
        <w:snapToGrid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接收质疑函方式：以书面形式（原件）提交</w:t>
      </w:r>
    </w:p>
    <w:p w14:paraId="1B5EB2FD">
      <w:pPr>
        <w:keepNext w:val="0"/>
        <w:keepLines w:val="0"/>
        <w:pageBreakBefore w:val="0"/>
        <w:kinsoku/>
        <w:wordWrap/>
        <w:overflowPunct/>
        <w:topLinePunct w:val="0"/>
        <w:bidi w:val="0"/>
        <w:snapToGrid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质疑联系人：广西奥金斯项目管理有限公司，联系电话：0773-2690777</w:t>
      </w:r>
    </w:p>
    <w:p w14:paraId="1B0560DD">
      <w:pPr>
        <w:keepNext w:val="0"/>
        <w:keepLines w:val="0"/>
        <w:pageBreakBefore w:val="0"/>
        <w:tabs>
          <w:tab w:val="left" w:pos="2190"/>
        </w:tabs>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通讯地址：桂林市秀峰区翠竹路23号50-2号</w:t>
      </w:r>
    </w:p>
    <w:p w14:paraId="3861C6AB">
      <w:pPr>
        <w:keepNext w:val="0"/>
        <w:keepLines w:val="0"/>
        <w:pageBreakBefore w:val="0"/>
        <w:tabs>
          <w:tab w:val="left" w:pos="1635"/>
        </w:tabs>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bookmarkStart w:id="104" w:name="_Toc5874"/>
      <w:bookmarkStart w:id="105" w:name="_Toc17981"/>
      <w:r>
        <w:rPr>
          <w:rFonts w:hint="eastAsia" w:ascii="宋体" w:hAnsi="宋体" w:eastAsia="宋体" w:cs="宋体"/>
          <w:color w:val="000000" w:themeColor="text1"/>
          <w:sz w:val="21"/>
          <w:szCs w:val="21"/>
          <w:highlight w:val="none"/>
          <w14:textFill>
            <w14:solidFill>
              <w14:schemeClr w14:val="tx1"/>
            </w14:solidFill>
          </w14:textFill>
        </w:rPr>
        <w:t>10.2投标人对采购代理机构的答复不满意或者采购代理机构未在规定的时间内作出答复的，可以在答复期满后十五个工作日内向财政部门投诉。</w:t>
      </w:r>
      <w:bookmarkEnd w:id="104"/>
      <w:bookmarkEnd w:id="105"/>
    </w:p>
    <w:p w14:paraId="1A0F536F">
      <w:pPr>
        <w:keepNext w:val="0"/>
        <w:keepLines w:val="0"/>
        <w:pageBreakBefore w:val="0"/>
        <w:tabs>
          <w:tab w:val="left" w:pos="1635"/>
        </w:tabs>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bookmarkStart w:id="106" w:name="_Toc23108"/>
      <w:bookmarkStart w:id="107" w:name="_Toc613"/>
      <w:r>
        <w:rPr>
          <w:rFonts w:hint="eastAsia" w:ascii="宋体" w:hAnsi="宋体" w:eastAsia="宋体" w:cs="宋体"/>
          <w:color w:val="000000" w:themeColor="text1"/>
          <w:sz w:val="21"/>
          <w:szCs w:val="21"/>
          <w:highlight w:val="none"/>
          <w14:textFill>
            <w14:solidFill>
              <w14:schemeClr w14:val="tx1"/>
            </w14:solidFill>
          </w14:textFill>
        </w:rPr>
        <w:t>10.3质疑、投诉应当采用书面形式，质疑书、投诉书实行实名制，均应明确阐述招标文件、招标过程或中标结果中使自己合法权益受到损害的实质性内容，并提供必要的证明材料。</w:t>
      </w:r>
      <w:bookmarkEnd w:id="106"/>
      <w:bookmarkEnd w:id="107"/>
    </w:p>
    <w:p w14:paraId="59007D79">
      <w:pPr>
        <w:keepNext w:val="0"/>
        <w:keepLines w:val="0"/>
        <w:pageBreakBefore w:val="0"/>
        <w:tabs>
          <w:tab w:val="left" w:pos="2190"/>
        </w:tabs>
        <w:kinsoku/>
        <w:wordWrap/>
        <w:overflowPunct/>
        <w:topLinePunct w:val="0"/>
        <w:bidi w:val="0"/>
        <w:spacing w:line="440" w:lineRule="exact"/>
        <w:ind w:firstLine="435"/>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p>
    <w:p w14:paraId="02DA74FC">
      <w:pPr>
        <w:keepNext w:val="0"/>
        <w:keepLines w:val="0"/>
        <w:pageBreakBefore w:val="0"/>
        <w:kinsoku/>
        <w:wordWrap/>
        <w:overflowPunct/>
        <w:topLinePunct w:val="0"/>
        <w:bidi w:val="0"/>
        <w:spacing w:line="440" w:lineRule="exact"/>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108" w:name="_Toc495841755"/>
      <w:bookmarkStart w:id="109" w:name="_Toc24908"/>
      <w:bookmarkStart w:id="110" w:name="_Toc26849"/>
      <w:bookmarkStart w:id="111" w:name="_Toc11938"/>
      <w:bookmarkStart w:id="112" w:name="_Toc24358"/>
      <w:r>
        <w:rPr>
          <w:rFonts w:hint="eastAsia" w:ascii="宋体" w:hAnsi="宋体" w:eastAsia="宋体" w:cs="宋体"/>
          <w:b/>
          <w:color w:val="000000" w:themeColor="text1"/>
          <w:sz w:val="21"/>
          <w:szCs w:val="21"/>
          <w:highlight w:val="none"/>
          <w14:textFill>
            <w14:solidFill>
              <w14:schemeClr w14:val="tx1"/>
            </w14:solidFill>
          </w14:textFill>
        </w:rPr>
        <w:t>二、招标文件</w:t>
      </w:r>
      <w:bookmarkEnd w:id="108"/>
      <w:bookmarkEnd w:id="109"/>
      <w:bookmarkEnd w:id="110"/>
      <w:bookmarkEnd w:id="111"/>
      <w:bookmarkEnd w:id="112"/>
    </w:p>
    <w:p w14:paraId="11C69BDA">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113" w:name="_Toc1161"/>
      <w:bookmarkStart w:id="114" w:name="_Toc1558"/>
      <w:bookmarkStart w:id="115" w:name="_Toc17941"/>
      <w:bookmarkStart w:id="116" w:name="_Toc3397"/>
      <w:r>
        <w:rPr>
          <w:rFonts w:hint="eastAsia" w:ascii="宋体" w:hAnsi="宋体" w:eastAsia="宋体" w:cs="宋体"/>
          <w:b/>
          <w:color w:val="000000" w:themeColor="text1"/>
          <w:sz w:val="21"/>
          <w:szCs w:val="21"/>
          <w:highlight w:val="none"/>
          <w14:textFill>
            <w14:solidFill>
              <w14:schemeClr w14:val="tx1"/>
            </w14:solidFill>
          </w14:textFill>
        </w:rPr>
        <w:t>11. 招标文件的构成</w:t>
      </w:r>
      <w:bookmarkEnd w:id="113"/>
      <w:bookmarkEnd w:id="114"/>
      <w:bookmarkEnd w:id="115"/>
      <w:bookmarkEnd w:id="116"/>
    </w:p>
    <w:p w14:paraId="0B55A56F">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（1）招标公告；</w:t>
      </w:r>
    </w:p>
    <w:p w14:paraId="6FB85662">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（2）投标人须知；</w:t>
      </w:r>
    </w:p>
    <w:p w14:paraId="0DD6DD40">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lang w:eastAsia="zh-CN"/>
          <w14:textFill>
            <w14:solidFill>
              <w14:schemeClr w14:val="tx1"/>
            </w14:solidFill>
          </w14:textFill>
        </w:rPr>
        <w:t>服务</w:t>
      </w:r>
      <w:r>
        <w:rPr>
          <w:rFonts w:hint="eastAsia" w:ascii="宋体" w:hAnsi="宋体" w:eastAsia="宋体" w:cs="宋体"/>
          <w:color w:val="000000" w:themeColor="text1"/>
          <w:sz w:val="21"/>
          <w:szCs w:val="21"/>
          <w:highlight w:val="none"/>
          <w14:textFill>
            <w14:solidFill>
              <w14:schemeClr w14:val="tx1"/>
            </w14:solidFill>
          </w14:textFill>
        </w:rPr>
        <w:t>采购需求；</w:t>
      </w:r>
    </w:p>
    <w:p w14:paraId="06F2863E">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（4）评标办法；</w:t>
      </w:r>
    </w:p>
    <w:p w14:paraId="2114AF86">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（5）采购合同（合同主要条款及格式）；</w:t>
      </w:r>
    </w:p>
    <w:p w14:paraId="319E6798">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（6）投标文件（格式）。</w:t>
      </w:r>
    </w:p>
    <w:p w14:paraId="24F909BD">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117" w:name="_Toc230"/>
      <w:bookmarkStart w:id="118" w:name="_Toc22681"/>
      <w:bookmarkStart w:id="119" w:name="_Toc6277"/>
      <w:bookmarkStart w:id="120" w:name="_Toc24191"/>
      <w:r>
        <w:rPr>
          <w:rFonts w:hint="eastAsia" w:ascii="宋体" w:hAnsi="宋体" w:eastAsia="宋体" w:cs="宋体"/>
          <w:b/>
          <w:color w:val="000000" w:themeColor="text1"/>
          <w:sz w:val="21"/>
          <w:szCs w:val="21"/>
          <w:highlight w:val="none"/>
          <w14:textFill>
            <w14:solidFill>
              <w14:schemeClr w14:val="tx1"/>
            </w14:solidFill>
          </w14:textFill>
        </w:rPr>
        <w:t>12. 招标文件的澄清与修改</w:t>
      </w:r>
      <w:bookmarkEnd w:id="117"/>
      <w:bookmarkEnd w:id="118"/>
      <w:bookmarkEnd w:id="119"/>
      <w:bookmarkEnd w:id="120"/>
    </w:p>
    <w:p w14:paraId="00F75122">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12.1投标人应认真阅读招标文件，发现其中有误或有不合理要求的，投标人必须在招标公告期限届满之日起七个工作日内以书面形式要求采购代理机构澄清。</w:t>
      </w:r>
    </w:p>
    <w:p w14:paraId="2AF0450B">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14:paraId="5E95799B">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12.3</w:t>
      </w:r>
      <w:r>
        <w:rPr>
          <w:rFonts w:hint="eastAsia" w:ascii="宋体" w:hAnsi="宋体" w:eastAsia="宋体" w:cs="宋体"/>
          <w:b/>
          <w:color w:val="000000" w:themeColor="text1"/>
          <w:sz w:val="21"/>
          <w:szCs w:val="21"/>
          <w:highlight w:val="none"/>
          <w14:textFill>
            <w14:solidFill>
              <w14:schemeClr w14:val="tx1"/>
            </w14:solidFill>
          </w14:textFill>
        </w:rPr>
        <w:t>投标人下载招标文件后应实时关注相关网站了解澄清、修改等与项目有关的内容，如因投标人未及时登录相关网站了解澄清、修改等与项目有关的内容，从而导致投标无效的，由投标人自行承担责任。</w:t>
      </w:r>
    </w:p>
    <w:p w14:paraId="27672702">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12.4必要的澄清、修改的内容为招标文件的组成部分。当澄清、修改通知就同一内容的表述不一致时，以最后发出的书面文件为准。</w:t>
      </w:r>
    </w:p>
    <w:p w14:paraId="3B5044E7">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12.5招标文件的澄清、修改都应该通过采购代理机构以法定形式发布，采购人非通过本机构，不得擅自澄清、修改招标文件。</w:t>
      </w:r>
    </w:p>
    <w:p w14:paraId="11702F35">
      <w:pPr>
        <w:keepNext w:val="0"/>
        <w:keepLines w:val="0"/>
        <w:pageBreakBefore w:val="0"/>
        <w:tabs>
          <w:tab w:val="left" w:pos="2190"/>
        </w:tabs>
        <w:kinsoku/>
        <w:wordWrap/>
        <w:overflowPunct/>
        <w:topLinePunct w:val="0"/>
        <w:bidi w:val="0"/>
        <w:spacing w:line="440" w:lineRule="exact"/>
        <w:ind w:firstLine="43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p>
    <w:p w14:paraId="17CFBD34">
      <w:pPr>
        <w:keepNext w:val="0"/>
        <w:keepLines w:val="0"/>
        <w:pageBreakBefore w:val="0"/>
        <w:kinsoku/>
        <w:wordWrap/>
        <w:overflowPunct/>
        <w:topLinePunct w:val="0"/>
        <w:bidi w:val="0"/>
        <w:spacing w:line="440" w:lineRule="exact"/>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121" w:name="_Toc17939"/>
      <w:bookmarkStart w:id="122" w:name="_Toc495841756"/>
      <w:bookmarkStart w:id="123" w:name="_Toc7631"/>
      <w:bookmarkStart w:id="124" w:name="_Toc31136"/>
      <w:bookmarkStart w:id="125" w:name="_Toc14040"/>
      <w:r>
        <w:rPr>
          <w:rFonts w:hint="eastAsia" w:ascii="宋体" w:hAnsi="宋体" w:eastAsia="宋体" w:cs="宋体"/>
          <w:b/>
          <w:color w:val="000000" w:themeColor="text1"/>
          <w:sz w:val="21"/>
          <w:szCs w:val="21"/>
          <w:highlight w:val="none"/>
          <w14:textFill>
            <w14:solidFill>
              <w14:schemeClr w14:val="tx1"/>
            </w14:solidFill>
          </w14:textFill>
        </w:rPr>
        <w:t>三、投标文件的编制</w:t>
      </w:r>
      <w:bookmarkEnd w:id="121"/>
      <w:bookmarkEnd w:id="122"/>
      <w:bookmarkEnd w:id="123"/>
      <w:bookmarkEnd w:id="124"/>
      <w:bookmarkEnd w:id="125"/>
    </w:p>
    <w:p w14:paraId="179A292B">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126" w:name="_Toc15443"/>
      <w:bookmarkStart w:id="127" w:name="_Toc15376"/>
      <w:bookmarkStart w:id="128" w:name="_Toc24340"/>
      <w:bookmarkStart w:id="129" w:name="_Toc9027"/>
      <w:r>
        <w:rPr>
          <w:rFonts w:hint="eastAsia" w:ascii="宋体" w:hAnsi="宋体" w:eastAsia="宋体" w:cs="宋体"/>
          <w:b/>
          <w:color w:val="000000" w:themeColor="text1"/>
          <w:sz w:val="21"/>
          <w:szCs w:val="21"/>
          <w:highlight w:val="none"/>
          <w14:textFill>
            <w14:solidFill>
              <w14:schemeClr w14:val="tx1"/>
            </w14:solidFill>
          </w14:textFill>
        </w:rPr>
        <w:t>13. 投标文件的组成及要求</w:t>
      </w:r>
      <w:bookmarkEnd w:id="126"/>
      <w:bookmarkEnd w:id="127"/>
      <w:bookmarkEnd w:id="128"/>
      <w:bookmarkEnd w:id="129"/>
    </w:p>
    <w:p w14:paraId="102A0FB8">
      <w:pPr>
        <w:keepNext w:val="0"/>
        <w:keepLines w:val="0"/>
        <w:pageBreakBefore w:val="0"/>
        <w:kinsoku/>
        <w:wordWrap/>
        <w:overflowPunct/>
        <w:topLinePunct w:val="0"/>
        <w:bidi w:val="0"/>
        <w:spacing w:line="440" w:lineRule="exact"/>
        <w:ind w:firstLine="422" w:firstLineChars="200"/>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13.1 本项目实行电子投标，供应商应准备电子投标文件：</w:t>
      </w:r>
    </w:p>
    <w:p w14:paraId="38A9C90E">
      <w:pPr>
        <w:keepNext w:val="0"/>
        <w:keepLines w:val="0"/>
        <w:pageBreakBefore w:val="0"/>
        <w:kinsoku/>
        <w:wordWrap/>
        <w:overflowPunct/>
        <w:topLinePunct w:val="0"/>
        <w:bidi w:val="0"/>
        <w:spacing w:line="440" w:lineRule="exact"/>
        <w:ind w:firstLine="422"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 xml:space="preserve">13.1.1 电子投标文件按广西政府采购云平台要求及本招标文件要求制作、加密并递交。具体操作流程可参考《政府采购项目电子交易管理操作指南-供应商》，指南可在 “http://www.ccgp-guangxi.gov.cn/PurchaseAdvisory/ImportantNotice/2866753.html”下载。 </w:t>
      </w:r>
    </w:p>
    <w:p w14:paraId="6492F54D">
      <w:pPr>
        <w:keepNext w:val="0"/>
        <w:keepLines w:val="0"/>
        <w:pageBreakBefore w:val="0"/>
        <w:tabs>
          <w:tab w:val="left" w:pos="2190"/>
        </w:tabs>
        <w:kinsoku/>
        <w:wordWrap/>
        <w:overflowPunct/>
        <w:topLinePunct w:val="0"/>
        <w:bidi w:val="0"/>
        <w:spacing w:line="440" w:lineRule="exact"/>
        <w:ind w:firstLine="435"/>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13.2</w:t>
      </w:r>
      <w:r>
        <w:rPr>
          <w:rFonts w:hint="eastAsia" w:ascii="宋体" w:hAnsi="宋体" w:eastAsia="宋体" w:cs="宋体"/>
          <w:b/>
          <w:color w:val="000000" w:themeColor="text1"/>
          <w:sz w:val="21"/>
          <w:szCs w:val="21"/>
          <w:highlight w:val="none"/>
          <w14:textFill>
            <w14:solidFill>
              <w14:schemeClr w14:val="tx1"/>
            </w14:solidFill>
          </w14:textFill>
        </w:rPr>
        <w:t>投标文件组成【格式见第六章“投标文件（格式）”】</w:t>
      </w:r>
    </w:p>
    <w:p w14:paraId="74D9754B">
      <w:pPr>
        <w:keepNext w:val="0"/>
        <w:keepLines w:val="0"/>
        <w:pageBreakBefore w:val="0"/>
        <w:kinsoku/>
        <w:wordWrap/>
        <w:overflowPunct/>
        <w:topLinePunct w:val="0"/>
        <w:bidi w:val="0"/>
        <w:spacing w:line="440" w:lineRule="exact"/>
        <w:ind w:firstLine="422" w:firstLineChars="200"/>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13.2.1资格性响应证明材料：</w:t>
      </w:r>
    </w:p>
    <w:p w14:paraId="5575B4C8">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（1）投标人相应的法定代表人（负责人或自然人）身份证正反面复印件</w:t>
      </w:r>
      <w:r>
        <w:rPr>
          <w:rFonts w:hint="eastAsia" w:ascii="宋体" w:hAnsi="宋体" w:eastAsia="宋体" w:cs="宋体"/>
          <w:b/>
          <w:bCs/>
          <w:color w:val="000000" w:themeColor="text1"/>
          <w:sz w:val="21"/>
          <w:szCs w:val="21"/>
          <w:highlight w:val="none"/>
          <w14:textFill>
            <w14:solidFill>
              <w14:schemeClr w14:val="tx1"/>
            </w14:solidFill>
          </w14:textFill>
        </w:rPr>
        <w:t>（必须提供）</w:t>
      </w:r>
      <w:r>
        <w:rPr>
          <w:rFonts w:hint="eastAsia" w:ascii="宋体" w:hAnsi="宋体" w:eastAsia="宋体" w:cs="宋体"/>
          <w:color w:val="000000" w:themeColor="text1"/>
          <w:sz w:val="21"/>
          <w:szCs w:val="21"/>
          <w:highlight w:val="none"/>
          <w14:textFill>
            <w14:solidFill>
              <w14:schemeClr w14:val="tx1"/>
            </w14:solidFill>
          </w14:textFill>
        </w:rPr>
        <w:t>；</w:t>
      </w:r>
    </w:p>
    <w:p w14:paraId="1FA54449">
      <w:pPr>
        <w:keepNext w:val="0"/>
        <w:keepLines w:val="0"/>
        <w:pageBreakBefore w:val="0"/>
        <w:tabs>
          <w:tab w:val="left" w:pos="1305"/>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（2）投标人的授权委托书原件</w:t>
      </w:r>
      <w:r>
        <w:rPr>
          <w:rFonts w:hint="eastAsia" w:ascii="宋体" w:hAnsi="宋体" w:eastAsia="宋体" w:cs="宋体"/>
          <w:b/>
          <w:color w:val="000000" w:themeColor="text1"/>
          <w:sz w:val="21"/>
          <w:szCs w:val="21"/>
          <w:highlight w:val="none"/>
          <w14:textFill>
            <w14:solidFill>
              <w14:schemeClr w14:val="tx1"/>
            </w14:solidFill>
          </w14:textFill>
        </w:rPr>
        <w:t>（格式见附件）</w:t>
      </w:r>
      <w:r>
        <w:rPr>
          <w:rFonts w:hint="eastAsia" w:ascii="宋体" w:hAnsi="宋体" w:eastAsia="宋体" w:cs="宋体"/>
          <w:color w:val="000000" w:themeColor="text1"/>
          <w:sz w:val="21"/>
          <w:szCs w:val="21"/>
          <w:highlight w:val="none"/>
          <w14:textFill>
            <w14:solidFill>
              <w14:schemeClr w14:val="tx1"/>
            </w14:solidFill>
          </w14:textFill>
        </w:rPr>
        <w:t>、委托代理人身份证正反面复印件以及由县级以上（含县级）社会养老保险经办机构出具的</w:t>
      </w:r>
      <w:r>
        <w:rPr>
          <w:rFonts w:hint="eastAsia" w:ascii="宋体" w:hAnsi="宋体" w:eastAsia="宋体" w:cs="宋体"/>
          <w:bCs/>
          <w:color w:val="000000" w:themeColor="text1"/>
          <w:sz w:val="21"/>
          <w:szCs w:val="21"/>
          <w:highlight w:val="none"/>
          <w14:textFill>
            <w14:solidFill>
              <w14:schemeClr w14:val="tx1"/>
            </w14:solidFill>
          </w14:textFill>
        </w:rPr>
        <w:t>投标人为委托代理人交纳投标截止之日前半年内任意连续三个月社保证明复印件</w:t>
      </w:r>
      <w:r>
        <w:rPr>
          <w:rFonts w:hint="eastAsia" w:ascii="宋体" w:hAnsi="宋体" w:eastAsia="宋体" w:cs="宋体"/>
          <w:color w:val="000000" w:themeColor="text1"/>
          <w:sz w:val="21"/>
          <w:szCs w:val="21"/>
          <w:highlight w:val="none"/>
          <w14:textFill>
            <w14:solidFill>
              <w14:schemeClr w14:val="tx1"/>
            </w14:solidFill>
          </w14:textFill>
        </w:rPr>
        <w:t>【自然人投标的应提供由县级以上（含县级）社会养老保险经办机构出具的自然人本人及委托代理人所交纳的社保证明复印件】</w:t>
      </w:r>
      <w:r>
        <w:rPr>
          <w:rFonts w:hint="eastAsia" w:ascii="宋体" w:hAnsi="宋体" w:eastAsia="宋体" w:cs="宋体"/>
          <w:b/>
          <w:color w:val="000000" w:themeColor="text1"/>
          <w:sz w:val="21"/>
          <w:szCs w:val="21"/>
          <w:highlight w:val="none"/>
          <w14:textFill>
            <w14:solidFill>
              <w14:schemeClr w14:val="tx1"/>
            </w14:solidFill>
          </w14:textFill>
        </w:rPr>
        <w:t>（委托代理时必须提供；若为新成立的企业，请根据实际情况提供）</w:t>
      </w:r>
      <w:r>
        <w:rPr>
          <w:rFonts w:hint="eastAsia" w:ascii="宋体" w:hAnsi="宋体" w:eastAsia="宋体" w:cs="宋体"/>
          <w:color w:val="000000" w:themeColor="text1"/>
          <w:sz w:val="21"/>
          <w:szCs w:val="21"/>
          <w:highlight w:val="none"/>
          <w14:textFill>
            <w14:solidFill>
              <w14:schemeClr w14:val="tx1"/>
            </w14:solidFill>
          </w14:textFill>
        </w:rPr>
        <w:t>；</w:t>
      </w:r>
    </w:p>
    <w:p w14:paraId="22396004">
      <w:pPr>
        <w:keepNext w:val="0"/>
        <w:keepLines w:val="0"/>
        <w:pageBreakBefore w:val="0"/>
        <w:tabs>
          <w:tab w:val="left" w:pos="1305"/>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（3）投标人的法人或者其他组织营业执照等证明文件复印件</w:t>
      </w:r>
      <w:r>
        <w:rPr>
          <w:rFonts w:hint="eastAsia" w:ascii="宋体" w:hAnsi="宋体" w:eastAsia="宋体" w:cs="宋体"/>
          <w:b/>
          <w:color w:val="000000" w:themeColor="text1"/>
          <w:sz w:val="21"/>
          <w:szCs w:val="21"/>
          <w:highlight w:val="none"/>
          <w14:textFill>
            <w14:solidFill>
              <w14:schemeClr w14:val="tx1"/>
            </w14:solidFill>
          </w14:textFill>
        </w:rPr>
        <w:t>（必须提供，自然人除外）</w:t>
      </w:r>
      <w:r>
        <w:rPr>
          <w:rFonts w:hint="eastAsia" w:ascii="宋体" w:hAnsi="宋体" w:eastAsia="宋体" w:cs="宋体"/>
          <w:color w:val="000000" w:themeColor="text1"/>
          <w:sz w:val="21"/>
          <w:szCs w:val="21"/>
          <w:highlight w:val="none"/>
          <w14:textFill>
            <w14:solidFill>
              <w14:schemeClr w14:val="tx1"/>
            </w14:solidFill>
          </w14:textFill>
        </w:rPr>
        <w:t>；</w:t>
      </w:r>
    </w:p>
    <w:p w14:paraId="0E253579">
      <w:pPr>
        <w:keepNext w:val="0"/>
        <w:keepLines w:val="0"/>
        <w:pageBreakBefore w:val="0"/>
        <w:tabs>
          <w:tab w:val="left" w:pos="1305"/>
        </w:tabs>
        <w:kinsoku/>
        <w:wordWrap/>
        <w:overflowPunct/>
        <w:topLinePunct w:val="0"/>
        <w:bidi w:val="0"/>
        <w:spacing w:line="440" w:lineRule="exact"/>
        <w:ind w:firstLine="422"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44812964">
      <w:pPr>
        <w:keepNext w:val="0"/>
        <w:keepLines w:val="0"/>
        <w:pageBreakBefore w:val="0"/>
        <w:numPr>
          <w:ilvl w:val="0"/>
          <w:numId w:val="0"/>
        </w:numPr>
        <w:tabs>
          <w:tab w:val="left" w:pos="1305"/>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投标人参加采购活动前3年内在经营活动中没有重大违法记录及有关信用信息的书面声明</w:t>
      </w:r>
      <w:r>
        <w:rPr>
          <w:rFonts w:hint="eastAsia" w:ascii="宋体" w:hAnsi="宋体" w:eastAsia="宋体" w:cs="宋体"/>
          <w:b/>
          <w:color w:val="000000" w:themeColor="text1"/>
          <w:sz w:val="21"/>
          <w:szCs w:val="21"/>
          <w:highlight w:val="none"/>
          <w14:textFill>
            <w14:solidFill>
              <w14:schemeClr w14:val="tx1"/>
            </w14:solidFill>
          </w14:textFill>
        </w:rPr>
        <w:t>（格式见附件，必须提供）</w:t>
      </w:r>
      <w:r>
        <w:rPr>
          <w:rFonts w:hint="eastAsia" w:ascii="宋体" w:hAnsi="宋体" w:eastAsia="宋体" w:cs="宋体"/>
          <w:color w:val="000000" w:themeColor="text1"/>
          <w:sz w:val="21"/>
          <w:szCs w:val="21"/>
          <w:highlight w:val="none"/>
          <w14:textFill>
            <w14:solidFill>
              <w14:schemeClr w14:val="tx1"/>
            </w14:solidFill>
          </w14:textFill>
        </w:rPr>
        <w:t>；</w:t>
      </w:r>
    </w:p>
    <w:p w14:paraId="462D55FB">
      <w:pPr>
        <w:keepNext w:val="0"/>
        <w:keepLines w:val="0"/>
        <w:pageBreakBefore w:val="0"/>
        <w:numPr>
          <w:ilvl w:val="0"/>
          <w:numId w:val="0"/>
        </w:numPr>
        <w:tabs>
          <w:tab w:val="left" w:pos="1305"/>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（5）</w:t>
      </w:r>
      <w:r>
        <w:rPr>
          <w:rFonts w:hint="eastAsia" w:ascii="宋体" w:hAnsi="宋体" w:eastAsia="宋体" w:cs="宋体"/>
          <w:bCs/>
          <w:color w:val="000000" w:themeColor="text1"/>
          <w:sz w:val="21"/>
          <w:szCs w:val="21"/>
          <w:highlight w:val="none"/>
          <w14:textFill>
            <w14:solidFill>
              <w14:schemeClr w14:val="tx1"/>
            </w14:solidFill>
          </w14:textFill>
        </w:rPr>
        <w:t>供应商属于中小微企业或监狱企业或残疾人福利性单位的证明材料【①如属于中小企业在参加政府采购活动时，应当出具《中小企业声明函》（格式见附件），以提供的《中小企业声明函》为准，并对声明的真实性负责；②如属于监狱企业的，应当提供由省级以上监狱管理局、戒毒管理局(含新疆生产建设兵团)出具的属于监狱企业的证明文件复印件；③如符合条件的残疾人福利性单位在参加政府采购活动时，应当提供《残疾人福利性单位声明函》（格式见附件），并对声明的真实性负责】</w:t>
      </w:r>
      <w:r>
        <w:rPr>
          <w:rFonts w:hint="eastAsia" w:ascii="宋体" w:hAnsi="宋体" w:eastAsia="宋体" w:cs="宋体"/>
          <w:b/>
          <w:bCs/>
          <w:color w:val="000000" w:themeColor="text1"/>
          <w:sz w:val="21"/>
          <w:szCs w:val="21"/>
          <w:highlight w:val="none"/>
          <w14:textFill>
            <w14:solidFill>
              <w14:schemeClr w14:val="tx1"/>
            </w14:solidFill>
          </w14:textFill>
        </w:rPr>
        <w:t>（必须提供）</w:t>
      </w:r>
      <w:r>
        <w:rPr>
          <w:rFonts w:hint="eastAsia" w:ascii="宋体" w:hAnsi="宋体" w:cs="宋体"/>
          <w:b/>
          <w:bCs/>
          <w:color w:val="000000" w:themeColor="text1"/>
          <w:sz w:val="21"/>
          <w:szCs w:val="21"/>
          <w:highlight w:val="none"/>
          <w:lang w:eastAsia="zh-CN"/>
          <w14:textFill>
            <w14:solidFill>
              <w14:schemeClr w14:val="tx1"/>
            </w14:solidFill>
          </w14:textFill>
        </w:rPr>
        <w:t>。</w:t>
      </w:r>
    </w:p>
    <w:p w14:paraId="0F9ACEC2">
      <w:pPr>
        <w:keepNext w:val="0"/>
        <w:keepLines w:val="0"/>
        <w:pageBreakBefore w:val="0"/>
        <w:numPr>
          <w:ilvl w:val="0"/>
          <w:numId w:val="0"/>
        </w:numPr>
        <w:tabs>
          <w:tab w:val="left" w:pos="1305"/>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（6）</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采购需求中要求提供相关承诺函</w:t>
      </w:r>
      <w:r>
        <w:rPr>
          <w:rFonts w:hint="eastAsia" w:ascii="宋体" w:hAnsi="宋体" w:eastAsia="宋体" w:cs="宋体"/>
          <w:b/>
          <w:bCs/>
          <w:color w:val="000000" w:themeColor="text1"/>
          <w:sz w:val="21"/>
          <w:szCs w:val="21"/>
          <w:highlight w:val="none"/>
          <w14:textFill>
            <w14:solidFill>
              <w14:schemeClr w14:val="tx1"/>
            </w14:solidFill>
          </w14:textFill>
        </w:rPr>
        <w:t>（必须提供）</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p>
    <w:p w14:paraId="7A21A711">
      <w:pPr>
        <w:keepNext w:val="0"/>
        <w:keepLines w:val="0"/>
        <w:pageBreakBefore w:val="0"/>
        <w:tabs>
          <w:tab w:val="left" w:pos="1305"/>
        </w:tabs>
        <w:kinsoku/>
        <w:wordWrap/>
        <w:overflowPunct/>
        <w:topLinePunct w:val="0"/>
        <w:bidi w:val="0"/>
        <w:spacing w:line="440" w:lineRule="exact"/>
        <w:ind w:firstLine="422"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13.2.2</w:t>
      </w:r>
      <w:r>
        <w:rPr>
          <w:rFonts w:hint="eastAsia" w:ascii="宋体" w:hAnsi="宋体" w:eastAsia="宋体" w:cs="宋体"/>
          <w:b/>
          <w:color w:val="000000" w:themeColor="text1"/>
          <w:sz w:val="21"/>
          <w:szCs w:val="21"/>
          <w:highlight w:val="none"/>
          <w14:textFill>
            <w14:solidFill>
              <w14:schemeClr w14:val="tx1"/>
            </w14:solidFill>
          </w14:textFill>
        </w:rPr>
        <w:t>商务、技术性响应及其他证明材料：</w:t>
      </w:r>
    </w:p>
    <w:p w14:paraId="781320AC">
      <w:pPr>
        <w:keepNext w:val="0"/>
        <w:keepLines w:val="0"/>
        <w:pageBreakBefore w:val="0"/>
        <w:tabs>
          <w:tab w:val="left" w:pos="1305"/>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（1）投标函</w:t>
      </w:r>
      <w:r>
        <w:rPr>
          <w:rFonts w:hint="eastAsia" w:ascii="宋体" w:hAnsi="宋体" w:eastAsia="宋体" w:cs="宋体"/>
          <w:b/>
          <w:bCs/>
          <w:color w:val="000000" w:themeColor="text1"/>
          <w:sz w:val="21"/>
          <w:szCs w:val="21"/>
          <w:highlight w:val="none"/>
          <w14:textFill>
            <w14:solidFill>
              <w14:schemeClr w14:val="tx1"/>
            </w14:solidFill>
          </w14:textFill>
        </w:rPr>
        <w:t>（必须提供）；</w:t>
      </w:r>
    </w:p>
    <w:p w14:paraId="10D95D19">
      <w:pPr>
        <w:keepNext w:val="0"/>
        <w:keepLines w:val="0"/>
        <w:pageBreakBefore w:val="0"/>
        <w:tabs>
          <w:tab w:val="left" w:pos="1305"/>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（2）投标报价表</w:t>
      </w:r>
      <w:r>
        <w:rPr>
          <w:rFonts w:hint="eastAsia" w:ascii="宋体" w:hAnsi="宋体" w:eastAsia="宋体" w:cs="宋体"/>
          <w:b/>
          <w:color w:val="000000" w:themeColor="text1"/>
          <w:sz w:val="21"/>
          <w:szCs w:val="21"/>
          <w:highlight w:val="none"/>
          <w14:textFill>
            <w14:solidFill>
              <w14:schemeClr w14:val="tx1"/>
            </w14:solidFill>
          </w14:textFill>
        </w:rPr>
        <w:t>（必须提供）</w:t>
      </w:r>
      <w:r>
        <w:rPr>
          <w:rFonts w:hint="eastAsia" w:ascii="宋体" w:hAnsi="宋体" w:eastAsia="宋体" w:cs="宋体"/>
          <w:color w:val="000000" w:themeColor="text1"/>
          <w:sz w:val="21"/>
          <w:szCs w:val="21"/>
          <w:highlight w:val="none"/>
          <w14:textFill>
            <w14:solidFill>
              <w14:schemeClr w14:val="tx1"/>
            </w14:solidFill>
          </w14:textFill>
        </w:rPr>
        <w:t>；</w:t>
      </w:r>
    </w:p>
    <w:p w14:paraId="65C02FBB">
      <w:pPr>
        <w:keepNext w:val="0"/>
        <w:keepLines w:val="0"/>
        <w:pageBreakBefore w:val="0"/>
        <w:tabs>
          <w:tab w:val="left" w:pos="1305"/>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服务内容及要求响应表</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（必须提供）；</w:t>
      </w:r>
    </w:p>
    <w:p w14:paraId="7DD5503C">
      <w:pPr>
        <w:keepNext w:val="0"/>
        <w:keepLines w:val="0"/>
        <w:pageBreakBefore w:val="0"/>
        <w:tabs>
          <w:tab w:val="left" w:pos="1305"/>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）商务</w:t>
      </w:r>
      <w:r>
        <w:rPr>
          <w:rFonts w:hint="eastAsia" w:ascii="宋体" w:hAnsi="宋体" w:cs="宋体"/>
          <w:color w:val="000000" w:themeColor="text1"/>
          <w:sz w:val="21"/>
          <w:szCs w:val="21"/>
          <w:highlight w:val="none"/>
          <w:lang w:val="en-US" w:eastAsia="zh-CN"/>
          <w14:textFill>
            <w14:solidFill>
              <w14:schemeClr w14:val="tx1"/>
            </w14:solidFill>
          </w14:textFill>
        </w:rPr>
        <w:t>要求</w:t>
      </w:r>
      <w:r>
        <w:rPr>
          <w:rFonts w:hint="eastAsia" w:ascii="宋体" w:hAnsi="宋体" w:eastAsia="宋体" w:cs="宋体"/>
          <w:color w:val="000000" w:themeColor="text1"/>
          <w:sz w:val="21"/>
          <w:szCs w:val="21"/>
          <w:highlight w:val="none"/>
          <w14:textFill>
            <w14:solidFill>
              <w14:schemeClr w14:val="tx1"/>
            </w14:solidFill>
          </w14:textFill>
        </w:rPr>
        <w:t>响应表</w:t>
      </w:r>
      <w:r>
        <w:rPr>
          <w:rFonts w:hint="eastAsia" w:ascii="宋体" w:hAnsi="宋体" w:eastAsia="宋体" w:cs="宋体"/>
          <w:b/>
          <w:color w:val="000000" w:themeColor="text1"/>
          <w:sz w:val="21"/>
          <w:szCs w:val="21"/>
          <w:highlight w:val="none"/>
          <w14:textFill>
            <w14:solidFill>
              <w14:schemeClr w14:val="tx1"/>
            </w14:solidFill>
          </w14:textFill>
        </w:rPr>
        <w:t>（必须提供）</w:t>
      </w:r>
      <w:r>
        <w:rPr>
          <w:rFonts w:hint="eastAsia" w:ascii="宋体" w:hAnsi="宋体" w:eastAsia="宋体" w:cs="宋体"/>
          <w:bCs/>
          <w:color w:val="000000" w:themeColor="text1"/>
          <w:sz w:val="21"/>
          <w:szCs w:val="21"/>
          <w:highlight w:val="none"/>
          <w14:textFill>
            <w14:solidFill>
              <w14:schemeClr w14:val="tx1"/>
            </w14:solidFill>
          </w14:textFill>
        </w:rPr>
        <w:t>；</w:t>
      </w:r>
    </w:p>
    <w:p w14:paraId="7B740AED">
      <w:pPr>
        <w:keepNext w:val="0"/>
        <w:keepLines w:val="0"/>
        <w:pageBreakBefore w:val="0"/>
        <w:tabs>
          <w:tab w:val="left" w:pos="1305"/>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）服务承诺书（</w:t>
      </w:r>
      <w:r>
        <w:rPr>
          <w:rFonts w:hint="eastAsia" w:ascii="宋体" w:hAnsi="宋体" w:cs="宋体"/>
          <w:color w:val="000000" w:themeColor="text1"/>
          <w:sz w:val="21"/>
          <w:szCs w:val="21"/>
          <w:highlight w:val="none"/>
          <w:lang w:eastAsia="zh-CN"/>
          <w14:textFill>
            <w14:solidFill>
              <w14:schemeClr w14:val="tx1"/>
            </w14:solidFill>
          </w14:textFill>
        </w:rPr>
        <w:t>由供应商根据本项目服务采购需求、特点及评标办法自行编写</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（必须提供）</w:t>
      </w:r>
      <w:r>
        <w:rPr>
          <w:rFonts w:hint="eastAsia" w:ascii="宋体" w:hAnsi="宋体" w:eastAsia="宋体" w:cs="宋体"/>
          <w:color w:val="000000" w:themeColor="text1"/>
          <w:sz w:val="21"/>
          <w:szCs w:val="21"/>
          <w:highlight w:val="none"/>
          <w14:textFill>
            <w14:solidFill>
              <w14:schemeClr w14:val="tx1"/>
            </w14:solidFill>
          </w14:textFill>
        </w:rPr>
        <w:t>；</w:t>
      </w:r>
    </w:p>
    <w:p w14:paraId="2DD40D20">
      <w:pPr>
        <w:keepNext w:val="0"/>
        <w:keepLines w:val="0"/>
        <w:pageBreakBefore w:val="0"/>
        <w:tabs>
          <w:tab w:val="left" w:pos="1305"/>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）项目实施方案</w:t>
      </w:r>
      <w:r>
        <w:rPr>
          <w:rFonts w:hint="eastAsia" w:ascii="宋体" w:hAnsi="宋体" w:eastAsia="宋体" w:cs="宋体"/>
          <w:b/>
          <w:color w:val="000000" w:themeColor="text1"/>
          <w:sz w:val="21"/>
          <w:szCs w:val="21"/>
          <w:highlight w:val="none"/>
          <w14:textFill>
            <w14:solidFill>
              <w14:schemeClr w14:val="tx1"/>
            </w14:solidFill>
          </w14:textFill>
        </w:rPr>
        <w:t>（如有，请提供）；</w:t>
      </w:r>
    </w:p>
    <w:p w14:paraId="3B08552C">
      <w:pPr>
        <w:keepNext w:val="0"/>
        <w:keepLines w:val="0"/>
        <w:pageBreakBefore w:val="0"/>
        <w:tabs>
          <w:tab w:val="left" w:pos="1305"/>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）项目实施人员一览表</w:t>
      </w:r>
      <w:r>
        <w:rPr>
          <w:rFonts w:hint="eastAsia" w:ascii="宋体" w:hAnsi="宋体" w:eastAsia="宋体" w:cs="宋体"/>
          <w:b/>
          <w:bCs/>
          <w:color w:val="000000" w:themeColor="text1"/>
          <w:sz w:val="21"/>
          <w:szCs w:val="21"/>
          <w:highlight w:val="none"/>
          <w14:textFill>
            <w14:solidFill>
              <w14:schemeClr w14:val="tx1"/>
            </w14:solidFill>
          </w14:textFill>
        </w:rPr>
        <w:t>（如有，请提供）</w:t>
      </w:r>
      <w:r>
        <w:rPr>
          <w:rFonts w:hint="eastAsia" w:ascii="宋体" w:hAnsi="宋体" w:eastAsia="宋体" w:cs="宋体"/>
          <w:color w:val="000000" w:themeColor="text1"/>
          <w:sz w:val="21"/>
          <w:szCs w:val="21"/>
          <w:highlight w:val="none"/>
          <w14:textFill>
            <w14:solidFill>
              <w14:schemeClr w14:val="tx1"/>
            </w14:solidFill>
          </w14:textFill>
        </w:rPr>
        <w:t>；</w:t>
      </w:r>
    </w:p>
    <w:p w14:paraId="49B85CF0">
      <w:pPr>
        <w:keepNext w:val="0"/>
        <w:keepLines w:val="0"/>
        <w:pageBreakBefore w:val="0"/>
        <w:tabs>
          <w:tab w:val="left" w:pos="1305"/>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）投标人2020年以来具有同类业绩的相关证明材料</w:t>
      </w:r>
      <w:r>
        <w:rPr>
          <w:rFonts w:hint="eastAsia" w:ascii="宋体" w:hAnsi="宋体" w:eastAsia="宋体" w:cs="宋体"/>
          <w:color w:val="000000" w:themeColor="text1"/>
          <w:spacing w:val="-12"/>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以中标（成交）通知书或签订的合同复印件为准，并能清晰反映项目的名称、采购内容、采购金额、采购时间等内容】</w:t>
      </w: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cs="宋体"/>
          <w:b/>
          <w:color w:val="000000" w:themeColor="text1"/>
          <w:sz w:val="21"/>
          <w:szCs w:val="21"/>
          <w:highlight w:val="none"/>
          <w:lang w:eastAsia="zh-CN"/>
          <w14:textFill>
            <w14:solidFill>
              <w14:schemeClr w14:val="tx1"/>
            </w14:solidFill>
          </w14:textFill>
        </w:rPr>
        <w:t>如有，请提供</w:t>
      </w: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w:t>
      </w:r>
    </w:p>
    <w:p w14:paraId="40D248DE">
      <w:pPr>
        <w:keepNext w:val="0"/>
        <w:keepLines w:val="0"/>
        <w:pageBreakBefore w:val="0"/>
        <w:tabs>
          <w:tab w:val="left" w:pos="1305"/>
        </w:tabs>
        <w:kinsoku/>
        <w:wordWrap/>
        <w:overflowPunct/>
        <w:topLinePunct w:val="0"/>
        <w:bidi w:val="0"/>
        <w:spacing w:line="440" w:lineRule="exact"/>
        <w:ind w:firstLine="420" w:firstLineChars="200"/>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）投标人相关获奖证书、认证证书等复印件</w:t>
      </w:r>
      <w:r>
        <w:rPr>
          <w:rFonts w:hint="eastAsia" w:ascii="宋体" w:hAnsi="宋体" w:eastAsia="宋体" w:cs="宋体"/>
          <w:b/>
          <w:color w:val="000000" w:themeColor="text1"/>
          <w:sz w:val="21"/>
          <w:szCs w:val="21"/>
          <w:highlight w:val="none"/>
          <w14:textFill>
            <w14:solidFill>
              <w14:schemeClr w14:val="tx1"/>
            </w14:solidFill>
          </w14:textFill>
        </w:rPr>
        <w:t>（如有，请提供）</w:t>
      </w:r>
      <w:r>
        <w:rPr>
          <w:rFonts w:hint="eastAsia" w:ascii="宋体" w:hAnsi="宋体" w:eastAsia="宋体" w:cs="宋体"/>
          <w:bCs/>
          <w:color w:val="000000" w:themeColor="text1"/>
          <w:sz w:val="21"/>
          <w:szCs w:val="21"/>
          <w:highlight w:val="none"/>
          <w14:textFill>
            <w14:solidFill>
              <w14:schemeClr w14:val="tx1"/>
            </w14:solidFill>
          </w14:textFill>
        </w:rPr>
        <w:t>；</w:t>
      </w:r>
    </w:p>
    <w:p w14:paraId="2CA2FD19">
      <w:pPr>
        <w:keepNext w:val="0"/>
        <w:keepLines w:val="0"/>
        <w:pageBreakBefore w:val="0"/>
        <w:tabs>
          <w:tab w:val="left" w:pos="1305"/>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）投标人可结合本项目的评标办法视自身情况自行提交相关证明材料</w:t>
      </w:r>
      <w:r>
        <w:rPr>
          <w:rFonts w:hint="eastAsia" w:ascii="宋体" w:hAnsi="宋体" w:eastAsia="宋体" w:cs="宋体"/>
          <w:b/>
          <w:color w:val="000000" w:themeColor="text1"/>
          <w:sz w:val="21"/>
          <w:szCs w:val="21"/>
          <w:highlight w:val="none"/>
          <w14:textFill>
            <w14:solidFill>
              <w14:schemeClr w14:val="tx1"/>
            </w14:solidFill>
          </w14:textFill>
        </w:rPr>
        <w:t>（如有，请提供）</w:t>
      </w:r>
      <w:r>
        <w:rPr>
          <w:rFonts w:hint="eastAsia" w:ascii="宋体" w:hAnsi="宋体" w:eastAsia="宋体" w:cs="宋体"/>
          <w:color w:val="000000" w:themeColor="text1"/>
          <w:sz w:val="21"/>
          <w:szCs w:val="21"/>
          <w:highlight w:val="none"/>
          <w14:textFill>
            <w14:solidFill>
              <w14:schemeClr w14:val="tx1"/>
            </w14:solidFill>
          </w14:textFill>
        </w:rPr>
        <w:t>。</w:t>
      </w:r>
    </w:p>
    <w:p w14:paraId="03D464C7">
      <w:pPr>
        <w:keepNext w:val="0"/>
        <w:keepLines w:val="0"/>
        <w:pageBreakBefore w:val="0"/>
        <w:kinsoku/>
        <w:wordWrap/>
        <w:overflowPunct/>
        <w:topLinePunct w:val="0"/>
        <w:bidi w:val="0"/>
        <w:spacing w:line="440" w:lineRule="exact"/>
        <w:ind w:firstLine="420"/>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投标人提供的以上相关证明材料属于“必须提供”的文件应加盖投标人公章（CA签章）/自然人签字或加盖个人CA签章，否则投标无效。</w:t>
      </w:r>
    </w:p>
    <w:p w14:paraId="062ADEB8">
      <w:pPr>
        <w:keepNext w:val="0"/>
        <w:keepLines w:val="0"/>
        <w:pageBreakBefore w:val="0"/>
        <w:kinsoku/>
        <w:wordWrap/>
        <w:overflowPunct/>
        <w:topLinePunct w:val="0"/>
        <w:bidi w:val="0"/>
        <w:spacing w:line="440" w:lineRule="exact"/>
        <w:ind w:firstLine="42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13.3投标人应按招标文件第六章“投标文件（格式）”编制投标文件。</w:t>
      </w:r>
    </w:p>
    <w:p w14:paraId="35AEE3B4">
      <w:pPr>
        <w:keepNext w:val="0"/>
        <w:keepLines w:val="0"/>
        <w:pageBreakBefore w:val="0"/>
        <w:kinsoku/>
        <w:wordWrap/>
        <w:overflowPunct/>
        <w:topLinePunct w:val="0"/>
        <w:bidi w:val="0"/>
        <w:spacing w:line="440" w:lineRule="exact"/>
        <w:ind w:firstLine="42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13.4投标文件应当对招标文件提出的要求和条件作出明确响应。</w:t>
      </w:r>
    </w:p>
    <w:p w14:paraId="11624656">
      <w:pPr>
        <w:keepNext w:val="0"/>
        <w:keepLines w:val="0"/>
        <w:pageBreakBefore w:val="0"/>
        <w:kinsoku/>
        <w:wordWrap/>
        <w:overflowPunct/>
        <w:topLinePunct w:val="0"/>
        <w:bidi w:val="0"/>
        <w:spacing w:line="440" w:lineRule="exact"/>
        <w:ind w:firstLine="420"/>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特别说明：</w:t>
      </w:r>
    </w:p>
    <w:p w14:paraId="023111D6">
      <w:pPr>
        <w:keepNext w:val="0"/>
        <w:keepLines w:val="0"/>
        <w:pageBreakBefore w:val="0"/>
        <w:tabs>
          <w:tab w:val="left" w:pos="1305"/>
        </w:tabs>
        <w:kinsoku/>
        <w:wordWrap/>
        <w:overflowPunct/>
        <w:topLinePunct w:val="0"/>
        <w:bidi w:val="0"/>
        <w:spacing w:line="440" w:lineRule="exact"/>
        <w:ind w:firstLine="422" w:firstLineChars="200"/>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bookmarkStart w:id="130" w:name="_Toc11037"/>
      <w:r>
        <w:rPr>
          <w:rFonts w:hint="eastAsia" w:ascii="宋体" w:hAnsi="宋体" w:eastAsia="宋体" w:cs="宋体"/>
          <w:b/>
          <w:bCs/>
          <w:color w:val="000000" w:themeColor="text1"/>
          <w:sz w:val="21"/>
          <w:szCs w:val="21"/>
          <w:highlight w:val="none"/>
          <w14:textFill>
            <w14:solidFill>
              <w14:schemeClr w14:val="tx1"/>
            </w14:solidFill>
          </w14:textFill>
        </w:rPr>
        <w:t>（1）投标文件（电子投标文件），其中电子投标文件中所须加盖公章部分均采用CA签章。若投标文件中有专门标注的某关联点，并要求供应商在电子投标系统中作出投标响应的，如供应商未对关联点进行响应或者在投标文件其它内容中进行描述，造成电子评审不能查询的责任由供应商自行承担。</w:t>
      </w:r>
    </w:p>
    <w:p w14:paraId="2F85E1E3">
      <w:pPr>
        <w:keepNext w:val="0"/>
        <w:keepLines w:val="0"/>
        <w:pageBreakBefore w:val="0"/>
        <w:tabs>
          <w:tab w:val="left" w:pos="1305"/>
        </w:tabs>
        <w:kinsoku/>
        <w:wordWrap/>
        <w:overflowPunct/>
        <w:topLinePunct w:val="0"/>
        <w:bidi w:val="0"/>
        <w:spacing w:line="440" w:lineRule="exact"/>
        <w:ind w:firstLine="422" w:firstLineChars="200"/>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（2）招标文件要求法定代表人（负责人）或委托代理人签字的部分必须签字然后扫描或者拍照做成 pdf 格式上传（或加盖个人CA签章），无签字的视为投标无效。</w:t>
      </w:r>
    </w:p>
    <w:p w14:paraId="3E377C36">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131" w:name="_Toc21633"/>
      <w:bookmarkStart w:id="132" w:name="_Toc31974"/>
      <w:bookmarkStart w:id="133" w:name="_Toc10415"/>
      <w:r>
        <w:rPr>
          <w:rFonts w:hint="eastAsia" w:ascii="宋体" w:hAnsi="宋体" w:eastAsia="宋体" w:cs="宋体"/>
          <w:b/>
          <w:color w:val="000000" w:themeColor="text1"/>
          <w:sz w:val="21"/>
          <w:szCs w:val="21"/>
          <w:highlight w:val="none"/>
          <w14:textFill>
            <w14:solidFill>
              <w14:schemeClr w14:val="tx1"/>
            </w14:solidFill>
          </w14:textFill>
        </w:rPr>
        <w:t>14. 投标文件的语言及计量</w:t>
      </w:r>
      <w:bookmarkEnd w:id="130"/>
      <w:bookmarkEnd w:id="131"/>
      <w:bookmarkEnd w:id="132"/>
      <w:bookmarkEnd w:id="133"/>
    </w:p>
    <w:p w14:paraId="71A4FDAE">
      <w:pPr>
        <w:keepNext w:val="0"/>
        <w:keepLines w:val="0"/>
        <w:pageBreakBefore w:val="0"/>
        <w:tabs>
          <w:tab w:val="left" w:pos="1305"/>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14.1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14:paraId="61A4E2C9">
      <w:pPr>
        <w:keepNext w:val="0"/>
        <w:keepLines w:val="0"/>
        <w:pageBreakBefore w:val="0"/>
        <w:tabs>
          <w:tab w:val="left" w:pos="1305"/>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14.2投标计量单位，招标文件已有明确规定的，使用招标文件规定的计量单位；招标文件没有规定的，应采用中华人民共和国法定计量单位（货币单位：元人民币），否则视同未响应。</w:t>
      </w:r>
    </w:p>
    <w:p w14:paraId="0D9D2C7D">
      <w:pPr>
        <w:keepNext w:val="0"/>
        <w:keepLines w:val="0"/>
        <w:pageBreakBefore w:val="0"/>
        <w:numPr>
          <w:ilvl w:val="0"/>
          <w:numId w:val="2"/>
        </w:numPr>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134" w:name="_Toc8372"/>
      <w:bookmarkStart w:id="135" w:name="_Toc666"/>
      <w:bookmarkStart w:id="136" w:name="_Toc13903"/>
      <w:bookmarkStart w:id="137" w:name="_Toc22957"/>
      <w:r>
        <w:rPr>
          <w:rFonts w:hint="eastAsia" w:ascii="宋体" w:hAnsi="宋体" w:eastAsia="宋体" w:cs="宋体"/>
          <w:b/>
          <w:color w:val="000000" w:themeColor="text1"/>
          <w:sz w:val="21"/>
          <w:szCs w:val="21"/>
          <w:highlight w:val="none"/>
          <w14:textFill>
            <w14:solidFill>
              <w14:schemeClr w14:val="tx1"/>
            </w14:solidFill>
          </w14:textFill>
        </w:rPr>
        <w:t>投标报价</w:t>
      </w:r>
      <w:bookmarkEnd w:id="134"/>
      <w:bookmarkEnd w:id="135"/>
      <w:bookmarkEnd w:id="136"/>
      <w:bookmarkEnd w:id="137"/>
    </w:p>
    <w:p w14:paraId="61C0675D">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15.1投标报价应按招标文件中第六章“投标文件（格式）”填写，</w:t>
      </w:r>
      <w:r>
        <w:rPr>
          <w:rFonts w:hint="eastAsia" w:ascii="宋体" w:hAnsi="宋体" w:eastAsia="宋体" w:cs="宋体"/>
          <w:b/>
          <w:color w:val="000000" w:themeColor="text1"/>
          <w:sz w:val="21"/>
          <w:szCs w:val="21"/>
          <w:highlight w:val="none"/>
          <w14:textFill>
            <w14:solidFill>
              <w14:schemeClr w14:val="tx1"/>
            </w14:solidFill>
          </w14:textFill>
        </w:rPr>
        <w:t>本项目采购预算金额（人民币）：</w:t>
      </w:r>
      <w:r>
        <w:rPr>
          <w:rFonts w:hint="eastAsia" w:ascii="宋体" w:hAnsi="宋体" w:cs="宋体"/>
          <w:b/>
          <w:color w:val="000000" w:themeColor="text1"/>
          <w:sz w:val="21"/>
          <w:szCs w:val="21"/>
          <w:highlight w:val="none"/>
          <w:lang w:eastAsia="zh-CN"/>
          <w14:textFill>
            <w14:solidFill>
              <w14:schemeClr w14:val="tx1"/>
            </w14:solidFill>
          </w14:textFill>
        </w:rPr>
        <w:t>2000000</w:t>
      </w:r>
      <w:r>
        <w:rPr>
          <w:rFonts w:hint="eastAsia" w:ascii="宋体" w:hAnsi="宋体" w:eastAsia="宋体" w:cs="宋体"/>
          <w:b/>
          <w:color w:val="000000" w:themeColor="text1"/>
          <w:sz w:val="21"/>
          <w:szCs w:val="21"/>
          <w:highlight w:val="none"/>
          <w14:textFill>
            <w14:solidFill>
              <w14:schemeClr w14:val="tx1"/>
            </w14:solidFill>
          </w14:textFill>
        </w:rPr>
        <w:t>.00元</w:t>
      </w:r>
      <w:r>
        <w:rPr>
          <w:rFonts w:hint="eastAsia" w:ascii="宋体" w:hAnsi="宋体" w:eastAsia="宋体" w:cs="宋体"/>
          <w:color w:val="000000" w:themeColor="text1"/>
          <w:sz w:val="21"/>
          <w:szCs w:val="21"/>
          <w:highlight w:val="none"/>
          <w14:textFill>
            <w14:solidFill>
              <w14:schemeClr w14:val="tx1"/>
            </w14:solidFill>
          </w14:textFill>
        </w:rPr>
        <w:t>，投标报价超过采购预算金额的，投标文件作无效处理。</w:t>
      </w:r>
    </w:p>
    <w:p w14:paraId="2D4A3E37">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15.2投标人必须就“服务采购需求”中所投内容作完整唯一报价，否则，其投标将被拒绝；投标文件只允许有一个报价，有选择的或有条件的报价将不予接受。</w:t>
      </w:r>
    </w:p>
    <w:p w14:paraId="14419F3F">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15.3投标报价包含本次采购范围内所有费用，采购人不再支付其它任何费用；供应商综合考虑在报价中</w:t>
      </w:r>
    </w:p>
    <w:p w14:paraId="3486F081">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138" w:name="_Toc7712"/>
      <w:bookmarkStart w:id="139" w:name="_Toc22333"/>
      <w:bookmarkStart w:id="140" w:name="_Toc24338"/>
      <w:bookmarkStart w:id="141" w:name="_Toc6473"/>
      <w:r>
        <w:rPr>
          <w:rFonts w:hint="eastAsia" w:ascii="宋体" w:hAnsi="宋体" w:eastAsia="宋体" w:cs="宋体"/>
          <w:b/>
          <w:color w:val="000000" w:themeColor="text1"/>
          <w:sz w:val="21"/>
          <w:szCs w:val="21"/>
          <w:highlight w:val="none"/>
          <w14:textFill>
            <w14:solidFill>
              <w14:schemeClr w14:val="tx1"/>
            </w14:solidFill>
          </w14:textFill>
        </w:rPr>
        <w:t>16. 投标有效期</w:t>
      </w:r>
      <w:bookmarkEnd w:id="138"/>
      <w:bookmarkEnd w:id="139"/>
      <w:bookmarkEnd w:id="140"/>
      <w:bookmarkEnd w:id="141"/>
    </w:p>
    <w:p w14:paraId="37C55CAE">
      <w:pPr>
        <w:keepNext w:val="0"/>
        <w:keepLines w:val="0"/>
        <w:pageBreakBefore w:val="0"/>
        <w:tabs>
          <w:tab w:val="left" w:pos="1305"/>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16.1投标有效期：投标截止时间之日起90天。</w:t>
      </w:r>
    </w:p>
    <w:p w14:paraId="2981548E">
      <w:pPr>
        <w:keepNext w:val="0"/>
        <w:keepLines w:val="0"/>
        <w:pageBreakBefore w:val="0"/>
        <w:tabs>
          <w:tab w:val="left" w:pos="1305"/>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16.2出现特殊情况下，需要延长投标有效期的，采购代理机构以书面形式通知投标人延长投标有效期。投标人同意延长的，原投标文件继续有效。投标人拒绝延长的，其投标无效。</w:t>
      </w:r>
    </w:p>
    <w:p w14:paraId="6195A127">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142" w:name="_Toc10058"/>
      <w:bookmarkStart w:id="143" w:name="_Toc23588"/>
      <w:bookmarkStart w:id="144" w:name="_Toc5668"/>
      <w:bookmarkStart w:id="145" w:name="_Toc20211"/>
      <w:r>
        <w:rPr>
          <w:rFonts w:hint="eastAsia" w:ascii="宋体" w:hAnsi="宋体" w:eastAsia="宋体" w:cs="宋体"/>
          <w:b/>
          <w:color w:val="000000" w:themeColor="text1"/>
          <w:sz w:val="21"/>
          <w:szCs w:val="21"/>
          <w:highlight w:val="none"/>
          <w14:textFill>
            <w14:solidFill>
              <w14:schemeClr w14:val="tx1"/>
            </w14:solidFill>
          </w14:textFill>
        </w:rPr>
        <w:t>17. 投标保证金</w:t>
      </w:r>
      <w:bookmarkEnd w:id="142"/>
      <w:bookmarkEnd w:id="143"/>
      <w:bookmarkEnd w:id="144"/>
      <w:bookmarkEnd w:id="145"/>
    </w:p>
    <w:p w14:paraId="44543FA4">
      <w:pPr>
        <w:keepNext w:val="0"/>
        <w:keepLines w:val="0"/>
        <w:pageBreakBefore w:val="0"/>
        <w:tabs>
          <w:tab w:val="left" w:pos="1305"/>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本项目无需缴纳投标保证金。</w:t>
      </w:r>
    </w:p>
    <w:p w14:paraId="6F1A54AF">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lang w:eastAsia="zh-CN"/>
          <w14:textFill>
            <w14:solidFill>
              <w14:schemeClr w14:val="tx1"/>
            </w14:solidFill>
          </w14:textFill>
        </w:rPr>
      </w:pPr>
      <w:bookmarkStart w:id="146" w:name="_Toc30873"/>
      <w:bookmarkStart w:id="147" w:name="_Toc20745"/>
      <w:bookmarkStart w:id="148" w:name="_Toc17385"/>
      <w:bookmarkStart w:id="149" w:name="_Toc6809"/>
      <w:bookmarkStart w:id="150" w:name="_Toc17461"/>
      <w:bookmarkStart w:id="151" w:name="_Toc25494"/>
      <w:bookmarkStart w:id="152" w:name="_Toc24490"/>
      <w:r>
        <w:rPr>
          <w:rFonts w:hint="eastAsia" w:ascii="宋体" w:hAnsi="宋体" w:eastAsia="宋体" w:cs="宋体"/>
          <w:b/>
          <w:color w:val="000000" w:themeColor="text1"/>
          <w:sz w:val="21"/>
          <w:szCs w:val="21"/>
          <w:highlight w:val="none"/>
          <w14:textFill>
            <w14:solidFill>
              <w14:schemeClr w14:val="tx1"/>
            </w14:solidFill>
          </w14:textFill>
        </w:rPr>
        <w:t>18. 投标文件的</w:t>
      </w:r>
      <w:bookmarkEnd w:id="146"/>
      <w:bookmarkEnd w:id="147"/>
      <w:bookmarkEnd w:id="148"/>
      <w:bookmarkEnd w:id="149"/>
      <w:bookmarkEnd w:id="150"/>
      <w:bookmarkEnd w:id="151"/>
      <w:r>
        <w:rPr>
          <w:rFonts w:hint="eastAsia" w:ascii="宋体" w:hAnsi="宋体" w:cs="宋体"/>
          <w:b/>
          <w:color w:val="000000" w:themeColor="text1"/>
          <w:sz w:val="21"/>
          <w:szCs w:val="21"/>
          <w:highlight w:val="none"/>
          <w:lang w:val="en-US" w:eastAsia="zh-CN"/>
          <w14:textFill>
            <w14:solidFill>
              <w14:schemeClr w14:val="tx1"/>
            </w14:solidFill>
          </w14:textFill>
        </w:rPr>
        <w:t>签章</w:t>
      </w:r>
    </w:p>
    <w:p w14:paraId="602FC32B">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18.1 电子投标文件中须加盖供应商公章部分均采用 CA 签章，并根据“政府采购项目电子交易管理操作指南-供应商” 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 漏读，或者在按招标文件规定的部位查找不到相关内容的，由供应商自行承担。</w:t>
      </w:r>
    </w:p>
    <w:p w14:paraId="235F43BB">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18.2 CA 签章上目前没有法人（负责人）或授权代表签字信息，供应商在投标文件中涉及到签字的位置线下签好字然后扫描或者拍照做成 PDF 的格式即可。 </w:t>
      </w:r>
    </w:p>
    <w:p w14:paraId="18B6211F">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18.3 投标文件不得涂改，若有修改错漏处，须法定代表人（负责人）或授权委托人签字。投标文件因字迹潦草或表达不清所引起的后果由供应商负责。</w:t>
      </w:r>
    </w:p>
    <w:p w14:paraId="1E2160FB">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18.4评审前准备 </w:t>
      </w:r>
    </w:p>
    <w:p w14:paraId="019231F0">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18.4.1本项目实行网上评审，采用电子投标文件。若供应商参与投标，自行承担投标一切费用。 </w:t>
      </w:r>
    </w:p>
    <w:p w14:paraId="609272DE">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18.4.2各供应商在截标前应确保成为广西政府采购云平台正式注册入库供应商，并完成 CA 数字证书申领。因未注册入库、未办理 CA 数字证书等原因造成无法投标或投标失败等后果由供应商自行承担。 </w:t>
      </w:r>
    </w:p>
    <w:p w14:paraId="6D4D8EB5">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18.4.3供应商将广西政府采购云电子交易客户端下载、安装完成后，可通过账号密码或 CA 登录客户端进行投标文件制作。客户端请至网站下载专区查看，如有问题可拨打政采云客户服务热线 95763 进行咨询。</w:t>
      </w:r>
    </w:p>
    <w:bookmarkEnd w:id="152"/>
    <w:p w14:paraId="536895D0">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153" w:name="_Toc15044"/>
      <w:bookmarkStart w:id="154" w:name="_Toc12348"/>
      <w:bookmarkStart w:id="155" w:name="_Toc15098"/>
      <w:bookmarkStart w:id="156" w:name="_Toc2957"/>
      <w:bookmarkStart w:id="157" w:name="_Toc24718"/>
      <w:bookmarkStart w:id="158" w:name="_Toc31572"/>
      <w:r>
        <w:rPr>
          <w:rFonts w:hint="eastAsia" w:ascii="宋体" w:hAnsi="宋体" w:eastAsia="宋体" w:cs="宋体"/>
          <w:b/>
          <w:color w:val="000000" w:themeColor="text1"/>
          <w:sz w:val="21"/>
          <w:szCs w:val="21"/>
          <w:highlight w:val="none"/>
          <w14:textFill>
            <w14:solidFill>
              <w14:schemeClr w14:val="tx1"/>
            </w14:solidFill>
          </w14:textFill>
        </w:rPr>
        <w:t>19. 投标文件的补充、修改和撤回</w:t>
      </w:r>
      <w:bookmarkEnd w:id="153"/>
      <w:bookmarkEnd w:id="154"/>
      <w:bookmarkEnd w:id="155"/>
      <w:bookmarkEnd w:id="156"/>
      <w:bookmarkEnd w:id="157"/>
    </w:p>
    <w:p w14:paraId="6E48214E">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19.1 投标文件递交截止时间前可以撤回电子投标文件。补充或者修改电子投标文件的，应当先行撤回原文件，补充、修改后重新传输递交，投标文件递交截止时间前未完成传输的，视为撤回投标文件。</w:t>
      </w:r>
    </w:p>
    <w:p w14:paraId="603297E2">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19.2 在投标文件递交截止时间后的投标文件有效期内，供应商不得撤回其投标文件。</w:t>
      </w:r>
    </w:p>
    <w:bookmarkEnd w:id="158"/>
    <w:p w14:paraId="0FF99E55">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159" w:name="_Toc13713"/>
      <w:bookmarkStart w:id="160" w:name="_Toc8182"/>
      <w:bookmarkStart w:id="161" w:name="_Toc16777"/>
      <w:bookmarkStart w:id="162" w:name="_Toc27123"/>
      <w:bookmarkStart w:id="163" w:name="_Toc25760"/>
      <w:r>
        <w:rPr>
          <w:rFonts w:hint="eastAsia" w:ascii="宋体" w:hAnsi="宋体" w:eastAsia="宋体" w:cs="宋体"/>
          <w:b/>
          <w:color w:val="000000" w:themeColor="text1"/>
          <w:sz w:val="21"/>
          <w:szCs w:val="21"/>
          <w:highlight w:val="none"/>
          <w14:textFill>
            <w14:solidFill>
              <w14:schemeClr w14:val="tx1"/>
            </w14:solidFill>
          </w14:textFill>
        </w:rPr>
        <w:t>20. 投标文件的递交</w:t>
      </w:r>
      <w:bookmarkEnd w:id="159"/>
      <w:r>
        <w:rPr>
          <w:rFonts w:hint="eastAsia" w:ascii="宋体" w:hAnsi="宋体" w:eastAsia="宋体" w:cs="宋体"/>
          <w:b/>
          <w:color w:val="000000" w:themeColor="text1"/>
          <w:sz w:val="21"/>
          <w:szCs w:val="21"/>
          <w:highlight w:val="none"/>
          <w14:textFill>
            <w14:solidFill>
              <w14:schemeClr w14:val="tx1"/>
            </w14:solidFill>
          </w14:textFill>
        </w:rPr>
        <w:t>和解密</w:t>
      </w:r>
      <w:bookmarkEnd w:id="160"/>
      <w:bookmarkEnd w:id="161"/>
      <w:bookmarkEnd w:id="162"/>
      <w:bookmarkEnd w:id="163"/>
    </w:p>
    <w:p w14:paraId="763BE590">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20.1投标文件递交截止时间：详见投标人须知前附表</w:t>
      </w:r>
    </w:p>
    <w:p w14:paraId="72E2B879">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20.2投标文件解密时间：详见投标人须知前附表</w:t>
      </w:r>
    </w:p>
    <w:p w14:paraId="7ECC0133">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20.3 除招标文件另有规定外，供应商所递交的投标文件不予退还。</w:t>
      </w:r>
    </w:p>
    <w:p w14:paraId="7356FC7B">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20.4 电子投标文件的相关说明</w:t>
      </w:r>
    </w:p>
    <w:p w14:paraId="6B20FDBB">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 </w:t>
      </w:r>
    </w:p>
    <w:p w14:paraId="6BB2E34B">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（2）如有特殊情况，采购代理机构延长截止时间和开标时间，采购代理机构和供应商的权利和义务将受到新的截止时间和开标时间的约束。</w:t>
      </w:r>
    </w:p>
    <w:p w14:paraId="48C6B7E5">
      <w:pPr>
        <w:pStyle w:val="49"/>
        <w:keepNext w:val="0"/>
        <w:keepLines w:val="0"/>
        <w:pageBreakBefore w:val="0"/>
        <w:kinsoku/>
        <w:wordWrap/>
        <w:overflowPunct/>
        <w:topLinePunct w:val="0"/>
        <w:bidi w:val="0"/>
        <w:spacing w:line="44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p>
    <w:p w14:paraId="0A89AB94">
      <w:pPr>
        <w:keepNext w:val="0"/>
        <w:keepLines w:val="0"/>
        <w:pageBreakBefore w:val="0"/>
        <w:kinsoku/>
        <w:wordWrap/>
        <w:overflowPunct/>
        <w:topLinePunct w:val="0"/>
        <w:bidi w:val="0"/>
        <w:spacing w:line="440" w:lineRule="exact"/>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164" w:name="_Toc29710"/>
      <w:bookmarkStart w:id="165" w:name="_Toc7699"/>
      <w:bookmarkStart w:id="166" w:name="_Toc307"/>
      <w:bookmarkStart w:id="167" w:name="_Toc11812"/>
      <w:bookmarkStart w:id="168" w:name="_Toc495841757"/>
      <w:r>
        <w:rPr>
          <w:rFonts w:hint="eastAsia" w:ascii="宋体" w:hAnsi="宋体" w:eastAsia="宋体" w:cs="宋体"/>
          <w:b/>
          <w:color w:val="000000" w:themeColor="text1"/>
          <w:sz w:val="21"/>
          <w:szCs w:val="21"/>
          <w:highlight w:val="none"/>
          <w14:textFill>
            <w14:solidFill>
              <w14:schemeClr w14:val="tx1"/>
            </w14:solidFill>
          </w14:textFill>
        </w:rPr>
        <w:t>四、开标</w:t>
      </w:r>
      <w:bookmarkEnd w:id="164"/>
      <w:bookmarkEnd w:id="165"/>
      <w:bookmarkEnd w:id="166"/>
      <w:bookmarkEnd w:id="167"/>
      <w:bookmarkEnd w:id="168"/>
    </w:p>
    <w:p w14:paraId="5E880902">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169" w:name="_Toc25198"/>
      <w:bookmarkStart w:id="170" w:name="_Toc14613"/>
      <w:bookmarkStart w:id="171" w:name="_Toc11595"/>
      <w:bookmarkStart w:id="172" w:name="_Toc19384"/>
      <w:bookmarkStart w:id="173" w:name="_Toc18451"/>
      <w:bookmarkStart w:id="174" w:name="_Toc17073"/>
      <w:bookmarkStart w:id="175" w:name="_Toc495841758"/>
      <w:bookmarkStart w:id="176" w:name="_Toc13013"/>
      <w:r>
        <w:rPr>
          <w:rFonts w:hint="eastAsia" w:ascii="宋体" w:hAnsi="宋体" w:eastAsia="宋体" w:cs="宋体"/>
          <w:b/>
          <w:color w:val="000000" w:themeColor="text1"/>
          <w:sz w:val="21"/>
          <w:szCs w:val="21"/>
          <w:highlight w:val="none"/>
          <w14:textFill>
            <w14:solidFill>
              <w14:schemeClr w14:val="tx1"/>
            </w14:solidFill>
          </w14:textFill>
        </w:rPr>
        <w:t>21. 开标时间及地点</w:t>
      </w:r>
      <w:bookmarkEnd w:id="169"/>
      <w:bookmarkEnd w:id="170"/>
      <w:bookmarkEnd w:id="171"/>
      <w:bookmarkEnd w:id="172"/>
      <w:bookmarkEnd w:id="173"/>
      <w:bookmarkEnd w:id="174"/>
    </w:p>
    <w:p w14:paraId="23CE6D11">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21.1开标时间及地点</w:t>
      </w:r>
    </w:p>
    <w:p w14:paraId="413AE8C3">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开标时间：详见投标人须知前附表</w:t>
      </w:r>
    </w:p>
    <w:p w14:paraId="0C00548A">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    点：详见投标人须知前附表</w:t>
      </w:r>
    </w:p>
    <w:p w14:paraId="03B7E17E">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21.2投标人不足3家的，不得开标，采购人或者采购代理机构应当重新组织采购。</w:t>
      </w:r>
    </w:p>
    <w:p w14:paraId="40524A75">
      <w:pPr>
        <w:keepNext w:val="0"/>
        <w:keepLines w:val="0"/>
        <w:pageBreakBefore w:val="0"/>
        <w:kinsoku/>
        <w:wordWrap/>
        <w:overflowPunct/>
        <w:topLinePunct w:val="0"/>
        <w:bidi w:val="0"/>
        <w:spacing w:line="440" w:lineRule="exact"/>
        <w:ind w:firstLine="422" w:firstLineChars="200"/>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bookmarkStart w:id="177" w:name="_Toc11217"/>
      <w:bookmarkStart w:id="178" w:name="_Toc26562"/>
      <w:bookmarkStart w:id="179" w:name="_Toc15515"/>
      <w:bookmarkStart w:id="180" w:name="_Toc25753"/>
      <w:bookmarkStart w:id="181" w:name="_Toc8462"/>
      <w:r>
        <w:rPr>
          <w:rFonts w:hint="eastAsia" w:ascii="宋体" w:hAnsi="宋体" w:eastAsia="宋体" w:cs="宋体"/>
          <w:b/>
          <w:bCs/>
          <w:color w:val="000000" w:themeColor="text1"/>
          <w:sz w:val="21"/>
          <w:szCs w:val="21"/>
          <w:highlight w:val="none"/>
          <w14:textFill>
            <w14:solidFill>
              <w14:schemeClr w14:val="tx1"/>
            </w14:solidFill>
          </w14:textFill>
        </w:rPr>
        <w:t>22. 开标程序</w:t>
      </w:r>
      <w:bookmarkEnd w:id="177"/>
      <w:bookmarkEnd w:id="178"/>
      <w:bookmarkEnd w:id="179"/>
      <w:bookmarkEnd w:id="180"/>
      <w:bookmarkEnd w:id="181"/>
    </w:p>
    <w:p w14:paraId="2FFF405F">
      <w:pPr>
        <w:keepNext w:val="0"/>
        <w:keepLines w:val="0"/>
        <w:pageBreakBefore w:val="0"/>
        <w:kinsoku/>
        <w:wordWrap/>
        <w:overflowPunct/>
        <w:topLinePunct w:val="0"/>
        <w:bidi w:val="0"/>
        <w:spacing w:line="440" w:lineRule="exact"/>
        <w:ind w:firstLine="422" w:firstLineChars="200"/>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22.1开标准备</w:t>
      </w:r>
    </w:p>
    <w:p w14:paraId="6E555C7E">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22.1.1.开标的准备工作由采购代理机构工作人员负责落实；</w:t>
      </w:r>
    </w:p>
    <w:p w14:paraId="5BCA41C3">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22.1.2.采购代理机构将按照招标文件规定的时间通过“广西政府采购云平台”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14:paraId="7949B692">
      <w:pPr>
        <w:keepNext w:val="0"/>
        <w:keepLines w:val="0"/>
        <w:pageBreakBefore w:val="0"/>
        <w:kinsoku/>
        <w:wordWrap/>
        <w:overflowPunct/>
        <w:topLinePunct w:val="0"/>
        <w:bidi w:val="0"/>
        <w:spacing w:line="440" w:lineRule="exact"/>
        <w:ind w:firstLine="422" w:firstLineChars="200"/>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22.2开标程序</w:t>
      </w:r>
    </w:p>
    <w:p w14:paraId="1BEDEBFD">
      <w:pPr>
        <w:keepNext w:val="0"/>
        <w:keepLines w:val="0"/>
        <w:pageBreakBefore w:val="0"/>
        <w:kinsoku/>
        <w:wordWrap/>
        <w:overflowPunct/>
        <w:topLinePunct w:val="0"/>
        <w:bidi w:val="0"/>
        <w:spacing w:line="440" w:lineRule="exact"/>
        <w:ind w:firstLine="422" w:firstLineChars="200"/>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22.2.1.向各投标供应商发出电子加密投标文件【开始解密】通知，由供应商按招标文件规定的时间内自行进行投标文件解密。投标供应商在规定的时间内无法完成已递交的“电子加密投标文件”解密的，如已按规定递交了电子备份投标文件的，将由采购组织机构按“政府采购云平台”操作规范将备份投标文件上传至“政府采购云平台”，上传成功后，“电子加密投标文件”自动失效。如未提供备份电子投标文件，将不进行再次解密程序。无法在线解密视为投标人放弃投标。在线解密时间为 30 分钟。</w:t>
      </w:r>
    </w:p>
    <w:p w14:paraId="11830096">
      <w:pPr>
        <w:keepNext w:val="0"/>
        <w:keepLines w:val="0"/>
        <w:pageBreakBefore w:val="0"/>
        <w:kinsoku/>
        <w:wordWrap/>
        <w:overflowPunct/>
        <w:topLinePunct w:val="0"/>
        <w:bidi w:val="0"/>
        <w:spacing w:line="440" w:lineRule="exact"/>
        <w:ind w:firstLine="422" w:firstLineChars="200"/>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22.2.2.投标文件解密结束后，开标活动组织人员在线开启投标文件。</w:t>
      </w:r>
    </w:p>
    <w:p w14:paraId="69BA2C64">
      <w:pPr>
        <w:keepNext w:val="0"/>
        <w:keepLines w:val="0"/>
        <w:pageBreakBefore w:val="0"/>
        <w:kinsoku/>
        <w:wordWrap/>
        <w:overflowPunct/>
        <w:topLinePunct w:val="0"/>
        <w:bidi w:val="0"/>
        <w:spacing w:line="440" w:lineRule="exact"/>
        <w:ind w:firstLine="422" w:firstLineChars="200"/>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22.2.3.开启投标人报价文件，开标活动组织人员宣读开标（报价）一览表有关内容，投标人代表如果认为宣读有误，可以当场提出异议。</w:t>
      </w:r>
    </w:p>
    <w:p w14:paraId="2645F77C">
      <w:pPr>
        <w:keepNext w:val="0"/>
        <w:keepLines w:val="0"/>
        <w:pageBreakBefore w:val="0"/>
        <w:kinsoku/>
        <w:wordWrap/>
        <w:overflowPunct/>
        <w:topLinePunct w:val="0"/>
        <w:bidi w:val="0"/>
        <w:spacing w:line="440" w:lineRule="exact"/>
        <w:ind w:firstLine="422" w:firstLineChars="200"/>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开标结束后，如发现开标结果与报价文件不一致者，由评标委员会根据报价文件内容进行修正。</w:t>
      </w:r>
    </w:p>
    <w:p w14:paraId="65340CE3">
      <w:pPr>
        <w:keepNext w:val="0"/>
        <w:keepLines w:val="0"/>
        <w:pageBreakBefore w:val="0"/>
        <w:kinsoku/>
        <w:wordWrap/>
        <w:overflowPunct/>
        <w:topLinePunct w:val="0"/>
        <w:bidi w:val="0"/>
        <w:spacing w:line="440" w:lineRule="exact"/>
        <w:ind w:firstLine="422" w:firstLineChars="200"/>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特别说明：如遇“政府采购云平台”电子化开标或评审程序调整的，按调整后程序执行。</w:t>
      </w:r>
    </w:p>
    <w:p w14:paraId="18DF4D30">
      <w:pPr>
        <w:pStyle w:val="49"/>
        <w:keepNext w:val="0"/>
        <w:keepLines w:val="0"/>
        <w:pageBreakBefore w:val="0"/>
        <w:kinsoku/>
        <w:wordWrap/>
        <w:overflowPunct/>
        <w:topLinePunct w:val="0"/>
        <w:bidi w:val="0"/>
        <w:spacing w:line="44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p>
    <w:p w14:paraId="49A0F36B">
      <w:pPr>
        <w:keepNext w:val="0"/>
        <w:keepLines w:val="0"/>
        <w:pageBreakBefore w:val="0"/>
        <w:kinsoku/>
        <w:wordWrap/>
        <w:overflowPunct/>
        <w:topLinePunct w:val="0"/>
        <w:bidi w:val="0"/>
        <w:spacing w:line="440" w:lineRule="exact"/>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182" w:name="_Toc23919"/>
      <w:bookmarkStart w:id="183" w:name="_Toc5307"/>
      <w:bookmarkStart w:id="184" w:name="_Toc6290"/>
      <w:r>
        <w:rPr>
          <w:rFonts w:hint="eastAsia" w:ascii="宋体" w:hAnsi="宋体" w:eastAsia="宋体" w:cs="宋体"/>
          <w:b/>
          <w:color w:val="000000" w:themeColor="text1"/>
          <w:sz w:val="21"/>
          <w:szCs w:val="21"/>
          <w:highlight w:val="none"/>
          <w14:textFill>
            <w14:solidFill>
              <w14:schemeClr w14:val="tx1"/>
            </w14:solidFill>
          </w14:textFill>
        </w:rPr>
        <w:t>五、资格性审查</w:t>
      </w:r>
      <w:bookmarkEnd w:id="175"/>
      <w:bookmarkEnd w:id="176"/>
      <w:bookmarkEnd w:id="182"/>
      <w:bookmarkEnd w:id="183"/>
      <w:bookmarkEnd w:id="184"/>
    </w:p>
    <w:p w14:paraId="3EA72690">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185" w:name="_Toc13578"/>
      <w:bookmarkStart w:id="186" w:name="_Toc26297"/>
      <w:bookmarkStart w:id="187" w:name="_Toc9770"/>
      <w:bookmarkStart w:id="188" w:name="_Toc9656"/>
      <w:r>
        <w:rPr>
          <w:rFonts w:hint="eastAsia" w:ascii="宋体" w:hAnsi="宋体" w:eastAsia="宋体" w:cs="宋体"/>
          <w:b/>
          <w:color w:val="000000" w:themeColor="text1"/>
          <w:sz w:val="21"/>
          <w:szCs w:val="21"/>
          <w:highlight w:val="none"/>
          <w14:textFill>
            <w14:solidFill>
              <w14:schemeClr w14:val="tx1"/>
            </w14:solidFill>
          </w14:textFill>
        </w:rPr>
        <w:t>23. 资格性审查</w:t>
      </w:r>
      <w:bookmarkEnd w:id="185"/>
      <w:bookmarkEnd w:id="186"/>
      <w:bookmarkEnd w:id="187"/>
      <w:bookmarkEnd w:id="188"/>
    </w:p>
    <w:p w14:paraId="2D7F4239">
      <w:pPr>
        <w:keepNext w:val="0"/>
        <w:keepLines w:val="0"/>
        <w:pageBreakBefore w:val="0"/>
        <w:tabs>
          <w:tab w:val="left" w:pos="1305"/>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23.1公开招标采购项目开标结束后，采购人应当依法对投标人的资格进行审查。合格投标人不足3家的，不得评标。</w:t>
      </w:r>
    </w:p>
    <w:p w14:paraId="061C4B5E">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23.2</w:t>
      </w:r>
      <w:r>
        <w:rPr>
          <w:rFonts w:hint="eastAsia" w:ascii="宋体" w:hAnsi="宋体" w:eastAsia="宋体" w:cs="宋体"/>
          <w:b/>
          <w:bCs/>
          <w:color w:val="000000" w:themeColor="text1"/>
          <w:sz w:val="21"/>
          <w:szCs w:val="21"/>
          <w:highlight w:val="none"/>
          <w14:textFill>
            <w14:solidFill>
              <w14:schemeClr w14:val="tx1"/>
            </w14:solidFill>
          </w14:textFill>
        </w:rPr>
        <w:t>采购人或者采购代理机构</w:t>
      </w:r>
      <w:r>
        <w:rPr>
          <w:rFonts w:hint="eastAsia" w:ascii="宋体" w:hAnsi="宋体" w:eastAsia="宋体" w:cs="宋体"/>
          <w:b/>
          <w:color w:val="000000" w:themeColor="text1"/>
          <w:sz w:val="21"/>
          <w:szCs w:val="21"/>
          <w:highlight w:val="none"/>
          <w14:textFill>
            <w14:solidFill>
              <w14:schemeClr w14:val="tx1"/>
            </w14:solidFill>
          </w14:textFill>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14:paraId="068413A4">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查询渠道：《国家企业信用信息公示系统》（网址：www.gsxt.gov.cn/index.html）</w:t>
      </w:r>
    </w:p>
    <w:p w14:paraId="13F240CA">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审查流程：</w:t>
      </w:r>
    </w:p>
    <w:p w14:paraId="4FAC406D">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（1）进入《国家企业信用信息公示系统》（网址：www.gsxt.gov.cn/index.html），输入企业名称，进入企业信息主页面；</w:t>
      </w:r>
    </w:p>
    <w:p w14:paraId="1E307489">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（2）查看主页“股东及出资信息”栏，或年报中的“股东及出资信息”栏信息；</w:t>
      </w:r>
    </w:p>
    <w:p w14:paraId="43F36491">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（3）将各投标人的股东及出资信息进行比对，得出审查结论；</w:t>
      </w:r>
    </w:p>
    <w:p w14:paraId="6B65DC60">
      <w:pPr>
        <w:keepNext w:val="0"/>
        <w:keepLines w:val="0"/>
        <w:pageBreakBefore w:val="0"/>
        <w:kinsoku/>
        <w:wordWrap/>
        <w:overflowPunct/>
        <w:topLinePunct w:val="0"/>
        <w:bidi w:val="0"/>
        <w:snapToGrid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（4）将相关资料作为评审资料打印存档。</w:t>
      </w:r>
      <w:bookmarkStart w:id="189" w:name="_Toc3415"/>
      <w:bookmarkStart w:id="190" w:name="_Toc495841759"/>
    </w:p>
    <w:p w14:paraId="7D541BCD">
      <w:pPr>
        <w:pStyle w:val="17"/>
        <w:keepNext w:val="0"/>
        <w:keepLines w:val="0"/>
        <w:pageBreakBefore w:val="0"/>
        <w:kinsoku/>
        <w:wordWrap/>
        <w:overflowPunct/>
        <w:topLinePunct w:val="0"/>
        <w:bidi w:val="0"/>
        <w:snapToGrid w:val="0"/>
        <w:spacing w:line="440" w:lineRule="exact"/>
        <w:ind w:firstLine="413" w:firstLineChars="196"/>
        <w:textAlignment w:val="auto"/>
        <w:outlineLvl w:val="9"/>
        <w:rPr>
          <w:rFonts w:hint="eastAsia"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23.3对未通过资格性审查的投标人，由采购代理机构或采购人在评标现场以电话或通过广西政府采购云平台告知未通过资格性审查的投标人未通过资格性审查的原因并做相应记录。</w:t>
      </w:r>
    </w:p>
    <w:p w14:paraId="67625966">
      <w:pPr>
        <w:pStyle w:val="21"/>
        <w:keepNext w:val="0"/>
        <w:keepLines w:val="0"/>
        <w:pageBreakBefore w:val="0"/>
        <w:kinsoku/>
        <w:wordWrap/>
        <w:overflowPunct/>
        <w:topLinePunct w:val="0"/>
        <w:bidi w:val="0"/>
        <w:spacing w:line="440" w:lineRule="exact"/>
        <w:textAlignment w:val="auto"/>
        <w:outlineLvl w:val="9"/>
        <w:rPr>
          <w:rFonts w:hint="eastAsia"/>
          <w:color w:val="000000" w:themeColor="text1"/>
          <w:highlight w:val="none"/>
          <w14:textFill>
            <w14:solidFill>
              <w14:schemeClr w14:val="tx1"/>
            </w14:solidFill>
          </w14:textFill>
        </w:rPr>
      </w:pPr>
    </w:p>
    <w:p w14:paraId="3DC43694">
      <w:pPr>
        <w:keepNext w:val="0"/>
        <w:keepLines w:val="0"/>
        <w:pageBreakBefore w:val="0"/>
        <w:kinsoku/>
        <w:wordWrap/>
        <w:overflowPunct/>
        <w:topLinePunct w:val="0"/>
        <w:bidi w:val="0"/>
        <w:spacing w:line="440" w:lineRule="exact"/>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191" w:name="_Toc18708"/>
      <w:bookmarkStart w:id="192" w:name="_Toc6984"/>
      <w:bookmarkStart w:id="193" w:name="_Toc32155"/>
      <w:r>
        <w:rPr>
          <w:rFonts w:hint="eastAsia" w:ascii="宋体" w:hAnsi="宋体" w:eastAsia="宋体" w:cs="宋体"/>
          <w:b/>
          <w:color w:val="000000" w:themeColor="text1"/>
          <w:sz w:val="21"/>
          <w:szCs w:val="21"/>
          <w:highlight w:val="none"/>
          <w14:textFill>
            <w14:solidFill>
              <w14:schemeClr w14:val="tx1"/>
            </w14:solidFill>
          </w14:textFill>
        </w:rPr>
        <w:t>六、评标</w:t>
      </w:r>
      <w:bookmarkEnd w:id="189"/>
      <w:bookmarkEnd w:id="190"/>
      <w:bookmarkEnd w:id="191"/>
      <w:bookmarkEnd w:id="192"/>
      <w:bookmarkEnd w:id="193"/>
    </w:p>
    <w:p w14:paraId="2B6E8E3B">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194" w:name="_Toc27261"/>
      <w:bookmarkStart w:id="195" w:name="_Toc14749"/>
      <w:bookmarkStart w:id="196" w:name="_Toc21232"/>
      <w:bookmarkStart w:id="197" w:name="_Toc2986"/>
      <w:r>
        <w:rPr>
          <w:rFonts w:hint="eastAsia" w:ascii="宋体" w:hAnsi="宋体" w:eastAsia="宋体" w:cs="宋体"/>
          <w:b/>
          <w:color w:val="000000" w:themeColor="text1"/>
          <w:sz w:val="21"/>
          <w:szCs w:val="21"/>
          <w:highlight w:val="none"/>
          <w14:textFill>
            <w14:solidFill>
              <w14:schemeClr w14:val="tx1"/>
            </w14:solidFill>
          </w14:textFill>
        </w:rPr>
        <w:t>24. 评标委员会组成</w:t>
      </w:r>
      <w:bookmarkEnd w:id="194"/>
      <w:bookmarkEnd w:id="195"/>
      <w:bookmarkEnd w:id="196"/>
      <w:bookmarkEnd w:id="197"/>
    </w:p>
    <w:p w14:paraId="7146429A">
      <w:pPr>
        <w:keepNext w:val="0"/>
        <w:keepLines w:val="0"/>
        <w:pageBreakBefore w:val="0"/>
        <w:tabs>
          <w:tab w:val="left" w:pos="1140"/>
        </w:tabs>
        <w:kinsoku/>
        <w:wordWrap/>
        <w:overflowPunct/>
        <w:topLinePunct w:val="0"/>
        <w:bidi w:val="0"/>
        <w:spacing w:line="440" w:lineRule="exact"/>
        <w:ind w:left="419" w:leftChars="172" w:hanging="58" w:hangingChars="28"/>
        <w:textAlignment w:val="auto"/>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评标委员会由采购人代表和有关技术、经济等方面的专家组成，成员人数共5人，其中采购人代表1人，技术、经济等专家4人。</w:t>
      </w:r>
      <w:r>
        <w:rPr>
          <w:rFonts w:hint="eastAsia" w:ascii="宋体" w:hAnsi="宋体"/>
          <w:color w:val="000000" w:themeColor="text1"/>
          <w:szCs w:val="21"/>
          <w:highlight w:val="none"/>
          <w14:textFill>
            <w14:solidFill>
              <w14:schemeClr w14:val="tx1"/>
            </w14:solidFill>
          </w14:textFill>
        </w:rPr>
        <w:t>专家确定方式：开标前从广西壮族自治区政府采购专家库中通过电脑随机抽取。</w:t>
      </w:r>
    </w:p>
    <w:p w14:paraId="5C99E9B8">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p>
    <w:p w14:paraId="4FCBF4AF">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198" w:name="_Toc24437"/>
      <w:bookmarkStart w:id="199" w:name="_Toc26762"/>
      <w:bookmarkStart w:id="200" w:name="_Toc30841"/>
      <w:bookmarkStart w:id="201" w:name="_Toc21726"/>
      <w:r>
        <w:rPr>
          <w:rFonts w:hint="eastAsia" w:ascii="宋体" w:hAnsi="宋体" w:eastAsia="宋体" w:cs="宋体"/>
          <w:b/>
          <w:color w:val="000000" w:themeColor="text1"/>
          <w:sz w:val="21"/>
          <w:szCs w:val="21"/>
          <w:highlight w:val="none"/>
          <w14:textFill>
            <w14:solidFill>
              <w14:schemeClr w14:val="tx1"/>
            </w14:solidFill>
          </w14:textFill>
        </w:rPr>
        <w:t>25. 评标</w:t>
      </w:r>
      <w:bookmarkEnd w:id="198"/>
      <w:r>
        <w:rPr>
          <w:rFonts w:hint="eastAsia" w:ascii="宋体" w:hAnsi="宋体" w:eastAsia="宋体" w:cs="宋体"/>
          <w:b/>
          <w:color w:val="000000" w:themeColor="text1"/>
          <w:sz w:val="21"/>
          <w:szCs w:val="21"/>
          <w:highlight w:val="none"/>
          <w14:textFill>
            <w14:solidFill>
              <w14:schemeClr w14:val="tx1"/>
            </w14:solidFill>
          </w14:textFill>
        </w:rPr>
        <w:t>原则</w:t>
      </w:r>
      <w:bookmarkEnd w:id="199"/>
      <w:bookmarkEnd w:id="200"/>
      <w:bookmarkEnd w:id="201"/>
    </w:p>
    <w:p w14:paraId="5E76D05D">
      <w:pPr>
        <w:keepNext w:val="0"/>
        <w:keepLines w:val="0"/>
        <w:pageBreakBefore w:val="0"/>
        <w:tabs>
          <w:tab w:val="left" w:pos="1140"/>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25.1评标办法：综合评分法，具体评标内容及标准详见第四章。</w:t>
      </w:r>
    </w:p>
    <w:p w14:paraId="0F24641E">
      <w:pPr>
        <w:keepNext w:val="0"/>
        <w:keepLines w:val="0"/>
        <w:pageBreakBefore w:val="0"/>
        <w:tabs>
          <w:tab w:val="left" w:pos="1140"/>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25.2评标委员会应按招标文件进行评标，不得擅自更改评标办法。</w:t>
      </w:r>
    </w:p>
    <w:p w14:paraId="02218EB2">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202" w:name="_Toc31182"/>
      <w:bookmarkStart w:id="203" w:name="_Toc20321"/>
      <w:bookmarkStart w:id="204" w:name="_Toc32561"/>
      <w:bookmarkStart w:id="205" w:name="_Toc19085"/>
      <w:r>
        <w:rPr>
          <w:rFonts w:hint="eastAsia" w:ascii="宋体" w:hAnsi="宋体" w:eastAsia="宋体" w:cs="宋体"/>
          <w:b/>
          <w:color w:val="000000" w:themeColor="text1"/>
          <w:sz w:val="21"/>
          <w:szCs w:val="21"/>
          <w:highlight w:val="none"/>
          <w14:textFill>
            <w14:solidFill>
              <w14:schemeClr w14:val="tx1"/>
            </w14:solidFill>
          </w14:textFill>
        </w:rPr>
        <w:t>26. 评标</w:t>
      </w:r>
      <w:bookmarkEnd w:id="202"/>
      <w:bookmarkEnd w:id="203"/>
      <w:bookmarkEnd w:id="204"/>
      <w:bookmarkEnd w:id="205"/>
    </w:p>
    <w:p w14:paraId="5C6BF431">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26.1采购代理机构负责评标组织工作，宣布评标工作纪律，公布投标人名单，告知评标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临桂区财政部门报告；评标工作完成后，按照规定向评标专家支付劳务报酬和异地评审差旅费，不得向评标专家以外的其他人员支付评审劳务报酬。</w:t>
      </w:r>
    </w:p>
    <w:p w14:paraId="3483D81E">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26.2评标委员会负责具体评标事务；审查、评价投标文件是否符合招标文件的商务、技术等实质性要求；要求投标人对投标文件有关事项作出澄清或者说明；对投标文件进行比较和评价；确定中标候选供应商名单，以及根据采购人委托直接确定中标供应商；向采购人、采购代理机构或者有关部门报告评标中发现的违法行为。</w:t>
      </w:r>
    </w:p>
    <w:p w14:paraId="4106B8FC">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26.3在评标过程中，评标委员会任何人不得对某个投标人发表任何倾向性意见，不得向其他专家评委明示或者暗示自己的评审意见。</w:t>
      </w:r>
    </w:p>
    <w:p w14:paraId="39F37D54">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26.4评标委员会应当对符合资格的投标人的投标文件进行符合性审查，以确定其是否满足招标文件的实质性要求。</w:t>
      </w:r>
    </w:p>
    <w:p w14:paraId="4D1BDAED">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26.5对于投标文件中含义不明确、同类问题表述不一致、有明显文字和计算错误或属于投标人疏忽、笔误所造成差错的内容，评标委员会应当以书面形式要求投标人作出必要的澄清、说明或者补正。</w:t>
      </w:r>
    </w:p>
    <w:p w14:paraId="40AAA704">
      <w:pPr>
        <w:keepNext w:val="0"/>
        <w:keepLines w:val="0"/>
        <w:pageBreakBefore w:val="0"/>
        <w:tabs>
          <w:tab w:val="left" w:pos="1140"/>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投标人的澄清、说明或者补正应当采用书面形式，并加盖公章，或者由法定代表人或其授权的代表签字。投标人的澄清、说明或者补正不得超出投标文件的范围或者改变投标文件的实质性内容。</w:t>
      </w:r>
    </w:p>
    <w:p w14:paraId="6DD61406">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26.6评标委员会应当按照招标文件中规定的评标方法和标准，对符合性审查合格的投标文件进行商务和技术评估，综合比较与评价。</w:t>
      </w:r>
    </w:p>
    <w:p w14:paraId="48CB26A3">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26.7投标文件报价出现前后不一致的，除招标文件另有规定外，按照下列规定修正：</w:t>
      </w:r>
    </w:p>
    <w:p w14:paraId="349609D1">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（1）投标文件中投标报价表内容与投标文件中相应内容不一致的，以投标报价表为准；</w:t>
      </w:r>
    </w:p>
    <w:p w14:paraId="7B035F27">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（2）大写金额和小写金额不一致的，以大写金额为准；</w:t>
      </w:r>
    </w:p>
    <w:p w14:paraId="4B665F44">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（3）单价金额小数点或者百分比有明显错位的，以报价表的总价为准，并修改单价；</w:t>
      </w:r>
    </w:p>
    <w:p w14:paraId="31619689">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（4）总价金额与按单价汇总金额不一致的，以单价金额计算结果为准。</w:t>
      </w:r>
    </w:p>
    <w:p w14:paraId="07D8CFA7">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同时出现两种以上不一致的，按照前款规定的顺序修正。修正后的报价（不得超出投标文件的范围或者改变投标文件的实质性内容）经投标人确认后产生约束力，投标人不确认的，其投标无效。</w:t>
      </w:r>
    </w:p>
    <w:p w14:paraId="23A2F0E4">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D002FA6">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26.9评标委员会成员对需要共同认定的事项存在争议的，应当按照少数服从多数的原则作出结论。持不同意见的评标委员会成员应当在评标报告上签署不同意见及理由，否则视为同意评标报告。</w:t>
      </w:r>
    </w:p>
    <w:p w14:paraId="4B30BE75">
      <w:pPr>
        <w:keepNext w:val="0"/>
        <w:keepLines w:val="0"/>
        <w:pageBreakBefore w:val="0"/>
        <w:kinsoku/>
        <w:wordWrap/>
        <w:overflowPunct/>
        <w:topLinePunct w:val="0"/>
        <w:bidi w:val="0"/>
        <w:snapToGrid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26.10评标结果汇总完成后，除下列情形外，任何人不得修改评标结果：</w:t>
      </w:r>
    </w:p>
    <w:p w14:paraId="28076F77">
      <w:pPr>
        <w:keepNext w:val="0"/>
        <w:keepLines w:val="0"/>
        <w:pageBreakBefore w:val="0"/>
        <w:kinsoku/>
        <w:wordWrap/>
        <w:overflowPunct/>
        <w:topLinePunct w:val="0"/>
        <w:bidi w:val="0"/>
        <w:snapToGrid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（一）分值汇总计算错误的；</w:t>
      </w:r>
    </w:p>
    <w:p w14:paraId="404BDD5B">
      <w:pPr>
        <w:keepNext w:val="0"/>
        <w:keepLines w:val="0"/>
        <w:pageBreakBefore w:val="0"/>
        <w:kinsoku/>
        <w:wordWrap/>
        <w:overflowPunct/>
        <w:topLinePunct w:val="0"/>
        <w:bidi w:val="0"/>
        <w:snapToGrid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（二）分项评分超出评分标准范围的；</w:t>
      </w:r>
    </w:p>
    <w:p w14:paraId="3977BD95">
      <w:pPr>
        <w:keepNext w:val="0"/>
        <w:keepLines w:val="0"/>
        <w:pageBreakBefore w:val="0"/>
        <w:kinsoku/>
        <w:wordWrap/>
        <w:overflowPunct/>
        <w:topLinePunct w:val="0"/>
        <w:bidi w:val="0"/>
        <w:snapToGrid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（三）评标委员会成员对客观评审因素评分不一致的；</w:t>
      </w:r>
    </w:p>
    <w:p w14:paraId="41B0C895">
      <w:pPr>
        <w:keepNext w:val="0"/>
        <w:keepLines w:val="0"/>
        <w:pageBreakBefore w:val="0"/>
        <w:kinsoku/>
        <w:wordWrap/>
        <w:overflowPunct/>
        <w:topLinePunct w:val="0"/>
        <w:bidi w:val="0"/>
        <w:snapToGrid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（四）经评标委员会认定评分畸高、畸低的。</w:t>
      </w:r>
    </w:p>
    <w:p w14:paraId="360BD299">
      <w:pPr>
        <w:keepNext w:val="0"/>
        <w:keepLines w:val="0"/>
        <w:pageBreakBefore w:val="0"/>
        <w:kinsoku/>
        <w:wordWrap/>
        <w:overflowPunct/>
        <w:topLinePunct w:val="0"/>
        <w:bidi w:val="0"/>
        <w:snapToGrid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临桂区财政部门。</w:t>
      </w:r>
    </w:p>
    <w:p w14:paraId="7E9B0295">
      <w:pPr>
        <w:keepNext w:val="0"/>
        <w:keepLines w:val="0"/>
        <w:pageBreakBefore w:val="0"/>
        <w:kinsoku/>
        <w:wordWrap/>
        <w:overflowPunct/>
        <w:topLinePunct w:val="0"/>
        <w:bidi w:val="0"/>
        <w:snapToGrid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投标人对本条第一款情形提出质疑的，采购人或者采购代理机构可以组织原评标委员会进行重新评审，重新评审改变评标结果的，应当书面报告临桂区财政部门。</w:t>
      </w:r>
    </w:p>
    <w:p w14:paraId="1BBF0784">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26.11采购代理机构发现评标委员会有明显的违规倾向或歧视现象，或不按评标办法进行，或其他不正常行为的，应当及时制止。如制止无效，应及时向临桂区财政部门报告。</w:t>
      </w:r>
    </w:p>
    <w:p w14:paraId="0A901053">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206" w:name="_Toc21639"/>
      <w:bookmarkStart w:id="207" w:name="_Toc30450"/>
      <w:bookmarkStart w:id="208" w:name="_Toc11289"/>
      <w:bookmarkStart w:id="209" w:name="_Toc11811"/>
      <w:r>
        <w:rPr>
          <w:rFonts w:hint="eastAsia" w:ascii="宋体" w:hAnsi="宋体" w:eastAsia="宋体" w:cs="宋体"/>
          <w:b/>
          <w:color w:val="000000" w:themeColor="text1"/>
          <w:sz w:val="21"/>
          <w:szCs w:val="21"/>
          <w:highlight w:val="none"/>
          <w14:textFill>
            <w14:solidFill>
              <w14:schemeClr w14:val="tx1"/>
            </w14:solidFill>
          </w14:textFill>
        </w:rPr>
        <w:t>27. 推荐及确定中标候选供应商原则</w:t>
      </w:r>
      <w:bookmarkEnd w:id="206"/>
      <w:bookmarkEnd w:id="207"/>
      <w:bookmarkEnd w:id="208"/>
      <w:bookmarkEnd w:id="209"/>
    </w:p>
    <w:p w14:paraId="53CEEA90">
      <w:pPr>
        <w:keepNext w:val="0"/>
        <w:keepLines w:val="0"/>
        <w:pageBreakBefore w:val="0"/>
        <w:tabs>
          <w:tab w:val="left" w:pos="4214"/>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hAnsi="宋体" w:cs="宋体"/>
          <w:color w:val="000000" w:themeColor="text1"/>
          <w:szCs w:val="21"/>
          <w:highlight w:val="none"/>
          <w14:textFill>
            <w14:solidFill>
              <w14:schemeClr w14:val="tx1"/>
            </w14:solidFill>
          </w14:textFill>
        </w:rPr>
        <w:t>评标委员会根据综合得分由高到低排列次序，若得分相同时，按评标报价由低到高顺序排列；得分相同且评标报价也相同的，</w:t>
      </w:r>
      <w:r>
        <w:rPr>
          <w:rFonts w:hint="eastAsia" w:hAnsi="宋体" w:cs="宋体"/>
          <w:color w:val="000000" w:themeColor="text1"/>
          <w:szCs w:val="21"/>
          <w:highlight w:val="none"/>
          <w:lang w:eastAsia="zh-CN"/>
          <w14:textFill>
            <w14:solidFill>
              <w14:schemeClr w14:val="tx1"/>
            </w14:solidFill>
          </w14:textFill>
        </w:rPr>
        <w:t>则依次按</w:t>
      </w:r>
      <w:r>
        <w:rPr>
          <w:rFonts w:hint="eastAsia" w:hAnsi="宋体" w:cs="宋体"/>
          <w:color w:val="000000" w:themeColor="text1"/>
          <w:szCs w:val="21"/>
          <w:highlight w:val="none"/>
          <w:lang w:val="en-US" w:eastAsia="zh-CN"/>
          <w14:textFill>
            <w14:solidFill>
              <w14:schemeClr w14:val="tx1"/>
            </w14:solidFill>
          </w14:textFill>
        </w:rPr>
        <w:t>项目实施方案</w:t>
      </w:r>
      <w:r>
        <w:rPr>
          <w:rFonts w:hint="eastAsia" w:hAnsi="宋体" w:cs="宋体"/>
          <w:color w:val="000000" w:themeColor="text1"/>
          <w:szCs w:val="21"/>
          <w:highlight w:val="none"/>
          <w:lang w:eastAsia="zh-CN"/>
          <w14:textFill>
            <w14:solidFill>
              <w14:schemeClr w14:val="tx1"/>
            </w14:solidFill>
          </w14:textFill>
        </w:rPr>
        <w:t>、</w:t>
      </w:r>
      <w:r>
        <w:rPr>
          <w:rFonts w:hint="eastAsia" w:hAnsi="宋体" w:cs="宋体"/>
          <w:color w:val="000000" w:themeColor="text1"/>
          <w:szCs w:val="21"/>
          <w:highlight w:val="none"/>
          <w:lang w:val="en-US" w:eastAsia="zh-CN"/>
          <w14:textFill>
            <w14:solidFill>
              <w14:schemeClr w14:val="tx1"/>
            </w14:solidFill>
          </w14:textFill>
        </w:rPr>
        <w:t>服务承诺方案</w:t>
      </w:r>
      <w:r>
        <w:rPr>
          <w:rFonts w:hint="eastAsia" w:hAnsi="宋体" w:cs="宋体"/>
          <w:color w:val="000000" w:themeColor="text1"/>
          <w:szCs w:val="21"/>
          <w:highlight w:val="none"/>
          <w:lang w:eastAsia="zh-CN"/>
          <w14:textFill>
            <w14:solidFill>
              <w14:schemeClr w14:val="tx1"/>
            </w14:solidFill>
          </w14:textFill>
        </w:rPr>
        <w:t>分</w:t>
      </w:r>
      <w:r>
        <w:rPr>
          <w:rFonts w:hint="eastAsia" w:hAnsi="宋体" w:cs="宋体"/>
          <w:color w:val="000000" w:themeColor="text1"/>
          <w:szCs w:val="21"/>
          <w:highlight w:val="none"/>
          <w14:textFill>
            <w14:solidFill>
              <w14:schemeClr w14:val="tx1"/>
            </w14:solidFill>
          </w14:textFill>
        </w:rPr>
        <w:t>由高到低顺序排列；若仍相同的，则由评标委员会按照抽签的方式决定排列次序</w:t>
      </w:r>
      <w:r>
        <w:rPr>
          <w:rFonts w:hint="eastAsia" w:ascii="宋体" w:hAnsi="宋体" w:eastAsia="宋体" w:cs="宋体"/>
          <w:color w:val="000000" w:themeColor="text1"/>
          <w:sz w:val="21"/>
          <w:szCs w:val="21"/>
          <w:highlight w:val="none"/>
          <w14:textFill>
            <w14:solidFill>
              <w14:schemeClr w14:val="tx1"/>
            </w14:solidFill>
          </w14:textFill>
        </w:rPr>
        <w:t>。</w:t>
      </w:r>
    </w:p>
    <w:p w14:paraId="440968CF">
      <w:pPr>
        <w:keepNext w:val="0"/>
        <w:keepLines w:val="0"/>
        <w:pageBreakBefore w:val="0"/>
        <w:tabs>
          <w:tab w:val="left" w:pos="4214"/>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（2）评标委员会可推荐前三名为中标候选</w:t>
      </w:r>
      <w:r>
        <w:rPr>
          <w:rFonts w:hint="eastAsia" w:ascii="宋体" w:hAnsi="宋体" w:cs="宋体"/>
          <w:color w:val="000000" w:themeColor="text1"/>
          <w:sz w:val="21"/>
          <w:szCs w:val="21"/>
          <w:highlight w:val="none"/>
          <w:lang w:val="en-US" w:eastAsia="zh-CN"/>
          <w14:textFill>
            <w14:solidFill>
              <w14:schemeClr w14:val="tx1"/>
            </w14:solidFill>
          </w14:textFill>
        </w:rPr>
        <w:t>人</w:t>
      </w:r>
      <w:r>
        <w:rPr>
          <w:rFonts w:hint="eastAsia" w:ascii="宋体" w:hAnsi="宋体" w:eastAsia="宋体" w:cs="宋体"/>
          <w:color w:val="000000" w:themeColor="text1"/>
          <w:sz w:val="21"/>
          <w:szCs w:val="21"/>
          <w:highlight w:val="none"/>
          <w14:textFill>
            <w14:solidFill>
              <w14:schemeClr w14:val="tx1"/>
            </w14:solidFill>
          </w14:textFill>
        </w:rPr>
        <w:t>，采购人应当确定评标委员会推荐排名第一的中标候选</w:t>
      </w:r>
      <w:r>
        <w:rPr>
          <w:rFonts w:hint="eastAsia" w:ascii="宋体" w:hAnsi="宋体" w:cs="宋体"/>
          <w:color w:val="000000" w:themeColor="text1"/>
          <w:sz w:val="21"/>
          <w:szCs w:val="21"/>
          <w:highlight w:val="none"/>
          <w:lang w:val="en-US" w:eastAsia="zh-CN"/>
          <w14:textFill>
            <w14:solidFill>
              <w14:schemeClr w14:val="tx1"/>
            </w14:solidFill>
          </w14:textFill>
        </w:rPr>
        <w:t>人</w:t>
      </w:r>
      <w:r>
        <w:rPr>
          <w:rFonts w:hint="eastAsia" w:ascii="宋体" w:hAnsi="宋体" w:eastAsia="宋体" w:cs="宋体"/>
          <w:color w:val="000000" w:themeColor="text1"/>
          <w:sz w:val="21"/>
          <w:szCs w:val="21"/>
          <w:highlight w:val="none"/>
          <w14:textFill>
            <w14:solidFill>
              <w14:schemeClr w14:val="tx1"/>
            </w14:solidFill>
          </w14:textFill>
        </w:rPr>
        <w:t>为中标</w:t>
      </w:r>
      <w:r>
        <w:rPr>
          <w:rFonts w:hint="eastAsia" w:ascii="宋体" w:hAnsi="宋体" w:cs="宋体"/>
          <w:color w:val="000000" w:themeColor="text1"/>
          <w:sz w:val="21"/>
          <w:szCs w:val="21"/>
          <w:highlight w:val="none"/>
          <w:lang w:val="en-US" w:eastAsia="zh-CN"/>
          <w14:textFill>
            <w14:solidFill>
              <w14:schemeClr w14:val="tx1"/>
            </w14:solidFill>
          </w14:textFill>
        </w:rPr>
        <w:t>人</w:t>
      </w:r>
      <w:r>
        <w:rPr>
          <w:rFonts w:hint="eastAsia" w:ascii="宋体" w:hAnsi="宋体" w:eastAsia="宋体" w:cs="宋体"/>
          <w:color w:val="000000" w:themeColor="text1"/>
          <w:sz w:val="21"/>
          <w:szCs w:val="21"/>
          <w:highlight w:val="none"/>
          <w14:textFill>
            <w14:solidFill>
              <w14:schemeClr w14:val="tx1"/>
            </w14:solidFill>
          </w14:textFill>
        </w:rPr>
        <w:t>。</w:t>
      </w:r>
    </w:p>
    <w:p w14:paraId="3806A684">
      <w:pPr>
        <w:keepNext w:val="0"/>
        <w:keepLines w:val="0"/>
        <w:pageBreakBefore w:val="0"/>
        <w:kinsoku/>
        <w:wordWrap/>
        <w:overflowPunct/>
        <w:topLinePunct w:val="0"/>
        <w:bidi w:val="0"/>
        <w:spacing w:line="440" w:lineRule="exact"/>
        <w:ind w:firstLine="447" w:firstLineChars="213"/>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（3）排名第一的中标候选供应商放弃中标、因不可抗力提出不能履行合同，或因失信行为被取消中标候选供应商资格的，采购人可以确定排名第二的中标候选供应商为中标供应商，并依此类推。</w:t>
      </w:r>
    </w:p>
    <w:p w14:paraId="722EDD35">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210" w:name="_Toc10425"/>
      <w:bookmarkStart w:id="211" w:name="_Toc31123"/>
      <w:bookmarkStart w:id="212" w:name="_Toc7479"/>
      <w:bookmarkStart w:id="213" w:name="_Toc1836"/>
      <w:r>
        <w:rPr>
          <w:rFonts w:hint="eastAsia" w:ascii="宋体" w:hAnsi="宋体" w:eastAsia="宋体" w:cs="宋体"/>
          <w:b/>
          <w:color w:val="000000" w:themeColor="text1"/>
          <w:sz w:val="21"/>
          <w:szCs w:val="21"/>
          <w:highlight w:val="none"/>
          <w14:textFill>
            <w14:solidFill>
              <w14:schemeClr w14:val="tx1"/>
            </w14:solidFill>
          </w14:textFill>
        </w:rPr>
        <w:t>28. 属于下列情况之一者，投标无效</w:t>
      </w:r>
      <w:bookmarkEnd w:id="210"/>
      <w:bookmarkEnd w:id="211"/>
      <w:bookmarkEnd w:id="212"/>
      <w:bookmarkEnd w:id="213"/>
    </w:p>
    <w:p w14:paraId="0AE9307F">
      <w:pPr>
        <w:keepNext w:val="0"/>
        <w:keepLines w:val="0"/>
        <w:pageBreakBefore w:val="0"/>
        <w:kinsoku/>
        <w:wordWrap/>
        <w:overflowPunct/>
        <w:topLinePunct w:val="0"/>
        <w:bidi w:val="0"/>
        <w:snapToGrid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（1）未按照招标文件规定要求签字、盖章的；</w:t>
      </w:r>
    </w:p>
    <w:p w14:paraId="2EF61D87">
      <w:pPr>
        <w:keepNext w:val="0"/>
        <w:keepLines w:val="0"/>
        <w:pageBreakBefore w:val="0"/>
        <w:kinsoku/>
        <w:wordWrap/>
        <w:overflowPunct/>
        <w:topLinePunct w:val="0"/>
        <w:bidi w:val="0"/>
        <w:snapToGrid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（2）报价超过招标文件中规定的预算金额的；</w:t>
      </w:r>
    </w:p>
    <w:p w14:paraId="32D79005">
      <w:pPr>
        <w:keepNext w:val="0"/>
        <w:keepLines w:val="0"/>
        <w:pageBreakBefore w:val="0"/>
        <w:kinsoku/>
        <w:wordWrap/>
        <w:overflowPunct/>
        <w:topLinePunct w:val="0"/>
        <w:bidi w:val="0"/>
        <w:snapToGrid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（3）不具备招标文件中规定的资格要求的；</w:t>
      </w:r>
    </w:p>
    <w:p w14:paraId="12BCF0B4">
      <w:pPr>
        <w:keepNext w:val="0"/>
        <w:keepLines w:val="0"/>
        <w:pageBreakBefore w:val="0"/>
        <w:kinsoku/>
        <w:wordWrap/>
        <w:overflowPunct/>
        <w:topLinePunct w:val="0"/>
        <w:bidi w:val="0"/>
        <w:snapToGrid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（4）投标文件含有采购人不能接受的附加条件的；</w:t>
      </w:r>
    </w:p>
    <w:p w14:paraId="756AD78B">
      <w:pPr>
        <w:keepNext w:val="0"/>
        <w:keepLines w:val="0"/>
        <w:pageBreakBefore w:val="0"/>
        <w:kinsoku/>
        <w:wordWrap/>
        <w:overflowPunct/>
        <w:topLinePunct w:val="0"/>
        <w:bidi w:val="0"/>
        <w:snapToGrid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（5）投标文件未按招标文件的内容和要求编制，或提供虚假材料的；</w:t>
      </w:r>
    </w:p>
    <w:p w14:paraId="1EDBEB81">
      <w:pPr>
        <w:keepNext w:val="0"/>
        <w:keepLines w:val="0"/>
        <w:pageBreakBefore w:val="0"/>
        <w:kinsoku/>
        <w:wordWrap/>
        <w:overflowPunct/>
        <w:topLinePunct w:val="0"/>
        <w:bidi w:val="0"/>
        <w:snapToGrid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（6）投标人未就“</w:t>
      </w:r>
      <w:r>
        <w:rPr>
          <w:rFonts w:hint="eastAsia" w:ascii="宋体" w:hAnsi="宋体" w:cs="宋体"/>
          <w:color w:val="000000" w:themeColor="text1"/>
          <w:sz w:val="21"/>
          <w:szCs w:val="21"/>
          <w:highlight w:val="none"/>
          <w:lang w:eastAsia="zh-CN"/>
          <w14:textFill>
            <w14:solidFill>
              <w14:schemeClr w14:val="tx1"/>
            </w14:solidFill>
          </w14:textFill>
        </w:rPr>
        <w:t>服务</w:t>
      </w:r>
      <w:r>
        <w:rPr>
          <w:rFonts w:hint="eastAsia" w:ascii="宋体" w:hAnsi="宋体" w:eastAsia="宋体" w:cs="宋体"/>
          <w:color w:val="000000" w:themeColor="text1"/>
          <w:sz w:val="21"/>
          <w:szCs w:val="21"/>
          <w:highlight w:val="none"/>
          <w14:textFill>
            <w14:solidFill>
              <w14:schemeClr w14:val="tx1"/>
            </w14:solidFill>
          </w14:textFill>
        </w:rPr>
        <w:t>采购需求”中的所有内容作完整唯一报价的；</w:t>
      </w:r>
    </w:p>
    <w:p w14:paraId="75E67F03">
      <w:pPr>
        <w:keepNext w:val="0"/>
        <w:keepLines w:val="0"/>
        <w:pageBreakBefore w:val="0"/>
        <w:kinsoku/>
        <w:wordWrap/>
        <w:overflowPunct/>
        <w:topLinePunct w:val="0"/>
        <w:bidi w:val="0"/>
        <w:snapToGrid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（7）未完全响应招标文件实质性要求的；</w:t>
      </w:r>
    </w:p>
    <w:p w14:paraId="26A39D6A">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（8）法律、法规和招标文件规定的其他无效情形。</w:t>
      </w:r>
    </w:p>
    <w:p w14:paraId="6DDAA0C8">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214" w:name="_Toc22590"/>
      <w:bookmarkStart w:id="215" w:name="_Toc27046"/>
      <w:bookmarkStart w:id="216" w:name="_Toc26364"/>
      <w:bookmarkStart w:id="217" w:name="_Toc15081"/>
      <w:r>
        <w:rPr>
          <w:rFonts w:hint="eastAsia" w:ascii="宋体" w:hAnsi="宋体" w:eastAsia="宋体" w:cs="宋体"/>
          <w:b/>
          <w:color w:val="000000" w:themeColor="text1"/>
          <w:sz w:val="21"/>
          <w:szCs w:val="21"/>
          <w:highlight w:val="none"/>
          <w14:textFill>
            <w14:solidFill>
              <w14:schemeClr w14:val="tx1"/>
            </w14:solidFill>
          </w14:textFill>
        </w:rPr>
        <w:t>29. 投标人有下列情形之一的，视为串通投标，投标文件将被视为无效</w:t>
      </w:r>
      <w:bookmarkEnd w:id="214"/>
      <w:bookmarkEnd w:id="215"/>
      <w:bookmarkEnd w:id="216"/>
      <w:bookmarkEnd w:id="217"/>
    </w:p>
    <w:p w14:paraId="7756F81D">
      <w:pPr>
        <w:keepNext w:val="0"/>
        <w:keepLines w:val="0"/>
        <w:pageBreakBefore w:val="0"/>
        <w:kinsoku/>
        <w:wordWrap/>
        <w:overflowPunct/>
        <w:topLinePunct w:val="0"/>
        <w:bidi w:val="0"/>
        <w:snapToGrid w:val="0"/>
        <w:spacing w:line="440" w:lineRule="exact"/>
        <w:ind w:left="355" w:leftChars="169" w:firstLine="102" w:firstLineChars="49"/>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（1）不同投标人的投标文件由同一单位或者个人编制；</w:t>
      </w:r>
    </w:p>
    <w:p w14:paraId="5E795A42">
      <w:pPr>
        <w:keepNext w:val="0"/>
        <w:keepLines w:val="0"/>
        <w:pageBreakBefore w:val="0"/>
        <w:kinsoku/>
        <w:wordWrap/>
        <w:overflowPunct/>
        <w:topLinePunct w:val="0"/>
        <w:bidi w:val="0"/>
        <w:snapToGrid w:val="0"/>
        <w:spacing w:line="440" w:lineRule="exact"/>
        <w:ind w:left="355" w:leftChars="169" w:firstLine="102" w:firstLineChars="49"/>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（2）不同投标人委托同一单位或者个人办理投标事宜；</w:t>
      </w:r>
    </w:p>
    <w:p w14:paraId="70887B34">
      <w:pPr>
        <w:keepNext w:val="0"/>
        <w:keepLines w:val="0"/>
        <w:pageBreakBefore w:val="0"/>
        <w:kinsoku/>
        <w:wordWrap/>
        <w:overflowPunct/>
        <w:topLinePunct w:val="0"/>
        <w:bidi w:val="0"/>
        <w:snapToGrid w:val="0"/>
        <w:spacing w:line="440" w:lineRule="exact"/>
        <w:ind w:left="355" w:leftChars="169" w:firstLine="102" w:firstLineChars="49"/>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（3）不同的投标人的投标文件载明的项目管理员或者联系人员为同一个人；</w:t>
      </w:r>
    </w:p>
    <w:p w14:paraId="3EEB62F1">
      <w:pPr>
        <w:keepNext w:val="0"/>
        <w:keepLines w:val="0"/>
        <w:pageBreakBefore w:val="0"/>
        <w:kinsoku/>
        <w:wordWrap/>
        <w:overflowPunct/>
        <w:topLinePunct w:val="0"/>
        <w:bidi w:val="0"/>
        <w:snapToGrid w:val="0"/>
        <w:spacing w:line="440" w:lineRule="exact"/>
        <w:ind w:left="355" w:leftChars="169" w:firstLine="102" w:firstLineChars="49"/>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（4）不同投标人的投标文件异常一致或投标报价呈规律性差异； </w:t>
      </w:r>
    </w:p>
    <w:p w14:paraId="673F8480">
      <w:pPr>
        <w:keepNext w:val="0"/>
        <w:keepLines w:val="0"/>
        <w:pageBreakBefore w:val="0"/>
        <w:kinsoku/>
        <w:wordWrap/>
        <w:overflowPunct/>
        <w:topLinePunct w:val="0"/>
        <w:bidi w:val="0"/>
        <w:snapToGrid w:val="0"/>
        <w:spacing w:line="440" w:lineRule="exact"/>
        <w:ind w:left="355" w:leftChars="169" w:firstLine="102" w:firstLineChars="49"/>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（5）不同投标人的投标文件相互混编；</w:t>
      </w:r>
    </w:p>
    <w:p w14:paraId="0ACB113F">
      <w:pPr>
        <w:keepNext w:val="0"/>
        <w:keepLines w:val="0"/>
        <w:pageBreakBefore w:val="0"/>
        <w:kinsoku/>
        <w:wordWrap/>
        <w:overflowPunct/>
        <w:topLinePunct w:val="0"/>
        <w:bidi w:val="0"/>
        <w:snapToGrid w:val="0"/>
        <w:spacing w:line="440" w:lineRule="exact"/>
        <w:ind w:left="355" w:leftChars="169" w:firstLine="102" w:firstLineChars="49"/>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（6）不同投标人的投标保证金从同一单位或者个人账户转出。</w:t>
      </w:r>
    </w:p>
    <w:p w14:paraId="2B616332">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218" w:name="_Toc16182"/>
      <w:bookmarkStart w:id="219" w:name="_Toc5437"/>
      <w:bookmarkStart w:id="220" w:name="_Toc19732"/>
      <w:bookmarkStart w:id="221" w:name="_Toc18148"/>
      <w:r>
        <w:rPr>
          <w:rFonts w:hint="eastAsia" w:ascii="宋体" w:hAnsi="宋体" w:eastAsia="宋体" w:cs="宋体"/>
          <w:b/>
          <w:color w:val="000000" w:themeColor="text1"/>
          <w:sz w:val="21"/>
          <w:szCs w:val="21"/>
          <w:highlight w:val="none"/>
          <w14:textFill>
            <w14:solidFill>
              <w14:schemeClr w14:val="tx1"/>
            </w14:solidFill>
          </w14:textFill>
        </w:rPr>
        <w:t>30. 属于下列情形之一的，应予废标</w:t>
      </w:r>
      <w:bookmarkEnd w:id="218"/>
      <w:bookmarkEnd w:id="219"/>
      <w:bookmarkEnd w:id="220"/>
      <w:bookmarkEnd w:id="221"/>
    </w:p>
    <w:p w14:paraId="52274FAD">
      <w:pPr>
        <w:keepNext w:val="0"/>
        <w:keepLines w:val="0"/>
        <w:pageBreakBefore w:val="0"/>
        <w:tabs>
          <w:tab w:val="left" w:pos="840"/>
        </w:tabs>
        <w:kinsoku/>
        <w:wordWrap/>
        <w:overflowPunct/>
        <w:topLinePunct w:val="0"/>
        <w:bidi w:val="0"/>
        <w:snapToGrid w:val="0"/>
        <w:spacing w:line="440" w:lineRule="exact"/>
        <w:ind w:left="330" w:leftChars="157" w:firstLine="102" w:firstLineChars="49"/>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（1）符合专业条件的供应商或者对招标文件作实质响应的供应商不足3家的；</w:t>
      </w:r>
    </w:p>
    <w:p w14:paraId="492889DF">
      <w:pPr>
        <w:keepNext w:val="0"/>
        <w:keepLines w:val="0"/>
        <w:pageBreakBefore w:val="0"/>
        <w:tabs>
          <w:tab w:val="left" w:pos="840"/>
        </w:tabs>
        <w:kinsoku/>
        <w:wordWrap/>
        <w:overflowPunct/>
        <w:topLinePunct w:val="0"/>
        <w:bidi w:val="0"/>
        <w:snapToGrid w:val="0"/>
        <w:spacing w:line="440" w:lineRule="exact"/>
        <w:ind w:left="330" w:leftChars="157" w:firstLine="105" w:firstLineChars="5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（2）出现影响采购公正的违法、违规行为的；</w:t>
      </w:r>
    </w:p>
    <w:p w14:paraId="333E0AAD">
      <w:pPr>
        <w:keepNext w:val="0"/>
        <w:keepLines w:val="0"/>
        <w:pageBreakBefore w:val="0"/>
        <w:tabs>
          <w:tab w:val="left" w:pos="840"/>
        </w:tabs>
        <w:kinsoku/>
        <w:wordWrap/>
        <w:overflowPunct/>
        <w:topLinePunct w:val="0"/>
        <w:bidi w:val="0"/>
        <w:snapToGrid w:val="0"/>
        <w:spacing w:line="440" w:lineRule="exact"/>
        <w:ind w:left="330" w:leftChars="157" w:firstLine="105" w:firstLineChars="5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（3）采购文件内容违反国家有关强制性规定的；</w:t>
      </w:r>
    </w:p>
    <w:p w14:paraId="6E2C6071">
      <w:pPr>
        <w:keepNext w:val="0"/>
        <w:keepLines w:val="0"/>
        <w:pageBreakBefore w:val="0"/>
        <w:tabs>
          <w:tab w:val="left" w:pos="840"/>
        </w:tabs>
        <w:kinsoku/>
        <w:wordWrap/>
        <w:overflowPunct/>
        <w:topLinePunct w:val="0"/>
        <w:bidi w:val="0"/>
        <w:snapToGrid w:val="0"/>
        <w:spacing w:line="440" w:lineRule="exact"/>
        <w:ind w:left="330" w:leftChars="157" w:firstLine="105" w:firstLineChars="5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（4）因重大变故，采购任务取消的。</w:t>
      </w:r>
    </w:p>
    <w:p w14:paraId="377CC7D6">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222" w:name="_Toc32529"/>
      <w:bookmarkStart w:id="223" w:name="_Toc28686"/>
      <w:bookmarkStart w:id="224" w:name="_Toc13917"/>
      <w:bookmarkStart w:id="225" w:name="_Toc32583"/>
      <w:r>
        <w:rPr>
          <w:rFonts w:hint="eastAsia" w:ascii="宋体" w:hAnsi="宋体" w:eastAsia="宋体" w:cs="宋体"/>
          <w:b/>
          <w:color w:val="000000" w:themeColor="text1"/>
          <w:sz w:val="21"/>
          <w:szCs w:val="21"/>
          <w:highlight w:val="none"/>
          <w14:textFill>
            <w14:solidFill>
              <w14:schemeClr w14:val="tx1"/>
            </w14:solidFill>
          </w14:textFill>
        </w:rPr>
        <w:t>31. 开标、评标过程的监控</w:t>
      </w:r>
      <w:bookmarkEnd w:id="222"/>
      <w:bookmarkEnd w:id="223"/>
      <w:bookmarkEnd w:id="224"/>
      <w:bookmarkEnd w:id="225"/>
    </w:p>
    <w:p w14:paraId="490B2F17">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本项目开标、评标过程实行全程录音、录像监控，投标人在评标过程中所进行的试图影响评标结果的不公正活动，可能导致其投标被拒绝。</w:t>
      </w:r>
    </w:p>
    <w:p w14:paraId="4D1A50BC">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226" w:name="_Toc28118"/>
      <w:bookmarkStart w:id="227" w:name="_Toc1321"/>
      <w:bookmarkStart w:id="228" w:name="_Toc5309"/>
      <w:bookmarkStart w:id="229" w:name="_Toc9588"/>
      <w:r>
        <w:rPr>
          <w:rFonts w:hint="eastAsia" w:ascii="宋体" w:hAnsi="宋体" w:eastAsia="宋体" w:cs="宋体"/>
          <w:b/>
          <w:color w:val="000000" w:themeColor="text1"/>
          <w:sz w:val="21"/>
          <w:szCs w:val="21"/>
          <w:highlight w:val="none"/>
          <w14:textFill>
            <w14:solidFill>
              <w14:schemeClr w14:val="tx1"/>
            </w14:solidFill>
          </w14:textFill>
        </w:rPr>
        <w:t>32. 信用查询</w:t>
      </w:r>
      <w:bookmarkEnd w:id="226"/>
      <w:bookmarkEnd w:id="227"/>
      <w:bookmarkEnd w:id="228"/>
      <w:bookmarkEnd w:id="229"/>
    </w:p>
    <w:p w14:paraId="05980BCD">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根据《关于做好政府采购有关信用主体标识码登记及在政府采购活动中查询使用信用记录有关问题的通知》桂财采〔2016〕37号，中标通知书发出前，由采购代理机构对第一中标候选供应商进行信用查询：</w:t>
      </w:r>
    </w:p>
    <w:p w14:paraId="3509603C">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⑴查询渠道：“信用中国”网站(www.creditchina.gov.cn)、中国政府采购网(www.ccgp.gov.cn)等；</w:t>
      </w:r>
    </w:p>
    <w:p w14:paraId="43BDB071">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⑵查询时间：中标通知书发出前；</w:t>
      </w:r>
    </w:p>
    <w:p w14:paraId="5F26C64D">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⑶信用信息查询记录和证据留存方式：在查询网站中直接打印查询记录，打印材料作为采购活动资料保存；</w:t>
      </w:r>
    </w:p>
    <w:p w14:paraId="6D925D59">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⑷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中标候选供应商资格。</w:t>
      </w:r>
    </w:p>
    <w:p w14:paraId="23141652">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两个以上的自然人、法人或者其他组织组成一个联合体，以一个供应商的身份共同参加政府采购活动的，对所有联合体成员进行信用记录查询，联合体成员存在不良信用记录的，视同联合体存在不良信用记录。</w:t>
      </w:r>
    </w:p>
    <w:p w14:paraId="54A90C59">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230" w:name="_Toc1902"/>
      <w:bookmarkStart w:id="231" w:name="_Toc27712"/>
      <w:bookmarkStart w:id="232" w:name="_Toc9044"/>
      <w:bookmarkStart w:id="233" w:name="_Toc17026"/>
      <w:r>
        <w:rPr>
          <w:rFonts w:hint="eastAsia" w:ascii="宋体" w:hAnsi="宋体" w:eastAsia="宋体" w:cs="宋体"/>
          <w:b/>
          <w:color w:val="000000" w:themeColor="text1"/>
          <w:sz w:val="21"/>
          <w:szCs w:val="21"/>
          <w:highlight w:val="none"/>
          <w14:textFill>
            <w14:solidFill>
              <w14:schemeClr w14:val="tx1"/>
            </w14:solidFill>
          </w14:textFill>
        </w:rPr>
        <w:t>33. 中标公告及中标通知书</w:t>
      </w:r>
      <w:bookmarkEnd w:id="230"/>
      <w:bookmarkEnd w:id="231"/>
      <w:bookmarkEnd w:id="232"/>
      <w:bookmarkEnd w:id="233"/>
    </w:p>
    <w:p w14:paraId="744B93E3">
      <w:pPr>
        <w:keepNext w:val="0"/>
        <w:keepLines w:val="0"/>
        <w:pageBreakBefore w:val="0"/>
        <w:tabs>
          <w:tab w:val="left" w:pos="455"/>
        </w:tabs>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一个工作日。</w:t>
      </w:r>
    </w:p>
    <w:p w14:paraId="12755857">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33.2中标公告发布的同时，采购代理机构向中标供应商发出中标通知书，中标供应商应自接到通知之日起七个工作日内，办理中标通知书领取手续。</w:t>
      </w:r>
      <w:bookmarkStart w:id="234" w:name="_Toc495841760"/>
      <w:bookmarkStart w:id="235" w:name="_Toc31543"/>
    </w:p>
    <w:p w14:paraId="3ACAB23C">
      <w:pPr>
        <w:pStyle w:val="49"/>
        <w:keepNext w:val="0"/>
        <w:keepLines w:val="0"/>
        <w:pageBreakBefore w:val="0"/>
        <w:kinsoku/>
        <w:wordWrap/>
        <w:overflowPunct/>
        <w:topLinePunct w:val="0"/>
        <w:bidi w:val="0"/>
        <w:spacing w:line="44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p>
    <w:p w14:paraId="0D247D38">
      <w:pPr>
        <w:keepNext w:val="0"/>
        <w:keepLines w:val="0"/>
        <w:pageBreakBefore w:val="0"/>
        <w:kinsoku/>
        <w:wordWrap/>
        <w:overflowPunct/>
        <w:topLinePunct w:val="0"/>
        <w:bidi w:val="0"/>
        <w:spacing w:line="440" w:lineRule="exact"/>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236" w:name="_Toc28678"/>
      <w:bookmarkStart w:id="237" w:name="_Toc5902"/>
      <w:bookmarkStart w:id="238" w:name="_Toc19631"/>
      <w:r>
        <w:rPr>
          <w:rFonts w:hint="eastAsia" w:ascii="宋体" w:hAnsi="宋体" w:eastAsia="宋体" w:cs="宋体"/>
          <w:b/>
          <w:color w:val="000000" w:themeColor="text1"/>
          <w:sz w:val="21"/>
          <w:szCs w:val="21"/>
          <w:highlight w:val="none"/>
          <w14:textFill>
            <w14:solidFill>
              <w14:schemeClr w14:val="tx1"/>
            </w14:solidFill>
          </w14:textFill>
        </w:rPr>
        <w:t>七、履约保证金及签订合同</w:t>
      </w:r>
      <w:bookmarkEnd w:id="234"/>
      <w:bookmarkEnd w:id="235"/>
      <w:bookmarkEnd w:id="236"/>
      <w:bookmarkEnd w:id="237"/>
      <w:bookmarkEnd w:id="238"/>
    </w:p>
    <w:p w14:paraId="4BE48384">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239" w:name="_Toc32546"/>
      <w:bookmarkStart w:id="240" w:name="_Toc6994"/>
      <w:bookmarkStart w:id="241" w:name="_Toc18290"/>
      <w:bookmarkStart w:id="242" w:name="_Toc15259"/>
      <w:r>
        <w:rPr>
          <w:rFonts w:hint="eastAsia" w:ascii="宋体" w:hAnsi="宋体" w:eastAsia="宋体" w:cs="宋体"/>
          <w:b/>
          <w:color w:val="000000" w:themeColor="text1"/>
          <w:sz w:val="21"/>
          <w:szCs w:val="21"/>
          <w:highlight w:val="none"/>
          <w14:textFill>
            <w14:solidFill>
              <w14:schemeClr w14:val="tx1"/>
            </w14:solidFill>
          </w14:textFill>
        </w:rPr>
        <w:t>34. 履约保证金</w:t>
      </w:r>
      <w:bookmarkEnd w:id="239"/>
      <w:bookmarkEnd w:id="240"/>
      <w:bookmarkEnd w:id="241"/>
      <w:bookmarkEnd w:id="242"/>
    </w:p>
    <w:p w14:paraId="1896454F">
      <w:pPr>
        <w:keepNext w:val="0"/>
        <w:keepLines w:val="0"/>
        <w:pageBreakBefore w:val="0"/>
        <w:kinsoku/>
        <w:wordWrap/>
        <w:overflowPunct/>
        <w:topLinePunct w:val="0"/>
        <w:bidi w:val="0"/>
        <w:spacing w:line="440" w:lineRule="exact"/>
        <w:ind w:firstLine="624" w:firstLineChars="2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243" w:name="_Toc18160"/>
      <w:r>
        <w:rPr>
          <w:rFonts w:hint="eastAsia" w:ascii="宋体" w:hAnsi="宋体" w:eastAsia="宋体" w:cs="宋体"/>
          <w:b/>
          <w:color w:val="000000" w:themeColor="text1"/>
          <w:sz w:val="21"/>
          <w:szCs w:val="21"/>
          <w:highlight w:val="none"/>
          <w14:textFill>
            <w14:solidFill>
              <w14:schemeClr w14:val="tx1"/>
            </w14:solidFill>
          </w14:textFill>
        </w:rPr>
        <w:t>本项目无需缴纳履约保证金。</w:t>
      </w:r>
    </w:p>
    <w:p w14:paraId="57ED9FD2">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244" w:name="_Toc7148"/>
      <w:bookmarkStart w:id="245" w:name="_Toc22983"/>
      <w:bookmarkStart w:id="246" w:name="_Toc11966"/>
      <w:r>
        <w:rPr>
          <w:rFonts w:hint="eastAsia" w:ascii="宋体" w:hAnsi="宋体" w:eastAsia="宋体" w:cs="宋体"/>
          <w:b/>
          <w:color w:val="000000" w:themeColor="text1"/>
          <w:sz w:val="21"/>
          <w:szCs w:val="21"/>
          <w:highlight w:val="none"/>
          <w14:textFill>
            <w14:solidFill>
              <w14:schemeClr w14:val="tx1"/>
            </w14:solidFill>
          </w14:textFill>
        </w:rPr>
        <w:t>35. 签订合同</w:t>
      </w:r>
      <w:bookmarkEnd w:id="243"/>
      <w:bookmarkEnd w:id="244"/>
      <w:bookmarkEnd w:id="245"/>
      <w:bookmarkEnd w:id="246"/>
    </w:p>
    <w:p w14:paraId="52191700">
      <w:pPr>
        <w:keepNext w:val="0"/>
        <w:keepLines w:val="0"/>
        <w:pageBreakBefore w:val="0"/>
        <w:kinsoku/>
        <w:wordWrap/>
        <w:overflowPunct/>
        <w:topLinePunct w:val="0"/>
        <w:bidi w:val="0"/>
        <w:spacing w:line="440" w:lineRule="exact"/>
        <w:ind w:left="2" w:leftChars="1"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35.1签订合同时间：中标通知书发出之日起</w:t>
      </w:r>
      <w:r>
        <w:rPr>
          <w:rFonts w:hint="eastAsia" w:ascii="宋体" w:hAnsi="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个工作日内。中标供应商领取中标通知书后，应按规定与采购人签订合同。</w:t>
      </w:r>
    </w:p>
    <w:p w14:paraId="2794416E">
      <w:pPr>
        <w:keepNext w:val="0"/>
        <w:keepLines w:val="0"/>
        <w:pageBreakBefore w:val="0"/>
        <w:kinsoku/>
        <w:wordWrap/>
        <w:overflowPunct/>
        <w:topLinePunct w:val="0"/>
        <w:bidi w:val="0"/>
        <w:spacing w:line="440" w:lineRule="exact"/>
        <w:ind w:left="2" w:leftChars="1"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35.2中标供应商为联合体的，联合体各方均应与采购人签订合同，并承担连带责任。</w:t>
      </w:r>
    </w:p>
    <w:p w14:paraId="7D9ED80C">
      <w:pPr>
        <w:keepNext w:val="0"/>
        <w:keepLines w:val="0"/>
        <w:pageBreakBefore w:val="0"/>
        <w:kinsoku/>
        <w:wordWrap/>
        <w:overflowPunct/>
        <w:topLinePunct w:val="0"/>
        <w:bidi w:val="0"/>
        <w:spacing w:line="440" w:lineRule="exact"/>
        <w:ind w:left="2" w:leftChars="1"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35.3如中标供应商有下列情形之一的，</w:t>
      </w:r>
      <w:r>
        <w:rPr>
          <w:rFonts w:hint="eastAsia" w:hAnsi="宋体"/>
          <w:color w:val="000000" w:themeColor="text1"/>
          <w:szCs w:val="21"/>
          <w:highlight w:val="none"/>
          <w14:textFill>
            <w14:solidFill>
              <w14:schemeClr w14:val="tx1"/>
            </w14:solidFill>
          </w14:textFill>
        </w:rPr>
        <w:t>对其处以采购金额千分之五以上千分之十以下的罚款</w:t>
      </w:r>
      <w:r>
        <w:rPr>
          <w:rFonts w:hint="eastAsia" w:hAnsi="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14:paraId="51D34250">
      <w:pPr>
        <w:keepNext w:val="0"/>
        <w:keepLines w:val="0"/>
        <w:pageBreakBefore w:val="0"/>
        <w:kinsoku/>
        <w:wordWrap/>
        <w:overflowPunct/>
        <w:topLinePunct w:val="0"/>
        <w:bidi w:val="0"/>
        <w:spacing w:line="440" w:lineRule="exact"/>
        <w:ind w:firstLine="315" w:firstLineChars="15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（1）中标后不与采购人签订合同的（不可抗力除外）；</w:t>
      </w:r>
    </w:p>
    <w:p w14:paraId="30A3DDF1">
      <w:pPr>
        <w:keepNext w:val="0"/>
        <w:keepLines w:val="0"/>
        <w:pageBreakBefore w:val="0"/>
        <w:kinsoku/>
        <w:wordWrap/>
        <w:overflowPunct/>
        <w:topLinePunct w:val="0"/>
        <w:bidi w:val="0"/>
        <w:spacing w:line="440" w:lineRule="exact"/>
        <w:ind w:left="2" w:leftChars="1" w:firstLine="315" w:firstLineChars="15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（2）将中标项目转让给他人，或者在投标文件中未说明，且未经采购人同意，将中标项目分包给他人的；</w:t>
      </w:r>
    </w:p>
    <w:p w14:paraId="19862917">
      <w:pPr>
        <w:keepNext w:val="0"/>
        <w:keepLines w:val="0"/>
        <w:pageBreakBefore w:val="0"/>
        <w:kinsoku/>
        <w:wordWrap/>
        <w:overflowPunct/>
        <w:topLinePunct w:val="0"/>
        <w:bidi w:val="0"/>
        <w:spacing w:line="440" w:lineRule="exact"/>
        <w:ind w:firstLine="315" w:firstLineChars="15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（3）拒绝履行合同义务的。</w:t>
      </w:r>
    </w:p>
    <w:p w14:paraId="4AE31638">
      <w:pPr>
        <w:keepNext w:val="0"/>
        <w:keepLines w:val="0"/>
        <w:pageBreakBefore w:val="0"/>
        <w:kinsoku/>
        <w:wordWrap/>
        <w:overflowPunct/>
        <w:topLinePunct w:val="0"/>
        <w:bidi w:val="0"/>
        <w:spacing w:line="440" w:lineRule="exact"/>
        <w:ind w:left="2" w:leftChars="1"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35.4合同备案存档：政府采购合同双方自签订之日起一个工作日内将合同原件一份交采购代理机构，采购人于合同签订之日起七个工作日内将一份合同原件送临桂区财政部门备案。</w:t>
      </w:r>
    </w:p>
    <w:p w14:paraId="04D84B66">
      <w:pPr>
        <w:keepNext w:val="0"/>
        <w:keepLines w:val="0"/>
        <w:pageBreakBefore w:val="0"/>
        <w:kinsoku/>
        <w:wordWrap/>
        <w:overflowPunct/>
        <w:topLinePunct w:val="0"/>
        <w:bidi w:val="0"/>
        <w:spacing w:line="440" w:lineRule="exact"/>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247" w:name="_Toc495841761"/>
      <w:bookmarkStart w:id="248" w:name="_Toc10598"/>
      <w:bookmarkStart w:id="249" w:name="_Toc1909"/>
      <w:bookmarkStart w:id="250" w:name="_Toc25044"/>
      <w:bookmarkStart w:id="251" w:name="_Toc1304"/>
      <w:r>
        <w:rPr>
          <w:rFonts w:hint="eastAsia" w:ascii="宋体" w:hAnsi="宋体" w:eastAsia="宋体" w:cs="宋体"/>
          <w:b/>
          <w:color w:val="000000" w:themeColor="text1"/>
          <w:sz w:val="21"/>
          <w:szCs w:val="21"/>
          <w:highlight w:val="none"/>
          <w14:textFill>
            <w14:solidFill>
              <w14:schemeClr w14:val="tx1"/>
            </w14:solidFill>
          </w14:textFill>
        </w:rPr>
        <w:t>八、其他事项</w:t>
      </w:r>
      <w:bookmarkEnd w:id="247"/>
      <w:bookmarkEnd w:id="248"/>
      <w:bookmarkEnd w:id="249"/>
      <w:bookmarkEnd w:id="250"/>
      <w:bookmarkEnd w:id="251"/>
    </w:p>
    <w:p w14:paraId="78D12E7D">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252" w:name="_Toc6105"/>
      <w:bookmarkStart w:id="253" w:name="_Toc19503"/>
      <w:bookmarkStart w:id="254" w:name="_Toc5655"/>
      <w:bookmarkStart w:id="255" w:name="_Toc2437"/>
      <w:bookmarkStart w:id="256" w:name="_Toc1860"/>
      <w:bookmarkStart w:id="257" w:name="_Toc4309"/>
      <w:bookmarkStart w:id="258" w:name="_Toc32387"/>
      <w:bookmarkStart w:id="259" w:name="_Toc32243"/>
      <w:r>
        <w:rPr>
          <w:rFonts w:hint="eastAsia" w:ascii="宋体" w:hAnsi="宋体" w:eastAsia="宋体" w:cs="宋体"/>
          <w:b/>
          <w:color w:val="000000" w:themeColor="text1"/>
          <w:sz w:val="21"/>
          <w:szCs w:val="21"/>
          <w:highlight w:val="none"/>
          <w14:textFill>
            <w14:solidFill>
              <w14:schemeClr w14:val="tx1"/>
            </w14:solidFill>
          </w14:textFill>
        </w:rPr>
        <w:t>36. 招标代理服务费</w:t>
      </w:r>
      <w:bookmarkEnd w:id="252"/>
      <w:bookmarkEnd w:id="253"/>
      <w:bookmarkEnd w:id="254"/>
      <w:bookmarkEnd w:id="255"/>
      <w:bookmarkEnd w:id="256"/>
      <w:bookmarkEnd w:id="257"/>
      <w:bookmarkEnd w:id="258"/>
    </w:p>
    <w:p w14:paraId="0BF17896">
      <w:pPr>
        <w:keepNext w:val="0"/>
        <w:keepLines w:val="0"/>
        <w:pageBreakBefore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bookmarkStart w:id="260" w:name="_Toc13398"/>
      <w:bookmarkStart w:id="261" w:name="_Toc5431"/>
      <w:bookmarkStart w:id="262" w:name="_Toc3628"/>
      <w:r>
        <w:rPr>
          <w:rFonts w:hint="eastAsia" w:ascii="宋体" w:hAnsi="宋体" w:eastAsia="宋体" w:cs="宋体"/>
          <w:color w:val="000000" w:themeColor="text1"/>
          <w:sz w:val="21"/>
          <w:szCs w:val="21"/>
          <w:highlight w:val="none"/>
          <w14:textFill>
            <w14:solidFill>
              <w14:schemeClr w14:val="tx1"/>
            </w14:solidFill>
          </w14:textFill>
        </w:rPr>
        <w:t>本项目的招标代理服务费：参照计价格[2002]1980号《招标代理服务收费管理暂行办法》服务类收费标准计取。由中标人在领取中标通知书前向广西奥金斯项目管理有限公司一次性付清代理服务费。</w:t>
      </w:r>
    </w:p>
    <w:p w14:paraId="49ABB9AE">
      <w:pPr>
        <w:keepNext w:val="0"/>
        <w:keepLines w:val="0"/>
        <w:pageBreakBefore w:val="0"/>
        <w:kinsoku/>
        <w:wordWrap/>
        <w:overflowPunct/>
        <w:topLinePunct w:val="0"/>
        <w:bidi w:val="0"/>
        <w:spacing w:line="440" w:lineRule="exact"/>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招标代理服务收费标准</w:t>
      </w:r>
    </w:p>
    <w:tbl>
      <w:tblPr>
        <w:tblStyle w:val="3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0EFFC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880" w:type="dxa"/>
          </w:tcPr>
          <w:p w14:paraId="5BFF21F9">
            <w:pPr>
              <w:pStyle w:val="17"/>
              <w:keepNext w:val="0"/>
              <w:keepLines w:val="0"/>
              <w:pageBreakBefore w:val="0"/>
              <w:kinsoku/>
              <w:wordWrap/>
              <w:overflowPunct/>
              <w:topLinePunct w:val="0"/>
              <w:bidi w:val="0"/>
              <w:spacing w:line="440" w:lineRule="exact"/>
              <w:ind w:left="2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133350</wp:posOffset>
                      </wp:positionV>
                      <wp:extent cx="1828800" cy="396240"/>
                      <wp:effectExtent l="1270" t="4445" r="17780" b="18415"/>
                      <wp:wrapNone/>
                      <wp:docPr id="4" name="Line 11"/>
                      <wp:cNvGraphicFramePr/>
                      <a:graphic xmlns:a="http://schemas.openxmlformats.org/drawingml/2006/main">
                        <a:graphicData uri="http://schemas.microsoft.com/office/word/2010/wordprocessingShape">
                          <wps:wsp>
                            <wps:cNvCnPr>
                              <a:cxnSpLocks noChangeShapeType="1"/>
                            </wps:cNvCnPr>
                            <wps:spPr bwMode="auto">
                              <a:xfrm>
                                <a:off x="0" y="0"/>
                                <a:ext cx="1828800" cy="396240"/>
                              </a:xfrm>
                              <a:prstGeom prst="line">
                                <a:avLst/>
                              </a:prstGeom>
                              <a:noFill/>
                              <a:ln w="9525">
                                <a:solidFill>
                                  <a:srgbClr val="000000"/>
                                </a:solidFill>
                                <a:round/>
                              </a:ln>
                              <a:effectLst/>
                            </wps:spPr>
                            <wps:bodyPr/>
                          </wps:wsp>
                        </a:graphicData>
                      </a:graphic>
                    </wp:anchor>
                  </w:drawing>
                </mc:Choice>
                <mc:Fallback>
                  <w:pict>
                    <v:line id="Line 11" o:spid="_x0000_s1026" o:spt="20" style="position:absolute;left:0pt;margin-left:-5.4pt;margin-top:10.5pt;height:31.2pt;width:144pt;z-index:251660288;mso-width-relative:page;mso-height-relative:page;" filled="f" stroked="t" coordsize="21600,21600" o:gfxdata="UEsDBAoAAAAAAIdO4kAAAAAAAAAAAAAAAAAEAAAAZHJzL1BLAwQUAAAACACHTuJABr8gBNcAAAAJ&#10;AQAADwAAAGRycy9kb3ducmV2LnhtbE2PzU7DMBCE70i8g7VIXKrWjotoFbLpAciNCwXEdZssSUS8&#10;TmP3B54ec4LjaEYz3xSbsxvUkafQe0HIFgYUS+2bXlqE15dqvgYVIklDgxdG+OIAm/LyoqC88Sd5&#10;5uM2tiqVSMgJoYtxzLUOdceOwsKPLMn78JOjmOTU6maiUyp3g7bG3GpHvaSFjka+77j+3B4cQqje&#10;eF99z+qZeV+2nu3+4emREK+vMnMHKvI5/oXhFz+hQ5mYdv4gTVADwjwzCT0i2Cx9SgG7WllQO4T1&#10;8gZ0Wej/D8ofUEsDBBQAAAAIAIdO4kD1X6BH1QEAALMDAAAOAAAAZHJzL2Uyb0RvYy54bWytU8Fu&#10;2zAMvQ/YPwi6L3a8tkiNOD0k6C7ZFqDdByiyHAuTREFU4uTvR8lJuraXHuqDIJGPj+QjPX84WsMO&#10;KqAG1/DppORMOQmtdruG/3l+/DbjDKNwrTDgVMNPCvnD4uuX+eBrVUEPplWBEYnDevAN72P0dVGg&#10;7JUVOAGvHDk7CFZEeoZd0QYxELs1RVWWd8UAofUBpEIk62p08jNj+AghdJ2WagVyb5WLI2tQRkRq&#10;CXvtkS9ytV2nZPzddagiMw2nTmM+KQndt+ksFnNR74LwvZbnEsRHSnjTkxXaUdIr1UpEwfZBv6Oy&#10;WgZA6OJEgi3GRrIi1MW0fKPNUy+8yr2Q1OivouPn0cpfh01gum34DWdOWBr4WjvFptMkzeCxJsTS&#10;bUJqTh7dk1+D/IvMwbIXbqdyic8nT3E5ongVkh7oKcF2+AktYcQ+Qtbp2AWbKEkBdszjOF3HoY6R&#10;STJOZ9VsVtKkJPm+399VN3lehagv0T5g/KHAsnRpuKHKM7s4rDFS/QS9QFIyB4/amDxy49jQ8Pvb&#10;6jYHIBjdJmeCYdhtlyawg0hLk78kBpG9ggXYu3a0G5fiVN63c+ZL66OIW2hPm5DAyU6zzHTnvUvL&#10;8v87o17+tc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r8gBNcAAAAJAQAADwAAAAAAAAABACAA&#10;AAAiAAAAZHJzL2Rvd25yZXYueG1sUEsBAhQAFAAAAAgAh07iQPVfoEfVAQAAswMAAA4AAAAAAAAA&#10;AQAgAAAAJgEAAGRycy9lMm9Eb2MueG1sUEsFBgAAAAAGAAYAWQEAAG0FAAAAAA==&#10;">
                      <v:fill on="f" focussize="0,0"/>
                      <v:stroke color="#000000" joinstyle="round"/>
                      <v:imagedata o:title=""/>
                      <o:lock v:ext="edit" aspectratio="f"/>
                    </v:line>
                  </w:pict>
                </mc:Fallback>
              </mc:AlternateContent>
            </w:r>
            <w:r>
              <w:rPr>
                <w:rFonts w:hint="eastAsia" w:ascii="宋体" w:hAnsi="宋体" w:eastAsia="宋体" w:cs="宋体"/>
                <w:color w:val="000000" w:themeColor="text1"/>
                <w:sz w:val="21"/>
                <w:szCs w:val="21"/>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10795</wp:posOffset>
                      </wp:positionV>
                      <wp:extent cx="1781810" cy="295910"/>
                      <wp:effectExtent l="635" t="4445" r="8255" b="23495"/>
                      <wp:wrapNone/>
                      <wp:docPr id="3" name="Line 10"/>
                      <wp:cNvGraphicFramePr/>
                      <a:graphic xmlns:a="http://schemas.openxmlformats.org/drawingml/2006/main">
                        <a:graphicData uri="http://schemas.microsoft.com/office/word/2010/wordprocessingShape">
                          <wps:wsp>
                            <wps:cNvCnPr>
                              <a:cxnSpLocks noChangeShapeType="1"/>
                            </wps:cNvCnPr>
                            <wps:spPr bwMode="auto">
                              <a:xfrm>
                                <a:off x="0" y="0"/>
                                <a:ext cx="1781810" cy="295910"/>
                              </a:xfrm>
                              <a:prstGeom prst="line">
                                <a:avLst/>
                              </a:prstGeom>
                              <a:noFill/>
                              <a:ln w="9525">
                                <a:solidFill>
                                  <a:srgbClr val="000000"/>
                                </a:solidFill>
                                <a:round/>
                              </a:ln>
                              <a:effectLst/>
                            </wps:spPr>
                            <wps:bodyPr/>
                          </wps:wsp>
                        </a:graphicData>
                      </a:graphic>
                    </wp:anchor>
                  </w:drawing>
                </mc:Choice>
                <mc:Fallback>
                  <w:pict>
                    <v:line id="Line 10" o:spid="_x0000_s1026" o:spt="20" style="position:absolute;left:0pt;margin-left:-5.4pt;margin-top:0.85pt;height:23.3pt;width:140.3pt;z-index:251661312;mso-width-relative:page;mso-height-relative:page;" filled="f" stroked="t" coordsize="21600,21600" o:gfxdata="UEsDBAoAAAAAAIdO4kAAAAAAAAAAAAAAAAAEAAAAZHJzL1BLAwQUAAAACACHTuJA0Lh9c9YAAAAI&#10;AQAADwAAAGRycy9kb3ducmV2LnhtbE2Py07DMBBF90j8gzVIbKrWToraEuJ0AWTHhgLqdpoMSUQ8&#10;TmP3AV/PsCrLqzO690y+PrteHWkMnWcLycyAIq583XFj4f2tnK5AhYhcY++ZLHxTgHVxfZVjVvsT&#10;v9JxExslJRwytNDGOGRah6olh2HmB2Jhn350GCWOja5HPEm563VqzEI77FgWWhzosaXqa3NwFkL5&#10;QfvyZ1JNzHbeeEr3Ty/PaO3tTWIeQEU6x8sx/OmLOhTitPMHroPqLUwTI+pRwBKU8HRxL3ln4W41&#10;B13k+v8DxS9QSwMEFAAAAAgAh07iQLLLALjUAQAAswMAAA4AAABkcnMvZTJvRG9jLnhtbK1TwY7a&#10;MBC9V+o/WL6XECpaiAh7AG0vtEXa7QcYx0ms2h7LYwj8fccOsNvtZQ/NwYozM2/eezNZPZytYScV&#10;UIOreTmZcqachEa7rua/nh8/LTjDKFwjDDhV84tC/rD++GE1+ErNoAfTqMAIxGE1+Jr3MfqqKFD2&#10;ygqcgFeOgi0EKyJdQ1c0QQyEbk0xm06/FAOExgeQCpG+bscgvyKG9wBC22qptiCPVrk4ogZlRCRJ&#10;2GuPfJ3Ztq2S8WfboorM1JyUxnxSE3o/pLNYr0TVBeF7La8UxHsovNFkhXbU9A61FVGwY9D/QFkt&#10;AyC0cSLBFqOQ7AipKKdvvHnqhVdZC1mN/m46/j9Y+eO0D0w3Nf/MmROWBr7TTrEyWzN4rChj4/Yh&#10;iZNn9+R3IH8jc7DphetUpvh88VRXJjOLv0rSBT01OAzfoaEccYyQfTq3wSZIcoCd8zgu93Goc2SS&#10;PpZfF+WCiDBJsdlyvhxJFaK6VfuA8ZsCy9JLzQ0xz+jitMOY2IjqlpKaOXjUxuSRG8eGmi/ns3ku&#10;QDC6ScGUhqE7bExgJ5GWJj9ZGkVepwU4umZsYlyqU3nfrp1v0tMmYnWA5rIPN39olpnbde/Ssry+&#10;Zxdf/rX1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C4fXPWAAAACAEAAA8AAAAAAAAAAQAgAAAA&#10;IgAAAGRycy9kb3ducmV2LnhtbFBLAQIUABQAAAAIAIdO4kCyywC41AEAALMDAAAOAAAAAAAAAAEA&#10;IAAAACUBAABkcnMvZTJvRG9jLnhtbFBLBQYAAAAABgAGAFkBAABrBQAAAAA=&#10;">
                      <v:fill on="f" focussize="0,0"/>
                      <v:stroke color="#000000" joinstyle="round"/>
                      <v:imagedata o:title=""/>
                      <o:lock v:ext="edit" aspectratio="f"/>
                    </v:line>
                  </w:pict>
                </mc:Fallback>
              </mc:AlternateContent>
            </w:r>
            <w:r>
              <w:rPr>
                <w:rFonts w:hint="eastAsia" w:ascii="宋体" w:hAnsi="宋体" w:eastAsia="宋体" w:cs="宋体"/>
                <w:color w:val="000000" w:themeColor="text1"/>
                <w:sz w:val="21"/>
                <w:szCs w:val="21"/>
                <w:highlight w:val="none"/>
                <w14:textFill>
                  <w14:solidFill>
                    <w14:schemeClr w14:val="tx1"/>
                  </w14:solidFill>
                </w14:textFill>
              </w:rPr>
              <w:t>折扣           服务类型</w:t>
            </w:r>
          </w:p>
          <w:p w14:paraId="65C73E86">
            <w:pPr>
              <w:pStyle w:val="17"/>
              <w:keepNext w:val="0"/>
              <w:keepLines w:val="0"/>
              <w:pageBreakBefore w:val="0"/>
              <w:kinsoku/>
              <w:wordWrap/>
              <w:overflowPunct/>
              <w:topLinePunct w:val="0"/>
              <w:bidi w:val="0"/>
              <w:spacing w:line="440" w:lineRule="exact"/>
              <w:ind w:left="2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中标金额（万元）</w:t>
            </w:r>
          </w:p>
        </w:tc>
        <w:tc>
          <w:tcPr>
            <w:tcW w:w="1841" w:type="dxa"/>
            <w:vAlign w:val="center"/>
          </w:tcPr>
          <w:p w14:paraId="27B67831">
            <w:pPr>
              <w:pStyle w:val="17"/>
              <w:keepNext w:val="0"/>
              <w:keepLines w:val="0"/>
              <w:pageBreakBefore w:val="0"/>
              <w:kinsoku/>
              <w:wordWrap/>
              <w:overflowPunct/>
              <w:topLinePunct w:val="0"/>
              <w:bidi w:val="0"/>
              <w:spacing w:line="440" w:lineRule="exact"/>
              <w:ind w:left="25"/>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货物招标</w:t>
            </w:r>
          </w:p>
        </w:tc>
        <w:tc>
          <w:tcPr>
            <w:tcW w:w="1992" w:type="dxa"/>
            <w:vAlign w:val="center"/>
          </w:tcPr>
          <w:p w14:paraId="1E2DBDA7">
            <w:pPr>
              <w:pStyle w:val="17"/>
              <w:keepNext w:val="0"/>
              <w:keepLines w:val="0"/>
              <w:pageBreakBefore w:val="0"/>
              <w:kinsoku/>
              <w:wordWrap/>
              <w:overflowPunct/>
              <w:topLinePunct w:val="0"/>
              <w:bidi w:val="0"/>
              <w:spacing w:line="440" w:lineRule="exact"/>
              <w:ind w:left="25"/>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服务招标</w:t>
            </w:r>
          </w:p>
        </w:tc>
        <w:tc>
          <w:tcPr>
            <w:tcW w:w="2293" w:type="dxa"/>
            <w:vAlign w:val="center"/>
          </w:tcPr>
          <w:p w14:paraId="5BD17EF1">
            <w:pPr>
              <w:pStyle w:val="17"/>
              <w:keepNext w:val="0"/>
              <w:keepLines w:val="0"/>
              <w:pageBreakBefore w:val="0"/>
              <w:kinsoku/>
              <w:wordWrap/>
              <w:overflowPunct/>
              <w:topLinePunct w:val="0"/>
              <w:bidi w:val="0"/>
              <w:spacing w:line="440" w:lineRule="exact"/>
              <w:ind w:left="25"/>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工程招标</w:t>
            </w:r>
          </w:p>
        </w:tc>
      </w:tr>
      <w:tr w14:paraId="2124F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tcPr>
          <w:p w14:paraId="05142B5D">
            <w:pPr>
              <w:pStyle w:val="17"/>
              <w:keepNext w:val="0"/>
              <w:keepLines w:val="0"/>
              <w:pageBreakBefore w:val="0"/>
              <w:kinsoku/>
              <w:wordWrap/>
              <w:overflowPunct/>
              <w:topLinePunct w:val="0"/>
              <w:bidi w:val="0"/>
              <w:spacing w:line="440" w:lineRule="exact"/>
              <w:ind w:left="2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100以下</w:t>
            </w:r>
          </w:p>
        </w:tc>
        <w:tc>
          <w:tcPr>
            <w:tcW w:w="1841" w:type="dxa"/>
          </w:tcPr>
          <w:p w14:paraId="71D04E8C">
            <w:pPr>
              <w:pStyle w:val="17"/>
              <w:keepNext w:val="0"/>
              <w:keepLines w:val="0"/>
              <w:pageBreakBefore w:val="0"/>
              <w:kinsoku/>
              <w:wordWrap/>
              <w:overflowPunct/>
              <w:topLinePunct w:val="0"/>
              <w:bidi w:val="0"/>
              <w:spacing w:line="440" w:lineRule="exact"/>
              <w:ind w:left="25"/>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1992" w:type="dxa"/>
          </w:tcPr>
          <w:p w14:paraId="5F6240CD">
            <w:pPr>
              <w:pStyle w:val="17"/>
              <w:keepNext w:val="0"/>
              <w:keepLines w:val="0"/>
              <w:pageBreakBefore w:val="0"/>
              <w:kinsoku/>
              <w:wordWrap/>
              <w:overflowPunct/>
              <w:topLinePunct w:val="0"/>
              <w:bidi w:val="0"/>
              <w:spacing w:line="440" w:lineRule="exact"/>
              <w:ind w:left="25"/>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2293" w:type="dxa"/>
          </w:tcPr>
          <w:p w14:paraId="575CE0B2">
            <w:pPr>
              <w:pStyle w:val="17"/>
              <w:keepNext w:val="0"/>
              <w:keepLines w:val="0"/>
              <w:pageBreakBefore w:val="0"/>
              <w:kinsoku/>
              <w:wordWrap/>
              <w:overflowPunct/>
              <w:topLinePunct w:val="0"/>
              <w:bidi w:val="0"/>
              <w:spacing w:line="440" w:lineRule="exact"/>
              <w:ind w:left="25"/>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r>
      <w:tr w14:paraId="71E4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tcPr>
          <w:p w14:paraId="237A28B2">
            <w:pPr>
              <w:pStyle w:val="17"/>
              <w:keepNext w:val="0"/>
              <w:keepLines w:val="0"/>
              <w:pageBreakBefore w:val="0"/>
              <w:kinsoku/>
              <w:wordWrap/>
              <w:overflowPunct/>
              <w:topLinePunct w:val="0"/>
              <w:bidi w:val="0"/>
              <w:spacing w:line="440" w:lineRule="exact"/>
              <w:ind w:left="2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100-500</w:t>
            </w:r>
          </w:p>
        </w:tc>
        <w:tc>
          <w:tcPr>
            <w:tcW w:w="1841" w:type="dxa"/>
          </w:tcPr>
          <w:p w14:paraId="2077FE19">
            <w:pPr>
              <w:pStyle w:val="17"/>
              <w:keepNext w:val="0"/>
              <w:keepLines w:val="0"/>
              <w:pageBreakBefore w:val="0"/>
              <w:kinsoku/>
              <w:wordWrap/>
              <w:overflowPunct/>
              <w:topLinePunct w:val="0"/>
              <w:bidi w:val="0"/>
              <w:spacing w:line="440" w:lineRule="exact"/>
              <w:ind w:left="25"/>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p>
        </w:tc>
        <w:tc>
          <w:tcPr>
            <w:tcW w:w="1992" w:type="dxa"/>
          </w:tcPr>
          <w:p w14:paraId="365BB8DC">
            <w:pPr>
              <w:pStyle w:val="17"/>
              <w:keepNext w:val="0"/>
              <w:keepLines w:val="0"/>
              <w:pageBreakBefore w:val="0"/>
              <w:kinsoku/>
              <w:wordWrap/>
              <w:overflowPunct/>
              <w:topLinePunct w:val="0"/>
              <w:bidi w:val="0"/>
              <w:spacing w:line="440" w:lineRule="exact"/>
              <w:ind w:left="25"/>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0.8%</w:t>
            </w:r>
          </w:p>
        </w:tc>
        <w:tc>
          <w:tcPr>
            <w:tcW w:w="2293" w:type="dxa"/>
          </w:tcPr>
          <w:p w14:paraId="77CF971A">
            <w:pPr>
              <w:pStyle w:val="17"/>
              <w:keepNext w:val="0"/>
              <w:keepLines w:val="0"/>
              <w:pageBreakBefore w:val="0"/>
              <w:kinsoku/>
              <w:wordWrap/>
              <w:overflowPunct/>
              <w:topLinePunct w:val="0"/>
              <w:bidi w:val="0"/>
              <w:spacing w:line="440" w:lineRule="exact"/>
              <w:ind w:left="25"/>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0.7%</w:t>
            </w:r>
          </w:p>
        </w:tc>
      </w:tr>
      <w:tr w14:paraId="705C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6D35CF47">
            <w:pPr>
              <w:pStyle w:val="17"/>
              <w:keepNext w:val="0"/>
              <w:keepLines w:val="0"/>
              <w:pageBreakBefore w:val="0"/>
              <w:kinsoku/>
              <w:wordWrap/>
              <w:overflowPunct/>
              <w:topLinePunct w:val="0"/>
              <w:bidi w:val="0"/>
              <w:spacing w:line="440" w:lineRule="exact"/>
              <w:ind w:left="25"/>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500-1000</w:t>
            </w:r>
          </w:p>
        </w:tc>
        <w:tc>
          <w:tcPr>
            <w:tcW w:w="1841" w:type="dxa"/>
          </w:tcPr>
          <w:p w14:paraId="445DC1DE">
            <w:pPr>
              <w:pStyle w:val="17"/>
              <w:keepNext w:val="0"/>
              <w:keepLines w:val="0"/>
              <w:pageBreakBefore w:val="0"/>
              <w:kinsoku/>
              <w:wordWrap/>
              <w:overflowPunct/>
              <w:topLinePunct w:val="0"/>
              <w:bidi w:val="0"/>
              <w:spacing w:line="440" w:lineRule="exact"/>
              <w:ind w:left="25"/>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0.8%</w:t>
            </w:r>
          </w:p>
        </w:tc>
        <w:tc>
          <w:tcPr>
            <w:tcW w:w="1992" w:type="dxa"/>
          </w:tcPr>
          <w:p w14:paraId="5BE32ADA">
            <w:pPr>
              <w:pStyle w:val="17"/>
              <w:keepNext w:val="0"/>
              <w:keepLines w:val="0"/>
              <w:pageBreakBefore w:val="0"/>
              <w:kinsoku/>
              <w:wordWrap/>
              <w:overflowPunct/>
              <w:topLinePunct w:val="0"/>
              <w:bidi w:val="0"/>
              <w:spacing w:line="440" w:lineRule="exact"/>
              <w:ind w:left="25"/>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0.45%</w:t>
            </w:r>
          </w:p>
        </w:tc>
        <w:tc>
          <w:tcPr>
            <w:tcW w:w="2293" w:type="dxa"/>
          </w:tcPr>
          <w:p w14:paraId="34EFD8CB">
            <w:pPr>
              <w:pStyle w:val="17"/>
              <w:keepNext w:val="0"/>
              <w:keepLines w:val="0"/>
              <w:pageBreakBefore w:val="0"/>
              <w:kinsoku/>
              <w:wordWrap/>
              <w:overflowPunct/>
              <w:topLinePunct w:val="0"/>
              <w:bidi w:val="0"/>
              <w:spacing w:line="440" w:lineRule="exact"/>
              <w:ind w:left="25"/>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0.55%</w:t>
            </w:r>
          </w:p>
        </w:tc>
      </w:tr>
    </w:tbl>
    <w:p w14:paraId="2FF08007">
      <w:pPr>
        <w:keepNext w:val="0"/>
        <w:keepLines w:val="0"/>
        <w:pageBreakBefore w:val="0"/>
        <w:kinsoku/>
        <w:wordWrap/>
        <w:overflowPunct/>
        <w:topLinePunct w:val="0"/>
        <w:bidi w:val="0"/>
        <w:spacing w:line="440" w:lineRule="exact"/>
        <w:ind w:firstLine="411" w:firstLineChars="19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注：招标代理服务收费按差额定率累进法计算。</w:t>
      </w:r>
    </w:p>
    <w:p w14:paraId="386C66FB">
      <w:pPr>
        <w:keepNext w:val="0"/>
        <w:keepLines w:val="0"/>
        <w:pageBreakBefore w:val="0"/>
        <w:kinsoku/>
        <w:wordWrap/>
        <w:overflowPunct/>
        <w:topLinePunct w:val="0"/>
        <w:bidi w:val="0"/>
        <w:spacing w:line="44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交纳代理服务费的银行账户：</w:t>
      </w:r>
    </w:p>
    <w:p w14:paraId="31B78E3D">
      <w:pPr>
        <w:keepNext w:val="0"/>
        <w:keepLines w:val="0"/>
        <w:pageBreakBefore w:val="0"/>
        <w:kinsoku/>
        <w:wordWrap/>
        <w:overflowPunct/>
        <w:topLinePunct w:val="0"/>
        <w:bidi w:val="0"/>
        <w:spacing w:line="440" w:lineRule="exact"/>
        <w:ind w:firstLine="422" w:firstLineChars="200"/>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账户名称：广西奥金斯项目管理有限公司</w:t>
      </w:r>
    </w:p>
    <w:p w14:paraId="69D898F1">
      <w:pPr>
        <w:keepNext w:val="0"/>
        <w:keepLines w:val="0"/>
        <w:pageBreakBefore w:val="0"/>
        <w:kinsoku/>
        <w:wordWrap/>
        <w:overflowPunct/>
        <w:topLinePunct w:val="0"/>
        <w:bidi w:val="0"/>
        <w:spacing w:line="440" w:lineRule="exact"/>
        <w:ind w:firstLine="422" w:firstLineChars="200"/>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开户银行：中国建设银行股份有限公司桂林瓦窑支行</w:t>
      </w:r>
    </w:p>
    <w:p w14:paraId="35704D23">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银行账号： </w:t>
      </w:r>
      <w:r>
        <w:rPr>
          <w:rFonts w:hint="eastAsia" w:ascii="宋体" w:hAnsi="宋体" w:eastAsia="宋体" w:cs="宋体"/>
          <w:b/>
          <w:bCs/>
          <w:color w:val="000000" w:themeColor="text1"/>
          <w:sz w:val="21"/>
          <w:szCs w:val="21"/>
          <w:highlight w:val="none"/>
          <w14:textFill>
            <w14:solidFill>
              <w14:schemeClr w14:val="tx1"/>
            </w14:solidFill>
          </w14:textFill>
        </w:rPr>
        <w:t>4505 0163 5303 0000 0025</w:t>
      </w:r>
    </w:p>
    <w:p w14:paraId="304C0DA9">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37. 解释权</w:t>
      </w:r>
      <w:bookmarkEnd w:id="260"/>
      <w:bookmarkEnd w:id="261"/>
      <w:bookmarkEnd w:id="262"/>
    </w:p>
    <w:p w14:paraId="70B4CCFB">
      <w:pPr>
        <w:keepNext w:val="0"/>
        <w:keepLines w:val="0"/>
        <w:pageBreakBefore w:val="0"/>
        <w:kinsoku/>
        <w:wordWrap/>
        <w:overflowPunct/>
        <w:topLinePunct w:val="0"/>
        <w:bidi w:val="0"/>
        <w:snapToGrid w:val="0"/>
        <w:spacing w:line="44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招标文件是根据《中华人民共和国政府采购法》《中华人民共和国政府采购法实施条例》及《政府采购货物和服务招标投标管理办法》（财政部令第87号）和政府采购管理有关规定编制，本招标文件的解释权属于广西奥金斯项目管理有限公司。</w:t>
      </w:r>
      <w:bookmarkEnd w:id="259"/>
    </w:p>
    <w:p w14:paraId="6328A90D">
      <w:pPr>
        <w:keepNext w:val="0"/>
        <w:keepLines w:val="0"/>
        <w:pageBreakBefore w:val="0"/>
        <w:kinsoku/>
        <w:wordWrap/>
        <w:overflowPunct/>
        <w:topLinePunct w:val="0"/>
        <w:bidi w:val="0"/>
        <w:spacing w:line="440" w:lineRule="exact"/>
        <w:ind w:firstLine="413" w:firstLineChars="196"/>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263" w:name="_Toc9769"/>
      <w:bookmarkStart w:id="264" w:name="_Toc6497"/>
      <w:bookmarkStart w:id="265" w:name="_Toc1384"/>
      <w:bookmarkStart w:id="266" w:name="_Toc11077"/>
      <w:r>
        <w:rPr>
          <w:rFonts w:hint="eastAsia" w:ascii="宋体" w:hAnsi="宋体" w:eastAsia="宋体" w:cs="宋体"/>
          <w:b/>
          <w:color w:val="000000" w:themeColor="text1"/>
          <w:sz w:val="21"/>
          <w:szCs w:val="21"/>
          <w:highlight w:val="none"/>
          <w14:textFill>
            <w14:solidFill>
              <w14:schemeClr w14:val="tx1"/>
            </w14:solidFill>
          </w14:textFill>
        </w:rPr>
        <w:t>38. 监督管理机构</w:t>
      </w:r>
      <w:bookmarkEnd w:id="263"/>
      <w:bookmarkEnd w:id="264"/>
      <w:bookmarkEnd w:id="265"/>
    </w:p>
    <w:bookmarkEnd w:id="266"/>
    <w:p w14:paraId="29EA38E8">
      <w:pPr>
        <w:keepNext w:val="0"/>
        <w:keepLines w:val="0"/>
        <w:pageBreakBefore w:val="0"/>
        <w:widowControl/>
        <w:kinsoku/>
        <w:wordWrap/>
        <w:overflowPunct/>
        <w:topLinePunct w:val="0"/>
        <w:bidi w:val="0"/>
        <w:spacing w:line="440" w:lineRule="exact"/>
        <w:ind w:firstLine="420" w:firstLineChars="200"/>
        <w:jc w:val="left"/>
        <w:textAlignment w:val="auto"/>
        <w:outlineLvl w:val="9"/>
        <w:rPr>
          <w:rFonts w:hint="eastAsia" w:ascii="宋体" w:hAnsi="宋体" w:eastAsia="宋体" w:cs="宋体"/>
          <w:b/>
          <w:color w:val="000000" w:themeColor="text1"/>
          <w:sz w:val="21"/>
          <w:szCs w:val="21"/>
          <w:highlight w:val="none"/>
          <w:lang w:eastAsia="zh-CN"/>
          <w14:textFill>
            <w14:solidFill>
              <w14:schemeClr w14:val="tx1"/>
            </w14:solidFill>
          </w14:textFill>
        </w:rPr>
      </w:pPr>
      <w:bookmarkStart w:id="267" w:name="_Toc29861"/>
      <w:bookmarkStart w:id="268" w:name="_Toc32614"/>
      <w:bookmarkStart w:id="269" w:name="_Toc12794"/>
      <w:bookmarkStart w:id="270" w:name="_Toc20149"/>
      <w:bookmarkStart w:id="271" w:name="_Toc12929"/>
      <w:bookmarkStart w:id="272" w:name="_Toc23297"/>
      <w:r>
        <w:rPr>
          <w:rFonts w:hint="eastAsia" w:ascii="宋体" w:hAnsi="宋体" w:cs="宋体"/>
          <w:color w:val="000000" w:themeColor="text1"/>
          <w:sz w:val="21"/>
          <w:szCs w:val="21"/>
          <w:highlight w:val="none"/>
          <w:lang w:eastAsia="zh-CN"/>
          <w14:textFill>
            <w14:solidFill>
              <w14:schemeClr w14:val="tx1"/>
            </w14:solidFill>
          </w14:textFill>
        </w:rPr>
        <w:t>桂林市财政局</w:t>
      </w:r>
      <w:r>
        <w:rPr>
          <w:rFonts w:hint="eastAsia" w:ascii="宋体" w:hAnsi="宋体" w:eastAsia="宋体" w:cs="宋体"/>
          <w:color w:val="000000" w:themeColor="text1"/>
          <w:sz w:val="21"/>
          <w:szCs w:val="21"/>
          <w:highlight w:val="none"/>
          <w14:textFill>
            <w14:solidFill>
              <w14:schemeClr w14:val="tx1"/>
            </w14:solidFill>
          </w14:textFill>
        </w:rPr>
        <w:t xml:space="preserve">                   联系电话：</w:t>
      </w:r>
      <w:r>
        <w:rPr>
          <w:rFonts w:hint="eastAsia" w:ascii="宋体" w:hAnsi="宋体" w:cs="宋体"/>
          <w:color w:val="000000" w:themeColor="text1"/>
          <w:sz w:val="21"/>
          <w:szCs w:val="21"/>
          <w:highlight w:val="none"/>
          <w:lang w:eastAsia="zh-CN"/>
          <w14:textFill>
            <w14:solidFill>
              <w14:schemeClr w14:val="tx1"/>
            </w14:solidFill>
          </w14:textFill>
        </w:rPr>
        <w:t>0773-2862142</w:t>
      </w:r>
    </w:p>
    <w:p w14:paraId="1995E650">
      <w:pPr>
        <w:pageBreakBefore w:val="0"/>
        <w:widowControl/>
        <w:kinsoku/>
        <w:wordWrap/>
        <w:overflowPunct/>
        <w:topLinePunct w:val="0"/>
        <w:bidi w:val="0"/>
        <w:jc w:val="left"/>
        <w:outlineLvl w:val="9"/>
        <w:rPr>
          <w:b/>
          <w:color w:val="000000" w:themeColor="text1"/>
          <w:sz w:val="24"/>
          <w:highlight w:val="none"/>
          <w14:textFill>
            <w14:solidFill>
              <w14:schemeClr w14:val="tx1"/>
            </w14:solidFill>
          </w14:textFill>
        </w:rPr>
      </w:pPr>
    </w:p>
    <w:p w14:paraId="26B15039">
      <w:pPr>
        <w:pageBreakBefore w:val="0"/>
        <w:widowControl/>
        <w:kinsoku/>
        <w:wordWrap/>
        <w:overflowPunct/>
        <w:topLinePunct w:val="0"/>
        <w:bidi w:val="0"/>
        <w:jc w:val="left"/>
        <w:outlineLvl w:val="9"/>
        <w:rPr>
          <w:b/>
          <w:color w:val="000000" w:themeColor="text1"/>
          <w:sz w:val="24"/>
          <w:highlight w:val="none"/>
          <w14:textFill>
            <w14:solidFill>
              <w14:schemeClr w14:val="tx1"/>
            </w14:solidFill>
          </w14:textFill>
        </w:rPr>
      </w:pPr>
    </w:p>
    <w:p w14:paraId="7B5F6748">
      <w:pPr>
        <w:pageBreakBefore w:val="0"/>
        <w:widowControl/>
        <w:kinsoku/>
        <w:wordWrap/>
        <w:overflowPunct/>
        <w:topLinePunct w:val="0"/>
        <w:bidi w:val="0"/>
        <w:jc w:val="left"/>
        <w:outlineLvl w:val="9"/>
        <w:rPr>
          <w:b/>
          <w:color w:val="000000" w:themeColor="text1"/>
          <w:sz w:val="24"/>
          <w:highlight w:val="none"/>
          <w14:textFill>
            <w14:solidFill>
              <w14:schemeClr w14:val="tx1"/>
            </w14:solidFill>
          </w14:textFill>
        </w:rPr>
      </w:pPr>
    </w:p>
    <w:p w14:paraId="73385512">
      <w:pPr>
        <w:pageBreakBefore w:val="0"/>
        <w:kinsoku/>
        <w:wordWrap/>
        <w:overflowPunct/>
        <w:topLinePunct w:val="0"/>
        <w:bidi w:val="0"/>
        <w:outlineLvl w:val="9"/>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br w:type="page"/>
      </w:r>
    </w:p>
    <w:p w14:paraId="160A276D">
      <w:pPr>
        <w:pageBreakBefore w:val="0"/>
        <w:widowControl/>
        <w:kinsoku/>
        <w:wordWrap/>
        <w:overflowPunct/>
        <w:topLinePunct w:val="0"/>
        <w:bidi w:val="0"/>
        <w:jc w:val="left"/>
        <w:outlineLvl w:val="9"/>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附件</w:t>
      </w:r>
    </w:p>
    <w:p w14:paraId="1E97343A">
      <w:pPr>
        <w:pageBreakBefore w:val="0"/>
        <w:kinsoku/>
        <w:wordWrap/>
        <w:overflowPunct/>
        <w:topLinePunct w:val="0"/>
        <w:bidi w:val="0"/>
        <w:outlineLvl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0" distR="0">
            <wp:extent cx="6188710" cy="5323205"/>
            <wp:effectExtent l="19050" t="0" r="254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5"/>
                    <a:srcRect/>
                    <a:stretch>
                      <a:fillRect/>
                    </a:stretch>
                  </pic:blipFill>
                  <pic:spPr>
                    <a:xfrm>
                      <a:off x="0" y="0"/>
                      <a:ext cx="6188710" cy="5323529"/>
                    </a:xfrm>
                    <a:prstGeom prst="rect">
                      <a:avLst/>
                    </a:prstGeom>
                    <a:noFill/>
                    <a:ln w="9525">
                      <a:noFill/>
                      <a:miter lim="800000"/>
                      <a:headEnd/>
                      <a:tailEnd/>
                    </a:ln>
                  </pic:spPr>
                </pic:pic>
              </a:graphicData>
            </a:graphic>
          </wp:inline>
        </w:drawing>
      </w:r>
    </w:p>
    <w:p w14:paraId="29BB4E51">
      <w:pPr>
        <w:pageBreakBefore w:val="0"/>
        <w:widowControl/>
        <w:kinsoku/>
        <w:wordWrap/>
        <w:overflowPunct/>
        <w:topLinePunct w:val="0"/>
        <w:bidi w:val="0"/>
        <w:jc w:val="left"/>
        <w:outlineLvl w:val="9"/>
        <w:rPr>
          <w:rFonts w:ascii="宋体" w:hAnsi="宋体" w:cs="宋体"/>
          <w:color w:val="000000" w:themeColor="text1"/>
          <w:szCs w:val="20"/>
          <w:highlight w:val="none"/>
          <w14:textFill>
            <w14:solidFill>
              <w14:schemeClr w14:val="tx1"/>
            </w14:solidFill>
          </w14:textFill>
        </w:rPr>
      </w:pPr>
    </w:p>
    <w:p w14:paraId="11B84A94">
      <w:pPr>
        <w:pageBreakBefore w:val="0"/>
        <w:widowControl/>
        <w:kinsoku/>
        <w:wordWrap/>
        <w:overflowPunct/>
        <w:topLinePunct w:val="0"/>
        <w:bidi w:val="0"/>
        <w:jc w:val="left"/>
        <w:outlineLvl w:val="9"/>
        <w:rPr>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br w:type="page"/>
      </w:r>
    </w:p>
    <w:p w14:paraId="6611B860">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color w:val="000000" w:themeColor="text1"/>
          <w:sz w:val="32"/>
          <w:szCs w:val="32"/>
          <w:highlight w:val="none"/>
          <w14:textFill>
            <w14:solidFill>
              <w14:schemeClr w14:val="tx1"/>
            </w14:solidFill>
          </w14:textFill>
        </w:rPr>
      </w:pPr>
      <w:bookmarkStart w:id="273" w:name="_Toc18957"/>
      <w:r>
        <w:rPr>
          <w:rFonts w:hint="eastAsia"/>
          <w:color w:val="000000" w:themeColor="text1"/>
          <w:sz w:val="32"/>
          <w:szCs w:val="32"/>
          <w:highlight w:val="none"/>
          <w14:textFill>
            <w14:solidFill>
              <w14:schemeClr w14:val="tx1"/>
            </w14:solidFill>
          </w14:textFill>
        </w:rPr>
        <w:t>第三章</w:t>
      </w:r>
      <w:bookmarkEnd w:id="267"/>
      <w:bookmarkEnd w:id="268"/>
      <w:bookmarkEnd w:id="269"/>
      <w:bookmarkEnd w:id="270"/>
      <w:bookmarkEnd w:id="271"/>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14:textFill>
            <w14:solidFill>
              <w14:schemeClr w14:val="tx1"/>
            </w14:solidFill>
          </w14:textFill>
        </w:rPr>
        <w:t>服务采购需求</w:t>
      </w:r>
      <w:bookmarkEnd w:id="273"/>
    </w:p>
    <w:p w14:paraId="245A17EE">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说明：</w:t>
      </w:r>
    </w:p>
    <w:p w14:paraId="07192945">
      <w:pPr>
        <w:keepNext w:val="0"/>
        <w:keepLines w:val="0"/>
        <w:pageBreakBefore w:val="0"/>
        <w:kinsoku/>
        <w:wordWrap/>
        <w:overflowPunct/>
        <w:topLinePunct w:val="0"/>
        <w:autoSpaceDE/>
        <w:autoSpaceDN/>
        <w:bidi w:val="0"/>
        <w:adjustRightInd/>
        <w:snapToGrid/>
        <w:spacing w:line="460" w:lineRule="exact"/>
        <w:ind w:firstLine="424" w:firstLineChars="202"/>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1.“实质性要求”是指采购需求中带“▲”的条款或者不能负偏离的条款或者已经指明不满足按响应文件作无效处理的条款。</w:t>
      </w:r>
    </w:p>
    <w:p w14:paraId="7D533D8B">
      <w:pPr>
        <w:keepNext w:val="0"/>
        <w:keepLines w:val="0"/>
        <w:pageBreakBefore w:val="0"/>
        <w:kinsoku/>
        <w:wordWrap/>
        <w:overflowPunct/>
        <w:topLinePunct w:val="0"/>
        <w:autoSpaceDE/>
        <w:autoSpaceDN/>
        <w:bidi w:val="0"/>
        <w:adjustRightInd/>
        <w:snapToGrid/>
        <w:spacing w:line="460" w:lineRule="exact"/>
        <w:ind w:firstLine="424" w:firstLineChars="202"/>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应根据自身实际情况如实响应服务采购需求。</w:t>
      </w:r>
    </w:p>
    <w:p w14:paraId="5D8D4020">
      <w:pPr>
        <w:keepNext w:val="0"/>
        <w:keepLines w:val="0"/>
        <w:pageBreakBefore w:val="0"/>
        <w:widowControl/>
        <w:kinsoku/>
        <w:wordWrap/>
        <w:overflowPunct/>
        <w:topLinePunct w:val="0"/>
        <w:autoSpaceDE/>
        <w:autoSpaceDN/>
        <w:bidi w:val="0"/>
        <w:adjustRightInd/>
        <w:snapToGrid/>
        <w:spacing w:line="460" w:lineRule="exact"/>
        <w:ind w:firstLine="424" w:firstLineChars="202"/>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 xml:space="preserve">3. </w:t>
      </w:r>
      <w:r>
        <w:rPr>
          <w:rFonts w:hint="eastAsia" w:ascii="宋体" w:hAnsi="宋体" w:eastAsia="宋体" w:cs="宋体"/>
          <w:color w:val="000000" w:themeColor="text1"/>
          <w:sz w:val="21"/>
          <w:szCs w:val="21"/>
          <w:lang w:val="en-US" w:eastAsia="zh-CN" w:bidi="ar"/>
          <w14:textFill>
            <w14:solidFill>
              <w14:schemeClr w14:val="tx1"/>
            </w14:solidFill>
          </w14:textFill>
        </w:rPr>
        <w:t>投标人</w:t>
      </w:r>
      <w:r>
        <w:rPr>
          <w:rFonts w:hint="eastAsia" w:ascii="宋体" w:hAnsi="宋体" w:eastAsia="宋体" w:cs="宋体"/>
          <w:color w:val="000000" w:themeColor="text1"/>
          <w:sz w:val="21"/>
          <w:szCs w:val="21"/>
          <w:lang w:bidi="ar"/>
          <w14:textFill>
            <w14:solidFill>
              <w14:schemeClr w14:val="tx1"/>
            </w14:solidFill>
          </w14:textFill>
        </w:rPr>
        <w:t>必须自行为其竞标产品（或服务）侵犯他人的知识产权或者专利成果的行为承担相应法律责任。</w:t>
      </w:r>
    </w:p>
    <w:tbl>
      <w:tblPr>
        <w:tblStyle w:val="32"/>
        <w:tblW w:w="9486" w:type="dxa"/>
        <w:jc w:val="center"/>
        <w:tblLayout w:type="fixed"/>
        <w:tblCellMar>
          <w:top w:w="0" w:type="dxa"/>
          <w:left w:w="108" w:type="dxa"/>
          <w:bottom w:w="0" w:type="dxa"/>
          <w:right w:w="108" w:type="dxa"/>
        </w:tblCellMar>
      </w:tblPr>
      <w:tblGrid>
        <w:gridCol w:w="690"/>
        <w:gridCol w:w="1238"/>
        <w:gridCol w:w="964"/>
        <w:gridCol w:w="6594"/>
      </w:tblGrid>
      <w:tr w14:paraId="3F63C64D">
        <w:tblPrEx>
          <w:tblCellMar>
            <w:top w:w="0" w:type="dxa"/>
            <w:left w:w="108" w:type="dxa"/>
            <w:bottom w:w="0" w:type="dxa"/>
            <w:right w:w="108" w:type="dxa"/>
          </w:tblCellMar>
        </w:tblPrEx>
        <w:trPr>
          <w:trHeight w:val="867" w:hRule="atLeast"/>
          <w:jc w:val="center"/>
        </w:trPr>
        <w:tc>
          <w:tcPr>
            <w:tcW w:w="690" w:type="dxa"/>
            <w:tcBorders>
              <w:top w:val="single" w:color="auto" w:sz="4" w:space="0"/>
              <w:left w:val="single" w:color="auto" w:sz="8" w:space="0"/>
              <w:bottom w:val="single" w:color="auto" w:sz="4" w:space="0"/>
              <w:right w:val="single" w:color="auto" w:sz="4" w:space="0"/>
            </w:tcBorders>
            <w:noWrap w:val="0"/>
            <w:vAlign w:val="center"/>
          </w:tcPr>
          <w:p w14:paraId="46386993">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68734F3E">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服务名称</w:t>
            </w:r>
          </w:p>
        </w:tc>
        <w:tc>
          <w:tcPr>
            <w:tcW w:w="964" w:type="dxa"/>
            <w:tcBorders>
              <w:top w:val="single" w:color="auto" w:sz="4" w:space="0"/>
              <w:left w:val="single" w:color="auto" w:sz="4" w:space="0"/>
              <w:bottom w:val="single" w:color="auto" w:sz="4" w:space="0"/>
              <w:right w:val="single" w:color="auto" w:sz="4" w:space="0"/>
            </w:tcBorders>
            <w:noWrap w:val="0"/>
            <w:vAlign w:val="center"/>
          </w:tcPr>
          <w:p w14:paraId="13A52038">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w:t>
            </w:r>
          </w:p>
          <w:p w14:paraId="1DD6987D">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w:t>
            </w:r>
          </w:p>
        </w:tc>
        <w:tc>
          <w:tcPr>
            <w:tcW w:w="6594" w:type="dxa"/>
            <w:tcBorders>
              <w:top w:val="single" w:color="auto" w:sz="4" w:space="0"/>
              <w:left w:val="single" w:color="auto" w:sz="4" w:space="0"/>
              <w:bottom w:val="single" w:color="auto" w:sz="4" w:space="0"/>
              <w:right w:val="single" w:color="auto" w:sz="8" w:space="0"/>
            </w:tcBorders>
            <w:noWrap w:val="0"/>
            <w:vAlign w:val="center"/>
          </w:tcPr>
          <w:p w14:paraId="521D6D18">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服务内容及服务要求</w:t>
            </w:r>
          </w:p>
        </w:tc>
      </w:tr>
      <w:tr w14:paraId="22AFCE87">
        <w:tblPrEx>
          <w:tblCellMar>
            <w:top w:w="0" w:type="dxa"/>
            <w:left w:w="108" w:type="dxa"/>
            <w:bottom w:w="0" w:type="dxa"/>
            <w:right w:w="108" w:type="dxa"/>
          </w:tblCellMar>
        </w:tblPrEx>
        <w:trPr>
          <w:trHeight w:val="867" w:hRule="atLeast"/>
          <w:jc w:val="center"/>
        </w:trPr>
        <w:tc>
          <w:tcPr>
            <w:tcW w:w="690" w:type="dxa"/>
            <w:tcBorders>
              <w:top w:val="single" w:color="auto" w:sz="4" w:space="0"/>
              <w:left w:val="single" w:color="auto" w:sz="8" w:space="0"/>
              <w:bottom w:val="single" w:color="auto" w:sz="4" w:space="0"/>
              <w:right w:val="single" w:color="auto" w:sz="4" w:space="0"/>
            </w:tcBorders>
            <w:noWrap w:val="0"/>
            <w:vAlign w:val="center"/>
          </w:tcPr>
          <w:p w14:paraId="18CAD525">
            <w:pPr>
              <w:keepNext w:val="0"/>
              <w:keepLines w:val="0"/>
              <w:pageBreakBefore w:val="0"/>
              <w:tabs>
                <w:tab w:val="left" w:pos="180"/>
                <w:tab w:val="left" w:pos="1620"/>
              </w:tabs>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045B97D1">
            <w:pPr>
              <w:keepNext w:val="0"/>
              <w:keepLines w:val="0"/>
              <w:pageBreakBefore w:val="0"/>
              <w:tabs>
                <w:tab w:val="left" w:pos="180"/>
                <w:tab w:val="left" w:pos="1620"/>
              </w:tabs>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kern w:val="2"/>
                <w:sz w:val="21"/>
                <w:szCs w:val="21"/>
                <w:highlight w:val="none"/>
                <w:lang w:eastAsia="zh-CN"/>
                <w14:textFill>
                  <w14:solidFill>
                    <w14:schemeClr w14:val="tx1"/>
                  </w14:solidFill>
                </w14:textFill>
              </w:rPr>
              <w:t>检验检测设备维护保养服务</w:t>
            </w:r>
          </w:p>
        </w:tc>
        <w:tc>
          <w:tcPr>
            <w:tcW w:w="964" w:type="dxa"/>
            <w:tcBorders>
              <w:top w:val="single" w:color="auto" w:sz="4" w:space="0"/>
              <w:left w:val="single" w:color="auto" w:sz="4" w:space="0"/>
              <w:bottom w:val="single" w:color="auto" w:sz="4" w:space="0"/>
              <w:right w:val="single" w:color="auto" w:sz="4" w:space="0"/>
            </w:tcBorders>
            <w:noWrap w:val="0"/>
            <w:vAlign w:val="center"/>
          </w:tcPr>
          <w:p w14:paraId="6BC4EEF0">
            <w:pPr>
              <w:pStyle w:val="12"/>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1项</w:t>
            </w:r>
          </w:p>
        </w:tc>
        <w:tc>
          <w:tcPr>
            <w:tcW w:w="6594" w:type="dxa"/>
            <w:tcBorders>
              <w:top w:val="single" w:color="auto" w:sz="4" w:space="0"/>
              <w:left w:val="single" w:color="auto" w:sz="4" w:space="0"/>
              <w:bottom w:val="single" w:color="auto" w:sz="4" w:space="0"/>
              <w:right w:val="single" w:color="auto" w:sz="8" w:space="0"/>
            </w:tcBorders>
            <w:noWrap w:val="0"/>
            <w:vAlign w:val="top"/>
          </w:tcPr>
          <w:p w14:paraId="3A8045D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1、项目情况及基本要求 </w:t>
            </w:r>
          </w:p>
          <w:p w14:paraId="00724E4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随着采购人的检测业务量的增加，仪器设备的老化，拟采购色谱、光谱、质谱、以及重要辅助类仪器设备的全面保修服务，保证年度维保仪器设备全年稳定、高效运行。大型仪器设备维修一次</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性通过率≥80%， </w:t>
            </w:r>
          </w:p>
          <w:p w14:paraId="03407D8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系统整体全年可用性不低于 95%，单次故障平均修复时间</w:t>
            </w:r>
            <w:r>
              <w:rPr>
                <w:rFonts w:hint="eastAsia" w:ascii="宋体" w:hAnsi="宋体" w:cs="宋体"/>
                <w:color w:val="000000" w:themeColor="text1"/>
                <w:kern w:val="0"/>
                <w:sz w:val="21"/>
                <w:szCs w:val="21"/>
                <w:highlight w:val="none"/>
                <w:u w:val="none"/>
                <w:lang w:val="en-US" w:eastAsia="zh-CN" w:bidi="ar"/>
                <w14:textFill>
                  <w14:solidFill>
                    <w14:schemeClr w14:val="tx1"/>
                  </w14:solidFill>
                </w14:textFill>
              </w:rPr>
              <w:t>3个工作日</w:t>
            </w:r>
            <w:r>
              <w:rPr>
                <w:rFonts w:hint="eastAsia" w:ascii="宋体" w:hAnsi="宋体" w:eastAsia="宋体" w:cs="宋体"/>
                <w:color w:val="000000" w:themeColor="text1"/>
                <w:kern w:val="0"/>
                <w:sz w:val="21"/>
                <w:szCs w:val="21"/>
                <w:highlight w:val="none"/>
                <w:u w:val="none"/>
                <w:lang w:val="en-US" w:eastAsia="zh-CN" w:bidi="ar"/>
                <w14:textFill>
                  <w14:solidFill>
                    <w14:schemeClr w14:val="tx1"/>
                  </w14:solidFill>
                </w14:textFill>
              </w:rPr>
              <w:t>内</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，一次性维护仪器设备在三个月内意外停机率≤10%。 </w:t>
            </w:r>
          </w:p>
          <w:p w14:paraId="1AA517BD">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2、维保清单</w:t>
            </w:r>
          </w:p>
          <w:p w14:paraId="166FAB58">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cs="宋体"/>
                <w:color w:val="000000" w:themeColor="text1"/>
                <w:kern w:val="0"/>
                <w:sz w:val="21"/>
                <w:szCs w:val="21"/>
                <w:highlight w:val="none"/>
                <w:lang w:val="en-US" w:eastAsia="zh-CN" w:bidi="ar"/>
                <w14:textFill>
                  <w14:solidFill>
                    <w14:schemeClr w14:val="tx1"/>
                  </w14:solidFill>
                </w14:textFill>
              </w:rPr>
              <w:t>2.1</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维保清单详见本章附件，本次</w:t>
            </w:r>
            <w:r>
              <w:rPr>
                <w:rFonts w:hint="eastAsia" w:ascii="宋体" w:hAnsi="宋体" w:cs="宋体"/>
                <w:color w:val="000000" w:themeColor="text1"/>
                <w:kern w:val="2"/>
                <w:sz w:val="21"/>
                <w:szCs w:val="21"/>
                <w:highlight w:val="none"/>
                <w:lang w:eastAsia="zh-CN"/>
                <w14:textFill>
                  <w14:solidFill>
                    <w14:schemeClr w14:val="tx1"/>
                  </w14:solidFill>
                </w14:textFill>
              </w:rPr>
              <w:t>检验检测设备维护保养服务</w:t>
            </w:r>
            <w:r>
              <w:rPr>
                <w:rFonts w:hint="eastAsia" w:ascii="宋体" w:hAnsi="宋体" w:cs="宋体"/>
                <w:color w:val="000000" w:themeColor="text1"/>
                <w:kern w:val="2"/>
                <w:sz w:val="21"/>
                <w:szCs w:val="21"/>
                <w:highlight w:val="none"/>
                <w:lang w:val="en-US" w:eastAsia="zh-CN"/>
                <w14:textFill>
                  <w14:solidFill>
                    <w14:schemeClr w14:val="tx1"/>
                  </w14:solidFill>
                </w14:textFill>
              </w:rPr>
              <w:t>包含</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清单内</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所有</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设备</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w:t>
            </w:r>
          </w:p>
          <w:p w14:paraId="502CC2E2">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outlineLvl w:val="9"/>
              <w:rPr>
                <w:rFonts w:hint="default"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cs="宋体"/>
                <w:color w:val="000000" w:themeColor="text1"/>
                <w:kern w:val="0"/>
                <w:sz w:val="21"/>
                <w:szCs w:val="21"/>
                <w:highlight w:val="none"/>
                <w:lang w:val="en-US" w:eastAsia="zh-CN" w:bidi="ar"/>
                <w14:textFill>
                  <w14:solidFill>
                    <w14:schemeClr w14:val="tx1"/>
                  </w14:solidFill>
                </w14:textFill>
              </w:rPr>
              <w:t>2.2</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合同履行之日起一个月内采购人有权要求更换一次维保清单内同等价值或相似类型仪器，合同履行满一年后一个月内采购人有权要求更换一次维保清单内同等价值或相似类型仪器，每次更换台数不得超过维保清单中总台数的30%，成交供应商需按采购人要求对更换后仪器进行维保，维保清单仪器总数不变，维保具体要求按照本项目招标文件执行，维保时间与本项目合同履行时间一致，维保费用含在本次成交价中不再另行支付其他费用。</w:t>
            </w: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（投标时需提供承诺函，格式自拟）</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w:t>
            </w:r>
          </w:p>
          <w:p w14:paraId="35831C8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3、保修范围 </w:t>
            </w:r>
          </w:p>
          <w:p w14:paraId="32AB30B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3.1 保修范围为：对于维保清单中的设备提供全年的不限工时，不限次数，包含相应的维修</w:t>
            </w:r>
            <w:r>
              <w:rPr>
                <w:rFonts w:hint="eastAsia" w:ascii="宋体" w:hAnsi="宋体" w:cs="宋体"/>
                <w:color w:val="000000" w:themeColor="text1"/>
                <w:kern w:val="0"/>
                <w:sz w:val="21"/>
                <w:szCs w:val="21"/>
                <w:lang w:val="en-US" w:eastAsia="zh-CN" w:bidi="ar"/>
                <w14:textFill>
                  <w14:solidFill>
                    <w14:schemeClr w14:val="tx1"/>
                  </w14:solidFill>
                </w14:textFill>
              </w:rPr>
              <w:t>配</w:t>
            </w:r>
            <w:r>
              <w:rPr>
                <w:rFonts w:hint="eastAsia" w:ascii="宋体" w:hAnsi="宋体" w:eastAsia="宋体" w:cs="宋体"/>
                <w:color w:val="000000" w:themeColor="text1"/>
                <w:kern w:val="0"/>
                <w:sz w:val="21"/>
                <w:szCs w:val="21"/>
                <w:lang w:val="en-US" w:eastAsia="zh-CN" w:bidi="ar"/>
                <w14:textFill>
                  <w14:solidFill>
                    <w14:schemeClr w14:val="tx1"/>
                  </w14:solidFill>
                </w14:textFill>
              </w:rPr>
              <w:t>件费、工时费及上门费等。</w:t>
            </w:r>
            <w:r>
              <w:rPr>
                <w:rFonts w:hint="eastAsia" w:ascii="宋体" w:hAnsi="宋体" w:cs="宋体"/>
                <w:color w:val="000000" w:themeColor="text1"/>
                <w:kern w:val="0"/>
                <w:sz w:val="21"/>
                <w:szCs w:val="21"/>
                <w:lang w:val="en-US" w:eastAsia="zh-CN" w:bidi="ar"/>
                <w14:textFill>
                  <w14:solidFill>
                    <w14:schemeClr w14:val="tx1"/>
                  </w14:solidFill>
                </w14:textFill>
              </w:rPr>
              <w:t>维修配</w:t>
            </w:r>
            <w:r>
              <w:rPr>
                <w:rFonts w:hint="eastAsia" w:ascii="宋体" w:hAnsi="宋体" w:eastAsia="宋体" w:cs="宋体"/>
                <w:color w:val="000000" w:themeColor="text1"/>
                <w:kern w:val="0"/>
                <w:sz w:val="21"/>
                <w:szCs w:val="21"/>
                <w:lang w:val="en-US" w:eastAsia="zh-CN" w:bidi="ar"/>
                <w14:textFill>
                  <w14:solidFill>
                    <w14:schemeClr w14:val="tx1"/>
                  </w14:solidFill>
                </w14:textFill>
              </w:rPr>
              <w:t>件</w:t>
            </w:r>
            <w:r>
              <w:rPr>
                <w:rFonts w:hint="eastAsia" w:ascii="宋体" w:hAnsi="宋体" w:cs="宋体"/>
                <w:color w:val="000000" w:themeColor="text1"/>
                <w:kern w:val="0"/>
                <w:sz w:val="21"/>
                <w:szCs w:val="21"/>
                <w:lang w:val="en-US" w:eastAsia="zh-CN" w:bidi="ar"/>
                <w14:textFill>
                  <w14:solidFill>
                    <w14:schemeClr w14:val="tx1"/>
                  </w14:solidFill>
                </w14:textFill>
              </w:rPr>
              <w:t>主要</w:t>
            </w:r>
            <w:r>
              <w:rPr>
                <w:rFonts w:hint="eastAsia" w:ascii="宋体" w:hAnsi="宋体" w:eastAsia="宋体" w:cs="宋体"/>
                <w:color w:val="000000" w:themeColor="text1"/>
                <w:kern w:val="0"/>
                <w:sz w:val="21"/>
                <w:szCs w:val="21"/>
                <w:lang w:val="en-US" w:eastAsia="zh-CN" w:bidi="ar"/>
                <w14:textFill>
                  <w14:solidFill>
                    <w14:schemeClr w14:val="tx1"/>
                  </w14:solidFill>
                </w14:textFill>
              </w:rPr>
              <w:t>含仪器清单里面每台仪器的主机、进样器、泵单元、检测器等各单元的所有硬件，质谱仪器含机械泵。</w:t>
            </w:r>
          </w:p>
          <w:p w14:paraId="17F5820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3.2 以下消耗品不属于维护保养的耗材：色谱柱、抑制器、淋洗液发生器、样品瓶、试剂、气源、超纯水机滤芯。 </w:t>
            </w:r>
          </w:p>
          <w:p w14:paraId="5B0B833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3.3在服务期内，如采购人有需要，</w:t>
            </w:r>
            <w:r>
              <w:rPr>
                <w:rFonts w:hint="eastAsia" w:ascii="宋体" w:hAnsi="宋体" w:cs="宋体"/>
                <w:color w:val="000000" w:themeColor="text1"/>
                <w:kern w:val="0"/>
                <w:sz w:val="21"/>
                <w:szCs w:val="21"/>
                <w:lang w:val="en-US" w:eastAsia="zh-CN" w:bidi="ar"/>
                <w14:textFill>
                  <w14:solidFill>
                    <w14:schemeClr w14:val="tx1"/>
                  </w14:solidFill>
                </w14:textFill>
              </w:rPr>
              <w:t>供应商需按采购人要求</w:t>
            </w: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提供一个或一包的消耗品(取决于该消耗品的包装)，消耗品如下 : </w:t>
            </w:r>
          </w:p>
          <w:p w14:paraId="42B0800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A、气相色谱: NPD铷珠、ECD分析槽、FID喷嘴；</w:t>
            </w:r>
          </w:p>
          <w:p w14:paraId="7311400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B、气质联用仪:电子倍增器、灯丝；</w:t>
            </w:r>
          </w:p>
          <w:p w14:paraId="20EF3B8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C、液相色谱仪:钨灯丝、柱塞杆、比例阀、机械臂、检测器流通池、检测器灯，针座，进样针，六通阀转子，主动阀芯，主动阀（waters液相）；</w:t>
            </w:r>
          </w:p>
          <w:p w14:paraId="55C1543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D、液质联用仪:柱塞杆、比例阀、检测器灯、喷针、检测器流通池、光电倍增管、喷针套件，针座，进样针，六通阀转子；</w:t>
            </w:r>
          </w:p>
          <w:p w14:paraId="5C82353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E、电感耦合等离子体质谱仪:雾化室、雾化器、矩管、检测器、进样管、内标管；</w:t>
            </w:r>
          </w:p>
          <w:p w14:paraId="388D9E4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F、电感耦合等离子体光谱仪:检测器、雾化器炬管、进样管、废液管；</w:t>
            </w:r>
          </w:p>
          <w:p w14:paraId="086A950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G、石墨锥、元素灯；</w:t>
            </w:r>
          </w:p>
          <w:p w14:paraId="19CC450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H、离子色谱仪:注射泵；</w:t>
            </w:r>
          </w:p>
          <w:p w14:paraId="077DAF9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4、服务要求 </w:t>
            </w:r>
          </w:p>
          <w:p w14:paraId="3E2278A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4.1 本次实验室计划采购的全面保修服务包括了保修清单仪器的年度维护，针对年度维护仪器，需提供定期巡检、定期维护保养、仪器故障处理、技术培训等服务，一次性维护的需提供等同原厂的预防性维护作业，并提供服务周期内的详细管理办法和具体实施方案，明确各类仪器的维护方法、周期、内容及技术保障等内容。 </w:t>
            </w:r>
          </w:p>
          <w:p w14:paraId="1CEE4B7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4.2 所有需要维修和更换的零部件保证为原厂全新</w:t>
            </w:r>
            <w:r>
              <w:rPr>
                <w:rFonts w:hint="eastAsia" w:ascii="宋体" w:hAnsi="宋体" w:cs="宋体"/>
                <w:color w:val="000000" w:themeColor="text1"/>
                <w:kern w:val="0"/>
                <w:sz w:val="21"/>
                <w:szCs w:val="21"/>
                <w:lang w:val="en-US" w:eastAsia="zh-CN" w:bidi="ar"/>
                <w14:textFill>
                  <w14:solidFill>
                    <w14:schemeClr w14:val="tx1"/>
                  </w14:solidFill>
                </w14:textFill>
              </w:rPr>
              <w:t>配</w:t>
            </w:r>
            <w:r>
              <w:rPr>
                <w:rFonts w:hint="eastAsia" w:ascii="宋体" w:hAnsi="宋体" w:eastAsia="宋体" w:cs="宋体"/>
                <w:color w:val="000000" w:themeColor="text1"/>
                <w:kern w:val="0"/>
                <w:sz w:val="21"/>
                <w:szCs w:val="21"/>
                <w:lang w:val="en-US" w:eastAsia="zh-CN" w:bidi="ar"/>
                <w14:textFill>
                  <w14:solidFill>
                    <w14:schemeClr w14:val="tx1"/>
                  </w14:solidFill>
                </w14:textFill>
              </w:rPr>
              <w:t>件，如遇特殊情况经双方协商，可更换适用的新款</w:t>
            </w:r>
            <w:r>
              <w:rPr>
                <w:rFonts w:hint="eastAsia" w:ascii="宋体" w:hAnsi="宋体" w:cs="宋体"/>
                <w:color w:val="000000" w:themeColor="text1"/>
                <w:kern w:val="0"/>
                <w:sz w:val="21"/>
                <w:szCs w:val="21"/>
                <w:lang w:val="en-US" w:eastAsia="zh-CN" w:bidi="ar"/>
                <w14:textFill>
                  <w14:solidFill>
                    <w14:schemeClr w14:val="tx1"/>
                  </w14:solidFill>
                </w14:textFill>
              </w:rPr>
              <w:t>配</w:t>
            </w: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件。 </w:t>
            </w:r>
          </w:p>
          <w:p w14:paraId="5AC6B7D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4.3 定期巡检 </w:t>
            </w:r>
          </w:p>
          <w:p w14:paraId="51CAF7A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4.3.1 每季度服务商安排工程师根据实施计划对实验室的年度维护仪器设备进行例行巡检，现场检查并记录和更新系统内的运行状态信息。 </w:t>
            </w:r>
          </w:p>
          <w:p w14:paraId="658391F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4.3.2 巡检主要的作业内容包括： </w:t>
            </w:r>
          </w:p>
          <w:p w14:paraId="0CD054C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4.3.2.1 检查供气室内气体发生装置及气瓶的状态，压力是否正常，检查冷却水装置、不间断电源（UPS）工作情况，及时更换相关的耗材。 </w:t>
            </w:r>
          </w:p>
          <w:p w14:paraId="0363ED4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4.3.2.2 清洁仪器设备表面，保持仪器整洁。 </w:t>
            </w:r>
          </w:p>
          <w:p w14:paraId="1A1A30A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4.3.2.3 查看开机使用的仪器，根据每类仪器特定的参数指标判断仪器状态是否正常，如有异常及时处理。 </w:t>
            </w:r>
          </w:p>
          <w:p w14:paraId="6A5F05F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4.4 定期维护保养 </w:t>
            </w:r>
          </w:p>
          <w:p w14:paraId="6F7BBC8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定期维护的原则及参考标准：一年做一次年度维护保养，年度维护保养需依据是厂家的操作手册/使用说明书、消耗品的使用寿命及仪器的使用情况，根据各型号仪器的说明书及原厂预防性维护清单要求制定详细的维护方案，由工程师检查和执行完毕。液相液质、气相气质、光谱仪器维修和保养时所用到的工具应具有计量机构的校准证书，服务完毕后提供年度维保的维护清单或作业报告书。 每年至少进行一次除尘服务，使用专业的除尘工具对精密仪器进行除尘，确保仪器处在最优状态，减少仪器后续使用过程中的故障发生率。</w:t>
            </w:r>
          </w:p>
          <w:p w14:paraId="3A8DA8E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4.5 仪器设备故障处理 </w:t>
            </w:r>
          </w:p>
          <w:p w14:paraId="29379DF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4.5.1 响应时间：供应商须在 2 小时内做出响应，1个工作日内上门检修（部分复杂精密设备2个工作日内上门）。一般故障2个工作日内维修完毕，如遇重大问题或在 3个工作日内故障暂时无法修复的，应与采购方沟通维修方案，在7个工作日内解决。 </w:t>
            </w:r>
          </w:p>
          <w:p w14:paraId="5FCF8EE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4.5.2 作业要求：无论是否发生</w:t>
            </w:r>
            <w:r>
              <w:rPr>
                <w:rFonts w:hint="eastAsia" w:ascii="宋体" w:hAnsi="宋体" w:cs="宋体"/>
                <w:color w:val="000000" w:themeColor="text1"/>
                <w:kern w:val="0"/>
                <w:sz w:val="21"/>
                <w:szCs w:val="21"/>
                <w:lang w:val="en-US" w:eastAsia="zh-CN" w:bidi="ar"/>
                <w14:textFill>
                  <w14:solidFill>
                    <w14:schemeClr w14:val="tx1"/>
                  </w14:solidFill>
                </w14:textFill>
              </w:rPr>
              <w:t>配</w:t>
            </w: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件更换，在每次上门服务后，工程师将根据实际作业情况提交维护作业报告书，包含以下基本信息：仪器代码、作业时间、实际维护内容、更换的零部件明细等。以便后期服务专员汇总统计和数据分析。 </w:t>
            </w:r>
          </w:p>
          <w:p w14:paraId="21258E8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4.5.3 供应商接到采购方仪器常规故障报修后，未能在 3 个工作日内排除仪器故障，采购方有权要求供应商提供原品牌仪器供应商的维修服务或提供代用仪器等解决方案，并顺延维保服务时长（按天计算）。 </w:t>
            </w:r>
          </w:p>
          <w:p w14:paraId="31E0A49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4.6 技术培训的组织与实施 </w:t>
            </w:r>
          </w:p>
          <w:p w14:paraId="5D6B2D8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供应商应定期组织用户技术人员参与培训和交流活动，包括但不限于仪器设备的使用、故障诊断、维护保养、应用方法开发及行业热点等内容，</w:t>
            </w:r>
            <w:r>
              <w:rPr>
                <w:rFonts w:hint="eastAsia" w:ascii="宋体" w:hAnsi="宋体" w:cs="宋体"/>
                <w:color w:val="000000" w:themeColor="text1"/>
                <w:kern w:val="0"/>
                <w:sz w:val="21"/>
                <w:szCs w:val="21"/>
                <w:lang w:val="en-US" w:eastAsia="zh-CN" w:bidi="ar"/>
                <w14:textFill>
                  <w14:solidFill>
                    <w14:schemeClr w14:val="tx1"/>
                  </w14:solidFill>
                </w14:textFill>
              </w:rPr>
              <w:t>至少</w:t>
            </w: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每半年一次。 </w:t>
            </w:r>
          </w:p>
          <w:p w14:paraId="6859BFC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4.7 运行档案与记录 </w:t>
            </w:r>
          </w:p>
          <w:p w14:paraId="35CAEFA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服务供应商汇总巡检记录；定期维护保养记录；设备维修记录的执行情况，并加以分析统计，提交至用户技术负责人，并根据实际情况调整和制定下一期的计划。 </w:t>
            </w:r>
          </w:p>
          <w:p w14:paraId="1C463CA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4.8 供应商应提供驻场工程师服务，每周最少 2 天。驻场人员要求：具备色谱，光谱，质谱类仪器技术资格证书，在有效期内；具有三年以上维修维护服务经验；化学，食品、药学、电子等相关专业本科以上学历。 对于精密设备的维保工作，具体实施维修维护的人员皆经过相应的原厂培训（维修维护</w:t>
            </w:r>
            <w:r>
              <w:rPr>
                <w:rFonts w:hint="eastAsia" w:ascii="宋体" w:hAnsi="宋体" w:cs="宋体"/>
                <w:color w:val="000000" w:themeColor="text1"/>
                <w:kern w:val="0"/>
                <w:sz w:val="21"/>
                <w:szCs w:val="21"/>
                <w:lang w:val="en-US" w:eastAsia="zh-CN" w:bidi="ar"/>
                <w14:textFill>
                  <w14:solidFill>
                    <w14:schemeClr w14:val="tx1"/>
                  </w14:solidFill>
                </w14:textFill>
              </w:rPr>
              <w:t>时</w:t>
            </w:r>
            <w:r>
              <w:rPr>
                <w:rFonts w:hint="eastAsia" w:ascii="宋体" w:hAnsi="宋体" w:eastAsia="宋体" w:cs="宋体"/>
                <w:color w:val="000000" w:themeColor="text1"/>
                <w:kern w:val="0"/>
                <w:sz w:val="21"/>
                <w:szCs w:val="21"/>
                <w:lang w:val="en-US" w:eastAsia="zh-CN" w:bidi="ar"/>
                <w14:textFill>
                  <w14:solidFill>
                    <w14:schemeClr w14:val="tx1"/>
                  </w14:solidFill>
                </w14:textFill>
              </w:rPr>
              <w:t>提供原厂的技能培训证书或原厂工作履历的证明材料）。</w:t>
            </w:r>
          </w:p>
          <w:p w14:paraId="3FB9306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4.9 提供实验室环境和仪器运行条件优化方案，包括但不限于：提供实验室环境优化解决方案，降低实验人员暴露在有机、无机试剂中的风险；提供实验室运行条件优化解决方案减少因实验环境、前处理等原因的影响，提升检测方法稳定性；提供核心仪器抗杂质干扰解决方案，减少仪器故障，提高仪器的稳定性，保证数据的可靠性。 </w:t>
            </w:r>
          </w:p>
          <w:p w14:paraId="68789A9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4.10 提供实验室资产信息化管理工具，在仪器设备维保周期内对每台设备的基本信息、日常维护、故障报修、定期巡检、期间核查、计量检定、消耗品更换等进行详细记录和更新。支持移动端实时报修、实时查询和更新。 </w:t>
            </w:r>
          </w:p>
          <w:p w14:paraId="739939E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kern w:val="0"/>
                <w:sz w:val="21"/>
                <w:szCs w:val="21"/>
                <w:lang w:val="en-US" w:eastAsia="zh-CN" w:bidi="ar"/>
                <w14:textFill>
                  <w14:solidFill>
                    <w14:schemeClr w14:val="tx1"/>
                  </w14:solidFill>
                </w14:textFill>
              </w:rPr>
              <w:t>4.11 服务供应商须承诺提供的耗材和</w:t>
            </w:r>
            <w:r>
              <w:rPr>
                <w:rFonts w:hint="eastAsia" w:ascii="宋体" w:hAnsi="宋体" w:cs="宋体"/>
                <w:color w:val="000000" w:themeColor="text1"/>
                <w:kern w:val="0"/>
                <w:sz w:val="21"/>
                <w:szCs w:val="21"/>
                <w:lang w:val="en-US" w:eastAsia="zh-CN" w:bidi="ar"/>
                <w14:textFill>
                  <w14:solidFill>
                    <w14:schemeClr w14:val="tx1"/>
                  </w14:solidFill>
                </w14:textFill>
              </w:rPr>
              <w:t>配</w:t>
            </w: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件为原厂全新(非二手)，并在相应服务完成30天内形成服务总结报告。总结报告应根据客户全年实验室仪器故障进行统计和分析，并针对故障原因，给出据全年的实验室管理数据，给出实验室整体改进建议和预防故障的改进措施。 </w:t>
            </w: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（投标时需提供承诺函，格式自拟）</w:t>
            </w: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 </w:t>
            </w:r>
          </w:p>
          <w:p w14:paraId="15A232D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kern w:val="0"/>
                <w:sz w:val="21"/>
                <w:szCs w:val="21"/>
                <w:lang w:val="en-US" w:eastAsia="zh-CN" w:bidi="ar"/>
                <w14:textFill>
                  <w14:solidFill>
                    <w14:schemeClr w14:val="tx1"/>
                  </w14:solidFill>
                </w14:textFill>
              </w:rPr>
              <w:t>4.12 服务供应商的相关人员应严格遵守采购人的相关法规和内部规章制度，不得擅自翻阅、复制、传播所接触的用户资料或数据，并在投标时提供保密承诺；</w:t>
            </w: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（投标时需提供承诺函，格式自拟）</w:t>
            </w: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 </w:t>
            </w:r>
            <w:r>
              <w:rPr>
                <w:rFonts w:hint="eastAsia" w:ascii="宋体" w:hAnsi="宋体" w:cs="宋体"/>
                <w:color w:val="000000" w:themeColor="text1"/>
                <w:kern w:val="0"/>
                <w:sz w:val="21"/>
                <w:szCs w:val="21"/>
                <w:lang w:val="en-US" w:eastAsia="zh-CN" w:bidi="ar"/>
                <w14:textFill>
                  <w14:solidFill>
                    <w14:schemeClr w14:val="tx1"/>
                  </w14:solidFill>
                </w14:textFill>
              </w:rPr>
              <w:t>。</w:t>
            </w:r>
          </w:p>
          <w:p w14:paraId="3B17EF3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kern w:val="0"/>
                <w:sz w:val="21"/>
                <w:szCs w:val="21"/>
                <w:lang w:val="en-US" w:eastAsia="zh-CN" w:bidi="ar"/>
                <w14:textFill>
                  <w14:solidFill>
                    <w14:schemeClr w14:val="tx1"/>
                  </w14:solidFill>
                </w14:textFill>
              </w:rPr>
              <w:t>4.13 服务供应商的相关人员应保证采购人仪器设备的使用及运行安全，若维护过程中出现故意或意外损坏仪器，应照价赔偿或维修及更换相应</w:t>
            </w:r>
            <w:r>
              <w:rPr>
                <w:rFonts w:hint="eastAsia" w:ascii="宋体" w:hAnsi="宋体" w:cs="宋体"/>
                <w:color w:val="000000" w:themeColor="text1"/>
                <w:kern w:val="0"/>
                <w:sz w:val="21"/>
                <w:szCs w:val="21"/>
                <w:lang w:val="en-US" w:eastAsia="zh-CN" w:bidi="ar"/>
                <w14:textFill>
                  <w14:solidFill>
                    <w14:schemeClr w14:val="tx1"/>
                  </w14:solidFill>
                </w14:textFill>
              </w:rPr>
              <w:t>配</w:t>
            </w:r>
            <w:r>
              <w:rPr>
                <w:rFonts w:hint="eastAsia" w:ascii="宋体" w:hAnsi="宋体" w:eastAsia="宋体" w:cs="宋体"/>
                <w:color w:val="000000" w:themeColor="text1"/>
                <w:kern w:val="0"/>
                <w:sz w:val="21"/>
                <w:szCs w:val="21"/>
                <w:lang w:val="en-US" w:eastAsia="zh-CN" w:bidi="ar"/>
                <w14:textFill>
                  <w14:solidFill>
                    <w14:schemeClr w14:val="tx1"/>
                  </w14:solidFill>
                </w14:textFill>
              </w:rPr>
              <w:t>件（费用包含在本次报价中），另外，服务供应商在维护过程中应保证自身安全，如发生任何意外，采购人不承担任何责任。</w:t>
            </w: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（投标时需提供承诺函，格式自拟）</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p>
        </w:tc>
      </w:tr>
      <w:tr w14:paraId="21812821">
        <w:tblPrEx>
          <w:tblCellMar>
            <w:top w:w="0" w:type="dxa"/>
            <w:left w:w="108" w:type="dxa"/>
            <w:bottom w:w="0" w:type="dxa"/>
            <w:right w:w="108" w:type="dxa"/>
          </w:tblCellMar>
        </w:tblPrEx>
        <w:trPr>
          <w:trHeight w:val="1899" w:hRule="atLeast"/>
          <w:jc w:val="center"/>
        </w:trPr>
        <w:tc>
          <w:tcPr>
            <w:tcW w:w="2892" w:type="dxa"/>
            <w:gridSpan w:val="3"/>
            <w:tcBorders>
              <w:top w:val="single" w:color="auto" w:sz="4" w:space="0"/>
              <w:left w:val="single" w:color="auto" w:sz="8" w:space="0"/>
              <w:bottom w:val="single" w:color="000000" w:sz="8" w:space="0"/>
              <w:right w:val="single" w:color="auto" w:sz="4" w:space="0"/>
            </w:tcBorders>
            <w:noWrap w:val="0"/>
            <w:vAlign w:val="center"/>
          </w:tcPr>
          <w:p w14:paraId="39A299C0">
            <w:pPr>
              <w:keepNext w:val="0"/>
              <w:keepLines w:val="0"/>
              <w:pageBreakBefore w:val="0"/>
              <w:kinsoku/>
              <w:wordWrap/>
              <w:overflowPunct/>
              <w:topLinePunct w:val="0"/>
              <w:autoSpaceDE/>
              <w:autoSpaceDN/>
              <w:bidi w:val="0"/>
              <w:adjustRightInd/>
              <w:snapToGrid/>
              <w:spacing w:line="460" w:lineRule="exact"/>
              <w:ind w:firstLine="420" w:firstLineChars="200"/>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2.商务条款</w:t>
            </w:r>
          </w:p>
          <w:p w14:paraId="2653913D">
            <w:pPr>
              <w:pStyle w:val="12"/>
              <w:keepNext w:val="0"/>
              <w:keepLines w:val="0"/>
              <w:pageBreakBefore w:val="0"/>
              <w:kinsoku/>
              <w:wordWrap/>
              <w:overflowPunct/>
              <w:topLinePunct w:val="0"/>
              <w:autoSpaceDE/>
              <w:autoSpaceDN/>
              <w:bidi w:val="0"/>
              <w:adjustRightInd/>
              <w:snapToGrid/>
              <w:spacing w:line="460" w:lineRule="exact"/>
              <w:ind w:firstLine="480"/>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6594" w:type="dxa"/>
            <w:tcBorders>
              <w:top w:val="single" w:color="auto" w:sz="4" w:space="0"/>
              <w:left w:val="single" w:color="auto" w:sz="4" w:space="0"/>
              <w:bottom w:val="single" w:color="000000" w:sz="8" w:space="0"/>
              <w:right w:val="single" w:color="auto" w:sz="8" w:space="0"/>
            </w:tcBorders>
            <w:noWrap w:val="0"/>
            <w:vAlign w:val="top"/>
          </w:tcPr>
          <w:p w14:paraId="42A80F45">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一、合同签订时间</w:t>
            </w:r>
            <w:r>
              <w:rPr>
                <w:rFonts w:hint="eastAsia" w:ascii="宋体" w:hAnsi="宋体" w:eastAsia="宋体" w:cs="宋体"/>
                <w:color w:val="000000" w:themeColor="text1"/>
                <w:sz w:val="21"/>
                <w:szCs w:val="21"/>
                <w14:textFill>
                  <w14:solidFill>
                    <w14:schemeClr w14:val="tx1"/>
                  </w14:solidFill>
                </w14:textFill>
              </w:rPr>
              <w:t>: 自成交通知书发出之日起</w:t>
            </w:r>
            <w:r>
              <w:rPr>
                <w:rFonts w:hint="eastAsia" w:ascii="宋体" w:hAnsi="宋体" w:cs="宋体"/>
                <w:color w:val="000000" w:themeColor="text1"/>
                <w:sz w:val="21"/>
                <w:szCs w:val="21"/>
                <w:lang w:val="en-US" w:eastAsia="zh-CN"/>
                <w14:textFill>
                  <w14:solidFill>
                    <w14:schemeClr w14:val="tx1"/>
                  </w14:solidFill>
                </w14:textFill>
              </w:rPr>
              <w:t>8个工作日</w:t>
            </w:r>
            <w:r>
              <w:rPr>
                <w:rFonts w:hint="eastAsia" w:ascii="宋体" w:hAnsi="宋体" w:eastAsia="宋体" w:cs="宋体"/>
                <w:color w:val="000000" w:themeColor="text1"/>
                <w:sz w:val="21"/>
                <w:szCs w:val="21"/>
                <w14:textFill>
                  <w14:solidFill>
                    <w14:schemeClr w14:val="tx1"/>
                  </w14:solidFill>
                </w14:textFill>
              </w:rPr>
              <w:t>内。</w:t>
            </w:r>
          </w:p>
          <w:p w14:paraId="204AF448">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二、</w:t>
            </w:r>
            <w:r>
              <w:rPr>
                <w:rFonts w:hint="eastAsia" w:ascii="宋体" w:hAnsi="宋体" w:cs="宋体"/>
                <w:b/>
                <w:bCs/>
                <w:color w:val="000000" w:themeColor="text1"/>
                <w:sz w:val="21"/>
                <w:szCs w:val="21"/>
                <w:lang w:val="en-US" w:eastAsia="zh-CN"/>
                <w14:textFill>
                  <w14:solidFill>
                    <w14:schemeClr w14:val="tx1"/>
                  </w14:solidFill>
                </w14:textFill>
              </w:rPr>
              <w:t>服务时间</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自合同签订之日起两年</w:t>
            </w:r>
            <w:r>
              <w:rPr>
                <w:rFonts w:hint="eastAsia" w:ascii="宋体" w:hAnsi="宋体" w:eastAsia="宋体" w:cs="宋体"/>
                <w:color w:val="000000" w:themeColor="text1"/>
                <w:sz w:val="21"/>
                <w:szCs w:val="21"/>
                <w14:textFill>
                  <w14:solidFill>
                    <w14:schemeClr w14:val="tx1"/>
                  </w14:solidFill>
                </w14:textFill>
              </w:rPr>
              <w:t>。</w:t>
            </w:r>
          </w:p>
          <w:p w14:paraId="4DBA288B">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三、服务地点</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桂林市</w:t>
            </w:r>
            <w:r>
              <w:rPr>
                <w:rFonts w:hint="eastAsia" w:ascii="宋体" w:hAnsi="宋体" w:eastAsia="宋体" w:cs="宋体"/>
                <w:color w:val="000000" w:themeColor="text1"/>
                <w:sz w:val="21"/>
                <w:szCs w:val="21"/>
                <w14:textFill>
                  <w14:solidFill>
                    <w14:schemeClr w14:val="tx1"/>
                  </w14:solidFill>
                </w14:textFill>
              </w:rPr>
              <w:t>采购人指定地点</w:t>
            </w:r>
            <w:r>
              <w:rPr>
                <w:rFonts w:hint="eastAsia" w:ascii="宋体" w:hAnsi="宋体" w:cs="宋体"/>
                <w:color w:val="000000" w:themeColor="text1"/>
                <w:sz w:val="21"/>
                <w:szCs w:val="21"/>
                <w:lang w:eastAsia="zh-CN"/>
                <w14:textFill>
                  <w14:solidFill>
                    <w14:schemeClr w14:val="tx1"/>
                  </w14:solidFill>
                </w14:textFill>
              </w:rPr>
              <w:t>。</w:t>
            </w:r>
          </w:p>
          <w:p w14:paraId="422BEF94">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四、服务要求</w:t>
            </w:r>
            <w:r>
              <w:rPr>
                <w:rFonts w:hint="eastAsia" w:ascii="宋体" w:hAnsi="宋体" w:eastAsia="宋体" w:cs="宋体"/>
                <w:color w:val="000000" w:themeColor="text1"/>
                <w:sz w:val="21"/>
                <w:szCs w:val="21"/>
                <w14:textFill>
                  <w14:solidFill>
                    <w14:schemeClr w14:val="tx1"/>
                  </w14:solidFill>
                </w14:textFill>
              </w:rPr>
              <w:t>：处理问题响应时间：接到采购人处理问题通知后应</w:t>
            </w:r>
            <w:r>
              <w:rPr>
                <w:rFonts w:hint="eastAsia" w:ascii="宋体" w:hAnsi="宋体" w:cs="宋体"/>
                <w:color w:val="000000" w:themeColor="text1"/>
                <w:sz w:val="21"/>
                <w:szCs w:val="21"/>
                <w:lang w:val="en-US" w:eastAsia="zh-CN"/>
                <w14:textFill>
                  <w14:solidFill>
                    <w14:schemeClr w14:val="tx1"/>
                  </w14:solidFill>
                </w14:textFill>
              </w:rPr>
              <w:t>2小时</w:t>
            </w:r>
            <w:r>
              <w:rPr>
                <w:rFonts w:hint="eastAsia" w:ascii="宋体" w:hAnsi="宋体" w:eastAsia="宋体" w:cs="宋体"/>
                <w:color w:val="000000" w:themeColor="text1"/>
                <w:sz w:val="21"/>
                <w:szCs w:val="21"/>
                <w14:textFill>
                  <w14:solidFill>
                    <w14:schemeClr w14:val="tx1"/>
                  </w14:solidFill>
                </w14:textFill>
              </w:rPr>
              <w:t>内联系采购</w:t>
            </w:r>
            <w:r>
              <w:rPr>
                <w:rFonts w:hint="eastAsia" w:ascii="宋体" w:hAnsi="宋体" w:eastAsia="宋体" w:cs="宋体"/>
                <w:color w:val="000000" w:themeColor="text1"/>
                <w:sz w:val="21"/>
                <w:szCs w:val="21"/>
                <w:highlight w:val="none"/>
                <w14:textFill>
                  <w14:solidFill>
                    <w14:schemeClr w14:val="tx1"/>
                  </w14:solidFill>
                </w14:textFill>
              </w:rPr>
              <w:t>人，</w:t>
            </w:r>
            <w:r>
              <w:rPr>
                <w:rFonts w:hint="eastAsia" w:ascii="宋体" w:hAnsi="宋体" w:eastAsia="宋体" w:cs="宋体"/>
                <w:color w:val="000000" w:themeColor="text1"/>
                <w:kern w:val="0"/>
                <w:sz w:val="21"/>
                <w:szCs w:val="21"/>
                <w:lang w:val="en-US" w:eastAsia="zh-CN" w:bidi="ar"/>
                <w14:textFill>
                  <w14:solidFill>
                    <w14:schemeClr w14:val="tx1"/>
                  </w14:solidFill>
                </w14:textFill>
              </w:rPr>
              <w:t>1个工作日内上门检修（部分复杂精密设备2个工作日内上门）</w:t>
            </w:r>
            <w:r>
              <w:rPr>
                <w:rFonts w:hint="eastAsia" w:ascii="宋体" w:hAnsi="宋体" w:eastAsia="宋体" w:cs="宋体"/>
                <w:color w:val="000000" w:themeColor="text1"/>
                <w:sz w:val="21"/>
                <w:szCs w:val="21"/>
                <w14:textFill>
                  <w14:solidFill>
                    <w14:schemeClr w14:val="tx1"/>
                  </w14:solidFill>
                </w14:textFill>
              </w:rPr>
              <w:t>。</w:t>
            </w:r>
          </w:p>
          <w:p w14:paraId="08BAB585">
            <w:pPr>
              <w:pStyle w:val="27"/>
              <w:keepNext w:val="0"/>
              <w:keepLines w:val="0"/>
              <w:pageBreakBefore w:val="0"/>
              <w:kinsoku/>
              <w:wordWrap/>
              <w:overflowPunct/>
              <w:topLinePunct w:val="0"/>
              <w:autoSpaceDE/>
              <w:autoSpaceDN/>
              <w:bidi w:val="0"/>
              <w:spacing w:before="0" w:beforeAutospacing="0" w:after="0" w:afterAutospacing="0" w:line="460" w:lineRule="exact"/>
              <w:jc w:val="both"/>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cs="宋体"/>
                <w:b/>
                <w:bCs/>
                <w:color w:val="000000" w:themeColor="text1"/>
                <w:sz w:val="21"/>
                <w:szCs w:val="21"/>
                <w:lang w:val="en-US" w:eastAsia="zh-CN"/>
                <w14:textFill>
                  <w14:solidFill>
                    <w14:schemeClr w14:val="tx1"/>
                  </w14:solidFill>
                </w14:textFill>
              </w:rPr>
              <w:t>五</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、付款方式： </w:t>
            </w:r>
          </w:p>
          <w:p w14:paraId="56FE7F23">
            <w:pPr>
              <w:pStyle w:val="27"/>
              <w:keepNext w:val="0"/>
              <w:keepLines w:val="0"/>
              <w:pageBreakBefore w:val="0"/>
              <w:kinsoku/>
              <w:wordWrap/>
              <w:overflowPunct/>
              <w:topLinePunct w:val="0"/>
              <w:autoSpaceDE/>
              <w:autoSpaceDN/>
              <w:bidi w:val="0"/>
              <w:spacing w:before="0" w:beforeAutospacing="0" w:after="0" w:afterAutospacing="0" w:line="460" w:lineRule="exact"/>
              <w:ind w:firstLine="420" w:firstLineChars="200"/>
              <w:jc w:val="both"/>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合同签订后10个工作日内支付合同总金额的15%，第4个月10个工作日内支付合同总金额的 15%，第8个月10个工作日内支付合同总金额的15%，第12个月10个工作日内支付合同总金额的 15%，第16个月10个工作日内支付合同总金额的15%，第20个月10个工作日内支付合同总金额的 15%，第24个月10个工作日内支付合同总金额的10%。（因财政性资金需按财政国库支付规定程序申请及办理，如因财政拨付原因导致付款延迟，甲方不承担违约责任。）</w:t>
            </w:r>
          </w:p>
          <w:p w14:paraId="4CBD4FDF">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六</w:t>
            </w:r>
            <w:r>
              <w:rPr>
                <w:rFonts w:hint="eastAsia" w:ascii="宋体" w:hAnsi="宋体" w:eastAsia="宋体" w:cs="宋体"/>
                <w:b/>
                <w:bCs/>
                <w:color w:val="000000" w:themeColor="text1"/>
                <w:sz w:val="21"/>
                <w:szCs w:val="21"/>
                <w14:textFill>
                  <w14:solidFill>
                    <w14:schemeClr w14:val="tx1"/>
                  </w14:solidFill>
                </w14:textFill>
              </w:rPr>
              <w:t>、其他要求</w:t>
            </w:r>
            <w:r>
              <w:rPr>
                <w:rFonts w:hint="eastAsia" w:ascii="宋体" w:hAnsi="宋体" w:eastAsia="宋体" w:cs="宋体"/>
                <w:color w:val="000000" w:themeColor="text1"/>
                <w:sz w:val="21"/>
                <w:szCs w:val="21"/>
                <w14:textFill>
                  <w14:solidFill>
                    <w14:schemeClr w14:val="tx1"/>
                  </w14:solidFill>
                </w14:textFill>
              </w:rPr>
              <w:t>：</w:t>
            </w:r>
          </w:p>
          <w:p w14:paraId="7BB5FABD">
            <w:pPr>
              <w:keepNext w:val="0"/>
              <w:keepLines w:val="0"/>
              <w:pageBreakBefore w:val="0"/>
              <w:kinsoku/>
              <w:wordWrap/>
              <w:overflowPunct/>
              <w:topLinePunct w:val="0"/>
              <w:autoSpaceDE/>
              <w:autoSpaceDN/>
              <w:bidi w:val="0"/>
              <w:adjustRightInd/>
              <w:snapToGrid/>
              <w:spacing w:before="160" w:line="460" w:lineRule="exact"/>
              <w:ind w:left="45" w:right="24" w:firstLine="445"/>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投标</w:t>
            </w:r>
            <w:r>
              <w:rPr>
                <w:rFonts w:hint="eastAsia" w:ascii="宋体" w:hAnsi="宋体" w:eastAsia="宋体" w:cs="宋体"/>
                <w:color w:val="000000" w:themeColor="text1"/>
                <w:sz w:val="21"/>
                <w:szCs w:val="21"/>
                <w14:textFill>
                  <w14:solidFill>
                    <w14:schemeClr w14:val="tx1"/>
                  </w14:solidFill>
                </w14:textFill>
              </w:rPr>
              <w:t>报价必须包含满足采购需求所应提供的服务，以及伴随的服务；</w:t>
            </w:r>
            <w:r>
              <w:rPr>
                <w:rFonts w:hint="eastAsia" w:ascii="宋体" w:hAnsi="宋体" w:eastAsia="宋体" w:cs="宋体"/>
                <w:color w:val="000000" w:themeColor="text1"/>
                <w:sz w:val="21"/>
                <w:szCs w:val="21"/>
                <w:lang w:val="en-US" w:eastAsia="zh-CN"/>
                <w14:textFill>
                  <w14:solidFill>
                    <w14:schemeClr w14:val="tx1"/>
                  </w14:solidFill>
                </w14:textFill>
              </w:rPr>
              <w:t>包含备品</w:t>
            </w:r>
            <w:r>
              <w:rPr>
                <w:rFonts w:hint="eastAsia" w:ascii="宋体" w:hAnsi="宋体" w:cs="宋体"/>
                <w:color w:val="000000" w:themeColor="text1"/>
                <w:kern w:val="0"/>
                <w:sz w:val="21"/>
                <w:szCs w:val="21"/>
                <w:lang w:val="en-US" w:eastAsia="zh-CN" w:bidi="ar"/>
                <w14:textFill>
                  <w14:solidFill>
                    <w14:schemeClr w14:val="tx1"/>
                  </w14:solidFill>
                </w14:textFill>
              </w:rPr>
              <w:t>配</w:t>
            </w:r>
            <w:r>
              <w:rPr>
                <w:rFonts w:hint="eastAsia" w:ascii="宋体" w:hAnsi="宋体" w:eastAsia="宋体" w:cs="宋体"/>
                <w:color w:val="000000" w:themeColor="text1"/>
                <w:kern w:val="0"/>
                <w:sz w:val="21"/>
                <w:szCs w:val="21"/>
                <w:lang w:val="en-US" w:eastAsia="zh-CN" w:bidi="ar"/>
                <w14:textFill>
                  <w14:solidFill>
                    <w14:schemeClr w14:val="tx1"/>
                  </w14:solidFill>
                </w14:textFill>
              </w:rPr>
              <w:t>件</w:t>
            </w:r>
            <w:r>
              <w:rPr>
                <w:rFonts w:hint="eastAsia" w:ascii="宋体" w:hAnsi="宋体" w:eastAsia="宋体" w:cs="宋体"/>
                <w:color w:val="000000" w:themeColor="text1"/>
                <w:sz w:val="21"/>
                <w:szCs w:val="21"/>
                <w:lang w:val="en-US" w:eastAsia="zh-CN"/>
                <w14:textFill>
                  <w14:solidFill>
                    <w14:schemeClr w14:val="tx1"/>
                  </w14:solidFill>
                </w14:textFill>
              </w:rPr>
              <w:t>、标准附件、专用工具、人员薪酬、交通费、安装、 调试、技术支持、检测检验、必要的保费、各项税费、代理服务费及本文件未列明而供应商认为必需的费用等各项费用的总和，投标人应综合考虑在报价中，投标报价不得超出采购预算，否则投标文件按无效处理</w:t>
            </w:r>
            <w:r>
              <w:rPr>
                <w:rFonts w:hint="eastAsia" w:ascii="宋体" w:hAnsi="宋体" w:cs="宋体"/>
                <w:color w:val="000000" w:themeColor="text1"/>
                <w:sz w:val="21"/>
                <w:szCs w:val="21"/>
                <w:lang w:eastAsia="zh-CN"/>
                <w14:textFill>
                  <w14:solidFill>
                    <w14:schemeClr w14:val="tx1"/>
                  </w14:solidFill>
                </w14:textFill>
              </w:rPr>
              <w:t>。</w:t>
            </w:r>
          </w:p>
        </w:tc>
      </w:tr>
    </w:tbl>
    <w:p w14:paraId="54418462">
      <w:pPr>
        <w:pageBreakBefore w:val="0"/>
        <w:kinsoku/>
        <w:wordWrap/>
        <w:overflowPunct/>
        <w:topLinePunct w:val="0"/>
        <w:bidi w:val="0"/>
        <w:outlineLvl w:val="9"/>
        <w:rPr>
          <w:rStyle w:val="50"/>
          <w:rFonts w:hint="eastAsia"/>
          <w:b/>
          <w:bCs/>
          <w:color w:val="000000" w:themeColor="text1"/>
          <w:highlight w:val="none"/>
          <w:lang w:val="en-US" w:eastAsia="zh-CN"/>
          <w14:textFill>
            <w14:solidFill>
              <w14:schemeClr w14:val="tx1"/>
            </w14:solidFill>
          </w14:textFill>
        </w:rPr>
      </w:pPr>
      <w:r>
        <w:rPr>
          <w:rStyle w:val="50"/>
          <w:rFonts w:hint="eastAsia"/>
          <w:b/>
          <w:bCs/>
          <w:color w:val="000000" w:themeColor="text1"/>
          <w:highlight w:val="none"/>
          <w:lang w:val="en-US" w:eastAsia="zh-CN"/>
          <w14:textFill>
            <w14:solidFill>
              <w14:schemeClr w14:val="tx1"/>
            </w14:solidFill>
          </w14:textFill>
        </w:rPr>
        <w:br w:type="page"/>
      </w:r>
    </w:p>
    <w:p w14:paraId="00F832CF">
      <w:pPr>
        <w:pageBreakBefore w:val="0"/>
        <w:kinsoku/>
        <w:wordWrap/>
        <w:overflowPunct/>
        <w:topLinePunct w:val="0"/>
        <w:bidi w:val="0"/>
        <w:jc w:val="center"/>
        <w:outlineLvl w:val="9"/>
        <w:rPr>
          <w:rStyle w:val="50"/>
          <w:rFonts w:hint="eastAsia"/>
          <w:b/>
          <w:bCs/>
          <w:color w:val="000000" w:themeColor="text1"/>
          <w:highlight w:val="none"/>
          <w:lang w:val="en-US" w:eastAsia="zh-CN"/>
          <w14:textFill>
            <w14:solidFill>
              <w14:schemeClr w14:val="tx1"/>
            </w14:solidFill>
          </w14:textFill>
        </w:rPr>
      </w:pPr>
      <w:bookmarkStart w:id="274" w:name="_Toc31118"/>
      <w:r>
        <w:rPr>
          <w:rStyle w:val="50"/>
          <w:rFonts w:hint="eastAsia"/>
          <w:b/>
          <w:bCs/>
          <w:color w:val="000000" w:themeColor="text1"/>
          <w:highlight w:val="none"/>
          <w:lang w:val="en-US" w:eastAsia="zh-CN"/>
          <w14:textFill>
            <w14:solidFill>
              <w14:schemeClr w14:val="tx1"/>
            </w14:solidFill>
          </w14:textFill>
        </w:rPr>
        <w:t>附件：维保清单</w:t>
      </w:r>
    </w:p>
    <w:bookmarkEnd w:id="274"/>
    <w:tbl>
      <w:tblPr>
        <w:tblStyle w:val="32"/>
        <w:tblW w:w="10562" w:type="dxa"/>
        <w:tblInd w:w="-3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637"/>
        <w:gridCol w:w="1675"/>
        <w:gridCol w:w="2550"/>
        <w:gridCol w:w="1525"/>
        <w:gridCol w:w="2500"/>
      </w:tblGrid>
      <w:tr w14:paraId="0200B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2E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序号</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27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设备名称</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3D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规格型号</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F0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测量范围/精度</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3E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生产厂家</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F7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序列号</w:t>
            </w:r>
          </w:p>
        </w:tc>
      </w:tr>
      <w:tr w14:paraId="5F0C8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80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40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气相色谱仪</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9E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7890B</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75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FID检测器、ECD检测器</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7B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安捷伦</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5A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7890B（CN14343061）</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7693 G4520A（CN13520006）</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G4513A（CN20100127）</w:t>
            </w:r>
          </w:p>
        </w:tc>
      </w:tr>
      <w:tr w14:paraId="73153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F2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28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气相色谱仪</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C9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7890B</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C8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FID检测器</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DE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安捷伦</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E7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G3440B（US14423037）</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G4513A（CN14360193）</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G4514F（CN14360069）</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7697A G4556-64000（CN11500006）</w:t>
            </w:r>
          </w:p>
        </w:tc>
      </w:tr>
      <w:tr w14:paraId="0AF9A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AB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C8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液相色谱仪</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F1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Agilent 1260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A4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DAD,FLD</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17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安捷伦</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17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G7111A（DEAE202175)</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G7129A（DEAEQ09606）</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G7115A（DEAC602237）</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G7121A（DEAE300813）</w:t>
            </w:r>
          </w:p>
        </w:tc>
      </w:tr>
      <w:tr w14:paraId="10523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E5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8A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高效液相色谱仪</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19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1260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67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DAD、FLD</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E5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安捷伦</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94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G1311C(DEAB814591)     </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G1329B(DEAAC27770)</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G1316A(DEACN29803)    G4212B(DEAA308329)     G1321C(DEABV01047)</w:t>
            </w:r>
          </w:p>
        </w:tc>
      </w:tr>
      <w:tr w14:paraId="50E4E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25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2B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高效液相色谱仪</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09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1260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70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紫外检测器、二级管阵列检测器</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92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安捷伦</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F7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G1311C（DEAB815233）</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G1329B（DEAAC29343）</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G1330B（DEBAK19671）</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G1316A（DEACN31279）</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G1314F（DEABB11256）</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G4212B（DEAA311044）</w:t>
            </w:r>
          </w:p>
        </w:tc>
      </w:tr>
      <w:tr w14:paraId="3EA1B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05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54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高效液相色谱仪</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0E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1260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EE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示差检测器（RID）</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90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安捷伦</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BC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G1322A（JP11080106）</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G1312B（DEACB03102）</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G1329B（DEAAC09741）</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G1316A（DEACN18097）</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G7162A（DEAC901259）       G1314E（DEBAH00586）</w:t>
            </w:r>
          </w:p>
        </w:tc>
      </w:tr>
      <w:tr w14:paraId="05E14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2F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4E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高效液相色谱仪</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CC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1260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DB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二极管阵列检测器、荧光检测器</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7E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安捷伦</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34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G1311C（DEABJ00500）</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G1329B（DEABE01121）</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G1316A（DEAAK01542）</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G1315D（DEAAX00539）</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G1321B（DEABC0O571）</w:t>
            </w:r>
          </w:p>
        </w:tc>
      </w:tr>
      <w:tr w14:paraId="49617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EF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19C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高效液相色谱仪</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37A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1260</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AF3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DAD</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699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安捷伦</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65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G7111B（DEAEW00151）</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G7129A（DEAEQ02015）</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G7115A（DEAC600181）</w:t>
            </w:r>
          </w:p>
        </w:tc>
      </w:tr>
      <w:tr w14:paraId="26760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1E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02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高效液相色谱仪</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63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1260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FD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VWD、FLD</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5E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安捷伦</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94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G1311C（DEAB816771）</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G1329B（DEAAC32749）</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G1316A（DEACN35115）</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G1314F（DEABB13153）</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G1321C（DEABV00774）</w:t>
            </w:r>
          </w:p>
        </w:tc>
      </w:tr>
      <w:tr w14:paraId="201D5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A6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83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高效液相色谱仪</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D3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e2695+2998</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91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二极管阵列检测器</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A7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Waters公司</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9E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2695（F16SM7736A）</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2998（F16998554A）</w:t>
            </w:r>
          </w:p>
        </w:tc>
      </w:tr>
      <w:tr w14:paraId="214B7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05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4F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高效液相色谱仪</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55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Waters2695 Waters2998 ELSD600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D4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DAD、ELSD</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FB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Waters公司</w:t>
            </w:r>
          </w:p>
        </w:tc>
        <w:tc>
          <w:tcPr>
            <w:tcW w:w="2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9D5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WAT270886 MO7SM7543A    2695（M07SM7543A）</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2998（B08990135N）</w:t>
            </w:r>
          </w:p>
        </w:tc>
      </w:tr>
      <w:tr w14:paraId="5BD1E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D4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C8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高效液相色谱仪</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F38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Waters2695 Waters2489 Waters2998 Altech3300ELSD</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74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紫外检测器、二极管阵列检测器、3300ELSD蒸发光检测器</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97D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Waters公司</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21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186269501 L09SM7101A     33000613004</w:t>
            </w:r>
          </w:p>
        </w:tc>
      </w:tr>
      <w:tr w14:paraId="35079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DB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374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高效液相色谱仪</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6E6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UltiMate 3000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F0F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DAD;VWD</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878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赛默飞世尔科技（中国）有限公司</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0C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8132934；8127864</w:t>
            </w:r>
          </w:p>
        </w:tc>
      </w:tr>
      <w:tr w14:paraId="5C44C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FD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049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超高压液相色谱仪</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DDB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H-class</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71E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DAD、ELSD</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C4E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沃特世</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93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186015006  J12UPA053M     6000-1603005</w:t>
            </w:r>
          </w:p>
        </w:tc>
      </w:tr>
      <w:tr w14:paraId="70973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EA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5B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气质联用仪</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4C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TSQ8000 EVO</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98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FID检测器、质谱/质谱检测器</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8A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美国热电</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41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TSQ81603570</w:t>
            </w:r>
          </w:p>
        </w:tc>
      </w:tr>
      <w:tr w14:paraId="2F59A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9D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43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气质联用仪</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E4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7010B</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307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32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安捷伦</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33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US2129V310</w:t>
            </w:r>
          </w:p>
        </w:tc>
      </w:tr>
      <w:tr w14:paraId="2A597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60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17</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5D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液质联用仪（含氮气发生器NM32L）</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9A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6460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E0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质量数M/Z扫描范围：10-3000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6C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安捷伦</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6D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G6460A SG12067104  G4212B(DEAA304590)       G1316C(DEBAC09492)      G4226A(DEBAP06025)       G1330B(DEBAK31630)       G4204A(DEBAN01163)</w:t>
            </w:r>
          </w:p>
        </w:tc>
      </w:tr>
      <w:tr w14:paraId="63253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B6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DD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液质联用仪（含氮气发生器BIO-ABN）</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24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AB4500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31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质量数M/Z扫描范围：5-2000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2E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美国AB SCIENCE公司</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AF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API 4500QQQ BJ29931611     ABRCU5600125       ABRES5400312       AB3CT5470143       AB3AD5470370       AB3AD5470373       ABCBM5470269</w:t>
            </w:r>
          </w:p>
        </w:tc>
      </w:tr>
      <w:tr w14:paraId="2DD70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F1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19</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06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液质联用仪（含氮气发生器mate 50A pro）</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37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Triple Quad 5500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B0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质量数M/Z扫描范围：5-1000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02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AB SCIENCE</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2D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EF222091904</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L20575801631</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L20555813793</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L20555813796</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L20305882255 SL</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L20705826280</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L20565806355</w:t>
            </w:r>
          </w:p>
        </w:tc>
      </w:tr>
      <w:tr w14:paraId="3AF16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C9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6A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傅立叶变换红外光谱仪</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7C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IRTracer-100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A0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信噪比S/N=60000:1 最高分辨率：0.25cm-1 扫描速度： 20图谱/秒</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CB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岛津</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83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A21705100150 S1</w:t>
            </w:r>
          </w:p>
        </w:tc>
      </w:tr>
      <w:tr w14:paraId="4148C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7B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4B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电感耦合等离子体质谱仪</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0D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iCAP Q</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E0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质谱检测器</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FD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美国热电</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D6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SN02353R</w:t>
            </w:r>
          </w:p>
        </w:tc>
      </w:tr>
      <w:tr w14:paraId="4FDF7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F4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FC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电感耦合等离子体发射光谱仪</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18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7400 Duo</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CF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波长范围：166～847nm</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73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美国热电</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DD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IC740DC162910</w:t>
            </w:r>
          </w:p>
        </w:tc>
      </w:tr>
      <w:tr w14:paraId="0E558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A6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23</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8C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原子吸收分光光度计</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2A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PinAAcle900T</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2B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石墨炉检测器、火焰检测器</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34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PE</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A3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TPDS14052704</w:t>
            </w:r>
          </w:p>
        </w:tc>
      </w:tr>
      <w:tr w14:paraId="74951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BC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B3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原子吸收分光光度计</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84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PinAAcle900T</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E5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石墨炉检测器、火焰检测器</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56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PE</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96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TPDS15020201</w:t>
            </w:r>
          </w:p>
        </w:tc>
      </w:tr>
      <w:tr w14:paraId="25FD1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5B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5B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紫外分光光度计</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B81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UV-2450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FE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190～900nm</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476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岛津仪器(苏州)有限公司</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00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A10834233840CS</w:t>
            </w:r>
          </w:p>
        </w:tc>
      </w:tr>
      <w:tr w14:paraId="49D99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39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26</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70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离子色谱仪</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47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ICS-900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15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电导检测器</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CC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美国热电</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79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13071561</w:t>
            </w:r>
          </w:p>
        </w:tc>
      </w:tr>
      <w:tr w14:paraId="002E1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C7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87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微波消解仪</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8E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Multiwave 3000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5C7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49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安东帕</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F4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82192891</w:t>
            </w:r>
          </w:p>
        </w:tc>
      </w:tr>
      <w:tr w14:paraId="517C9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E0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28</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A5D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氮气发生器</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84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NM32PA</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2AC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25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PEAK</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AC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A11-09-057</w:t>
            </w:r>
          </w:p>
        </w:tc>
      </w:tr>
      <w:tr w14:paraId="34D77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63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29</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CC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氮气发生器</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59C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NM32L</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DBB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BE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Peak</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D8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A16-02-230</w:t>
            </w:r>
          </w:p>
        </w:tc>
      </w:tr>
      <w:tr w14:paraId="4255F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AF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E1C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氮气发生器</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B2A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mate GENERAL 42A+</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56DA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3EF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普敦</w:t>
            </w:r>
          </w:p>
        </w:tc>
        <w:tc>
          <w:tcPr>
            <w:tcW w:w="2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BE4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MA422107028</w:t>
            </w:r>
          </w:p>
        </w:tc>
      </w:tr>
    </w:tbl>
    <w:p w14:paraId="3E244D20">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9"/>
        <w:rPr>
          <w:rFonts w:hint="eastAsia" w:eastAsia="宋体"/>
          <w:color w:val="000000" w:themeColor="text1"/>
          <w:highlight w:val="none"/>
          <w:lang w:eastAsia="zh-CN"/>
          <w14:textFill>
            <w14:solidFill>
              <w14:schemeClr w14:val="tx1"/>
            </w14:solidFill>
          </w14:textFill>
        </w:rPr>
      </w:pPr>
      <w:r>
        <w:rPr>
          <w:rFonts w:hint="eastAsia"/>
          <w:b/>
          <w:color w:val="000000" w:themeColor="text1"/>
          <w:highlight w:val="none"/>
          <w14:textFill>
            <w14:solidFill>
              <w14:schemeClr w14:val="tx1"/>
            </w14:solidFill>
          </w14:textFill>
        </w:rPr>
        <w:br w:type="page"/>
      </w:r>
    </w:p>
    <w:p w14:paraId="11AF9A1F">
      <w:pPr>
        <w:pageBreakBefore w:val="0"/>
        <w:kinsoku/>
        <w:wordWrap/>
        <w:overflowPunct/>
        <w:topLinePunct w:val="0"/>
        <w:bidi w:val="0"/>
        <w:outlineLvl w:val="9"/>
        <w:rPr>
          <w:color w:val="000000" w:themeColor="text1"/>
          <w:highlight w:val="none"/>
          <w14:textFill>
            <w14:solidFill>
              <w14:schemeClr w14:val="tx1"/>
            </w14:solidFill>
          </w14:textFill>
        </w:rPr>
      </w:pPr>
    </w:p>
    <w:p w14:paraId="728AD5A5">
      <w:pPr>
        <w:pStyle w:val="28"/>
        <w:keepNext w:val="0"/>
        <w:keepLines w:val="0"/>
        <w:pageBreakBefore w:val="0"/>
        <w:widowControl w:val="0"/>
        <w:numPr>
          <w:ilvl w:val="0"/>
          <w:numId w:val="3"/>
        </w:numPr>
        <w:kinsoku/>
        <w:wordWrap/>
        <w:overflowPunct/>
        <w:topLinePunct w:val="0"/>
        <w:autoSpaceDE/>
        <w:autoSpaceDN/>
        <w:bidi w:val="0"/>
        <w:adjustRightInd/>
        <w:snapToGrid/>
        <w:textAlignment w:val="auto"/>
        <w:outlineLvl w:val="0"/>
        <w:rPr>
          <w:rStyle w:val="75"/>
          <w:rFonts w:ascii="宋体" w:hAnsi="宋体" w:cs="宋体"/>
          <w:b w:val="0"/>
          <w:bCs w:val="0"/>
          <w:color w:val="000000" w:themeColor="text1"/>
          <w:highlight w:val="none"/>
          <w14:textFill>
            <w14:solidFill>
              <w14:schemeClr w14:val="tx1"/>
            </w14:solidFill>
          </w14:textFill>
        </w:rPr>
      </w:pPr>
      <w:bookmarkStart w:id="275" w:name="_Toc32733"/>
      <w:bookmarkStart w:id="276" w:name="_Toc15410"/>
      <w:bookmarkStart w:id="277" w:name="_Toc22812"/>
      <w:bookmarkStart w:id="278" w:name="_Toc23482"/>
      <w:r>
        <w:rPr>
          <w:rStyle w:val="75"/>
          <w:rFonts w:hint="eastAsia" w:ascii="宋体" w:hAnsi="宋体" w:cs="宋体"/>
          <w:b w:val="0"/>
          <w:bCs w:val="0"/>
          <w:color w:val="000000" w:themeColor="text1"/>
          <w:highlight w:val="none"/>
          <w14:textFill>
            <w14:solidFill>
              <w14:schemeClr w14:val="tx1"/>
            </w14:solidFill>
          </w14:textFill>
        </w:rPr>
        <w:t>评标办法</w:t>
      </w:r>
      <w:bookmarkEnd w:id="275"/>
      <w:bookmarkEnd w:id="276"/>
      <w:bookmarkEnd w:id="277"/>
      <w:bookmarkEnd w:id="278"/>
    </w:p>
    <w:p w14:paraId="745EE473">
      <w:pPr>
        <w:pStyle w:val="49"/>
        <w:keepNext w:val="0"/>
        <w:keepLines w:val="0"/>
        <w:pageBreakBefore w:val="0"/>
        <w:widowControl w:val="0"/>
        <w:kinsoku/>
        <w:wordWrap/>
        <w:overflowPunct/>
        <w:topLinePunct w:val="0"/>
        <w:bidi w:val="0"/>
        <w:spacing w:line="436"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w:t>
      </w:r>
      <w:r>
        <w:rPr>
          <w:rFonts w:hint="eastAsia" w:ascii="宋体" w:hAnsi="宋体" w:eastAsia="宋体" w:cs="宋体"/>
          <w:b/>
          <w:bCs/>
          <w:color w:val="000000" w:themeColor="text1"/>
          <w:sz w:val="21"/>
          <w:szCs w:val="21"/>
          <w:highlight w:val="none"/>
          <w14:textFill>
            <w14:solidFill>
              <w14:schemeClr w14:val="tx1"/>
            </w14:solidFill>
          </w14:textFill>
        </w:rPr>
        <w:t>评审依据及方式</w:t>
      </w:r>
    </w:p>
    <w:p w14:paraId="135259E0">
      <w:pPr>
        <w:pStyle w:val="49"/>
        <w:keepNext w:val="0"/>
        <w:keepLines w:val="0"/>
        <w:pageBreakBefore w:val="0"/>
        <w:widowControl w:val="0"/>
        <w:kinsoku/>
        <w:wordWrap/>
        <w:overflowPunct/>
        <w:topLinePunct w:val="0"/>
        <w:bidi w:val="0"/>
        <w:spacing w:line="436"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（一） </w:t>
      </w:r>
      <w:r>
        <w:rPr>
          <w:rFonts w:hint="eastAsia" w:ascii="宋体" w:hAnsi="宋体" w:eastAsia="宋体" w:cs="宋体"/>
          <w:color w:val="000000" w:themeColor="text1"/>
          <w:sz w:val="21"/>
          <w:szCs w:val="21"/>
          <w:highlight w:val="none"/>
          <w:lang w:val="en-US" w:eastAsia="zh-CN"/>
          <w14:textFill>
            <w14:solidFill>
              <w14:schemeClr w14:val="tx1"/>
            </w14:solidFill>
          </w14:textFill>
        </w:rPr>
        <w:t>评标</w:t>
      </w:r>
      <w:r>
        <w:rPr>
          <w:rFonts w:hint="eastAsia" w:ascii="宋体" w:hAnsi="宋体" w:eastAsia="宋体" w:cs="宋体"/>
          <w:color w:val="000000" w:themeColor="text1"/>
          <w:sz w:val="21"/>
          <w:szCs w:val="21"/>
          <w:highlight w:val="none"/>
          <w14:textFill>
            <w14:solidFill>
              <w14:schemeClr w14:val="tx1"/>
            </w14:solidFill>
          </w14:textFill>
        </w:rPr>
        <w:t>小组构成：本采购项目的评委分别由依法组成的专家、采购单位代表共</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人构成，其中专家人数不少于成员总数的三分之二。</w:t>
      </w:r>
    </w:p>
    <w:p w14:paraId="5286AE2D">
      <w:pPr>
        <w:pStyle w:val="49"/>
        <w:keepNext w:val="0"/>
        <w:keepLines w:val="0"/>
        <w:pageBreakBefore w:val="0"/>
        <w:widowControl w:val="0"/>
        <w:kinsoku/>
        <w:wordWrap/>
        <w:overflowPunct/>
        <w:topLinePunct w:val="0"/>
        <w:bidi w:val="0"/>
        <w:spacing w:line="436"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（二）评标方式：以封闭方式进行。</w:t>
      </w:r>
    </w:p>
    <w:p w14:paraId="20EB718C">
      <w:pPr>
        <w:pStyle w:val="49"/>
        <w:keepNext w:val="0"/>
        <w:keepLines w:val="0"/>
        <w:pageBreakBefore w:val="0"/>
        <w:widowControl w:val="0"/>
        <w:kinsoku/>
        <w:wordWrap/>
        <w:overflowPunct/>
        <w:topLinePunct w:val="0"/>
        <w:bidi w:val="0"/>
        <w:spacing w:line="436"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（三）采购人和采购代理机构、</w:t>
      </w:r>
      <w:r>
        <w:rPr>
          <w:rFonts w:hint="eastAsia" w:ascii="宋体" w:hAnsi="宋体" w:eastAsia="宋体" w:cs="宋体"/>
          <w:color w:val="000000" w:themeColor="text1"/>
          <w:sz w:val="21"/>
          <w:szCs w:val="21"/>
          <w:highlight w:val="none"/>
          <w:lang w:val="en-US" w:eastAsia="zh-CN"/>
          <w14:textFill>
            <w14:solidFill>
              <w14:schemeClr w14:val="tx1"/>
            </w14:solidFill>
          </w14:textFill>
        </w:rPr>
        <w:t>评标</w:t>
      </w:r>
      <w:r>
        <w:rPr>
          <w:rFonts w:hint="eastAsia" w:ascii="宋体" w:hAnsi="宋体" w:eastAsia="宋体" w:cs="宋体"/>
          <w:color w:val="000000" w:themeColor="text1"/>
          <w:sz w:val="21"/>
          <w:szCs w:val="21"/>
          <w:highlight w:val="none"/>
          <w14:textFill>
            <w14:solidFill>
              <w14:schemeClr w14:val="tx1"/>
            </w14:solidFill>
          </w14:textFill>
        </w:rPr>
        <w:t>小组成员要严格遵守相关法律制度，依法履行各自职责，公正、客观、审慎地组织和参与评审工作。</w:t>
      </w:r>
    </w:p>
    <w:p w14:paraId="64DDABB4">
      <w:pPr>
        <w:pStyle w:val="49"/>
        <w:keepNext w:val="0"/>
        <w:keepLines w:val="0"/>
        <w:pageBreakBefore w:val="0"/>
        <w:widowControl w:val="0"/>
        <w:kinsoku/>
        <w:wordWrap/>
        <w:overflowPunct/>
        <w:topLinePunct w:val="0"/>
        <w:bidi w:val="0"/>
        <w:spacing w:line="436" w:lineRule="exact"/>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二、评定方法</w:t>
      </w:r>
    </w:p>
    <w:p w14:paraId="707D8DBC">
      <w:pPr>
        <w:pStyle w:val="49"/>
        <w:keepNext w:val="0"/>
        <w:keepLines w:val="0"/>
        <w:pageBreakBefore w:val="0"/>
        <w:widowControl w:val="0"/>
        <w:kinsoku/>
        <w:wordWrap/>
        <w:overflowPunct/>
        <w:topLinePunct w:val="0"/>
        <w:bidi w:val="0"/>
        <w:spacing w:line="436"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（一）对进入详评的，采用百分制综合评分法。</w:t>
      </w:r>
    </w:p>
    <w:p w14:paraId="319A6441">
      <w:pPr>
        <w:pStyle w:val="49"/>
        <w:keepNext w:val="0"/>
        <w:keepLines w:val="0"/>
        <w:pageBreakBefore w:val="0"/>
        <w:widowControl w:val="0"/>
        <w:kinsoku/>
        <w:wordWrap/>
        <w:overflowPunct/>
        <w:topLinePunct w:val="0"/>
        <w:bidi w:val="0"/>
        <w:spacing w:line="436"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（二）计分办法（按四舍五入取至百分位）：</w:t>
      </w:r>
    </w:p>
    <w:p w14:paraId="7A2C1A03">
      <w:pPr>
        <w:pStyle w:val="49"/>
        <w:keepNext w:val="0"/>
        <w:keepLines w:val="0"/>
        <w:pageBreakBefore w:val="0"/>
        <w:widowControl w:val="0"/>
        <w:kinsoku/>
        <w:wordWrap/>
        <w:overflowPunct/>
        <w:topLinePunct w:val="0"/>
        <w:bidi w:val="0"/>
        <w:spacing w:line="436" w:lineRule="exac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评审</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因素及分值</w:t>
      </w:r>
    </w:p>
    <w:p w14:paraId="00B0832F">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 xml:space="preserve">1.价格分………………………………………………………………………………………………满分 10 分 </w:t>
      </w:r>
    </w:p>
    <w:p w14:paraId="78056B36">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cs="宋体"/>
          <w:color w:val="000000" w:themeColor="text1"/>
          <w:kern w:val="0"/>
          <w:sz w:val="21"/>
          <w:szCs w:val="21"/>
          <w:lang w:val="en-US" w:eastAsia="zh-CN" w:bidi="ar"/>
          <w14:textFill>
            <w14:solidFill>
              <w14:schemeClr w14:val="tx1"/>
            </w14:solidFill>
          </w14:textFill>
        </w:rPr>
        <w:t>1</w:t>
      </w: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）价格分采用低价优先法计算，即满足招标文件要求且评标报价最低的评标报价为评标基准价，其价格分为 10 分。 </w:t>
      </w:r>
    </w:p>
    <w:p w14:paraId="5DB3FB60">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cs="宋体"/>
          <w:color w:val="000000" w:themeColor="text1"/>
          <w:kern w:val="0"/>
          <w:sz w:val="21"/>
          <w:szCs w:val="21"/>
          <w:lang w:val="en-US" w:eastAsia="zh-CN" w:bidi="ar"/>
          <w14:textFill>
            <w14:solidFill>
              <w14:schemeClr w14:val="tx1"/>
            </w14:solidFill>
          </w14:textFill>
        </w:rPr>
        <w:t>2</w:t>
      </w: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）价格分计算公式： </w:t>
      </w:r>
    </w:p>
    <w:p w14:paraId="00163E0C">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某投标人价格分 = 最低投标人评标报价金额/某投标人评标报价金额 ×10分</w:t>
      </w:r>
    </w:p>
    <w:p w14:paraId="0D59A647">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 xml:space="preserve">2、项目实施方案分…………………………………………………………………………………满分 75 分 </w:t>
      </w:r>
    </w:p>
    <w:p w14:paraId="1C349F7F">
      <w:pPr>
        <w:keepNext w:val="0"/>
        <w:keepLines w:val="0"/>
        <w:pageBreakBefore w:val="0"/>
        <w:widowControl/>
        <w:suppressLineNumbers w:val="0"/>
        <w:kinsoku/>
        <w:wordWrap/>
        <w:overflowPunct/>
        <w:topLinePunct w:val="0"/>
        <w:autoSpaceDE/>
        <w:autoSpaceDN/>
        <w:bidi w:val="0"/>
        <w:adjustRightInd/>
        <w:snapToGrid/>
        <w:spacing w:line="436" w:lineRule="exact"/>
        <w:ind w:firstLine="420" w:firstLineChars="200"/>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投标人提供的项目实施方案应包括对本项目工作目标理解、实施保障体系、工作方法及实施进度控制、 </w:t>
      </w:r>
    </w:p>
    <w:p w14:paraId="032F0D2E">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实施过程风险和难点分析控制、配送方案、应急处理方案等。 </w:t>
      </w:r>
    </w:p>
    <w:p w14:paraId="639B6180">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（1）工作目标理解.............................................................满分 9 分 </w:t>
      </w:r>
    </w:p>
    <w:p w14:paraId="586C5295">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一档（3 分）：理解本项目的工作目标，包含项目工作目标理解所有内容，但描述比较简单，不够详细； </w:t>
      </w:r>
    </w:p>
    <w:p w14:paraId="434BCA72">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二档（6 分）：理解本项目的工作目标，包含项目工作目标理解所有内容，且能对采购人的设备所需要的维护、保养有所描述，整体内容描述较详细，可行。 </w:t>
      </w:r>
    </w:p>
    <w:p w14:paraId="7BEA012C">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三档（9 分）：理解本项目的工作目标，包含项目工作目标理解所有内容，且能对采购人的设备所需要的维护、保养进行了详细且深入的描述，方案科学、合理，针对性强，并提出有利于采购人意见和建议。整体内容描述详细，可行。 </w:t>
      </w:r>
    </w:p>
    <w:p w14:paraId="4FF43295">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（2）维保服务方案…………………………………………………………………………………满分 15 分 </w:t>
      </w:r>
    </w:p>
    <w:p w14:paraId="42C83CBA">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一档（5 分）：维保服务方案描述较简单，项目实施的技术力量、实施内容仅基本满足项目要求，针对 </w:t>
      </w:r>
    </w:p>
    <w:p w14:paraId="7297393F">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性不强的； </w:t>
      </w:r>
    </w:p>
    <w:p w14:paraId="669F486D">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二档（10 分）：维保服务方案描述全面详细、表述清晰、完整，具有针对性、合理性、可行性；项目实 </w:t>
      </w:r>
    </w:p>
    <w:p w14:paraId="7E91BF1A">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施的技术力量满足本项目实施要求，并有详细说明； </w:t>
      </w:r>
    </w:p>
    <w:p w14:paraId="089193F6">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三档（15 分）：维保服务方案描述全面详细、表述清晰、完整，具有针对性、合理性、可行性、实施性强；项目实施的技术力量安排得当、严谨、满足本项目实施要求，并有详细说明；有明确的项目组织实施管理机构，有详细的实施进度计划，质量保证措施完整、具有针对性、合理性、可行性； </w:t>
      </w:r>
    </w:p>
    <w:p w14:paraId="7AD167C4">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（3）定期维护及质量保障措施方案分……………………………………………………………满分 15 分 </w:t>
      </w:r>
    </w:p>
    <w:p w14:paraId="31D5EAEF">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一档（5 分）：投标人提供了定期维护及质量保障措施方案，但针对性不强，不能很好的满足项目需求； </w:t>
      </w:r>
    </w:p>
    <w:p w14:paraId="7B89731A">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二档（10 分）：投标人提供了具体的定期维护及质量保障措施方案，措施中针对设备的运行、维护、操作、故障处理、设备定期维护、质量保障措施等有相应的规程或处理措施，且措施基本合理，能够有效保障维护质量及设备的正常运行，并有定期预防性检查方案； </w:t>
      </w:r>
    </w:p>
    <w:p w14:paraId="2B127C36">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三档（15 分）：投标人提供了具体的定期维护及质量保障措施方案，措施条理清楚，在二档的基础上能够提供完整的设备维护相关操作规程，具有安全保密制度，设备定期维护制度，设备安全管理制度，定期预 </w:t>
      </w:r>
    </w:p>
    <w:p w14:paraId="4DD2FD77">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防性检查方案等，故障处理规范，逻辑清晰，提供齐全的示例文档。</w:t>
      </w:r>
    </w:p>
    <w:p w14:paraId="15DD9D96">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（4）实施过程风险和难点分析控制................................................满分 12 分 </w:t>
      </w:r>
    </w:p>
    <w:p w14:paraId="2CBA6509">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一档（4 分）：提供了实施过程风险和难点分析控制方案； </w:t>
      </w:r>
    </w:p>
    <w:p w14:paraId="4CB24F07">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二档（8 分）：提供的实施过程风险和难点分析控制方案内容齐全，对风险和难点分析合理； </w:t>
      </w:r>
    </w:p>
    <w:p w14:paraId="6706E0B4">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三档（12 分）：提供的实施过程风险和难点分析控制方案内容齐全，对风险和难点有科学合理的分析并作出相应的应对措施，控制方案满足需要。 </w:t>
      </w:r>
    </w:p>
    <w:p w14:paraId="6AA05518">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（5）拟投入人员配备情况分…………………………………………………………………………满分12 分 </w:t>
      </w:r>
    </w:p>
    <w:p w14:paraId="6663D64F">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一档（4 分）：拟投入项目人员较少，技术力量一般，人员技术资格水平一般； </w:t>
      </w:r>
    </w:p>
    <w:p w14:paraId="3448B1FC">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二档（8 分）：拟投入本项目人员组织结构合理，项目人员配备简单，配置较为合理，技术力量较好，能满足项目实施要求，人员技术资格水平较好； </w:t>
      </w:r>
    </w:p>
    <w:p w14:paraId="26FB1AC6">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三档（12 分）：拟投入本项目人员组织结构科学、合理，项目人员配备充裕，人员技术力量雄厚，配置 </w:t>
      </w:r>
    </w:p>
    <w:p w14:paraId="61E37902">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合理，人员技术资质水平优异，完全能满足项目实施要求。 </w:t>
      </w:r>
    </w:p>
    <w:p w14:paraId="6F2D592E">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（6）应急处理方案..............................................................满分 12 分 </w:t>
      </w:r>
    </w:p>
    <w:p w14:paraId="19F65409">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一档（4 分）：提供了应急处理方案； </w:t>
      </w:r>
    </w:p>
    <w:p w14:paraId="7823D259">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二档（8 分）：提供的应急处理方案内容齐全，对突发或意外情况分析合理； </w:t>
      </w:r>
    </w:p>
    <w:p w14:paraId="67625292">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三档（12 分）：提供的应急处理方案内容齐全，能够在完全保障完成服务需求中的内容的同时也能够应对突发或意外情况，并能给出合理的规划安排，有利于提升本项目服务质量的。 </w:t>
      </w:r>
    </w:p>
    <w:p w14:paraId="1F9A2A91">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 xml:space="preserve">3、服务承诺方案分……………………………………………………………………………………满分 15 分 </w:t>
      </w:r>
    </w:p>
    <w:p w14:paraId="04974A40">
      <w:pPr>
        <w:keepNext w:val="0"/>
        <w:keepLines w:val="0"/>
        <w:pageBreakBefore w:val="0"/>
        <w:widowControl/>
        <w:suppressLineNumbers w:val="0"/>
        <w:kinsoku/>
        <w:wordWrap/>
        <w:overflowPunct/>
        <w:topLinePunct w:val="0"/>
        <w:autoSpaceDE/>
        <w:autoSpaceDN/>
        <w:bidi w:val="0"/>
        <w:adjustRightInd/>
        <w:snapToGrid/>
        <w:spacing w:line="436" w:lineRule="exact"/>
        <w:ind w:firstLine="420" w:firstLineChars="200"/>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由评委在打分前根据招标文件要求，对各投标人投标文件中提供的服务承诺的可行性、可操作性、针对性等方面，比较各投标人服务承诺的优劣，集体讨论确定投标人“一档、二档、三档”各所属档次并形成书面材料确定等级评定档次，评委依照等级评定内容在相应档次内独立打分。 </w:t>
      </w:r>
    </w:p>
    <w:p w14:paraId="4165B1BE">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一档（5 分）：满足招标文件要求，服务承诺简单，缺乏保障响应措施及服务经验。 </w:t>
      </w:r>
    </w:p>
    <w:p w14:paraId="70009662">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二档（10 分）：满足招标文件要求，服务承诺细致、合理、可行，保障响应措施较有力。 </w:t>
      </w:r>
    </w:p>
    <w:p w14:paraId="2356A660">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三档（15 分）：优于二档并在服务工作期间，配合业主进行质量检查和产品验收、后期服务承诺、提供 </w:t>
      </w:r>
    </w:p>
    <w:p w14:paraId="293F32B6">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技术服务响应时间等服务措施详细、合理，能够承诺针对本项目提供及时、专业化的服务。 </w:t>
      </w:r>
    </w:p>
    <w:p w14:paraId="6F7F8A91">
      <w:pPr>
        <w:keepNext w:val="0"/>
        <w:keepLines w:val="0"/>
        <w:pageBreakBefore w:val="0"/>
        <w:widowControl/>
        <w:suppressLineNumbers w:val="0"/>
        <w:kinsoku/>
        <w:wordWrap/>
        <w:overflowPunct/>
        <w:topLinePunct w:val="0"/>
        <w:autoSpaceDE/>
        <w:autoSpaceDN/>
        <w:bidi w:val="0"/>
        <w:adjustRightInd/>
        <w:snapToGrid/>
        <w:spacing w:line="436" w:lineRule="exact"/>
        <w:jc w:val="left"/>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4. 综合得分＝1+2+3</w:t>
      </w:r>
    </w:p>
    <w:p w14:paraId="5BCA4D1F">
      <w:pPr>
        <w:pStyle w:val="17"/>
        <w:pageBreakBefore w:val="0"/>
        <w:tabs>
          <w:tab w:val="left" w:pos="4214"/>
        </w:tabs>
        <w:kinsoku/>
        <w:wordWrap/>
        <w:overflowPunct/>
        <w:topLinePunct w:val="0"/>
        <w:bidi w:val="0"/>
        <w:spacing w:line="420" w:lineRule="exact"/>
        <w:outlineLvl w:val="9"/>
        <w:rPr>
          <w:rFonts w:hint="eastAsia" w:hAnsi="宋体" w:cs="宋体"/>
          <w:b/>
          <w:color w:val="000000" w:themeColor="text1"/>
          <w:szCs w:val="21"/>
          <w:highlight w:val="none"/>
          <w14:textFill>
            <w14:solidFill>
              <w14:schemeClr w14:val="tx1"/>
            </w14:solidFill>
          </w14:textFill>
        </w:rPr>
      </w:pPr>
    </w:p>
    <w:p w14:paraId="29896DBF">
      <w:pPr>
        <w:pStyle w:val="17"/>
        <w:pageBreakBefore w:val="0"/>
        <w:tabs>
          <w:tab w:val="left" w:pos="4214"/>
        </w:tabs>
        <w:kinsoku/>
        <w:wordWrap/>
        <w:overflowPunct/>
        <w:topLinePunct w:val="0"/>
        <w:bidi w:val="0"/>
        <w:spacing w:line="420" w:lineRule="exact"/>
        <w:ind w:firstLine="422" w:firstLineChars="200"/>
        <w:outlineLvl w:val="9"/>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三、推荐及确定中标候选供应商原则</w:t>
      </w:r>
    </w:p>
    <w:p w14:paraId="1843F049">
      <w:pPr>
        <w:pStyle w:val="17"/>
        <w:pageBreakBefore w:val="0"/>
        <w:tabs>
          <w:tab w:val="left" w:pos="4214"/>
        </w:tabs>
        <w:kinsoku/>
        <w:wordWrap/>
        <w:overflowPunct/>
        <w:topLinePunct w:val="0"/>
        <w:bidi w:val="0"/>
        <w:spacing w:line="420" w:lineRule="exact"/>
        <w:ind w:firstLine="420" w:firstLineChars="200"/>
        <w:outlineLvl w:val="9"/>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（1）评标委员会根据综合得分由高到低排列次序，若得分相同时，按评标报价由低到高顺序排列；得分相同且评标报价也相同的，</w:t>
      </w:r>
      <w:r>
        <w:rPr>
          <w:rFonts w:hint="eastAsia" w:hAnsi="宋体" w:cs="宋体"/>
          <w:color w:val="000000" w:themeColor="text1"/>
          <w:szCs w:val="21"/>
          <w:highlight w:val="none"/>
          <w:lang w:eastAsia="zh-CN"/>
          <w14:textFill>
            <w14:solidFill>
              <w14:schemeClr w14:val="tx1"/>
            </w14:solidFill>
          </w14:textFill>
        </w:rPr>
        <w:t>则依次按</w:t>
      </w:r>
      <w:r>
        <w:rPr>
          <w:rFonts w:hint="eastAsia" w:hAnsi="宋体" w:cs="宋体"/>
          <w:color w:val="000000" w:themeColor="text1"/>
          <w:szCs w:val="21"/>
          <w:highlight w:val="none"/>
          <w:lang w:val="en-US" w:eastAsia="zh-CN"/>
          <w14:textFill>
            <w14:solidFill>
              <w14:schemeClr w14:val="tx1"/>
            </w14:solidFill>
          </w14:textFill>
        </w:rPr>
        <w:t>项目实施方案</w:t>
      </w:r>
      <w:r>
        <w:rPr>
          <w:rFonts w:hint="eastAsia" w:hAnsi="宋体" w:cs="宋体"/>
          <w:color w:val="000000" w:themeColor="text1"/>
          <w:szCs w:val="21"/>
          <w:highlight w:val="none"/>
          <w:lang w:eastAsia="zh-CN"/>
          <w14:textFill>
            <w14:solidFill>
              <w14:schemeClr w14:val="tx1"/>
            </w14:solidFill>
          </w14:textFill>
        </w:rPr>
        <w:t>、</w:t>
      </w:r>
      <w:r>
        <w:rPr>
          <w:rFonts w:hint="eastAsia" w:hAnsi="宋体" w:cs="宋体"/>
          <w:color w:val="000000" w:themeColor="text1"/>
          <w:szCs w:val="21"/>
          <w:highlight w:val="none"/>
          <w:lang w:val="en-US" w:eastAsia="zh-CN"/>
          <w14:textFill>
            <w14:solidFill>
              <w14:schemeClr w14:val="tx1"/>
            </w14:solidFill>
          </w14:textFill>
        </w:rPr>
        <w:t>服务承诺方案</w:t>
      </w:r>
      <w:r>
        <w:rPr>
          <w:rFonts w:hint="eastAsia" w:hAnsi="宋体" w:cs="宋体"/>
          <w:color w:val="000000" w:themeColor="text1"/>
          <w:szCs w:val="21"/>
          <w:highlight w:val="none"/>
          <w:lang w:eastAsia="zh-CN"/>
          <w14:textFill>
            <w14:solidFill>
              <w14:schemeClr w14:val="tx1"/>
            </w14:solidFill>
          </w14:textFill>
        </w:rPr>
        <w:t>分</w:t>
      </w:r>
      <w:r>
        <w:rPr>
          <w:rFonts w:hint="eastAsia" w:hAnsi="宋体" w:cs="宋体"/>
          <w:color w:val="000000" w:themeColor="text1"/>
          <w:szCs w:val="21"/>
          <w:highlight w:val="none"/>
          <w14:textFill>
            <w14:solidFill>
              <w14:schemeClr w14:val="tx1"/>
            </w14:solidFill>
          </w14:textFill>
        </w:rPr>
        <w:t>由高到低顺序排列；若仍相同的，则由评标委员会按照抽签的方式决定排列次序。</w:t>
      </w:r>
    </w:p>
    <w:p w14:paraId="0165E755">
      <w:pPr>
        <w:pStyle w:val="17"/>
        <w:pageBreakBefore w:val="0"/>
        <w:tabs>
          <w:tab w:val="left" w:pos="4214"/>
        </w:tabs>
        <w:kinsoku/>
        <w:wordWrap/>
        <w:overflowPunct/>
        <w:topLinePunct w:val="0"/>
        <w:bidi w:val="0"/>
        <w:spacing w:line="420" w:lineRule="exact"/>
        <w:ind w:firstLine="420" w:firstLineChars="200"/>
        <w:outlineLvl w:val="9"/>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（2）评标委员会可推荐前三名为中标候选人，采购人应当确定评标委员会推荐排名第一的中标候选人为中标人。</w:t>
      </w:r>
    </w:p>
    <w:p w14:paraId="3D684DF1">
      <w:pPr>
        <w:pStyle w:val="17"/>
        <w:pageBreakBefore w:val="0"/>
        <w:tabs>
          <w:tab w:val="left" w:pos="4214"/>
        </w:tabs>
        <w:kinsoku/>
        <w:wordWrap/>
        <w:overflowPunct/>
        <w:topLinePunct w:val="0"/>
        <w:bidi w:val="0"/>
        <w:spacing w:line="420" w:lineRule="exact"/>
        <w:ind w:firstLine="420" w:firstLineChars="200"/>
        <w:outlineLvl w:val="9"/>
        <w:rPr>
          <w:rFonts w:hAnsi="宋体" w:cs="宋体"/>
          <w:bCs/>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排名第一的中标候选人放弃中标、因不可抗力提出不能履行合同，或者招标文件规定应当提交履约保证金而在规定的期限内未能提交的，或因失信行为被取消中标候选人资格的，采购人可以确定排名第二的中标候选人为中标人，并依此类推。</w:t>
      </w:r>
    </w:p>
    <w:p w14:paraId="6582FAE1">
      <w:pPr>
        <w:pageBreakBefore w:val="0"/>
        <w:kinsoku/>
        <w:wordWrap/>
        <w:overflowPunct/>
        <w:topLinePunct w:val="0"/>
        <w:bidi w:val="0"/>
        <w:spacing w:line="420" w:lineRule="exact"/>
        <w:ind w:firstLine="426" w:firstLineChars="202"/>
        <w:jc w:val="left"/>
        <w:outlineLvl w:val="9"/>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四、特别说明</w:t>
      </w:r>
    </w:p>
    <w:p w14:paraId="6CDF775B">
      <w:pPr>
        <w:pageBreakBefore w:val="0"/>
        <w:kinsoku/>
        <w:wordWrap/>
        <w:overflowPunct/>
        <w:topLinePunct w:val="0"/>
        <w:bidi w:val="0"/>
        <w:spacing w:line="420" w:lineRule="exact"/>
        <w:ind w:firstLine="422" w:firstLineChars="200"/>
        <w:outlineLvl w:val="9"/>
        <w:rPr>
          <w:rFonts w:ascii="宋体" w:hAnsi="宋体" w:cs="宋体"/>
          <w:color w:val="000000" w:themeColor="text1"/>
          <w:kern w:val="0"/>
          <w:highlight w:val="none"/>
          <w14:textFill>
            <w14:solidFill>
              <w14:schemeClr w14:val="tx1"/>
            </w14:solidFill>
          </w14:textFill>
        </w:rPr>
      </w:pPr>
      <w:r>
        <w:rPr>
          <w:rFonts w:hint="eastAsia" w:ascii="宋体" w:hAnsi="宋体" w:cs="宋体"/>
          <w:b/>
          <w:bCs/>
          <w:color w:val="000000" w:themeColor="text1"/>
          <w:szCs w:val="21"/>
          <w:highlight w:val="none"/>
          <w:u w:val="double"/>
          <w14:textFill>
            <w14:solidFill>
              <w14:schemeClr w14:val="tx1"/>
            </w14:solidFill>
          </w14:textFill>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272"/>
    <w:p w14:paraId="148FD421">
      <w:pPr>
        <w:pageBreakBefore w:val="0"/>
        <w:kinsoku/>
        <w:wordWrap/>
        <w:overflowPunct/>
        <w:topLinePunct w:val="0"/>
        <w:bidi w:val="0"/>
        <w:outlineLvl w:val="9"/>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br w:type="page"/>
      </w:r>
    </w:p>
    <w:p w14:paraId="25C7335D">
      <w:pPr>
        <w:pageBreakBefore w:val="0"/>
        <w:widowControl/>
        <w:kinsoku/>
        <w:wordWrap/>
        <w:overflowPunct/>
        <w:topLinePunct w:val="0"/>
        <w:bidi w:val="0"/>
        <w:jc w:val="left"/>
        <w:outlineLvl w:val="9"/>
        <w:rPr>
          <w:rFonts w:hAnsi="宋体" w:cs="宋体"/>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附表</w:t>
      </w:r>
    </w:p>
    <w:p w14:paraId="660A42C3">
      <w:pPr>
        <w:pageBreakBefore w:val="0"/>
        <w:widowControl/>
        <w:kinsoku/>
        <w:wordWrap/>
        <w:overflowPunct/>
        <w:topLinePunct w:val="0"/>
        <w:bidi w:val="0"/>
        <w:spacing w:before="120" w:beforeLines="50" w:after="120" w:afterLines="50" w:line="400" w:lineRule="exact"/>
        <w:jc w:val="center"/>
        <w:outlineLvl w:val="9"/>
        <w:rPr>
          <w:rFonts w:ascii="宋体" w:hAnsi="宋体" w:cs="宋体"/>
          <w:b/>
          <w:bCs/>
          <w:color w:val="000000" w:themeColor="text1"/>
          <w:kern w:val="0"/>
          <w:sz w:val="30"/>
          <w:szCs w:val="30"/>
          <w:highlight w:val="none"/>
          <w14:textFill>
            <w14:solidFill>
              <w14:schemeClr w14:val="tx1"/>
            </w14:solidFill>
          </w14:textFill>
        </w:rPr>
      </w:pPr>
      <w:bookmarkStart w:id="279" w:name="_Toc28361_WPSOffice_Level2"/>
      <w:r>
        <w:rPr>
          <w:rFonts w:hint="eastAsia" w:ascii="宋体" w:hAnsi="宋体" w:cs="宋体"/>
          <w:b/>
          <w:bCs/>
          <w:color w:val="000000" w:themeColor="text1"/>
          <w:kern w:val="0"/>
          <w:sz w:val="30"/>
          <w:szCs w:val="30"/>
          <w:highlight w:val="none"/>
          <w14:textFill>
            <w14:solidFill>
              <w14:schemeClr w14:val="tx1"/>
            </w14:solidFill>
          </w14:textFill>
        </w:rPr>
        <w:t>统计上大中小微型企业划分标准</w:t>
      </w:r>
      <w:bookmarkEnd w:id="279"/>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445"/>
        <w:gridCol w:w="748"/>
        <w:gridCol w:w="1188"/>
        <w:gridCol w:w="1796"/>
        <w:gridCol w:w="1505"/>
        <w:gridCol w:w="1047"/>
      </w:tblGrid>
      <w:tr w14:paraId="56C41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2231" w:type="dxa"/>
            <w:shd w:val="clear" w:color="auto" w:fill="8DB3E2"/>
            <w:vAlign w:val="center"/>
          </w:tcPr>
          <w:p w14:paraId="32B013B9">
            <w:pPr>
              <w:pageBreakBefore w:val="0"/>
              <w:widowControl/>
              <w:kinsoku/>
              <w:wordWrap/>
              <w:overflowPunct/>
              <w:topLinePunct w:val="0"/>
              <w:bidi w:val="0"/>
              <w:spacing w:line="240" w:lineRule="exact"/>
              <w:jc w:val="center"/>
              <w:outlineLvl w:val="9"/>
              <w:rPr>
                <w:rFonts w:ascii="宋体" w:hAnsi="宋体" w:cs="宋体"/>
                <w:b/>
                <w:bCs/>
                <w:color w:val="000000" w:themeColor="text1"/>
                <w:kern w:val="0"/>
                <w:sz w:val="18"/>
                <w:szCs w:val="21"/>
                <w:highlight w:val="none"/>
                <w14:textFill>
                  <w14:solidFill>
                    <w14:schemeClr w14:val="tx1"/>
                  </w14:solidFill>
                </w14:textFill>
              </w:rPr>
            </w:pPr>
            <w:r>
              <w:rPr>
                <w:rFonts w:hint="eastAsia" w:ascii="宋体" w:hAnsi="宋体" w:cs="宋体"/>
                <w:b/>
                <w:bCs/>
                <w:color w:val="000000" w:themeColor="text1"/>
                <w:kern w:val="0"/>
                <w:sz w:val="18"/>
                <w:szCs w:val="21"/>
                <w:highlight w:val="none"/>
                <w14:textFill>
                  <w14:solidFill>
                    <w14:schemeClr w14:val="tx1"/>
                  </w14:solidFill>
                </w14:textFill>
              </w:rPr>
              <w:t>行业名称</w:t>
            </w:r>
          </w:p>
        </w:tc>
        <w:tc>
          <w:tcPr>
            <w:tcW w:w="1445" w:type="dxa"/>
            <w:shd w:val="clear" w:color="auto" w:fill="8DB3E2"/>
            <w:vAlign w:val="center"/>
          </w:tcPr>
          <w:p w14:paraId="27F174BA">
            <w:pPr>
              <w:pageBreakBefore w:val="0"/>
              <w:widowControl/>
              <w:kinsoku/>
              <w:wordWrap/>
              <w:overflowPunct/>
              <w:topLinePunct w:val="0"/>
              <w:bidi w:val="0"/>
              <w:jc w:val="center"/>
              <w:outlineLvl w:val="9"/>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指标名称</w:t>
            </w:r>
          </w:p>
        </w:tc>
        <w:tc>
          <w:tcPr>
            <w:tcW w:w="748" w:type="dxa"/>
            <w:shd w:val="clear" w:color="auto" w:fill="8DB3E2"/>
            <w:vAlign w:val="center"/>
          </w:tcPr>
          <w:p w14:paraId="7517D936">
            <w:pPr>
              <w:pageBreakBefore w:val="0"/>
              <w:widowControl/>
              <w:kinsoku/>
              <w:wordWrap/>
              <w:overflowPunct/>
              <w:topLinePunct w:val="0"/>
              <w:bidi w:val="0"/>
              <w:jc w:val="center"/>
              <w:outlineLvl w:val="9"/>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计量</w:t>
            </w:r>
          </w:p>
          <w:p w14:paraId="2EF4DE0F">
            <w:pPr>
              <w:pageBreakBefore w:val="0"/>
              <w:widowControl/>
              <w:kinsoku/>
              <w:wordWrap/>
              <w:overflowPunct/>
              <w:topLinePunct w:val="0"/>
              <w:bidi w:val="0"/>
              <w:jc w:val="center"/>
              <w:outlineLvl w:val="9"/>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单位</w:t>
            </w:r>
          </w:p>
        </w:tc>
        <w:tc>
          <w:tcPr>
            <w:tcW w:w="1188" w:type="dxa"/>
            <w:shd w:val="clear" w:color="auto" w:fill="8DB3E2"/>
            <w:vAlign w:val="center"/>
          </w:tcPr>
          <w:p w14:paraId="02F7BF98">
            <w:pPr>
              <w:pageBreakBefore w:val="0"/>
              <w:widowControl/>
              <w:kinsoku/>
              <w:wordWrap/>
              <w:overflowPunct/>
              <w:topLinePunct w:val="0"/>
              <w:bidi w:val="0"/>
              <w:jc w:val="center"/>
              <w:outlineLvl w:val="9"/>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大型</w:t>
            </w:r>
          </w:p>
        </w:tc>
        <w:tc>
          <w:tcPr>
            <w:tcW w:w="1796" w:type="dxa"/>
            <w:shd w:val="clear" w:color="auto" w:fill="8DB3E2"/>
            <w:vAlign w:val="center"/>
          </w:tcPr>
          <w:p w14:paraId="757DCB09">
            <w:pPr>
              <w:pageBreakBefore w:val="0"/>
              <w:widowControl/>
              <w:kinsoku/>
              <w:wordWrap/>
              <w:overflowPunct/>
              <w:topLinePunct w:val="0"/>
              <w:bidi w:val="0"/>
              <w:jc w:val="center"/>
              <w:outlineLvl w:val="9"/>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中型</w:t>
            </w:r>
          </w:p>
        </w:tc>
        <w:tc>
          <w:tcPr>
            <w:tcW w:w="1505" w:type="dxa"/>
            <w:shd w:val="clear" w:color="auto" w:fill="8DB3E2"/>
            <w:vAlign w:val="center"/>
          </w:tcPr>
          <w:p w14:paraId="75E3078A">
            <w:pPr>
              <w:pageBreakBefore w:val="0"/>
              <w:widowControl/>
              <w:kinsoku/>
              <w:wordWrap/>
              <w:overflowPunct/>
              <w:topLinePunct w:val="0"/>
              <w:bidi w:val="0"/>
              <w:jc w:val="center"/>
              <w:outlineLvl w:val="9"/>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小型</w:t>
            </w:r>
          </w:p>
        </w:tc>
        <w:tc>
          <w:tcPr>
            <w:tcW w:w="1047" w:type="dxa"/>
            <w:shd w:val="clear" w:color="auto" w:fill="8DB3E2"/>
            <w:vAlign w:val="center"/>
          </w:tcPr>
          <w:p w14:paraId="21A51FDD">
            <w:pPr>
              <w:pageBreakBefore w:val="0"/>
              <w:widowControl/>
              <w:kinsoku/>
              <w:wordWrap/>
              <w:overflowPunct/>
              <w:topLinePunct w:val="0"/>
              <w:bidi w:val="0"/>
              <w:jc w:val="center"/>
              <w:outlineLvl w:val="9"/>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微型</w:t>
            </w:r>
          </w:p>
        </w:tc>
      </w:tr>
      <w:tr w14:paraId="4B79B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Align w:val="center"/>
          </w:tcPr>
          <w:p w14:paraId="3B8B4C71">
            <w:pPr>
              <w:pageBreakBefore w:val="0"/>
              <w:widowControl/>
              <w:kinsoku/>
              <w:wordWrap/>
              <w:overflowPunct/>
              <w:topLinePunct w:val="0"/>
              <w:bidi w:val="0"/>
              <w:spacing w:line="240" w:lineRule="exact"/>
              <w:jc w:val="left"/>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农、林、牧、渔业</w:t>
            </w:r>
          </w:p>
        </w:tc>
        <w:tc>
          <w:tcPr>
            <w:tcW w:w="1445" w:type="dxa"/>
            <w:vAlign w:val="center"/>
          </w:tcPr>
          <w:p w14:paraId="6A006F3A">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48" w:type="dxa"/>
            <w:vAlign w:val="center"/>
          </w:tcPr>
          <w:p w14:paraId="2DB7FEA8">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88" w:type="dxa"/>
            <w:vAlign w:val="center"/>
          </w:tcPr>
          <w:p w14:paraId="06B12CCE">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Y≥20000</w:t>
            </w:r>
          </w:p>
        </w:tc>
        <w:tc>
          <w:tcPr>
            <w:tcW w:w="1796" w:type="dxa"/>
            <w:vAlign w:val="center"/>
          </w:tcPr>
          <w:p w14:paraId="56109009">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500≤Y＜20000</w:t>
            </w:r>
          </w:p>
        </w:tc>
        <w:tc>
          <w:tcPr>
            <w:tcW w:w="1505" w:type="dxa"/>
            <w:vAlign w:val="center"/>
          </w:tcPr>
          <w:p w14:paraId="547281C2">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50≤Y＜500</w:t>
            </w:r>
          </w:p>
        </w:tc>
        <w:tc>
          <w:tcPr>
            <w:tcW w:w="1047" w:type="dxa"/>
            <w:vAlign w:val="center"/>
          </w:tcPr>
          <w:p w14:paraId="47E8DD2C">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Y＜50</w:t>
            </w:r>
          </w:p>
        </w:tc>
      </w:tr>
      <w:tr w14:paraId="4D126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178E0780">
            <w:pPr>
              <w:pageBreakBefore w:val="0"/>
              <w:widowControl/>
              <w:kinsoku/>
              <w:wordWrap/>
              <w:overflowPunct/>
              <w:topLinePunct w:val="0"/>
              <w:bidi w:val="0"/>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工业</w:t>
            </w:r>
            <w:r>
              <w:rPr>
                <w:rFonts w:ascii="宋体" w:hAnsi="宋体" w:cs="宋体"/>
                <w:color w:val="000000" w:themeColor="text1"/>
                <w:kern w:val="0"/>
                <w:sz w:val="18"/>
                <w:szCs w:val="18"/>
                <w:highlight w:val="none"/>
                <w14:textFill>
                  <w14:solidFill>
                    <w14:schemeClr w14:val="tx1"/>
                  </w14:solidFill>
                </w14:textFill>
              </w:rPr>
              <w:t xml:space="preserve"> *</w:t>
            </w:r>
          </w:p>
        </w:tc>
        <w:tc>
          <w:tcPr>
            <w:tcW w:w="1445" w:type="dxa"/>
            <w:vAlign w:val="center"/>
          </w:tcPr>
          <w:p w14:paraId="3EC277EA">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w:t>
            </w:r>
            <w:r>
              <w:rPr>
                <w:rFonts w:ascii="宋体" w:hAnsi="宋体" w:cs="宋体"/>
                <w:color w:val="000000" w:themeColor="text1"/>
                <w:kern w:val="0"/>
                <w:sz w:val="18"/>
                <w:szCs w:val="18"/>
                <w:highlight w:val="none"/>
                <w14:textFill>
                  <w14:solidFill>
                    <w14:schemeClr w14:val="tx1"/>
                  </w14:solidFill>
                </w14:textFill>
              </w:rPr>
              <w:t>(X)</w:t>
            </w:r>
          </w:p>
        </w:tc>
        <w:tc>
          <w:tcPr>
            <w:tcW w:w="748" w:type="dxa"/>
            <w:vAlign w:val="center"/>
          </w:tcPr>
          <w:p w14:paraId="457F319C">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88" w:type="dxa"/>
            <w:vAlign w:val="center"/>
          </w:tcPr>
          <w:p w14:paraId="3B9F1333">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ascii="宋体" w:hAnsi="宋体" w:cs="宋体"/>
                <w:color w:val="000000" w:themeColor="text1"/>
                <w:kern w:val="0"/>
                <w:sz w:val="18"/>
                <w:szCs w:val="18"/>
                <w:highlight w:val="none"/>
                <w14:textFill>
                  <w14:solidFill>
                    <w14:schemeClr w14:val="tx1"/>
                  </w14:solidFill>
                </w14:textFill>
              </w:rPr>
              <w:t>X≥1000</w:t>
            </w:r>
          </w:p>
        </w:tc>
        <w:tc>
          <w:tcPr>
            <w:tcW w:w="1796" w:type="dxa"/>
            <w:vAlign w:val="center"/>
          </w:tcPr>
          <w:p w14:paraId="60B06A16">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ascii="宋体" w:hAnsi="宋体" w:cs="宋体"/>
                <w:color w:val="000000" w:themeColor="text1"/>
                <w:kern w:val="0"/>
                <w:sz w:val="18"/>
                <w:szCs w:val="18"/>
                <w:highlight w:val="none"/>
                <w14:textFill>
                  <w14:solidFill>
                    <w14:schemeClr w14:val="tx1"/>
                  </w14:solidFill>
                </w14:textFill>
              </w:rPr>
              <w:t>300≤X＜1000</w:t>
            </w:r>
          </w:p>
        </w:tc>
        <w:tc>
          <w:tcPr>
            <w:tcW w:w="1505" w:type="dxa"/>
            <w:vAlign w:val="center"/>
          </w:tcPr>
          <w:p w14:paraId="6AE2B0AC">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ascii="宋体" w:hAnsi="宋体" w:cs="宋体"/>
                <w:color w:val="000000" w:themeColor="text1"/>
                <w:kern w:val="0"/>
                <w:sz w:val="18"/>
                <w:szCs w:val="18"/>
                <w:highlight w:val="none"/>
                <w14:textFill>
                  <w14:solidFill>
                    <w14:schemeClr w14:val="tx1"/>
                  </w14:solidFill>
                </w14:textFill>
              </w:rPr>
              <w:t>20≤X＜300</w:t>
            </w:r>
          </w:p>
        </w:tc>
        <w:tc>
          <w:tcPr>
            <w:tcW w:w="1047" w:type="dxa"/>
            <w:vAlign w:val="center"/>
          </w:tcPr>
          <w:p w14:paraId="15A098CB">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ascii="宋体" w:hAnsi="宋体" w:cs="宋体"/>
                <w:color w:val="000000" w:themeColor="text1"/>
                <w:kern w:val="0"/>
                <w:sz w:val="18"/>
                <w:szCs w:val="18"/>
                <w:highlight w:val="none"/>
                <w14:textFill>
                  <w14:solidFill>
                    <w14:schemeClr w14:val="tx1"/>
                  </w14:solidFill>
                </w14:textFill>
              </w:rPr>
              <w:t>X＜20</w:t>
            </w:r>
          </w:p>
        </w:tc>
      </w:tr>
      <w:tr w14:paraId="29D55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5574E2B0">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p>
        </w:tc>
        <w:tc>
          <w:tcPr>
            <w:tcW w:w="1445" w:type="dxa"/>
            <w:vAlign w:val="center"/>
          </w:tcPr>
          <w:p w14:paraId="00294C23">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w:t>
            </w:r>
            <w:r>
              <w:rPr>
                <w:rFonts w:ascii="宋体" w:hAnsi="宋体" w:cs="宋体"/>
                <w:color w:val="000000" w:themeColor="text1"/>
                <w:kern w:val="0"/>
                <w:sz w:val="18"/>
                <w:szCs w:val="18"/>
                <w:highlight w:val="none"/>
                <w14:textFill>
                  <w14:solidFill>
                    <w14:schemeClr w14:val="tx1"/>
                  </w14:solidFill>
                </w14:textFill>
              </w:rPr>
              <w:t>(Y)</w:t>
            </w:r>
          </w:p>
        </w:tc>
        <w:tc>
          <w:tcPr>
            <w:tcW w:w="748" w:type="dxa"/>
            <w:vAlign w:val="center"/>
          </w:tcPr>
          <w:p w14:paraId="4B5A9828">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88" w:type="dxa"/>
            <w:vAlign w:val="center"/>
          </w:tcPr>
          <w:p w14:paraId="6D8C0E45">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ascii="宋体" w:hAnsi="宋体" w:cs="宋体"/>
                <w:color w:val="000000" w:themeColor="text1"/>
                <w:kern w:val="0"/>
                <w:sz w:val="18"/>
                <w:szCs w:val="18"/>
                <w:highlight w:val="none"/>
                <w14:textFill>
                  <w14:solidFill>
                    <w14:schemeClr w14:val="tx1"/>
                  </w14:solidFill>
                </w14:textFill>
              </w:rPr>
              <w:t>Y≥40000</w:t>
            </w:r>
          </w:p>
        </w:tc>
        <w:tc>
          <w:tcPr>
            <w:tcW w:w="1796" w:type="dxa"/>
            <w:vAlign w:val="center"/>
          </w:tcPr>
          <w:p w14:paraId="310C7031">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ascii="宋体" w:hAnsi="宋体" w:cs="宋体"/>
                <w:color w:val="000000" w:themeColor="text1"/>
                <w:kern w:val="0"/>
                <w:sz w:val="18"/>
                <w:szCs w:val="18"/>
                <w:highlight w:val="none"/>
                <w14:textFill>
                  <w14:solidFill>
                    <w14:schemeClr w14:val="tx1"/>
                  </w14:solidFill>
                </w14:textFill>
              </w:rPr>
              <w:t>2000≤Y＜40000</w:t>
            </w:r>
          </w:p>
        </w:tc>
        <w:tc>
          <w:tcPr>
            <w:tcW w:w="1505" w:type="dxa"/>
            <w:vAlign w:val="center"/>
          </w:tcPr>
          <w:p w14:paraId="4538DCD8">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ascii="宋体" w:hAnsi="宋体" w:cs="宋体"/>
                <w:color w:val="000000" w:themeColor="text1"/>
                <w:kern w:val="0"/>
                <w:sz w:val="18"/>
                <w:szCs w:val="18"/>
                <w:highlight w:val="none"/>
                <w14:textFill>
                  <w14:solidFill>
                    <w14:schemeClr w14:val="tx1"/>
                  </w14:solidFill>
                </w14:textFill>
              </w:rPr>
              <w:t>300≤Y＜2000</w:t>
            </w:r>
          </w:p>
        </w:tc>
        <w:tc>
          <w:tcPr>
            <w:tcW w:w="1047" w:type="dxa"/>
            <w:vAlign w:val="center"/>
          </w:tcPr>
          <w:p w14:paraId="317D2A87">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ascii="宋体" w:hAnsi="宋体" w:cs="宋体"/>
                <w:color w:val="000000" w:themeColor="text1"/>
                <w:kern w:val="0"/>
                <w:sz w:val="18"/>
                <w:szCs w:val="18"/>
                <w:highlight w:val="none"/>
                <w14:textFill>
                  <w14:solidFill>
                    <w14:schemeClr w14:val="tx1"/>
                  </w14:solidFill>
                </w14:textFill>
              </w:rPr>
              <w:t>Y＜300</w:t>
            </w:r>
          </w:p>
        </w:tc>
      </w:tr>
      <w:tr w14:paraId="70168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77A9B6D3">
            <w:pPr>
              <w:pageBreakBefore w:val="0"/>
              <w:widowControl/>
              <w:kinsoku/>
              <w:wordWrap/>
              <w:overflowPunct/>
              <w:topLinePunct w:val="0"/>
              <w:bidi w:val="0"/>
              <w:spacing w:line="240" w:lineRule="exact"/>
              <w:jc w:val="left"/>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建筑业</w:t>
            </w:r>
          </w:p>
        </w:tc>
        <w:tc>
          <w:tcPr>
            <w:tcW w:w="1445" w:type="dxa"/>
            <w:vAlign w:val="center"/>
          </w:tcPr>
          <w:p w14:paraId="44D7A9F9">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48" w:type="dxa"/>
            <w:vAlign w:val="center"/>
          </w:tcPr>
          <w:p w14:paraId="20A08FE6">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88" w:type="dxa"/>
            <w:vAlign w:val="center"/>
          </w:tcPr>
          <w:p w14:paraId="4ABD273F">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Y≥80000</w:t>
            </w:r>
          </w:p>
        </w:tc>
        <w:tc>
          <w:tcPr>
            <w:tcW w:w="1796" w:type="dxa"/>
            <w:vAlign w:val="center"/>
          </w:tcPr>
          <w:p w14:paraId="55977AAC">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6000≤Y＜80000</w:t>
            </w:r>
          </w:p>
        </w:tc>
        <w:tc>
          <w:tcPr>
            <w:tcW w:w="1505" w:type="dxa"/>
            <w:vAlign w:val="center"/>
          </w:tcPr>
          <w:p w14:paraId="2F49E9B5">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300≤Y＜6000</w:t>
            </w:r>
          </w:p>
        </w:tc>
        <w:tc>
          <w:tcPr>
            <w:tcW w:w="1047" w:type="dxa"/>
            <w:vAlign w:val="center"/>
          </w:tcPr>
          <w:p w14:paraId="41979AB2">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Y＜300</w:t>
            </w:r>
          </w:p>
        </w:tc>
      </w:tr>
      <w:tr w14:paraId="0848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2B10C7E8">
            <w:pPr>
              <w:pageBreakBefore w:val="0"/>
              <w:widowControl/>
              <w:kinsoku/>
              <w:wordWrap/>
              <w:overflowPunct/>
              <w:topLinePunct w:val="0"/>
              <w:bidi w:val="0"/>
              <w:jc w:val="left"/>
              <w:outlineLvl w:val="9"/>
              <w:rPr>
                <w:rFonts w:ascii="宋体" w:hAnsi="宋体" w:cs="宋体"/>
                <w:color w:val="000000" w:themeColor="text1"/>
                <w:kern w:val="0"/>
                <w:sz w:val="18"/>
                <w:szCs w:val="18"/>
                <w:highlight w:val="none"/>
                <w14:textFill>
                  <w14:solidFill>
                    <w14:schemeClr w14:val="tx1"/>
                  </w14:solidFill>
                </w14:textFill>
              </w:rPr>
            </w:pPr>
          </w:p>
        </w:tc>
        <w:tc>
          <w:tcPr>
            <w:tcW w:w="1445" w:type="dxa"/>
            <w:vAlign w:val="center"/>
          </w:tcPr>
          <w:p w14:paraId="3DD1CA1A">
            <w:pPr>
              <w:pageBreakBefore w:val="0"/>
              <w:widowControl/>
              <w:kinsoku/>
              <w:wordWrap/>
              <w:overflowPunct/>
              <w:topLinePunct w:val="0"/>
              <w:bidi w:val="0"/>
              <w:spacing w:line="240" w:lineRule="exact"/>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资产总额(Z)</w:t>
            </w:r>
          </w:p>
        </w:tc>
        <w:tc>
          <w:tcPr>
            <w:tcW w:w="748" w:type="dxa"/>
            <w:vAlign w:val="center"/>
          </w:tcPr>
          <w:p w14:paraId="3443117A">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88" w:type="dxa"/>
            <w:vAlign w:val="center"/>
          </w:tcPr>
          <w:p w14:paraId="0C023A7C">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Z≥80000</w:t>
            </w:r>
          </w:p>
        </w:tc>
        <w:tc>
          <w:tcPr>
            <w:tcW w:w="1796" w:type="dxa"/>
            <w:vAlign w:val="center"/>
          </w:tcPr>
          <w:p w14:paraId="4C8A4D43">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5000≤Z＜80000</w:t>
            </w:r>
          </w:p>
        </w:tc>
        <w:tc>
          <w:tcPr>
            <w:tcW w:w="1505" w:type="dxa"/>
            <w:vAlign w:val="center"/>
          </w:tcPr>
          <w:p w14:paraId="70C2CF3D">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300≤Z＜5000</w:t>
            </w:r>
          </w:p>
        </w:tc>
        <w:tc>
          <w:tcPr>
            <w:tcW w:w="1047" w:type="dxa"/>
            <w:vAlign w:val="center"/>
          </w:tcPr>
          <w:p w14:paraId="7C95576F">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Z＜300</w:t>
            </w:r>
          </w:p>
        </w:tc>
      </w:tr>
      <w:tr w14:paraId="1993A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563F37DC">
            <w:pPr>
              <w:pageBreakBefore w:val="0"/>
              <w:widowControl/>
              <w:kinsoku/>
              <w:wordWrap/>
              <w:overflowPunct/>
              <w:topLinePunct w:val="0"/>
              <w:bidi w:val="0"/>
              <w:spacing w:line="240" w:lineRule="exact"/>
              <w:jc w:val="left"/>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批发业</w:t>
            </w:r>
          </w:p>
        </w:tc>
        <w:tc>
          <w:tcPr>
            <w:tcW w:w="1445" w:type="dxa"/>
            <w:vAlign w:val="center"/>
          </w:tcPr>
          <w:p w14:paraId="524EC87D">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748" w:type="dxa"/>
            <w:vAlign w:val="center"/>
          </w:tcPr>
          <w:p w14:paraId="336E4DE2">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88" w:type="dxa"/>
            <w:vAlign w:val="center"/>
          </w:tcPr>
          <w:p w14:paraId="29AEB537">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X≥200</w:t>
            </w:r>
          </w:p>
        </w:tc>
        <w:tc>
          <w:tcPr>
            <w:tcW w:w="1796" w:type="dxa"/>
            <w:vAlign w:val="center"/>
          </w:tcPr>
          <w:p w14:paraId="2E6AB7DA">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20≤X＜200</w:t>
            </w:r>
          </w:p>
        </w:tc>
        <w:tc>
          <w:tcPr>
            <w:tcW w:w="1505" w:type="dxa"/>
            <w:vAlign w:val="center"/>
          </w:tcPr>
          <w:p w14:paraId="4F1BFADD">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5≤X＜20</w:t>
            </w:r>
          </w:p>
        </w:tc>
        <w:tc>
          <w:tcPr>
            <w:tcW w:w="1047" w:type="dxa"/>
            <w:vAlign w:val="center"/>
          </w:tcPr>
          <w:p w14:paraId="7F73D3DC">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X＜5</w:t>
            </w:r>
          </w:p>
        </w:tc>
      </w:tr>
      <w:tr w14:paraId="46A8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5199A5C9">
            <w:pPr>
              <w:pageBreakBefore w:val="0"/>
              <w:widowControl/>
              <w:kinsoku/>
              <w:wordWrap/>
              <w:overflowPunct/>
              <w:topLinePunct w:val="0"/>
              <w:bidi w:val="0"/>
              <w:jc w:val="left"/>
              <w:outlineLvl w:val="9"/>
              <w:rPr>
                <w:rFonts w:ascii="宋体" w:hAnsi="宋体" w:cs="宋体"/>
                <w:color w:val="000000" w:themeColor="text1"/>
                <w:kern w:val="0"/>
                <w:sz w:val="18"/>
                <w:szCs w:val="18"/>
                <w:highlight w:val="none"/>
                <w14:textFill>
                  <w14:solidFill>
                    <w14:schemeClr w14:val="tx1"/>
                  </w14:solidFill>
                </w14:textFill>
              </w:rPr>
            </w:pPr>
          </w:p>
        </w:tc>
        <w:tc>
          <w:tcPr>
            <w:tcW w:w="1445" w:type="dxa"/>
            <w:vAlign w:val="center"/>
          </w:tcPr>
          <w:p w14:paraId="0E79E897">
            <w:pPr>
              <w:pageBreakBefore w:val="0"/>
              <w:widowControl/>
              <w:kinsoku/>
              <w:wordWrap/>
              <w:overflowPunct/>
              <w:topLinePunct w:val="0"/>
              <w:bidi w:val="0"/>
              <w:spacing w:line="240" w:lineRule="exact"/>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48" w:type="dxa"/>
            <w:vAlign w:val="center"/>
          </w:tcPr>
          <w:p w14:paraId="75DC90CA">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88" w:type="dxa"/>
            <w:vAlign w:val="center"/>
          </w:tcPr>
          <w:p w14:paraId="29AB8E78">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Y≥40000</w:t>
            </w:r>
          </w:p>
        </w:tc>
        <w:tc>
          <w:tcPr>
            <w:tcW w:w="1796" w:type="dxa"/>
            <w:vAlign w:val="center"/>
          </w:tcPr>
          <w:p w14:paraId="35855973">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5000≤Y＜40000</w:t>
            </w:r>
          </w:p>
        </w:tc>
        <w:tc>
          <w:tcPr>
            <w:tcW w:w="1505" w:type="dxa"/>
            <w:vAlign w:val="center"/>
          </w:tcPr>
          <w:p w14:paraId="57C57208">
            <w:pPr>
              <w:pageBreakBefore w:val="0"/>
              <w:widowControl/>
              <w:kinsoku/>
              <w:wordWrap/>
              <w:overflowPunct/>
              <w:topLinePunct w:val="0"/>
              <w:bidi w:val="0"/>
              <w:ind w:left="-1" w:leftChars="-1" w:hanging="1"/>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1000≤Y＜5000</w:t>
            </w:r>
          </w:p>
        </w:tc>
        <w:tc>
          <w:tcPr>
            <w:tcW w:w="1047" w:type="dxa"/>
            <w:vAlign w:val="center"/>
          </w:tcPr>
          <w:p w14:paraId="4CB49444">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Y＜1000</w:t>
            </w:r>
          </w:p>
        </w:tc>
      </w:tr>
      <w:tr w14:paraId="297B6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5710C4C2">
            <w:pPr>
              <w:pageBreakBefore w:val="0"/>
              <w:widowControl/>
              <w:kinsoku/>
              <w:wordWrap/>
              <w:overflowPunct/>
              <w:topLinePunct w:val="0"/>
              <w:bidi w:val="0"/>
              <w:spacing w:line="240" w:lineRule="exact"/>
              <w:jc w:val="left"/>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零售业</w:t>
            </w:r>
          </w:p>
        </w:tc>
        <w:tc>
          <w:tcPr>
            <w:tcW w:w="1445" w:type="dxa"/>
            <w:vAlign w:val="center"/>
          </w:tcPr>
          <w:p w14:paraId="39593539">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748" w:type="dxa"/>
            <w:vAlign w:val="center"/>
          </w:tcPr>
          <w:p w14:paraId="2E5B9104">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88" w:type="dxa"/>
            <w:vAlign w:val="center"/>
          </w:tcPr>
          <w:p w14:paraId="09D720F8">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X≥300</w:t>
            </w:r>
          </w:p>
        </w:tc>
        <w:tc>
          <w:tcPr>
            <w:tcW w:w="1796" w:type="dxa"/>
            <w:vAlign w:val="center"/>
          </w:tcPr>
          <w:p w14:paraId="1D188DC2">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50≤X＜300</w:t>
            </w:r>
          </w:p>
        </w:tc>
        <w:tc>
          <w:tcPr>
            <w:tcW w:w="1505" w:type="dxa"/>
            <w:vAlign w:val="center"/>
          </w:tcPr>
          <w:p w14:paraId="5202FFC7">
            <w:pPr>
              <w:pageBreakBefore w:val="0"/>
              <w:widowControl/>
              <w:kinsoku/>
              <w:wordWrap/>
              <w:overflowPunct/>
              <w:topLinePunct w:val="0"/>
              <w:bidi w:val="0"/>
              <w:ind w:left="-1" w:leftChars="-1" w:hanging="1"/>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10≤X＜50 </w:t>
            </w:r>
          </w:p>
        </w:tc>
        <w:tc>
          <w:tcPr>
            <w:tcW w:w="1047" w:type="dxa"/>
            <w:vAlign w:val="center"/>
          </w:tcPr>
          <w:p w14:paraId="581B46E4">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w:t>
            </w:r>
          </w:p>
        </w:tc>
      </w:tr>
      <w:tr w14:paraId="64C0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7ECE4898">
            <w:pPr>
              <w:pageBreakBefore w:val="0"/>
              <w:widowControl/>
              <w:kinsoku/>
              <w:wordWrap/>
              <w:overflowPunct/>
              <w:topLinePunct w:val="0"/>
              <w:bidi w:val="0"/>
              <w:jc w:val="left"/>
              <w:outlineLvl w:val="9"/>
              <w:rPr>
                <w:rFonts w:ascii="宋体" w:hAnsi="宋体" w:cs="宋体"/>
                <w:color w:val="000000" w:themeColor="text1"/>
                <w:kern w:val="0"/>
                <w:sz w:val="18"/>
                <w:szCs w:val="18"/>
                <w:highlight w:val="none"/>
                <w14:textFill>
                  <w14:solidFill>
                    <w14:schemeClr w14:val="tx1"/>
                  </w14:solidFill>
                </w14:textFill>
              </w:rPr>
            </w:pPr>
          </w:p>
        </w:tc>
        <w:tc>
          <w:tcPr>
            <w:tcW w:w="1445" w:type="dxa"/>
            <w:vAlign w:val="center"/>
          </w:tcPr>
          <w:p w14:paraId="4AC3E0F6">
            <w:pPr>
              <w:pageBreakBefore w:val="0"/>
              <w:widowControl/>
              <w:kinsoku/>
              <w:wordWrap/>
              <w:overflowPunct/>
              <w:topLinePunct w:val="0"/>
              <w:bidi w:val="0"/>
              <w:spacing w:line="240" w:lineRule="exact"/>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48" w:type="dxa"/>
            <w:vAlign w:val="center"/>
          </w:tcPr>
          <w:p w14:paraId="579A0D04">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88" w:type="dxa"/>
            <w:vAlign w:val="center"/>
          </w:tcPr>
          <w:p w14:paraId="4BF22F83">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Y≥20000</w:t>
            </w:r>
          </w:p>
        </w:tc>
        <w:tc>
          <w:tcPr>
            <w:tcW w:w="1796" w:type="dxa"/>
            <w:vAlign w:val="center"/>
          </w:tcPr>
          <w:p w14:paraId="2515A55C">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500≤Y＜20000</w:t>
            </w:r>
          </w:p>
        </w:tc>
        <w:tc>
          <w:tcPr>
            <w:tcW w:w="1505" w:type="dxa"/>
            <w:vAlign w:val="center"/>
          </w:tcPr>
          <w:p w14:paraId="4A757C0F">
            <w:pPr>
              <w:pageBreakBefore w:val="0"/>
              <w:widowControl/>
              <w:kinsoku/>
              <w:wordWrap/>
              <w:overflowPunct/>
              <w:topLinePunct w:val="0"/>
              <w:bidi w:val="0"/>
              <w:ind w:left="-1" w:leftChars="-1" w:hanging="1"/>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100≤Y＜500</w:t>
            </w:r>
          </w:p>
        </w:tc>
        <w:tc>
          <w:tcPr>
            <w:tcW w:w="1047" w:type="dxa"/>
            <w:vAlign w:val="center"/>
          </w:tcPr>
          <w:p w14:paraId="182529C9">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w:t>
            </w:r>
          </w:p>
        </w:tc>
      </w:tr>
      <w:tr w14:paraId="7997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543D476A">
            <w:pPr>
              <w:pageBreakBefore w:val="0"/>
              <w:widowControl/>
              <w:kinsoku/>
              <w:wordWrap/>
              <w:overflowPunct/>
              <w:topLinePunct w:val="0"/>
              <w:bidi w:val="0"/>
              <w:spacing w:line="240" w:lineRule="exact"/>
              <w:jc w:val="left"/>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交通运输业 *</w:t>
            </w:r>
          </w:p>
        </w:tc>
        <w:tc>
          <w:tcPr>
            <w:tcW w:w="1445" w:type="dxa"/>
            <w:vAlign w:val="center"/>
          </w:tcPr>
          <w:p w14:paraId="4DE99236">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748" w:type="dxa"/>
            <w:vAlign w:val="center"/>
          </w:tcPr>
          <w:p w14:paraId="149B0041">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88" w:type="dxa"/>
            <w:vAlign w:val="center"/>
          </w:tcPr>
          <w:p w14:paraId="196580E7">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X≥1000</w:t>
            </w:r>
          </w:p>
        </w:tc>
        <w:tc>
          <w:tcPr>
            <w:tcW w:w="1796" w:type="dxa"/>
            <w:vAlign w:val="center"/>
          </w:tcPr>
          <w:p w14:paraId="660ED5BD">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300≤X＜1000</w:t>
            </w:r>
          </w:p>
        </w:tc>
        <w:tc>
          <w:tcPr>
            <w:tcW w:w="1505" w:type="dxa"/>
            <w:vAlign w:val="center"/>
          </w:tcPr>
          <w:p w14:paraId="622A99DC">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20≤X＜300</w:t>
            </w:r>
          </w:p>
        </w:tc>
        <w:tc>
          <w:tcPr>
            <w:tcW w:w="1047" w:type="dxa"/>
            <w:vAlign w:val="center"/>
          </w:tcPr>
          <w:p w14:paraId="175D83D6">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X＜20</w:t>
            </w:r>
          </w:p>
        </w:tc>
      </w:tr>
      <w:tr w14:paraId="4794F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403DB08F">
            <w:pPr>
              <w:pageBreakBefore w:val="0"/>
              <w:widowControl/>
              <w:kinsoku/>
              <w:wordWrap/>
              <w:overflowPunct/>
              <w:topLinePunct w:val="0"/>
              <w:bidi w:val="0"/>
              <w:jc w:val="left"/>
              <w:outlineLvl w:val="9"/>
              <w:rPr>
                <w:rFonts w:ascii="宋体" w:hAnsi="宋体" w:cs="宋体"/>
                <w:color w:val="000000" w:themeColor="text1"/>
                <w:kern w:val="0"/>
                <w:sz w:val="18"/>
                <w:szCs w:val="18"/>
                <w:highlight w:val="none"/>
                <w14:textFill>
                  <w14:solidFill>
                    <w14:schemeClr w14:val="tx1"/>
                  </w14:solidFill>
                </w14:textFill>
              </w:rPr>
            </w:pPr>
          </w:p>
        </w:tc>
        <w:tc>
          <w:tcPr>
            <w:tcW w:w="1445" w:type="dxa"/>
            <w:vAlign w:val="center"/>
          </w:tcPr>
          <w:p w14:paraId="19AB2429">
            <w:pPr>
              <w:pageBreakBefore w:val="0"/>
              <w:widowControl/>
              <w:kinsoku/>
              <w:wordWrap/>
              <w:overflowPunct/>
              <w:topLinePunct w:val="0"/>
              <w:bidi w:val="0"/>
              <w:spacing w:line="240" w:lineRule="exact"/>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48" w:type="dxa"/>
            <w:vAlign w:val="center"/>
          </w:tcPr>
          <w:p w14:paraId="5596F3F0">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88" w:type="dxa"/>
            <w:vAlign w:val="center"/>
          </w:tcPr>
          <w:p w14:paraId="1B191D20">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Y≥30000</w:t>
            </w:r>
          </w:p>
        </w:tc>
        <w:tc>
          <w:tcPr>
            <w:tcW w:w="1796" w:type="dxa"/>
            <w:vAlign w:val="center"/>
          </w:tcPr>
          <w:p w14:paraId="2D7F0D6C">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3000≤Y＜30000</w:t>
            </w:r>
          </w:p>
        </w:tc>
        <w:tc>
          <w:tcPr>
            <w:tcW w:w="1505" w:type="dxa"/>
            <w:vAlign w:val="center"/>
          </w:tcPr>
          <w:p w14:paraId="7E32B5EE">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200≤Y＜3000</w:t>
            </w:r>
          </w:p>
        </w:tc>
        <w:tc>
          <w:tcPr>
            <w:tcW w:w="1047" w:type="dxa"/>
            <w:vAlign w:val="center"/>
          </w:tcPr>
          <w:p w14:paraId="7A7A7986">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Y＜200</w:t>
            </w:r>
          </w:p>
        </w:tc>
      </w:tr>
      <w:tr w14:paraId="2129F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38281D33">
            <w:pPr>
              <w:pageBreakBefore w:val="0"/>
              <w:widowControl/>
              <w:kinsoku/>
              <w:wordWrap/>
              <w:overflowPunct/>
              <w:topLinePunct w:val="0"/>
              <w:bidi w:val="0"/>
              <w:spacing w:line="240" w:lineRule="exact"/>
              <w:jc w:val="left"/>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仓储业*</w:t>
            </w:r>
          </w:p>
        </w:tc>
        <w:tc>
          <w:tcPr>
            <w:tcW w:w="1445" w:type="dxa"/>
            <w:vAlign w:val="center"/>
          </w:tcPr>
          <w:p w14:paraId="75F4FB4D">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748" w:type="dxa"/>
            <w:vAlign w:val="center"/>
          </w:tcPr>
          <w:p w14:paraId="5259A7A4">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88" w:type="dxa"/>
            <w:vAlign w:val="center"/>
          </w:tcPr>
          <w:p w14:paraId="5481235B">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X≥200</w:t>
            </w:r>
          </w:p>
        </w:tc>
        <w:tc>
          <w:tcPr>
            <w:tcW w:w="1796" w:type="dxa"/>
            <w:vAlign w:val="center"/>
          </w:tcPr>
          <w:p w14:paraId="79363FA8">
            <w:pPr>
              <w:pageBreakBefore w:val="0"/>
              <w:widowControl/>
              <w:kinsoku/>
              <w:wordWrap/>
              <w:overflowPunct/>
              <w:topLinePunct w:val="0"/>
              <w:bidi w:val="0"/>
              <w:ind w:left="1" w:leftChars="-51" w:hanging="108" w:hangingChars="6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100≤X＜200</w:t>
            </w:r>
          </w:p>
        </w:tc>
        <w:tc>
          <w:tcPr>
            <w:tcW w:w="1505" w:type="dxa"/>
            <w:vAlign w:val="center"/>
          </w:tcPr>
          <w:p w14:paraId="31351BEC">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20≤X＜100</w:t>
            </w:r>
          </w:p>
        </w:tc>
        <w:tc>
          <w:tcPr>
            <w:tcW w:w="1047" w:type="dxa"/>
            <w:vAlign w:val="center"/>
          </w:tcPr>
          <w:p w14:paraId="5D7D0B5E">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X＜20</w:t>
            </w:r>
          </w:p>
        </w:tc>
      </w:tr>
      <w:tr w14:paraId="7F36C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6320B64B">
            <w:pPr>
              <w:pageBreakBefore w:val="0"/>
              <w:widowControl/>
              <w:kinsoku/>
              <w:wordWrap/>
              <w:overflowPunct/>
              <w:topLinePunct w:val="0"/>
              <w:bidi w:val="0"/>
              <w:jc w:val="left"/>
              <w:outlineLvl w:val="9"/>
              <w:rPr>
                <w:rFonts w:ascii="宋体" w:hAnsi="宋体" w:cs="宋体"/>
                <w:color w:val="000000" w:themeColor="text1"/>
                <w:kern w:val="0"/>
                <w:sz w:val="18"/>
                <w:szCs w:val="18"/>
                <w:highlight w:val="none"/>
                <w14:textFill>
                  <w14:solidFill>
                    <w14:schemeClr w14:val="tx1"/>
                  </w14:solidFill>
                </w14:textFill>
              </w:rPr>
            </w:pPr>
          </w:p>
        </w:tc>
        <w:tc>
          <w:tcPr>
            <w:tcW w:w="1445" w:type="dxa"/>
            <w:vAlign w:val="center"/>
          </w:tcPr>
          <w:p w14:paraId="78FE4172">
            <w:pPr>
              <w:pageBreakBefore w:val="0"/>
              <w:widowControl/>
              <w:kinsoku/>
              <w:wordWrap/>
              <w:overflowPunct/>
              <w:topLinePunct w:val="0"/>
              <w:bidi w:val="0"/>
              <w:spacing w:line="240" w:lineRule="exact"/>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48" w:type="dxa"/>
            <w:vAlign w:val="center"/>
          </w:tcPr>
          <w:p w14:paraId="4D21A953">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88" w:type="dxa"/>
            <w:vAlign w:val="center"/>
          </w:tcPr>
          <w:p w14:paraId="1F69B92F">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Y≥30000</w:t>
            </w:r>
          </w:p>
        </w:tc>
        <w:tc>
          <w:tcPr>
            <w:tcW w:w="1796" w:type="dxa"/>
            <w:vAlign w:val="center"/>
          </w:tcPr>
          <w:p w14:paraId="35F2065C">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1000≤Y＜30000</w:t>
            </w:r>
          </w:p>
        </w:tc>
        <w:tc>
          <w:tcPr>
            <w:tcW w:w="1505" w:type="dxa"/>
            <w:vAlign w:val="center"/>
          </w:tcPr>
          <w:p w14:paraId="20EAB970">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100≤Y＜1000</w:t>
            </w:r>
          </w:p>
        </w:tc>
        <w:tc>
          <w:tcPr>
            <w:tcW w:w="1047" w:type="dxa"/>
            <w:vAlign w:val="center"/>
          </w:tcPr>
          <w:p w14:paraId="67D8B223">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w:t>
            </w:r>
          </w:p>
        </w:tc>
      </w:tr>
      <w:tr w14:paraId="7324E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73AD096D">
            <w:pPr>
              <w:pageBreakBefore w:val="0"/>
              <w:widowControl/>
              <w:kinsoku/>
              <w:wordWrap/>
              <w:overflowPunct/>
              <w:topLinePunct w:val="0"/>
              <w:bidi w:val="0"/>
              <w:spacing w:line="240" w:lineRule="exact"/>
              <w:jc w:val="left"/>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邮政业</w:t>
            </w:r>
          </w:p>
        </w:tc>
        <w:tc>
          <w:tcPr>
            <w:tcW w:w="1445" w:type="dxa"/>
            <w:vAlign w:val="center"/>
          </w:tcPr>
          <w:p w14:paraId="504F9435">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748" w:type="dxa"/>
            <w:vAlign w:val="center"/>
          </w:tcPr>
          <w:p w14:paraId="17F5879A">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88" w:type="dxa"/>
            <w:vAlign w:val="center"/>
          </w:tcPr>
          <w:p w14:paraId="415FEA53">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X≥1000</w:t>
            </w:r>
          </w:p>
        </w:tc>
        <w:tc>
          <w:tcPr>
            <w:tcW w:w="1796" w:type="dxa"/>
            <w:vAlign w:val="center"/>
          </w:tcPr>
          <w:p w14:paraId="17AD41A7">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300≤X＜1000</w:t>
            </w:r>
          </w:p>
        </w:tc>
        <w:tc>
          <w:tcPr>
            <w:tcW w:w="1505" w:type="dxa"/>
            <w:vAlign w:val="center"/>
          </w:tcPr>
          <w:p w14:paraId="6CBC72CA">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20≤X＜300</w:t>
            </w:r>
          </w:p>
        </w:tc>
        <w:tc>
          <w:tcPr>
            <w:tcW w:w="1047" w:type="dxa"/>
            <w:vAlign w:val="center"/>
          </w:tcPr>
          <w:p w14:paraId="148CA865">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X＜20</w:t>
            </w:r>
          </w:p>
        </w:tc>
      </w:tr>
      <w:tr w14:paraId="7D1C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6A715203">
            <w:pPr>
              <w:pageBreakBefore w:val="0"/>
              <w:widowControl/>
              <w:kinsoku/>
              <w:wordWrap/>
              <w:overflowPunct/>
              <w:topLinePunct w:val="0"/>
              <w:bidi w:val="0"/>
              <w:jc w:val="left"/>
              <w:outlineLvl w:val="9"/>
              <w:rPr>
                <w:rFonts w:ascii="宋体" w:hAnsi="宋体" w:cs="宋体"/>
                <w:color w:val="000000" w:themeColor="text1"/>
                <w:kern w:val="0"/>
                <w:sz w:val="18"/>
                <w:szCs w:val="18"/>
                <w:highlight w:val="none"/>
                <w14:textFill>
                  <w14:solidFill>
                    <w14:schemeClr w14:val="tx1"/>
                  </w14:solidFill>
                </w14:textFill>
              </w:rPr>
            </w:pPr>
          </w:p>
        </w:tc>
        <w:tc>
          <w:tcPr>
            <w:tcW w:w="1445" w:type="dxa"/>
            <w:vAlign w:val="center"/>
          </w:tcPr>
          <w:p w14:paraId="1864301C">
            <w:pPr>
              <w:pageBreakBefore w:val="0"/>
              <w:widowControl/>
              <w:kinsoku/>
              <w:wordWrap/>
              <w:overflowPunct/>
              <w:topLinePunct w:val="0"/>
              <w:bidi w:val="0"/>
              <w:spacing w:line="240" w:lineRule="exact"/>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48" w:type="dxa"/>
            <w:vAlign w:val="center"/>
          </w:tcPr>
          <w:p w14:paraId="56964EAE">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88" w:type="dxa"/>
            <w:vAlign w:val="center"/>
          </w:tcPr>
          <w:p w14:paraId="5F553F01">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Y≥30000</w:t>
            </w:r>
          </w:p>
        </w:tc>
        <w:tc>
          <w:tcPr>
            <w:tcW w:w="1796" w:type="dxa"/>
            <w:vAlign w:val="center"/>
          </w:tcPr>
          <w:p w14:paraId="645EE260">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2000≤Y＜30000</w:t>
            </w:r>
          </w:p>
        </w:tc>
        <w:tc>
          <w:tcPr>
            <w:tcW w:w="1505" w:type="dxa"/>
            <w:vAlign w:val="center"/>
          </w:tcPr>
          <w:p w14:paraId="271F74FD">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100≤Y＜2000</w:t>
            </w:r>
          </w:p>
        </w:tc>
        <w:tc>
          <w:tcPr>
            <w:tcW w:w="1047" w:type="dxa"/>
            <w:vAlign w:val="center"/>
          </w:tcPr>
          <w:p w14:paraId="7CD7C7E7">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w:t>
            </w:r>
          </w:p>
        </w:tc>
      </w:tr>
      <w:tr w14:paraId="18A2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56CC772A">
            <w:pPr>
              <w:pageBreakBefore w:val="0"/>
              <w:widowControl/>
              <w:kinsoku/>
              <w:wordWrap/>
              <w:overflowPunct/>
              <w:topLinePunct w:val="0"/>
              <w:bidi w:val="0"/>
              <w:spacing w:line="240" w:lineRule="exact"/>
              <w:jc w:val="left"/>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住宿业</w:t>
            </w:r>
          </w:p>
        </w:tc>
        <w:tc>
          <w:tcPr>
            <w:tcW w:w="1445" w:type="dxa"/>
            <w:vAlign w:val="center"/>
          </w:tcPr>
          <w:p w14:paraId="7D047C1E">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748" w:type="dxa"/>
            <w:vAlign w:val="center"/>
          </w:tcPr>
          <w:p w14:paraId="301A8063">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88" w:type="dxa"/>
            <w:vAlign w:val="center"/>
          </w:tcPr>
          <w:p w14:paraId="03BC289D">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X≥300</w:t>
            </w:r>
          </w:p>
        </w:tc>
        <w:tc>
          <w:tcPr>
            <w:tcW w:w="1796" w:type="dxa"/>
            <w:vAlign w:val="center"/>
          </w:tcPr>
          <w:p w14:paraId="646ECFEC">
            <w:pPr>
              <w:pageBreakBefore w:val="0"/>
              <w:widowControl/>
              <w:kinsoku/>
              <w:wordWrap/>
              <w:overflowPunct/>
              <w:topLinePunct w:val="0"/>
              <w:bidi w:val="0"/>
              <w:ind w:left="1" w:leftChars="-51" w:hanging="108" w:hangingChars="6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100≤X＜300</w:t>
            </w:r>
          </w:p>
        </w:tc>
        <w:tc>
          <w:tcPr>
            <w:tcW w:w="1505" w:type="dxa"/>
            <w:vAlign w:val="center"/>
          </w:tcPr>
          <w:p w14:paraId="0A2B761E">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10≤X＜100</w:t>
            </w:r>
          </w:p>
        </w:tc>
        <w:tc>
          <w:tcPr>
            <w:tcW w:w="1047" w:type="dxa"/>
            <w:vAlign w:val="center"/>
          </w:tcPr>
          <w:p w14:paraId="405F0729">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w:t>
            </w:r>
          </w:p>
        </w:tc>
      </w:tr>
      <w:tr w14:paraId="2159C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2B5A67B3">
            <w:pPr>
              <w:pageBreakBefore w:val="0"/>
              <w:widowControl/>
              <w:kinsoku/>
              <w:wordWrap/>
              <w:overflowPunct/>
              <w:topLinePunct w:val="0"/>
              <w:bidi w:val="0"/>
              <w:jc w:val="left"/>
              <w:outlineLvl w:val="9"/>
              <w:rPr>
                <w:rFonts w:ascii="宋体" w:hAnsi="宋体" w:cs="宋体"/>
                <w:color w:val="000000" w:themeColor="text1"/>
                <w:kern w:val="0"/>
                <w:sz w:val="18"/>
                <w:szCs w:val="18"/>
                <w:highlight w:val="none"/>
                <w14:textFill>
                  <w14:solidFill>
                    <w14:schemeClr w14:val="tx1"/>
                  </w14:solidFill>
                </w14:textFill>
              </w:rPr>
            </w:pPr>
          </w:p>
        </w:tc>
        <w:tc>
          <w:tcPr>
            <w:tcW w:w="1445" w:type="dxa"/>
            <w:vAlign w:val="center"/>
          </w:tcPr>
          <w:p w14:paraId="46490489">
            <w:pPr>
              <w:pageBreakBefore w:val="0"/>
              <w:widowControl/>
              <w:kinsoku/>
              <w:wordWrap/>
              <w:overflowPunct/>
              <w:topLinePunct w:val="0"/>
              <w:bidi w:val="0"/>
              <w:spacing w:line="240" w:lineRule="exact"/>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48" w:type="dxa"/>
            <w:vAlign w:val="center"/>
          </w:tcPr>
          <w:p w14:paraId="7A3FD2AF">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88" w:type="dxa"/>
            <w:vAlign w:val="center"/>
          </w:tcPr>
          <w:p w14:paraId="7D827862">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Y≥10000</w:t>
            </w:r>
          </w:p>
        </w:tc>
        <w:tc>
          <w:tcPr>
            <w:tcW w:w="1796" w:type="dxa"/>
            <w:vAlign w:val="center"/>
          </w:tcPr>
          <w:p w14:paraId="11514EB3">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2000≤Y＜10000</w:t>
            </w:r>
          </w:p>
        </w:tc>
        <w:tc>
          <w:tcPr>
            <w:tcW w:w="1505" w:type="dxa"/>
            <w:vAlign w:val="center"/>
          </w:tcPr>
          <w:p w14:paraId="7744EFAF">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100≤Y＜2000</w:t>
            </w:r>
          </w:p>
        </w:tc>
        <w:tc>
          <w:tcPr>
            <w:tcW w:w="1047" w:type="dxa"/>
            <w:vAlign w:val="center"/>
          </w:tcPr>
          <w:p w14:paraId="2AABF16E">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w:t>
            </w:r>
          </w:p>
        </w:tc>
      </w:tr>
      <w:tr w14:paraId="2CDDD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0D7345C6">
            <w:pPr>
              <w:pageBreakBefore w:val="0"/>
              <w:widowControl/>
              <w:kinsoku/>
              <w:wordWrap/>
              <w:overflowPunct/>
              <w:topLinePunct w:val="0"/>
              <w:bidi w:val="0"/>
              <w:spacing w:line="240" w:lineRule="exact"/>
              <w:jc w:val="left"/>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餐饮业</w:t>
            </w:r>
          </w:p>
        </w:tc>
        <w:tc>
          <w:tcPr>
            <w:tcW w:w="1445" w:type="dxa"/>
            <w:vAlign w:val="center"/>
          </w:tcPr>
          <w:p w14:paraId="1A486D43">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748" w:type="dxa"/>
            <w:vAlign w:val="center"/>
          </w:tcPr>
          <w:p w14:paraId="67945CE2">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88" w:type="dxa"/>
            <w:vAlign w:val="center"/>
          </w:tcPr>
          <w:p w14:paraId="41BC371F">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X≥300</w:t>
            </w:r>
          </w:p>
        </w:tc>
        <w:tc>
          <w:tcPr>
            <w:tcW w:w="1796" w:type="dxa"/>
            <w:vAlign w:val="center"/>
          </w:tcPr>
          <w:p w14:paraId="6C9B851D">
            <w:pPr>
              <w:pageBreakBefore w:val="0"/>
              <w:widowControl/>
              <w:kinsoku/>
              <w:wordWrap/>
              <w:overflowPunct/>
              <w:topLinePunct w:val="0"/>
              <w:bidi w:val="0"/>
              <w:ind w:left="1" w:leftChars="-51" w:hanging="108" w:hangingChars="6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100≤X＜300 </w:t>
            </w:r>
          </w:p>
        </w:tc>
        <w:tc>
          <w:tcPr>
            <w:tcW w:w="1505" w:type="dxa"/>
            <w:vAlign w:val="center"/>
          </w:tcPr>
          <w:p w14:paraId="254E961C">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10≤X＜100</w:t>
            </w:r>
          </w:p>
        </w:tc>
        <w:tc>
          <w:tcPr>
            <w:tcW w:w="1047" w:type="dxa"/>
            <w:vAlign w:val="center"/>
          </w:tcPr>
          <w:p w14:paraId="52E16B4A">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w:t>
            </w:r>
          </w:p>
        </w:tc>
      </w:tr>
      <w:tr w14:paraId="3D91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5645890E">
            <w:pPr>
              <w:pageBreakBefore w:val="0"/>
              <w:widowControl/>
              <w:kinsoku/>
              <w:wordWrap/>
              <w:overflowPunct/>
              <w:topLinePunct w:val="0"/>
              <w:bidi w:val="0"/>
              <w:jc w:val="left"/>
              <w:outlineLvl w:val="9"/>
              <w:rPr>
                <w:rFonts w:ascii="宋体" w:hAnsi="宋体" w:cs="宋体"/>
                <w:color w:val="000000" w:themeColor="text1"/>
                <w:kern w:val="0"/>
                <w:sz w:val="18"/>
                <w:szCs w:val="18"/>
                <w:highlight w:val="none"/>
                <w14:textFill>
                  <w14:solidFill>
                    <w14:schemeClr w14:val="tx1"/>
                  </w14:solidFill>
                </w14:textFill>
              </w:rPr>
            </w:pPr>
          </w:p>
        </w:tc>
        <w:tc>
          <w:tcPr>
            <w:tcW w:w="1445" w:type="dxa"/>
            <w:vAlign w:val="center"/>
          </w:tcPr>
          <w:p w14:paraId="44A7D286">
            <w:pPr>
              <w:pageBreakBefore w:val="0"/>
              <w:widowControl/>
              <w:kinsoku/>
              <w:wordWrap/>
              <w:overflowPunct/>
              <w:topLinePunct w:val="0"/>
              <w:bidi w:val="0"/>
              <w:spacing w:line="240" w:lineRule="exact"/>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48" w:type="dxa"/>
            <w:vAlign w:val="center"/>
          </w:tcPr>
          <w:p w14:paraId="754442DB">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88" w:type="dxa"/>
            <w:vAlign w:val="center"/>
          </w:tcPr>
          <w:p w14:paraId="56C5C624">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Y≥10000</w:t>
            </w:r>
          </w:p>
        </w:tc>
        <w:tc>
          <w:tcPr>
            <w:tcW w:w="1796" w:type="dxa"/>
            <w:vAlign w:val="center"/>
          </w:tcPr>
          <w:p w14:paraId="7C4F3335">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2000≤Y＜10000</w:t>
            </w:r>
          </w:p>
        </w:tc>
        <w:tc>
          <w:tcPr>
            <w:tcW w:w="1505" w:type="dxa"/>
            <w:vAlign w:val="center"/>
          </w:tcPr>
          <w:p w14:paraId="056C7A2F">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100≤Y＜2000</w:t>
            </w:r>
          </w:p>
        </w:tc>
        <w:tc>
          <w:tcPr>
            <w:tcW w:w="1047" w:type="dxa"/>
            <w:vAlign w:val="center"/>
          </w:tcPr>
          <w:p w14:paraId="2D980F5A">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w:t>
            </w:r>
          </w:p>
        </w:tc>
      </w:tr>
      <w:tr w14:paraId="02445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1C3E0655">
            <w:pPr>
              <w:pageBreakBefore w:val="0"/>
              <w:widowControl/>
              <w:kinsoku/>
              <w:wordWrap/>
              <w:overflowPunct/>
              <w:topLinePunct w:val="0"/>
              <w:bidi w:val="0"/>
              <w:spacing w:line="240" w:lineRule="exact"/>
              <w:jc w:val="left"/>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信息传输业 *</w:t>
            </w:r>
          </w:p>
        </w:tc>
        <w:tc>
          <w:tcPr>
            <w:tcW w:w="1445" w:type="dxa"/>
            <w:vAlign w:val="center"/>
          </w:tcPr>
          <w:p w14:paraId="1285B31D">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748" w:type="dxa"/>
            <w:vAlign w:val="center"/>
          </w:tcPr>
          <w:p w14:paraId="2E3516E9">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88" w:type="dxa"/>
            <w:vAlign w:val="center"/>
          </w:tcPr>
          <w:p w14:paraId="45BCA509">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X≥2000</w:t>
            </w:r>
          </w:p>
        </w:tc>
        <w:tc>
          <w:tcPr>
            <w:tcW w:w="1796" w:type="dxa"/>
            <w:vAlign w:val="center"/>
          </w:tcPr>
          <w:p w14:paraId="7114338B">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100≤X＜2000</w:t>
            </w:r>
          </w:p>
        </w:tc>
        <w:tc>
          <w:tcPr>
            <w:tcW w:w="1505" w:type="dxa"/>
            <w:vAlign w:val="center"/>
          </w:tcPr>
          <w:p w14:paraId="2F0A3D34">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10≤X＜100</w:t>
            </w:r>
          </w:p>
        </w:tc>
        <w:tc>
          <w:tcPr>
            <w:tcW w:w="1047" w:type="dxa"/>
            <w:vAlign w:val="center"/>
          </w:tcPr>
          <w:p w14:paraId="36DAC856">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w:t>
            </w:r>
          </w:p>
        </w:tc>
      </w:tr>
      <w:tr w14:paraId="64358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133A5B93">
            <w:pPr>
              <w:pageBreakBefore w:val="0"/>
              <w:widowControl/>
              <w:kinsoku/>
              <w:wordWrap/>
              <w:overflowPunct/>
              <w:topLinePunct w:val="0"/>
              <w:bidi w:val="0"/>
              <w:jc w:val="left"/>
              <w:outlineLvl w:val="9"/>
              <w:rPr>
                <w:rFonts w:ascii="宋体" w:hAnsi="宋体" w:cs="宋体"/>
                <w:color w:val="000000" w:themeColor="text1"/>
                <w:kern w:val="0"/>
                <w:sz w:val="18"/>
                <w:szCs w:val="18"/>
                <w:highlight w:val="none"/>
                <w14:textFill>
                  <w14:solidFill>
                    <w14:schemeClr w14:val="tx1"/>
                  </w14:solidFill>
                </w14:textFill>
              </w:rPr>
            </w:pPr>
          </w:p>
        </w:tc>
        <w:tc>
          <w:tcPr>
            <w:tcW w:w="1445" w:type="dxa"/>
            <w:vAlign w:val="center"/>
          </w:tcPr>
          <w:p w14:paraId="40D7C9A8">
            <w:pPr>
              <w:pageBreakBefore w:val="0"/>
              <w:widowControl/>
              <w:kinsoku/>
              <w:wordWrap/>
              <w:overflowPunct/>
              <w:topLinePunct w:val="0"/>
              <w:bidi w:val="0"/>
              <w:spacing w:line="240" w:lineRule="exact"/>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48" w:type="dxa"/>
            <w:vAlign w:val="center"/>
          </w:tcPr>
          <w:p w14:paraId="316005CD">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88" w:type="dxa"/>
            <w:vAlign w:val="center"/>
          </w:tcPr>
          <w:p w14:paraId="4BCB6629">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Y≥100000</w:t>
            </w:r>
          </w:p>
        </w:tc>
        <w:tc>
          <w:tcPr>
            <w:tcW w:w="1796" w:type="dxa"/>
            <w:vAlign w:val="center"/>
          </w:tcPr>
          <w:p w14:paraId="551B00D2">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1000≤Y＜100000</w:t>
            </w:r>
          </w:p>
        </w:tc>
        <w:tc>
          <w:tcPr>
            <w:tcW w:w="1505" w:type="dxa"/>
            <w:vAlign w:val="center"/>
          </w:tcPr>
          <w:p w14:paraId="07FB4E89">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100≤Y＜1000</w:t>
            </w:r>
          </w:p>
        </w:tc>
        <w:tc>
          <w:tcPr>
            <w:tcW w:w="1047" w:type="dxa"/>
            <w:vAlign w:val="center"/>
          </w:tcPr>
          <w:p w14:paraId="4F0093DE">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w:t>
            </w:r>
          </w:p>
        </w:tc>
      </w:tr>
      <w:tr w14:paraId="04F80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vAlign w:val="center"/>
          </w:tcPr>
          <w:p w14:paraId="75239482">
            <w:pPr>
              <w:pageBreakBefore w:val="0"/>
              <w:widowControl/>
              <w:kinsoku/>
              <w:wordWrap/>
              <w:overflowPunct/>
              <w:topLinePunct w:val="0"/>
              <w:bidi w:val="0"/>
              <w:spacing w:line="240" w:lineRule="exact"/>
              <w:jc w:val="left"/>
              <w:outlineLvl w:val="9"/>
              <w:rPr>
                <w:rFonts w:hint="eastAsia" w:ascii="宋体" w:hAnsi="宋体" w:eastAsia="宋体" w:cs="宋体"/>
                <w:color w:val="000000" w:themeColor="text1"/>
                <w:spacing w:val="-12"/>
                <w:kern w:val="0"/>
                <w:sz w:val="18"/>
                <w:szCs w:val="18"/>
                <w:highlight w:val="none"/>
                <w:lang w:eastAsia="zh-CN"/>
                <w14:textFill>
                  <w14:solidFill>
                    <w14:schemeClr w14:val="tx1"/>
                  </w14:solidFill>
                </w14:textFill>
              </w:rPr>
            </w:pPr>
            <w:r>
              <w:rPr>
                <w:rFonts w:hint="eastAsia" w:ascii="宋体" w:hAnsi="宋体" w:cs="宋体"/>
                <w:color w:val="000000" w:themeColor="text1"/>
                <w:spacing w:val="-12"/>
                <w:kern w:val="0"/>
                <w:sz w:val="18"/>
                <w:szCs w:val="18"/>
                <w:highlight w:val="none"/>
                <w:lang w:eastAsia="zh-CN"/>
                <w14:textFill>
                  <w14:solidFill>
                    <w14:schemeClr w14:val="tx1"/>
                  </w14:solidFill>
                </w14:textFill>
              </w:rPr>
              <w:t>其他末列明行业</w:t>
            </w:r>
          </w:p>
        </w:tc>
        <w:tc>
          <w:tcPr>
            <w:tcW w:w="1445" w:type="dxa"/>
            <w:vAlign w:val="center"/>
          </w:tcPr>
          <w:p w14:paraId="710540ED">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748" w:type="dxa"/>
            <w:vAlign w:val="center"/>
          </w:tcPr>
          <w:p w14:paraId="7198AE1E">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88" w:type="dxa"/>
            <w:vAlign w:val="center"/>
          </w:tcPr>
          <w:p w14:paraId="095CB601">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X≥300</w:t>
            </w:r>
          </w:p>
        </w:tc>
        <w:tc>
          <w:tcPr>
            <w:tcW w:w="1796" w:type="dxa"/>
            <w:vAlign w:val="center"/>
          </w:tcPr>
          <w:p w14:paraId="44BEF6A4">
            <w:pPr>
              <w:pageBreakBefore w:val="0"/>
              <w:widowControl/>
              <w:kinsoku/>
              <w:wordWrap/>
              <w:overflowPunct/>
              <w:topLinePunct w:val="0"/>
              <w:bidi w:val="0"/>
              <w:ind w:left="1" w:leftChars="-51" w:hanging="108" w:hangingChars="6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100≤X＜300 </w:t>
            </w:r>
          </w:p>
        </w:tc>
        <w:tc>
          <w:tcPr>
            <w:tcW w:w="1505" w:type="dxa"/>
            <w:vAlign w:val="center"/>
          </w:tcPr>
          <w:p w14:paraId="6D08C6D8">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10≤X＜100</w:t>
            </w:r>
          </w:p>
        </w:tc>
        <w:tc>
          <w:tcPr>
            <w:tcW w:w="1047" w:type="dxa"/>
            <w:vAlign w:val="center"/>
          </w:tcPr>
          <w:p w14:paraId="04C14170">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w:t>
            </w:r>
          </w:p>
        </w:tc>
      </w:tr>
      <w:tr w14:paraId="774A4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vAlign w:val="center"/>
          </w:tcPr>
          <w:p w14:paraId="3A499031">
            <w:pPr>
              <w:pageBreakBefore w:val="0"/>
              <w:widowControl/>
              <w:kinsoku/>
              <w:wordWrap/>
              <w:overflowPunct/>
              <w:topLinePunct w:val="0"/>
              <w:bidi w:val="0"/>
              <w:jc w:val="left"/>
              <w:outlineLvl w:val="9"/>
              <w:rPr>
                <w:rFonts w:ascii="宋体" w:hAnsi="宋体" w:cs="宋体"/>
                <w:color w:val="000000" w:themeColor="text1"/>
                <w:spacing w:val="-12"/>
                <w:kern w:val="0"/>
                <w:sz w:val="18"/>
                <w:szCs w:val="18"/>
                <w:highlight w:val="none"/>
                <w14:textFill>
                  <w14:solidFill>
                    <w14:schemeClr w14:val="tx1"/>
                  </w14:solidFill>
                </w14:textFill>
              </w:rPr>
            </w:pPr>
          </w:p>
        </w:tc>
        <w:tc>
          <w:tcPr>
            <w:tcW w:w="1445" w:type="dxa"/>
            <w:vAlign w:val="center"/>
          </w:tcPr>
          <w:p w14:paraId="332D8670">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48" w:type="dxa"/>
            <w:vAlign w:val="center"/>
          </w:tcPr>
          <w:p w14:paraId="748B39F8">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88" w:type="dxa"/>
            <w:vAlign w:val="center"/>
          </w:tcPr>
          <w:p w14:paraId="1C3BE3A5">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Y≥10000</w:t>
            </w:r>
          </w:p>
        </w:tc>
        <w:tc>
          <w:tcPr>
            <w:tcW w:w="1796" w:type="dxa"/>
            <w:vAlign w:val="center"/>
          </w:tcPr>
          <w:p w14:paraId="4098F0DB">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1000≤Y＜10000</w:t>
            </w:r>
          </w:p>
        </w:tc>
        <w:tc>
          <w:tcPr>
            <w:tcW w:w="1505" w:type="dxa"/>
            <w:vAlign w:val="center"/>
          </w:tcPr>
          <w:p w14:paraId="465CD913">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50≤Y＜1000</w:t>
            </w:r>
          </w:p>
        </w:tc>
        <w:tc>
          <w:tcPr>
            <w:tcW w:w="1047" w:type="dxa"/>
            <w:vAlign w:val="center"/>
          </w:tcPr>
          <w:p w14:paraId="73008DBC">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Y＜50</w:t>
            </w:r>
          </w:p>
        </w:tc>
      </w:tr>
      <w:tr w14:paraId="25EDA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vAlign w:val="center"/>
          </w:tcPr>
          <w:p w14:paraId="78397E74">
            <w:pPr>
              <w:pageBreakBefore w:val="0"/>
              <w:widowControl/>
              <w:kinsoku/>
              <w:wordWrap/>
              <w:overflowPunct/>
              <w:topLinePunct w:val="0"/>
              <w:bidi w:val="0"/>
              <w:spacing w:line="240" w:lineRule="exact"/>
              <w:jc w:val="left"/>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房地产开发经营</w:t>
            </w:r>
          </w:p>
        </w:tc>
        <w:tc>
          <w:tcPr>
            <w:tcW w:w="1445" w:type="dxa"/>
            <w:vAlign w:val="center"/>
          </w:tcPr>
          <w:p w14:paraId="50B52259">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48" w:type="dxa"/>
            <w:vAlign w:val="center"/>
          </w:tcPr>
          <w:p w14:paraId="4FF39410">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88" w:type="dxa"/>
            <w:vAlign w:val="center"/>
          </w:tcPr>
          <w:p w14:paraId="4E83FA96">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Y≥200000</w:t>
            </w:r>
          </w:p>
        </w:tc>
        <w:tc>
          <w:tcPr>
            <w:tcW w:w="1796" w:type="dxa"/>
            <w:vAlign w:val="center"/>
          </w:tcPr>
          <w:p w14:paraId="38311EFD">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1000≤Y＜200000</w:t>
            </w:r>
          </w:p>
        </w:tc>
        <w:tc>
          <w:tcPr>
            <w:tcW w:w="1505" w:type="dxa"/>
            <w:vAlign w:val="center"/>
          </w:tcPr>
          <w:p w14:paraId="4F7EA939">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100≤Y＜1000</w:t>
            </w:r>
          </w:p>
        </w:tc>
        <w:tc>
          <w:tcPr>
            <w:tcW w:w="1047" w:type="dxa"/>
            <w:vAlign w:val="center"/>
          </w:tcPr>
          <w:p w14:paraId="492EDD54">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w:t>
            </w:r>
          </w:p>
        </w:tc>
      </w:tr>
      <w:tr w14:paraId="2A50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vAlign w:val="center"/>
          </w:tcPr>
          <w:p w14:paraId="2A6E5AEF">
            <w:pPr>
              <w:pageBreakBefore w:val="0"/>
              <w:widowControl/>
              <w:kinsoku/>
              <w:wordWrap/>
              <w:overflowPunct/>
              <w:topLinePunct w:val="0"/>
              <w:bidi w:val="0"/>
              <w:jc w:val="left"/>
              <w:outlineLvl w:val="9"/>
              <w:rPr>
                <w:rFonts w:ascii="宋体" w:hAnsi="宋体" w:cs="宋体"/>
                <w:color w:val="000000" w:themeColor="text1"/>
                <w:kern w:val="0"/>
                <w:sz w:val="18"/>
                <w:szCs w:val="18"/>
                <w:highlight w:val="none"/>
                <w14:textFill>
                  <w14:solidFill>
                    <w14:schemeClr w14:val="tx1"/>
                  </w14:solidFill>
                </w14:textFill>
              </w:rPr>
            </w:pPr>
          </w:p>
        </w:tc>
        <w:tc>
          <w:tcPr>
            <w:tcW w:w="1445" w:type="dxa"/>
            <w:vAlign w:val="center"/>
          </w:tcPr>
          <w:p w14:paraId="66A340DD">
            <w:pPr>
              <w:pageBreakBefore w:val="0"/>
              <w:widowControl/>
              <w:kinsoku/>
              <w:wordWrap/>
              <w:overflowPunct/>
              <w:topLinePunct w:val="0"/>
              <w:bidi w:val="0"/>
              <w:spacing w:line="240" w:lineRule="exact"/>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资产总额(Z)</w:t>
            </w:r>
          </w:p>
        </w:tc>
        <w:tc>
          <w:tcPr>
            <w:tcW w:w="748" w:type="dxa"/>
            <w:vAlign w:val="center"/>
          </w:tcPr>
          <w:p w14:paraId="1FFC4769">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88" w:type="dxa"/>
            <w:vAlign w:val="center"/>
          </w:tcPr>
          <w:p w14:paraId="2C4C5AEA">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Z≥10000</w:t>
            </w:r>
          </w:p>
        </w:tc>
        <w:tc>
          <w:tcPr>
            <w:tcW w:w="1796" w:type="dxa"/>
            <w:vAlign w:val="center"/>
          </w:tcPr>
          <w:p w14:paraId="08489FB3">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5000≤Z＜10000</w:t>
            </w:r>
          </w:p>
        </w:tc>
        <w:tc>
          <w:tcPr>
            <w:tcW w:w="1505" w:type="dxa"/>
            <w:vAlign w:val="center"/>
          </w:tcPr>
          <w:p w14:paraId="65233D96">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2000≤Z＜5000</w:t>
            </w:r>
          </w:p>
        </w:tc>
        <w:tc>
          <w:tcPr>
            <w:tcW w:w="1047" w:type="dxa"/>
            <w:vAlign w:val="center"/>
          </w:tcPr>
          <w:p w14:paraId="13FEA01A">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Z＜2000</w:t>
            </w:r>
          </w:p>
        </w:tc>
      </w:tr>
      <w:tr w14:paraId="5995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vAlign w:val="center"/>
          </w:tcPr>
          <w:p w14:paraId="7637A2E0">
            <w:pPr>
              <w:pageBreakBefore w:val="0"/>
              <w:widowControl/>
              <w:kinsoku/>
              <w:wordWrap/>
              <w:overflowPunct/>
              <w:topLinePunct w:val="0"/>
              <w:bidi w:val="0"/>
              <w:spacing w:line="240" w:lineRule="exact"/>
              <w:jc w:val="left"/>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物业管理</w:t>
            </w:r>
          </w:p>
        </w:tc>
        <w:tc>
          <w:tcPr>
            <w:tcW w:w="1445" w:type="dxa"/>
            <w:vAlign w:val="center"/>
          </w:tcPr>
          <w:p w14:paraId="4F707458">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748" w:type="dxa"/>
            <w:vAlign w:val="center"/>
          </w:tcPr>
          <w:p w14:paraId="282C2F4F">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88" w:type="dxa"/>
            <w:vAlign w:val="center"/>
          </w:tcPr>
          <w:p w14:paraId="421FAD49">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X≥1000</w:t>
            </w:r>
          </w:p>
        </w:tc>
        <w:tc>
          <w:tcPr>
            <w:tcW w:w="1796" w:type="dxa"/>
            <w:vAlign w:val="center"/>
          </w:tcPr>
          <w:p w14:paraId="54479D37">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300≤X＜1000</w:t>
            </w:r>
          </w:p>
        </w:tc>
        <w:tc>
          <w:tcPr>
            <w:tcW w:w="1505" w:type="dxa"/>
            <w:vAlign w:val="center"/>
          </w:tcPr>
          <w:p w14:paraId="5A671CB2">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100≤X＜300</w:t>
            </w:r>
          </w:p>
        </w:tc>
        <w:tc>
          <w:tcPr>
            <w:tcW w:w="1047" w:type="dxa"/>
            <w:vAlign w:val="center"/>
          </w:tcPr>
          <w:p w14:paraId="40C4D113">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X＜100</w:t>
            </w:r>
          </w:p>
        </w:tc>
      </w:tr>
      <w:tr w14:paraId="03BF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vAlign w:val="center"/>
          </w:tcPr>
          <w:p w14:paraId="5B85B48C">
            <w:pPr>
              <w:pageBreakBefore w:val="0"/>
              <w:widowControl/>
              <w:kinsoku/>
              <w:wordWrap/>
              <w:overflowPunct/>
              <w:topLinePunct w:val="0"/>
              <w:bidi w:val="0"/>
              <w:jc w:val="left"/>
              <w:outlineLvl w:val="9"/>
              <w:rPr>
                <w:rFonts w:ascii="宋体" w:hAnsi="宋体" w:cs="宋体"/>
                <w:color w:val="000000" w:themeColor="text1"/>
                <w:kern w:val="0"/>
                <w:sz w:val="18"/>
                <w:szCs w:val="18"/>
                <w:highlight w:val="none"/>
                <w14:textFill>
                  <w14:solidFill>
                    <w14:schemeClr w14:val="tx1"/>
                  </w14:solidFill>
                </w14:textFill>
              </w:rPr>
            </w:pPr>
          </w:p>
        </w:tc>
        <w:tc>
          <w:tcPr>
            <w:tcW w:w="1445" w:type="dxa"/>
            <w:vAlign w:val="center"/>
          </w:tcPr>
          <w:p w14:paraId="336C52D9">
            <w:pPr>
              <w:pageBreakBefore w:val="0"/>
              <w:widowControl/>
              <w:kinsoku/>
              <w:wordWrap/>
              <w:overflowPunct/>
              <w:topLinePunct w:val="0"/>
              <w:bidi w:val="0"/>
              <w:spacing w:line="240" w:lineRule="exact"/>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48" w:type="dxa"/>
            <w:vAlign w:val="center"/>
          </w:tcPr>
          <w:p w14:paraId="5DB32F90">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88" w:type="dxa"/>
            <w:vAlign w:val="center"/>
          </w:tcPr>
          <w:p w14:paraId="3E349442">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Y≥5000</w:t>
            </w:r>
          </w:p>
        </w:tc>
        <w:tc>
          <w:tcPr>
            <w:tcW w:w="1796" w:type="dxa"/>
            <w:vAlign w:val="center"/>
          </w:tcPr>
          <w:p w14:paraId="022885DE">
            <w:pPr>
              <w:pageBreakBefore w:val="0"/>
              <w:widowControl/>
              <w:kinsoku/>
              <w:wordWrap/>
              <w:overflowPunct/>
              <w:topLinePunct w:val="0"/>
              <w:bidi w:val="0"/>
              <w:ind w:left="1" w:leftChars="-51" w:hanging="108" w:hangingChars="6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1000≤Y＜5000</w:t>
            </w:r>
          </w:p>
        </w:tc>
        <w:tc>
          <w:tcPr>
            <w:tcW w:w="1505" w:type="dxa"/>
            <w:vAlign w:val="center"/>
          </w:tcPr>
          <w:p w14:paraId="67A4399D">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500≤Y＜1000</w:t>
            </w:r>
          </w:p>
        </w:tc>
        <w:tc>
          <w:tcPr>
            <w:tcW w:w="1047" w:type="dxa"/>
            <w:vAlign w:val="center"/>
          </w:tcPr>
          <w:p w14:paraId="22431D12">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Y＜500</w:t>
            </w:r>
          </w:p>
        </w:tc>
      </w:tr>
      <w:tr w14:paraId="2D92F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vAlign w:val="center"/>
          </w:tcPr>
          <w:p w14:paraId="53A1478C">
            <w:pPr>
              <w:pageBreakBefore w:val="0"/>
              <w:widowControl/>
              <w:kinsoku/>
              <w:wordWrap/>
              <w:overflowPunct/>
              <w:topLinePunct w:val="0"/>
              <w:bidi w:val="0"/>
              <w:spacing w:line="240" w:lineRule="exact"/>
              <w:jc w:val="left"/>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租赁和商务服务业</w:t>
            </w:r>
          </w:p>
        </w:tc>
        <w:tc>
          <w:tcPr>
            <w:tcW w:w="1445" w:type="dxa"/>
            <w:vAlign w:val="center"/>
          </w:tcPr>
          <w:p w14:paraId="6D42B8DF">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748" w:type="dxa"/>
            <w:vAlign w:val="center"/>
          </w:tcPr>
          <w:p w14:paraId="33BB3C3F">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88" w:type="dxa"/>
            <w:vAlign w:val="center"/>
          </w:tcPr>
          <w:p w14:paraId="310312D5">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X≥300</w:t>
            </w:r>
          </w:p>
        </w:tc>
        <w:tc>
          <w:tcPr>
            <w:tcW w:w="1796" w:type="dxa"/>
            <w:vAlign w:val="center"/>
          </w:tcPr>
          <w:p w14:paraId="5DF635F7">
            <w:pPr>
              <w:pageBreakBefore w:val="0"/>
              <w:widowControl/>
              <w:kinsoku/>
              <w:wordWrap/>
              <w:overflowPunct/>
              <w:topLinePunct w:val="0"/>
              <w:bidi w:val="0"/>
              <w:ind w:left="1" w:leftChars="-51" w:hanging="108" w:hangingChars="6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100≤X＜300</w:t>
            </w:r>
          </w:p>
        </w:tc>
        <w:tc>
          <w:tcPr>
            <w:tcW w:w="1505" w:type="dxa"/>
            <w:vAlign w:val="center"/>
          </w:tcPr>
          <w:p w14:paraId="49813499">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10≤X＜100</w:t>
            </w:r>
          </w:p>
        </w:tc>
        <w:tc>
          <w:tcPr>
            <w:tcW w:w="1047" w:type="dxa"/>
            <w:vAlign w:val="center"/>
          </w:tcPr>
          <w:p w14:paraId="7CCBB2B0">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w:t>
            </w:r>
          </w:p>
        </w:tc>
      </w:tr>
      <w:tr w14:paraId="7EC5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vAlign w:val="center"/>
          </w:tcPr>
          <w:p w14:paraId="798F0023">
            <w:pPr>
              <w:pageBreakBefore w:val="0"/>
              <w:widowControl/>
              <w:kinsoku/>
              <w:wordWrap/>
              <w:overflowPunct/>
              <w:topLinePunct w:val="0"/>
              <w:bidi w:val="0"/>
              <w:jc w:val="left"/>
              <w:outlineLvl w:val="9"/>
              <w:rPr>
                <w:rFonts w:ascii="宋体" w:hAnsi="宋体" w:cs="宋体"/>
                <w:color w:val="000000" w:themeColor="text1"/>
                <w:kern w:val="0"/>
                <w:sz w:val="18"/>
                <w:szCs w:val="18"/>
                <w:highlight w:val="none"/>
                <w14:textFill>
                  <w14:solidFill>
                    <w14:schemeClr w14:val="tx1"/>
                  </w14:solidFill>
                </w14:textFill>
              </w:rPr>
            </w:pPr>
          </w:p>
        </w:tc>
        <w:tc>
          <w:tcPr>
            <w:tcW w:w="1445" w:type="dxa"/>
            <w:vAlign w:val="center"/>
          </w:tcPr>
          <w:p w14:paraId="7E05383F">
            <w:pPr>
              <w:pageBreakBefore w:val="0"/>
              <w:widowControl/>
              <w:kinsoku/>
              <w:wordWrap/>
              <w:overflowPunct/>
              <w:topLinePunct w:val="0"/>
              <w:bidi w:val="0"/>
              <w:spacing w:line="240" w:lineRule="exact"/>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资产总额(Z)</w:t>
            </w:r>
          </w:p>
        </w:tc>
        <w:tc>
          <w:tcPr>
            <w:tcW w:w="748" w:type="dxa"/>
            <w:vAlign w:val="center"/>
          </w:tcPr>
          <w:p w14:paraId="294BBAB4">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88" w:type="dxa"/>
            <w:vAlign w:val="center"/>
          </w:tcPr>
          <w:p w14:paraId="594661EE">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Z≥120000</w:t>
            </w:r>
          </w:p>
        </w:tc>
        <w:tc>
          <w:tcPr>
            <w:tcW w:w="1796" w:type="dxa"/>
            <w:vAlign w:val="center"/>
          </w:tcPr>
          <w:p w14:paraId="7C27DFCB">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8000≤Z＜120000</w:t>
            </w:r>
          </w:p>
        </w:tc>
        <w:tc>
          <w:tcPr>
            <w:tcW w:w="1505" w:type="dxa"/>
            <w:vAlign w:val="center"/>
          </w:tcPr>
          <w:p w14:paraId="20C16403">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100≤Z＜8000</w:t>
            </w:r>
          </w:p>
        </w:tc>
        <w:tc>
          <w:tcPr>
            <w:tcW w:w="1047" w:type="dxa"/>
            <w:vAlign w:val="center"/>
          </w:tcPr>
          <w:p w14:paraId="362684E8">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Z＜100</w:t>
            </w:r>
          </w:p>
        </w:tc>
      </w:tr>
      <w:tr w14:paraId="09A0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Align w:val="center"/>
          </w:tcPr>
          <w:p w14:paraId="7BABEAA1">
            <w:pPr>
              <w:pageBreakBefore w:val="0"/>
              <w:widowControl/>
              <w:kinsoku/>
              <w:wordWrap/>
              <w:overflowPunct/>
              <w:topLinePunct w:val="0"/>
              <w:bidi w:val="0"/>
              <w:spacing w:line="240" w:lineRule="exact"/>
              <w:jc w:val="left"/>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其他未列明行业 *</w:t>
            </w:r>
          </w:p>
        </w:tc>
        <w:tc>
          <w:tcPr>
            <w:tcW w:w="1445" w:type="dxa"/>
            <w:vAlign w:val="center"/>
          </w:tcPr>
          <w:p w14:paraId="0D55247E">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748" w:type="dxa"/>
            <w:vAlign w:val="center"/>
          </w:tcPr>
          <w:p w14:paraId="1665AEF2">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88" w:type="dxa"/>
            <w:vAlign w:val="center"/>
          </w:tcPr>
          <w:p w14:paraId="55F54418">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X≥300</w:t>
            </w:r>
          </w:p>
        </w:tc>
        <w:tc>
          <w:tcPr>
            <w:tcW w:w="1796" w:type="dxa"/>
            <w:vAlign w:val="center"/>
          </w:tcPr>
          <w:p w14:paraId="3D421FD1">
            <w:pPr>
              <w:pageBreakBefore w:val="0"/>
              <w:widowControl/>
              <w:kinsoku/>
              <w:wordWrap/>
              <w:overflowPunct/>
              <w:topLinePunct w:val="0"/>
              <w:bidi w:val="0"/>
              <w:ind w:left="1" w:leftChars="-51" w:hanging="108" w:hangingChars="6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100≤X＜300</w:t>
            </w:r>
          </w:p>
        </w:tc>
        <w:tc>
          <w:tcPr>
            <w:tcW w:w="1505" w:type="dxa"/>
            <w:vAlign w:val="center"/>
          </w:tcPr>
          <w:p w14:paraId="2CCB5943">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10≤X＜100</w:t>
            </w:r>
          </w:p>
        </w:tc>
        <w:tc>
          <w:tcPr>
            <w:tcW w:w="1047" w:type="dxa"/>
            <w:vAlign w:val="center"/>
          </w:tcPr>
          <w:p w14:paraId="102C2BFF">
            <w:pPr>
              <w:pageBreakBefore w:val="0"/>
              <w:widowControl/>
              <w:kinsoku/>
              <w:wordWrap/>
              <w:overflowPunct/>
              <w:topLinePunct w:val="0"/>
              <w:bidi w:val="0"/>
              <w:jc w:val="center"/>
              <w:outlineLvl w:val="9"/>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w:t>
            </w:r>
          </w:p>
        </w:tc>
      </w:tr>
    </w:tbl>
    <w:p w14:paraId="382925D0">
      <w:pPr>
        <w:pageBreakBefore w:val="0"/>
        <w:widowControl/>
        <w:kinsoku/>
        <w:wordWrap/>
        <w:overflowPunct/>
        <w:topLinePunct w:val="0"/>
        <w:bidi w:val="0"/>
        <w:spacing w:line="540" w:lineRule="exact"/>
        <w:outlineLvl w:val="9"/>
        <w:rPr>
          <w:rFonts w:ascii="宋体" w:hAnsi="宋体" w:cs="宋体"/>
          <w:color w:val="000000" w:themeColor="text1"/>
          <w:spacing w:val="8"/>
          <w:kern w:val="0"/>
          <w:sz w:val="24"/>
          <w:highlight w:val="none"/>
          <w14:textFill>
            <w14:solidFill>
              <w14:schemeClr w14:val="tx1"/>
            </w14:solidFill>
          </w14:textFill>
        </w:rPr>
      </w:pPr>
      <w:r>
        <w:rPr>
          <w:rFonts w:hint="eastAsia" w:ascii="宋体" w:hAnsi="宋体" w:cs="宋体"/>
          <w:color w:val="000000" w:themeColor="text1"/>
          <w:spacing w:val="8"/>
          <w:kern w:val="0"/>
          <w:sz w:val="24"/>
          <w:highlight w:val="none"/>
          <w14:textFill>
            <w14:solidFill>
              <w14:schemeClr w14:val="tx1"/>
            </w14:solidFill>
          </w14:textFill>
        </w:rPr>
        <w:t>说明：</w:t>
      </w:r>
    </w:p>
    <w:p w14:paraId="1D9C6E50">
      <w:pPr>
        <w:pStyle w:val="17"/>
        <w:pageBreakBefore w:val="0"/>
        <w:kinsoku/>
        <w:wordWrap/>
        <w:overflowPunct/>
        <w:topLinePunct w:val="0"/>
        <w:bidi w:val="0"/>
        <w:adjustRightInd w:val="0"/>
        <w:spacing w:line="380" w:lineRule="exact"/>
        <w:ind w:firstLine="512" w:firstLineChars="200"/>
        <w:contextualSpacing/>
        <w:outlineLvl w:val="9"/>
        <w:rPr>
          <w:rFonts w:hAnsi="宋体" w:cs="宋体"/>
          <w:color w:val="000000" w:themeColor="text1"/>
          <w:spacing w:val="8"/>
          <w:kern w:val="0"/>
          <w:sz w:val="24"/>
          <w:szCs w:val="24"/>
          <w:highlight w:val="none"/>
          <w14:textFill>
            <w14:solidFill>
              <w14:schemeClr w14:val="tx1"/>
            </w14:solidFill>
          </w14:textFill>
        </w:rPr>
      </w:pPr>
      <w:r>
        <w:rPr>
          <w:rFonts w:hint="eastAsia" w:hAnsi="宋体" w:cs="宋体"/>
          <w:color w:val="000000" w:themeColor="text1"/>
          <w:spacing w:val="8"/>
          <w:kern w:val="0"/>
          <w:sz w:val="24"/>
          <w:szCs w:val="24"/>
          <w:highlight w:val="none"/>
          <w14:textFill>
            <w14:solidFill>
              <w14:schemeClr w14:val="tx1"/>
            </w14:solidFill>
          </w14:textFill>
        </w:rPr>
        <w:t>1.大型、中型和小型企业须同时满足所列指标的下限，否则下划一档；微型企业只须满足所列指标中的一项即可。</w:t>
      </w:r>
    </w:p>
    <w:p w14:paraId="1540AD0F">
      <w:pPr>
        <w:pStyle w:val="17"/>
        <w:pageBreakBefore w:val="0"/>
        <w:kinsoku/>
        <w:wordWrap/>
        <w:overflowPunct/>
        <w:topLinePunct w:val="0"/>
        <w:bidi w:val="0"/>
        <w:adjustRightInd w:val="0"/>
        <w:spacing w:line="380" w:lineRule="exact"/>
        <w:ind w:firstLine="512" w:firstLineChars="200"/>
        <w:contextualSpacing/>
        <w:outlineLvl w:val="9"/>
        <w:rPr>
          <w:rFonts w:hAnsi="宋体" w:cs="宋体"/>
          <w:color w:val="000000" w:themeColor="text1"/>
          <w:spacing w:val="8"/>
          <w:kern w:val="0"/>
          <w:sz w:val="24"/>
          <w:szCs w:val="24"/>
          <w:highlight w:val="none"/>
          <w14:textFill>
            <w14:solidFill>
              <w14:schemeClr w14:val="tx1"/>
            </w14:solidFill>
          </w14:textFill>
        </w:rPr>
      </w:pPr>
      <w:r>
        <w:rPr>
          <w:rFonts w:hint="eastAsia" w:hAnsi="宋体" w:cs="宋体"/>
          <w:color w:val="000000" w:themeColor="text1"/>
          <w:spacing w:val="8"/>
          <w:kern w:val="0"/>
          <w:sz w:val="24"/>
          <w:szCs w:val="24"/>
          <w:highlight w:val="none"/>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D3BE28D">
      <w:pPr>
        <w:pStyle w:val="17"/>
        <w:pageBreakBefore w:val="0"/>
        <w:kinsoku/>
        <w:wordWrap/>
        <w:overflowPunct/>
        <w:topLinePunct w:val="0"/>
        <w:bidi w:val="0"/>
        <w:adjustRightInd w:val="0"/>
        <w:spacing w:line="380" w:lineRule="exact"/>
        <w:ind w:firstLine="512" w:firstLineChars="200"/>
        <w:contextualSpacing/>
        <w:outlineLvl w:val="9"/>
        <w:rPr>
          <w:rFonts w:hAnsi="宋体" w:cs="宋体"/>
          <w:bCs/>
          <w:color w:val="000000" w:themeColor="text1"/>
          <w:highlight w:val="none"/>
          <w14:textFill>
            <w14:solidFill>
              <w14:schemeClr w14:val="tx1"/>
            </w14:solidFill>
          </w14:textFill>
        </w:rPr>
      </w:pPr>
      <w:r>
        <w:rPr>
          <w:rFonts w:hint="eastAsia" w:hAnsi="宋体" w:cs="宋体"/>
          <w:color w:val="000000" w:themeColor="text1"/>
          <w:spacing w:val="8"/>
          <w:kern w:val="0"/>
          <w:sz w:val="24"/>
          <w:szCs w:val="24"/>
          <w:highlight w:val="none"/>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8473E82">
      <w:pPr>
        <w:pStyle w:val="110"/>
        <w:pageBreakBefore w:val="0"/>
        <w:kinsoku/>
        <w:wordWrap/>
        <w:overflowPunct/>
        <w:topLinePunct w:val="0"/>
        <w:bidi w:val="0"/>
        <w:ind w:firstLine="480"/>
        <w:outlineLvl w:val="9"/>
        <w:rPr>
          <w:rFonts w:hint="eastAsia" w:ascii="Times New Roman"/>
          <w:color w:val="000000" w:themeColor="text1"/>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br w:type="page"/>
      </w:r>
      <w:bookmarkStart w:id="280" w:name="_Toc19096"/>
      <w:bookmarkStart w:id="281" w:name="_Toc7619"/>
      <w:bookmarkStart w:id="282" w:name="_Toc14595"/>
      <w:bookmarkStart w:id="283" w:name="_Toc30884"/>
    </w:p>
    <w:p w14:paraId="4674EAC2">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hAnsi="宋体"/>
          <w:b/>
          <w:color w:val="000000" w:themeColor="text1"/>
          <w:sz w:val="32"/>
          <w:szCs w:val="32"/>
          <w:highlight w:val="none"/>
          <w14:textFill>
            <w14:solidFill>
              <w14:schemeClr w14:val="tx1"/>
            </w14:solidFill>
          </w14:textFill>
        </w:rPr>
      </w:pPr>
      <w:bookmarkStart w:id="284" w:name="_Toc26434"/>
      <w:r>
        <w:rPr>
          <w:rFonts w:hint="eastAsia" w:hAnsi="宋体"/>
          <w:b/>
          <w:color w:val="000000" w:themeColor="text1"/>
          <w:sz w:val="32"/>
          <w:szCs w:val="32"/>
          <w:highlight w:val="none"/>
          <w14:textFill>
            <w14:solidFill>
              <w14:schemeClr w14:val="tx1"/>
            </w14:solidFill>
          </w14:textFill>
        </w:rPr>
        <w:t>第五章  政府采购合同（合同主要条款及格式）</w:t>
      </w:r>
      <w:bookmarkEnd w:id="284"/>
    </w:p>
    <w:p w14:paraId="58987660">
      <w:pPr>
        <w:pageBreakBefore w:val="0"/>
        <w:kinsoku/>
        <w:wordWrap/>
        <w:overflowPunct/>
        <w:topLinePunct w:val="0"/>
        <w:bidi w:val="0"/>
        <w:spacing w:line="400" w:lineRule="exact"/>
        <w:outlineLvl w:val="9"/>
        <w:rPr>
          <w:rFonts w:hint="eastAsia" w:ascii="宋体" w:hAnsi="宋体"/>
          <w:color w:val="000000" w:themeColor="text1"/>
          <w:highlight w:val="none"/>
          <w14:textFill>
            <w14:solidFill>
              <w14:schemeClr w14:val="tx1"/>
            </w14:solidFill>
          </w14:textFill>
        </w:rPr>
      </w:pPr>
    </w:p>
    <w:p w14:paraId="0F192DDE">
      <w:pPr>
        <w:pageBreakBefore w:val="0"/>
        <w:kinsoku/>
        <w:wordWrap/>
        <w:overflowPunct/>
        <w:topLinePunct w:val="0"/>
        <w:bidi w:val="0"/>
        <w:spacing w:line="340" w:lineRule="exact"/>
        <w:outlineLvl w:val="9"/>
        <w:rPr>
          <w:rFonts w:hint="eastAsia" w:ascii="宋体" w:hAnsi="宋体"/>
          <w:color w:val="000000" w:themeColor="text1"/>
          <w:szCs w:val="21"/>
          <w:highlight w:val="none"/>
          <w14:textFill>
            <w14:solidFill>
              <w14:schemeClr w14:val="tx1"/>
            </w14:solidFill>
          </w14:textFill>
        </w:rPr>
      </w:pPr>
    </w:p>
    <w:p w14:paraId="37CF8181">
      <w:pPr>
        <w:pageBreakBefore w:val="0"/>
        <w:kinsoku/>
        <w:wordWrap/>
        <w:overflowPunct/>
        <w:topLinePunct w:val="0"/>
        <w:bidi w:val="0"/>
        <w:spacing w:line="340" w:lineRule="exact"/>
        <w:outlineLvl w:val="9"/>
        <w:rPr>
          <w:rFonts w:hint="eastAsia" w:ascii="宋体" w:hAnsi="宋体"/>
          <w:color w:val="000000" w:themeColor="text1"/>
          <w:szCs w:val="21"/>
          <w:highlight w:val="none"/>
          <w14:textFill>
            <w14:solidFill>
              <w14:schemeClr w14:val="tx1"/>
            </w14:solidFill>
          </w14:textFill>
        </w:rPr>
      </w:pPr>
    </w:p>
    <w:bookmarkEnd w:id="280"/>
    <w:bookmarkEnd w:id="281"/>
    <w:bookmarkEnd w:id="282"/>
    <w:bookmarkEnd w:id="283"/>
    <w:p w14:paraId="61AFAA3E">
      <w:pPr>
        <w:keepNext w:val="0"/>
        <w:keepLines w:val="0"/>
        <w:pageBreakBefore w:val="0"/>
        <w:kinsoku/>
        <w:wordWrap/>
        <w:overflowPunct/>
        <w:topLinePunct w:val="0"/>
        <w:autoSpaceDE/>
        <w:autoSpaceDN/>
        <w:bidi w:val="0"/>
        <w:adjustRightInd w:val="0"/>
        <w:spacing w:line="480" w:lineRule="auto"/>
        <w:ind w:left="1473" w:leftChars="230" w:right="1470" w:hanging="990" w:hangingChars="411"/>
        <w:textAlignment w:val="baseline"/>
        <w:outlineLvl w:val="9"/>
        <w:rPr>
          <w:rFonts w:hint="eastAsia" w:ascii="宋体" w:hAnsi="宋体" w:eastAsia="宋体" w:cs="宋体"/>
          <w:b/>
          <w:color w:val="000000" w:themeColor="text1"/>
          <w:kern w:val="0"/>
          <w:sz w:val="24"/>
          <w:szCs w:val="24"/>
          <w14:textFill>
            <w14:solidFill>
              <w14:schemeClr w14:val="tx1"/>
            </w14:solidFill>
          </w14:textFill>
        </w:rPr>
      </w:pPr>
      <w:bookmarkStart w:id="285" w:name="_Toc18889"/>
      <w:bookmarkStart w:id="286" w:name="_Toc24269"/>
      <w:bookmarkStart w:id="287" w:name="_Toc15164"/>
      <w:bookmarkStart w:id="288" w:name="_Toc3617"/>
      <w:r>
        <w:rPr>
          <w:rFonts w:hint="eastAsia" w:ascii="宋体" w:hAnsi="宋体" w:eastAsia="宋体" w:cs="宋体"/>
          <w:b/>
          <w:color w:val="000000" w:themeColor="text1"/>
          <w:kern w:val="0"/>
          <w:sz w:val="24"/>
          <w:szCs w:val="24"/>
          <w14:textFill>
            <w14:solidFill>
              <w14:schemeClr w14:val="tx1"/>
            </w14:solidFill>
          </w14:textFill>
        </w:rPr>
        <w:t xml:space="preserve">合同编号（甲方）：            </w:t>
      </w:r>
    </w:p>
    <w:p w14:paraId="6080A9B4">
      <w:pPr>
        <w:keepNext w:val="0"/>
        <w:keepLines w:val="0"/>
        <w:pageBreakBefore w:val="0"/>
        <w:kinsoku/>
        <w:wordWrap/>
        <w:overflowPunct/>
        <w:topLinePunct w:val="0"/>
        <w:autoSpaceDE/>
        <w:autoSpaceDN/>
        <w:bidi w:val="0"/>
        <w:adjustRightInd w:val="0"/>
        <w:spacing w:line="480" w:lineRule="auto"/>
        <w:ind w:left="1675" w:right="1470" w:hanging="1675" w:hangingChars="695"/>
        <w:textAlignment w:val="baseline"/>
        <w:outlineLvl w:val="9"/>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 xml:space="preserve">  </w:t>
      </w:r>
      <w:r>
        <w:rPr>
          <w:rFonts w:hint="eastAsia" w:ascii="宋体" w:hAnsi="宋体" w:eastAsia="宋体" w:cs="宋体"/>
          <w:b/>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b/>
          <w:color w:val="000000" w:themeColor="text1"/>
          <w:kern w:val="0"/>
          <w:sz w:val="24"/>
          <w:szCs w:val="24"/>
          <w14:textFill>
            <w14:solidFill>
              <w14:schemeClr w14:val="tx1"/>
            </w14:solidFill>
          </w14:textFill>
        </w:rPr>
        <w:t xml:space="preserve">合同编号（乙方）：            </w:t>
      </w:r>
    </w:p>
    <w:p w14:paraId="4278ABDD">
      <w:pPr>
        <w:pStyle w:val="14"/>
        <w:keepNext w:val="0"/>
        <w:keepLines w:val="0"/>
        <w:pageBreakBefore w:val="0"/>
        <w:kinsoku/>
        <w:wordWrap/>
        <w:overflowPunct/>
        <w:topLinePunct w:val="0"/>
        <w:autoSpaceDE/>
        <w:autoSpaceDN/>
        <w:bidi w:val="0"/>
        <w:spacing w:line="460" w:lineRule="exact"/>
        <w:outlineLvl w:val="9"/>
        <w:rPr>
          <w:rFonts w:hint="eastAsia" w:ascii="宋体" w:hAnsi="宋体" w:eastAsia="宋体" w:cs="宋体"/>
          <w:color w:val="000000" w:themeColor="text1"/>
          <w:sz w:val="24"/>
          <w:szCs w:val="24"/>
          <w14:textFill>
            <w14:solidFill>
              <w14:schemeClr w14:val="tx1"/>
            </w14:solidFill>
          </w14:textFill>
        </w:rPr>
      </w:pPr>
    </w:p>
    <w:p w14:paraId="6C9F86A3">
      <w:pPr>
        <w:pStyle w:val="31"/>
        <w:keepNext w:val="0"/>
        <w:keepLines w:val="0"/>
        <w:pageBreakBefore w:val="0"/>
        <w:kinsoku/>
        <w:wordWrap/>
        <w:overflowPunct/>
        <w:topLinePunct w:val="0"/>
        <w:autoSpaceDE/>
        <w:autoSpaceDN/>
        <w:bidi w:val="0"/>
        <w:spacing w:line="460" w:lineRule="exact"/>
        <w:ind w:left="0" w:leftChars="0" w:firstLine="0" w:firstLineChars="0"/>
        <w:outlineLvl w:val="9"/>
        <w:rPr>
          <w:rFonts w:hint="eastAsia" w:ascii="宋体" w:hAnsi="宋体" w:eastAsia="宋体" w:cs="宋体"/>
          <w:color w:val="000000" w:themeColor="text1"/>
          <w:sz w:val="24"/>
          <w:szCs w:val="24"/>
          <w14:textFill>
            <w14:solidFill>
              <w14:schemeClr w14:val="tx1"/>
            </w14:solidFill>
          </w14:textFill>
        </w:rPr>
      </w:pPr>
    </w:p>
    <w:p w14:paraId="114036D2">
      <w:pPr>
        <w:pStyle w:val="31"/>
        <w:keepNext w:val="0"/>
        <w:keepLines w:val="0"/>
        <w:pageBreakBefore w:val="0"/>
        <w:kinsoku/>
        <w:wordWrap/>
        <w:overflowPunct/>
        <w:topLinePunct w:val="0"/>
        <w:autoSpaceDE/>
        <w:autoSpaceDN/>
        <w:bidi w:val="0"/>
        <w:spacing w:line="460" w:lineRule="exact"/>
        <w:outlineLvl w:val="9"/>
        <w:rPr>
          <w:rFonts w:hint="eastAsia" w:ascii="宋体" w:hAnsi="宋体" w:eastAsia="宋体" w:cs="宋体"/>
          <w:color w:val="000000" w:themeColor="text1"/>
          <w:sz w:val="24"/>
          <w:szCs w:val="24"/>
          <w14:textFill>
            <w14:solidFill>
              <w14:schemeClr w14:val="tx1"/>
            </w14:solidFill>
          </w14:textFill>
        </w:rPr>
      </w:pPr>
    </w:p>
    <w:p w14:paraId="70A9C7F1">
      <w:pPr>
        <w:pStyle w:val="14"/>
        <w:keepNext w:val="0"/>
        <w:keepLines w:val="0"/>
        <w:pageBreakBefore w:val="0"/>
        <w:kinsoku/>
        <w:wordWrap/>
        <w:overflowPunct/>
        <w:topLinePunct w:val="0"/>
        <w:autoSpaceDE/>
        <w:autoSpaceDN/>
        <w:bidi w:val="0"/>
        <w:spacing w:before="120" w:line="460" w:lineRule="exact"/>
        <w:outlineLvl w:val="9"/>
        <w:rPr>
          <w:rFonts w:hint="eastAsia" w:ascii="宋体" w:hAnsi="宋体" w:eastAsia="宋体" w:cs="宋体"/>
          <w:color w:val="000000" w:themeColor="text1"/>
          <w:sz w:val="32"/>
          <w:szCs w:val="32"/>
          <w14:textFill>
            <w14:solidFill>
              <w14:schemeClr w14:val="tx1"/>
            </w14:solidFill>
          </w14:textFill>
        </w:rPr>
      </w:pPr>
    </w:p>
    <w:p w14:paraId="1F12A373">
      <w:pPr>
        <w:keepNext w:val="0"/>
        <w:keepLines w:val="0"/>
        <w:pageBreakBefore w:val="0"/>
        <w:kinsoku/>
        <w:wordWrap/>
        <w:overflowPunct/>
        <w:topLinePunct w:val="0"/>
        <w:autoSpaceDE/>
        <w:autoSpaceDN/>
        <w:bidi w:val="0"/>
        <w:spacing w:before="120" w:after="120" w:line="460" w:lineRule="exact"/>
        <w:jc w:val="center"/>
        <w:outlineLvl w:val="9"/>
        <w:rPr>
          <w:rFonts w:hint="eastAsia" w:ascii="宋体" w:hAnsi="宋体" w:eastAsia="宋体" w:cs="宋体"/>
          <w:b/>
          <w:color w:val="000000" w:themeColor="text1"/>
          <w:sz w:val="32"/>
          <w:szCs w:val="32"/>
          <w:lang w:eastAsia="zh-CN"/>
          <w14:textFill>
            <w14:solidFill>
              <w14:schemeClr w14:val="tx1"/>
            </w14:solidFill>
          </w14:textFill>
        </w:rPr>
      </w:pPr>
      <w:r>
        <w:rPr>
          <w:rFonts w:hint="eastAsia" w:ascii="宋体" w:hAnsi="宋体" w:cs="宋体"/>
          <w:b/>
          <w:color w:val="000000" w:themeColor="text1"/>
          <w:sz w:val="32"/>
          <w:szCs w:val="32"/>
          <w:lang w:eastAsia="zh-CN"/>
          <w14:textFill>
            <w14:solidFill>
              <w14:schemeClr w14:val="tx1"/>
            </w14:solidFill>
          </w14:textFill>
        </w:rPr>
        <w:t>检验检测设备维护保养服务</w:t>
      </w:r>
    </w:p>
    <w:p w14:paraId="2678684E">
      <w:pPr>
        <w:keepNext w:val="0"/>
        <w:keepLines w:val="0"/>
        <w:pageBreakBefore w:val="0"/>
        <w:kinsoku/>
        <w:wordWrap/>
        <w:overflowPunct/>
        <w:topLinePunct w:val="0"/>
        <w:autoSpaceDE/>
        <w:autoSpaceDN/>
        <w:bidi w:val="0"/>
        <w:spacing w:before="120" w:after="120" w:line="460" w:lineRule="exact"/>
        <w:jc w:val="center"/>
        <w:outlineLvl w:val="9"/>
        <w:rPr>
          <w:rFonts w:hint="eastAsia" w:ascii="宋体" w:hAnsi="宋体" w:eastAsia="宋体" w:cs="宋体"/>
          <w:b/>
          <w:color w:val="000000" w:themeColor="text1"/>
          <w:sz w:val="32"/>
          <w:szCs w:val="32"/>
          <w14:textFill>
            <w14:solidFill>
              <w14:schemeClr w14:val="tx1"/>
            </w14:solidFill>
          </w14:textFill>
        </w:rPr>
      </w:pPr>
    </w:p>
    <w:p w14:paraId="3A8213FA">
      <w:pPr>
        <w:keepNext w:val="0"/>
        <w:keepLines w:val="0"/>
        <w:pageBreakBefore w:val="0"/>
        <w:kinsoku/>
        <w:wordWrap/>
        <w:overflowPunct/>
        <w:topLinePunct w:val="0"/>
        <w:autoSpaceDE/>
        <w:autoSpaceDN/>
        <w:bidi w:val="0"/>
        <w:spacing w:before="120" w:after="120" w:line="460" w:lineRule="exact"/>
        <w:jc w:val="center"/>
        <w:outlineLvl w:val="9"/>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委托合同</w:t>
      </w:r>
    </w:p>
    <w:p w14:paraId="4396B87F">
      <w:pPr>
        <w:pStyle w:val="14"/>
        <w:keepNext w:val="0"/>
        <w:keepLines w:val="0"/>
        <w:pageBreakBefore w:val="0"/>
        <w:kinsoku/>
        <w:wordWrap/>
        <w:overflowPunct/>
        <w:topLinePunct w:val="0"/>
        <w:autoSpaceDE/>
        <w:autoSpaceDN/>
        <w:bidi w:val="0"/>
        <w:spacing w:before="120" w:line="460" w:lineRule="exact"/>
        <w:outlineLvl w:val="9"/>
        <w:rPr>
          <w:rFonts w:hint="eastAsia" w:ascii="宋体" w:hAnsi="宋体" w:eastAsia="宋体" w:cs="宋体"/>
          <w:color w:val="000000" w:themeColor="text1"/>
          <w:sz w:val="24"/>
          <w:szCs w:val="24"/>
          <w14:textFill>
            <w14:solidFill>
              <w14:schemeClr w14:val="tx1"/>
            </w14:solidFill>
          </w14:textFill>
        </w:rPr>
      </w:pPr>
    </w:p>
    <w:p w14:paraId="5FEB17CD">
      <w:pPr>
        <w:keepNext w:val="0"/>
        <w:keepLines w:val="0"/>
        <w:pageBreakBefore w:val="0"/>
        <w:kinsoku/>
        <w:wordWrap/>
        <w:overflowPunct/>
        <w:topLinePunct w:val="0"/>
        <w:autoSpaceDE/>
        <w:autoSpaceDN/>
        <w:bidi w:val="0"/>
        <w:spacing w:line="460" w:lineRule="exact"/>
        <w:outlineLvl w:val="9"/>
        <w:rPr>
          <w:rFonts w:hint="eastAsia" w:ascii="宋体" w:hAnsi="宋体" w:eastAsia="宋体" w:cs="宋体"/>
          <w:color w:val="000000" w:themeColor="text1"/>
          <w:sz w:val="24"/>
          <w:szCs w:val="24"/>
          <w14:textFill>
            <w14:solidFill>
              <w14:schemeClr w14:val="tx1"/>
            </w14:solidFill>
          </w14:textFill>
        </w:rPr>
      </w:pPr>
    </w:p>
    <w:p w14:paraId="52DCE0A9">
      <w:pPr>
        <w:pStyle w:val="14"/>
        <w:keepNext w:val="0"/>
        <w:keepLines w:val="0"/>
        <w:pageBreakBefore w:val="0"/>
        <w:kinsoku/>
        <w:wordWrap/>
        <w:overflowPunct/>
        <w:topLinePunct w:val="0"/>
        <w:autoSpaceDE/>
        <w:autoSpaceDN/>
        <w:bidi w:val="0"/>
        <w:spacing w:line="460" w:lineRule="exact"/>
        <w:outlineLvl w:val="9"/>
        <w:rPr>
          <w:rFonts w:hint="eastAsia" w:ascii="宋体" w:hAnsi="宋体" w:eastAsia="宋体" w:cs="宋体"/>
          <w:color w:val="000000" w:themeColor="text1"/>
          <w:sz w:val="24"/>
          <w:szCs w:val="24"/>
          <w14:textFill>
            <w14:solidFill>
              <w14:schemeClr w14:val="tx1"/>
            </w14:solidFill>
          </w14:textFill>
        </w:rPr>
      </w:pPr>
    </w:p>
    <w:p w14:paraId="00E0A6D7">
      <w:pPr>
        <w:keepNext w:val="0"/>
        <w:keepLines w:val="0"/>
        <w:pageBreakBefore w:val="0"/>
        <w:kinsoku/>
        <w:wordWrap/>
        <w:overflowPunct/>
        <w:topLinePunct w:val="0"/>
        <w:autoSpaceDE/>
        <w:autoSpaceDN/>
        <w:bidi w:val="0"/>
        <w:spacing w:line="460" w:lineRule="exact"/>
        <w:outlineLvl w:val="9"/>
        <w:rPr>
          <w:rFonts w:hint="eastAsia" w:ascii="宋体" w:hAnsi="宋体" w:eastAsia="宋体" w:cs="宋体"/>
          <w:color w:val="000000" w:themeColor="text1"/>
          <w:sz w:val="24"/>
          <w:szCs w:val="24"/>
          <w14:textFill>
            <w14:solidFill>
              <w14:schemeClr w14:val="tx1"/>
            </w14:solidFill>
          </w14:textFill>
        </w:rPr>
      </w:pPr>
    </w:p>
    <w:p w14:paraId="621B4D48">
      <w:pPr>
        <w:pStyle w:val="14"/>
        <w:keepNext w:val="0"/>
        <w:keepLines w:val="0"/>
        <w:pageBreakBefore w:val="0"/>
        <w:kinsoku/>
        <w:wordWrap/>
        <w:overflowPunct/>
        <w:topLinePunct w:val="0"/>
        <w:autoSpaceDE/>
        <w:autoSpaceDN/>
        <w:bidi w:val="0"/>
        <w:spacing w:line="460" w:lineRule="exact"/>
        <w:outlineLvl w:val="9"/>
        <w:rPr>
          <w:rFonts w:hint="eastAsia" w:ascii="宋体" w:hAnsi="宋体" w:eastAsia="宋体" w:cs="宋体"/>
          <w:color w:val="000000" w:themeColor="text1"/>
          <w:sz w:val="24"/>
          <w:szCs w:val="24"/>
          <w14:textFill>
            <w14:solidFill>
              <w14:schemeClr w14:val="tx1"/>
            </w14:solidFill>
          </w14:textFill>
        </w:rPr>
      </w:pPr>
    </w:p>
    <w:p w14:paraId="267CA132">
      <w:pPr>
        <w:keepNext w:val="0"/>
        <w:keepLines w:val="0"/>
        <w:pageBreakBefore w:val="0"/>
        <w:kinsoku/>
        <w:wordWrap/>
        <w:overflowPunct/>
        <w:topLinePunct w:val="0"/>
        <w:autoSpaceDE/>
        <w:autoSpaceDN/>
        <w:bidi w:val="0"/>
        <w:spacing w:line="460" w:lineRule="exact"/>
        <w:outlineLvl w:val="9"/>
        <w:rPr>
          <w:rFonts w:hint="eastAsia" w:ascii="宋体" w:hAnsi="宋体" w:eastAsia="宋体" w:cs="宋体"/>
          <w:color w:val="000000" w:themeColor="text1"/>
          <w:sz w:val="24"/>
          <w:szCs w:val="24"/>
          <w14:textFill>
            <w14:solidFill>
              <w14:schemeClr w14:val="tx1"/>
            </w14:solidFill>
          </w14:textFill>
        </w:rPr>
      </w:pPr>
    </w:p>
    <w:p w14:paraId="36045BC7">
      <w:pPr>
        <w:keepNext w:val="0"/>
        <w:keepLines w:val="0"/>
        <w:pageBreakBefore w:val="0"/>
        <w:kinsoku/>
        <w:wordWrap/>
        <w:overflowPunct/>
        <w:topLinePunct w:val="0"/>
        <w:autoSpaceDE/>
        <w:autoSpaceDN/>
        <w:bidi w:val="0"/>
        <w:spacing w:line="600" w:lineRule="auto"/>
        <w:ind w:firstLine="480" w:firstLineChars="200"/>
        <w:outlineLvl w:val="9"/>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cs="宋体"/>
          <w:color w:val="000000" w:themeColor="text1"/>
          <w:sz w:val="24"/>
          <w:szCs w:val="24"/>
          <w:u w:val="single"/>
          <w:lang w:eastAsia="zh-CN"/>
          <w14:textFill>
            <w14:solidFill>
              <w14:schemeClr w14:val="tx1"/>
            </w14:solidFill>
          </w14:textFill>
        </w:rPr>
        <w:t>检验检测设备维护保养服务</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064D6688">
      <w:pPr>
        <w:keepNext w:val="0"/>
        <w:keepLines w:val="0"/>
        <w:pageBreakBefore w:val="0"/>
        <w:kinsoku/>
        <w:wordWrap/>
        <w:overflowPunct/>
        <w:topLinePunct w:val="0"/>
        <w:autoSpaceDE/>
        <w:autoSpaceDN/>
        <w:bidi w:val="0"/>
        <w:spacing w:line="600" w:lineRule="auto"/>
        <w:ind w:firstLine="480" w:firstLineChars="200"/>
        <w:outlineLvl w:val="9"/>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委托方（甲方）：</w:t>
      </w:r>
      <w:r>
        <w:rPr>
          <w:rFonts w:hint="eastAsia" w:ascii="宋体" w:hAnsi="宋体" w:cs="宋体"/>
          <w:color w:val="000000" w:themeColor="text1"/>
          <w:sz w:val="24"/>
          <w:szCs w:val="24"/>
          <w:u w:val="single"/>
          <w:lang w:eastAsia="zh-CN"/>
          <w14:textFill>
            <w14:solidFill>
              <w14:schemeClr w14:val="tx1"/>
            </w14:solidFill>
          </w14:textFill>
        </w:rPr>
        <w:t>桂林市食品药品检验所</w:t>
      </w:r>
    </w:p>
    <w:p w14:paraId="7CA06374">
      <w:pPr>
        <w:keepNext w:val="0"/>
        <w:keepLines w:val="0"/>
        <w:pageBreakBefore w:val="0"/>
        <w:kinsoku/>
        <w:wordWrap/>
        <w:overflowPunct/>
        <w:topLinePunct w:val="0"/>
        <w:autoSpaceDE/>
        <w:autoSpaceDN/>
        <w:bidi w:val="0"/>
        <w:spacing w:line="600" w:lineRule="auto"/>
        <w:ind w:firstLine="480" w:firstLineChars="200"/>
        <w:outlineLvl w:val="9"/>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承接方（乙方）：</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1D4C5AD1">
      <w:pPr>
        <w:keepNext w:val="0"/>
        <w:keepLines w:val="0"/>
        <w:pageBreakBefore w:val="0"/>
        <w:kinsoku/>
        <w:wordWrap/>
        <w:overflowPunct/>
        <w:topLinePunct w:val="0"/>
        <w:autoSpaceDE/>
        <w:autoSpaceDN/>
        <w:bidi w:val="0"/>
        <w:spacing w:line="460" w:lineRule="exact"/>
        <w:jc w:val="center"/>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p>
    <w:p w14:paraId="3E099026">
      <w:pPr>
        <w:keepNext w:val="0"/>
        <w:keepLines w:val="0"/>
        <w:pageBreakBefore w:val="0"/>
        <w:kinsoku/>
        <w:wordWrap/>
        <w:overflowPunct/>
        <w:topLinePunct w:val="0"/>
        <w:autoSpaceDE/>
        <w:autoSpaceDN/>
        <w:bidi w:val="0"/>
        <w:spacing w:line="460" w:lineRule="exact"/>
        <w:jc w:val="center"/>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二〇二</w:t>
      </w:r>
      <w:r>
        <w:rPr>
          <w:rFonts w:hint="eastAsia" w:ascii="宋体" w:hAnsi="宋体" w:cs="宋体"/>
          <w:color w:val="000000" w:themeColor="text1"/>
          <w:sz w:val="24"/>
          <w:szCs w:val="24"/>
          <w:lang w:val="en-US"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年  月</w:t>
      </w:r>
    </w:p>
    <w:p w14:paraId="43573D32">
      <w:pPr>
        <w:keepNext w:val="0"/>
        <w:keepLines w:val="0"/>
        <w:pageBreakBefore w:val="0"/>
        <w:kinsoku/>
        <w:wordWrap/>
        <w:overflowPunct/>
        <w:topLinePunct w:val="0"/>
        <w:autoSpaceDE/>
        <w:autoSpaceDN/>
        <w:bidi w:val="0"/>
        <w:spacing w:line="460" w:lineRule="exact"/>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br w:type="page"/>
      </w:r>
    </w:p>
    <w:p w14:paraId="06EB8865">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项目名称：                         </w:t>
      </w:r>
    </w:p>
    <w:p w14:paraId="5183C34E">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项目编号：                          </w:t>
      </w:r>
    </w:p>
    <w:p w14:paraId="360B30CA">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（采购人）</w:t>
      </w:r>
    </w:p>
    <w:p w14:paraId="62E87F3C">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乙方：</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（中标</w:t>
      </w:r>
      <w:r>
        <w:rPr>
          <w:rFonts w:hint="eastAsia" w:ascii="宋体" w:hAnsi="宋体" w:eastAsia="宋体" w:cs="宋体"/>
          <w:color w:val="000000" w:themeColor="text1"/>
          <w:lang w:val="en-US" w:eastAsia="zh-CN"/>
          <w14:textFill>
            <w14:solidFill>
              <w14:schemeClr w14:val="tx1"/>
            </w14:solidFill>
          </w14:textFill>
        </w:rPr>
        <w:t>人</w:t>
      </w:r>
      <w:r>
        <w:rPr>
          <w:rFonts w:hint="eastAsia" w:ascii="宋体" w:hAnsi="宋体" w:eastAsia="宋体" w:cs="宋体"/>
          <w:color w:val="000000" w:themeColor="text1"/>
          <w14:textFill>
            <w14:solidFill>
              <w14:schemeClr w14:val="tx1"/>
            </w14:solidFill>
          </w14:textFill>
        </w:rPr>
        <w:t>）</w:t>
      </w:r>
    </w:p>
    <w:p w14:paraId="1718457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根据《中华人民共和国政府采购法》、《中华人民共和国政府采购法实施条例》、《中华人民共和国民法典》等法律、法规规定，按照招、投标文件规定条款和中标供应商承诺、 甲乙双方签订本采购合同。</w:t>
      </w:r>
    </w:p>
    <w:p w14:paraId="132B2850">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
          <w:bCs/>
          <w:color w:val="000000" w:themeColor="text1"/>
          <w14:textFill>
            <w14:solidFill>
              <w14:schemeClr w14:val="tx1"/>
            </w14:solidFill>
          </w14:textFill>
        </w:rPr>
      </w:pPr>
      <w:bookmarkStart w:id="289" w:name="bookmark118"/>
      <w:bookmarkEnd w:id="289"/>
      <w:r>
        <w:rPr>
          <w:rFonts w:hint="eastAsia" w:ascii="宋体" w:hAnsi="宋体" w:eastAsia="宋体" w:cs="宋体"/>
          <w:b/>
          <w:bCs/>
          <w:color w:val="000000" w:themeColor="text1"/>
          <w14:textFill>
            <w14:solidFill>
              <w14:schemeClr w14:val="tx1"/>
            </w14:solidFill>
          </w14:textFill>
        </w:rPr>
        <w:t>第一条  合同文件</w:t>
      </w:r>
    </w:p>
    <w:p w14:paraId="47CB2A7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本合同所附下列文件是构成本合同不可分割的部分：</w:t>
      </w:r>
    </w:p>
    <w:p w14:paraId="059F3D8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lang w:val="en-US" w:eastAsia="zh-CN"/>
          <w14:textFill>
            <w14:solidFill>
              <w14:schemeClr w14:val="tx1"/>
            </w14:solidFill>
          </w14:textFill>
        </w:rPr>
        <w:t>中标</w:t>
      </w:r>
      <w:r>
        <w:rPr>
          <w:rFonts w:hint="eastAsia" w:ascii="宋体" w:hAnsi="宋体" w:eastAsia="宋体" w:cs="宋体"/>
          <w:color w:val="000000" w:themeColor="text1"/>
          <w14:textFill>
            <w14:solidFill>
              <w14:schemeClr w14:val="tx1"/>
            </w14:solidFill>
          </w14:textFill>
        </w:rPr>
        <w:t>供应商提交的</w:t>
      </w:r>
      <w:r>
        <w:rPr>
          <w:rFonts w:hint="eastAsia" w:ascii="宋体" w:hAnsi="宋体" w:eastAsia="宋体" w:cs="宋体"/>
          <w:color w:val="000000" w:themeColor="text1"/>
          <w:lang w:val="en-US" w:eastAsia="zh-CN"/>
          <w14:textFill>
            <w14:solidFill>
              <w14:schemeClr w14:val="tx1"/>
            </w14:solidFill>
          </w14:textFill>
        </w:rPr>
        <w:t>投标函</w:t>
      </w:r>
    </w:p>
    <w:p w14:paraId="53FE3A8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（2）项目实施方案和服务承诺；</w:t>
      </w:r>
    </w:p>
    <w:p w14:paraId="643E01E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（3）项目实施人员一览表</w:t>
      </w:r>
    </w:p>
    <w:p w14:paraId="07BE7AF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r>
        <w:rPr>
          <w:rFonts w:hint="eastAsia" w:ascii="宋体" w:hAnsi="宋体" w:eastAsia="宋体" w:cs="宋体"/>
          <w:color w:val="000000" w:themeColor="text1"/>
          <w:lang w:val="en-US" w:eastAsia="zh-CN"/>
          <w14:textFill>
            <w14:solidFill>
              <w14:schemeClr w14:val="tx1"/>
            </w14:solidFill>
          </w14:textFill>
        </w:rPr>
        <w:t>中标</w:t>
      </w:r>
      <w:r>
        <w:rPr>
          <w:rFonts w:hint="eastAsia" w:ascii="宋体" w:hAnsi="宋体" w:eastAsia="宋体" w:cs="宋体"/>
          <w:color w:val="000000" w:themeColor="text1"/>
          <w14:textFill>
            <w14:solidFill>
              <w14:schemeClr w14:val="tx1"/>
            </w14:solidFill>
          </w14:textFill>
        </w:rPr>
        <w:t>通知书；</w:t>
      </w:r>
    </w:p>
    <w:p w14:paraId="503D5AE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（5）本合同协议书及有关补充资料；</w:t>
      </w:r>
    </w:p>
    <w:p w14:paraId="3610343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w:t>
      </w:r>
      <w:r>
        <w:rPr>
          <w:rFonts w:hint="eastAsia" w:ascii="宋体" w:hAnsi="宋体" w:eastAsia="宋体" w:cs="宋体"/>
          <w:color w:val="000000" w:themeColor="text1"/>
          <w:lang w:val="en-US" w:eastAsia="zh-CN"/>
          <w14:textFill>
            <w14:solidFill>
              <w14:schemeClr w14:val="tx1"/>
            </w14:solidFill>
          </w14:textFill>
        </w:rPr>
        <w:t>招标</w:t>
      </w:r>
      <w:r>
        <w:rPr>
          <w:rFonts w:hint="eastAsia" w:ascii="宋体" w:hAnsi="宋体" w:eastAsia="宋体" w:cs="宋体"/>
          <w:color w:val="000000" w:themeColor="text1"/>
          <w14:textFill>
            <w14:solidFill>
              <w14:schemeClr w14:val="tx1"/>
            </w14:solidFill>
          </w14:textFill>
        </w:rPr>
        <w:t>文件的条款要求。</w:t>
      </w:r>
    </w:p>
    <w:p w14:paraId="6FC9A87F">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
          <w:bCs/>
          <w:color w:val="000000" w:themeColor="text1"/>
          <w14:textFill>
            <w14:solidFill>
              <w14:schemeClr w14:val="tx1"/>
            </w14:solidFill>
          </w14:textFill>
        </w:rPr>
      </w:pPr>
      <w:bookmarkStart w:id="290" w:name="bookmark120"/>
      <w:bookmarkEnd w:id="290"/>
      <w:r>
        <w:rPr>
          <w:rFonts w:hint="eastAsia" w:ascii="宋体" w:hAnsi="宋体" w:eastAsia="宋体" w:cs="宋体"/>
          <w:b/>
          <w:bCs/>
          <w:color w:val="000000" w:themeColor="text1"/>
          <w14:textFill>
            <w14:solidFill>
              <w14:schemeClr w14:val="tx1"/>
            </w14:solidFill>
          </w14:textFill>
        </w:rPr>
        <w:t>第二条  合同金额</w:t>
      </w:r>
    </w:p>
    <w:p w14:paraId="7CE361E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根据《中标通知书》的中标内容，合同的总金额为：（大写）</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人民(¥</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元）。</w:t>
      </w:r>
    </w:p>
    <w:p w14:paraId="0350436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
          <w:bCs/>
          <w:color w:val="000000" w:themeColor="text1"/>
          <w14:textFill>
            <w14:solidFill>
              <w14:schemeClr w14:val="tx1"/>
            </w14:solidFill>
          </w14:textFill>
        </w:rPr>
      </w:pPr>
      <w:bookmarkStart w:id="291" w:name="bookmark122"/>
      <w:bookmarkEnd w:id="291"/>
      <w:r>
        <w:rPr>
          <w:rFonts w:hint="eastAsia" w:ascii="宋体" w:hAnsi="宋体" w:eastAsia="宋体" w:cs="宋体"/>
          <w:b/>
          <w:bCs/>
          <w:color w:val="000000" w:themeColor="text1"/>
          <w14:textFill>
            <w14:solidFill>
              <w14:schemeClr w14:val="tx1"/>
            </w14:solidFill>
          </w14:textFill>
        </w:rPr>
        <w:t>第三条  服务内容</w:t>
      </w:r>
    </w:p>
    <w:p w14:paraId="2F4D57D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服务内容及要求：具体详见</w:t>
      </w:r>
      <w:r>
        <w:rPr>
          <w:rFonts w:hint="eastAsia" w:ascii="宋体" w:hAnsi="宋体" w:eastAsia="宋体" w:cs="宋体"/>
          <w:color w:val="000000" w:themeColor="text1"/>
          <w:lang w:val="en-US" w:eastAsia="zh-CN"/>
          <w14:textFill>
            <w14:solidFill>
              <w14:schemeClr w14:val="tx1"/>
            </w14:solidFill>
          </w14:textFill>
        </w:rPr>
        <w:t>招标</w:t>
      </w:r>
      <w:r>
        <w:rPr>
          <w:rFonts w:hint="eastAsia" w:ascii="宋体" w:hAnsi="宋体" w:eastAsia="宋体" w:cs="宋体"/>
          <w:color w:val="000000" w:themeColor="text1"/>
          <w14:textFill>
            <w14:solidFill>
              <w14:schemeClr w14:val="tx1"/>
            </w14:solidFill>
          </w14:textFill>
        </w:rPr>
        <w:t>文件“服务采购需求” 。乙方必须按照招标文件“服务采购需求”中的所有要 求向甲方提供服务。</w:t>
      </w:r>
    </w:p>
    <w:p w14:paraId="5E3ACA30">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
          <w:bCs/>
          <w:color w:val="000000" w:themeColor="text1"/>
          <w14:textFill>
            <w14:solidFill>
              <w14:schemeClr w14:val="tx1"/>
            </w14:solidFill>
          </w14:textFill>
        </w:rPr>
      </w:pPr>
      <w:bookmarkStart w:id="292" w:name="bookmark124"/>
      <w:bookmarkEnd w:id="292"/>
      <w:r>
        <w:rPr>
          <w:rFonts w:hint="eastAsia" w:ascii="宋体" w:hAnsi="宋体" w:eastAsia="宋体" w:cs="宋体"/>
          <w:b/>
          <w:bCs/>
          <w:color w:val="000000" w:themeColor="text1"/>
          <w14:textFill>
            <w14:solidFill>
              <w14:schemeClr w14:val="tx1"/>
            </w14:solidFill>
          </w14:textFill>
        </w:rPr>
        <w:t>第四条  权力保证</w:t>
      </w:r>
    </w:p>
    <w:p w14:paraId="4B8EDAB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、乙方应保证所提供服务在使用时不会侵犯任何第三方的专利权、商标权、工业设计权或其他权利。</w:t>
      </w:r>
    </w:p>
    <w:p w14:paraId="4D83CCB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 、乙方应按招标文件规定的时间向甲方提供使用货物的有关技术资料。</w:t>
      </w:r>
    </w:p>
    <w:p w14:paraId="336C10C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 、乙方保证所交付的货物的所有权完全属于乙方且无任何抵押、质押、查封等产权瑕疵。</w:t>
      </w:r>
    </w:p>
    <w:p w14:paraId="6E45783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
          <w:bCs/>
          <w:color w:val="000000" w:themeColor="text1"/>
          <w14:textFill>
            <w14:solidFill>
              <w14:schemeClr w14:val="tx1"/>
            </w14:solidFill>
          </w14:textFill>
        </w:rPr>
      </w:pPr>
      <w:bookmarkStart w:id="293" w:name="bookmark126"/>
      <w:bookmarkEnd w:id="293"/>
      <w:r>
        <w:rPr>
          <w:rFonts w:hint="eastAsia" w:ascii="宋体" w:hAnsi="宋体" w:eastAsia="宋体" w:cs="宋体"/>
          <w:b/>
          <w:bCs/>
          <w:color w:val="000000" w:themeColor="text1"/>
          <w14:textFill>
            <w14:solidFill>
              <w14:schemeClr w14:val="tx1"/>
            </w14:solidFill>
          </w14:textFill>
        </w:rPr>
        <w:t>第五条  履行期限、地点和方式</w:t>
      </w:r>
    </w:p>
    <w:p w14:paraId="3B28DD6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、服务地点：广西桂林市采购人指定地点。</w:t>
      </w:r>
    </w:p>
    <w:p w14:paraId="330BF3C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 、服务期限：</w:t>
      </w:r>
      <w:r>
        <w:rPr>
          <w:rFonts w:hint="eastAsia" w:ascii="宋体" w:hAnsi="宋体" w:eastAsia="宋体" w:cs="宋体"/>
          <w:color w:val="000000" w:themeColor="text1"/>
          <w:lang w:val="en-US" w:eastAsia="zh-CN"/>
          <w14:textFill>
            <w14:solidFill>
              <w14:schemeClr w14:val="tx1"/>
            </w14:solidFill>
          </w14:textFill>
        </w:rPr>
        <w:t>自签订合同之日起两年</w:t>
      </w:r>
      <w:r>
        <w:rPr>
          <w:rFonts w:hint="eastAsia" w:ascii="宋体" w:hAnsi="宋体" w:eastAsia="宋体" w:cs="宋体"/>
          <w:color w:val="000000" w:themeColor="text1"/>
          <w14:textFill>
            <w14:solidFill>
              <w14:schemeClr w14:val="tx1"/>
            </w14:solidFill>
          </w14:textFill>
        </w:rPr>
        <w:t>。</w:t>
      </w:r>
    </w:p>
    <w:p w14:paraId="30DA41CE">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
          <w:bCs/>
          <w:color w:val="000000" w:themeColor="text1"/>
          <w14:textFill>
            <w14:solidFill>
              <w14:schemeClr w14:val="tx1"/>
            </w14:solidFill>
          </w14:textFill>
        </w:rPr>
      </w:pPr>
      <w:bookmarkStart w:id="294" w:name="bookmark128"/>
      <w:bookmarkEnd w:id="294"/>
      <w:r>
        <w:rPr>
          <w:rFonts w:hint="eastAsia" w:ascii="宋体" w:hAnsi="宋体" w:eastAsia="宋体" w:cs="宋体"/>
          <w:b/>
          <w:bCs/>
          <w:color w:val="000000" w:themeColor="text1"/>
          <w14:textFill>
            <w14:solidFill>
              <w14:schemeClr w14:val="tx1"/>
            </w14:solidFill>
          </w14:textFill>
        </w:rPr>
        <w:t>第六条  税费</w:t>
      </w:r>
    </w:p>
    <w:p w14:paraId="5892B65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本合同执行中相关的一切税费均由乙方负担。</w:t>
      </w:r>
    </w:p>
    <w:p w14:paraId="68FFA8A5">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
          <w:bCs/>
          <w:color w:val="000000" w:themeColor="text1"/>
          <w14:textFill>
            <w14:solidFill>
              <w14:schemeClr w14:val="tx1"/>
            </w14:solidFill>
          </w14:textFill>
        </w:rPr>
      </w:pPr>
      <w:bookmarkStart w:id="295" w:name="bookmark130"/>
      <w:bookmarkEnd w:id="295"/>
      <w:r>
        <w:rPr>
          <w:rFonts w:hint="eastAsia" w:ascii="宋体" w:hAnsi="宋体" w:eastAsia="宋体" w:cs="宋体"/>
          <w:b/>
          <w:bCs/>
          <w:color w:val="000000" w:themeColor="text1"/>
          <w14:textFill>
            <w14:solidFill>
              <w14:schemeClr w14:val="tx1"/>
            </w14:solidFill>
          </w14:textFill>
        </w:rPr>
        <w:t>第七条  付款方式</w:t>
      </w:r>
    </w:p>
    <w:p w14:paraId="2A3F484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合同签订后10个工作日内支付合同总金额的15%，第4个月10个工作日内支付合同总金额的 15%，第8个月10个工作日内支付合同总金额的15%，第12个月10个工作日内支付合同总金额的 15%，第16个月10个工作日内支付合同总金额的15%，第20个月10个工作日内支付合同总金额的 15%，第24个月10个工作日内支付合同总金额的10%。（因财政性资金需按财政国库支付规定程序申请及办理，如因财政拨付原因导致付款延迟，甲方不承担违约责任。）</w:t>
      </w:r>
    </w:p>
    <w:p w14:paraId="00B03885">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b/>
          <w:bCs/>
          <w:color w:val="000000" w:themeColor="text1"/>
          <w14:textFill>
            <w14:solidFill>
              <w14:schemeClr w14:val="tx1"/>
            </w14:solidFill>
          </w14:textFill>
        </w:rPr>
      </w:pPr>
      <w:bookmarkStart w:id="296" w:name="bookmark132"/>
      <w:bookmarkEnd w:id="296"/>
      <w:r>
        <w:rPr>
          <w:rFonts w:hint="eastAsia" w:ascii="宋体" w:hAnsi="宋体" w:eastAsia="宋体" w:cs="宋体"/>
          <w:b/>
          <w:bCs/>
          <w:color w:val="000000" w:themeColor="text1"/>
          <w:kern w:val="2"/>
          <w:sz w:val="21"/>
          <w:szCs w:val="24"/>
          <w:lang w:val="en-US" w:eastAsia="zh-CN" w:bidi="ar-SA"/>
          <w14:textFill>
            <w14:solidFill>
              <w14:schemeClr w14:val="tx1"/>
            </w14:solidFill>
          </w14:textFill>
        </w:rPr>
        <w:t>第八条</w:t>
      </w:r>
      <w:r>
        <w:rPr>
          <w:rFonts w:hint="eastAsia" w:ascii="宋体" w:hAnsi="宋体" w:eastAsia="宋体" w:cs="宋体"/>
          <w:b/>
          <w:bCs/>
          <w:color w:val="000000" w:themeColor="text1"/>
          <w14:textFill>
            <w14:solidFill>
              <w14:schemeClr w14:val="tx1"/>
            </w14:solidFill>
          </w14:textFill>
        </w:rPr>
        <w:t xml:space="preserve"> 违约责任</w:t>
      </w:r>
    </w:p>
    <w:p w14:paraId="5818992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、乙方所提供的服务质量不合格的，应及时调整，调整不及时的按逾期处罚，乙方应向甲方支付合同 金额 3 %违约金并赔偿甲方经济损失。</w:t>
      </w:r>
    </w:p>
    <w:p w14:paraId="08C366F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 、乙方提供的服务如果侵犯了第三方合法权益而引发的任何纠纷或诉讼，均由乙方负责交涉并承担全部 责任。</w:t>
      </w:r>
    </w:p>
    <w:p w14:paraId="7988501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 、乙方未按本合同和投标文件中规定的服务承诺提供服务的，乙方应按本合同合同金额 5 %向甲方支付 违约金。</w:t>
      </w:r>
    </w:p>
    <w:p w14:paraId="53DEF33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 、其他违约行为按违约款额 5 %收取违约金并赔偿经济损失。</w:t>
      </w:r>
    </w:p>
    <w:p w14:paraId="6935C436">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第九条  不可抗力事件处理</w:t>
      </w:r>
    </w:p>
    <w:p w14:paraId="4EE0BC0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、在合同有效期内，乙方因不可抗力事件导致不能履行合同，则合同履行期可延长，其延长期与不可 抗力影响期相同。</w:t>
      </w:r>
    </w:p>
    <w:p w14:paraId="1272BFD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 、 不可抗力事件发生后，应立即通知对方，并寄送有关权威机构出具的证明。</w:t>
      </w:r>
    </w:p>
    <w:p w14:paraId="020D4AE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3 </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不可抗力事件延续一百二十天以上，双方应通过友好协商，确定是否继续履行合同。</w:t>
      </w:r>
    </w:p>
    <w:p w14:paraId="3A309DF1">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第十条  合同争议解决</w:t>
      </w:r>
    </w:p>
    <w:p w14:paraId="30C872D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、因服务问题发生争议的，应邀请国家认可的相关机构进行鉴定。服务符合要求的，鉴定费由甲方承担；服务不符合要求的，鉴定费由乙方承担。</w:t>
      </w:r>
    </w:p>
    <w:p w14:paraId="601F3F3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 、因履行本合同引起的或与本合同有关的争议， 甲乙双方应首先通过友好协商解决，如果协商不能解决可向甲方所在地人民法院提起诉讼。</w:t>
      </w:r>
    </w:p>
    <w:p w14:paraId="438C0D4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 、诉讼期间，本合同继续履行。</w:t>
      </w:r>
    </w:p>
    <w:p w14:paraId="417EFDC8">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第十一条  合同生效及其它</w:t>
      </w:r>
    </w:p>
    <w:p w14:paraId="0BC1614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、合同经甲乙双方法定代表人或授权代表签字并加盖单位公章后生效。</w:t>
      </w:r>
    </w:p>
    <w:p w14:paraId="2CC9787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 、合同执行中涉及采购资金和采购内容修改或补充的，需经桂林市财政部门审批，并签订书面补充协 议报</w:t>
      </w:r>
      <w:r>
        <w:rPr>
          <w:rFonts w:hint="eastAsia" w:ascii="宋体" w:hAnsi="宋体" w:eastAsia="宋体" w:cs="宋体"/>
          <w:color w:val="000000" w:themeColor="text1"/>
          <w:lang w:val="en-US" w:eastAsia="zh-CN"/>
          <w14:textFill>
            <w14:solidFill>
              <w14:schemeClr w14:val="tx1"/>
            </w14:solidFill>
          </w14:textFill>
        </w:rPr>
        <w:t>桂林市</w:t>
      </w:r>
      <w:r>
        <w:rPr>
          <w:rFonts w:hint="eastAsia" w:ascii="宋体" w:hAnsi="宋体" w:eastAsia="宋体" w:cs="宋体"/>
          <w:color w:val="000000" w:themeColor="text1"/>
          <w14:textFill>
            <w14:solidFill>
              <w14:schemeClr w14:val="tx1"/>
            </w14:solidFill>
          </w14:textFill>
        </w:rPr>
        <w:t>政府采购管理办公室备案，方可作为主合同不可分割的一部分。</w:t>
      </w:r>
    </w:p>
    <w:p w14:paraId="7DDC334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 、本合同未尽事宜，遵照《合同法》有关条文执行。</w:t>
      </w:r>
    </w:p>
    <w:p w14:paraId="12281A67">
      <w:pPr>
        <w:keepNext w:val="0"/>
        <w:keepLines w:val="0"/>
        <w:pageBreakBefore w:val="0"/>
        <w:widowControl w:val="0"/>
        <w:numPr>
          <w:ilvl w:val="0"/>
          <w:numId w:val="4"/>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 </w:t>
      </w:r>
      <w:r>
        <w:rPr>
          <w:rFonts w:hint="eastAsia" w:ascii="宋体" w:hAnsi="宋体" w:eastAsia="宋体" w:cs="宋体"/>
          <w:b/>
          <w:bCs/>
          <w:color w:val="000000" w:themeColor="text1"/>
          <w:lang w:val="en-US" w:eastAsia="zh-CN"/>
          <w14:textFill>
            <w14:solidFill>
              <w14:schemeClr w14:val="tx1"/>
            </w14:solidFill>
          </w14:textFill>
        </w:rPr>
        <w:t>特别约定</w:t>
      </w:r>
    </w:p>
    <w:p w14:paraId="063A5F4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合同履行之日起一个月内采购人有权要求更换一次维保清单内同等价值或相似类型仪器，合同履行满一年后一个月内采购人有权要求更换一次维保清单内同等价值或相似类型仪器，每次更换台数不得超过维保清单中总台数的30%，成交供应商需按采购人要求对更换后仪器进行维保，维保清单仪器总数不变，维保具体要求按照本项目招标文件执行，维保时间与本项目合同履行时间一致，维保费用含在本次成交价中不再另行支付其他费用。</w:t>
      </w:r>
    </w:p>
    <w:p w14:paraId="54C00315">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第十</w:t>
      </w:r>
      <w:r>
        <w:rPr>
          <w:rFonts w:hint="eastAsia" w:ascii="宋体" w:hAnsi="宋体" w:eastAsia="宋体" w:cs="宋体"/>
          <w:b/>
          <w:bCs/>
          <w:color w:val="000000" w:themeColor="text1"/>
          <w:lang w:val="en-US" w:eastAsia="zh-CN"/>
          <w14:textFill>
            <w14:solidFill>
              <w14:schemeClr w14:val="tx1"/>
            </w14:solidFill>
          </w14:textFill>
        </w:rPr>
        <w:t>三</w:t>
      </w:r>
      <w:r>
        <w:rPr>
          <w:rFonts w:hint="eastAsia" w:ascii="宋体" w:hAnsi="宋体" w:eastAsia="宋体" w:cs="宋体"/>
          <w:b/>
          <w:bCs/>
          <w:color w:val="000000" w:themeColor="text1"/>
          <w14:textFill>
            <w14:solidFill>
              <w14:schemeClr w14:val="tx1"/>
            </w14:solidFill>
          </w14:textFill>
        </w:rPr>
        <w:t>条  合同的变更、终止与转让</w:t>
      </w:r>
    </w:p>
    <w:p w14:paraId="41F5101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、除《中华人民共和国政府采购法》第五十条规定的情形外，本合同一经签订， 甲乙双方不得擅自变 更，中止或终止。</w:t>
      </w:r>
    </w:p>
    <w:p w14:paraId="725B189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 、乙方不得擅自转让(无进口资格的供应商委托进口货物除外)其应履行的合同义务。</w:t>
      </w:r>
    </w:p>
    <w:p w14:paraId="05CFA37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第十</w:t>
      </w:r>
      <w:r>
        <w:rPr>
          <w:rFonts w:hint="eastAsia" w:ascii="宋体" w:hAnsi="宋体" w:eastAsia="宋体" w:cs="宋体"/>
          <w:b/>
          <w:bCs/>
          <w:color w:val="000000" w:themeColor="text1"/>
          <w:lang w:val="en-US" w:eastAsia="zh-CN"/>
          <w14:textFill>
            <w14:solidFill>
              <w14:schemeClr w14:val="tx1"/>
            </w14:solidFill>
          </w14:textFill>
        </w:rPr>
        <w:t>四</w:t>
      </w:r>
      <w:r>
        <w:rPr>
          <w:rFonts w:hint="eastAsia" w:ascii="宋体" w:hAnsi="宋体" w:eastAsia="宋体" w:cs="宋体"/>
          <w:b/>
          <w:bCs/>
          <w:color w:val="000000" w:themeColor="text1"/>
          <w14:textFill>
            <w14:solidFill>
              <w14:schemeClr w14:val="tx1"/>
            </w14:solidFill>
          </w14:textFill>
        </w:rPr>
        <w:t>条  签订本合同依据</w:t>
      </w:r>
    </w:p>
    <w:p w14:paraId="0F0129F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、招标文件；</w:t>
      </w:r>
    </w:p>
    <w:p w14:paraId="1ED5077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 、中标供应商的投标报价表；</w:t>
      </w:r>
    </w:p>
    <w:p w14:paraId="190B1C1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 、中标通知书；</w:t>
      </w:r>
    </w:p>
    <w:p w14:paraId="07A4877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 、服务承诺方案；</w:t>
      </w:r>
    </w:p>
    <w:p w14:paraId="7A3D197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 、项目实施方案。</w:t>
      </w:r>
    </w:p>
    <w:p w14:paraId="7E35C7A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本合同甲乙双方签字盖章后生效，一式陆份，具有同等法律效力。政府采购合同双方自签订之日起一个 工作日内将合同原件一份交采购代理机构存档，采购代理机构将政府采购合同在省级以上人民政府财政部门指定媒体上公告。采购人于合同签订之日起七个工作日内将一份合同原件送本级财政部门备案。</w:t>
      </w:r>
    </w:p>
    <w:p w14:paraId="3565F5A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outlineLvl w:val="9"/>
        <w:rPr>
          <w:rFonts w:hint="eastAsia" w:ascii="宋体" w:hAnsi="宋体" w:eastAsia="宋体" w:cs="宋体"/>
          <w:color w:val="000000" w:themeColor="text1"/>
          <w14:textFill>
            <w14:solidFill>
              <w14:schemeClr w14:val="tx1"/>
            </w14:solidFill>
          </w14:textFill>
        </w:rPr>
      </w:pPr>
    </w:p>
    <w:p w14:paraId="1AD4F6D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甲方（公章）：</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乙方（公章， 自然人除外）：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w:t>
      </w:r>
    </w:p>
    <w:p w14:paraId="5BBBD9A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4620" w:hanging="4620" w:hangingChars="2200"/>
        <w:jc w:val="both"/>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法定代表人签字：</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法定代表人（负责人、 自然人）签字（属自然人的应在签名处加盖大拇指指印）：</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w:t>
      </w:r>
    </w:p>
    <w:p w14:paraId="1205652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委托代理人：</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委托代理人：</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w:t>
      </w:r>
    </w:p>
    <w:p w14:paraId="3DA336C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电  话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电   话 ：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w:t>
      </w:r>
    </w:p>
    <w:p w14:paraId="4CCC0A1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开户名称：</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开户名称：</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w:t>
      </w:r>
    </w:p>
    <w:p w14:paraId="1299E26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开户银行：</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开户银行：</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w:t>
      </w:r>
    </w:p>
    <w:p w14:paraId="273C2EF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银行账号：</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银行账号：</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w:t>
      </w:r>
    </w:p>
    <w:p w14:paraId="1E5D476B">
      <w:pPr>
        <w:pageBreakBefore w:val="0"/>
        <w:kinsoku/>
        <w:wordWrap/>
        <w:overflowPunct/>
        <w:topLinePunct w:val="0"/>
        <w:bidi w:val="0"/>
        <w:spacing w:line="340" w:lineRule="exact"/>
        <w:jc w:val="both"/>
        <w:outlineLvl w:val="9"/>
        <w:rPr>
          <w:rFonts w:ascii="宋体" w:hAnsi="宋体" w:cs="宋体"/>
          <w:b/>
          <w:bCs/>
          <w:color w:val="000000" w:themeColor="text1"/>
          <w:kern w:val="44"/>
          <w:sz w:val="32"/>
          <w:szCs w:val="32"/>
          <w:highlight w:val="non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    期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日     期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w:t>
      </w:r>
    </w:p>
    <w:p w14:paraId="6F38FEF9">
      <w:pPr>
        <w:pageBreakBefore w:val="0"/>
        <w:kinsoku/>
        <w:wordWrap/>
        <w:overflowPunct/>
        <w:topLinePunct w:val="0"/>
        <w:bidi w:val="0"/>
        <w:spacing w:line="340" w:lineRule="exact"/>
        <w:jc w:val="center"/>
        <w:outlineLvl w:val="9"/>
        <w:rPr>
          <w:rFonts w:ascii="宋体" w:hAnsi="宋体" w:cs="宋体"/>
          <w:b/>
          <w:bCs/>
          <w:color w:val="000000" w:themeColor="text1"/>
          <w:kern w:val="44"/>
          <w:sz w:val="32"/>
          <w:szCs w:val="32"/>
          <w:highlight w:val="none"/>
          <w14:textFill>
            <w14:solidFill>
              <w14:schemeClr w14:val="tx1"/>
            </w14:solidFill>
          </w14:textFill>
        </w:rPr>
      </w:pPr>
    </w:p>
    <w:p w14:paraId="4C137F9E">
      <w:pPr>
        <w:pageBreakBefore w:val="0"/>
        <w:kinsoku/>
        <w:wordWrap/>
        <w:overflowPunct/>
        <w:topLinePunct w:val="0"/>
        <w:bidi w:val="0"/>
        <w:spacing w:line="340" w:lineRule="exact"/>
        <w:jc w:val="center"/>
        <w:outlineLvl w:val="9"/>
        <w:rPr>
          <w:rFonts w:ascii="宋体" w:hAnsi="宋体" w:cs="宋体"/>
          <w:b/>
          <w:bCs/>
          <w:color w:val="000000" w:themeColor="text1"/>
          <w:kern w:val="44"/>
          <w:sz w:val="32"/>
          <w:szCs w:val="32"/>
          <w:highlight w:val="none"/>
          <w14:textFill>
            <w14:solidFill>
              <w14:schemeClr w14:val="tx1"/>
            </w14:solidFill>
          </w14:textFill>
        </w:rPr>
      </w:pPr>
    </w:p>
    <w:p w14:paraId="1535E44A">
      <w:pPr>
        <w:pageBreakBefore w:val="0"/>
        <w:kinsoku/>
        <w:wordWrap/>
        <w:overflowPunct/>
        <w:topLinePunct w:val="0"/>
        <w:bidi w:val="0"/>
        <w:spacing w:line="340" w:lineRule="exact"/>
        <w:jc w:val="center"/>
        <w:outlineLvl w:val="9"/>
        <w:rPr>
          <w:rFonts w:ascii="宋体" w:hAnsi="宋体" w:cs="宋体"/>
          <w:b/>
          <w:bCs/>
          <w:color w:val="000000" w:themeColor="text1"/>
          <w:kern w:val="44"/>
          <w:sz w:val="32"/>
          <w:szCs w:val="32"/>
          <w:highlight w:val="none"/>
          <w14:textFill>
            <w14:solidFill>
              <w14:schemeClr w14:val="tx1"/>
            </w14:solidFill>
          </w14:textFill>
        </w:rPr>
      </w:pPr>
    </w:p>
    <w:p w14:paraId="567F81B0">
      <w:pPr>
        <w:pageBreakBefore w:val="0"/>
        <w:kinsoku/>
        <w:wordWrap/>
        <w:overflowPunct/>
        <w:topLinePunct w:val="0"/>
        <w:bidi w:val="0"/>
        <w:spacing w:line="340" w:lineRule="exact"/>
        <w:jc w:val="center"/>
        <w:outlineLvl w:val="9"/>
        <w:rPr>
          <w:rFonts w:ascii="宋体" w:hAnsi="宋体" w:cs="宋体"/>
          <w:b/>
          <w:bCs/>
          <w:color w:val="000000" w:themeColor="text1"/>
          <w:kern w:val="44"/>
          <w:sz w:val="32"/>
          <w:szCs w:val="32"/>
          <w:highlight w:val="none"/>
          <w14:textFill>
            <w14:solidFill>
              <w14:schemeClr w14:val="tx1"/>
            </w14:solidFill>
          </w14:textFill>
        </w:rPr>
      </w:pPr>
    </w:p>
    <w:p w14:paraId="060AB433">
      <w:pPr>
        <w:pageBreakBefore w:val="0"/>
        <w:kinsoku/>
        <w:wordWrap/>
        <w:overflowPunct/>
        <w:topLinePunct w:val="0"/>
        <w:bidi w:val="0"/>
        <w:spacing w:line="340" w:lineRule="exact"/>
        <w:jc w:val="center"/>
        <w:outlineLvl w:val="9"/>
        <w:rPr>
          <w:rFonts w:ascii="宋体" w:hAnsi="宋体" w:cs="宋体"/>
          <w:b/>
          <w:bCs/>
          <w:color w:val="000000" w:themeColor="text1"/>
          <w:kern w:val="44"/>
          <w:sz w:val="32"/>
          <w:szCs w:val="32"/>
          <w:highlight w:val="none"/>
          <w14:textFill>
            <w14:solidFill>
              <w14:schemeClr w14:val="tx1"/>
            </w14:solidFill>
          </w14:textFill>
        </w:rPr>
      </w:pPr>
    </w:p>
    <w:p w14:paraId="77667E98">
      <w:pPr>
        <w:pageBreakBefore w:val="0"/>
        <w:kinsoku/>
        <w:wordWrap/>
        <w:overflowPunct/>
        <w:topLinePunct w:val="0"/>
        <w:bidi w:val="0"/>
        <w:spacing w:line="340" w:lineRule="exact"/>
        <w:jc w:val="both"/>
        <w:outlineLvl w:val="9"/>
        <w:rPr>
          <w:rFonts w:ascii="宋体" w:hAnsi="宋体" w:cs="宋体"/>
          <w:b/>
          <w:bCs/>
          <w:color w:val="000000" w:themeColor="text1"/>
          <w:kern w:val="44"/>
          <w:sz w:val="32"/>
          <w:szCs w:val="32"/>
          <w:highlight w:val="none"/>
          <w14:textFill>
            <w14:solidFill>
              <w14:schemeClr w14:val="tx1"/>
            </w14:solidFill>
          </w14:textFill>
        </w:rPr>
      </w:pPr>
    </w:p>
    <w:p w14:paraId="6F7F2DDD">
      <w:pPr>
        <w:pageBreakBefore w:val="0"/>
        <w:kinsoku/>
        <w:wordWrap/>
        <w:overflowPunct/>
        <w:topLinePunct w:val="0"/>
        <w:bidi w:val="0"/>
        <w:spacing w:line="340" w:lineRule="exact"/>
        <w:jc w:val="center"/>
        <w:outlineLvl w:val="9"/>
        <w:rPr>
          <w:rFonts w:ascii="宋体" w:hAnsi="宋体" w:cs="宋体"/>
          <w:b/>
          <w:bCs/>
          <w:color w:val="000000" w:themeColor="text1"/>
          <w:kern w:val="44"/>
          <w:sz w:val="32"/>
          <w:szCs w:val="32"/>
          <w:highlight w:val="none"/>
          <w14:textFill>
            <w14:solidFill>
              <w14:schemeClr w14:val="tx1"/>
            </w14:solidFill>
          </w14:textFill>
        </w:rPr>
      </w:pPr>
    </w:p>
    <w:p w14:paraId="197D1B5E">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ascii="宋体" w:hAnsi="宋体" w:cs="宋体"/>
          <w:color w:val="000000" w:themeColor="text1"/>
          <w:sz w:val="32"/>
          <w:szCs w:val="32"/>
          <w:highlight w:val="none"/>
          <w14:textFill>
            <w14:solidFill>
              <w14:schemeClr w14:val="tx1"/>
            </w14:solidFill>
          </w14:textFill>
        </w:rPr>
      </w:pPr>
      <w:bookmarkStart w:id="297" w:name="_Toc6607"/>
      <w:r>
        <w:rPr>
          <w:rFonts w:hint="eastAsia" w:ascii="宋体" w:hAnsi="宋体" w:cs="宋体"/>
          <w:b/>
          <w:bCs/>
          <w:color w:val="000000" w:themeColor="text1"/>
          <w:kern w:val="44"/>
          <w:sz w:val="32"/>
          <w:szCs w:val="32"/>
          <w:highlight w:val="none"/>
          <w14:textFill>
            <w14:solidFill>
              <w14:schemeClr w14:val="tx1"/>
            </w14:solidFill>
          </w14:textFill>
        </w:rPr>
        <w:t>第六章  投标文件（格式）</w:t>
      </w:r>
      <w:bookmarkEnd w:id="285"/>
      <w:bookmarkEnd w:id="286"/>
      <w:bookmarkEnd w:id="287"/>
      <w:bookmarkEnd w:id="288"/>
      <w:bookmarkEnd w:id="297"/>
    </w:p>
    <w:p w14:paraId="6F8FAC1A">
      <w:pPr>
        <w:pageBreakBefore w:val="0"/>
        <w:kinsoku/>
        <w:wordWrap/>
        <w:overflowPunct/>
        <w:topLinePunct w:val="0"/>
        <w:bidi w:val="0"/>
        <w:outlineLvl w:val="9"/>
        <w:rPr>
          <w:b/>
          <w:bCs/>
          <w:color w:val="000000" w:themeColor="text1"/>
          <w:sz w:val="30"/>
          <w:szCs w:val="30"/>
          <w:highlight w:val="none"/>
          <w14:textFill>
            <w14:solidFill>
              <w14:schemeClr w14:val="tx1"/>
            </w14:solidFill>
          </w14:textFill>
        </w:rPr>
      </w:pPr>
      <w:bookmarkStart w:id="298" w:name="_Toc478137727"/>
      <w:bookmarkStart w:id="299" w:name="_Toc498627082"/>
      <w:bookmarkStart w:id="300" w:name="_Toc498698226"/>
      <w:bookmarkStart w:id="301" w:name="_Toc486695806"/>
      <w:bookmarkStart w:id="302" w:name="_Toc486867150"/>
      <w:bookmarkStart w:id="303" w:name="_Toc31410"/>
      <w:bookmarkStart w:id="304" w:name="_Toc1762"/>
      <w:r>
        <w:rPr>
          <w:rFonts w:hint="eastAsia"/>
          <w:b/>
          <w:bCs/>
          <w:color w:val="000000" w:themeColor="text1"/>
          <w:sz w:val="30"/>
          <w:szCs w:val="30"/>
          <w:highlight w:val="none"/>
          <w14:textFill>
            <w14:solidFill>
              <w14:schemeClr w14:val="tx1"/>
            </w14:solidFill>
          </w14:textFill>
        </w:rPr>
        <w:t>投标文件封面格式</w:t>
      </w:r>
      <w:bookmarkEnd w:id="298"/>
      <w:bookmarkEnd w:id="299"/>
      <w:bookmarkEnd w:id="300"/>
      <w:bookmarkEnd w:id="301"/>
      <w:bookmarkEnd w:id="302"/>
      <w:r>
        <w:rPr>
          <w:rFonts w:hint="eastAsia"/>
          <w:b/>
          <w:bCs/>
          <w:color w:val="000000" w:themeColor="text1"/>
          <w:sz w:val="30"/>
          <w:szCs w:val="30"/>
          <w:highlight w:val="none"/>
          <w14:textFill>
            <w14:solidFill>
              <w14:schemeClr w14:val="tx1"/>
            </w14:solidFill>
          </w14:textFill>
        </w:rPr>
        <w:t>：</w:t>
      </w:r>
      <w:bookmarkEnd w:id="303"/>
      <w:bookmarkEnd w:id="304"/>
    </w:p>
    <w:p w14:paraId="75CA622B">
      <w:pPr>
        <w:pStyle w:val="49"/>
        <w:pageBreakBefore w:val="0"/>
        <w:kinsoku/>
        <w:wordWrap/>
        <w:overflowPunct/>
        <w:topLinePunct w:val="0"/>
        <w:bidi w:val="0"/>
        <w:outlineLvl w:val="9"/>
        <w:rPr>
          <w:rFonts w:ascii="宋体" w:hAnsi="宋体" w:cs="宋体"/>
          <w:b/>
          <w:color w:val="000000" w:themeColor="text1"/>
          <w:sz w:val="44"/>
          <w:szCs w:val="44"/>
          <w:highlight w:val="none"/>
          <w14:textFill>
            <w14:solidFill>
              <w14:schemeClr w14:val="tx1"/>
            </w14:solidFill>
          </w14:textFill>
        </w:rPr>
      </w:pPr>
    </w:p>
    <w:p w14:paraId="70250E38">
      <w:pPr>
        <w:pStyle w:val="49"/>
        <w:pageBreakBefore w:val="0"/>
        <w:kinsoku/>
        <w:wordWrap/>
        <w:overflowPunct/>
        <w:topLinePunct w:val="0"/>
        <w:bidi w:val="0"/>
        <w:outlineLvl w:val="9"/>
        <w:rPr>
          <w:rFonts w:ascii="宋体" w:hAnsi="宋体" w:cs="宋体"/>
          <w:b/>
          <w:color w:val="000000" w:themeColor="text1"/>
          <w:sz w:val="44"/>
          <w:szCs w:val="44"/>
          <w:highlight w:val="none"/>
          <w14:textFill>
            <w14:solidFill>
              <w14:schemeClr w14:val="tx1"/>
            </w14:solidFill>
          </w14:textFill>
        </w:rPr>
      </w:pPr>
    </w:p>
    <w:p w14:paraId="589F6B42">
      <w:pPr>
        <w:pStyle w:val="49"/>
        <w:pageBreakBefore w:val="0"/>
        <w:kinsoku/>
        <w:wordWrap/>
        <w:overflowPunct/>
        <w:topLinePunct w:val="0"/>
        <w:bidi w:val="0"/>
        <w:outlineLvl w:val="9"/>
        <w:rPr>
          <w:rFonts w:ascii="宋体" w:hAnsi="宋体" w:cs="宋体"/>
          <w:b/>
          <w:color w:val="000000" w:themeColor="text1"/>
          <w:sz w:val="44"/>
          <w:szCs w:val="44"/>
          <w:highlight w:val="none"/>
          <w14:textFill>
            <w14:solidFill>
              <w14:schemeClr w14:val="tx1"/>
            </w14:solidFill>
          </w14:textFill>
        </w:rPr>
      </w:pPr>
    </w:p>
    <w:p w14:paraId="76E2B8FC">
      <w:pPr>
        <w:pageBreakBefore w:val="0"/>
        <w:kinsoku/>
        <w:wordWrap/>
        <w:overflowPunct/>
        <w:topLinePunct w:val="0"/>
        <w:bidi w:val="0"/>
        <w:adjustRightInd w:val="0"/>
        <w:snapToGrid w:val="0"/>
        <w:jc w:val="center"/>
        <w:outlineLvl w:val="9"/>
        <w:rPr>
          <w:rFonts w:ascii="宋体" w:hAnsi="宋体" w:cs="宋体"/>
          <w:b/>
          <w:color w:val="000000" w:themeColor="text1"/>
          <w:sz w:val="44"/>
          <w:szCs w:val="44"/>
          <w:highlight w:val="none"/>
          <w14:textFill>
            <w14:solidFill>
              <w14:schemeClr w14:val="tx1"/>
            </w14:solidFill>
          </w14:textFill>
        </w:rPr>
      </w:pPr>
      <w:bookmarkStart w:id="305" w:name="_Toc13659_WPSOffice_Level1"/>
      <w:bookmarkStart w:id="306" w:name="_Toc3441_WPSOffice_Level1"/>
      <w:r>
        <w:rPr>
          <w:rFonts w:hint="eastAsia" w:ascii="宋体" w:hAnsi="宋体" w:cs="宋体"/>
          <w:bCs/>
          <w:color w:val="000000" w:themeColor="text1"/>
          <w:sz w:val="72"/>
          <w:szCs w:val="72"/>
          <w:highlight w:val="none"/>
          <w14:textFill>
            <w14:solidFill>
              <w14:schemeClr w14:val="tx1"/>
            </w14:solidFill>
          </w14:textFill>
        </w:rPr>
        <w:t>投标文件</w:t>
      </w:r>
      <w:bookmarkEnd w:id="305"/>
      <w:bookmarkEnd w:id="306"/>
    </w:p>
    <w:p w14:paraId="72DF9EF8">
      <w:pPr>
        <w:pageBreakBefore w:val="0"/>
        <w:kinsoku/>
        <w:wordWrap/>
        <w:overflowPunct/>
        <w:topLinePunct w:val="0"/>
        <w:bidi w:val="0"/>
        <w:adjustRightInd w:val="0"/>
        <w:snapToGrid w:val="0"/>
        <w:outlineLvl w:val="9"/>
        <w:rPr>
          <w:rFonts w:ascii="宋体" w:hAnsi="宋体" w:cs="宋体"/>
          <w:b/>
          <w:color w:val="000000" w:themeColor="text1"/>
          <w:sz w:val="44"/>
          <w:szCs w:val="44"/>
          <w:highlight w:val="none"/>
          <w14:textFill>
            <w14:solidFill>
              <w14:schemeClr w14:val="tx1"/>
            </w14:solidFill>
          </w14:textFill>
        </w:rPr>
      </w:pPr>
    </w:p>
    <w:p w14:paraId="07E28104">
      <w:pPr>
        <w:pageBreakBefore w:val="0"/>
        <w:kinsoku/>
        <w:wordWrap/>
        <w:overflowPunct/>
        <w:topLinePunct w:val="0"/>
        <w:bidi w:val="0"/>
        <w:adjustRightInd w:val="0"/>
        <w:snapToGrid w:val="0"/>
        <w:outlineLvl w:val="9"/>
        <w:rPr>
          <w:rFonts w:ascii="宋体" w:hAnsi="宋体" w:cs="宋体"/>
          <w:b/>
          <w:color w:val="000000" w:themeColor="text1"/>
          <w:sz w:val="44"/>
          <w:szCs w:val="44"/>
          <w:highlight w:val="none"/>
          <w14:textFill>
            <w14:solidFill>
              <w14:schemeClr w14:val="tx1"/>
            </w14:solidFill>
          </w14:textFill>
        </w:rPr>
      </w:pPr>
    </w:p>
    <w:p w14:paraId="177C1FBE">
      <w:pPr>
        <w:pStyle w:val="133"/>
        <w:pageBreakBefore w:val="0"/>
        <w:kinsoku/>
        <w:wordWrap/>
        <w:overflowPunct/>
        <w:topLinePunct w:val="0"/>
        <w:bidi w:val="0"/>
        <w:ind w:firstLine="883"/>
        <w:outlineLvl w:val="9"/>
        <w:rPr>
          <w:rFonts w:ascii="宋体" w:hAnsi="宋体" w:cs="宋体"/>
          <w:b/>
          <w:color w:val="000000" w:themeColor="text1"/>
          <w:sz w:val="44"/>
          <w:szCs w:val="44"/>
          <w:highlight w:val="none"/>
          <w14:textFill>
            <w14:solidFill>
              <w14:schemeClr w14:val="tx1"/>
            </w14:solidFill>
          </w14:textFill>
        </w:rPr>
      </w:pPr>
    </w:p>
    <w:p w14:paraId="0FDA72B9">
      <w:pPr>
        <w:pageBreakBefore w:val="0"/>
        <w:kinsoku/>
        <w:wordWrap/>
        <w:overflowPunct/>
        <w:topLinePunct w:val="0"/>
        <w:bidi w:val="0"/>
        <w:spacing w:line="360" w:lineRule="auto"/>
        <w:ind w:firstLine="1920" w:firstLineChars="800"/>
        <w:outlineLvl w:val="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项目名称：</w:t>
      </w:r>
    </w:p>
    <w:p w14:paraId="3DC03071">
      <w:pPr>
        <w:pageBreakBefore w:val="0"/>
        <w:kinsoku/>
        <w:wordWrap/>
        <w:overflowPunct/>
        <w:topLinePunct w:val="0"/>
        <w:bidi w:val="0"/>
        <w:spacing w:line="360" w:lineRule="auto"/>
        <w:ind w:firstLine="1920" w:firstLineChars="800"/>
        <w:outlineLvl w:val="9"/>
        <w:rPr>
          <w:rFonts w:hint="eastAsia" w:ascii="宋体" w:hAnsi="宋体" w:cs="宋体"/>
          <w:bCs/>
          <w:color w:val="000000" w:themeColor="text1"/>
          <w:sz w:val="24"/>
          <w:szCs w:val="24"/>
          <w:highlight w:val="none"/>
          <w14:textFill>
            <w14:solidFill>
              <w14:schemeClr w14:val="tx1"/>
            </w14:solidFill>
          </w14:textFill>
        </w:rPr>
      </w:pPr>
    </w:p>
    <w:p w14:paraId="4A6FED9C">
      <w:pPr>
        <w:pageBreakBefore w:val="0"/>
        <w:kinsoku/>
        <w:wordWrap/>
        <w:overflowPunct/>
        <w:topLinePunct w:val="0"/>
        <w:bidi w:val="0"/>
        <w:spacing w:line="360" w:lineRule="auto"/>
        <w:ind w:firstLine="1920" w:firstLineChars="800"/>
        <w:outlineLvl w:val="9"/>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项目编号：</w:t>
      </w:r>
    </w:p>
    <w:p w14:paraId="418A0311">
      <w:pPr>
        <w:pageBreakBefore w:val="0"/>
        <w:kinsoku/>
        <w:wordWrap/>
        <w:overflowPunct/>
        <w:topLinePunct w:val="0"/>
        <w:bidi w:val="0"/>
        <w:snapToGrid w:val="0"/>
        <w:spacing w:before="120" w:beforeLines="50" w:after="50" w:line="360" w:lineRule="auto"/>
        <w:outlineLvl w:val="9"/>
        <w:rPr>
          <w:rFonts w:ascii="宋体" w:hAnsi="宋体" w:cs="宋体"/>
          <w:bCs/>
          <w:color w:val="000000" w:themeColor="text1"/>
          <w:sz w:val="24"/>
          <w:szCs w:val="24"/>
          <w:highlight w:val="none"/>
          <w14:textFill>
            <w14:solidFill>
              <w14:schemeClr w14:val="tx1"/>
            </w14:solidFill>
          </w14:textFill>
        </w:rPr>
      </w:pPr>
    </w:p>
    <w:p w14:paraId="4CBC3263">
      <w:pPr>
        <w:pStyle w:val="49"/>
        <w:pageBreakBefore w:val="0"/>
        <w:kinsoku/>
        <w:wordWrap/>
        <w:overflowPunct/>
        <w:topLinePunct w:val="0"/>
        <w:bidi w:val="0"/>
        <w:spacing w:line="360" w:lineRule="auto"/>
        <w:outlineLvl w:val="9"/>
        <w:rPr>
          <w:color w:val="000000" w:themeColor="text1"/>
          <w:sz w:val="24"/>
          <w:szCs w:val="24"/>
          <w:highlight w:val="none"/>
          <w14:textFill>
            <w14:solidFill>
              <w14:schemeClr w14:val="tx1"/>
            </w14:solidFill>
          </w14:textFill>
        </w:rPr>
      </w:pPr>
    </w:p>
    <w:p w14:paraId="6AE5DE99">
      <w:pPr>
        <w:pageBreakBefore w:val="0"/>
        <w:kinsoku/>
        <w:wordWrap/>
        <w:overflowPunct/>
        <w:topLinePunct w:val="0"/>
        <w:bidi w:val="0"/>
        <w:snapToGrid w:val="0"/>
        <w:spacing w:before="120" w:beforeLines="50" w:after="50" w:line="360" w:lineRule="auto"/>
        <w:ind w:firstLine="1080" w:firstLineChars="450"/>
        <w:outlineLvl w:val="9"/>
        <w:rPr>
          <w:rFonts w:ascii="宋体" w:hAnsi="宋体" w:cs="宋体"/>
          <w:bCs/>
          <w:color w:val="000000" w:themeColor="text1"/>
          <w:sz w:val="24"/>
          <w:szCs w:val="24"/>
          <w:highlight w:val="none"/>
          <w14:textFill>
            <w14:solidFill>
              <w14:schemeClr w14:val="tx1"/>
            </w14:solidFill>
          </w14:textFill>
        </w:rPr>
      </w:pPr>
    </w:p>
    <w:p w14:paraId="0F997D3C">
      <w:pPr>
        <w:pageBreakBefore w:val="0"/>
        <w:kinsoku/>
        <w:wordWrap/>
        <w:overflowPunct/>
        <w:topLinePunct w:val="0"/>
        <w:bidi w:val="0"/>
        <w:snapToGrid w:val="0"/>
        <w:spacing w:before="120" w:beforeLines="50" w:after="50" w:line="360" w:lineRule="auto"/>
        <w:ind w:firstLine="1080" w:firstLineChars="450"/>
        <w:outlineLvl w:val="9"/>
        <w:rPr>
          <w:rFonts w:ascii="宋体" w:hAnsi="宋体" w:cs="宋体"/>
          <w:bCs/>
          <w:color w:val="000000" w:themeColor="text1"/>
          <w:sz w:val="24"/>
          <w:szCs w:val="24"/>
          <w:highlight w:val="none"/>
          <w14:textFill>
            <w14:solidFill>
              <w14:schemeClr w14:val="tx1"/>
            </w14:solidFill>
          </w14:textFill>
        </w:rPr>
      </w:pPr>
    </w:p>
    <w:p w14:paraId="0E661EC6">
      <w:pPr>
        <w:pageBreakBefore w:val="0"/>
        <w:kinsoku/>
        <w:wordWrap/>
        <w:overflowPunct/>
        <w:topLinePunct w:val="0"/>
        <w:bidi w:val="0"/>
        <w:spacing w:line="360" w:lineRule="auto"/>
        <w:ind w:firstLine="723" w:firstLineChars="300"/>
        <w:jc w:val="left"/>
        <w:outlineLvl w:val="9"/>
        <w:rPr>
          <w:rFonts w:ascii="宋体" w:hAnsi="宋体" w:cs="宋体"/>
          <w:b/>
          <w:color w:val="000000" w:themeColor="text1"/>
          <w:sz w:val="24"/>
          <w:szCs w:val="24"/>
          <w:highlight w:val="none"/>
          <w14:textFill>
            <w14:solidFill>
              <w14:schemeClr w14:val="tx1"/>
            </w14:solidFill>
          </w14:textFill>
        </w:rPr>
      </w:pPr>
    </w:p>
    <w:p w14:paraId="7EB73957">
      <w:pPr>
        <w:pStyle w:val="15"/>
        <w:pageBreakBefore w:val="0"/>
        <w:kinsoku/>
        <w:wordWrap/>
        <w:overflowPunct/>
        <w:topLinePunct w:val="0"/>
        <w:bidi w:val="0"/>
        <w:spacing w:line="360" w:lineRule="auto"/>
        <w:ind w:left="980" w:hanging="480" w:hangingChars="200"/>
        <w:outlineLvl w:val="9"/>
        <w:rPr>
          <w:rFonts w:ascii="宋体" w:hAnsi="宋体" w:cs="宋体"/>
          <w:bCs/>
          <w:color w:val="000000" w:themeColor="text1"/>
          <w:sz w:val="24"/>
          <w:szCs w:val="24"/>
          <w:highlight w:val="none"/>
          <w:u w:val="singl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采购代理机构：</w:t>
      </w:r>
      <w:r>
        <w:rPr>
          <w:rFonts w:hint="eastAsia" w:ascii="宋体" w:hAnsi="宋体" w:cs="宋体"/>
          <w:bCs/>
          <w:color w:val="000000" w:themeColor="text1"/>
          <w:sz w:val="24"/>
          <w:szCs w:val="24"/>
          <w:highlight w:val="none"/>
          <w:u w:val="single"/>
          <w14:textFill>
            <w14:solidFill>
              <w14:schemeClr w14:val="tx1"/>
            </w14:solidFill>
          </w14:textFill>
        </w:rPr>
        <w:t>广西奥金斯项目管理有限公司</w:t>
      </w:r>
    </w:p>
    <w:p w14:paraId="561FAD46">
      <w:pPr>
        <w:pStyle w:val="15"/>
        <w:pageBreakBefore w:val="0"/>
        <w:kinsoku/>
        <w:wordWrap/>
        <w:overflowPunct/>
        <w:topLinePunct w:val="0"/>
        <w:bidi w:val="0"/>
        <w:spacing w:line="360" w:lineRule="auto"/>
        <w:ind w:left="980" w:hanging="480" w:hangingChars="200"/>
        <w:outlineLvl w:val="9"/>
        <w:rPr>
          <w:rFonts w:ascii="宋体" w:hAnsi="宋体" w:cs="宋体"/>
          <w:bCs/>
          <w:color w:val="000000" w:themeColor="text1"/>
          <w:sz w:val="24"/>
          <w:szCs w:val="24"/>
          <w:highlight w:val="none"/>
          <w14:textFill>
            <w14:solidFill>
              <w14:schemeClr w14:val="tx1"/>
            </w14:solidFill>
          </w14:textFill>
        </w:rPr>
      </w:pPr>
      <w:bookmarkStart w:id="307" w:name="_Toc4932_WPSOffice_Level2"/>
      <w:bookmarkStart w:id="308" w:name="_Toc20319_WPSOffice_Level2"/>
      <w:r>
        <w:rPr>
          <w:rFonts w:hint="eastAsia" w:ascii="宋体" w:hAnsi="宋体" w:cs="宋体"/>
          <w:bCs/>
          <w:color w:val="000000" w:themeColor="text1"/>
          <w:sz w:val="24"/>
          <w:szCs w:val="24"/>
          <w:highlight w:val="none"/>
          <w14:textFill>
            <w14:solidFill>
              <w14:schemeClr w14:val="tx1"/>
            </w14:solidFill>
          </w14:textFill>
        </w:rPr>
        <w:t>投标人（CA签章、自然人除外）：</w:t>
      </w:r>
      <w:bookmarkEnd w:id="307"/>
      <w:bookmarkEnd w:id="308"/>
    </w:p>
    <w:p w14:paraId="18473B36">
      <w:pPr>
        <w:pStyle w:val="17"/>
        <w:pageBreakBefore w:val="0"/>
        <w:kinsoku/>
        <w:wordWrap/>
        <w:overflowPunct/>
        <w:topLinePunct w:val="0"/>
        <w:bidi w:val="0"/>
        <w:spacing w:line="360" w:lineRule="auto"/>
        <w:ind w:firstLine="420"/>
        <w:outlineLvl w:val="9"/>
        <w:rPr>
          <w:rFonts w:hAnsi="宋体" w:cs="宋体"/>
          <w:color w:val="000000" w:themeColor="text1"/>
          <w:sz w:val="24"/>
          <w:szCs w:val="24"/>
          <w:highlight w:val="none"/>
          <w:u w:val="single"/>
          <w14:textFill>
            <w14:solidFill>
              <w14:schemeClr w14:val="tx1"/>
            </w14:solidFill>
          </w14:textFill>
        </w:rPr>
      </w:pPr>
      <w:bookmarkStart w:id="309" w:name="_Toc4767_WPSOffice_Level2"/>
      <w:bookmarkStart w:id="310" w:name="_Toc11679_WPSOffice_Level2"/>
      <w:r>
        <w:rPr>
          <w:rFonts w:hint="eastAsia" w:hAnsi="宋体" w:cs="宋体"/>
          <w:color w:val="000000" w:themeColor="text1"/>
          <w:sz w:val="24"/>
          <w:szCs w:val="24"/>
          <w:highlight w:val="none"/>
          <w14:textFill>
            <w14:solidFill>
              <w14:schemeClr w14:val="tx1"/>
            </w14:solidFill>
          </w14:textFill>
        </w:rPr>
        <w:t>法定代表人、负责人、自然人或相应的委托代理人签字（或盖章/个人CA签章）（属自然人的应在签名处加盖大拇指指印）：</w:t>
      </w:r>
      <w:bookmarkEnd w:id="309"/>
      <w:bookmarkEnd w:id="310"/>
      <w:bookmarkStart w:id="311" w:name="_Toc9622_WPSOffice_Level2"/>
      <w:bookmarkStart w:id="312" w:name="_Toc32056_WPSOffice_Level2"/>
    </w:p>
    <w:p w14:paraId="7FB745DA">
      <w:pPr>
        <w:pStyle w:val="15"/>
        <w:pageBreakBefore w:val="0"/>
        <w:kinsoku/>
        <w:wordWrap/>
        <w:overflowPunct/>
        <w:topLinePunct w:val="0"/>
        <w:bidi w:val="0"/>
        <w:spacing w:line="360" w:lineRule="auto"/>
        <w:ind w:left="980" w:hanging="480" w:hangingChars="200"/>
        <w:outlineLvl w:val="9"/>
        <w:rPr>
          <w:rFonts w:ascii="宋体" w:hAnsi="宋体" w:cs="宋体"/>
          <w:bCs/>
          <w:color w:val="000000" w:themeColor="text1"/>
          <w:sz w:val="24"/>
          <w:szCs w:val="24"/>
          <w:highlight w:val="none"/>
          <w:u w:val="singl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联系电话：</w:t>
      </w:r>
      <w:bookmarkEnd w:id="311"/>
      <w:bookmarkEnd w:id="312"/>
    </w:p>
    <w:p w14:paraId="34FFC816">
      <w:pPr>
        <w:pStyle w:val="15"/>
        <w:pageBreakBefore w:val="0"/>
        <w:kinsoku/>
        <w:wordWrap/>
        <w:overflowPunct/>
        <w:topLinePunct w:val="0"/>
        <w:bidi w:val="0"/>
        <w:spacing w:line="360" w:lineRule="auto"/>
        <w:ind w:left="980" w:hanging="480" w:hangingChars="200"/>
        <w:outlineLvl w:val="9"/>
        <w:rPr>
          <w:rFonts w:ascii="宋体" w:hAnsi="宋体" w:cs="宋体"/>
          <w:b/>
          <w:color w:val="000000" w:themeColor="text1"/>
          <w:sz w:val="24"/>
          <w:szCs w:val="24"/>
          <w:highlight w:val="none"/>
          <w14:textFill>
            <w14:solidFill>
              <w14:schemeClr w14:val="tx1"/>
            </w14:solidFill>
          </w14:textFill>
        </w:rPr>
      </w:pPr>
      <w:bookmarkStart w:id="313" w:name="_Toc15933_WPSOffice_Level2"/>
      <w:bookmarkStart w:id="314" w:name="_Toc26465_WPSOffice_Level2"/>
      <w:r>
        <w:rPr>
          <w:rFonts w:hint="eastAsia" w:ascii="宋体" w:hAnsi="宋体" w:cs="宋体"/>
          <w:bCs/>
          <w:color w:val="000000" w:themeColor="text1"/>
          <w:sz w:val="24"/>
          <w:szCs w:val="24"/>
          <w:highlight w:val="none"/>
          <w14:textFill>
            <w14:solidFill>
              <w14:schemeClr w14:val="tx1"/>
            </w14:solidFill>
          </w14:textFill>
        </w:rPr>
        <w:t>日期：</w:t>
      </w:r>
      <w:r>
        <w:rPr>
          <w:rFonts w:hint="eastAsia" w:ascii="宋体" w:hAnsi="宋体" w:cs="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Cs/>
          <w:color w:val="000000" w:themeColor="text1"/>
          <w:sz w:val="24"/>
          <w:szCs w:val="24"/>
          <w:highlight w:val="none"/>
          <w14:textFill>
            <w14:solidFill>
              <w14:schemeClr w14:val="tx1"/>
            </w14:solidFill>
          </w14:textFill>
        </w:rPr>
        <w:t>年</w:t>
      </w:r>
      <w:r>
        <w:rPr>
          <w:rFonts w:hint="eastAsia" w:ascii="宋体" w:hAnsi="宋体" w:cs="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Cs/>
          <w:color w:val="000000" w:themeColor="text1"/>
          <w:sz w:val="24"/>
          <w:szCs w:val="24"/>
          <w:highlight w:val="none"/>
          <w14:textFill>
            <w14:solidFill>
              <w14:schemeClr w14:val="tx1"/>
            </w14:solidFill>
          </w14:textFill>
        </w:rPr>
        <w:t>月</w:t>
      </w:r>
      <w:r>
        <w:rPr>
          <w:rFonts w:hint="eastAsia" w:ascii="宋体" w:hAnsi="宋体" w:cs="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Cs/>
          <w:color w:val="000000" w:themeColor="text1"/>
          <w:sz w:val="24"/>
          <w:szCs w:val="24"/>
          <w:highlight w:val="none"/>
          <w14:textFill>
            <w14:solidFill>
              <w14:schemeClr w14:val="tx1"/>
            </w14:solidFill>
          </w14:textFill>
        </w:rPr>
        <w:t>日</w:t>
      </w:r>
      <w:bookmarkEnd w:id="313"/>
      <w:bookmarkEnd w:id="314"/>
    </w:p>
    <w:p w14:paraId="53ABD2A0">
      <w:pPr>
        <w:pageBreakBefore w:val="0"/>
        <w:widowControl/>
        <w:kinsoku/>
        <w:wordWrap/>
        <w:overflowPunct/>
        <w:topLinePunct w:val="0"/>
        <w:bidi w:val="0"/>
        <w:jc w:val="left"/>
        <w:outlineLvl w:val="9"/>
        <w:rPr>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br w:type="page"/>
      </w:r>
    </w:p>
    <w:p w14:paraId="01BC2DC7">
      <w:pPr>
        <w:pageBreakBefore w:val="0"/>
        <w:kinsoku/>
        <w:wordWrap/>
        <w:overflowPunct/>
        <w:topLinePunct w:val="0"/>
        <w:bidi w:val="0"/>
        <w:jc w:val="center"/>
        <w:outlineLvl w:val="9"/>
        <w:rPr>
          <w:rFonts w:ascii="宋体" w:hAnsi="宋体" w:cs="宋体"/>
          <w:b/>
          <w:color w:val="000000" w:themeColor="text1"/>
          <w:sz w:val="28"/>
          <w:szCs w:val="28"/>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投标文件目录</w:t>
      </w:r>
    </w:p>
    <w:p w14:paraId="2B34E31E">
      <w:pPr>
        <w:keepNext w:val="0"/>
        <w:keepLines w:val="0"/>
        <w:pageBreakBefore w:val="0"/>
        <w:widowControl w:val="0"/>
        <w:tabs>
          <w:tab w:val="left" w:pos="1305"/>
        </w:tabs>
        <w:kinsoku/>
        <w:wordWrap/>
        <w:overflowPunct/>
        <w:topLinePunct w:val="0"/>
        <w:autoSpaceDE/>
        <w:autoSpaceDN/>
        <w:bidi w:val="0"/>
        <w:adjustRightInd/>
        <w:snapToGrid/>
        <w:spacing w:line="440" w:lineRule="exact"/>
        <w:ind w:firstLine="361" w:firstLineChars="150"/>
        <w:textAlignment w:val="auto"/>
        <w:outlineLvl w:val="9"/>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一、资格性响应证明材料：</w:t>
      </w:r>
    </w:p>
    <w:p w14:paraId="26F9B5BE">
      <w:pPr>
        <w:keepNext w:val="0"/>
        <w:keepLines w:val="0"/>
        <w:pageBreakBefore w:val="0"/>
        <w:widowControl w:val="0"/>
        <w:tabs>
          <w:tab w:val="left" w:pos="1305"/>
        </w:tabs>
        <w:kinsoku/>
        <w:wordWrap/>
        <w:overflowPunct/>
        <w:topLinePunct w:val="0"/>
        <w:autoSpaceDE/>
        <w:autoSpaceDN/>
        <w:bidi w:val="0"/>
        <w:adjustRightInd/>
        <w:snapToGrid/>
        <w:spacing w:line="440" w:lineRule="exact"/>
        <w:ind w:firstLine="420" w:firstLineChars="200"/>
        <w:textAlignment w:val="auto"/>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1.投标人相应的法定代表人（负责人或自然人）身份证正反面复印件</w:t>
      </w:r>
      <w:r>
        <w:rPr>
          <w:rFonts w:hint="eastAsia" w:ascii="宋体" w:hAnsi="宋体" w:cs="宋体"/>
          <w:b/>
          <w:bCs/>
          <w:color w:val="000000" w:themeColor="text1"/>
          <w:szCs w:val="21"/>
          <w:highlight w:val="none"/>
          <w14:textFill>
            <w14:solidFill>
              <w14:schemeClr w14:val="tx1"/>
            </w14:solidFill>
          </w14:textFill>
        </w:rPr>
        <w:t>（必须提供）；</w:t>
      </w:r>
    </w:p>
    <w:p w14:paraId="54BDFB36">
      <w:pPr>
        <w:keepNext w:val="0"/>
        <w:keepLines w:val="0"/>
        <w:pageBreakBefore w:val="0"/>
        <w:widowControl w:val="0"/>
        <w:kinsoku/>
        <w:wordWrap/>
        <w:overflowPunct/>
        <w:topLinePunct w:val="0"/>
        <w:autoSpaceDE/>
        <w:autoSpaceDN/>
        <w:bidi w:val="0"/>
        <w:adjustRightInd/>
        <w:snapToGrid/>
        <w:spacing w:line="440" w:lineRule="exact"/>
        <w:ind w:firstLine="411" w:firstLineChars="196"/>
        <w:textAlignment w:val="auto"/>
        <w:outlineLvl w:val="9"/>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投标人的授权委托书原件</w:t>
      </w:r>
      <w:r>
        <w:rPr>
          <w:rFonts w:hint="eastAsia" w:ascii="宋体" w:hAnsi="宋体"/>
          <w:b/>
          <w:color w:val="000000" w:themeColor="text1"/>
          <w:szCs w:val="21"/>
          <w:highlight w:val="none"/>
          <w14:textFill>
            <w14:solidFill>
              <w14:schemeClr w14:val="tx1"/>
            </w14:solidFill>
          </w14:textFill>
        </w:rPr>
        <w:t>（格式见附件）</w:t>
      </w:r>
      <w:r>
        <w:rPr>
          <w:rFonts w:hint="eastAsia" w:ascii="宋体" w:hAnsi="宋体"/>
          <w:color w:val="000000" w:themeColor="text1"/>
          <w:szCs w:val="21"/>
          <w:highlight w:val="none"/>
          <w14:textFill>
            <w14:solidFill>
              <w14:schemeClr w14:val="tx1"/>
            </w14:solidFill>
          </w14:textFill>
        </w:rPr>
        <w:t>、委托代理人</w:t>
      </w:r>
      <w:r>
        <w:rPr>
          <w:rFonts w:hint="eastAsia" w:ascii="宋体" w:hAnsi="宋体"/>
          <w:color w:val="000000" w:themeColor="text1"/>
          <w:highlight w:val="none"/>
          <w14:textFill>
            <w14:solidFill>
              <w14:schemeClr w14:val="tx1"/>
            </w14:solidFill>
          </w14:textFill>
        </w:rPr>
        <w:t>身份证正反面</w:t>
      </w:r>
      <w:r>
        <w:rPr>
          <w:rFonts w:hint="eastAsia" w:ascii="宋体" w:hAnsi="宋体"/>
          <w:color w:val="000000" w:themeColor="text1"/>
          <w:szCs w:val="21"/>
          <w:highlight w:val="none"/>
          <w14:textFill>
            <w14:solidFill>
              <w14:schemeClr w14:val="tx1"/>
            </w14:solidFill>
          </w14:textFill>
        </w:rPr>
        <w:t>复印件以及由县级以上（含县级）社会养老保险经办机构出具的</w:t>
      </w:r>
      <w:r>
        <w:rPr>
          <w:rFonts w:hint="eastAsia" w:ascii="宋体" w:hAnsi="宋体"/>
          <w:bCs/>
          <w:color w:val="000000" w:themeColor="text1"/>
          <w:szCs w:val="21"/>
          <w:highlight w:val="none"/>
          <w14:textFill>
            <w14:solidFill>
              <w14:schemeClr w14:val="tx1"/>
            </w14:solidFill>
          </w14:textFill>
        </w:rPr>
        <w:t>投标人为委托代理人交纳投标截止之日前半年内任意连续三个月社保证明复印件</w:t>
      </w:r>
      <w:r>
        <w:rPr>
          <w:rFonts w:hint="eastAsia" w:ascii="宋体" w:hAnsi="宋体"/>
          <w:color w:val="000000" w:themeColor="text1"/>
          <w:szCs w:val="21"/>
          <w:highlight w:val="none"/>
          <w14:textFill>
            <w14:solidFill>
              <w14:schemeClr w14:val="tx1"/>
            </w14:solidFill>
          </w14:textFill>
        </w:rPr>
        <w:t>【自然人投标的应提供由县级以上（含县级）社会养老保险经办机构出具的自然人本人及委托代理人所交纳的社保证明复印件】</w:t>
      </w:r>
      <w:r>
        <w:rPr>
          <w:rFonts w:hint="eastAsia" w:ascii="宋体" w:hAnsi="宋体"/>
          <w:b/>
          <w:color w:val="000000" w:themeColor="text1"/>
          <w:szCs w:val="21"/>
          <w:highlight w:val="none"/>
          <w14:textFill>
            <w14:solidFill>
              <w14:schemeClr w14:val="tx1"/>
            </w14:solidFill>
          </w14:textFill>
        </w:rPr>
        <w:t>（委托代理时必须提供；若为新成立的企业，请根据实际情况提供）</w:t>
      </w:r>
      <w:r>
        <w:rPr>
          <w:rFonts w:hint="eastAsia" w:ascii="宋体" w:hAnsi="宋体"/>
          <w:color w:val="000000" w:themeColor="text1"/>
          <w:szCs w:val="21"/>
          <w:highlight w:val="none"/>
          <w14:textFill>
            <w14:solidFill>
              <w14:schemeClr w14:val="tx1"/>
            </w14:solidFill>
          </w14:textFill>
        </w:rPr>
        <w:t>；</w:t>
      </w:r>
    </w:p>
    <w:p w14:paraId="175B2182">
      <w:pPr>
        <w:keepNext w:val="0"/>
        <w:keepLines w:val="0"/>
        <w:pageBreakBefore w:val="0"/>
        <w:widowControl w:val="0"/>
        <w:kinsoku/>
        <w:wordWrap/>
        <w:overflowPunct/>
        <w:topLinePunct w:val="0"/>
        <w:autoSpaceDE/>
        <w:autoSpaceDN/>
        <w:bidi w:val="0"/>
        <w:adjustRightInd/>
        <w:snapToGrid/>
        <w:spacing w:line="440" w:lineRule="exact"/>
        <w:ind w:firstLine="411" w:firstLineChars="196"/>
        <w:textAlignment w:val="auto"/>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3.投标人的法人或者其他组织营业执照等证明文件复印件</w:t>
      </w:r>
      <w:r>
        <w:rPr>
          <w:rFonts w:hint="eastAsia" w:ascii="宋体" w:hAnsi="宋体" w:cs="宋体"/>
          <w:b/>
          <w:color w:val="000000" w:themeColor="text1"/>
          <w:szCs w:val="21"/>
          <w:highlight w:val="none"/>
          <w14:textFill>
            <w14:solidFill>
              <w14:schemeClr w14:val="tx1"/>
            </w14:solidFill>
          </w14:textFill>
        </w:rPr>
        <w:t>（必须提供，自然人除外）</w:t>
      </w:r>
      <w:r>
        <w:rPr>
          <w:rFonts w:hint="eastAsia" w:ascii="宋体" w:hAnsi="宋体" w:cs="宋体"/>
          <w:color w:val="000000" w:themeColor="text1"/>
          <w:szCs w:val="21"/>
          <w:highlight w:val="none"/>
          <w14:textFill>
            <w14:solidFill>
              <w14:schemeClr w14:val="tx1"/>
            </w14:solidFill>
          </w14:textFill>
        </w:rPr>
        <w:t>；</w:t>
      </w:r>
    </w:p>
    <w:p w14:paraId="1E21385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投标人参加采购活动前3年内在经营活动中没有重大违法记录及有关信用信息的书面声明</w:t>
      </w:r>
      <w:r>
        <w:rPr>
          <w:rFonts w:hint="eastAsia" w:ascii="宋体" w:hAnsi="宋体"/>
          <w:b/>
          <w:color w:val="000000" w:themeColor="text1"/>
          <w:szCs w:val="21"/>
          <w:highlight w:val="none"/>
          <w14:textFill>
            <w14:solidFill>
              <w14:schemeClr w14:val="tx1"/>
            </w14:solidFill>
          </w14:textFill>
        </w:rPr>
        <w:t>（格式见附件，必须提供）</w:t>
      </w:r>
      <w:r>
        <w:rPr>
          <w:rFonts w:hint="eastAsia" w:ascii="宋体" w:hAnsi="宋体"/>
          <w:color w:val="000000" w:themeColor="text1"/>
          <w:szCs w:val="21"/>
          <w:highlight w:val="none"/>
          <w14:textFill>
            <w14:solidFill>
              <w14:schemeClr w14:val="tx1"/>
            </w14:solidFill>
          </w14:textFill>
        </w:rPr>
        <w:t>；</w:t>
      </w:r>
    </w:p>
    <w:p w14:paraId="51ACE935">
      <w:pPr>
        <w:keepNext w:val="0"/>
        <w:keepLines w:val="0"/>
        <w:pageBreakBefore w:val="0"/>
        <w:numPr>
          <w:ilvl w:val="0"/>
          <w:numId w:val="0"/>
        </w:numPr>
        <w:tabs>
          <w:tab w:val="left" w:pos="1305"/>
        </w:tabs>
        <w:kinsoku/>
        <w:wordWrap/>
        <w:overflowPunct/>
        <w:topLinePunct w:val="0"/>
        <w:bidi w:val="0"/>
        <w:spacing w:line="440" w:lineRule="exact"/>
        <w:ind w:firstLine="420" w:firstLineChars="200"/>
        <w:textAlignment w:val="auto"/>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sz w:val="21"/>
          <w:szCs w:val="21"/>
          <w:highlight w:val="none"/>
          <w14:textFill>
            <w14:solidFill>
              <w14:schemeClr w14:val="tx1"/>
            </w14:solidFill>
          </w14:textFill>
        </w:rPr>
        <w:t>供应商属于中小微企业或监狱企业或残疾人福利性单位的证明材料【①如属于中小企业在参加政府采购活动时，应当出具《中小企业声明函》（格式见附件），以提供的《中小企业声明函》为准，并对声明的真实性负责；②如属于监狱企业的，应当提供由省级以上监狱管理局、戒毒管理局(含新疆生产建设兵团)出具的属于监狱企业的证明文件复印件；③如符合条件的残疾人福利性单位在参加政府采购活动时，应当提供《残疾人福利性单位声明函》（格式见附件），并对声明的真实性负责】</w:t>
      </w:r>
      <w:r>
        <w:rPr>
          <w:rFonts w:hint="eastAsia" w:ascii="宋体" w:hAnsi="宋体" w:eastAsia="宋体" w:cs="宋体"/>
          <w:b/>
          <w:bCs/>
          <w:color w:val="000000" w:themeColor="text1"/>
          <w:sz w:val="21"/>
          <w:szCs w:val="21"/>
          <w:highlight w:val="none"/>
          <w14:textFill>
            <w14:solidFill>
              <w14:schemeClr w14:val="tx1"/>
            </w14:solidFill>
          </w14:textFill>
        </w:rPr>
        <w:t>（必须提供）</w:t>
      </w:r>
      <w:r>
        <w:rPr>
          <w:rFonts w:hint="eastAsia" w:ascii="宋体" w:hAnsi="宋体" w:cs="宋体"/>
          <w:b/>
          <w:bCs/>
          <w:color w:val="000000" w:themeColor="text1"/>
          <w:sz w:val="21"/>
          <w:szCs w:val="21"/>
          <w:highlight w:val="none"/>
          <w:lang w:eastAsia="zh-CN"/>
          <w14:textFill>
            <w14:solidFill>
              <w14:schemeClr w14:val="tx1"/>
            </w14:solidFill>
          </w14:textFill>
        </w:rPr>
        <w:t>。</w:t>
      </w:r>
    </w:p>
    <w:p w14:paraId="66EBA8B9">
      <w:pPr>
        <w:keepNext w:val="0"/>
        <w:keepLines w:val="0"/>
        <w:pageBreakBefore w:val="0"/>
        <w:widowControl w:val="0"/>
        <w:tabs>
          <w:tab w:val="left" w:pos="1305"/>
        </w:tabs>
        <w:kinsoku/>
        <w:wordWrap/>
        <w:overflowPunct/>
        <w:topLinePunct w:val="0"/>
        <w:autoSpaceDE/>
        <w:autoSpaceDN/>
        <w:bidi w:val="0"/>
        <w:adjustRightInd/>
        <w:snapToGrid/>
        <w:spacing w:line="440" w:lineRule="exact"/>
        <w:ind w:firstLine="525" w:firstLineChars="250"/>
        <w:textAlignment w:val="auto"/>
        <w:outlineLvl w:val="9"/>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采购需求中要求提供相关承诺函</w:t>
      </w:r>
      <w:r>
        <w:rPr>
          <w:rFonts w:hint="eastAsia" w:ascii="宋体" w:hAnsi="宋体" w:eastAsia="宋体" w:cs="宋体"/>
          <w:b/>
          <w:bCs/>
          <w:color w:val="000000" w:themeColor="text1"/>
          <w:sz w:val="21"/>
          <w:szCs w:val="21"/>
          <w:highlight w:val="none"/>
          <w14:textFill>
            <w14:solidFill>
              <w14:schemeClr w14:val="tx1"/>
            </w14:solidFill>
          </w14:textFill>
        </w:rPr>
        <w:t>（必须提供）</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p>
    <w:p w14:paraId="79B4A888">
      <w:pPr>
        <w:keepNext w:val="0"/>
        <w:keepLines w:val="0"/>
        <w:pageBreakBefore w:val="0"/>
        <w:widowControl w:val="0"/>
        <w:tabs>
          <w:tab w:val="left" w:pos="1305"/>
        </w:tabs>
        <w:kinsoku/>
        <w:wordWrap/>
        <w:overflowPunct/>
        <w:topLinePunct w:val="0"/>
        <w:autoSpaceDE/>
        <w:autoSpaceDN/>
        <w:bidi w:val="0"/>
        <w:adjustRightInd/>
        <w:snapToGrid/>
        <w:spacing w:line="440" w:lineRule="exact"/>
        <w:ind w:firstLine="361" w:firstLineChars="150"/>
        <w:textAlignment w:val="auto"/>
        <w:outlineLvl w:val="9"/>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二、商务、技术性响应及其他证明材料：</w:t>
      </w:r>
    </w:p>
    <w:p w14:paraId="22B255C1">
      <w:pPr>
        <w:keepNext w:val="0"/>
        <w:keepLines w:val="0"/>
        <w:pageBreakBefore w:val="0"/>
        <w:widowControl w:val="0"/>
        <w:tabs>
          <w:tab w:val="left" w:pos="1305"/>
        </w:tabs>
        <w:kinsoku/>
        <w:wordWrap/>
        <w:overflowPunct/>
        <w:topLinePunct w:val="0"/>
        <w:autoSpaceDE/>
        <w:autoSpaceDN/>
        <w:bidi w:val="0"/>
        <w:adjustRightInd/>
        <w:snapToGrid/>
        <w:spacing w:line="440" w:lineRule="exact"/>
        <w:ind w:firstLine="420" w:firstLineChars="200"/>
        <w:textAlignment w:val="auto"/>
        <w:outlineLvl w:val="9"/>
        <w:rPr>
          <w:rFonts w:ascii="宋体" w:hAnsi="宋体" w:cs="宋体"/>
          <w:color w:val="000000" w:themeColor="text1"/>
          <w:szCs w:val="21"/>
          <w:highlight w:val="none"/>
          <w14:textFill>
            <w14:solidFill>
              <w14:schemeClr w14:val="tx1"/>
            </w14:solidFill>
          </w14:textFill>
        </w:rPr>
      </w:pPr>
      <w:bookmarkStart w:id="315" w:name="_Toc27290"/>
      <w:bookmarkStart w:id="316" w:name="_Toc495841787"/>
      <w:r>
        <w:rPr>
          <w:rFonts w:hint="eastAsia" w:ascii="宋体" w:hAnsi="宋体" w:cs="宋体"/>
          <w:color w:val="000000" w:themeColor="text1"/>
          <w:szCs w:val="21"/>
          <w:highlight w:val="none"/>
          <w14:textFill>
            <w14:solidFill>
              <w14:schemeClr w14:val="tx1"/>
            </w14:solidFill>
          </w14:textFill>
        </w:rPr>
        <w:t>1.投标函</w:t>
      </w:r>
      <w:r>
        <w:rPr>
          <w:rFonts w:hint="eastAsia" w:ascii="宋体" w:hAnsi="宋体" w:cs="宋体"/>
          <w:b/>
          <w:bCs/>
          <w:color w:val="000000" w:themeColor="text1"/>
          <w:szCs w:val="21"/>
          <w:highlight w:val="none"/>
          <w14:textFill>
            <w14:solidFill>
              <w14:schemeClr w14:val="tx1"/>
            </w14:solidFill>
          </w14:textFill>
        </w:rPr>
        <w:t>（必须提供）</w:t>
      </w:r>
      <w:r>
        <w:rPr>
          <w:rFonts w:hint="eastAsia"/>
          <w:b/>
          <w:bCs/>
          <w:color w:val="000000" w:themeColor="text1"/>
          <w:highlight w:val="none"/>
          <w14:textFill>
            <w14:solidFill>
              <w14:schemeClr w14:val="tx1"/>
            </w14:solidFill>
          </w14:textFill>
        </w:rPr>
        <w:t>；</w:t>
      </w:r>
    </w:p>
    <w:p w14:paraId="2E9099C4">
      <w:pPr>
        <w:keepNext w:val="0"/>
        <w:keepLines w:val="0"/>
        <w:pageBreakBefore w:val="0"/>
        <w:widowControl w:val="0"/>
        <w:tabs>
          <w:tab w:val="left" w:pos="1305"/>
        </w:tabs>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2.投标报价表</w:t>
      </w:r>
      <w:r>
        <w:rPr>
          <w:rFonts w:hint="eastAsia" w:ascii="宋体" w:hAnsi="宋体" w:cs="宋体"/>
          <w:b/>
          <w:color w:val="000000" w:themeColor="text1"/>
          <w:szCs w:val="21"/>
          <w:highlight w:val="none"/>
          <w14:textFill>
            <w14:solidFill>
              <w14:schemeClr w14:val="tx1"/>
            </w14:solidFill>
          </w14:textFill>
        </w:rPr>
        <w:t>（必须提供）</w:t>
      </w:r>
      <w:r>
        <w:rPr>
          <w:rFonts w:hint="eastAsia" w:ascii="宋体" w:hAnsi="宋体" w:cs="宋体"/>
          <w:color w:val="000000" w:themeColor="text1"/>
          <w:szCs w:val="21"/>
          <w:highlight w:val="none"/>
          <w14:textFill>
            <w14:solidFill>
              <w14:schemeClr w14:val="tx1"/>
            </w14:solidFill>
          </w14:textFill>
        </w:rPr>
        <w:t>；</w:t>
      </w:r>
    </w:p>
    <w:p w14:paraId="4722B456">
      <w:pPr>
        <w:keepNext w:val="0"/>
        <w:keepLines w:val="0"/>
        <w:pageBreakBefore w:val="0"/>
        <w:widowControl w:val="0"/>
        <w:tabs>
          <w:tab w:val="left" w:pos="1305"/>
        </w:tabs>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3.服务内容及要求响应表</w:t>
      </w:r>
      <w:r>
        <w:rPr>
          <w:rFonts w:hint="eastAsia" w:ascii="宋体" w:hAnsi="宋体" w:cs="宋体"/>
          <w:b/>
          <w:bCs/>
          <w:color w:val="000000" w:themeColor="text1"/>
          <w:szCs w:val="21"/>
          <w:highlight w:val="none"/>
          <w:lang w:val="en-US" w:eastAsia="zh-CN"/>
          <w14:textFill>
            <w14:solidFill>
              <w14:schemeClr w14:val="tx1"/>
            </w14:solidFill>
          </w14:textFill>
        </w:rPr>
        <w:t>（必须提供）；</w:t>
      </w:r>
    </w:p>
    <w:p w14:paraId="7C67C712">
      <w:pPr>
        <w:keepNext w:val="0"/>
        <w:keepLines w:val="0"/>
        <w:pageBreakBefore w:val="0"/>
        <w:widowControl w:val="0"/>
        <w:tabs>
          <w:tab w:val="left" w:pos="1305"/>
        </w:tabs>
        <w:kinsoku/>
        <w:wordWrap/>
        <w:overflowPunct/>
        <w:topLinePunct w:val="0"/>
        <w:autoSpaceDE/>
        <w:autoSpaceDN/>
        <w:bidi w:val="0"/>
        <w:adjustRightInd/>
        <w:snapToGrid/>
        <w:spacing w:line="440" w:lineRule="exact"/>
        <w:ind w:firstLine="420" w:firstLineChars="200"/>
        <w:textAlignment w:val="auto"/>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.商务</w:t>
      </w:r>
      <w:r>
        <w:rPr>
          <w:rFonts w:hint="eastAsia" w:ascii="宋体" w:hAnsi="宋体" w:cs="宋体"/>
          <w:color w:val="000000" w:themeColor="text1"/>
          <w:szCs w:val="21"/>
          <w:highlight w:val="none"/>
          <w:lang w:val="en-US" w:eastAsia="zh-CN"/>
          <w14:textFill>
            <w14:solidFill>
              <w14:schemeClr w14:val="tx1"/>
            </w14:solidFill>
          </w14:textFill>
        </w:rPr>
        <w:t>要求</w:t>
      </w:r>
      <w:r>
        <w:rPr>
          <w:rFonts w:hint="eastAsia" w:ascii="宋体" w:hAnsi="宋体" w:cs="宋体"/>
          <w:color w:val="000000" w:themeColor="text1"/>
          <w:szCs w:val="21"/>
          <w:highlight w:val="none"/>
          <w14:textFill>
            <w14:solidFill>
              <w14:schemeClr w14:val="tx1"/>
            </w14:solidFill>
          </w14:textFill>
        </w:rPr>
        <w:t>响应表</w:t>
      </w:r>
      <w:r>
        <w:rPr>
          <w:rFonts w:hint="eastAsia" w:ascii="宋体" w:hAnsi="宋体" w:cs="宋体"/>
          <w:b/>
          <w:color w:val="000000" w:themeColor="text1"/>
          <w:szCs w:val="21"/>
          <w:highlight w:val="none"/>
          <w14:textFill>
            <w14:solidFill>
              <w14:schemeClr w14:val="tx1"/>
            </w14:solidFill>
          </w14:textFill>
        </w:rPr>
        <w:t>（必须提供）</w:t>
      </w:r>
      <w:r>
        <w:rPr>
          <w:rFonts w:hint="eastAsia" w:ascii="宋体" w:hAnsi="宋体" w:cs="宋体"/>
          <w:bCs/>
          <w:color w:val="000000" w:themeColor="text1"/>
          <w:szCs w:val="21"/>
          <w:highlight w:val="none"/>
          <w14:textFill>
            <w14:solidFill>
              <w14:schemeClr w14:val="tx1"/>
            </w14:solidFill>
          </w14:textFill>
        </w:rPr>
        <w:t>；</w:t>
      </w:r>
    </w:p>
    <w:p w14:paraId="344CF9B2">
      <w:pPr>
        <w:keepNext w:val="0"/>
        <w:keepLines w:val="0"/>
        <w:pageBreakBefore w:val="0"/>
        <w:widowControl w:val="0"/>
        <w:tabs>
          <w:tab w:val="left" w:pos="1305"/>
        </w:tabs>
        <w:kinsoku/>
        <w:wordWrap/>
        <w:overflowPunct/>
        <w:topLinePunct w:val="0"/>
        <w:autoSpaceDE/>
        <w:autoSpaceDN/>
        <w:bidi w:val="0"/>
        <w:adjustRightInd/>
        <w:snapToGrid/>
        <w:spacing w:line="440" w:lineRule="exact"/>
        <w:ind w:firstLine="420" w:firstLineChars="200"/>
        <w:textAlignment w:val="auto"/>
        <w:outlineLvl w:val="9"/>
        <w:rPr>
          <w:color w:val="000000" w:themeColor="text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.服务承诺书（</w:t>
      </w:r>
      <w:r>
        <w:rPr>
          <w:rFonts w:hint="eastAsia" w:ascii="宋体" w:hAnsi="宋体" w:cs="宋体"/>
          <w:color w:val="000000" w:themeColor="text1"/>
          <w:szCs w:val="21"/>
          <w:highlight w:val="none"/>
          <w:lang w:eastAsia="zh-CN"/>
          <w14:textFill>
            <w14:solidFill>
              <w14:schemeClr w14:val="tx1"/>
            </w14:solidFill>
          </w14:textFill>
        </w:rPr>
        <w:t>由供应商根据本项目服务采购需求、特点及评标办法自行编写</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w:t>
      </w:r>
      <w:r>
        <w:rPr>
          <w:rFonts w:hint="eastAsia" w:ascii="宋体" w:hAnsi="宋体" w:cs="宋体"/>
          <w:color w:val="000000" w:themeColor="text1"/>
          <w:szCs w:val="21"/>
          <w:highlight w:val="none"/>
          <w14:textFill>
            <w14:solidFill>
              <w14:schemeClr w14:val="tx1"/>
            </w14:solidFill>
          </w14:textFill>
        </w:rPr>
        <w:t>；</w:t>
      </w:r>
    </w:p>
    <w:p w14:paraId="0813FAC2">
      <w:pPr>
        <w:keepNext w:val="0"/>
        <w:keepLines w:val="0"/>
        <w:pageBreakBefore w:val="0"/>
        <w:widowControl w:val="0"/>
        <w:tabs>
          <w:tab w:val="left" w:pos="1305"/>
        </w:tabs>
        <w:kinsoku/>
        <w:wordWrap/>
        <w:overflowPunct/>
        <w:topLinePunct w:val="0"/>
        <w:autoSpaceDE/>
        <w:autoSpaceDN/>
        <w:bidi w:val="0"/>
        <w:adjustRightInd/>
        <w:snapToGrid/>
        <w:spacing w:line="440" w:lineRule="exact"/>
        <w:ind w:firstLine="420" w:firstLineChars="200"/>
        <w:textAlignment w:val="auto"/>
        <w:outlineLvl w:val="9"/>
        <w:rPr>
          <w:color w:val="000000" w:themeColor="text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.项目实施方案</w:t>
      </w:r>
      <w:r>
        <w:rPr>
          <w:rFonts w:hint="eastAsia" w:ascii="宋体" w:hAnsi="宋体" w:cs="宋体"/>
          <w:b/>
          <w:color w:val="000000" w:themeColor="text1"/>
          <w:szCs w:val="21"/>
          <w:highlight w:val="none"/>
          <w14:textFill>
            <w14:solidFill>
              <w14:schemeClr w14:val="tx1"/>
            </w14:solidFill>
          </w14:textFill>
        </w:rPr>
        <w:t>（如有，请提供）；</w:t>
      </w:r>
    </w:p>
    <w:p w14:paraId="018796D5">
      <w:pPr>
        <w:keepNext w:val="0"/>
        <w:keepLines w:val="0"/>
        <w:pageBreakBefore w:val="0"/>
        <w:widowControl w:val="0"/>
        <w:tabs>
          <w:tab w:val="left" w:pos="1305"/>
        </w:tabs>
        <w:kinsoku/>
        <w:wordWrap/>
        <w:overflowPunct/>
        <w:topLinePunct w:val="0"/>
        <w:autoSpaceDE/>
        <w:autoSpaceDN/>
        <w:bidi w:val="0"/>
        <w:adjustRightInd/>
        <w:snapToGrid/>
        <w:spacing w:line="440" w:lineRule="exact"/>
        <w:ind w:firstLine="420" w:firstLineChars="200"/>
        <w:textAlignment w:val="auto"/>
        <w:outlineLvl w:val="9"/>
        <w:rPr>
          <w:rFonts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.项目实施人员一览表</w:t>
      </w:r>
      <w:r>
        <w:rPr>
          <w:rFonts w:hint="eastAsia" w:ascii="宋体" w:hAnsi="宋体" w:cs="宋体"/>
          <w:b/>
          <w:bCs/>
          <w:color w:val="000000" w:themeColor="text1"/>
          <w:szCs w:val="21"/>
          <w:highlight w:val="none"/>
          <w14:textFill>
            <w14:solidFill>
              <w14:schemeClr w14:val="tx1"/>
            </w14:solidFill>
          </w14:textFill>
        </w:rPr>
        <w:t>（如有，请提供）</w:t>
      </w:r>
      <w:r>
        <w:rPr>
          <w:rFonts w:hint="eastAsia" w:ascii="宋体" w:hAnsi="宋体" w:cs="宋体"/>
          <w:color w:val="000000" w:themeColor="text1"/>
          <w:szCs w:val="21"/>
          <w:highlight w:val="none"/>
          <w14:textFill>
            <w14:solidFill>
              <w14:schemeClr w14:val="tx1"/>
            </w14:solidFill>
          </w14:textFill>
        </w:rPr>
        <w:t>；</w:t>
      </w:r>
    </w:p>
    <w:p w14:paraId="49B21F41">
      <w:pPr>
        <w:keepNext w:val="0"/>
        <w:keepLines w:val="0"/>
        <w:pageBreakBefore w:val="0"/>
        <w:widowControl w:val="0"/>
        <w:tabs>
          <w:tab w:val="left" w:pos="1305"/>
        </w:tabs>
        <w:kinsoku/>
        <w:wordWrap/>
        <w:overflowPunct/>
        <w:topLinePunct w:val="0"/>
        <w:autoSpaceDE/>
        <w:autoSpaceDN/>
        <w:bidi w:val="0"/>
        <w:adjustRightInd/>
        <w:snapToGrid/>
        <w:spacing w:line="440" w:lineRule="exact"/>
        <w:ind w:firstLine="420" w:firstLineChars="200"/>
        <w:textAlignment w:val="auto"/>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投标人</w:t>
      </w:r>
      <w:r>
        <w:rPr>
          <w:rFonts w:hint="eastAsia" w:ascii="宋体" w:hAnsi="宋体"/>
          <w:color w:val="000000" w:themeColor="text1"/>
          <w:szCs w:val="21"/>
          <w:highlight w:val="none"/>
          <w14:textFill>
            <w14:solidFill>
              <w14:schemeClr w14:val="tx1"/>
            </w14:solidFill>
          </w14:textFill>
        </w:rPr>
        <w:t>2020年以来具有同类</w:t>
      </w:r>
      <w:r>
        <w:rPr>
          <w:rFonts w:hint="eastAsia" w:ascii="宋体" w:hAnsi="宋体"/>
          <w:color w:val="000000" w:themeColor="text1"/>
          <w:highlight w:val="none"/>
          <w14:textFill>
            <w14:solidFill>
              <w14:schemeClr w14:val="tx1"/>
            </w14:solidFill>
          </w14:textFill>
        </w:rPr>
        <w:t>业绩的相关证明材料</w:t>
      </w:r>
      <w:r>
        <w:rPr>
          <w:rFonts w:hint="eastAsia" w:ascii="宋体" w:hAnsi="宋体"/>
          <w:color w:val="000000" w:themeColor="text1"/>
          <w:spacing w:val="-12"/>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以中标（成交）通知书或签订的合同复印件为准，并能清晰反映项目的名称、采购内容、采购金额、采购时间等内容</w:t>
      </w:r>
      <w:r>
        <w:rPr>
          <w:rFonts w:hint="eastAsia" w:ascii="宋体" w:hAnsi="宋体"/>
          <w:color w:val="000000" w:themeColor="text1"/>
          <w:highlight w:val="none"/>
          <w14:textFill>
            <w14:solidFill>
              <w14:schemeClr w14:val="tx1"/>
            </w14:solidFill>
          </w14:textFill>
        </w:rPr>
        <w:t>】</w:t>
      </w:r>
      <w:r>
        <w:rPr>
          <w:rFonts w:hint="eastAsia" w:ascii="宋体" w:hAnsi="宋体"/>
          <w:b/>
          <w:color w:val="000000" w:themeColor="text1"/>
          <w:highlight w:val="none"/>
          <w14:textFill>
            <w14:solidFill>
              <w14:schemeClr w14:val="tx1"/>
            </w14:solidFill>
          </w14:textFill>
        </w:rPr>
        <w:t>（</w:t>
      </w:r>
      <w:r>
        <w:rPr>
          <w:rFonts w:hint="eastAsia" w:ascii="宋体" w:hAnsi="宋体"/>
          <w:b/>
          <w:color w:val="000000" w:themeColor="text1"/>
          <w:highlight w:val="none"/>
          <w:lang w:eastAsia="zh-CN"/>
          <w14:textFill>
            <w14:solidFill>
              <w14:schemeClr w14:val="tx1"/>
            </w14:solidFill>
          </w14:textFill>
        </w:rPr>
        <w:t>如有，请提供</w:t>
      </w:r>
      <w:r>
        <w:rPr>
          <w:rFonts w:hint="eastAsia" w:ascii="宋体" w:hAnsi="宋体"/>
          <w:b/>
          <w:color w:val="000000" w:themeColor="text1"/>
          <w:highlight w:val="none"/>
          <w14:textFill>
            <w14:solidFill>
              <w14:schemeClr w14:val="tx1"/>
            </w14:solidFill>
          </w14:textFill>
        </w:rPr>
        <w:t>）</w:t>
      </w:r>
      <w:r>
        <w:rPr>
          <w:rFonts w:hint="eastAsia" w:ascii="宋体" w:hAnsi="宋体" w:cs="宋体"/>
          <w:bCs/>
          <w:color w:val="000000" w:themeColor="text1"/>
          <w:highlight w:val="none"/>
          <w14:textFill>
            <w14:solidFill>
              <w14:schemeClr w14:val="tx1"/>
            </w14:solidFill>
          </w14:textFill>
        </w:rPr>
        <w:t>；</w:t>
      </w:r>
    </w:p>
    <w:p w14:paraId="5165CB18">
      <w:pPr>
        <w:keepNext w:val="0"/>
        <w:keepLines w:val="0"/>
        <w:pageBreakBefore w:val="0"/>
        <w:widowControl w:val="0"/>
        <w:tabs>
          <w:tab w:val="left" w:pos="1305"/>
        </w:tabs>
        <w:kinsoku/>
        <w:wordWrap/>
        <w:overflowPunct/>
        <w:topLinePunct w:val="0"/>
        <w:autoSpaceDE/>
        <w:autoSpaceDN/>
        <w:bidi w:val="0"/>
        <w:adjustRightInd/>
        <w:snapToGrid/>
        <w:spacing w:line="440" w:lineRule="exact"/>
        <w:ind w:firstLine="420" w:firstLineChars="200"/>
        <w:textAlignment w:val="auto"/>
        <w:outlineLvl w:val="9"/>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0"/>
          <w:highlight w:val="none"/>
          <w:lang w:val="en-US" w:eastAsia="zh-CN"/>
          <w14:textFill>
            <w14:solidFill>
              <w14:schemeClr w14:val="tx1"/>
            </w14:solidFill>
          </w14:textFill>
        </w:rPr>
        <w:t>9</w:t>
      </w:r>
      <w:r>
        <w:rPr>
          <w:rFonts w:hint="eastAsia" w:ascii="宋体" w:hAnsi="宋体" w:cs="宋体"/>
          <w:color w:val="000000" w:themeColor="text1"/>
          <w:szCs w:val="20"/>
          <w:highlight w:val="none"/>
          <w14:textFill>
            <w14:solidFill>
              <w14:schemeClr w14:val="tx1"/>
            </w14:solidFill>
          </w14:textFill>
        </w:rPr>
        <w:t>.投标人相关获奖证书、认证证书等复印件</w:t>
      </w:r>
      <w:r>
        <w:rPr>
          <w:rFonts w:hint="eastAsia" w:ascii="宋体" w:hAnsi="宋体" w:cs="宋体"/>
          <w:b/>
          <w:color w:val="000000" w:themeColor="text1"/>
          <w:highlight w:val="none"/>
          <w14:textFill>
            <w14:solidFill>
              <w14:schemeClr w14:val="tx1"/>
            </w14:solidFill>
          </w14:textFill>
        </w:rPr>
        <w:t>（如有，请提供）</w:t>
      </w:r>
      <w:r>
        <w:rPr>
          <w:rFonts w:hint="eastAsia" w:ascii="宋体" w:hAnsi="宋体" w:cs="宋体"/>
          <w:bCs/>
          <w:color w:val="000000" w:themeColor="text1"/>
          <w:highlight w:val="none"/>
          <w14:textFill>
            <w14:solidFill>
              <w14:schemeClr w14:val="tx1"/>
            </w14:solidFill>
          </w14:textFill>
        </w:rPr>
        <w:t>；</w:t>
      </w:r>
    </w:p>
    <w:p w14:paraId="64F5B694">
      <w:pPr>
        <w:keepNext w:val="0"/>
        <w:keepLines w:val="0"/>
        <w:pageBreakBefore w:val="0"/>
        <w:widowControl w:val="0"/>
        <w:tabs>
          <w:tab w:val="left" w:pos="1305"/>
        </w:tabs>
        <w:kinsoku/>
        <w:wordWrap/>
        <w:overflowPunct/>
        <w:topLinePunct w:val="0"/>
        <w:autoSpaceDE/>
        <w:autoSpaceDN/>
        <w:bidi w:val="0"/>
        <w:adjustRightInd/>
        <w:snapToGrid/>
        <w:spacing w:line="440" w:lineRule="exact"/>
        <w:ind w:firstLine="420" w:firstLineChars="200"/>
        <w:textAlignment w:val="auto"/>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0</w:t>
      </w:r>
      <w:r>
        <w:rPr>
          <w:rFonts w:hint="eastAsia" w:ascii="宋体" w:hAnsi="宋体" w:cs="宋体"/>
          <w:color w:val="000000" w:themeColor="text1"/>
          <w:szCs w:val="21"/>
          <w:highlight w:val="none"/>
          <w14:textFill>
            <w14:solidFill>
              <w14:schemeClr w14:val="tx1"/>
            </w14:solidFill>
          </w14:textFill>
        </w:rPr>
        <w:t>.投标人可结合本项目的评标办法视自身情况自行提交相关证明材料</w:t>
      </w:r>
      <w:r>
        <w:rPr>
          <w:rFonts w:hint="eastAsia" w:ascii="宋体" w:hAnsi="宋体" w:cs="宋体"/>
          <w:b/>
          <w:color w:val="000000" w:themeColor="text1"/>
          <w:highlight w:val="none"/>
          <w14:textFill>
            <w14:solidFill>
              <w14:schemeClr w14:val="tx1"/>
            </w14:solidFill>
          </w14:textFill>
        </w:rPr>
        <w:t>（如有，请提供）</w:t>
      </w:r>
      <w:r>
        <w:rPr>
          <w:rFonts w:hint="eastAsia" w:ascii="宋体" w:hAnsi="宋体" w:cs="宋体"/>
          <w:color w:val="000000" w:themeColor="text1"/>
          <w:szCs w:val="21"/>
          <w:highlight w:val="none"/>
          <w14:textFill>
            <w14:solidFill>
              <w14:schemeClr w14:val="tx1"/>
            </w14:solidFill>
          </w14:textFill>
        </w:rPr>
        <w:t>。</w:t>
      </w:r>
    </w:p>
    <w:p w14:paraId="416A2F92">
      <w:pPr>
        <w:pageBreakBefore w:val="0"/>
        <w:kinsoku/>
        <w:wordWrap/>
        <w:overflowPunct/>
        <w:topLinePunct w:val="0"/>
        <w:bidi w:val="0"/>
        <w:spacing w:line="400" w:lineRule="exact"/>
        <w:ind w:firstLine="420"/>
        <w:outlineLvl w:val="9"/>
        <w:rPr>
          <w:rFonts w:ascii="宋体" w:hAnsi="宋体" w:cs="宋体"/>
          <w:b/>
          <w:bCs/>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br w:type="page"/>
      </w:r>
    </w:p>
    <w:p w14:paraId="21AFCBC8">
      <w:pPr>
        <w:pageBreakBefore w:val="0"/>
        <w:kinsoku/>
        <w:wordWrap/>
        <w:overflowPunct/>
        <w:topLinePunct w:val="0"/>
        <w:bidi w:val="0"/>
        <w:spacing w:line="400" w:lineRule="exact"/>
        <w:ind w:firstLine="420"/>
        <w:outlineLvl w:val="9"/>
        <w:rPr>
          <w:rFonts w:ascii="宋体" w:hAnsi="宋体" w:cs="宋体"/>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一、资格性响应证明材料（格式）</w:t>
      </w:r>
      <w:bookmarkEnd w:id="315"/>
      <w:bookmarkEnd w:id="316"/>
    </w:p>
    <w:p w14:paraId="70298607">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p>
    <w:p w14:paraId="0407BA99">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bookmarkStart w:id="317" w:name="_Toc11828"/>
      <w:bookmarkStart w:id="318" w:name="_Toc495841788"/>
      <w:r>
        <w:rPr>
          <w:rFonts w:hint="eastAsia" w:ascii="宋体" w:hAnsi="宋体" w:cs="宋体"/>
          <w:b/>
          <w:bCs/>
          <w:color w:val="000000" w:themeColor="text1"/>
          <w:sz w:val="32"/>
          <w:szCs w:val="32"/>
          <w:highlight w:val="none"/>
          <w14:textFill>
            <w14:solidFill>
              <w14:schemeClr w14:val="tx1"/>
            </w14:solidFill>
          </w14:textFill>
        </w:rPr>
        <w:t>1.投标人相应的法定代表人（负责人或自然人）身份证正反面复印件（必须提供）</w:t>
      </w:r>
      <w:bookmarkEnd w:id="317"/>
      <w:bookmarkEnd w:id="318"/>
    </w:p>
    <w:p w14:paraId="378E4365">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p>
    <w:p w14:paraId="67BC3BED">
      <w:pPr>
        <w:pStyle w:val="14"/>
        <w:pageBreakBefore w:val="0"/>
        <w:kinsoku/>
        <w:wordWrap/>
        <w:overflowPunct/>
        <w:topLinePunct w:val="0"/>
        <w:bidi w:val="0"/>
        <w:outlineLvl w:val="9"/>
        <w:rPr>
          <w:color w:val="000000" w:themeColor="text1"/>
          <w:highlight w:val="none"/>
          <w14:textFill>
            <w14:solidFill>
              <w14:schemeClr w14:val="tx1"/>
            </w14:solidFill>
          </w14:textFill>
        </w:rPr>
      </w:pPr>
      <w:bookmarkStart w:id="319" w:name="_Toc11623"/>
      <w:bookmarkStart w:id="320" w:name="_Toc495841789"/>
      <w:r>
        <w:rPr>
          <w:rFonts w:hint="eastAsia" w:ascii="宋体" w:hAnsi="宋体" w:cs="宋体"/>
          <w:b/>
          <w:bCs/>
          <w:color w:val="000000" w:themeColor="text1"/>
          <w:sz w:val="32"/>
          <w:szCs w:val="32"/>
          <w:highlight w:val="none"/>
          <w14:textFill>
            <w14:solidFill>
              <w14:schemeClr w14:val="tx1"/>
            </w14:solidFill>
          </w14:textFill>
        </w:rPr>
        <w:t>2.</w:t>
      </w:r>
      <w:bookmarkEnd w:id="319"/>
      <w:bookmarkEnd w:id="320"/>
      <w:r>
        <w:rPr>
          <w:rFonts w:hint="eastAsia" w:ascii="宋体" w:hAnsi="宋体" w:cs="宋体"/>
          <w:b/>
          <w:bCs/>
          <w:color w:val="000000" w:themeColor="text1"/>
          <w:sz w:val="32"/>
          <w:szCs w:val="32"/>
          <w:highlight w:val="none"/>
          <w14:textFill>
            <w14:solidFill>
              <w14:schemeClr w14:val="tx1"/>
            </w14:solidFill>
          </w14:textFill>
        </w:rPr>
        <w:t>投标人的授权委托书原件（格式见附件）、委托代理人身份证正反面复印件以及由县级以上（含县级）社会养老保险经办机构出具的投标人为委托代理人交纳投标截止之日前半年内任意连续三个月社保证明复印件【自然人投标的应提供由县级以上（含县级）社会养老保险经办机构出具的自然人本人及委托代理人所交纳的社保证明复印件】（委托代理时必须提供；若为新成立的企业，请根据实际情况提供）；</w:t>
      </w:r>
    </w:p>
    <w:p w14:paraId="3B53E2D1">
      <w:pPr>
        <w:pageBreakBefore w:val="0"/>
        <w:kinsoku/>
        <w:wordWrap/>
        <w:overflowPunct/>
        <w:topLinePunct w:val="0"/>
        <w:bidi w:val="0"/>
        <w:jc w:val="center"/>
        <w:outlineLvl w:val="9"/>
        <w:rPr>
          <w:rFonts w:ascii="宋体" w:hAnsi="宋体" w:cs="宋体"/>
          <w:b/>
          <w:color w:val="000000" w:themeColor="text1"/>
          <w:sz w:val="32"/>
          <w:highlight w:val="none"/>
          <w14:textFill>
            <w14:solidFill>
              <w14:schemeClr w14:val="tx1"/>
            </w14:solidFill>
          </w14:textFill>
        </w:rPr>
      </w:pPr>
    </w:p>
    <w:p w14:paraId="1C313F19">
      <w:pPr>
        <w:pageBreakBefore w:val="0"/>
        <w:kinsoku/>
        <w:wordWrap/>
        <w:overflowPunct/>
        <w:topLinePunct w:val="0"/>
        <w:bidi w:val="0"/>
        <w:jc w:val="center"/>
        <w:outlineLvl w:val="9"/>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授权委托书（格式一）</w:t>
      </w:r>
    </w:p>
    <w:p w14:paraId="284E6D63">
      <w:pPr>
        <w:pageBreakBefore w:val="0"/>
        <w:kinsoku/>
        <w:wordWrap/>
        <w:overflowPunct/>
        <w:topLinePunct w:val="0"/>
        <w:bidi w:val="0"/>
        <w:snapToGrid w:val="0"/>
        <w:spacing w:line="400" w:lineRule="exact"/>
        <w:outlineLvl w:val="9"/>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致</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highlight w:val="none"/>
          <w:u w:val="single"/>
          <w14:textFill>
            <w14:solidFill>
              <w14:schemeClr w14:val="tx1"/>
            </w14:solidFill>
          </w14:textFill>
        </w:rPr>
        <w:t>广西奥金斯项目管理有限公司</w:t>
      </w:r>
    </w:p>
    <w:p w14:paraId="63C7377E">
      <w:pPr>
        <w:pageBreakBefore w:val="0"/>
        <w:kinsoku/>
        <w:wordWrap/>
        <w:overflowPunct/>
        <w:topLinePunct w:val="0"/>
        <w:bidi w:val="0"/>
        <w:spacing w:line="400" w:lineRule="exact"/>
        <w:ind w:firstLine="525" w:firstLineChars="25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我（姓名）系（投标人名称）的法定代表人（负责人），现授权委托本单位在职职工（姓名），身份证号码：以我公司名义参加</w:t>
      </w:r>
      <w:r>
        <w:rPr>
          <w:rFonts w:hint="eastAsia" w:ascii="宋体" w:hAnsi="宋体" w:cs="宋体"/>
          <w:color w:val="000000" w:themeColor="text1"/>
          <w:highlight w:val="none"/>
          <w:u w:val="single"/>
          <w14:textFill>
            <w14:solidFill>
              <w14:schemeClr w14:val="tx1"/>
            </w14:solidFill>
          </w14:textFill>
        </w:rPr>
        <w:t xml:space="preserve">（项目名称及项目编号）    </w:t>
      </w:r>
      <w:r>
        <w:rPr>
          <w:rFonts w:hint="eastAsia" w:ascii="宋体" w:hAnsi="宋体" w:cs="宋体"/>
          <w:color w:val="000000" w:themeColor="text1"/>
          <w:highlight w:val="none"/>
          <w14:textFill>
            <w14:solidFill>
              <w14:schemeClr w14:val="tx1"/>
            </w14:solidFill>
          </w14:textFill>
        </w:rPr>
        <w:t>项目的投标活动，并代表我方全权办理针对上述项目的投标、开标、评标、签约等具体事务和签署相关文件。</w:t>
      </w:r>
    </w:p>
    <w:p w14:paraId="6CA8D661">
      <w:pPr>
        <w:pageBreakBefore w:val="0"/>
        <w:kinsoku/>
        <w:wordWrap/>
        <w:overflowPunct/>
        <w:topLinePunct w:val="0"/>
        <w:bidi w:val="0"/>
        <w:spacing w:line="400" w:lineRule="exact"/>
        <w:ind w:firstLine="420" w:firstLineChars="20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我方对被授权人的签字事项负全部责任。</w:t>
      </w:r>
    </w:p>
    <w:p w14:paraId="24353FE0">
      <w:pPr>
        <w:pageBreakBefore w:val="0"/>
        <w:kinsoku/>
        <w:wordWrap/>
        <w:overflowPunct/>
        <w:topLinePunct w:val="0"/>
        <w:bidi w:val="0"/>
        <w:spacing w:line="400" w:lineRule="exact"/>
        <w:ind w:firstLine="420" w:firstLineChars="200"/>
        <w:outlineLvl w:val="9"/>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授权委托代理期限：自即日起至该项目政府采购活动结束。</w:t>
      </w:r>
    </w:p>
    <w:p w14:paraId="29E038F0">
      <w:pPr>
        <w:pageBreakBefore w:val="0"/>
        <w:kinsoku/>
        <w:wordWrap/>
        <w:overflowPunct/>
        <w:topLinePunct w:val="0"/>
        <w:bidi w:val="0"/>
        <w:spacing w:line="400" w:lineRule="exact"/>
        <w:outlineLvl w:val="9"/>
        <w:rPr>
          <w:rFonts w:ascii="宋体" w:hAnsi="宋体" w:cs="宋体"/>
          <w:color w:val="000000" w:themeColor="text1"/>
          <w:highlight w:val="none"/>
          <w:u w:val="single"/>
          <w14:textFill>
            <w14:solidFill>
              <w14:schemeClr w14:val="tx1"/>
            </w14:solidFill>
          </w14:textFill>
        </w:rPr>
      </w:pPr>
    </w:p>
    <w:p w14:paraId="19F50A62">
      <w:pPr>
        <w:pageBreakBefore w:val="0"/>
        <w:kinsoku/>
        <w:wordWrap/>
        <w:overflowPunct/>
        <w:topLinePunct w:val="0"/>
        <w:bidi w:val="0"/>
        <w:spacing w:line="400" w:lineRule="exact"/>
        <w:ind w:firstLine="420" w:firstLineChars="200"/>
        <w:outlineLvl w:val="9"/>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代理人无转委托权,特此委托。 </w:t>
      </w:r>
    </w:p>
    <w:p w14:paraId="689C181B">
      <w:pPr>
        <w:pageBreakBefore w:val="0"/>
        <w:kinsoku/>
        <w:wordWrap/>
        <w:overflowPunct/>
        <w:topLinePunct w:val="0"/>
        <w:bidi w:val="0"/>
        <w:snapToGrid w:val="0"/>
        <w:spacing w:line="400" w:lineRule="exact"/>
        <w:ind w:firstLine="525"/>
        <w:outlineLvl w:val="9"/>
        <w:rPr>
          <w:rFonts w:ascii="宋体" w:hAnsi="宋体" w:cs="宋体"/>
          <w:color w:val="000000" w:themeColor="text1"/>
          <w:szCs w:val="21"/>
          <w:highlight w:val="none"/>
          <w14:textFill>
            <w14:solidFill>
              <w14:schemeClr w14:val="tx1"/>
            </w14:solidFill>
          </w14:textFill>
        </w:rPr>
      </w:pPr>
    </w:p>
    <w:p w14:paraId="4755C117">
      <w:pPr>
        <w:pageBreakBefore w:val="0"/>
        <w:kinsoku/>
        <w:wordWrap/>
        <w:overflowPunct/>
        <w:topLinePunct w:val="0"/>
        <w:bidi w:val="0"/>
        <w:snapToGrid w:val="0"/>
        <w:spacing w:line="400" w:lineRule="exact"/>
        <w:ind w:firstLine="42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我已在下面签字，以资证明。</w:t>
      </w:r>
    </w:p>
    <w:p w14:paraId="3FDD5DCE">
      <w:pPr>
        <w:pageBreakBefore w:val="0"/>
        <w:kinsoku/>
        <w:wordWrap/>
        <w:overflowPunct/>
        <w:topLinePunct w:val="0"/>
        <w:bidi w:val="0"/>
        <w:snapToGrid w:val="0"/>
        <w:spacing w:line="400" w:lineRule="exact"/>
        <w:ind w:firstLine="420"/>
        <w:outlineLvl w:val="9"/>
        <w:rPr>
          <w:rFonts w:ascii="宋体" w:hAnsi="宋体" w:cs="宋体"/>
          <w:color w:val="000000" w:themeColor="text1"/>
          <w:szCs w:val="21"/>
          <w:highlight w:val="none"/>
          <w14:textFill>
            <w14:solidFill>
              <w14:schemeClr w14:val="tx1"/>
            </w14:solidFill>
          </w14:textFill>
        </w:rPr>
      </w:pPr>
    </w:p>
    <w:p w14:paraId="2A64887F">
      <w:pPr>
        <w:pageBreakBefore w:val="0"/>
        <w:kinsoku/>
        <w:wordWrap/>
        <w:overflowPunct/>
        <w:topLinePunct w:val="0"/>
        <w:bidi w:val="0"/>
        <w:snapToGrid w:val="0"/>
        <w:spacing w:line="400" w:lineRule="exact"/>
        <w:ind w:firstLine="420"/>
        <w:outlineLvl w:val="9"/>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投标人[公章（CA签章）]：</w:t>
      </w:r>
    </w:p>
    <w:p w14:paraId="6DD52FC0">
      <w:pPr>
        <w:pageBreakBefore w:val="0"/>
        <w:kinsoku/>
        <w:wordWrap/>
        <w:overflowPunct/>
        <w:topLinePunct w:val="0"/>
        <w:bidi w:val="0"/>
        <w:snapToGrid w:val="0"/>
        <w:spacing w:line="400" w:lineRule="exact"/>
        <w:ind w:firstLine="420"/>
        <w:outlineLvl w:val="9"/>
        <w:rPr>
          <w:rFonts w:ascii="宋体" w:hAnsi="宋体" w:cs="宋体"/>
          <w:color w:val="000000" w:themeColor="text1"/>
          <w:szCs w:val="21"/>
          <w:highlight w:val="none"/>
          <w14:textFill>
            <w14:solidFill>
              <w14:schemeClr w14:val="tx1"/>
            </w14:solidFill>
          </w14:textFill>
        </w:rPr>
      </w:pPr>
    </w:p>
    <w:p w14:paraId="2695BAC2">
      <w:pPr>
        <w:pageBreakBefore w:val="0"/>
        <w:kinsoku/>
        <w:wordWrap/>
        <w:overflowPunct/>
        <w:topLinePunct w:val="0"/>
        <w:bidi w:val="0"/>
        <w:snapToGrid w:val="0"/>
        <w:spacing w:line="400" w:lineRule="exact"/>
        <w:ind w:firstLine="42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法定代表人（负责人）签字（或个人CA签章）：     　　 </w:t>
      </w:r>
    </w:p>
    <w:p w14:paraId="592A6E6E">
      <w:pPr>
        <w:pageBreakBefore w:val="0"/>
        <w:kinsoku/>
        <w:wordWrap/>
        <w:overflowPunct/>
        <w:topLinePunct w:val="0"/>
        <w:bidi w:val="0"/>
        <w:snapToGrid w:val="0"/>
        <w:spacing w:line="400" w:lineRule="exact"/>
        <w:ind w:firstLine="42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日期：年月日</w:t>
      </w:r>
    </w:p>
    <w:p w14:paraId="4BDB5684">
      <w:pPr>
        <w:pageBreakBefore w:val="0"/>
        <w:kinsoku/>
        <w:wordWrap/>
        <w:overflowPunct/>
        <w:topLinePunct w:val="0"/>
        <w:bidi w:val="0"/>
        <w:snapToGrid w:val="0"/>
        <w:spacing w:line="400" w:lineRule="exact"/>
        <w:ind w:firstLine="420"/>
        <w:outlineLvl w:val="9"/>
        <w:rPr>
          <w:rFonts w:ascii="宋体" w:hAnsi="宋体" w:cs="宋体"/>
          <w:color w:val="000000" w:themeColor="text1"/>
          <w:szCs w:val="21"/>
          <w:highlight w:val="none"/>
          <w14:textFill>
            <w14:solidFill>
              <w14:schemeClr w14:val="tx1"/>
            </w14:solidFill>
          </w14:textFill>
        </w:rPr>
      </w:pPr>
    </w:p>
    <w:p w14:paraId="3892D6A7">
      <w:pPr>
        <w:pStyle w:val="17"/>
        <w:pageBreakBefore w:val="0"/>
        <w:kinsoku/>
        <w:wordWrap/>
        <w:overflowPunct/>
        <w:topLinePunct w:val="0"/>
        <w:bidi w:val="0"/>
        <w:outlineLvl w:val="9"/>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附：委托代理人身份证正反面复印件以及由县级以上（含县级）社会养老保险经办机构出具的</w:t>
      </w:r>
      <w:r>
        <w:rPr>
          <w:rFonts w:hint="eastAsia" w:hAnsi="宋体" w:cs="宋体"/>
          <w:b/>
          <w:bCs/>
          <w:color w:val="000000" w:themeColor="text1"/>
          <w:sz w:val="24"/>
          <w:highlight w:val="none"/>
          <w14:textFill>
            <w14:solidFill>
              <w14:schemeClr w14:val="tx1"/>
            </w14:solidFill>
          </w14:textFill>
        </w:rPr>
        <w:t>投标人为委托代理人交纳投标截止之日前半年内任意连续三个月社保证明复印件</w:t>
      </w:r>
      <w:r>
        <w:rPr>
          <w:rFonts w:hint="eastAsia" w:hAnsi="宋体" w:cs="宋体"/>
          <w:b/>
          <w:color w:val="000000" w:themeColor="text1"/>
          <w:sz w:val="24"/>
          <w:highlight w:val="none"/>
          <w14:textFill>
            <w14:solidFill>
              <w14:schemeClr w14:val="tx1"/>
            </w14:solidFill>
          </w14:textFill>
        </w:rPr>
        <w:t>（委托代理时必须提供）。</w:t>
      </w:r>
    </w:p>
    <w:p w14:paraId="74419031">
      <w:pPr>
        <w:pStyle w:val="17"/>
        <w:pageBreakBefore w:val="0"/>
        <w:kinsoku/>
        <w:wordWrap/>
        <w:overflowPunct/>
        <w:topLinePunct w:val="0"/>
        <w:bidi w:val="0"/>
        <w:jc w:val="center"/>
        <w:outlineLvl w:val="9"/>
        <w:rPr>
          <w:rFonts w:hAnsi="宋体" w:cs="宋体"/>
          <w:b/>
          <w:color w:val="000000" w:themeColor="text1"/>
          <w:sz w:val="32"/>
          <w:highlight w:val="none"/>
          <w14:textFill>
            <w14:solidFill>
              <w14:schemeClr w14:val="tx1"/>
            </w14:solidFill>
          </w14:textFill>
        </w:rPr>
      </w:pPr>
      <w:r>
        <w:rPr>
          <w:rFonts w:hAnsi="宋体" w:cs="宋体"/>
          <w:b/>
          <w:color w:val="000000" w:themeColor="text1"/>
          <w:sz w:val="32"/>
          <w:highlight w:val="none"/>
          <w14:textFill>
            <w14:solidFill>
              <w14:schemeClr w14:val="tx1"/>
            </w14:solidFill>
          </w14:textFill>
        </w:rPr>
        <w:br w:type="page"/>
      </w:r>
      <w:r>
        <w:rPr>
          <w:rFonts w:hint="eastAsia" w:hAnsi="宋体" w:cs="宋体"/>
          <w:b/>
          <w:color w:val="000000" w:themeColor="text1"/>
          <w:sz w:val="32"/>
          <w:highlight w:val="none"/>
          <w14:textFill>
            <w14:solidFill>
              <w14:schemeClr w14:val="tx1"/>
            </w14:solidFill>
          </w14:textFill>
        </w:rPr>
        <w:t>授权委托书（格式二）</w:t>
      </w:r>
    </w:p>
    <w:p w14:paraId="1245AB9A">
      <w:pPr>
        <w:pageBreakBefore w:val="0"/>
        <w:kinsoku/>
        <w:wordWrap/>
        <w:overflowPunct/>
        <w:topLinePunct w:val="0"/>
        <w:bidi w:val="0"/>
        <w:snapToGrid w:val="0"/>
        <w:spacing w:line="400" w:lineRule="exact"/>
        <w:outlineLvl w:val="9"/>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致</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highlight w:val="none"/>
          <w:u w:val="single"/>
          <w14:textFill>
            <w14:solidFill>
              <w14:schemeClr w14:val="tx1"/>
            </w14:solidFill>
          </w14:textFill>
        </w:rPr>
        <w:t>广西奥金斯项目管理有限公司</w:t>
      </w:r>
    </w:p>
    <w:p w14:paraId="15D4F9E8">
      <w:pPr>
        <w:pageBreakBefore w:val="0"/>
        <w:kinsoku/>
        <w:wordWrap/>
        <w:overflowPunct/>
        <w:topLinePunct w:val="0"/>
        <w:bidi w:val="0"/>
        <w:snapToGrid w:val="0"/>
        <w:spacing w:line="400" w:lineRule="exact"/>
        <w:outlineLvl w:val="9"/>
        <w:rPr>
          <w:rFonts w:ascii="宋体" w:hAnsi="宋体" w:cs="宋体"/>
          <w:color w:val="000000" w:themeColor="text1"/>
          <w:szCs w:val="21"/>
          <w:highlight w:val="none"/>
          <w:u w:val="single"/>
          <w14:textFill>
            <w14:solidFill>
              <w14:schemeClr w14:val="tx1"/>
            </w14:solidFill>
          </w14:textFill>
        </w:rPr>
      </w:pPr>
    </w:p>
    <w:p w14:paraId="2683ED49">
      <w:pPr>
        <w:pStyle w:val="17"/>
        <w:pageBreakBefore w:val="0"/>
        <w:kinsoku/>
        <w:wordWrap/>
        <w:overflowPunct/>
        <w:topLinePunct w:val="0"/>
        <w:bidi w:val="0"/>
        <w:spacing w:line="340" w:lineRule="exact"/>
        <w:ind w:firstLine="420" w:firstLineChars="200"/>
        <w:outlineLvl w:val="9"/>
        <w:rPr>
          <w:rFonts w:hAnsi="宋体" w:cs="宋体"/>
          <w:color w:val="000000" w:themeColor="text1"/>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我（姓名）系自然人，现授权委托（姓 名），身份证号码：以本人名义参加</w:t>
      </w:r>
      <w:r>
        <w:rPr>
          <w:rFonts w:hint="eastAsia" w:hAnsi="宋体" w:cs="宋体"/>
          <w:color w:val="000000" w:themeColor="text1"/>
          <w:highlight w:val="none"/>
          <w:u w:val="single"/>
          <w14:textFill>
            <w14:solidFill>
              <w14:schemeClr w14:val="tx1"/>
            </w14:solidFill>
          </w14:textFill>
        </w:rPr>
        <w:t xml:space="preserve">（项目名称及项目编号）        </w:t>
      </w:r>
      <w:r>
        <w:rPr>
          <w:rFonts w:hint="eastAsia" w:hAnsi="宋体" w:cs="宋体"/>
          <w:color w:val="000000" w:themeColor="text1"/>
          <w:highlight w:val="none"/>
          <w14:textFill>
            <w14:solidFill>
              <w14:schemeClr w14:val="tx1"/>
            </w14:solidFill>
          </w14:textFill>
        </w:rPr>
        <w:t>项目的投标活动，并代表本人全权办理针对上述项目的投标、开标、评标、签约等具体事务和签署相关文件。</w:t>
      </w:r>
    </w:p>
    <w:p w14:paraId="2E32BF3F">
      <w:pPr>
        <w:pStyle w:val="17"/>
        <w:pageBreakBefore w:val="0"/>
        <w:kinsoku/>
        <w:wordWrap/>
        <w:overflowPunct/>
        <w:topLinePunct w:val="0"/>
        <w:bidi w:val="0"/>
        <w:spacing w:line="340" w:lineRule="exact"/>
        <w:ind w:firstLine="420" w:firstLineChars="200"/>
        <w:outlineLvl w:val="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本人对被授权人的签字事项负全部责任。</w:t>
      </w:r>
    </w:p>
    <w:p w14:paraId="6BDF906D">
      <w:pPr>
        <w:pStyle w:val="17"/>
        <w:pageBreakBefore w:val="0"/>
        <w:kinsoku/>
        <w:wordWrap/>
        <w:overflowPunct/>
        <w:topLinePunct w:val="0"/>
        <w:bidi w:val="0"/>
        <w:spacing w:line="400" w:lineRule="exact"/>
        <w:ind w:firstLine="420" w:firstLineChars="200"/>
        <w:outlineLvl w:val="9"/>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授权委托代理期限：自即日起至该项目政府采购活动结束。</w:t>
      </w:r>
    </w:p>
    <w:p w14:paraId="7AB49CCE">
      <w:pPr>
        <w:pStyle w:val="17"/>
        <w:pageBreakBefore w:val="0"/>
        <w:kinsoku/>
        <w:wordWrap/>
        <w:overflowPunct/>
        <w:topLinePunct w:val="0"/>
        <w:bidi w:val="0"/>
        <w:spacing w:line="340" w:lineRule="exact"/>
        <w:ind w:firstLine="420" w:firstLineChars="200"/>
        <w:outlineLvl w:val="9"/>
        <w:rPr>
          <w:rFonts w:hAnsi="宋体" w:cs="宋体"/>
          <w:color w:val="000000" w:themeColor="text1"/>
          <w:highlight w:val="none"/>
          <w:u w:val="single"/>
          <w14:textFill>
            <w14:solidFill>
              <w14:schemeClr w14:val="tx1"/>
            </w14:solidFill>
          </w14:textFill>
        </w:rPr>
      </w:pPr>
    </w:p>
    <w:p w14:paraId="7DF08ABC">
      <w:pPr>
        <w:pStyle w:val="17"/>
        <w:pageBreakBefore w:val="0"/>
        <w:kinsoku/>
        <w:wordWrap/>
        <w:overflowPunct/>
        <w:topLinePunct w:val="0"/>
        <w:bidi w:val="0"/>
        <w:spacing w:line="340" w:lineRule="exact"/>
        <w:outlineLvl w:val="9"/>
        <w:rPr>
          <w:rFonts w:hAnsi="宋体" w:cs="宋体"/>
          <w:color w:val="000000" w:themeColor="text1"/>
          <w:highlight w:val="none"/>
          <w:u w:val="single"/>
          <w14:textFill>
            <w14:solidFill>
              <w14:schemeClr w14:val="tx1"/>
            </w14:solidFill>
          </w14:textFill>
        </w:rPr>
      </w:pPr>
    </w:p>
    <w:p w14:paraId="100750E6">
      <w:pPr>
        <w:pageBreakBefore w:val="0"/>
        <w:kinsoku/>
        <w:wordWrap/>
        <w:overflowPunct/>
        <w:topLinePunct w:val="0"/>
        <w:bidi w:val="0"/>
        <w:spacing w:line="340" w:lineRule="exact"/>
        <w:ind w:firstLine="420" w:firstLineChars="200"/>
        <w:outlineLvl w:val="9"/>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代理人无转委托权,特此委托。 </w:t>
      </w:r>
    </w:p>
    <w:p w14:paraId="03B7521D">
      <w:pPr>
        <w:pageBreakBefore w:val="0"/>
        <w:kinsoku/>
        <w:wordWrap/>
        <w:overflowPunct/>
        <w:topLinePunct w:val="0"/>
        <w:bidi w:val="0"/>
        <w:snapToGrid w:val="0"/>
        <w:spacing w:line="340" w:lineRule="exact"/>
        <w:ind w:firstLine="525"/>
        <w:outlineLvl w:val="9"/>
        <w:rPr>
          <w:rFonts w:ascii="宋体" w:hAnsi="宋体" w:cs="宋体"/>
          <w:color w:val="000000" w:themeColor="text1"/>
          <w:szCs w:val="21"/>
          <w:highlight w:val="none"/>
          <w14:textFill>
            <w14:solidFill>
              <w14:schemeClr w14:val="tx1"/>
            </w14:solidFill>
          </w14:textFill>
        </w:rPr>
      </w:pPr>
    </w:p>
    <w:p w14:paraId="2AD5CBBF">
      <w:pPr>
        <w:pageBreakBefore w:val="0"/>
        <w:kinsoku/>
        <w:wordWrap/>
        <w:overflowPunct/>
        <w:topLinePunct w:val="0"/>
        <w:bidi w:val="0"/>
        <w:snapToGrid w:val="0"/>
        <w:spacing w:line="340" w:lineRule="exact"/>
        <w:ind w:firstLine="42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我已在下面签字，以资证明。</w:t>
      </w:r>
    </w:p>
    <w:p w14:paraId="66F6347A">
      <w:pPr>
        <w:pageBreakBefore w:val="0"/>
        <w:kinsoku/>
        <w:wordWrap/>
        <w:overflowPunct/>
        <w:topLinePunct w:val="0"/>
        <w:bidi w:val="0"/>
        <w:snapToGrid w:val="0"/>
        <w:spacing w:line="340" w:lineRule="exact"/>
        <w:ind w:firstLine="420"/>
        <w:outlineLvl w:val="9"/>
        <w:rPr>
          <w:rFonts w:ascii="宋体" w:hAnsi="宋体" w:cs="宋体"/>
          <w:color w:val="000000" w:themeColor="text1"/>
          <w:szCs w:val="21"/>
          <w:highlight w:val="none"/>
          <w14:textFill>
            <w14:solidFill>
              <w14:schemeClr w14:val="tx1"/>
            </w14:solidFill>
          </w14:textFill>
        </w:rPr>
      </w:pPr>
    </w:p>
    <w:p w14:paraId="0E482136">
      <w:pPr>
        <w:pageBreakBefore w:val="0"/>
        <w:kinsoku/>
        <w:wordWrap/>
        <w:overflowPunct/>
        <w:topLinePunct w:val="0"/>
        <w:bidi w:val="0"/>
        <w:snapToGrid w:val="0"/>
        <w:spacing w:line="340" w:lineRule="exact"/>
        <w:ind w:firstLine="42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自然人签字（个人CA签章）并在签名处加盖大拇指指印：</w:t>
      </w:r>
    </w:p>
    <w:p w14:paraId="002ED5E2">
      <w:pPr>
        <w:pageBreakBefore w:val="0"/>
        <w:kinsoku/>
        <w:wordWrap/>
        <w:overflowPunct/>
        <w:topLinePunct w:val="0"/>
        <w:bidi w:val="0"/>
        <w:snapToGrid w:val="0"/>
        <w:spacing w:line="340" w:lineRule="exact"/>
        <w:ind w:firstLine="42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日期：年月日</w:t>
      </w:r>
    </w:p>
    <w:p w14:paraId="1FCFFA99">
      <w:pPr>
        <w:pageBreakBefore w:val="0"/>
        <w:kinsoku/>
        <w:wordWrap/>
        <w:overflowPunct/>
        <w:topLinePunct w:val="0"/>
        <w:bidi w:val="0"/>
        <w:snapToGrid w:val="0"/>
        <w:spacing w:line="340" w:lineRule="exact"/>
        <w:ind w:firstLine="420"/>
        <w:outlineLvl w:val="9"/>
        <w:rPr>
          <w:rFonts w:ascii="宋体" w:hAnsi="宋体" w:cs="宋体"/>
          <w:color w:val="000000" w:themeColor="text1"/>
          <w:szCs w:val="21"/>
          <w:highlight w:val="none"/>
          <w14:textFill>
            <w14:solidFill>
              <w14:schemeClr w14:val="tx1"/>
            </w14:solidFill>
          </w14:textFill>
        </w:rPr>
      </w:pPr>
    </w:p>
    <w:p w14:paraId="08CD7B9B">
      <w:pPr>
        <w:pageBreakBefore w:val="0"/>
        <w:kinsoku/>
        <w:wordWrap/>
        <w:overflowPunct/>
        <w:topLinePunct w:val="0"/>
        <w:bidi w:val="0"/>
        <w:outlineLvl w:val="9"/>
        <w:rPr>
          <w:rFonts w:ascii="宋体" w:hAnsi="宋体" w:cs="宋体"/>
          <w:b/>
          <w:bCs/>
          <w:color w:val="000000" w:themeColor="text1"/>
          <w:sz w:val="28"/>
          <w:szCs w:val="28"/>
          <w:highlight w:val="none"/>
          <w14:textFill>
            <w14:solidFill>
              <w14:schemeClr w14:val="tx1"/>
            </w14:solidFill>
          </w14:textFill>
        </w:rPr>
      </w:pPr>
      <w:r>
        <w:rPr>
          <w:rFonts w:hint="eastAsia" w:hAnsi="宋体"/>
          <w:b/>
          <w:color w:val="000000" w:themeColor="text1"/>
          <w:sz w:val="22"/>
          <w:szCs w:val="22"/>
          <w:highlight w:val="none"/>
          <w14:textFill>
            <w14:solidFill>
              <w14:schemeClr w14:val="tx1"/>
            </w14:solidFill>
          </w14:textFill>
        </w:rPr>
        <w:t>附：委托代理人身份证正反面复印件以及由县级以上（含县级）社会养老保险经办机构出具的自然人本人及委托代理人所交纳的社保证明复印件（委托代理时必须提供）。</w:t>
      </w:r>
    </w:p>
    <w:p w14:paraId="4E0B97C3">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p>
    <w:p w14:paraId="2DCA055C">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bookmarkStart w:id="321" w:name="_Toc12280"/>
      <w:bookmarkStart w:id="322" w:name="_Toc495841790"/>
      <w:r>
        <w:rPr>
          <w:rFonts w:hint="eastAsia" w:ascii="宋体" w:hAnsi="宋体" w:cs="宋体"/>
          <w:b/>
          <w:bCs/>
          <w:color w:val="000000" w:themeColor="text1"/>
          <w:sz w:val="32"/>
          <w:szCs w:val="32"/>
          <w:highlight w:val="none"/>
          <w14:textFill>
            <w14:solidFill>
              <w14:schemeClr w14:val="tx1"/>
            </w14:solidFill>
          </w14:textFill>
        </w:rPr>
        <w:t>3.投标人的法人或者其他组织营业执照等证明文件复印件（必须提供，自然人除外）</w:t>
      </w:r>
      <w:bookmarkEnd w:id="321"/>
      <w:bookmarkEnd w:id="322"/>
    </w:p>
    <w:p w14:paraId="3A3C5504">
      <w:pPr>
        <w:pageBreakBefore w:val="0"/>
        <w:tabs>
          <w:tab w:val="left" w:pos="1305"/>
        </w:tabs>
        <w:kinsoku/>
        <w:wordWrap/>
        <w:overflowPunct/>
        <w:topLinePunct w:val="0"/>
        <w:bidi w:val="0"/>
        <w:spacing w:line="400" w:lineRule="exact"/>
        <w:outlineLvl w:val="9"/>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379655F1">
      <w:pPr>
        <w:pageBreakBefore w:val="0"/>
        <w:kinsoku/>
        <w:wordWrap/>
        <w:overflowPunct/>
        <w:topLinePunct w:val="0"/>
        <w:bidi w:val="0"/>
        <w:spacing w:line="400" w:lineRule="exact"/>
        <w:ind w:left="420" w:leftChars="200" w:firstLine="157" w:firstLineChars="49"/>
        <w:outlineLvl w:val="9"/>
        <w:rPr>
          <w:rFonts w:ascii="宋体" w:hAnsi="宋体" w:cs="宋体"/>
          <w:b/>
          <w:color w:val="000000" w:themeColor="text1"/>
          <w:sz w:val="32"/>
          <w:szCs w:val="32"/>
          <w:highlight w:val="none"/>
          <w14:textFill>
            <w14:solidFill>
              <w14:schemeClr w14:val="tx1"/>
            </w14:solidFill>
          </w14:textFill>
        </w:rPr>
      </w:pPr>
    </w:p>
    <w:p w14:paraId="1D6BD013">
      <w:pPr>
        <w:pageBreakBefore w:val="0"/>
        <w:kinsoku/>
        <w:wordWrap/>
        <w:overflowPunct/>
        <w:topLinePunct w:val="0"/>
        <w:bidi w:val="0"/>
        <w:spacing w:line="400" w:lineRule="exact"/>
        <w:ind w:left="420" w:leftChars="200" w:firstLine="157" w:firstLineChars="49"/>
        <w:outlineLvl w:val="9"/>
        <w:rPr>
          <w:rFonts w:ascii="宋体" w:hAnsi="宋体" w:cs="宋体"/>
          <w:b/>
          <w:color w:val="000000" w:themeColor="text1"/>
          <w:sz w:val="32"/>
          <w:szCs w:val="32"/>
          <w:highlight w:val="none"/>
          <w14:textFill>
            <w14:solidFill>
              <w14:schemeClr w14:val="tx1"/>
            </w14:solidFill>
          </w14:textFill>
        </w:rPr>
      </w:pPr>
    </w:p>
    <w:p w14:paraId="4C1A345B">
      <w:pPr>
        <w:pStyle w:val="49"/>
        <w:pageBreakBefore w:val="0"/>
        <w:kinsoku/>
        <w:wordWrap/>
        <w:overflowPunct/>
        <w:topLinePunct w:val="0"/>
        <w:bidi w:val="0"/>
        <w:outlineLvl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24575D87">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bookmarkStart w:id="323" w:name="_Toc26950"/>
      <w:bookmarkStart w:id="324" w:name="_Toc495841793"/>
      <w:r>
        <w:rPr>
          <w:rFonts w:hint="eastAsia" w:ascii="宋体" w:hAnsi="宋体" w:cs="宋体"/>
          <w:b/>
          <w:bCs/>
          <w:color w:val="000000" w:themeColor="text1"/>
          <w:sz w:val="32"/>
          <w:szCs w:val="32"/>
          <w:highlight w:val="none"/>
          <w14:textFill>
            <w14:solidFill>
              <w14:schemeClr w14:val="tx1"/>
            </w14:solidFill>
          </w14:textFill>
        </w:rPr>
        <w:t>4.投标人参加政府采购活动前3年内在经营活动中没有重大违法记录及有关信用信息的书面声明（必须提供）</w:t>
      </w:r>
      <w:bookmarkEnd w:id="323"/>
      <w:bookmarkEnd w:id="324"/>
    </w:p>
    <w:p w14:paraId="46ABCF0C">
      <w:pPr>
        <w:pStyle w:val="133"/>
        <w:pageBreakBefore w:val="0"/>
        <w:kinsoku/>
        <w:wordWrap/>
        <w:overflowPunct/>
        <w:topLinePunct w:val="0"/>
        <w:bidi w:val="0"/>
        <w:ind w:firstLine="0" w:firstLineChars="0"/>
        <w:outlineLvl w:val="9"/>
        <w:rPr>
          <w:rFonts w:ascii="宋体" w:hAnsi="宋体" w:cs="宋体"/>
          <w:b/>
          <w:bCs/>
          <w:color w:val="000000" w:themeColor="text1"/>
          <w:sz w:val="32"/>
          <w:szCs w:val="32"/>
          <w:highlight w:val="none"/>
          <w14:textFill>
            <w14:solidFill>
              <w14:schemeClr w14:val="tx1"/>
            </w14:solidFill>
          </w14:textFill>
        </w:rPr>
      </w:pPr>
    </w:p>
    <w:p w14:paraId="4832D261">
      <w:pPr>
        <w:pageBreakBefore w:val="0"/>
        <w:kinsoku/>
        <w:wordWrap/>
        <w:overflowPunct/>
        <w:topLinePunct w:val="0"/>
        <w:bidi w:val="0"/>
        <w:spacing w:line="400" w:lineRule="exact"/>
        <w:jc w:val="center"/>
        <w:outlineLvl w:val="9"/>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声   明</w:t>
      </w:r>
    </w:p>
    <w:p w14:paraId="60BDB6F7">
      <w:pPr>
        <w:pageBreakBefore w:val="0"/>
        <w:kinsoku/>
        <w:wordWrap/>
        <w:overflowPunct/>
        <w:topLinePunct w:val="0"/>
        <w:bidi w:val="0"/>
        <w:snapToGrid w:val="0"/>
        <w:spacing w:line="400" w:lineRule="exact"/>
        <w:outlineLvl w:val="9"/>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致</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highlight w:val="none"/>
          <w:u w:val="single"/>
          <w14:textFill>
            <w14:solidFill>
              <w14:schemeClr w14:val="tx1"/>
            </w14:solidFill>
          </w14:textFill>
        </w:rPr>
        <w:t>广西奥金斯项目管理有限公司</w:t>
      </w:r>
    </w:p>
    <w:p w14:paraId="692118DD">
      <w:pPr>
        <w:pageBreakBefore w:val="0"/>
        <w:kinsoku/>
        <w:wordWrap/>
        <w:overflowPunct/>
        <w:topLinePunct w:val="0"/>
        <w:bidi w:val="0"/>
        <w:snapToGrid w:val="0"/>
        <w:spacing w:line="400" w:lineRule="exact"/>
        <w:outlineLvl w:val="9"/>
        <w:rPr>
          <w:rFonts w:ascii="宋体" w:hAnsi="宋体" w:cs="宋体"/>
          <w:color w:val="000000" w:themeColor="text1"/>
          <w:szCs w:val="21"/>
          <w:highlight w:val="none"/>
          <w:u w:val="single"/>
          <w14:textFill>
            <w14:solidFill>
              <w14:schemeClr w14:val="tx1"/>
            </w14:solidFill>
          </w14:textFill>
        </w:rPr>
      </w:pPr>
    </w:p>
    <w:p w14:paraId="35C3CF25">
      <w:pPr>
        <w:pStyle w:val="17"/>
        <w:pageBreakBefore w:val="0"/>
        <w:kinsoku/>
        <w:wordWrap/>
        <w:overflowPunct/>
        <w:topLinePunct w:val="0"/>
        <w:bidi w:val="0"/>
        <w:spacing w:line="380" w:lineRule="exact"/>
        <w:ind w:firstLine="420" w:firstLineChars="200"/>
        <w:outlineLvl w:val="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w:t>
      </w:r>
      <w:r>
        <w:rPr>
          <w:rFonts w:hint="eastAsia" w:hAnsi="宋体"/>
          <w:color w:val="000000" w:themeColor="text1"/>
          <w:szCs w:val="21"/>
          <w:highlight w:val="none"/>
          <w14:textFill>
            <w14:solidFill>
              <w14:schemeClr w14:val="tx1"/>
            </w14:solidFill>
          </w14:textFill>
        </w:rPr>
        <w:t>重大税收违法失信主体</w:t>
      </w:r>
      <w:r>
        <w:rPr>
          <w:rFonts w:hint="eastAsia" w:hAnsi="宋体" w:cs="宋体"/>
          <w:color w:val="000000" w:themeColor="text1"/>
          <w:highlight w:val="none"/>
          <w14:textFill>
            <w14:solidFill>
              <w14:schemeClr w14:val="tx1"/>
            </w14:solidFill>
          </w14:textFill>
        </w:rPr>
        <w:t>、政府采购严重违法失信行为记录名单，完全符合《中华人民共和国政府采购法》第二十二条规定的供应商资格条件，我方对此声明负全部法律责任。</w:t>
      </w:r>
    </w:p>
    <w:p w14:paraId="33EE97C2">
      <w:pPr>
        <w:pageBreakBefore w:val="0"/>
        <w:kinsoku/>
        <w:wordWrap/>
        <w:overflowPunct/>
        <w:topLinePunct w:val="0"/>
        <w:bidi w:val="0"/>
        <w:snapToGrid w:val="0"/>
        <w:spacing w:line="400" w:lineRule="exact"/>
        <w:ind w:firstLine="4515" w:firstLineChars="2150"/>
        <w:outlineLvl w:val="9"/>
        <w:rPr>
          <w:rFonts w:ascii="宋体" w:hAnsi="宋体" w:cs="宋体"/>
          <w:color w:val="000000" w:themeColor="text1"/>
          <w:szCs w:val="21"/>
          <w:highlight w:val="none"/>
          <w14:textFill>
            <w14:solidFill>
              <w14:schemeClr w14:val="tx1"/>
            </w14:solidFill>
          </w14:textFill>
        </w:rPr>
      </w:pPr>
    </w:p>
    <w:p w14:paraId="6340B4BB">
      <w:pPr>
        <w:pageBreakBefore w:val="0"/>
        <w:kinsoku/>
        <w:wordWrap/>
        <w:overflowPunct/>
        <w:topLinePunct w:val="0"/>
        <w:bidi w:val="0"/>
        <w:snapToGrid w:val="0"/>
        <w:spacing w:line="400" w:lineRule="exact"/>
        <w:ind w:firstLine="1890" w:firstLineChars="900"/>
        <w:outlineLvl w:val="9"/>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投标人[公章(CA签章)，自然人签字或个人CA签章]：</w:t>
      </w:r>
    </w:p>
    <w:p w14:paraId="4462602C">
      <w:pPr>
        <w:pageBreakBefore w:val="0"/>
        <w:kinsoku/>
        <w:wordWrap/>
        <w:overflowPunct/>
        <w:topLinePunct w:val="0"/>
        <w:bidi w:val="0"/>
        <w:snapToGrid w:val="0"/>
        <w:spacing w:line="400" w:lineRule="exact"/>
        <w:ind w:firstLine="1890" w:firstLineChars="900"/>
        <w:outlineLvl w:val="9"/>
        <w:rPr>
          <w:rFonts w:ascii="宋体" w:hAnsi="宋体" w:cs="宋体"/>
          <w:color w:val="000000" w:themeColor="text1"/>
          <w:highlight w:val="none"/>
          <w14:textFill>
            <w14:solidFill>
              <w14:schemeClr w14:val="tx1"/>
            </w14:solidFill>
          </w14:textFill>
        </w:rPr>
      </w:pPr>
    </w:p>
    <w:p w14:paraId="43FDB5E5">
      <w:pPr>
        <w:pageBreakBefore w:val="0"/>
        <w:kinsoku/>
        <w:wordWrap/>
        <w:overflowPunct/>
        <w:topLinePunct w:val="0"/>
        <w:bidi w:val="0"/>
        <w:snapToGrid w:val="0"/>
        <w:spacing w:line="400" w:lineRule="exact"/>
        <w:ind w:firstLine="1890" w:firstLineChars="900"/>
        <w:outlineLvl w:val="9"/>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          期：</w:t>
      </w:r>
    </w:p>
    <w:p w14:paraId="7737FB50">
      <w:pPr>
        <w:pageBreakBefore w:val="0"/>
        <w:kinsoku/>
        <w:wordWrap/>
        <w:overflowPunct/>
        <w:topLinePunct w:val="0"/>
        <w:bidi w:val="0"/>
        <w:snapToGrid w:val="0"/>
        <w:spacing w:line="400" w:lineRule="exact"/>
        <w:outlineLvl w:val="9"/>
        <w:rPr>
          <w:rFonts w:ascii="宋体" w:hAnsi="宋体" w:cs="宋体"/>
          <w:color w:val="000000" w:themeColor="text1"/>
          <w:highlight w:val="none"/>
          <w:u w:val="single"/>
          <w14:textFill>
            <w14:solidFill>
              <w14:schemeClr w14:val="tx1"/>
            </w14:solidFill>
          </w14:textFill>
        </w:rPr>
      </w:pPr>
    </w:p>
    <w:p w14:paraId="113B309C">
      <w:pPr>
        <w:pageBreakBefore w:val="0"/>
        <w:kinsoku/>
        <w:wordWrap/>
        <w:overflowPunct/>
        <w:topLinePunct w:val="0"/>
        <w:bidi w:val="0"/>
        <w:outlineLvl w:val="9"/>
        <w:rPr>
          <w:rFonts w:hint="eastAsia" w:ascii="宋体" w:hAnsi="宋体" w:cs="宋体"/>
          <w:b/>
          <w:bCs/>
          <w:color w:val="000000" w:themeColor="text1"/>
          <w:sz w:val="32"/>
          <w:szCs w:val="32"/>
          <w:highlight w:val="none"/>
          <w:lang w:val="en-US" w:eastAsia="zh-CN"/>
          <w14:textFill>
            <w14:solidFill>
              <w14:schemeClr w14:val="tx1"/>
            </w14:solidFill>
          </w14:textFill>
        </w:rPr>
      </w:pPr>
      <w:bookmarkStart w:id="325" w:name="_Toc24169_WPSOffice_Level1"/>
    </w:p>
    <w:p w14:paraId="7AB34752">
      <w:pPr>
        <w:pageBreakBefore w:val="0"/>
        <w:kinsoku/>
        <w:wordWrap/>
        <w:overflowPunct/>
        <w:topLinePunct w:val="0"/>
        <w:bidi w:val="0"/>
        <w:outlineLvl w:val="9"/>
        <w:rPr>
          <w:rFonts w:hint="eastAsia" w:ascii="宋体" w:hAnsi="宋体" w:cs="宋体"/>
          <w:b/>
          <w:bCs/>
          <w:color w:val="000000" w:themeColor="text1"/>
          <w:sz w:val="32"/>
          <w:szCs w:val="32"/>
          <w:highlight w:val="none"/>
          <w:lang w:val="en-US" w:eastAsia="zh-CN"/>
          <w14:textFill>
            <w14:solidFill>
              <w14:schemeClr w14:val="tx1"/>
            </w14:solidFill>
          </w14:textFill>
        </w:rPr>
      </w:pPr>
    </w:p>
    <w:p w14:paraId="59E05676">
      <w:pPr>
        <w:pageBreakBefore w:val="0"/>
        <w:kinsoku/>
        <w:wordWrap/>
        <w:overflowPunct/>
        <w:topLinePunct w:val="0"/>
        <w:bidi w:val="0"/>
        <w:outlineLvl w:val="9"/>
        <w:rPr>
          <w:rFonts w:hint="eastAsia" w:ascii="宋体" w:hAnsi="宋体" w:cs="宋体"/>
          <w:b/>
          <w:bCs/>
          <w:color w:val="000000" w:themeColor="text1"/>
          <w:sz w:val="32"/>
          <w:szCs w:val="32"/>
          <w:highlight w:val="none"/>
          <w:lang w:val="en-US" w:eastAsia="zh-CN"/>
          <w14:textFill>
            <w14:solidFill>
              <w14:schemeClr w14:val="tx1"/>
            </w14:solidFill>
          </w14:textFill>
        </w:rPr>
      </w:pPr>
    </w:p>
    <w:p w14:paraId="3631BD99">
      <w:pPr>
        <w:pageBreakBefore w:val="0"/>
        <w:kinsoku/>
        <w:wordWrap/>
        <w:overflowPunct/>
        <w:topLinePunct w:val="0"/>
        <w:bidi w:val="0"/>
        <w:outlineLvl w:val="9"/>
        <w:rPr>
          <w:rFonts w:hint="eastAsia" w:ascii="宋体" w:hAnsi="宋体" w:cs="宋体"/>
          <w:b/>
          <w:bCs/>
          <w:color w:val="000000" w:themeColor="text1"/>
          <w:sz w:val="32"/>
          <w:szCs w:val="32"/>
          <w:highlight w:val="none"/>
          <w:lang w:val="en-US" w:eastAsia="zh-CN"/>
          <w14:textFill>
            <w14:solidFill>
              <w14:schemeClr w14:val="tx1"/>
            </w14:solidFill>
          </w14:textFill>
        </w:rPr>
      </w:pPr>
    </w:p>
    <w:p w14:paraId="037F832A">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10.</w:t>
      </w:r>
      <w:r>
        <w:rPr>
          <w:rFonts w:hint="eastAsia" w:ascii="宋体" w:hAnsi="宋体" w:cs="宋体"/>
          <w:b/>
          <w:bCs/>
          <w:color w:val="000000" w:themeColor="text1"/>
          <w:sz w:val="32"/>
          <w:szCs w:val="32"/>
          <w:highlight w:val="none"/>
          <w14:textFill>
            <w14:solidFill>
              <w14:schemeClr w14:val="tx1"/>
            </w14:solidFill>
          </w14:textFill>
        </w:rPr>
        <w:t>供应商属于中小微企业或监狱企业或残疾人福利性单位的证明材料【①如属于中小企业在参加政府采购活动时，应当出具《中小企业声明函》（格式见附件），以提供的《中小企业声明函》为准，并对声明的真实性负责；②如属于监狱企业的，应当提供由省级以上监狱管理局、戒毒管理局(含新疆生产建设兵团)出具的属于监狱企业的证明文件复印件；③如符合条件的残疾人福利性单位在参加政府采购活动时，应当提供《残疾人福利性单位声明函》（格式见附件），并对声明的真实性负责】（必须提供）；</w:t>
      </w:r>
    </w:p>
    <w:p w14:paraId="293948EE">
      <w:pPr>
        <w:pageBreakBefore w:val="0"/>
        <w:kinsoku/>
        <w:wordWrap/>
        <w:overflowPunct/>
        <w:topLinePunct w:val="0"/>
        <w:bidi w:val="0"/>
        <w:outlineLvl w:val="9"/>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附件</w:t>
      </w:r>
      <w:bookmarkEnd w:id="325"/>
    </w:p>
    <w:p w14:paraId="40FE4224">
      <w:pPr>
        <w:pageBreakBefore w:val="0"/>
        <w:kinsoku/>
        <w:wordWrap/>
        <w:overflowPunct/>
        <w:topLinePunct w:val="0"/>
        <w:bidi w:val="0"/>
        <w:outlineLvl w:val="9"/>
        <w:rPr>
          <w:rFonts w:hint="eastAsia"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br w:type="page"/>
      </w:r>
    </w:p>
    <w:p w14:paraId="7DBFC67F">
      <w:pPr>
        <w:pStyle w:val="104"/>
        <w:pageBreakBefore w:val="0"/>
        <w:kinsoku/>
        <w:wordWrap/>
        <w:overflowPunct/>
        <w:topLinePunct w:val="0"/>
        <w:bidi w:val="0"/>
        <w:spacing w:line="360" w:lineRule="auto"/>
        <w:outlineLvl w:val="9"/>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①如属于中小企业在参加政府采购活动时，应当出具《中小企业声明函》（格式见附件），以提供的《中小企业声明函》为准，并对声明的真实性负责。</w:t>
      </w:r>
    </w:p>
    <w:p w14:paraId="611B5F44">
      <w:pPr>
        <w:pageBreakBefore w:val="0"/>
        <w:tabs>
          <w:tab w:val="left" w:pos="1305"/>
        </w:tabs>
        <w:kinsoku/>
        <w:wordWrap/>
        <w:overflowPunct/>
        <w:topLinePunct w:val="0"/>
        <w:bidi w:val="0"/>
        <w:spacing w:line="380" w:lineRule="exact"/>
        <w:ind w:firstLine="2891" w:firstLineChars="900"/>
        <w:outlineLvl w:val="9"/>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中小企业声明函（格式）</w:t>
      </w:r>
    </w:p>
    <w:p w14:paraId="3005238F">
      <w:pPr>
        <w:pageBreakBefore w:val="0"/>
        <w:tabs>
          <w:tab w:val="left" w:pos="1305"/>
        </w:tabs>
        <w:kinsoku/>
        <w:wordWrap/>
        <w:overflowPunct/>
        <w:topLinePunct w:val="0"/>
        <w:bidi w:val="0"/>
        <w:spacing w:line="380" w:lineRule="exact"/>
        <w:ind w:firstLine="422" w:firstLineChars="200"/>
        <w:outlineLvl w:val="9"/>
        <w:rPr>
          <w:rFonts w:ascii="宋体" w:hAnsi="宋体" w:cs="宋体"/>
          <w:b/>
          <w:bCs/>
          <w:color w:val="000000" w:themeColor="text1"/>
          <w:szCs w:val="20"/>
          <w:highlight w:val="none"/>
          <w14:textFill>
            <w14:solidFill>
              <w14:schemeClr w14:val="tx1"/>
            </w14:solidFill>
          </w14:textFill>
        </w:rPr>
      </w:pPr>
    </w:p>
    <w:p w14:paraId="25FFCC64">
      <w:pPr>
        <w:pStyle w:val="17"/>
        <w:pageBreakBefore w:val="0"/>
        <w:kinsoku/>
        <w:wordWrap/>
        <w:overflowPunct/>
        <w:topLinePunct w:val="0"/>
        <w:bidi w:val="0"/>
        <w:spacing w:line="440" w:lineRule="exact"/>
        <w:ind w:firstLine="504" w:firstLineChars="200"/>
        <w:outlineLvl w:val="9"/>
        <w:rPr>
          <w:rFonts w:hAnsi="宋体" w:cs="宋体"/>
          <w:color w:val="000000" w:themeColor="text1"/>
          <w:spacing w:val="6"/>
          <w:sz w:val="24"/>
          <w:szCs w:val="24"/>
          <w:highlight w:val="none"/>
          <w14:textFill>
            <w14:solidFill>
              <w14:schemeClr w14:val="tx1"/>
            </w14:solidFill>
          </w14:textFill>
        </w:rPr>
      </w:pPr>
      <w:r>
        <w:rPr>
          <w:rFonts w:hint="eastAsia" w:hAnsi="宋体" w:cs="宋体"/>
          <w:color w:val="000000" w:themeColor="text1"/>
          <w:spacing w:val="6"/>
          <w:sz w:val="24"/>
          <w:szCs w:val="24"/>
          <w:highlight w:val="none"/>
          <w14:textFill>
            <w14:solidFill>
              <w14:schemeClr w14:val="tx1"/>
            </w14:solidFill>
          </w14:textFill>
        </w:rPr>
        <w:t>本公司（联合体）郑重声明，根据《政府采购促进中小企业发展管理办法》（财库﹝2020﹞46 号）的规定，本公司（联合体）参加（</w:t>
      </w:r>
      <w:r>
        <w:rPr>
          <w:rFonts w:hint="eastAsia" w:hAnsi="宋体" w:cs="宋体"/>
          <w:color w:val="000000" w:themeColor="text1"/>
          <w:spacing w:val="6"/>
          <w:sz w:val="24"/>
          <w:szCs w:val="24"/>
          <w:highlight w:val="none"/>
          <w:u w:val="single"/>
          <w14:textFill>
            <w14:solidFill>
              <w14:schemeClr w14:val="tx1"/>
            </w14:solidFill>
          </w14:textFill>
        </w:rPr>
        <w:t>单位名称</w:t>
      </w:r>
      <w:r>
        <w:rPr>
          <w:rFonts w:hint="eastAsia" w:hAnsi="宋体" w:cs="宋体"/>
          <w:color w:val="000000" w:themeColor="text1"/>
          <w:spacing w:val="6"/>
          <w:sz w:val="24"/>
          <w:szCs w:val="24"/>
          <w:highlight w:val="none"/>
          <w14:textFill>
            <w14:solidFill>
              <w14:schemeClr w14:val="tx1"/>
            </w14:solidFill>
          </w14:textFill>
        </w:rPr>
        <w:t>）的（</w:t>
      </w:r>
      <w:r>
        <w:rPr>
          <w:rFonts w:hint="eastAsia" w:hAnsi="宋体" w:cs="宋体"/>
          <w:color w:val="000000" w:themeColor="text1"/>
          <w:spacing w:val="6"/>
          <w:sz w:val="24"/>
          <w:szCs w:val="24"/>
          <w:highlight w:val="none"/>
          <w:u w:val="single"/>
          <w14:textFill>
            <w14:solidFill>
              <w14:schemeClr w14:val="tx1"/>
            </w14:solidFill>
          </w14:textFill>
        </w:rPr>
        <w:t>项目名称</w:t>
      </w:r>
      <w:r>
        <w:rPr>
          <w:rFonts w:hint="eastAsia" w:hAnsi="宋体" w:cs="宋体"/>
          <w:color w:val="000000" w:themeColor="text1"/>
          <w:spacing w:val="6"/>
          <w:sz w:val="24"/>
          <w:szCs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09B9D815">
      <w:pPr>
        <w:pStyle w:val="17"/>
        <w:pageBreakBefore w:val="0"/>
        <w:kinsoku/>
        <w:wordWrap/>
        <w:overflowPunct/>
        <w:topLinePunct w:val="0"/>
        <w:bidi w:val="0"/>
        <w:spacing w:line="440" w:lineRule="exact"/>
        <w:ind w:firstLine="504" w:firstLineChars="200"/>
        <w:outlineLvl w:val="9"/>
        <w:rPr>
          <w:rFonts w:hAnsi="宋体" w:cs="宋体"/>
          <w:color w:val="000000" w:themeColor="text1"/>
          <w:highlight w:val="none"/>
          <w14:textFill>
            <w14:solidFill>
              <w14:schemeClr w14:val="tx1"/>
            </w14:solidFill>
          </w14:textFill>
        </w:rPr>
      </w:pPr>
      <w:r>
        <w:rPr>
          <w:rFonts w:hint="eastAsia" w:hAnsi="宋体" w:cs="宋体"/>
          <w:color w:val="000000" w:themeColor="text1"/>
          <w:spacing w:val="6"/>
          <w:sz w:val="24"/>
          <w:szCs w:val="24"/>
          <w:highlight w:val="none"/>
          <w:u w:val="single"/>
          <w14:textFill>
            <w14:solidFill>
              <w14:schemeClr w14:val="tx1"/>
            </w14:solidFill>
          </w14:textFill>
        </w:rPr>
        <w:t xml:space="preserve">（标的名称） </w:t>
      </w:r>
      <w:r>
        <w:rPr>
          <w:rFonts w:hint="eastAsia" w:hAnsi="宋体" w:cs="宋体"/>
          <w:color w:val="000000" w:themeColor="text1"/>
          <w:spacing w:val="6"/>
          <w:sz w:val="24"/>
          <w:szCs w:val="24"/>
          <w:highlight w:val="none"/>
          <w14:textFill>
            <w14:solidFill>
              <w14:schemeClr w14:val="tx1"/>
            </w14:solidFill>
          </w14:textFill>
        </w:rPr>
        <w:t>，属于</w:t>
      </w:r>
      <w:r>
        <w:rPr>
          <w:rFonts w:hint="eastAsia" w:hAnsi="宋体" w:cs="宋体"/>
          <w:color w:val="000000" w:themeColor="text1"/>
          <w:spacing w:val="6"/>
          <w:sz w:val="24"/>
          <w:szCs w:val="24"/>
          <w:highlight w:val="none"/>
          <w:u w:val="single"/>
          <w14:textFill>
            <w14:solidFill>
              <w14:schemeClr w14:val="tx1"/>
            </w14:solidFill>
          </w14:textFill>
        </w:rPr>
        <w:t>（采购文件中明确的所属行业）</w:t>
      </w:r>
      <w:r>
        <w:rPr>
          <w:rFonts w:hint="eastAsia" w:hAnsi="宋体" w:cs="宋体"/>
          <w:color w:val="000000" w:themeColor="text1"/>
          <w:spacing w:val="6"/>
          <w:sz w:val="24"/>
          <w:szCs w:val="24"/>
          <w:highlight w:val="none"/>
          <w14:textFill>
            <w14:solidFill>
              <w14:schemeClr w14:val="tx1"/>
            </w14:solidFill>
          </w14:textFill>
        </w:rPr>
        <w:t>； 承建（承接）企业为（</w:t>
      </w:r>
      <w:r>
        <w:rPr>
          <w:rFonts w:hint="eastAsia" w:hAnsi="宋体" w:cs="宋体"/>
          <w:color w:val="000000" w:themeColor="text1"/>
          <w:spacing w:val="6"/>
          <w:sz w:val="24"/>
          <w:szCs w:val="24"/>
          <w:highlight w:val="none"/>
          <w:u w:val="single"/>
          <w14:textFill>
            <w14:solidFill>
              <w14:schemeClr w14:val="tx1"/>
            </w14:solidFill>
          </w14:textFill>
        </w:rPr>
        <w:t>企业名称</w:t>
      </w:r>
      <w:r>
        <w:rPr>
          <w:rFonts w:hint="eastAsia" w:hAnsi="宋体" w:cs="宋体"/>
          <w:color w:val="000000" w:themeColor="text1"/>
          <w:spacing w:val="6"/>
          <w:sz w:val="24"/>
          <w:szCs w:val="24"/>
          <w:highlight w:val="none"/>
          <w14:textFill>
            <w14:solidFill>
              <w14:schemeClr w14:val="tx1"/>
            </w14:solidFill>
          </w14:textFill>
        </w:rPr>
        <w:t>），从业人员人，营业 收入为万元，资产总额为 万元，属于（</w:t>
      </w:r>
      <w:r>
        <w:rPr>
          <w:rFonts w:hint="eastAsia" w:hAnsi="宋体" w:cs="宋体"/>
          <w:color w:val="000000" w:themeColor="text1"/>
          <w:spacing w:val="6"/>
          <w:sz w:val="24"/>
          <w:szCs w:val="24"/>
          <w:highlight w:val="none"/>
          <w:u w:val="single"/>
          <w14:textFill>
            <w14:solidFill>
              <w14:schemeClr w14:val="tx1"/>
            </w14:solidFill>
          </w14:textFill>
        </w:rPr>
        <w:t>中型企业、 小型企业、微型企业</w:t>
      </w:r>
      <w:r>
        <w:rPr>
          <w:rFonts w:hint="eastAsia" w:hAnsi="宋体" w:cs="宋体"/>
          <w:color w:val="000000" w:themeColor="text1"/>
          <w:spacing w:val="6"/>
          <w:sz w:val="24"/>
          <w:szCs w:val="24"/>
          <w:highlight w:val="none"/>
          <w14:textFill>
            <w14:solidFill>
              <w14:schemeClr w14:val="tx1"/>
            </w14:solidFill>
          </w14:textFill>
        </w:rPr>
        <w:t>）</w:t>
      </w:r>
    </w:p>
    <w:p w14:paraId="298F3868">
      <w:pPr>
        <w:pageBreakBefore w:val="0"/>
        <w:widowControl/>
        <w:kinsoku/>
        <w:wordWrap/>
        <w:overflowPunct/>
        <w:topLinePunct w:val="0"/>
        <w:bidi w:val="0"/>
        <w:ind w:firstLine="504" w:firstLineChars="200"/>
        <w:jc w:val="left"/>
        <w:outlineLvl w:val="9"/>
        <w:rPr>
          <w:rFonts w:ascii="宋体" w:hAnsi="宋体" w:cs="宋体"/>
          <w:color w:val="000000" w:themeColor="text1"/>
          <w:spacing w:val="6"/>
          <w:sz w:val="24"/>
          <w:highlight w:val="none"/>
          <w14:textFill>
            <w14:solidFill>
              <w14:schemeClr w14:val="tx1"/>
            </w14:solidFill>
          </w14:textFill>
        </w:rPr>
      </w:pPr>
    </w:p>
    <w:p w14:paraId="54D544F3">
      <w:pPr>
        <w:pageBreakBefore w:val="0"/>
        <w:widowControl/>
        <w:kinsoku/>
        <w:wordWrap/>
        <w:overflowPunct/>
        <w:topLinePunct w:val="0"/>
        <w:bidi w:val="0"/>
        <w:ind w:firstLine="504" w:firstLineChars="200"/>
        <w:jc w:val="left"/>
        <w:outlineLvl w:val="9"/>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以上企业，不属于大企业的分支机构，不存在控股股东为大企业的情形，也不存在与大企业的负责人为同一人的情形。</w:t>
      </w:r>
    </w:p>
    <w:p w14:paraId="4D8125CB">
      <w:pPr>
        <w:pageBreakBefore w:val="0"/>
        <w:widowControl/>
        <w:kinsoku/>
        <w:wordWrap/>
        <w:overflowPunct/>
        <w:topLinePunct w:val="0"/>
        <w:bidi w:val="0"/>
        <w:jc w:val="left"/>
        <w:outlineLvl w:val="9"/>
        <w:rPr>
          <w:rFonts w:ascii="宋体" w:hAnsi="宋体" w:cs="宋体"/>
          <w:color w:val="000000" w:themeColor="text1"/>
          <w:spacing w:val="6"/>
          <w:sz w:val="24"/>
          <w:highlight w:val="none"/>
          <w14:textFill>
            <w14:solidFill>
              <w14:schemeClr w14:val="tx1"/>
            </w14:solidFill>
          </w14:textFill>
        </w:rPr>
      </w:pPr>
    </w:p>
    <w:p w14:paraId="7BF4A0CC">
      <w:pPr>
        <w:pageBreakBefore w:val="0"/>
        <w:widowControl/>
        <w:kinsoku/>
        <w:wordWrap/>
        <w:overflowPunct/>
        <w:topLinePunct w:val="0"/>
        <w:bidi w:val="0"/>
        <w:jc w:val="left"/>
        <w:outlineLvl w:val="9"/>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 xml:space="preserve">本企业对上述声明内容的真实性负责。如有虚假，将依法承担相应责任。 </w:t>
      </w:r>
    </w:p>
    <w:p w14:paraId="62BF7A39">
      <w:pPr>
        <w:pStyle w:val="12"/>
        <w:pageBreakBefore w:val="0"/>
        <w:kinsoku/>
        <w:wordWrap/>
        <w:overflowPunct/>
        <w:topLinePunct w:val="0"/>
        <w:bidi w:val="0"/>
        <w:ind w:firstLine="5796" w:firstLineChars="2300"/>
        <w:outlineLvl w:val="9"/>
        <w:rPr>
          <w:rFonts w:ascii="宋体" w:hAnsi="宋体" w:cs="宋体"/>
          <w:color w:val="000000" w:themeColor="text1"/>
          <w:spacing w:val="6"/>
          <w:sz w:val="24"/>
          <w:highlight w:val="none"/>
          <w14:textFill>
            <w14:solidFill>
              <w14:schemeClr w14:val="tx1"/>
            </w14:solidFill>
          </w14:textFill>
        </w:rPr>
      </w:pPr>
    </w:p>
    <w:p w14:paraId="63B276FA">
      <w:pPr>
        <w:pStyle w:val="12"/>
        <w:pageBreakBefore w:val="0"/>
        <w:kinsoku/>
        <w:wordWrap/>
        <w:overflowPunct/>
        <w:topLinePunct w:val="0"/>
        <w:bidi w:val="0"/>
        <w:ind w:firstLine="5796" w:firstLineChars="2300"/>
        <w:outlineLvl w:val="9"/>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CA签章</w:t>
      </w:r>
      <w:r>
        <w:rPr>
          <w:rFonts w:hint="eastAsia" w:ascii="宋体" w:hAnsi="宋体" w:cs="宋体"/>
          <w:color w:val="000000" w:themeColor="text1"/>
          <w:spacing w:val="6"/>
          <w:sz w:val="24"/>
          <w:highlight w:val="none"/>
          <w14:textFill>
            <w14:solidFill>
              <w14:schemeClr w14:val="tx1"/>
            </w14:solidFill>
          </w14:textFill>
        </w:rPr>
        <w:t xml:space="preserve">）： </w:t>
      </w:r>
    </w:p>
    <w:p w14:paraId="40E4A56B">
      <w:pPr>
        <w:pageBreakBefore w:val="0"/>
        <w:widowControl/>
        <w:kinsoku/>
        <w:wordWrap/>
        <w:overflowPunct/>
        <w:topLinePunct w:val="0"/>
        <w:bidi w:val="0"/>
        <w:ind w:firstLine="5796" w:firstLineChars="2300"/>
        <w:jc w:val="left"/>
        <w:outlineLvl w:val="9"/>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日 期：</w:t>
      </w:r>
    </w:p>
    <w:p w14:paraId="3A13B37C">
      <w:pPr>
        <w:pStyle w:val="7"/>
        <w:pageBreakBefore w:val="0"/>
        <w:kinsoku/>
        <w:wordWrap/>
        <w:overflowPunct/>
        <w:topLinePunct w:val="0"/>
        <w:bidi w:val="0"/>
        <w:ind w:left="0"/>
        <w:outlineLvl w:val="9"/>
        <w:rPr>
          <w:rFonts w:ascii="宋体" w:hAnsi="宋体" w:cs="宋体"/>
          <w:color w:val="000000" w:themeColor="text1"/>
          <w:highlight w:val="none"/>
          <w14:textFill>
            <w14:solidFill>
              <w14:schemeClr w14:val="tx1"/>
            </w14:solidFill>
          </w14:textFill>
        </w:rPr>
      </w:pPr>
    </w:p>
    <w:p w14:paraId="119F4E9A">
      <w:pPr>
        <w:pageBreakBefore w:val="0"/>
        <w:kinsoku/>
        <w:wordWrap/>
        <w:overflowPunct/>
        <w:topLinePunct w:val="0"/>
        <w:bidi w:val="0"/>
        <w:spacing w:line="400" w:lineRule="exact"/>
        <w:outlineLvl w:val="9"/>
        <w:rPr>
          <w:rFonts w:ascii="宋体" w:hAnsi="宋体"/>
          <w:b/>
          <w:color w:val="000000" w:themeColor="text1"/>
          <w:kern w:val="0"/>
          <w:sz w:val="18"/>
          <w:szCs w:val="18"/>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注：</w:t>
      </w:r>
      <w:r>
        <w:rPr>
          <w:rFonts w:hint="eastAsia" w:ascii="宋体" w:hAnsi="宋体"/>
          <w:b/>
          <w:color w:val="000000" w:themeColor="text1"/>
          <w:kern w:val="0"/>
          <w:sz w:val="18"/>
          <w:szCs w:val="18"/>
          <w:highlight w:val="none"/>
          <w14:textFill>
            <w14:solidFill>
              <w14:schemeClr w14:val="tx1"/>
            </w14:solidFill>
          </w14:textFill>
        </w:rPr>
        <w:t>1.</w:t>
      </w:r>
      <w:r>
        <w:rPr>
          <w:rFonts w:ascii="宋体" w:hAnsi="宋体"/>
          <w:b/>
          <w:color w:val="000000" w:themeColor="text1"/>
          <w:kern w:val="0"/>
          <w:sz w:val="18"/>
          <w:szCs w:val="18"/>
          <w:highlight w:val="none"/>
          <w14:textFill>
            <w14:solidFill>
              <w14:schemeClr w14:val="tx1"/>
            </w14:solidFill>
          </w14:textFill>
        </w:rPr>
        <w:t>从业人员、营业收入、资产总额填报上一年度数据，无上一年度数据的新成立企业可不填报。</w:t>
      </w:r>
    </w:p>
    <w:p w14:paraId="2ACFD79C">
      <w:pPr>
        <w:pageBreakBefore w:val="0"/>
        <w:kinsoku/>
        <w:wordWrap/>
        <w:overflowPunct/>
        <w:topLinePunct w:val="0"/>
        <w:bidi w:val="0"/>
        <w:spacing w:line="380" w:lineRule="exact"/>
        <w:ind w:firstLine="443" w:firstLineChars="245"/>
        <w:outlineLvl w:val="9"/>
        <w:rPr>
          <w:rFonts w:ascii="宋体" w:hAnsi="宋体"/>
          <w:b/>
          <w:color w:val="000000" w:themeColor="text1"/>
          <w:kern w:val="0"/>
          <w:sz w:val="18"/>
          <w:szCs w:val="18"/>
          <w:highlight w:val="none"/>
          <w14:textFill>
            <w14:solidFill>
              <w14:schemeClr w14:val="tx1"/>
            </w14:solidFill>
          </w14:textFill>
        </w:rPr>
      </w:pPr>
      <w:r>
        <w:rPr>
          <w:rFonts w:hint="eastAsia" w:ascii="宋体" w:hAnsi="宋体"/>
          <w:b/>
          <w:color w:val="000000" w:themeColor="text1"/>
          <w:kern w:val="0"/>
          <w:sz w:val="18"/>
          <w:szCs w:val="18"/>
          <w:highlight w:val="none"/>
          <w14:textFill>
            <w14:solidFill>
              <w14:schemeClr w14:val="tx1"/>
            </w14:solidFill>
          </w14:textFill>
        </w:rPr>
        <w:t>2.</w:t>
      </w:r>
      <w:r>
        <w:rPr>
          <w:rFonts w:hint="eastAsia" w:ascii="宋体" w:hAnsi="宋体"/>
          <w:b/>
          <w:color w:val="000000" w:themeColor="text1"/>
          <w:kern w:val="0"/>
          <w:sz w:val="18"/>
          <w:szCs w:val="18"/>
          <w:highlight w:val="none"/>
          <w:lang w:val="en-US" w:eastAsia="zh-CN"/>
          <w14:textFill>
            <w14:solidFill>
              <w14:schemeClr w14:val="tx1"/>
            </w14:solidFill>
          </w14:textFill>
        </w:rPr>
        <w:t>本项目</w:t>
      </w:r>
      <w:r>
        <w:rPr>
          <w:rFonts w:hint="eastAsia" w:ascii="宋体" w:hAnsi="宋体"/>
          <w:b/>
          <w:color w:val="000000" w:themeColor="text1"/>
          <w:kern w:val="0"/>
          <w:sz w:val="18"/>
          <w:szCs w:val="18"/>
          <w:highlight w:val="none"/>
          <w14:textFill>
            <w14:solidFill>
              <w14:schemeClr w14:val="tx1"/>
            </w14:solidFill>
          </w14:textFill>
        </w:rPr>
        <w:t>采购标的属于其他未列明行业。</w:t>
      </w:r>
    </w:p>
    <w:p w14:paraId="6285BE27">
      <w:pPr>
        <w:pageBreakBefore w:val="0"/>
        <w:kinsoku/>
        <w:wordWrap/>
        <w:overflowPunct/>
        <w:topLinePunct w:val="0"/>
        <w:bidi w:val="0"/>
        <w:spacing w:line="380" w:lineRule="exact"/>
        <w:outlineLvl w:val="9"/>
        <w:rPr>
          <w:rFonts w:ascii="宋体" w:hAnsi="宋体"/>
          <w:b/>
          <w:color w:val="000000" w:themeColor="text1"/>
          <w:kern w:val="0"/>
          <w:sz w:val="18"/>
          <w:szCs w:val="18"/>
          <w:highlight w:val="none"/>
          <w14:textFill>
            <w14:solidFill>
              <w14:schemeClr w14:val="tx1"/>
            </w14:solidFill>
          </w14:textFill>
        </w:rPr>
      </w:pPr>
    </w:p>
    <w:p w14:paraId="47CDB6CB">
      <w:pPr>
        <w:pageBreakBefore w:val="0"/>
        <w:widowControl/>
        <w:kinsoku/>
        <w:wordWrap/>
        <w:overflowPunct/>
        <w:topLinePunct w:val="0"/>
        <w:bidi w:val="0"/>
        <w:jc w:val="left"/>
        <w:outlineLvl w:val="9"/>
        <w:rPr>
          <w:rFonts w:hint="eastAsia" w:hAnsi="宋体" w:cs="宋体"/>
          <w:b/>
          <w:color w:val="000000" w:themeColor="text1"/>
          <w:sz w:val="28"/>
          <w:szCs w:val="28"/>
          <w:highlight w:val="none"/>
          <w14:textFill>
            <w14:solidFill>
              <w14:schemeClr w14:val="tx1"/>
            </w14:solidFill>
          </w14:textFill>
        </w:rPr>
      </w:pPr>
    </w:p>
    <w:p w14:paraId="7A7D59D3">
      <w:pPr>
        <w:pageBreakBefore w:val="0"/>
        <w:widowControl/>
        <w:kinsoku/>
        <w:wordWrap/>
        <w:overflowPunct/>
        <w:topLinePunct w:val="0"/>
        <w:bidi w:val="0"/>
        <w:jc w:val="left"/>
        <w:outlineLvl w:val="9"/>
        <w:rPr>
          <w:rFonts w:hint="eastAsia" w:hAnsi="宋体" w:cs="宋体"/>
          <w:b/>
          <w:color w:val="000000" w:themeColor="text1"/>
          <w:sz w:val="28"/>
          <w:szCs w:val="28"/>
          <w:highlight w:val="none"/>
          <w14:textFill>
            <w14:solidFill>
              <w14:schemeClr w14:val="tx1"/>
            </w14:solidFill>
          </w14:textFill>
        </w:rPr>
      </w:pPr>
    </w:p>
    <w:p w14:paraId="5D27079A">
      <w:pPr>
        <w:pageBreakBefore w:val="0"/>
        <w:widowControl/>
        <w:kinsoku/>
        <w:wordWrap/>
        <w:overflowPunct/>
        <w:topLinePunct w:val="0"/>
        <w:bidi w:val="0"/>
        <w:jc w:val="left"/>
        <w:outlineLvl w:val="9"/>
        <w:rPr>
          <w:rFonts w:hint="eastAsia" w:hAnsi="宋体" w:cs="宋体"/>
          <w:b/>
          <w:color w:val="000000" w:themeColor="text1"/>
          <w:sz w:val="28"/>
          <w:szCs w:val="28"/>
          <w:highlight w:val="none"/>
          <w14:textFill>
            <w14:solidFill>
              <w14:schemeClr w14:val="tx1"/>
            </w14:solidFill>
          </w14:textFill>
        </w:rPr>
      </w:pPr>
    </w:p>
    <w:p w14:paraId="11382A7A">
      <w:pPr>
        <w:pageBreakBefore w:val="0"/>
        <w:widowControl/>
        <w:kinsoku/>
        <w:wordWrap/>
        <w:overflowPunct/>
        <w:topLinePunct w:val="0"/>
        <w:bidi w:val="0"/>
        <w:jc w:val="left"/>
        <w:outlineLvl w:val="9"/>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②如属于监狱企业的，应当提供由省级以上监狱管理局、戒毒管理局(含新疆生产建设兵团)出具的属于监狱企业的证明文件复印件；</w:t>
      </w:r>
    </w:p>
    <w:p w14:paraId="2950D3A6">
      <w:pPr>
        <w:pStyle w:val="17"/>
        <w:pageBreakBefore w:val="0"/>
        <w:kinsoku/>
        <w:wordWrap/>
        <w:overflowPunct/>
        <w:topLinePunct w:val="0"/>
        <w:bidi w:val="0"/>
        <w:spacing w:line="340" w:lineRule="exact"/>
        <w:outlineLvl w:val="9"/>
        <w:rPr>
          <w:rFonts w:hAnsi="宋体" w:cs="宋体"/>
          <w:b/>
          <w:color w:val="000000" w:themeColor="text1"/>
          <w:sz w:val="28"/>
          <w:szCs w:val="28"/>
          <w:highlight w:val="none"/>
          <w14:textFill>
            <w14:solidFill>
              <w14:schemeClr w14:val="tx1"/>
            </w14:solidFill>
          </w14:textFill>
        </w:rPr>
      </w:pPr>
    </w:p>
    <w:p w14:paraId="5FDFF77E">
      <w:pPr>
        <w:pStyle w:val="17"/>
        <w:pageBreakBefore w:val="0"/>
        <w:kinsoku/>
        <w:wordWrap/>
        <w:overflowPunct/>
        <w:topLinePunct w:val="0"/>
        <w:bidi w:val="0"/>
        <w:spacing w:line="340" w:lineRule="exact"/>
        <w:outlineLvl w:val="9"/>
        <w:rPr>
          <w:rFonts w:hAnsi="宋体" w:cs="宋体"/>
          <w:b/>
          <w:color w:val="000000" w:themeColor="text1"/>
          <w:sz w:val="28"/>
          <w:szCs w:val="28"/>
          <w:highlight w:val="none"/>
          <w14:textFill>
            <w14:solidFill>
              <w14:schemeClr w14:val="tx1"/>
            </w14:solidFill>
          </w14:textFill>
        </w:rPr>
      </w:pPr>
    </w:p>
    <w:p w14:paraId="0A44912E">
      <w:pPr>
        <w:pStyle w:val="17"/>
        <w:pageBreakBefore w:val="0"/>
        <w:kinsoku/>
        <w:wordWrap/>
        <w:overflowPunct/>
        <w:topLinePunct w:val="0"/>
        <w:bidi w:val="0"/>
        <w:spacing w:line="340" w:lineRule="exact"/>
        <w:outlineLvl w:val="9"/>
        <w:rPr>
          <w:rFonts w:hAnsi="宋体" w:cs="宋体"/>
          <w:b/>
          <w:color w:val="000000" w:themeColor="text1"/>
          <w:sz w:val="28"/>
          <w:szCs w:val="28"/>
          <w:highlight w:val="none"/>
          <w14:textFill>
            <w14:solidFill>
              <w14:schemeClr w14:val="tx1"/>
            </w14:solidFill>
          </w14:textFill>
        </w:rPr>
      </w:pPr>
    </w:p>
    <w:p w14:paraId="6E88240A">
      <w:pPr>
        <w:pStyle w:val="17"/>
        <w:pageBreakBefore w:val="0"/>
        <w:kinsoku/>
        <w:wordWrap/>
        <w:overflowPunct/>
        <w:topLinePunct w:val="0"/>
        <w:bidi w:val="0"/>
        <w:spacing w:line="340" w:lineRule="exact"/>
        <w:outlineLvl w:val="9"/>
        <w:rPr>
          <w:rFonts w:hAnsi="宋体" w:cs="宋体"/>
          <w:b/>
          <w:color w:val="000000" w:themeColor="text1"/>
          <w:sz w:val="28"/>
          <w:szCs w:val="28"/>
          <w:highlight w:val="none"/>
          <w14:textFill>
            <w14:solidFill>
              <w14:schemeClr w14:val="tx1"/>
            </w14:solidFill>
          </w14:textFill>
        </w:rPr>
      </w:pPr>
    </w:p>
    <w:p w14:paraId="36B48F48">
      <w:pPr>
        <w:pageBreakBefore w:val="0"/>
        <w:kinsoku/>
        <w:wordWrap/>
        <w:overflowPunct/>
        <w:topLinePunct w:val="0"/>
        <w:bidi w:val="0"/>
        <w:outlineLvl w:val="9"/>
        <w:rPr>
          <w:rFonts w:hint="eastAsia"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br w:type="page"/>
      </w:r>
    </w:p>
    <w:p w14:paraId="70A6935F">
      <w:pPr>
        <w:pStyle w:val="17"/>
        <w:pageBreakBefore w:val="0"/>
        <w:kinsoku/>
        <w:wordWrap/>
        <w:overflowPunct/>
        <w:topLinePunct w:val="0"/>
        <w:bidi w:val="0"/>
        <w:spacing w:line="340" w:lineRule="exact"/>
        <w:outlineLvl w:val="9"/>
        <w:rPr>
          <w:rFonts w:hint="eastAsia" w:hAnsi="宋体" w:cs="宋体"/>
          <w:b/>
          <w:color w:val="000000" w:themeColor="text1"/>
          <w:sz w:val="28"/>
          <w:szCs w:val="28"/>
          <w:highlight w:val="none"/>
          <w14:textFill>
            <w14:solidFill>
              <w14:schemeClr w14:val="tx1"/>
            </w14:solidFill>
          </w14:textFill>
        </w:rPr>
      </w:pPr>
    </w:p>
    <w:p w14:paraId="78C22C25">
      <w:pPr>
        <w:pStyle w:val="17"/>
        <w:pageBreakBefore w:val="0"/>
        <w:kinsoku/>
        <w:wordWrap/>
        <w:overflowPunct/>
        <w:topLinePunct w:val="0"/>
        <w:bidi w:val="0"/>
        <w:spacing w:line="340" w:lineRule="exact"/>
        <w:outlineLvl w:val="9"/>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③如符合条件的残疾人福利性单位在参加政府采购活动时，应当提供《残疾人福利性单位声明函》（格式见附件），并对声明的真实性负责。</w:t>
      </w:r>
    </w:p>
    <w:p w14:paraId="138001EC">
      <w:pPr>
        <w:pageBreakBefore w:val="0"/>
        <w:kinsoku/>
        <w:wordWrap/>
        <w:overflowPunct/>
        <w:topLinePunct w:val="0"/>
        <w:bidi w:val="0"/>
        <w:spacing w:line="588" w:lineRule="exact"/>
        <w:jc w:val="center"/>
        <w:outlineLvl w:val="9"/>
        <w:rPr>
          <w:rFonts w:ascii="宋体" w:hAnsi="宋体" w:cs="宋体"/>
          <w:b/>
          <w:color w:val="000000" w:themeColor="text1"/>
          <w:spacing w:val="6"/>
          <w:sz w:val="28"/>
          <w:szCs w:val="28"/>
          <w:highlight w:val="none"/>
          <w14:textFill>
            <w14:solidFill>
              <w14:schemeClr w14:val="tx1"/>
            </w14:solidFill>
          </w14:textFill>
        </w:rPr>
      </w:pPr>
      <w:r>
        <w:rPr>
          <w:rFonts w:hint="eastAsia" w:ascii="宋体" w:hAnsi="宋体" w:cs="宋体"/>
          <w:b/>
          <w:color w:val="000000" w:themeColor="text1"/>
          <w:spacing w:val="6"/>
          <w:sz w:val="28"/>
          <w:szCs w:val="28"/>
          <w:highlight w:val="none"/>
          <w14:textFill>
            <w14:solidFill>
              <w14:schemeClr w14:val="tx1"/>
            </w14:solidFill>
          </w14:textFill>
        </w:rPr>
        <w:t>残疾人福利性单位声明函</w:t>
      </w:r>
    </w:p>
    <w:p w14:paraId="0C67C4BB">
      <w:pPr>
        <w:pageBreakBefore w:val="0"/>
        <w:kinsoku/>
        <w:wordWrap/>
        <w:overflowPunct/>
        <w:topLinePunct w:val="0"/>
        <w:bidi w:val="0"/>
        <w:spacing w:line="588" w:lineRule="exact"/>
        <w:ind w:firstLine="504" w:firstLineChars="200"/>
        <w:outlineLvl w:val="9"/>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cs="宋体"/>
          <w:color w:val="000000" w:themeColor="text1"/>
          <w:sz w:val="24"/>
          <w:highlight w:val="none"/>
          <w14:textFill>
            <w14:solidFill>
              <w14:schemeClr w14:val="tx1"/>
            </w14:solidFill>
          </w14:textFill>
        </w:rPr>
        <w:t>〔2017〕141</w:t>
      </w:r>
      <w:r>
        <w:rPr>
          <w:rFonts w:hint="eastAsia" w:ascii="宋体" w:hAnsi="宋体" w:cs="宋体"/>
          <w:color w:val="000000" w:themeColor="text1"/>
          <w:spacing w:val="6"/>
          <w:sz w:val="24"/>
          <w:highlight w:val="none"/>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7B849BB">
      <w:pPr>
        <w:pageBreakBefore w:val="0"/>
        <w:kinsoku/>
        <w:wordWrap/>
        <w:overflowPunct/>
        <w:topLinePunct w:val="0"/>
        <w:bidi w:val="0"/>
        <w:spacing w:line="588" w:lineRule="exact"/>
        <w:ind w:firstLine="504" w:firstLineChars="200"/>
        <w:outlineLvl w:val="9"/>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本单位对上述声明的真实性负责。如有虚假，将依法承担相应责任。</w:t>
      </w:r>
    </w:p>
    <w:p w14:paraId="60AA869C">
      <w:pPr>
        <w:pageBreakBefore w:val="0"/>
        <w:kinsoku/>
        <w:wordWrap/>
        <w:overflowPunct/>
        <w:topLinePunct w:val="0"/>
        <w:bidi w:val="0"/>
        <w:outlineLvl w:val="9"/>
        <w:rPr>
          <w:rFonts w:ascii="宋体" w:hAnsi="宋体" w:cs="宋体"/>
          <w:color w:val="000000" w:themeColor="text1"/>
          <w:highlight w:val="none"/>
          <w14:textFill>
            <w14:solidFill>
              <w14:schemeClr w14:val="tx1"/>
            </w14:solidFill>
          </w14:textFill>
        </w:rPr>
      </w:pPr>
    </w:p>
    <w:p w14:paraId="2EBE181A">
      <w:pPr>
        <w:pageBreakBefore w:val="0"/>
        <w:tabs>
          <w:tab w:val="left" w:pos="4860"/>
        </w:tabs>
        <w:kinsoku/>
        <w:wordWrap/>
        <w:overflowPunct/>
        <w:topLinePunct w:val="0"/>
        <w:bidi w:val="0"/>
        <w:spacing w:line="588" w:lineRule="exact"/>
        <w:ind w:right="1560" w:firstLine="504" w:firstLineChars="200"/>
        <w:jc w:val="center"/>
        <w:outlineLvl w:val="9"/>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 xml:space="preserve">           单位名称（</w:t>
      </w:r>
      <w:r>
        <w:rPr>
          <w:rFonts w:hint="eastAsia" w:ascii="宋体" w:hAnsi="宋体" w:cs="宋体"/>
          <w:color w:val="000000" w:themeColor="text1"/>
          <w:sz w:val="24"/>
          <w:highlight w:val="none"/>
          <w14:textFill>
            <w14:solidFill>
              <w14:schemeClr w14:val="tx1"/>
            </w14:solidFill>
          </w14:textFill>
        </w:rPr>
        <w:t>CA签章</w:t>
      </w:r>
      <w:r>
        <w:rPr>
          <w:rFonts w:hint="eastAsia" w:ascii="宋体" w:hAnsi="宋体" w:cs="宋体"/>
          <w:color w:val="000000" w:themeColor="text1"/>
          <w:spacing w:val="6"/>
          <w:sz w:val="24"/>
          <w:highlight w:val="none"/>
          <w14:textFill>
            <w14:solidFill>
              <w14:schemeClr w14:val="tx1"/>
            </w14:solidFill>
          </w14:textFill>
        </w:rPr>
        <w:t>）：</w:t>
      </w:r>
    </w:p>
    <w:p w14:paraId="795F1971">
      <w:pPr>
        <w:pStyle w:val="17"/>
        <w:pageBreakBefore w:val="0"/>
        <w:kinsoku/>
        <w:wordWrap/>
        <w:overflowPunct/>
        <w:topLinePunct w:val="0"/>
        <w:bidi w:val="0"/>
        <w:ind w:firstLine="4032" w:firstLineChars="1600"/>
        <w:outlineLvl w:val="9"/>
        <w:rPr>
          <w:rFonts w:hAnsi="宋体" w:cs="宋体"/>
          <w:color w:val="000000" w:themeColor="text1"/>
          <w:spacing w:val="6"/>
          <w:sz w:val="24"/>
          <w:szCs w:val="24"/>
          <w:highlight w:val="none"/>
          <w14:textFill>
            <w14:solidFill>
              <w14:schemeClr w14:val="tx1"/>
            </w14:solidFill>
          </w14:textFill>
        </w:rPr>
      </w:pPr>
      <w:r>
        <w:rPr>
          <w:rFonts w:hint="eastAsia" w:hAnsi="宋体" w:cs="宋体"/>
          <w:color w:val="000000" w:themeColor="text1"/>
          <w:spacing w:val="6"/>
          <w:sz w:val="24"/>
          <w:szCs w:val="24"/>
          <w:highlight w:val="none"/>
          <w14:textFill>
            <w14:solidFill>
              <w14:schemeClr w14:val="tx1"/>
            </w14:solidFill>
          </w14:textFill>
        </w:rPr>
        <w:t>日    期：  年  月  日</w:t>
      </w:r>
    </w:p>
    <w:p w14:paraId="01DA1D4B">
      <w:pPr>
        <w:pageBreakBefore w:val="0"/>
        <w:kinsoku/>
        <w:wordWrap/>
        <w:overflowPunct/>
        <w:topLinePunct w:val="0"/>
        <w:bidi w:val="0"/>
        <w:outlineLvl w:val="9"/>
        <w:rPr>
          <w:rFonts w:ascii="宋体" w:hAnsi="宋体" w:cs="宋体"/>
          <w:color w:val="000000" w:themeColor="text1"/>
          <w:spacing w:val="6"/>
          <w:sz w:val="24"/>
          <w:highlight w:val="none"/>
          <w14:textFill>
            <w14:solidFill>
              <w14:schemeClr w14:val="tx1"/>
            </w14:solidFill>
          </w14:textFill>
        </w:rPr>
      </w:pPr>
    </w:p>
    <w:p w14:paraId="3DCEEDEB">
      <w:pPr>
        <w:pStyle w:val="14"/>
        <w:pageBreakBefore w:val="0"/>
        <w:kinsoku/>
        <w:wordWrap/>
        <w:overflowPunct/>
        <w:topLinePunct w:val="0"/>
        <w:bidi w:val="0"/>
        <w:outlineLvl w:val="9"/>
        <w:rPr>
          <w:rFonts w:ascii="宋体" w:hAnsi="宋体" w:cs="宋体"/>
          <w:color w:val="000000" w:themeColor="text1"/>
          <w:highlight w:val="none"/>
          <w14:textFill>
            <w14:solidFill>
              <w14:schemeClr w14:val="tx1"/>
            </w14:solidFill>
          </w14:textFill>
        </w:rPr>
      </w:pPr>
    </w:p>
    <w:p w14:paraId="76E75915">
      <w:pPr>
        <w:pStyle w:val="14"/>
        <w:pageBreakBefore w:val="0"/>
        <w:kinsoku/>
        <w:wordWrap/>
        <w:overflowPunct/>
        <w:topLinePunct w:val="0"/>
        <w:bidi w:val="0"/>
        <w:outlineLvl w:val="9"/>
        <w:rPr>
          <w:rFonts w:ascii="宋体" w:hAnsi="宋体" w:cs="宋体"/>
          <w:color w:val="000000" w:themeColor="text1"/>
          <w:highlight w:val="none"/>
          <w14:textFill>
            <w14:solidFill>
              <w14:schemeClr w14:val="tx1"/>
            </w14:solidFill>
          </w14:textFill>
        </w:rPr>
      </w:pPr>
    </w:p>
    <w:p w14:paraId="6FBA0C63">
      <w:pPr>
        <w:pStyle w:val="14"/>
        <w:pageBreakBefore w:val="0"/>
        <w:kinsoku/>
        <w:wordWrap/>
        <w:overflowPunct/>
        <w:topLinePunct w:val="0"/>
        <w:bidi w:val="0"/>
        <w:outlineLvl w:val="9"/>
        <w:rPr>
          <w:rFonts w:ascii="宋体" w:hAnsi="宋体" w:cs="宋体"/>
          <w:color w:val="000000" w:themeColor="text1"/>
          <w:highlight w:val="none"/>
          <w14:textFill>
            <w14:solidFill>
              <w14:schemeClr w14:val="tx1"/>
            </w14:solidFill>
          </w14:textFill>
        </w:rPr>
      </w:pPr>
    </w:p>
    <w:p w14:paraId="13051EE3">
      <w:pPr>
        <w:pageBreakBefore w:val="0"/>
        <w:tabs>
          <w:tab w:val="left" w:pos="1305"/>
        </w:tabs>
        <w:kinsoku/>
        <w:wordWrap/>
        <w:overflowPunct/>
        <w:topLinePunct w:val="0"/>
        <w:bidi w:val="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w:t>
      </w:r>
      <w:r>
        <w:rPr>
          <w:rFonts w:hint="eastAsia" w:ascii="宋体" w:hAnsi="宋体" w:cs="宋体"/>
          <w:b/>
          <w:color w:val="000000" w:themeColor="text1"/>
          <w:szCs w:val="21"/>
          <w:highlight w:val="none"/>
          <w14:textFill>
            <w14:solidFill>
              <w14:schemeClr w14:val="tx1"/>
            </w14:solidFill>
          </w14:textFill>
        </w:rPr>
        <w:t>中标、成交供应商为残疾人福利性单位的，采购人或者其委托的采购代理机构应当随中标、成交结果同时公告其《残疾人福利性单位声明函》，接受社会监督</w:t>
      </w:r>
      <w:r>
        <w:rPr>
          <w:rFonts w:hint="eastAsia" w:ascii="宋体" w:hAnsi="宋体" w:cs="宋体"/>
          <w:color w:val="000000" w:themeColor="text1"/>
          <w:sz w:val="24"/>
          <w:highlight w:val="none"/>
          <w14:textFill>
            <w14:solidFill>
              <w14:schemeClr w14:val="tx1"/>
            </w14:solidFill>
          </w14:textFill>
        </w:rPr>
        <w:t>。</w:t>
      </w:r>
    </w:p>
    <w:p w14:paraId="4690CDC7">
      <w:pPr>
        <w:pageBreakBefore w:val="0"/>
        <w:kinsoku/>
        <w:wordWrap/>
        <w:overflowPunct/>
        <w:topLinePunct w:val="0"/>
        <w:bidi w:val="0"/>
        <w:snapToGrid w:val="0"/>
        <w:spacing w:line="400" w:lineRule="exact"/>
        <w:outlineLvl w:val="9"/>
        <w:rPr>
          <w:rFonts w:ascii="宋体" w:hAnsi="宋体" w:cs="宋体"/>
          <w:color w:val="000000" w:themeColor="text1"/>
          <w:highlight w:val="none"/>
          <w:u w:val="single"/>
          <w14:textFill>
            <w14:solidFill>
              <w14:schemeClr w14:val="tx1"/>
            </w14:solidFill>
          </w14:textFill>
        </w:rPr>
      </w:pPr>
    </w:p>
    <w:p w14:paraId="5B941033">
      <w:pPr>
        <w:pageBreakBefore w:val="0"/>
        <w:kinsoku/>
        <w:wordWrap/>
        <w:overflowPunct/>
        <w:topLinePunct w:val="0"/>
        <w:bidi w:val="0"/>
        <w:snapToGrid w:val="0"/>
        <w:spacing w:line="400" w:lineRule="exact"/>
        <w:outlineLvl w:val="9"/>
        <w:rPr>
          <w:rFonts w:ascii="宋体" w:hAnsi="宋体" w:cs="宋体"/>
          <w:color w:val="000000" w:themeColor="text1"/>
          <w:highlight w:val="none"/>
          <w:u w:val="single"/>
          <w14:textFill>
            <w14:solidFill>
              <w14:schemeClr w14:val="tx1"/>
            </w14:solidFill>
          </w14:textFill>
        </w:rPr>
      </w:pPr>
    </w:p>
    <w:p w14:paraId="5C132900">
      <w:pPr>
        <w:pageBreakBefore w:val="0"/>
        <w:kinsoku/>
        <w:wordWrap/>
        <w:overflowPunct/>
        <w:topLinePunct w:val="0"/>
        <w:bidi w:val="0"/>
        <w:snapToGrid w:val="0"/>
        <w:spacing w:line="400" w:lineRule="exact"/>
        <w:outlineLvl w:val="9"/>
        <w:rPr>
          <w:rFonts w:ascii="宋体" w:hAnsi="宋体" w:cs="宋体"/>
          <w:b/>
          <w:bCs/>
          <w:color w:val="000000" w:themeColor="text1"/>
          <w:sz w:val="32"/>
          <w:szCs w:val="32"/>
          <w:highlight w:val="none"/>
          <w14:textFill>
            <w14:solidFill>
              <w14:schemeClr w14:val="tx1"/>
            </w14:solidFill>
          </w14:textFill>
        </w:rPr>
      </w:pPr>
    </w:p>
    <w:p w14:paraId="22361388">
      <w:pPr>
        <w:pageBreakBefore w:val="0"/>
        <w:kinsoku/>
        <w:wordWrap/>
        <w:overflowPunct/>
        <w:topLinePunct w:val="0"/>
        <w:bidi w:val="0"/>
        <w:snapToGrid w:val="0"/>
        <w:spacing w:line="400" w:lineRule="exact"/>
        <w:outlineLvl w:val="9"/>
        <w:rPr>
          <w:rFonts w:ascii="宋体" w:hAnsi="宋体" w:cs="宋体"/>
          <w:b/>
          <w:bCs/>
          <w:color w:val="000000" w:themeColor="text1"/>
          <w:sz w:val="32"/>
          <w:szCs w:val="32"/>
          <w:highlight w:val="none"/>
          <w14:textFill>
            <w14:solidFill>
              <w14:schemeClr w14:val="tx1"/>
            </w14:solidFill>
          </w14:textFill>
        </w:rPr>
      </w:pPr>
    </w:p>
    <w:p w14:paraId="49999115">
      <w:pPr>
        <w:pageBreakBefore w:val="0"/>
        <w:kinsoku/>
        <w:wordWrap/>
        <w:overflowPunct/>
        <w:topLinePunct w:val="0"/>
        <w:bidi w:val="0"/>
        <w:snapToGrid w:val="0"/>
        <w:spacing w:line="400" w:lineRule="exact"/>
        <w:outlineLvl w:val="9"/>
        <w:rPr>
          <w:rFonts w:ascii="宋体" w:hAnsi="宋体" w:cs="宋体"/>
          <w:b/>
          <w:bCs/>
          <w:color w:val="000000" w:themeColor="text1"/>
          <w:sz w:val="32"/>
          <w:szCs w:val="32"/>
          <w:highlight w:val="none"/>
          <w14:textFill>
            <w14:solidFill>
              <w14:schemeClr w14:val="tx1"/>
            </w14:solidFill>
          </w14:textFill>
        </w:rPr>
      </w:pPr>
    </w:p>
    <w:p w14:paraId="6618C0DC">
      <w:pPr>
        <w:pStyle w:val="14"/>
        <w:pageBreakBefore w:val="0"/>
        <w:numPr>
          <w:ilvl w:val="0"/>
          <w:numId w:val="0"/>
        </w:numPr>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kern w:val="2"/>
          <w:sz w:val="32"/>
          <w:szCs w:val="32"/>
          <w:lang w:val="en-US" w:eastAsia="zh-CN" w:bidi="ar-SA"/>
          <w14:textFill>
            <w14:solidFill>
              <w14:schemeClr w14:val="tx1"/>
            </w14:solidFill>
          </w14:textFill>
        </w:rPr>
        <w:t>6</w:t>
      </w:r>
      <w:r>
        <w:rPr>
          <w:rFonts w:ascii="宋体" w:hAnsi="宋体" w:eastAsia="宋体" w:cs="宋体"/>
          <w:b/>
          <w:bCs/>
          <w:color w:val="000000" w:themeColor="text1"/>
          <w:kern w:val="2"/>
          <w:sz w:val="32"/>
          <w:szCs w:val="32"/>
          <w:lang w:val="en-US" w:eastAsia="zh-CN" w:bidi="ar-SA"/>
          <w14:textFill>
            <w14:solidFill>
              <w14:schemeClr w14:val="tx1"/>
            </w14:solidFill>
          </w14:textFill>
        </w:rPr>
        <w:t>.</w:t>
      </w:r>
      <w:r>
        <w:rPr>
          <w:rFonts w:hint="eastAsia" w:ascii="宋体" w:hAnsi="宋体" w:cs="宋体"/>
          <w:b/>
          <w:bCs/>
          <w:color w:val="000000" w:themeColor="text1"/>
          <w:sz w:val="32"/>
          <w:szCs w:val="32"/>
          <w:highlight w:val="none"/>
          <w:lang w:val="en-US" w:eastAsia="zh-CN"/>
          <w14:textFill>
            <w14:solidFill>
              <w14:schemeClr w14:val="tx1"/>
            </w14:solidFill>
          </w14:textFill>
        </w:rPr>
        <w:t>采购需求中要求提供相关承诺函</w:t>
      </w:r>
      <w:r>
        <w:rPr>
          <w:rFonts w:hint="eastAsia" w:ascii="宋体" w:hAnsi="宋体" w:cs="宋体"/>
          <w:b/>
          <w:bCs/>
          <w:color w:val="000000" w:themeColor="text1"/>
          <w:sz w:val="32"/>
          <w:szCs w:val="32"/>
          <w:highlight w:val="none"/>
          <w14:textFill>
            <w14:solidFill>
              <w14:schemeClr w14:val="tx1"/>
            </w14:solidFill>
          </w14:textFill>
        </w:rPr>
        <w:t>（必须提供）</w:t>
      </w:r>
    </w:p>
    <w:p w14:paraId="5EABAC49">
      <w:pPr>
        <w:pStyle w:val="14"/>
        <w:pageBreakBefore w:val="0"/>
        <w:kinsoku/>
        <w:wordWrap/>
        <w:overflowPunct/>
        <w:topLinePunct w:val="0"/>
        <w:bidi w:val="0"/>
        <w:outlineLvl w:val="9"/>
        <w:rPr>
          <w:color w:val="000000" w:themeColor="text1"/>
          <w:highlight w:val="none"/>
          <w14:textFill>
            <w14:solidFill>
              <w14:schemeClr w14:val="tx1"/>
            </w14:solidFill>
          </w14:textFill>
        </w:rPr>
      </w:pPr>
    </w:p>
    <w:p w14:paraId="7AFD49BA">
      <w:pPr>
        <w:pStyle w:val="14"/>
        <w:pageBreakBefore w:val="0"/>
        <w:kinsoku/>
        <w:wordWrap/>
        <w:overflowPunct/>
        <w:topLinePunct w:val="0"/>
        <w:bidi w:val="0"/>
        <w:outlineLvl w:val="9"/>
        <w:rPr>
          <w:color w:val="000000" w:themeColor="text1"/>
          <w:highlight w:val="none"/>
          <w14:textFill>
            <w14:solidFill>
              <w14:schemeClr w14:val="tx1"/>
            </w14:solidFill>
          </w14:textFill>
        </w:rPr>
      </w:pPr>
    </w:p>
    <w:p w14:paraId="62026346">
      <w:pPr>
        <w:pStyle w:val="14"/>
        <w:pageBreakBefore w:val="0"/>
        <w:kinsoku/>
        <w:wordWrap/>
        <w:overflowPunct/>
        <w:topLinePunct w:val="0"/>
        <w:bidi w:val="0"/>
        <w:outlineLvl w:val="9"/>
        <w:rPr>
          <w:color w:val="000000" w:themeColor="text1"/>
          <w:highlight w:val="none"/>
          <w14:textFill>
            <w14:solidFill>
              <w14:schemeClr w14:val="tx1"/>
            </w14:solidFill>
          </w14:textFill>
        </w:rPr>
      </w:pPr>
    </w:p>
    <w:p w14:paraId="10A75444">
      <w:pPr>
        <w:pStyle w:val="14"/>
        <w:pageBreakBefore w:val="0"/>
        <w:kinsoku/>
        <w:wordWrap/>
        <w:overflowPunct/>
        <w:topLinePunct w:val="0"/>
        <w:bidi w:val="0"/>
        <w:outlineLvl w:val="9"/>
        <w:rPr>
          <w:color w:val="000000" w:themeColor="text1"/>
          <w:highlight w:val="none"/>
          <w14:textFill>
            <w14:solidFill>
              <w14:schemeClr w14:val="tx1"/>
            </w14:solidFill>
          </w14:textFill>
        </w:rPr>
      </w:pPr>
    </w:p>
    <w:p w14:paraId="7E587464">
      <w:pPr>
        <w:pStyle w:val="14"/>
        <w:pageBreakBefore w:val="0"/>
        <w:kinsoku/>
        <w:wordWrap/>
        <w:overflowPunct/>
        <w:topLinePunct w:val="0"/>
        <w:bidi w:val="0"/>
        <w:outlineLvl w:val="9"/>
        <w:rPr>
          <w:color w:val="000000" w:themeColor="text1"/>
          <w:highlight w:val="none"/>
          <w14:textFill>
            <w14:solidFill>
              <w14:schemeClr w14:val="tx1"/>
            </w14:solidFill>
          </w14:textFill>
        </w:rPr>
      </w:pPr>
    </w:p>
    <w:p w14:paraId="2276094E">
      <w:pPr>
        <w:pStyle w:val="14"/>
        <w:pageBreakBefore w:val="0"/>
        <w:kinsoku/>
        <w:wordWrap/>
        <w:overflowPunct/>
        <w:topLinePunct w:val="0"/>
        <w:bidi w:val="0"/>
        <w:outlineLvl w:val="9"/>
        <w:rPr>
          <w:color w:val="000000" w:themeColor="text1"/>
          <w:highlight w:val="none"/>
          <w14:textFill>
            <w14:solidFill>
              <w14:schemeClr w14:val="tx1"/>
            </w14:solidFill>
          </w14:textFill>
        </w:rPr>
      </w:pPr>
    </w:p>
    <w:p w14:paraId="254FBB3F">
      <w:pPr>
        <w:pStyle w:val="14"/>
        <w:pageBreakBefore w:val="0"/>
        <w:kinsoku/>
        <w:wordWrap/>
        <w:overflowPunct/>
        <w:topLinePunct w:val="0"/>
        <w:bidi w:val="0"/>
        <w:outlineLvl w:val="9"/>
        <w:rPr>
          <w:color w:val="000000" w:themeColor="text1"/>
          <w:highlight w:val="none"/>
          <w14:textFill>
            <w14:solidFill>
              <w14:schemeClr w14:val="tx1"/>
            </w14:solidFill>
          </w14:textFill>
        </w:rPr>
      </w:pPr>
    </w:p>
    <w:p w14:paraId="03DAA53C">
      <w:pPr>
        <w:pStyle w:val="14"/>
        <w:pageBreakBefore w:val="0"/>
        <w:kinsoku/>
        <w:wordWrap/>
        <w:overflowPunct/>
        <w:topLinePunct w:val="0"/>
        <w:bidi w:val="0"/>
        <w:outlineLvl w:val="9"/>
        <w:rPr>
          <w:color w:val="000000" w:themeColor="text1"/>
          <w:highlight w:val="none"/>
          <w14:textFill>
            <w14:solidFill>
              <w14:schemeClr w14:val="tx1"/>
            </w14:solidFill>
          </w14:textFill>
        </w:rPr>
      </w:pPr>
    </w:p>
    <w:p w14:paraId="02E64B95">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bookmarkStart w:id="326" w:name="_Toc26652"/>
      <w:r>
        <w:rPr>
          <w:rFonts w:hint="eastAsia" w:ascii="宋体" w:hAnsi="宋体" w:cs="宋体"/>
          <w:b/>
          <w:bCs/>
          <w:color w:val="000000" w:themeColor="text1"/>
          <w:sz w:val="32"/>
          <w:szCs w:val="32"/>
          <w:highlight w:val="none"/>
          <w14:textFill>
            <w14:solidFill>
              <w14:schemeClr w14:val="tx1"/>
            </w14:solidFill>
          </w14:textFill>
        </w:rPr>
        <w:t>二、商务、技术性响应及其他有效证明材料（格式）</w:t>
      </w:r>
      <w:bookmarkEnd w:id="326"/>
    </w:p>
    <w:p w14:paraId="57EE3F1C">
      <w:pPr>
        <w:pageBreakBefore w:val="0"/>
        <w:kinsoku/>
        <w:wordWrap/>
        <w:overflowPunct/>
        <w:topLinePunct w:val="0"/>
        <w:bidi w:val="0"/>
        <w:outlineLvl w:val="9"/>
        <w:rPr>
          <w:rFonts w:ascii="宋体" w:hAnsi="Courier New"/>
          <w:b/>
          <w:color w:val="000000" w:themeColor="text1"/>
          <w:sz w:val="32"/>
          <w:szCs w:val="32"/>
          <w:highlight w:val="none"/>
          <w14:textFill>
            <w14:solidFill>
              <w14:schemeClr w14:val="tx1"/>
            </w14:solidFill>
          </w14:textFill>
        </w:rPr>
      </w:pPr>
      <w:bookmarkStart w:id="327" w:name="_Toc495841795"/>
      <w:bookmarkStart w:id="328" w:name="_Toc2409"/>
      <w:r>
        <w:rPr>
          <w:rFonts w:hint="eastAsia" w:ascii="宋体" w:hAnsi="宋体" w:cs="宋体"/>
          <w:b/>
          <w:bCs/>
          <w:color w:val="000000" w:themeColor="text1"/>
          <w:sz w:val="32"/>
          <w:szCs w:val="32"/>
          <w:highlight w:val="none"/>
          <w14:textFill>
            <w14:solidFill>
              <w14:schemeClr w14:val="tx1"/>
            </w14:solidFill>
          </w14:textFill>
        </w:rPr>
        <w:t>1.</w:t>
      </w:r>
      <w:r>
        <w:rPr>
          <w:rFonts w:hint="eastAsia" w:ascii="宋体" w:hAnsi="Courier New"/>
          <w:b/>
          <w:color w:val="000000" w:themeColor="text1"/>
          <w:sz w:val="32"/>
          <w:szCs w:val="32"/>
          <w:highlight w:val="none"/>
          <w14:textFill>
            <w14:solidFill>
              <w14:schemeClr w14:val="tx1"/>
            </w14:solidFill>
          </w14:textFill>
        </w:rPr>
        <w:t>投标函（必须提供）</w:t>
      </w:r>
    </w:p>
    <w:p w14:paraId="69F806EA">
      <w:pPr>
        <w:pStyle w:val="17"/>
        <w:pageBreakBefore w:val="0"/>
        <w:kinsoku/>
        <w:wordWrap/>
        <w:overflowPunct/>
        <w:topLinePunct w:val="0"/>
        <w:bidi w:val="0"/>
        <w:spacing w:line="400" w:lineRule="exact"/>
        <w:ind w:left="420"/>
        <w:jc w:val="left"/>
        <w:outlineLvl w:val="9"/>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附件：</w:t>
      </w:r>
    </w:p>
    <w:p w14:paraId="6B2E2582">
      <w:pPr>
        <w:pStyle w:val="17"/>
        <w:pageBreakBefore w:val="0"/>
        <w:kinsoku/>
        <w:wordWrap/>
        <w:overflowPunct/>
        <w:topLinePunct w:val="0"/>
        <w:bidi w:val="0"/>
        <w:spacing w:after="120"/>
        <w:ind w:firstLine="803" w:firstLineChars="250"/>
        <w:jc w:val="center"/>
        <w:outlineLvl w:val="9"/>
        <w:rPr>
          <w:rFonts w:hAnsi="宋体" w:cs="宋体"/>
          <w:b/>
          <w:color w:val="000000" w:themeColor="text1"/>
          <w:sz w:val="32"/>
          <w:highlight w:val="none"/>
          <w14:textFill>
            <w14:solidFill>
              <w14:schemeClr w14:val="tx1"/>
            </w14:solidFill>
          </w14:textFill>
        </w:rPr>
      </w:pPr>
      <w:bookmarkStart w:id="329" w:name="_Toc7273_WPSOffice_Level1"/>
      <w:bookmarkStart w:id="330" w:name="_Toc17832_WPSOffice_Level1"/>
      <w:r>
        <w:rPr>
          <w:rFonts w:hint="eastAsia" w:hAnsi="宋体" w:cs="宋体"/>
          <w:b/>
          <w:color w:val="000000" w:themeColor="text1"/>
          <w:sz w:val="32"/>
          <w:highlight w:val="none"/>
          <w14:textFill>
            <w14:solidFill>
              <w14:schemeClr w14:val="tx1"/>
            </w14:solidFill>
          </w14:textFill>
        </w:rPr>
        <w:t>投 标 函 （格 式）</w:t>
      </w:r>
      <w:bookmarkEnd w:id="329"/>
      <w:bookmarkEnd w:id="330"/>
    </w:p>
    <w:p w14:paraId="6461D8A5">
      <w:pPr>
        <w:pageBreakBefore w:val="0"/>
        <w:kinsoku/>
        <w:wordWrap/>
        <w:overflowPunct/>
        <w:topLinePunct w:val="0"/>
        <w:bidi w:val="0"/>
        <w:spacing w:line="240" w:lineRule="exact"/>
        <w:jc w:val="center"/>
        <w:outlineLvl w:val="9"/>
        <w:rPr>
          <w:rFonts w:ascii="宋体" w:hAnsi="宋体" w:cs="宋体"/>
          <w:color w:val="000000" w:themeColor="text1"/>
          <w:sz w:val="32"/>
          <w:highlight w:val="none"/>
          <w14:textFill>
            <w14:solidFill>
              <w14:schemeClr w14:val="tx1"/>
            </w14:solidFill>
          </w14:textFill>
        </w:rPr>
      </w:pPr>
    </w:p>
    <w:p w14:paraId="18C12BDA">
      <w:pPr>
        <w:pageBreakBefore w:val="0"/>
        <w:kinsoku/>
        <w:wordWrap/>
        <w:overflowPunct/>
        <w:topLinePunct w:val="0"/>
        <w:bidi w:val="0"/>
        <w:spacing w:line="360" w:lineRule="auto"/>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致</w:t>
      </w:r>
      <w:r>
        <w:rPr>
          <w:rFonts w:hint="eastAsia" w:ascii="宋体" w:hAnsi="宋体" w:cs="宋体"/>
          <w:color w:val="000000" w:themeColor="text1"/>
          <w:szCs w:val="21"/>
          <w:highlight w:val="none"/>
          <w:u w:val="single"/>
          <w14:textFill>
            <w14:solidFill>
              <w14:schemeClr w14:val="tx1"/>
            </w14:solidFill>
          </w14:textFill>
        </w:rPr>
        <w:t>：广西奥金斯项目管理有限公司</w:t>
      </w:r>
    </w:p>
    <w:p w14:paraId="45BC11FA">
      <w:pPr>
        <w:pageBreakBefore w:val="0"/>
        <w:kinsoku/>
        <w:wordWrap/>
        <w:overflowPunct/>
        <w:topLinePunct w:val="0"/>
        <w:bidi w:val="0"/>
        <w:spacing w:line="360" w:lineRule="auto"/>
        <w:outlineLvl w:val="9"/>
        <w:rPr>
          <w:rFonts w:ascii="宋体" w:hAnsi="宋体" w:cs="宋体"/>
          <w:color w:val="000000" w:themeColor="text1"/>
          <w:szCs w:val="21"/>
          <w:highlight w:val="none"/>
          <w14:textFill>
            <w14:solidFill>
              <w14:schemeClr w14:val="tx1"/>
            </w14:solidFill>
          </w14:textFill>
        </w:rPr>
      </w:pPr>
    </w:p>
    <w:p w14:paraId="5B0A7E1C">
      <w:pPr>
        <w:pStyle w:val="17"/>
        <w:pageBreakBefore w:val="0"/>
        <w:kinsoku/>
        <w:wordWrap/>
        <w:overflowPunct/>
        <w:topLinePunct w:val="0"/>
        <w:bidi w:val="0"/>
        <w:spacing w:line="360" w:lineRule="auto"/>
        <w:ind w:firstLine="420"/>
        <w:outlineLvl w:val="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根据贵方</w:t>
      </w:r>
      <w:r>
        <w:rPr>
          <w:rFonts w:hint="eastAsia" w:hAnsi="宋体" w:cs="宋体"/>
          <w:color w:val="000000" w:themeColor="text1"/>
          <w:highlight w:val="none"/>
          <w:u w:val="single"/>
          <w14:textFill>
            <w14:solidFill>
              <w14:schemeClr w14:val="tx1"/>
            </w14:solidFill>
          </w14:textFill>
        </w:rPr>
        <w:t xml:space="preserve">        （项目名称）</w:t>
      </w:r>
      <w:r>
        <w:rPr>
          <w:rFonts w:hint="eastAsia" w:hAnsi="宋体" w:cs="宋体"/>
          <w:color w:val="000000" w:themeColor="text1"/>
          <w:highlight w:val="none"/>
          <w:u w:val="single"/>
          <w:lang w:val="en-US" w:eastAsia="zh-CN"/>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项目招标文件，项目编号：</w:t>
      </w:r>
      <w:r>
        <w:rPr>
          <w:rFonts w:hint="eastAsia" w:hAnsi="宋体" w:cs="宋体"/>
          <w:color w:val="000000" w:themeColor="text1"/>
          <w:highlight w:val="none"/>
          <w:u w:val="single"/>
          <w:lang w:val="en-US" w:eastAsia="zh-CN"/>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，签字代表</w:t>
      </w:r>
      <w:r>
        <w:rPr>
          <w:rFonts w:hint="eastAsia" w:hAnsi="宋体" w:cs="宋体"/>
          <w:color w:val="000000" w:themeColor="text1"/>
          <w:highlight w:val="none"/>
          <w:u w:val="single"/>
          <w14:textFill>
            <w14:solidFill>
              <w14:schemeClr w14:val="tx1"/>
            </w14:solidFill>
          </w14:textFill>
        </w:rPr>
        <w:t>（姓名）</w:t>
      </w:r>
      <w:r>
        <w:rPr>
          <w:rFonts w:hint="eastAsia" w:hAnsi="宋体" w:cs="宋体"/>
          <w:color w:val="000000" w:themeColor="text1"/>
          <w:highlight w:val="none"/>
          <w14:textFill>
            <w14:solidFill>
              <w14:schemeClr w14:val="tx1"/>
            </w14:solidFill>
          </w14:textFill>
        </w:rPr>
        <w:t xml:space="preserve">经正式授权并代表供应商 </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供应商单位名称），提交电子投标文件。</w:t>
      </w:r>
    </w:p>
    <w:p w14:paraId="3C94CD4A">
      <w:pPr>
        <w:pStyle w:val="17"/>
        <w:pageBreakBefore w:val="0"/>
        <w:kinsoku/>
        <w:wordWrap/>
        <w:overflowPunct/>
        <w:topLinePunct w:val="0"/>
        <w:bidi w:val="0"/>
        <w:spacing w:line="360" w:lineRule="auto"/>
        <w:ind w:firstLine="420"/>
        <w:outlineLvl w:val="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据此函，签字代表宣布同意如下：</w:t>
      </w:r>
    </w:p>
    <w:p w14:paraId="339476E9">
      <w:pPr>
        <w:pStyle w:val="17"/>
        <w:pageBreakBefore w:val="0"/>
        <w:kinsoku/>
        <w:wordWrap/>
        <w:overflowPunct/>
        <w:topLinePunct w:val="0"/>
        <w:bidi w:val="0"/>
        <w:spacing w:line="360" w:lineRule="auto"/>
        <w:ind w:firstLine="420"/>
        <w:outlineLvl w:val="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 按招标文件采购需求和投标报价表：</w:t>
      </w:r>
    </w:p>
    <w:p w14:paraId="61A2991E">
      <w:pPr>
        <w:pStyle w:val="17"/>
        <w:pageBreakBefore w:val="0"/>
        <w:kinsoku/>
        <w:wordWrap/>
        <w:overflowPunct/>
        <w:topLinePunct w:val="0"/>
        <w:bidi w:val="0"/>
        <w:spacing w:line="360" w:lineRule="auto"/>
        <w:ind w:firstLine="420"/>
        <w:outlineLvl w:val="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投标总报价</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lang w:val="en-US" w:eastAsia="zh-CN"/>
          <w14:textFill>
            <w14:solidFill>
              <w14:schemeClr w14:val="tx1"/>
            </w14:solidFill>
          </w14:textFill>
        </w:rPr>
        <w:t>大写：</w:t>
      </w:r>
      <w:r>
        <w:rPr>
          <w:rFonts w:hint="eastAsia" w:hAnsi="宋体" w:cs="宋体"/>
          <w:color w:val="000000" w:themeColor="text1"/>
          <w:highlight w:val="none"/>
          <w:u w:val="single"/>
          <w:lang w:val="en-US" w:eastAsia="zh-CN"/>
          <w14:textFill>
            <w14:solidFill>
              <w14:schemeClr w14:val="tx1"/>
            </w14:solidFill>
          </w14:textFill>
        </w:rPr>
        <w:t xml:space="preserve">           </w:t>
      </w:r>
      <w:r>
        <w:rPr>
          <w:rFonts w:hint="eastAsia" w:hAnsi="宋体" w:cs="宋体"/>
          <w:color w:val="000000" w:themeColor="text1"/>
          <w:highlight w:val="none"/>
          <w:u w:val="none"/>
          <w:lang w:val="en-US" w:eastAsia="zh-CN"/>
          <w14:textFill>
            <w14:solidFill>
              <w14:schemeClr w14:val="tx1"/>
            </w14:solidFill>
          </w14:textFill>
        </w:rPr>
        <w:t xml:space="preserve"> ；小写</w:t>
      </w:r>
      <w:r>
        <w:rPr>
          <w:rFonts w:hint="eastAsia" w:hAnsi="宋体" w:cs="宋体"/>
          <w:color w:val="000000" w:themeColor="text1"/>
          <w:highlight w:val="none"/>
          <w14:textFill>
            <w14:solidFill>
              <w14:schemeClr w14:val="tx1"/>
            </w14:solidFill>
          </w14:textFill>
        </w:rPr>
        <w:t>：</w:t>
      </w:r>
      <w:r>
        <w:rPr>
          <w:rFonts w:hint="eastAsia" w:hAnsi="宋体" w:cs="宋体"/>
          <w:color w:val="000000" w:themeColor="text1"/>
          <w:highlight w:val="none"/>
          <w:u w:val="single"/>
          <w:lang w:val="en-US" w:eastAsia="zh-CN"/>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w:t>
      </w:r>
    </w:p>
    <w:p w14:paraId="35D8F0E3">
      <w:pPr>
        <w:pStyle w:val="17"/>
        <w:pageBreakBefore w:val="0"/>
        <w:kinsoku/>
        <w:wordWrap/>
        <w:overflowPunct/>
        <w:topLinePunct w:val="0"/>
        <w:bidi w:val="0"/>
        <w:spacing w:line="360" w:lineRule="auto"/>
        <w:ind w:firstLine="420"/>
        <w:outlineLvl w:val="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2.我方承诺已具备招标文件规定的供应商资格条件。</w:t>
      </w:r>
    </w:p>
    <w:p w14:paraId="5E9DF7E6">
      <w:pPr>
        <w:pStyle w:val="17"/>
        <w:pageBreakBefore w:val="0"/>
        <w:kinsoku/>
        <w:wordWrap/>
        <w:overflowPunct/>
        <w:topLinePunct w:val="0"/>
        <w:bidi w:val="0"/>
        <w:spacing w:line="360" w:lineRule="auto"/>
        <w:ind w:firstLine="420"/>
        <w:outlineLvl w:val="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3.我方已详细审核招标文件，包括修改文件（如有的话）和有关附件，将自行承担因对全部招标文件理解不正确或误解而产生的相应后果。</w:t>
      </w:r>
    </w:p>
    <w:p w14:paraId="6D3C1EAC">
      <w:pPr>
        <w:pStyle w:val="17"/>
        <w:pageBreakBefore w:val="0"/>
        <w:kinsoku/>
        <w:wordWrap/>
        <w:overflowPunct/>
        <w:topLinePunct w:val="0"/>
        <w:bidi w:val="0"/>
        <w:spacing w:line="360" w:lineRule="auto"/>
        <w:ind w:firstLine="420"/>
        <w:outlineLvl w:val="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4.招标文件有效期为</w:t>
      </w:r>
      <w:r>
        <w:rPr>
          <w:rFonts w:hint="eastAsia" w:hAnsi="宋体" w:cs="宋体"/>
          <w:color w:val="000000" w:themeColor="text1"/>
          <w:szCs w:val="21"/>
          <w:highlight w:val="none"/>
          <w14:textFill>
            <w14:solidFill>
              <w14:schemeClr w14:val="tx1"/>
            </w14:solidFill>
          </w14:textFill>
        </w:rPr>
        <w:t>招标文件递交截止时间之日起90天。</w:t>
      </w:r>
    </w:p>
    <w:p w14:paraId="3671B0CF">
      <w:pPr>
        <w:pStyle w:val="17"/>
        <w:pageBreakBefore w:val="0"/>
        <w:kinsoku/>
        <w:wordWrap/>
        <w:overflowPunct/>
        <w:topLinePunct w:val="0"/>
        <w:bidi w:val="0"/>
        <w:spacing w:line="360" w:lineRule="auto"/>
        <w:ind w:firstLine="420"/>
        <w:outlineLvl w:val="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 如我方成交：</w:t>
      </w:r>
    </w:p>
    <w:p w14:paraId="4298C6A5">
      <w:pPr>
        <w:pStyle w:val="17"/>
        <w:pageBreakBefore w:val="0"/>
        <w:kinsoku/>
        <w:wordWrap/>
        <w:overflowPunct/>
        <w:topLinePunct w:val="0"/>
        <w:bidi w:val="0"/>
        <w:spacing w:line="360" w:lineRule="auto"/>
        <w:ind w:firstLine="420"/>
        <w:outlineLvl w:val="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（1）我方承诺在收到中标通知书后，在中标通知书规定的期限内与采购人签订合同。</w:t>
      </w:r>
    </w:p>
    <w:p w14:paraId="7A0992C9">
      <w:pPr>
        <w:pStyle w:val="17"/>
        <w:pageBreakBefore w:val="0"/>
        <w:kinsoku/>
        <w:wordWrap/>
        <w:overflowPunct/>
        <w:topLinePunct w:val="0"/>
        <w:bidi w:val="0"/>
        <w:spacing w:line="360" w:lineRule="auto"/>
        <w:ind w:firstLine="420"/>
        <w:outlineLvl w:val="9"/>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（2）我方承诺按照招标文件规定递交履约担保。</w:t>
      </w:r>
    </w:p>
    <w:p w14:paraId="5C5129F8">
      <w:pPr>
        <w:pStyle w:val="17"/>
        <w:pageBreakBefore w:val="0"/>
        <w:kinsoku/>
        <w:wordWrap/>
        <w:overflowPunct/>
        <w:topLinePunct w:val="0"/>
        <w:bidi w:val="0"/>
        <w:spacing w:line="360" w:lineRule="auto"/>
        <w:ind w:firstLine="420"/>
        <w:outlineLvl w:val="9"/>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（3）我方承诺本投标文件至本项目合同履行完毕止均保持有效，按招标文件及政府采购法律、法规的规定履行合同责任和义务。</w:t>
      </w:r>
    </w:p>
    <w:p w14:paraId="30C40029">
      <w:pPr>
        <w:pStyle w:val="17"/>
        <w:pageBreakBefore w:val="0"/>
        <w:kinsoku/>
        <w:wordWrap/>
        <w:overflowPunct/>
        <w:topLinePunct w:val="0"/>
        <w:bidi w:val="0"/>
        <w:spacing w:line="360" w:lineRule="auto"/>
        <w:ind w:firstLine="420"/>
        <w:outlineLvl w:val="9"/>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与本项目有关的正式通讯地址为：</w:t>
      </w:r>
    </w:p>
    <w:p w14:paraId="6A470267">
      <w:pPr>
        <w:pageBreakBefore w:val="0"/>
        <w:kinsoku/>
        <w:wordWrap/>
        <w:overflowPunct/>
        <w:topLinePunct w:val="0"/>
        <w:bidi w:val="0"/>
        <w:spacing w:line="360" w:lineRule="auto"/>
        <w:outlineLvl w:val="9"/>
        <w:rPr>
          <w:rFonts w:ascii="宋体" w:hAnsi="宋体" w:cs="宋体"/>
          <w:color w:val="000000" w:themeColor="text1"/>
          <w:szCs w:val="21"/>
          <w:highlight w:val="none"/>
          <w14:textFill>
            <w14:solidFill>
              <w14:schemeClr w14:val="tx1"/>
            </w14:solidFill>
          </w14:textFill>
        </w:rPr>
      </w:pPr>
    </w:p>
    <w:p w14:paraId="41341DA2">
      <w:pPr>
        <w:pStyle w:val="17"/>
        <w:pageBreakBefore w:val="0"/>
        <w:kinsoku/>
        <w:wordWrap/>
        <w:overflowPunct/>
        <w:topLinePunct w:val="0"/>
        <w:bidi w:val="0"/>
        <w:spacing w:line="360" w:lineRule="auto"/>
        <w:ind w:firstLine="420"/>
        <w:outlineLvl w:val="9"/>
        <w:rPr>
          <w:rFonts w:hAnsi="宋体" w:cs="宋体"/>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地址：</w:t>
      </w:r>
      <w:r>
        <w:rPr>
          <w:rFonts w:hint="eastAsia" w:hAnsi="宋体" w:cs="宋体"/>
          <w:color w:val="000000" w:themeColor="text1"/>
          <w:szCs w:val="21"/>
          <w:highlight w:val="none"/>
          <w:lang w:val="en-US" w:eastAsia="zh-CN"/>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w:t>
      </w:r>
      <w:r>
        <w:rPr>
          <w:rFonts w:hint="eastAsia" w:hAnsi="宋体" w:cs="宋体"/>
          <w:color w:val="000000" w:themeColor="text1"/>
          <w:szCs w:val="21"/>
          <w:highlight w:val="none"/>
          <w:lang w:val="en-US" w:eastAsia="zh-CN"/>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邮编：</w:t>
      </w:r>
      <w:r>
        <w:rPr>
          <w:rFonts w:hint="eastAsia" w:hAnsi="宋体" w:cs="宋体"/>
          <w:color w:val="000000" w:themeColor="text1"/>
          <w:szCs w:val="21"/>
          <w:highlight w:val="none"/>
          <w:lang w:val="en-US" w:eastAsia="zh-CN"/>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联系电话：</w:t>
      </w:r>
    </w:p>
    <w:p w14:paraId="07619F21">
      <w:pPr>
        <w:pStyle w:val="17"/>
        <w:pageBreakBefore w:val="0"/>
        <w:kinsoku/>
        <w:wordWrap/>
        <w:overflowPunct/>
        <w:topLinePunct w:val="0"/>
        <w:bidi w:val="0"/>
        <w:spacing w:line="360" w:lineRule="auto"/>
        <w:ind w:firstLine="420"/>
        <w:outlineLvl w:val="9"/>
        <w:rPr>
          <w:rFonts w:hAnsi="宋体" w:cs="宋体"/>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开户名称：</w:t>
      </w:r>
      <w:r>
        <w:rPr>
          <w:rFonts w:hint="eastAsia" w:hAnsi="宋体" w:cs="宋体"/>
          <w:color w:val="000000" w:themeColor="text1"/>
          <w:szCs w:val="21"/>
          <w:highlight w:val="none"/>
          <w:u w:val="single"/>
          <w14:textFill>
            <w14:solidFill>
              <w14:schemeClr w14:val="tx1"/>
            </w14:solidFill>
          </w14:textFill>
        </w:rPr>
        <w:t xml:space="preserve">                               　       </w:t>
      </w:r>
    </w:p>
    <w:p w14:paraId="47226F35">
      <w:pPr>
        <w:pStyle w:val="17"/>
        <w:pageBreakBefore w:val="0"/>
        <w:kinsoku/>
        <w:wordWrap/>
        <w:overflowPunct/>
        <w:topLinePunct w:val="0"/>
        <w:bidi w:val="0"/>
        <w:spacing w:line="360" w:lineRule="auto"/>
        <w:ind w:firstLine="420"/>
        <w:outlineLvl w:val="9"/>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开户银行：</w:t>
      </w:r>
      <w:r>
        <w:rPr>
          <w:rFonts w:hint="eastAsia" w:hAnsi="宋体" w:cs="宋体"/>
          <w:color w:val="000000" w:themeColor="text1"/>
          <w:szCs w:val="21"/>
          <w:highlight w:val="none"/>
          <w:u w:val="single"/>
          <w14:textFill>
            <w14:solidFill>
              <w14:schemeClr w14:val="tx1"/>
            </w14:solidFill>
          </w14:textFill>
        </w:rPr>
        <w:t xml:space="preserve">                               　       </w:t>
      </w:r>
    </w:p>
    <w:p w14:paraId="1F82A778">
      <w:pPr>
        <w:pStyle w:val="17"/>
        <w:pageBreakBefore w:val="0"/>
        <w:kinsoku/>
        <w:wordWrap/>
        <w:overflowPunct/>
        <w:topLinePunct w:val="0"/>
        <w:bidi w:val="0"/>
        <w:spacing w:line="360" w:lineRule="auto"/>
        <w:ind w:firstLine="420"/>
        <w:outlineLvl w:val="9"/>
        <w:rPr>
          <w:rFonts w:hint="eastAsia" w:hAnsi="宋体" w:eastAsia="宋体" w:cs="宋体"/>
          <w:bCs/>
          <w:color w:val="000000" w:themeColor="text1"/>
          <w:szCs w:val="21"/>
          <w:highlight w:val="none"/>
          <w:lang w:eastAsia="zh-CN"/>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账号：</w:t>
      </w:r>
      <w:r>
        <w:rPr>
          <w:rFonts w:hint="eastAsia" w:hAnsi="宋体" w:cs="宋体"/>
          <w:color w:val="000000" w:themeColor="text1"/>
          <w:szCs w:val="21"/>
          <w:highlight w:val="none"/>
          <w:u w:val="single"/>
          <w14:textFill>
            <w14:solidFill>
              <w14:schemeClr w14:val="tx1"/>
            </w14:solidFill>
          </w14:textFill>
        </w:rPr>
        <w:t xml:space="preserve">                                   　　　   </w:t>
      </w:r>
    </w:p>
    <w:p w14:paraId="725F702C">
      <w:pPr>
        <w:pStyle w:val="17"/>
        <w:pageBreakBefore w:val="0"/>
        <w:kinsoku/>
        <w:wordWrap/>
        <w:overflowPunct/>
        <w:topLinePunct w:val="0"/>
        <w:bidi w:val="0"/>
        <w:spacing w:line="360" w:lineRule="auto"/>
        <w:ind w:firstLine="420"/>
        <w:outlineLvl w:val="9"/>
        <w:rPr>
          <w:rFonts w:hAnsi="宋体" w:cs="宋体"/>
          <w:bCs/>
          <w:color w:val="000000" w:themeColor="text1"/>
          <w:szCs w:val="21"/>
          <w:highlight w:val="none"/>
          <w14:textFill>
            <w14:solidFill>
              <w14:schemeClr w14:val="tx1"/>
            </w14:solidFill>
          </w14:textFill>
        </w:rPr>
      </w:pPr>
    </w:p>
    <w:p w14:paraId="525F300F">
      <w:pPr>
        <w:pStyle w:val="17"/>
        <w:pageBreakBefore w:val="0"/>
        <w:kinsoku/>
        <w:wordWrap/>
        <w:overflowPunct/>
        <w:topLinePunct w:val="0"/>
        <w:bidi w:val="0"/>
        <w:spacing w:line="360" w:lineRule="auto"/>
        <w:ind w:firstLine="420"/>
        <w:outlineLvl w:val="9"/>
        <w:rPr>
          <w:rFonts w:hAnsi="宋体" w:cs="宋体"/>
          <w:bCs/>
          <w:color w:val="000000" w:themeColor="text1"/>
          <w:szCs w:val="21"/>
          <w:highlight w:val="none"/>
          <w:u w:val="singl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供应商[公章(CA签章)、自然人除外]：</w:t>
      </w:r>
    </w:p>
    <w:p w14:paraId="28C394D4">
      <w:pPr>
        <w:pStyle w:val="17"/>
        <w:pageBreakBefore w:val="0"/>
        <w:kinsoku/>
        <w:wordWrap/>
        <w:overflowPunct/>
        <w:topLinePunct w:val="0"/>
        <w:bidi w:val="0"/>
        <w:spacing w:line="360" w:lineRule="auto"/>
        <w:ind w:firstLine="420"/>
        <w:outlineLvl w:val="9"/>
        <w:rPr>
          <w:rFonts w:hAnsi="宋体" w:cs="宋体"/>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法定代表人（负责人或自然人）或相应的委托代理人签字[或盖章(CA签章)]（属自然人的应在签名处加盖大拇指指印或个人CA签章）：</w:t>
      </w:r>
    </w:p>
    <w:p w14:paraId="723159A3">
      <w:pPr>
        <w:pStyle w:val="17"/>
        <w:pageBreakBefore w:val="0"/>
        <w:kinsoku/>
        <w:wordWrap/>
        <w:overflowPunct/>
        <w:topLinePunct w:val="0"/>
        <w:bidi w:val="0"/>
        <w:spacing w:line="360" w:lineRule="auto"/>
        <w:ind w:firstLine="420"/>
        <w:outlineLvl w:val="9"/>
        <w:rPr>
          <w:rFonts w:hAnsi="宋体" w:cs="宋体"/>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日期：</w:t>
      </w:r>
      <w:r>
        <w:rPr>
          <w:rFonts w:hint="eastAsia" w:hAnsi="宋体" w:cs="宋体"/>
          <w:color w:val="000000" w:themeColor="text1"/>
          <w:szCs w:val="21"/>
          <w:highlight w:val="none"/>
          <w:lang w:val="en-US" w:eastAsia="zh-CN"/>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年</w:t>
      </w:r>
      <w:r>
        <w:rPr>
          <w:rFonts w:hint="eastAsia" w:hAnsi="宋体" w:cs="宋体"/>
          <w:color w:val="000000" w:themeColor="text1"/>
          <w:szCs w:val="21"/>
          <w:highlight w:val="none"/>
          <w:lang w:val="en-US" w:eastAsia="zh-CN"/>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月</w:t>
      </w:r>
      <w:r>
        <w:rPr>
          <w:rFonts w:hint="eastAsia" w:hAnsi="宋体" w:cs="宋体"/>
          <w:color w:val="000000" w:themeColor="text1"/>
          <w:szCs w:val="21"/>
          <w:highlight w:val="none"/>
          <w:lang w:val="en-US" w:eastAsia="zh-CN"/>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日</w:t>
      </w:r>
    </w:p>
    <w:p w14:paraId="6A48AD23">
      <w:pPr>
        <w:pStyle w:val="7"/>
        <w:pageBreakBefore w:val="0"/>
        <w:kinsoku/>
        <w:wordWrap/>
        <w:overflowPunct/>
        <w:topLinePunct w:val="0"/>
        <w:bidi w:val="0"/>
        <w:outlineLvl w:val="9"/>
        <w:rPr>
          <w:rFonts w:ascii="宋体" w:hAnsi="宋体" w:cs="宋体"/>
          <w:color w:val="000000" w:themeColor="text1"/>
          <w:szCs w:val="21"/>
          <w:highlight w:val="none"/>
          <w:u w:val="single"/>
          <w14:textFill>
            <w14:solidFill>
              <w14:schemeClr w14:val="tx1"/>
            </w14:solidFill>
          </w14:textFill>
        </w:rPr>
      </w:pPr>
    </w:p>
    <w:p w14:paraId="0126F95A">
      <w:pPr>
        <w:pageBreakBefore w:val="0"/>
        <w:kinsoku/>
        <w:wordWrap/>
        <w:overflowPunct/>
        <w:topLinePunct w:val="0"/>
        <w:bidi w:val="0"/>
        <w:outlineLvl w:val="9"/>
        <w:rPr>
          <w:rFonts w:ascii="宋体" w:hAnsi="宋体" w:cs="宋体"/>
          <w:color w:val="000000" w:themeColor="text1"/>
          <w:szCs w:val="21"/>
          <w:highlight w:val="none"/>
          <w:u w:val="single"/>
          <w14:textFill>
            <w14:solidFill>
              <w14:schemeClr w14:val="tx1"/>
            </w14:solidFill>
          </w14:textFill>
        </w:rPr>
      </w:pPr>
    </w:p>
    <w:p w14:paraId="4F3898CF">
      <w:pPr>
        <w:pageBreakBefore w:val="0"/>
        <w:widowControl/>
        <w:kinsoku/>
        <w:wordWrap/>
        <w:overflowPunct/>
        <w:topLinePunct w:val="0"/>
        <w:bidi w:val="0"/>
        <w:jc w:val="left"/>
        <w:outlineLvl w:val="9"/>
        <w:rPr>
          <w:rFonts w:ascii="宋体" w:hAnsi="宋体" w:cs="宋体"/>
          <w:b/>
          <w:color w:val="000000" w:themeColor="text1"/>
          <w:sz w:val="28"/>
          <w:szCs w:val="28"/>
          <w:highlight w:val="none"/>
          <w14:textFill>
            <w14:solidFill>
              <w14:schemeClr w14:val="tx1"/>
            </w14:solidFill>
          </w14:textFill>
        </w:rPr>
      </w:pPr>
      <w:r>
        <w:rPr>
          <w:rFonts w:hAnsi="宋体" w:cs="宋体"/>
          <w:b/>
          <w:color w:val="000000" w:themeColor="text1"/>
          <w:sz w:val="28"/>
          <w:szCs w:val="28"/>
          <w:highlight w:val="none"/>
          <w14:textFill>
            <w14:solidFill>
              <w14:schemeClr w14:val="tx1"/>
            </w14:solidFill>
          </w14:textFill>
        </w:rPr>
        <w:br w:type="page"/>
      </w:r>
    </w:p>
    <w:p w14:paraId="494B0FFF">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2.投标报价表（格式见附件）（必须提供）</w:t>
      </w:r>
      <w:bookmarkEnd w:id="327"/>
      <w:bookmarkEnd w:id="328"/>
    </w:p>
    <w:p w14:paraId="5FB183EC">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附件：</w:t>
      </w:r>
    </w:p>
    <w:p w14:paraId="381EF038">
      <w:pPr>
        <w:pStyle w:val="17"/>
        <w:pageBreakBefore w:val="0"/>
        <w:kinsoku/>
        <w:wordWrap/>
        <w:overflowPunct/>
        <w:topLinePunct w:val="0"/>
        <w:bidi w:val="0"/>
        <w:spacing w:after="120" w:line="480" w:lineRule="exact"/>
        <w:jc w:val="center"/>
        <w:outlineLvl w:val="9"/>
        <w:rPr>
          <w:rFonts w:hint="eastAsia"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投标报价表（格式）</w:t>
      </w:r>
    </w:p>
    <w:p w14:paraId="42F90F82">
      <w:pPr>
        <w:pStyle w:val="7"/>
        <w:rPr>
          <w:rFonts w:hint="eastAsia" w:hAnsi="宋体" w:cs="宋体"/>
          <w:b/>
          <w:color w:val="000000" w:themeColor="text1"/>
          <w:szCs w:val="21"/>
          <w:highlight w:val="none"/>
          <w14:textFill>
            <w14:solidFill>
              <w14:schemeClr w14:val="tx1"/>
            </w14:solidFill>
          </w14:textFill>
        </w:rPr>
      </w:pPr>
    </w:p>
    <w:tbl>
      <w:tblPr>
        <w:tblStyle w:val="33"/>
        <w:tblW w:w="9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1161"/>
        <w:gridCol w:w="962"/>
        <w:gridCol w:w="1875"/>
        <w:gridCol w:w="1072"/>
        <w:gridCol w:w="888"/>
        <w:gridCol w:w="1066"/>
        <w:gridCol w:w="1326"/>
        <w:gridCol w:w="916"/>
      </w:tblGrid>
      <w:tr w14:paraId="2D8BC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33C116C2">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序号</w:t>
            </w:r>
          </w:p>
        </w:tc>
        <w:tc>
          <w:tcPr>
            <w:tcW w:w="1161" w:type="dxa"/>
            <w:vAlign w:val="center"/>
          </w:tcPr>
          <w:p w14:paraId="664AF4F5">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标的名称</w:t>
            </w:r>
          </w:p>
        </w:tc>
        <w:tc>
          <w:tcPr>
            <w:tcW w:w="962" w:type="dxa"/>
            <w:vAlign w:val="center"/>
          </w:tcPr>
          <w:p w14:paraId="7DDE122F">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规格型号</w:t>
            </w:r>
          </w:p>
        </w:tc>
        <w:tc>
          <w:tcPr>
            <w:tcW w:w="1875" w:type="dxa"/>
            <w:vAlign w:val="center"/>
          </w:tcPr>
          <w:p w14:paraId="581F11BB">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序列号</w:t>
            </w:r>
          </w:p>
        </w:tc>
        <w:tc>
          <w:tcPr>
            <w:tcW w:w="1072" w:type="dxa"/>
            <w:vAlign w:val="center"/>
          </w:tcPr>
          <w:p w14:paraId="700DC086">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服务时间</w:t>
            </w:r>
          </w:p>
        </w:tc>
        <w:tc>
          <w:tcPr>
            <w:tcW w:w="888" w:type="dxa"/>
            <w:vAlign w:val="center"/>
          </w:tcPr>
          <w:p w14:paraId="3203D980">
            <w:pPr>
              <w:keepNext w:val="0"/>
              <w:keepLines w:val="0"/>
              <w:pageBreakBefore w:val="0"/>
              <w:kinsoku/>
              <w:wordWrap/>
              <w:overflowPunct/>
              <w:topLinePunct w:val="0"/>
              <w:autoSpaceDE/>
              <w:autoSpaceDN/>
              <w:bidi w:val="0"/>
              <w:adjustRightInd/>
              <w:snapToGrid/>
              <w:spacing w:line="440" w:lineRule="exact"/>
              <w:jc w:val="center"/>
              <w:outlineLvl w:val="9"/>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数量①</w:t>
            </w:r>
          </w:p>
        </w:tc>
        <w:tc>
          <w:tcPr>
            <w:tcW w:w="1066" w:type="dxa"/>
            <w:vAlign w:val="center"/>
          </w:tcPr>
          <w:p w14:paraId="6E3367FD">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市场价</w:t>
            </w:r>
          </w:p>
        </w:tc>
        <w:tc>
          <w:tcPr>
            <w:tcW w:w="1326" w:type="dxa"/>
            <w:vAlign w:val="center"/>
          </w:tcPr>
          <w:p w14:paraId="37818493">
            <w:pPr>
              <w:keepNext w:val="0"/>
              <w:keepLines w:val="0"/>
              <w:pageBreakBefore w:val="0"/>
              <w:kinsoku/>
              <w:wordWrap/>
              <w:overflowPunct/>
              <w:topLinePunct w:val="0"/>
              <w:autoSpaceDE/>
              <w:autoSpaceDN/>
              <w:bidi w:val="0"/>
              <w:adjustRightInd/>
              <w:snapToGrid/>
              <w:spacing w:line="440" w:lineRule="exact"/>
              <w:jc w:val="center"/>
              <w:outlineLvl w:val="9"/>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优惠后报</w:t>
            </w:r>
            <w:r>
              <w:rPr>
                <w:rFonts w:hint="eastAsia" w:ascii="宋体" w:hAnsi="宋体" w:eastAsia="宋体" w:cs="宋体"/>
                <w:b w:val="0"/>
                <w:bCs w:val="0"/>
                <w:color w:val="000000" w:themeColor="text1"/>
                <w:sz w:val="21"/>
                <w:szCs w:val="21"/>
                <w:highlight w:val="none"/>
                <w14:textFill>
                  <w14:solidFill>
                    <w14:schemeClr w14:val="tx1"/>
                  </w14:solidFill>
                </w14:textFill>
              </w:rPr>
              <w:t>价（元）</w:t>
            </w:r>
          </w:p>
          <w:p w14:paraId="72B8A045">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②</w:t>
            </w:r>
          </w:p>
        </w:tc>
        <w:tc>
          <w:tcPr>
            <w:tcW w:w="916" w:type="dxa"/>
            <w:vAlign w:val="center"/>
          </w:tcPr>
          <w:p w14:paraId="20B6F90F">
            <w:pPr>
              <w:keepNext w:val="0"/>
              <w:keepLines w:val="0"/>
              <w:pageBreakBefore w:val="0"/>
              <w:kinsoku/>
              <w:wordWrap/>
              <w:overflowPunct/>
              <w:topLinePunct w:val="0"/>
              <w:autoSpaceDE/>
              <w:autoSpaceDN/>
              <w:bidi w:val="0"/>
              <w:adjustRightInd/>
              <w:snapToGrid/>
              <w:spacing w:line="440" w:lineRule="exact"/>
              <w:jc w:val="center"/>
              <w:outlineLvl w:val="9"/>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单项合计（元）</w:t>
            </w:r>
          </w:p>
          <w:p w14:paraId="14D3FB6D">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③＝①×②</w:t>
            </w:r>
          </w:p>
        </w:tc>
      </w:tr>
      <w:tr w14:paraId="7D302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0A74E49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1"/>
                <w:szCs w:val="21"/>
                <w:u w:val="none"/>
                <w:lang w:val="en-US" w:eastAsia="zh-CN" w:bidi="ar"/>
                <w14:textFill>
                  <w14:solidFill>
                    <w14:schemeClr w14:val="tx1"/>
                  </w14:solidFill>
                </w14:textFill>
              </w:rPr>
              <w:t>1</w:t>
            </w:r>
          </w:p>
        </w:tc>
        <w:tc>
          <w:tcPr>
            <w:tcW w:w="1161" w:type="dxa"/>
            <w:vAlign w:val="center"/>
          </w:tcPr>
          <w:p w14:paraId="31E76BB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气相色谱仪</w:t>
            </w:r>
          </w:p>
        </w:tc>
        <w:tc>
          <w:tcPr>
            <w:tcW w:w="962" w:type="dxa"/>
            <w:vAlign w:val="center"/>
          </w:tcPr>
          <w:p w14:paraId="6C765AF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7890B</w:t>
            </w:r>
          </w:p>
        </w:tc>
        <w:tc>
          <w:tcPr>
            <w:tcW w:w="1875" w:type="dxa"/>
            <w:vAlign w:val="center"/>
          </w:tcPr>
          <w:p w14:paraId="298362D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7890B（CN14343061）</w:t>
            </w: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7693 G4520A（CN13520006）</w:t>
            </w: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G4513A（CN20100127）</w:t>
            </w:r>
          </w:p>
        </w:tc>
        <w:tc>
          <w:tcPr>
            <w:tcW w:w="1072" w:type="dxa"/>
            <w:vAlign w:val="center"/>
          </w:tcPr>
          <w:p w14:paraId="6A053A7B">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自合同签订之日起两年</w:t>
            </w:r>
          </w:p>
        </w:tc>
        <w:tc>
          <w:tcPr>
            <w:tcW w:w="888" w:type="dxa"/>
            <w:vAlign w:val="center"/>
          </w:tcPr>
          <w:p w14:paraId="1B0A0D09">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w:t>
            </w:r>
          </w:p>
        </w:tc>
        <w:tc>
          <w:tcPr>
            <w:tcW w:w="1066" w:type="dxa"/>
            <w:vAlign w:val="center"/>
          </w:tcPr>
          <w:p w14:paraId="288BDAE9">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pPr>
          </w:p>
        </w:tc>
        <w:tc>
          <w:tcPr>
            <w:tcW w:w="1326" w:type="dxa"/>
            <w:vAlign w:val="center"/>
          </w:tcPr>
          <w:p w14:paraId="51788AA8">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pPr>
          </w:p>
        </w:tc>
        <w:tc>
          <w:tcPr>
            <w:tcW w:w="916" w:type="dxa"/>
            <w:vAlign w:val="center"/>
          </w:tcPr>
          <w:p w14:paraId="2201B9D0">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pPr>
          </w:p>
        </w:tc>
      </w:tr>
      <w:tr w14:paraId="506DE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7A1B6A2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1"/>
                <w:szCs w:val="21"/>
                <w:u w:val="none"/>
                <w:lang w:val="en-US" w:eastAsia="zh-CN" w:bidi="ar"/>
                <w14:textFill>
                  <w14:solidFill>
                    <w14:schemeClr w14:val="tx1"/>
                  </w14:solidFill>
                </w14:textFill>
              </w:rPr>
              <w:t>2</w:t>
            </w:r>
          </w:p>
        </w:tc>
        <w:tc>
          <w:tcPr>
            <w:tcW w:w="1161" w:type="dxa"/>
            <w:vAlign w:val="center"/>
          </w:tcPr>
          <w:p w14:paraId="77111F7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气相色谱仪</w:t>
            </w:r>
          </w:p>
        </w:tc>
        <w:tc>
          <w:tcPr>
            <w:tcW w:w="962" w:type="dxa"/>
            <w:vAlign w:val="center"/>
          </w:tcPr>
          <w:p w14:paraId="521F0B3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7890B</w:t>
            </w:r>
          </w:p>
        </w:tc>
        <w:tc>
          <w:tcPr>
            <w:tcW w:w="1875" w:type="dxa"/>
            <w:vAlign w:val="center"/>
          </w:tcPr>
          <w:p w14:paraId="46BE0C9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G3440B（US14423037）</w:t>
            </w: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G4513A（CN14360193）</w:t>
            </w: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G4514F（CN14360069）</w:t>
            </w: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7697A G4556-64000（CN11500006）</w:t>
            </w:r>
          </w:p>
        </w:tc>
        <w:tc>
          <w:tcPr>
            <w:tcW w:w="1072" w:type="dxa"/>
            <w:vAlign w:val="center"/>
          </w:tcPr>
          <w:p w14:paraId="34DF1BB6">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自合同签订之日起两年</w:t>
            </w:r>
          </w:p>
        </w:tc>
        <w:tc>
          <w:tcPr>
            <w:tcW w:w="888" w:type="dxa"/>
            <w:vAlign w:val="center"/>
          </w:tcPr>
          <w:p w14:paraId="31ADFCF1">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w:t>
            </w:r>
          </w:p>
        </w:tc>
        <w:tc>
          <w:tcPr>
            <w:tcW w:w="1066" w:type="dxa"/>
            <w:vAlign w:val="center"/>
          </w:tcPr>
          <w:p w14:paraId="7EBEBED8">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pPr>
          </w:p>
        </w:tc>
        <w:tc>
          <w:tcPr>
            <w:tcW w:w="1326" w:type="dxa"/>
            <w:vAlign w:val="center"/>
          </w:tcPr>
          <w:p w14:paraId="5666F006">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pPr>
          </w:p>
        </w:tc>
        <w:tc>
          <w:tcPr>
            <w:tcW w:w="916" w:type="dxa"/>
            <w:vAlign w:val="center"/>
          </w:tcPr>
          <w:p w14:paraId="38A97196">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pPr>
          </w:p>
        </w:tc>
      </w:tr>
      <w:tr w14:paraId="09352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91" w:type="dxa"/>
            <w:vAlign w:val="center"/>
          </w:tcPr>
          <w:p w14:paraId="13257C0D">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w:t>
            </w:r>
          </w:p>
        </w:tc>
        <w:tc>
          <w:tcPr>
            <w:tcW w:w="1161" w:type="dxa"/>
            <w:vAlign w:val="center"/>
          </w:tcPr>
          <w:p w14:paraId="0BD51FBC">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w:t>
            </w:r>
          </w:p>
        </w:tc>
        <w:tc>
          <w:tcPr>
            <w:tcW w:w="962" w:type="dxa"/>
            <w:vAlign w:val="center"/>
          </w:tcPr>
          <w:p w14:paraId="0789E63F">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w:t>
            </w:r>
          </w:p>
        </w:tc>
        <w:tc>
          <w:tcPr>
            <w:tcW w:w="1875" w:type="dxa"/>
            <w:vAlign w:val="center"/>
          </w:tcPr>
          <w:p w14:paraId="2488DBE5">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w:t>
            </w:r>
          </w:p>
        </w:tc>
        <w:tc>
          <w:tcPr>
            <w:tcW w:w="1072" w:type="dxa"/>
            <w:vAlign w:val="center"/>
          </w:tcPr>
          <w:p w14:paraId="76347480">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w:t>
            </w:r>
          </w:p>
        </w:tc>
        <w:tc>
          <w:tcPr>
            <w:tcW w:w="888" w:type="dxa"/>
            <w:vAlign w:val="center"/>
          </w:tcPr>
          <w:p w14:paraId="4A6A5088">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w:t>
            </w:r>
          </w:p>
        </w:tc>
        <w:tc>
          <w:tcPr>
            <w:tcW w:w="1066" w:type="dxa"/>
            <w:vAlign w:val="center"/>
          </w:tcPr>
          <w:p w14:paraId="33D36171">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w:t>
            </w:r>
          </w:p>
        </w:tc>
        <w:tc>
          <w:tcPr>
            <w:tcW w:w="1326" w:type="dxa"/>
            <w:vAlign w:val="center"/>
          </w:tcPr>
          <w:p w14:paraId="77A36FFB">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w:t>
            </w:r>
          </w:p>
        </w:tc>
        <w:tc>
          <w:tcPr>
            <w:tcW w:w="916" w:type="dxa"/>
            <w:vAlign w:val="center"/>
          </w:tcPr>
          <w:p w14:paraId="4D27D30E">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w:t>
            </w:r>
          </w:p>
        </w:tc>
      </w:tr>
      <w:tr w14:paraId="57F62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91" w:type="dxa"/>
            <w:vAlign w:val="center"/>
          </w:tcPr>
          <w:p w14:paraId="678FD47F">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30</w:t>
            </w:r>
          </w:p>
        </w:tc>
        <w:tc>
          <w:tcPr>
            <w:tcW w:w="1161" w:type="dxa"/>
            <w:vAlign w:val="center"/>
          </w:tcPr>
          <w:p w14:paraId="7760E15C">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氮气发生器</w:t>
            </w:r>
          </w:p>
        </w:tc>
        <w:tc>
          <w:tcPr>
            <w:tcW w:w="962" w:type="dxa"/>
            <w:vAlign w:val="center"/>
          </w:tcPr>
          <w:p w14:paraId="3697F1AE">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mate GENERAL 42A+</w:t>
            </w:r>
          </w:p>
        </w:tc>
        <w:tc>
          <w:tcPr>
            <w:tcW w:w="1875" w:type="dxa"/>
            <w:vAlign w:val="center"/>
          </w:tcPr>
          <w:p w14:paraId="4185E640">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MA422107028</w:t>
            </w:r>
          </w:p>
        </w:tc>
        <w:tc>
          <w:tcPr>
            <w:tcW w:w="1072" w:type="dxa"/>
            <w:vAlign w:val="center"/>
          </w:tcPr>
          <w:p w14:paraId="5E162BF3">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自合同签订之日起两年</w:t>
            </w:r>
          </w:p>
        </w:tc>
        <w:tc>
          <w:tcPr>
            <w:tcW w:w="888" w:type="dxa"/>
            <w:vAlign w:val="center"/>
          </w:tcPr>
          <w:p w14:paraId="03EEB07F">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w:t>
            </w:r>
          </w:p>
        </w:tc>
        <w:tc>
          <w:tcPr>
            <w:tcW w:w="1066" w:type="dxa"/>
            <w:vAlign w:val="center"/>
          </w:tcPr>
          <w:p w14:paraId="60A59EE4">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1326" w:type="dxa"/>
            <w:vAlign w:val="center"/>
          </w:tcPr>
          <w:p w14:paraId="59262CCF">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c>
          <w:tcPr>
            <w:tcW w:w="916" w:type="dxa"/>
            <w:vAlign w:val="center"/>
          </w:tcPr>
          <w:p w14:paraId="40E15A54">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p>
        </w:tc>
      </w:tr>
      <w:tr w14:paraId="6420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957" w:type="dxa"/>
            <w:gridSpan w:val="9"/>
            <w:vAlign w:val="center"/>
          </w:tcPr>
          <w:p w14:paraId="60E33229">
            <w:pPr>
              <w:keepNext w:val="0"/>
              <w:keepLines w:val="0"/>
              <w:pageBreakBefore w:val="0"/>
              <w:tabs>
                <w:tab w:val="left" w:pos="1363"/>
              </w:tabs>
              <w:kinsoku/>
              <w:wordWrap/>
              <w:overflowPunct/>
              <w:topLinePunct w:val="0"/>
              <w:autoSpaceDE/>
              <w:autoSpaceDN/>
              <w:bidi w:val="0"/>
              <w:adjustRightInd/>
              <w:snapToGrid/>
              <w:spacing w:line="440" w:lineRule="exact"/>
              <w:jc w:val="left"/>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6"/>
                <w:sz w:val="21"/>
                <w:szCs w:val="21"/>
                <w:highlight w:val="none"/>
                <w14:textFill>
                  <w14:solidFill>
                    <w14:schemeClr w14:val="tx1"/>
                  </w14:solidFill>
                </w14:textFill>
              </w:rPr>
              <w:t>投标报价</w:t>
            </w:r>
            <w:r>
              <w:rPr>
                <w:rFonts w:hint="eastAsia" w:ascii="宋体" w:hAnsi="宋体" w:eastAsia="宋体" w:cs="宋体"/>
                <w:b w:val="0"/>
                <w:bCs w:val="0"/>
                <w:color w:val="000000" w:themeColor="text1"/>
                <w:spacing w:val="-6"/>
                <w:sz w:val="21"/>
                <w:szCs w:val="21"/>
                <w:highlight w:val="none"/>
                <w:lang w:val="en-US" w:eastAsia="zh-CN"/>
                <w14:textFill>
                  <w14:solidFill>
                    <w14:schemeClr w14:val="tx1"/>
                  </w14:solidFill>
                </w14:textFill>
              </w:rPr>
              <w:t>总计</w:t>
            </w:r>
            <w:r>
              <w:rPr>
                <w:rFonts w:hint="eastAsia" w:ascii="宋体" w:hAnsi="宋体" w:eastAsia="宋体" w:cs="宋体"/>
                <w:b w:val="0"/>
                <w:bCs w:val="0"/>
                <w:color w:val="000000" w:themeColor="text1"/>
                <w:spacing w:val="-6"/>
                <w:sz w:val="21"/>
                <w:szCs w:val="21"/>
                <w:highlight w:val="none"/>
                <w14:textFill>
                  <w14:solidFill>
                    <w14:schemeClr w14:val="tx1"/>
                  </w14:solidFill>
                </w14:textFill>
              </w:rPr>
              <w:t>（大写）：</w:t>
            </w:r>
            <w:r>
              <w:rPr>
                <w:rFonts w:hint="eastAsia" w:ascii="宋体" w:hAnsi="宋体" w:eastAsia="宋体" w:cs="宋体"/>
                <w:b w:val="0"/>
                <w:bCs w:val="0"/>
                <w:color w:val="000000" w:themeColor="text1"/>
                <w:spacing w:val="-6"/>
                <w:sz w:val="21"/>
                <w:szCs w:val="21"/>
                <w:highlight w:val="none"/>
                <w:lang w:val="en-US" w:eastAsia="zh-CN"/>
                <w14:textFill>
                  <w14:solidFill>
                    <w14:schemeClr w14:val="tx1"/>
                  </w14:solidFill>
                </w14:textFill>
              </w:rPr>
              <w:t xml:space="preserve">     </w:t>
            </w:r>
            <w:r>
              <w:rPr>
                <w:rFonts w:hint="eastAsia" w:ascii="宋体" w:hAnsi="宋体" w:cs="宋体"/>
                <w:b w:val="0"/>
                <w:bCs w:val="0"/>
                <w:color w:val="000000" w:themeColor="text1"/>
                <w:spacing w:val="-6"/>
                <w:sz w:val="21"/>
                <w:szCs w:val="21"/>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6"/>
                <w:sz w:val="21"/>
                <w:szCs w:val="21"/>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6"/>
                <w:sz w:val="21"/>
                <w:szCs w:val="21"/>
                <w:highlight w:val="none"/>
                <w14:textFill>
                  <w14:solidFill>
                    <w14:schemeClr w14:val="tx1"/>
                  </w14:solidFill>
                </w14:textFill>
              </w:rPr>
              <w:t>人民币</w:t>
            </w:r>
            <w:r>
              <w:rPr>
                <w:rFonts w:hint="eastAsia" w:ascii="宋体" w:hAnsi="宋体" w:eastAsia="宋体" w:cs="宋体"/>
                <w:b w:val="0"/>
                <w:bCs w:val="0"/>
                <w:color w:val="000000" w:themeColor="text1"/>
                <w:spacing w:val="-6"/>
                <w:sz w:val="21"/>
                <w:szCs w:val="21"/>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6"/>
                <w:sz w:val="21"/>
                <w:szCs w:val="21"/>
                <w:highlight w:val="none"/>
                <w14:textFill>
                  <w14:solidFill>
                    <w14:schemeClr w14:val="tx1"/>
                  </w14:solidFill>
                </w14:textFill>
              </w:rPr>
              <w:t>（¥</w:t>
            </w:r>
            <w:r>
              <w:rPr>
                <w:rFonts w:hint="eastAsia" w:ascii="宋体" w:hAnsi="宋体" w:eastAsia="宋体" w:cs="宋体"/>
                <w:b w:val="0"/>
                <w:bCs w:val="0"/>
                <w:color w:val="000000" w:themeColor="text1"/>
                <w:spacing w:val="-6"/>
                <w:sz w:val="21"/>
                <w:szCs w:val="21"/>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6"/>
                <w:sz w:val="21"/>
                <w:szCs w:val="21"/>
                <w:highlight w:val="none"/>
                <w14:textFill>
                  <w14:solidFill>
                    <w14:schemeClr w14:val="tx1"/>
                  </w14:solidFill>
                </w14:textFill>
              </w:rPr>
              <w:t>元）</w:t>
            </w:r>
          </w:p>
        </w:tc>
      </w:tr>
      <w:tr w14:paraId="6070E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957" w:type="dxa"/>
            <w:gridSpan w:val="9"/>
            <w:vAlign w:val="center"/>
          </w:tcPr>
          <w:p w14:paraId="43566C37">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合同履行期限：</w:t>
            </w:r>
          </w:p>
        </w:tc>
      </w:tr>
      <w:tr w14:paraId="0C661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9957" w:type="dxa"/>
            <w:gridSpan w:val="9"/>
            <w:vAlign w:val="center"/>
          </w:tcPr>
          <w:p w14:paraId="3F231576">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说明：报价必须包含满足本</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b w:val="0"/>
                <w:bCs w:val="0"/>
                <w:color w:val="000000" w:themeColor="text1"/>
                <w:sz w:val="21"/>
                <w:szCs w:val="21"/>
                <w:highlight w:val="none"/>
                <w14:textFill>
                  <w14:solidFill>
                    <w14:schemeClr w14:val="tx1"/>
                  </w14:solidFill>
                </w14:textFill>
              </w:rPr>
              <w:t>采购需求所应提供的服务，以及伴随的服务；</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包含备品</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配件</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、标准附件、专用工具、人员薪酬、交通费、安装、 调试、技术支持、检测检验、必要的保费、各项税费、代理服务费及本文件未列明而投标人认为必需的费用等各项费用的总和，投标人应综合考虑在报价中，投标报价不得超出采购预算，否则投标文件按无效处理</w:t>
            </w:r>
            <w:r>
              <w:rPr>
                <w:rFonts w:hint="eastAsia" w:ascii="宋体" w:hAnsi="宋体" w:eastAsia="宋体" w:cs="宋体"/>
                <w:b w:val="0"/>
                <w:bCs w:val="0"/>
                <w:color w:val="000000" w:themeColor="text1"/>
                <w:sz w:val="21"/>
                <w:szCs w:val="21"/>
                <w:highlight w:val="none"/>
                <w14:textFill>
                  <w14:solidFill>
                    <w14:schemeClr w14:val="tx1"/>
                  </w14:solidFill>
                </w14:textFill>
              </w:rPr>
              <w:t>。</w:t>
            </w:r>
          </w:p>
        </w:tc>
      </w:tr>
    </w:tbl>
    <w:p w14:paraId="4A8B20D7">
      <w:pPr>
        <w:rPr>
          <w:rFonts w:hint="eastAsia" w:hAnsi="宋体" w:cs="宋体"/>
          <w:b/>
          <w:color w:val="000000" w:themeColor="text1"/>
          <w:szCs w:val="21"/>
          <w:highlight w:val="none"/>
          <w14:textFill>
            <w14:solidFill>
              <w14:schemeClr w14:val="tx1"/>
            </w14:solidFill>
          </w14:textFill>
        </w:rPr>
      </w:pPr>
    </w:p>
    <w:p w14:paraId="117154C9">
      <w:pPr>
        <w:pageBreakBefore w:val="0"/>
        <w:kinsoku/>
        <w:wordWrap/>
        <w:overflowPunct/>
        <w:topLinePunct w:val="0"/>
        <w:bidi w:val="0"/>
        <w:spacing w:line="360" w:lineRule="auto"/>
        <w:outlineLvl w:val="9"/>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供应商（CA签章，自然人除外）：</w:t>
      </w:r>
    </w:p>
    <w:p w14:paraId="43CE5166">
      <w:pPr>
        <w:pageBreakBefore w:val="0"/>
        <w:kinsoku/>
        <w:wordWrap/>
        <w:overflowPunct/>
        <w:topLinePunct w:val="0"/>
        <w:bidi w:val="0"/>
        <w:spacing w:line="360" w:lineRule="auto"/>
        <w:outlineLvl w:val="9"/>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法定代表人（负责人或自然人）或相应的委托代理人签字或个人CA签章（属自然人的应在签名处加盖食指指印或个人CA签章）：</w:t>
      </w:r>
    </w:p>
    <w:p w14:paraId="5D15A09A">
      <w:pPr>
        <w:pageBreakBefore w:val="0"/>
        <w:tabs>
          <w:tab w:val="left" w:pos="1305"/>
        </w:tabs>
        <w:kinsoku/>
        <w:wordWrap/>
        <w:overflowPunct/>
        <w:topLinePunct w:val="0"/>
        <w:bidi w:val="0"/>
        <w:spacing w:line="360" w:lineRule="auto"/>
        <w:outlineLvl w:val="9"/>
        <w:rPr>
          <w:rFonts w:ascii="宋体" w:hAnsi="宋体" w:cs="宋体"/>
          <w:bCs/>
          <w:color w:val="000000" w:themeColor="text1"/>
          <w:szCs w:val="21"/>
          <w:highlight w:val="none"/>
          <w:u w:val="single"/>
          <w14:textFill>
            <w14:solidFill>
              <w14:schemeClr w14:val="tx1"/>
            </w14:solidFill>
          </w14:textFill>
        </w:rPr>
      </w:pPr>
      <w:r>
        <w:rPr>
          <w:rFonts w:ascii="宋体" w:hAnsi="宋体" w:cs="宋体"/>
          <w:bCs/>
          <w:color w:val="000000" w:themeColor="text1"/>
          <w:szCs w:val="21"/>
          <w:highlight w:val="none"/>
          <w14:textFill>
            <w14:solidFill>
              <w14:schemeClr w14:val="tx1"/>
            </w14:solidFill>
          </w14:textFill>
        </w:rPr>
        <w:t>日期：</w:t>
      </w:r>
      <w:r>
        <w:rPr>
          <w:rFonts w:hint="eastAsia" w:ascii="宋体" w:hAnsi="宋体" w:cs="宋体"/>
          <w:bCs/>
          <w:color w:val="000000" w:themeColor="text1"/>
          <w:szCs w:val="21"/>
          <w:highlight w:val="none"/>
          <w:lang w:val="en-US" w:eastAsia="zh-CN"/>
          <w14:textFill>
            <w14:solidFill>
              <w14:schemeClr w14:val="tx1"/>
            </w14:solidFill>
          </w14:textFill>
        </w:rPr>
        <w:t xml:space="preserve">   </w:t>
      </w:r>
      <w:r>
        <w:rPr>
          <w:rFonts w:ascii="宋体" w:hAnsi="宋体" w:cs="宋体"/>
          <w:bCs/>
          <w:color w:val="000000" w:themeColor="text1"/>
          <w:szCs w:val="21"/>
          <w:highlight w:val="none"/>
          <w14:textFill>
            <w14:solidFill>
              <w14:schemeClr w14:val="tx1"/>
            </w14:solidFill>
          </w14:textFill>
        </w:rPr>
        <w:t>年</w:t>
      </w:r>
      <w:r>
        <w:rPr>
          <w:rFonts w:hint="eastAsia" w:ascii="宋体" w:hAnsi="宋体" w:cs="宋体"/>
          <w:bCs/>
          <w:color w:val="000000" w:themeColor="text1"/>
          <w:szCs w:val="21"/>
          <w:highlight w:val="none"/>
          <w:lang w:val="en-US" w:eastAsia="zh-CN"/>
          <w14:textFill>
            <w14:solidFill>
              <w14:schemeClr w14:val="tx1"/>
            </w14:solidFill>
          </w14:textFill>
        </w:rPr>
        <w:t xml:space="preserve">   </w:t>
      </w:r>
      <w:r>
        <w:rPr>
          <w:rFonts w:ascii="宋体" w:hAnsi="宋体" w:cs="宋体"/>
          <w:bCs/>
          <w:color w:val="000000" w:themeColor="text1"/>
          <w:szCs w:val="21"/>
          <w:highlight w:val="none"/>
          <w14:textFill>
            <w14:solidFill>
              <w14:schemeClr w14:val="tx1"/>
            </w14:solidFill>
          </w14:textFill>
        </w:rPr>
        <w:t>月</w:t>
      </w:r>
      <w:r>
        <w:rPr>
          <w:rFonts w:hint="eastAsia" w:ascii="宋体" w:hAnsi="宋体" w:cs="宋体"/>
          <w:bCs/>
          <w:color w:val="000000" w:themeColor="text1"/>
          <w:szCs w:val="21"/>
          <w:highlight w:val="none"/>
          <w:lang w:val="en-US" w:eastAsia="zh-CN"/>
          <w14:textFill>
            <w14:solidFill>
              <w14:schemeClr w14:val="tx1"/>
            </w14:solidFill>
          </w14:textFill>
        </w:rPr>
        <w:t xml:space="preserve">   </w:t>
      </w:r>
      <w:r>
        <w:rPr>
          <w:rFonts w:ascii="宋体" w:hAnsi="宋体" w:cs="宋体"/>
          <w:bCs/>
          <w:color w:val="000000" w:themeColor="text1"/>
          <w:szCs w:val="21"/>
          <w:highlight w:val="none"/>
          <w14:textFill>
            <w14:solidFill>
              <w14:schemeClr w14:val="tx1"/>
            </w14:solidFill>
          </w14:textFill>
        </w:rPr>
        <w:t>日</w:t>
      </w:r>
    </w:p>
    <w:p w14:paraId="21BF1907">
      <w:pPr>
        <w:pageBreakBefore w:val="0"/>
        <w:tabs>
          <w:tab w:val="left" w:pos="1305"/>
        </w:tabs>
        <w:kinsoku/>
        <w:wordWrap/>
        <w:overflowPunct/>
        <w:topLinePunct w:val="0"/>
        <w:bidi w:val="0"/>
        <w:spacing w:line="360" w:lineRule="auto"/>
        <w:outlineLvl w:val="9"/>
        <w:rPr>
          <w:rFonts w:ascii="宋体" w:hAnsi="宋体" w:cs="宋体"/>
          <w:bCs/>
          <w:color w:val="000000" w:themeColor="text1"/>
          <w:szCs w:val="21"/>
          <w:highlight w:val="none"/>
          <w14:textFill>
            <w14:solidFill>
              <w14:schemeClr w14:val="tx1"/>
            </w14:solidFill>
          </w14:textFill>
        </w:rPr>
      </w:pPr>
    </w:p>
    <w:p w14:paraId="3B2FD64B">
      <w:pPr>
        <w:pageBreakBefore w:val="0"/>
        <w:tabs>
          <w:tab w:val="left" w:pos="1305"/>
        </w:tabs>
        <w:kinsoku/>
        <w:wordWrap/>
        <w:overflowPunct/>
        <w:topLinePunct w:val="0"/>
        <w:bidi w:val="0"/>
        <w:spacing w:line="360" w:lineRule="auto"/>
        <w:outlineLvl w:val="9"/>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注</w:t>
      </w:r>
      <w:r>
        <w:rPr>
          <w:rFonts w:hint="eastAsia" w:ascii="宋体" w:hAnsi="宋体" w:cs="宋体"/>
          <w:b/>
          <w:bCs/>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1.各供应商</w:t>
      </w:r>
      <w:r>
        <w:rPr>
          <w:rFonts w:hint="eastAsia" w:ascii="宋体" w:hAnsi="宋体" w:cs="宋体"/>
          <w:color w:val="000000" w:themeColor="text1"/>
          <w:szCs w:val="21"/>
          <w:highlight w:val="none"/>
          <w14:textFill>
            <w14:solidFill>
              <w14:schemeClr w14:val="tx1"/>
            </w14:solidFill>
          </w14:textFill>
        </w:rPr>
        <w:t>必须就“服务采购需求”中所有内容作</w:t>
      </w:r>
      <w:r>
        <w:rPr>
          <w:rFonts w:hint="eastAsia" w:ascii="宋体" w:hAnsi="宋体" w:cs="宋体"/>
          <w:color w:val="000000" w:themeColor="text1"/>
          <w:szCs w:val="21"/>
          <w:highlight w:val="none"/>
          <w:lang w:val="en-US" w:eastAsia="zh-CN"/>
          <w14:textFill>
            <w14:solidFill>
              <w14:schemeClr w14:val="tx1"/>
            </w14:solidFill>
          </w14:textFill>
        </w:rPr>
        <w:t>出</w:t>
      </w:r>
      <w:r>
        <w:rPr>
          <w:rFonts w:hint="eastAsia" w:ascii="宋体" w:hAnsi="宋体" w:cs="宋体"/>
          <w:color w:val="000000" w:themeColor="text1"/>
          <w:szCs w:val="21"/>
          <w:highlight w:val="none"/>
          <w14:textFill>
            <w14:solidFill>
              <w14:schemeClr w14:val="tx1"/>
            </w14:solidFill>
          </w14:textFill>
        </w:rPr>
        <w:t>报价，否则，其投标将被拒绝。投标文件只允许有一个</w:t>
      </w:r>
      <w:r>
        <w:rPr>
          <w:rFonts w:hint="eastAsia" w:ascii="宋体" w:hAnsi="宋体" w:cs="宋体"/>
          <w:color w:val="000000" w:themeColor="text1"/>
          <w:szCs w:val="21"/>
          <w:highlight w:val="none"/>
          <w:lang w:val="en-US" w:eastAsia="zh-CN"/>
          <w14:textFill>
            <w14:solidFill>
              <w14:schemeClr w14:val="tx1"/>
            </w14:solidFill>
          </w14:textFill>
        </w:rPr>
        <w:t>总</w:t>
      </w:r>
      <w:r>
        <w:rPr>
          <w:rFonts w:hint="eastAsia" w:ascii="宋体" w:hAnsi="宋体" w:cs="宋体"/>
          <w:color w:val="000000" w:themeColor="text1"/>
          <w:szCs w:val="21"/>
          <w:highlight w:val="none"/>
          <w14:textFill>
            <w14:solidFill>
              <w14:schemeClr w14:val="tx1"/>
            </w14:solidFill>
          </w14:textFill>
        </w:rPr>
        <w:t>报价。</w:t>
      </w:r>
    </w:p>
    <w:p w14:paraId="353CD04A">
      <w:pPr>
        <w:pStyle w:val="17"/>
        <w:pageBreakBefore w:val="0"/>
        <w:kinsoku/>
        <w:wordWrap/>
        <w:overflowPunct/>
        <w:topLinePunct w:val="0"/>
        <w:bidi w:val="0"/>
        <w:spacing w:line="360" w:lineRule="auto"/>
        <w:ind w:firstLine="420" w:firstLineChars="200"/>
        <w:outlineLvl w:val="9"/>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2.供应商应根据所投项目如实填写</w:t>
      </w:r>
      <w:r>
        <w:rPr>
          <w:rFonts w:hint="eastAsia" w:hAnsi="宋体" w:cs="宋体"/>
          <w:color w:val="000000" w:themeColor="text1"/>
          <w:szCs w:val="21"/>
          <w:highlight w:val="none"/>
          <w:lang w:eastAsia="zh-CN"/>
          <w14:textFill>
            <w14:solidFill>
              <w14:schemeClr w14:val="tx1"/>
            </w14:solidFill>
          </w14:textFill>
        </w:rPr>
        <w:t>投标</w:t>
      </w:r>
      <w:r>
        <w:rPr>
          <w:rFonts w:hint="eastAsia" w:hAnsi="宋体" w:cs="宋体"/>
          <w:color w:val="000000" w:themeColor="text1"/>
          <w:szCs w:val="21"/>
          <w:highlight w:val="none"/>
          <w14:textFill>
            <w14:solidFill>
              <w14:schemeClr w14:val="tx1"/>
            </w14:solidFill>
          </w14:textFill>
        </w:rPr>
        <w:t>报价表</w:t>
      </w:r>
      <w:r>
        <w:rPr>
          <w:rFonts w:hint="eastAsia" w:hAnsi="宋体" w:cs="宋体"/>
          <w:bCs/>
          <w:color w:val="000000" w:themeColor="text1"/>
          <w:szCs w:val="21"/>
          <w:highlight w:val="none"/>
          <w14:textFill>
            <w14:solidFill>
              <w14:schemeClr w14:val="tx1"/>
            </w14:solidFill>
          </w14:textFill>
        </w:rPr>
        <w:t>的各项内容。</w:t>
      </w:r>
    </w:p>
    <w:p w14:paraId="790F86F0">
      <w:pPr>
        <w:pageBreakBefore w:val="0"/>
        <w:kinsoku/>
        <w:wordWrap/>
        <w:overflowPunct/>
        <w:topLinePunct w:val="0"/>
        <w:bidi w:val="0"/>
        <w:spacing w:line="360" w:lineRule="auto"/>
        <w:ind w:firstLine="420" w:firstLineChars="200"/>
        <w:outlineLvl w:val="9"/>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投标报价表须由法定代表人负责人、或自然人或相应的委托代理人签字或个人CA签章（属自然人的应在签名处加盖食指指印或个人CA签章）并加盖供应商CA签章（自然人除外）。</w:t>
      </w:r>
      <w:r>
        <w:rPr>
          <w:rFonts w:hint="eastAsia" w:ascii="宋体" w:hAnsi="宋体" w:cs="宋体"/>
          <w:b/>
          <w:color w:val="000000" w:themeColor="text1"/>
          <w:highlight w:val="none"/>
          <w14:textFill>
            <w14:solidFill>
              <w14:schemeClr w14:val="tx1"/>
            </w14:solidFill>
          </w14:textFill>
        </w:rPr>
        <w:t>当本表由多页构成时，需逐页加盖供应商公章（属自然人的须逐页签字或个人CA签章）</w:t>
      </w:r>
    </w:p>
    <w:p w14:paraId="51650E80">
      <w:pPr>
        <w:pStyle w:val="17"/>
        <w:pageBreakBefore w:val="0"/>
        <w:kinsoku/>
        <w:wordWrap/>
        <w:overflowPunct/>
        <w:topLinePunct w:val="0"/>
        <w:bidi w:val="0"/>
        <w:jc w:val="center"/>
        <w:outlineLvl w:val="9"/>
        <w:rPr>
          <w:rFonts w:hAnsi="宋体" w:cs="宋体"/>
          <w:b/>
          <w:color w:val="000000" w:themeColor="text1"/>
          <w:sz w:val="32"/>
          <w:highlight w:val="none"/>
          <w14:textFill>
            <w14:solidFill>
              <w14:schemeClr w14:val="tx1"/>
            </w14:solidFill>
          </w14:textFill>
        </w:rPr>
      </w:pPr>
    </w:p>
    <w:p w14:paraId="2CEA271B">
      <w:pPr>
        <w:pStyle w:val="7"/>
        <w:pageBreakBefore w:val="0"/>
        <w:kinsoku/>
        <w:wordWrap/>
        <w:overflowPunct/>
        <w:topLinePunct w:val="0"/>
        <w:bidi w:val="0"/>
        <w:outlineLvl w:val="9"/>
        <w:rPr>
          <w:rFonts w:hAnsi="宋体" w:cs="宋体"/>
          <w:b/>
          <w:color w:val="000000" w:themeColor="text1"/>
          <w:sz w:val="32"/>
          <w:highlight w:val="none"/>
          <w14:textFill>
            <w14:solidFill>
              <w14:schemeClr w14:val="tx1"/>
            </w14:solidFill>
          </w14:textFill>
        </w:rPr>
      </w:pPr>
    </w:p>
    <w:p w14:paraId="2DEB1226">
      <w:pPr>
        <w:pStyle w:val="14"/>
        <w:pageBreakBefore w:val="0"/>
        <w:kinsoku/>
        <w:wordWrap/>
        <w:overflowPunct/>
        <w:topLinePunct w:val="0"/>
        <w:bidi w:val="0"/>
        <w:outlineLvl w:val="9"/>
        <w:rPr>
          <w:color w:val="000000" w:themeColor="text1"/>
          <w:highlight w:val="none"/>
          <w14:textFill>
            <w14:solidFill>
              <w14:schemeClr w14:val="tx1"/>
            </w14:solidFill>
          </w14:textFill>
        </w:rPr>
      </w:pPr>
    </w:p>
    <w:p w14:paraId="2A7D1A58">
      <w:pPr>
        <w:pageBreakBefore w:val="0"/>
        <w:kinsoku/>
        <w:wordWrap/>
        <w:overflowPunct/>
        <w:topLinePunct w:val="0"/>
        <w:bidi w:val="0"/>
        <w:outlineLvl w:val="9"/>
        <w:rPr>
          <w:rFonts w:hint="eastAsia"/>
          <w:b/>
          <w:color w:val="000000" w:themeColor="text1"/>
          <w:sz w:val="32"/>
          <w:szCs w:val="32"/>
          <w:highlight w:val="none"/>
          <w:lang w:val="en-US" w:eastAsia="zh-CN"/>
          <w14:textFill>
            <w14:solidFill>
              <w14:schemeClr w14:val="tx1"/>
            </w14:solidFill>
          </w14:textFill>
        </w:rPr>
      </w:pPr>
      <w:bookmarkStart w:id="331" w:name="_Toc15632"/>
      <w:r>
        <w:rPr>
          <w:rFonts w:hint="eastAsia"/>
          <w:b/>
          <w:color w:val="000000" w:themeColor="text1"/>
          <w:sz w:val="32"/>
          <w:szCs w:val="32"/>
          <w:highlight w:val="none"/>
          <w:lang w:val="en-US" w:eastAsia="zh-CN"/>
          <w14:textFill>
            <w14:solidFill>
              <w14:schemeClr w14:val="tx1"/>
            </w14:solidFill>
          </w14:textFill>
        </w:rPr>
        <w:br w:type="page"/>
      </w:r>
    </w:p>
    <w:p w14:paraId="513A250E">
      <w:pPr>
        <w:pageBreakBefore w:val="0"/>
        <w:widowControl/>
        <w:kinsoku/>
        <w:wordWrap/>
        <w:overflowPunct/>
        <w:topLinePunct w:val="0"/>
        <w:bidi w:val="0"/>
        <w:jc w:val="left"/>
        <w:outlineLvl w:val="9"/>
        <w:rPr>
          <w:rFonts w:hint="eastAsia"/>
          <w:b/>
          <w:color w:val="000000" w:themeColor="text1"/>
          <w:sz w:val="32"/>
          <w:szCs w:val="32"/>
          <w:highlight w:val="none"/>
          <w14:textFill>
            <w14:solidFill>
              <w14:schemeClr w14:val="tx1"/>
            </w14:solidFill>
          </w14:textFill>
        </w:rPr>
      </w:pPr>
      <w:r>
        <w:rPr>
          <w:rFonts w:hint="eastAsia"/>
          <w:b/>
          <w:color w:val="000000" w:themeColor="text1"/>
          <w:sz w:val="32"/>
          <w:szCs w:val="32"/>
          <w:highlight w:val="none"/>
          <w:lang w:val="en-US" w:eastAsia="zh-CN"/>
          <w14:textFill>
            <w14:solidFill>
              <w14:schemeClr w14:val="tx1"/>
            </w14:solidFill>
          </w14:textFill>
        </w:rPr>
        <w:t>3</w:t>
      </w:r>
      <w:r>
        <w:rPr>
          <w:rFonts w:hint="eastAsia"/>
          <w:b/>
          <w:color w:val="000000" w:themeColor="text1"/>
          <w:sz w:val="32"/>
          <w:szCs w:val="32"/>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b/>
          <w:color w:val="000000" w:themeColor="text1"/>
          <w:sz w:val="32"/>
          <w:szCs w:val="32"/>
          <w:highlight w:val="none"/>
          <w14:textFill>
            <w14:solidFill>
              <w14:schemeClr w14:val="tx1"/>
            </w14:solidFill>
          </w14:textFill>
        </w:rPr>
        <w:t>服务内容及要求响应表（必须提供）；</w:t>
      </w:r>
    </w:p>
    <w:p w14:paraId="48D37531">
      <w:pPr>
        <w:pStyle w:val="17"/>
        <w:pageBreakBefore w:val="0"/>
        <w:kinsoku/>
        <w:wordWrap/>
        <w:overflowPunct/>
        <w:topLinePunct w:val="0"/>
        <w:bidi w:val="0"/>
        <w:ind w:firstLine="482" w:firstLineChars="200"/>
        <w:outlineLvl w:val="9"/>
        <w:rPr>
          <w:rFonts w:hint="eastAsia"/>
          <w:b/>
          <w:color w:val="000000" w:themeColor="text1"/>
          <w:sz w:val="24"/>
          <w:szCs w:val="24"/>
          <w:highlight w:val="none"/>
          <w14:textFill>
            <w14:solidFill>
              <w14:schemeClr w14:val="tx1"/>
            </w14:solidFill>
          </w14:textFill>
        </w:rPr>
      </w:pPr>
    </w:p>
    <w:p w14:paraId="0514062C">
      <w:pPr>
        <w:pStyle w:val="7"/>
        <w:pageBreakBefore w:val="0"/>
        <w:kinsoku/>
        <w:wordWrap/>
        <w:overflowPunct/>
        <w:topLinePunct w:val="0"/>
        <w:bidi w:val="0"/>
        <w:ind w:left="2940"/>
        <w:outlineLvl w:val="9"/>
        <w:rPr>
          <w:rFonts w:hint="eastAsia"/>
          <w:color w:val="000000" w:themeColor="text1"/>
          <w:highlight w:val="none"/>
          <w14:textFill>
            <w14:solidFill>
              <w14:schemeClr w14:val="tx1"/>
            </w14:solidFill>
          </w14:textFill>
        </w:rPr>
      </w:pPr>
    </w:p>
    <w:p w14:paraId="31B65C4F">
      <w:pPr>
        <w:pStyle w:val="17"/>
        <w:pageBreakBefore w:val="0"/>
        <w:kinsoku/>
        <w:wordWrap/>
        <w:overflowPunct/>
        <w:topLinePunct w:val="0"/>
        <w:bidi w:val="0"/>
        <w:ind w:firstLine="482" w:firstLineChars="200"/>
        <w:outlineLvl w:val="9"/>
        <w:rPr>
          <w:rFonts w:hint="eastAsia"/>
          <w:b/>
          <w:color w:val="000000" w:themeColor="text1"/>
          <w:sz w:val="24"/>
          <w:szCs w:val="24"/>
          <w:highlight w:val="none"/>
          <w14:textFill>
            <w14:solidFill>
              <w14:schemeClr w14:val="tx1"/>
            </w14:solidFill>
          </w14:textFill>
        </w:rPr>
      </w:pPr>
    </w:p>
    <w:p w14:paraId="27185A39">
      <w:pPr>
        <w:pStyle w:val="17"/>
        <w:pageBreakBefore w:val="0"/>
        <w:kinsoku/>
        <w:wordWrap/>
        <w:overflowPunct/>
        <w:topLinePunct w:val="0"/>
        <w:bidi w:val="0"/>
        <w:ind w:firstLine="482" w:firstLineChars="200"/>
        <w:outlineLvl w:val="9"/>
        <w:rPr>
          <w:rFonts w:hint="eastAsia"/>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 xml:space="preserve">附件：            </w:t>
      </w:r>
    </w:p>
    <w:p w14:paraId="654B54AC">
      <w:pPr>
        <w:pStyle w:val="17"/>
        <w:pageBreakBefore w:val="0"/>
        <w:kinsoku/>
        <w:wordWrap/>
        <w:overflowPunct/>
        <w:topLinePunct w:val="0"/>
        <w:bidi w:val="0"/>
        <w:ind w:firstLine="472" w:firstLineChars="147"/>
        <w:jc w:val="center"/>
        <w:outlineLvl w:val="9"/>
        <w:rPr>
          <w:rFonts w:hint="eastAsia"/>
          <w:b/>
          <w:bCs/>
          <w:color w:val="000000" w:themeColor="text1"/>
          <w:sz w:val="32"/>
          <w:highlight w:val="none"/>
          <w14:textFill>
            <w14:solidFill>
              <w14:schemeClr w14:val="tx1"/>
            </w14:solidFill>
          </w14:textFill>
        </w:rPr>
      </w:pPr>
      <w:r>
        <w:rPr>
          <w:rFonts w:hint="eastAsia"/>
          <w:b/>
          <w:bCs/>
          <w:color w:val="000000" w:themeColor="text1"/>
          <w:sz w:val="32"/>
          <w:highlight w:val="none"/>
          <w14:textFill>
            <w14:solidFill>
              <w14:schemeClr w14:val="tx1"/>
            </w14:solidFill>
          </w14:textFill>
        </w:rPr>
        <w:t>服务内容及要求响应表（格式）</w:t>
      </w:r>
    </w:p>
    <w:p w14:paraId="06E94774">
      <w:pPr>
        <w:pageBreakBefore w:val="0"/>
        <w:kinsoku/>
        <w:wordWrap/>
        <w:overflowPunct/>
        <w:topLinePunct w:val="0"/>
        <w:bidi w:val="0"/>
        <w:outlineLvl w:val="9"/>
        <w:rPr>
          <w:rFonts w:hint="eastAsia" w:ascii="宋体" w:hAnsi="宋体" w:cs="宋体"/>
          <w:b/>
          <w:bCs/>
          <w:color w:val="000000" w:themeColor="text1"/>
          <w:sz w:val="28"/>
          <w:szCs w:val="28"/>
          <w:highlight w:val="none"/>
          <w14:textFill>
            <w14:solidFill>
              <w14:schemeClr w14:val="tx1"/>
            </w14:solidFill>
          </w14:textFill>
        </w:rPr>
      </w:pPr>
    </w:p>
    <w:tbl>
      <w:tblPr>
        <w:tblStyle w:val="32"/>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985"/>
        <w:gridCol w:w="1984"/>
        <w:gridCol w:w="2552"/>
        <w:gridCol w:w="992"/>
        <w:gridCol w:w="1007"/>
      </w:tblGrid>
      <w:tr w14:paraId="099B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76" w:type="dxa"/>
            <w:noWrap w:val="0"/>
            <w:vAlign w:val="center"/>
          </w:tcPr>
          <w:p w14:paraId="37C48B32">
            <w:pPr>
              <w:pageBreakBefore w:val="0"/>
              <w:kinsoku/>
              <w:wordWrap/>
              <w:overflowPunct/>
              <w:topLinePunct w:val="0"/>
              <w:bidi w:val="0"/>
              <w:spacing w:line="400" w:lineRule="exact"/>
              <w:jc w:val="center"/>
              <w:outlineLvl w:val="9"/>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服务名称</w:t>
            </w:r>
          </w:p>
        </w:tc>
        <w:tc>
          <w:tcPr>
            <w:tcW w:w="1985" w:type="dxa"/>
            <w:noWrap w:val="0"/>
            <w:vAlign w:val="center"/>
          </w:tcPr>
          <w:p w14:paraId="25008B8B">
            <w:pPr>
              <w:pageBreakBefore w:val="0"/>
              <w:kinsoku/>
              <w:wordWrap/>
              <w:overflowPunct/>
              <w:topLinePunct w:val="0"/>
              <w:bidi w:val="0"/>
              <w:spacing w:line="400" w:lineRule="exact"/>
              <w:jc w:val="center"/>
              <w:outlineLvl w:val="9"/>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服务项目</w:t>
            </w:r>
          </w:p>
        </w:tc>
        <w:tc>
          <w:tcPr>
            <w:tcW w:w="1984" w:type="dxa"/>
            <w:noWrap w:val="0"/>
            <w:vAlign w:val="center"/>
          </w:tcPr>
          <w:p w14:paraId="7FA609FD">
            <w:pPr>
              <w:pageBreakBefore w:val="0"/>
              <w:kinsoku/>
              <w:wordWrap/>
              <w:overflowPunct/>
              <w:topLinePunct w:val="0"/>
              <w:bidi w:val="0"/>
              <w:spacing w:line="400" w:lineRule="exact"/>
              <w:jc w:val="center"/>
              <w:outlineLvl w:val="9"/>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招标文件要求</w:t>
            </w:r>
          </w:p>
        </w:tc>
        <w:tc>
          <w:tcPr>
            <w:tcW w:w="2552" w:type="dxa"/>
            <w:noWrap w:val="0"/>
            <w:vAlign w:val="center"/>
          </w:tcPr>
          <w:p w14:paraId="5C50B15D">
            <w:pPr>
              <w:pageBreakBefore w:val="0"/>
              <w:kinsoku/>
              <w:wordWrap/>
              <w:overflowPunct/>
              <w:topLinePunct w:val="0"/>
              <w:bidi w:val="0"/>
              <w:spacing w:line="340" w:lineRule="exact"/>
              <w:jc w:val="center"/>
              <w:outlineLvl w:val="9"/>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投标文件的响应情况（对服务内容及要求的承诺）</w:t>
            </w:r>
          </w:p>
        </w:tc>
        <w:tc>
          <w:tcPr>
            <w:tcW w:w="992" w:type="dxa"/>
            <w:noWrap w:val="0"/>
            <w:vAlign w:val="center"/>
          </w:tcPr>
          <w:p w14:paraId="0A640B93">
            <w:pPr>
              <w:pageBreakBefore w:val="0"/>
              <w:kinsoku/>
              <w:wordWrap/>
              <w:overflowPunct/>
              <w:topLinePunct w:val="0"/>
              <w:bidi w:val="0"/>
              <w:spacing w:line="340" w:lineRule="exact"/>
              <w:jc w:val="center"/>
              <w:outlineLvl w:val="9"/>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响应偏离情况</w:t>
            </w:r>
          </w:p>
        </w:tc>
        <w:tc>
          <w:tcPr>
            <w:tcW w:w="1007" w:type="dxa"/>
            <w:noWrap w:val="0"/>
            <w:vAlign w:val="center"/>
          </w:tcPr>
          <w:p w14:paraId="47278E82">
            <w:pPr>
              <w:pageBreakBefore w:val="0"/>
              <w:kinsoku/>
              <w:wordWrap/>
              <w:overflowPunct/>
              <w:topLinePunct w:val="0"/>
              <w:bidi w:val="0"/>
              <w:spacing w:line="340" w:lineRule="exact"/>
              <w:jc w:val="center"/>
              <w:outlineLvl w:val="9"/>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偏离情况说明</w:t>
            </w:r>
          </w:p>
        </w:tc>
      </w:tr>
      <w:tr w14:paraId="54C1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76" w:type="dxa"/>
            <w:vMerge w:val="restart"/>
            <w:noWrap w:val="0"/>
            <w:vAlign w:val="center"/>
          </w:tcPr>
          <w:p w14:paraId="05B250F4">
            <w:pPr>
              <w:pageBreakBefore w:val="0"/>
              <w:kinsoku/>
              <w:wordWrap/>
              <w:overflowPunct/>
              <w:topLinePunct w:val="0"/>
              <w:bidi w:val="0"/>
              <w:spacing w:line="400" w:lineRule="exact"/>
              <w:jc w:val="center"/>
              <w:outlineLvl w:val="9"/>
              <w:rPr>
                <w:rFonts w:hint="eastAsia" w:ascii="宋体" w:hAnsi="宋体" w:eastAsia="宋体" w:cs="宋体"/>
                <w:color w:val="000000" w:themeColor="text1"/>
                <w:szCs w:val="20"/>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检验检测设备维护保养服务</w:t>
            </w:r>
          </w:p>
        </w:tc>
        <w:tc>
          <w:tcPr>
            <w:tcW w:w="1985" w:type="dxa"/>
            <w:noWrap w:val="0"/>
            <w:vAlign w:val="center"/>
          </w:tcPr>
          <w:p w14:paraId="571FFD74">
            <w:pPr>
              <w:pageBreakBefore w:val="0"/>
              <w:kinsoku/>
              <w:wordWrap/>
              <w:overflowPunct/>
              <w:topLinePunct w:val="0"/>
              <w:bidi w:val="0"/>
              <w:spacing w:line="400" w:lineRule="exact"/>
              <w:jc w:val="left"/>
              <w:outlineLvl w:val="9"/>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lang w:val="en-US" w:eastAsia="zh-CN"/>
                <w14:textFill>
                  <w14:solidFill>
                    <w14:schemeClr w14:val="tx1"/>
                  </w14:solidFill>
                </w14:textFill>
              </w:rPr>
              <w:t xml:space="preserve">1、项目情况及基本要求 </w:t>
            </w:r>
          </w:p>
        </w:tc>
        <w:tc>
          <w:tcPr>
            <w:tcW w:w="1984" w:type="dxa"/>
            <w:noWrap w:val="0"/>
            <w:vAlign w:val="center"/>
          </w:tcPr>
          <w:p w14:paraId="1718A584">
            <w:pPr>
              <w:pageBreakBefore w:val="0"/>
              <w:kinsoku/>
              <w:wordWrap/>
              <w:overflowPunct/>
              <w:topLinePunct w:val="0"/>
              <w:bidi w:val="0"/>
              <w:spacing w:line="400" w:lineRule="exact"/>
              <w:jc w:val="center"/>
              <w:outlineLvl w:val="9"/>
              <w:rPr>
                <w:rFonts w:hint="eastAsia" w:ascii="宋体" w:hAnsi="宋体" w:cs="宋体"/>
                <w:color w:val="000000" w:themeColor="text1"/>
                <w:szCs w:val="20"/>
                <w:highlight w:val="none"/>
                <w14:textFill>
                  <w14:solidFill>
                    <w14:schemeClr w14:val="tx1"/>
                  </w14:solidFill>
                </w14:textFill>
              </w:rPr>
            </w:pPr>
          </w:p>
        </w:tc>
        <w:tc>
          <w:tcPr>
            <w:tcW w:w="2552" w:type="dxa"/>
            <w:noWrap w:val="0"/>
            <w:vAlign w:val="center"/>
          </w:tcPr>
          <w:p w14:paraId="207F5DBB">
            <w:pPr>
              <w:pageBreakBefore w:val="0"/>
              <w:kinsoku/>
              <w:wordWrap/>
              <w:overflowPunct/>
              <w:topLinePunct w:val="0"/>
              <w:bidi w:val="0"/>
              <w:spacing w:line="340" w:lineRule="exact"/>
              <w:jc w:val="center"/>
              <w:outlineLvl w:val="9"/>
              <w:rPr>
                <w:rFonts w:hint="eastAsia" w:ascii="宋体" w:hAnsi="宋体" w:cs="宋体"/>
                <w:color w:val="000000" w:themeColor="text1"/>
                <w:szCs w:val="20"/>
                <w:highlight w:val="none"/>
                <w14:textFill>
                  <w14:solidFill>
                    <w14:schemeClr w14:val="tx1"/>
                  </w14:solidFill>
                </w14:textFill>
              </w:rPr>
            </w:pPr>
          </w:p>
        </w:tc>
        <w:tc>
          <w:tcPr>
            <w:tcW w:w="992" w:type="dxa"/>
            <w:noWrap w:val="0"/>
            <w:vAlign w:val="center"/>
          </w:tcPr>
          <w:p w14:paraId="441AE4D3">
            <w:pPr>
              <w:pageBreakBefore w:val="0"/>
              <w:kinsoku/>
              <w:wordWrap/>
              <w:overflowPunct/>
              <w:topLinePunct w:val="0"/>
              <w:bidi w:val="0"/>
              <w:spacing w:line="340" w:lineRule="exact"/>
              <w:jc w:val="center"/>
              <w:outlineLvl w:val="9"/>
              <w:rPr>
                <w:rFonts w:hint="eastAsia" w:ascii="宋体" w:hAnsi="宋体" w:cs="宋体"/>
                <w:color w:val="000000" w:themeColor="text1"/>
                <w:szCs w:val="20"/>
                <w:highlight w:val="none"/>
                <w14:textFill>
                  <w14:solidFill>
                    <w14:schemeClr w14:val="tx1"/>
                  </w14:solidFill>
                </w14:textFill>
              </w:rPr>
            </w:pPr>
          </w:p>
        </w:tc>
        <w:tc>
          <w:tcPr>
            <w:tcW w:w="1007" w:type="dxa"/>
            <w:noWrap w:val="0"/>
            <w:vAlign w:val="center"/>
          </w:tcPr>
          <w:p w14:paraId="17917B29">
            <w:pPr>
              <w:pageBreakBefore w:val="0"/>
              <w:kinsoku/>
              <w:wordWrap/>
              <w:overflowPunct/>
              <w:topLinePunct w:val="0"/>
              <w:bidi w:val="0"/>
              <w:spacing w:line="340" w:lineRule="exact"/>
              <w:jc w:val="center"/>
              <w:outlineLvl w:val="9"/>
              <w:rPr>
                <w:rFonts w:hint="eastAsia" w:ascii="宋体" w:hAnsi="宋体" w:cs="宋体"/>
                <w:color w:val="000000" w:themeColor="text1"/>
                <w:szCs w:val="20"/>
                <w:highlight w:val="none"/>
                <w14:textFill>
                  <w14:solidFill>
                    <w14:schemeClr w14:val="tx1"/>
                  </w14:solidFill>
                </w14:textFill>
              </w:rPr>
            </w:pPr>
          </w:p>
        </w:tc>
      </w:tr>
      <w:tr w14:paraId="0D00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76" w:type="dxa"/>
            <w:vMerge w:val="continue"/>
            <w:noWrap w:val="0"/>
            <w:vAlign w:val="center"/>
          </w:tcPr>
          <w:p w14:paraId="546F93E6">
            <w:pPr>
              <w:pageBreakBefore w:val="0"/>
              <w:kinsoku/>
              <w:wordWrap/>
              <w:overflowPunct/>
              <w:topLinePunct w:val="0"/>
              <w:bidi w:val="0"/>
              <w:adjustRightInd w:val="0"/>
              <w:snapToGrid w:val="0"/>
              <w:spacing w:line="340" w:lineRule="exact"/>
              <w:jc w:val="center"/>
              <w:outlineLvl w:val="9"/>
              <w:rPr>
                <w:rFonts w:hint="eastAsia" w:ascii="宋体" w:hAnsi="宋体" w:cs="宋体"/>
                <w:color w:val="000000" w:themeColor="text1"/>
                <w:szCs w:val="21"/>
                <w:highlight w:val="none"/>
                <w14:textFill>
                  <w14:solidFill>
                    <w14:schemeClr w14:val="tx1"/>
                  </w14:solidFill>
                </w14:textFill>
              </w:rPr>
            </w:pPr>
          </w:p>
        </w:tc>
        <w:tc>
          <w:tcPr>
            <w:tcW w:w="1985" w:type="dxa"/>
            <w:noWrap w:val="0"/>
            <w:vAlign w:val="center"/>
          </w:tcPr>
          <w:p w14:paraId="1A25AA1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outlineLvl w:val="9"/>
              <w:rPr>
                <w:rFonts w:hint="eastAsia"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2、维保清单</w:t>
            </w:r>
          </w:p>
        </w:tc>
        <w:tc>
          <w:tcPr>
            <w:tcW w:w="1984" w:type="dxa"/>
            <w:noWrap w:val="0"/>
            <w:vAlign w:val="center"/>
          </w:tcPr>
          <w:p w14:paraId="3C20D982">
            <w:pPr>
              <w:pageBreakBefore w:val="0"/>
              <w:kinsoku/>
              <w:wordWrap/>
              <w:overflowPunct/>
              <w:topLinePunct w:val="0"/>
              <w:bidi w:val="0"/>
              <w:spacing w:line="400" w:lineRule="exact"/>
              <w:outlineLvl w:val="9"/>
              <w:rPr>
                <w:rFonts w:hint="eastAsia" w:ascii="宋体" w:hAnsi="宋体" w:cs="宋体"/>
                <w:color w:val="000000" w:themeColor="text1"/>
                <w:szCs w:val="20"/>
                <w:highlight w:val="none"/>
                <w14:textFill>
                  <w14:solidFill>
                    <w14:schemeClr w14:val="tx1"/>
                  </w14:solidFill>
                </w14:textFill>
              </w:rPr>
            </w:pPr>
          </w:p>
        </w:tc>
        <w:tc>
          <w:tcPr>
            <w:tcW w:w="2552" w:type="dxa"/>
            <w:noWrap w:val="0"/>
            <w:vAlign w:val="center"/>
          </w:tcPr>
          <w:p w14:paraId="144D7DD8">
            <w:pPr>
              <w:pageBreakBefore w:val="0"/>
              <w:kinsoku/>
              <w:wordWrap/>
              <w:overflowPunct/>
              <w:topLinePunct w:val="0"/>
              <w:bidi w:val="0"/>
              <w:spacing w:line="400" w:lineRule="exact"/>
              <w:jc w:val="center"/>
              <w:outlineLvl w:val="9"/>
              <w:rPr>
                <w:rFonts w:hint="eastAsia" w:ascii="宋体" w:hAnsi="宋体" w:cs="宋体"/>
                <w:color w:val="000000" w:themeColor="text1"/>
                <w:szCs w:val="20"/>
                <w:highlight w:val="none"/>
                <w14:textFill>
                  <w14:solidFill>
                    <w14:schemeClr w14:val="tx1"/>
                  </w14:solidFill>
                </w14:textFill>
              </w:rPr>
            </w:pPr>
          </w:p>
        </w:tc>
        <w:tc>
          <w:tcPr>
            <w:tcW w:w="992" w:type="dxa"/>
            <w:noWrap w:val="0"/>
            <w:vAlign w:val="center"/>
          </w:tcPr>
          <w:p w14:paraId="23D85677">
            <w:pPr>
              <w:pageBreakBefore w:val="0"/>
              <w:kinsoku/>
              <w:wordWrap/>
              <w:overflowPunct/>
              <w:topLinePunct w:val="0"/>
              <w:bidi w:val="0"/>
              <w:spacing w:line="400" w:lineRule="exact"/>
              <w:jc w:val="center"/>
              <w:outlineLvl w:val="9"/>
              <w:rPr>
                <w:rFonts w:hint="eastAsia" w:ascii="宋体" w:hAnsi="宋体" w:cs="宋体"/>
                <w:color w:val="000000" w:themeColor="text1"/>
                <w:szCs w:val="20"/>
                <w:highlight w:val="none"/>
                <w14:textFill>
                  <w14:solidFill>
                    <w14:schemeClr w14:val="tx1"/>
                  </w14:solidFill>
                </w14:textFill>
              </w:rPr>
            </w:pPr>
          </w:p>
        </w:tc>
        <w:tc>
          <w:tcPr>
            <w:tcW w:w="1007" w:type="dxa"/>
            <w:noWrap w:val="0"/>
            <w:vAlign w:val="center"/>
          </w:tcPr>
          <w:p w14:paraId="25C3E3B5">
            <w:pPr>
              <w:pageBreakBefore w:val="0"/>
              <w:kinsoku/>
              <w:wordWrap/>
              <w:overflowPunct/>
              <w:topLinePunct w:val="0"/>
              <w:bidi w:val="0"/>
              <w:spacing w:line="400" w:lineRule="exact"/>
              <w:jc w:val="center"/>
              <w:outlineLvl w:val="9"/>
              <w:rPr>
                <w:rFonts w:hint="eastAsia" w:ascii="宋体" w:hAnsi="宋体" w:cs="宋体"/>
                <w:color w:val="000000" w:themeColor="text1"/>
                <w:szCs w:val="20"/>
                <w:highlight w:val="none"/>
                <w14:textFill>
                  <w14:solidFill>
                    <w14:schemeClr w14:val="tx1"/>
                  </w14:solidFill>
                </w14:textFill>
              </w:rPr>
            </w:pPr>
          </w:p>
        </w:tc>
      </w:tr>
      <w:tr w14:paraId="7EF58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76" w:type="dxa"/>
            <w:vMerge w:val="continue"/>
            <w:noWrap w:val="0"/>
            <w:vAlign w:val="center"/>
          </w:tcPr>
          <w:p w14:paraId="0AFF1D6B">
            <w:pPr>
              <w:pageBreakBefore w:val="0"/>
              <w:kinsoku/>
              <w:wordWrap/>
              <w:overflowPunct/>
              <w:topLinePunct w:val="0"/>
              <w:bidi w:val="0"/>
              <w:spacing w:line="360" w:lineRule="exact"/>
              <w:jc w:val="center"/>
              <w:outlineLvl w:val="9"/>
              <w:rPr>
                <w:rFonts w:hint="eastAsia" w:ascii="宋体" w:hAnsi="宋体" w:cs="宋体"/>
                <w:color w:val="000000" w:themeColor="text1"/>
                <w:szCs w:val="21"/>
                <w:highlight w:val="none"/>
                <w14:textFill>
                  <w14:solidFill>
                    <w14:schemeClr w14:val="tx1"/>
                  </w14:solidFill>
                </w14:textFill>
              </w:rPr>
            </w:pPr>
          </w:p>
        </w:tc>
        <w:tc>
          <w:tcPr>
            <w:tcW w:w="1985" w:type="dxa"/>
            <w:noWrap w:val="0"/>
            <w:vAlign w:val="center"/>
          </w:tcPr>
          <w:p w14:paraId="77073E45">
            <w:pPr>
              <w:pageBreakBefore w:val="0"/>
              <w:kinsoku/>
              <w:wordWrap/>
              <w:overflowPunct/>
              <w:topLinePunct w:val="0"/>
              <w:bidi w:val="0"/>
              <w:spacing w:line="360" w:lineRule="exact"/>
              <w:outlineLvl w:val="9"/>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 xml:space="preserve">3、保修范围 </w:t>
            </w:r>
          </w:p>
        </w:tc>
        <w:tc>
          <w:tcPr>
            <w:tcW w:w="1984" w:type="dxa"/>
            <w:noWrap w:val="0"/>
            <w:vAlign w:val="center"/>
          </w:tcPr>
          <w:p w14:paraId="30C31572">
            <w:pPr>
              <w:pageBreakBefore w:val="0"/>
              <w:kinsoku/>
              <w:wordWrap/>
              <w:overflowPunct/>
              <w:topLinePunct w:val="0"/>
              <w:bidi w:val="0"/>
              <w:spacing w:line="400" w:lineRule="exact"/>
              <w:outlineLvl w:val="9"/>
              <w:rPr>
                <w:rFonts w:hint="eastAsia" w:ascii="宋体" w:hAnsi="宋体" w:cs="宋体"/>
                <w:color w:val="000000" w:themeColor="text1"/>
                <w:szCs w:val="20"/>
                <w:highlight w:val="none"/>
                <w14:textFill>
                  <w14:solidFill>
                    <w14:schemeClr w14:val="tx1"/>
                  </w14:solidFill>
                </w14:textFill>
              </w:rPr>
            </w:pPr>
          </w:p>
        </w:tc>
        <w:tc>
          <w:tcPr>
            <w:tcW w:w="2552" w:type="dxa"/>
            <w:noWrap w:val="0"/>
            <w:vAlign w:val="center"/>
          </w:tcPr>
          <w:p w14:paraId="489AB2C9">
            <w:pPr>
              <w:pageBreakBefore w:val="0"/>
              <w:kinsoku/>
              <w:wordWrap/>
              <w:overflowPunct/>
              <w:topLinePunct w:val="0"/>
              <w:bidi w:val="0"/>
              <w:spacing w:line="400" w:lineRule="exact"/>
              <w:jc w:val="center"/>
              <w:outlineLvl w:val="9"/>
              <w:rPr>
                <w:rFonts w:hint="eastAsia" w:ascii="宋体" w:hAnsi="宋体" w:cs="宋体"/>
                <w:color w:val="000000" w:themeColor="text1"/>
                <w:szCs w:val="20"/>
                <w:highlight w:val="none"/>
                <w14:textFill>
                  <w14:solidFill>
                    <w14:schemeClr w14:val="tx1"/>
                  </w14:solidFill>
                </w14:textFill>
              </w:rPr>
            </w:pPr>
          </w:p>
        </w:tc>
        <w:tc>
          <w:tcPr>
            <w:tcW w:w="992" w:type="dxa"/>
            <w:noWrap w:val="0"/>
            <w:vAlign w:val="center"/>
          </w:tcPr>
          <w:p w14:paraId="58C33D0A">
            <w:pPr>
              <w:pageBreakBefore w:val="0"/>
              <w:kinsoku/>
              <w:wordWrap/>
              <w:overflowPunct/>
              <w:topLinePunct w:val="0"/>
              <w:bidi w:val="0"/>
              <w:spacing w:line="400" w:lineRule="exact"/>
              <w:jc w:val="center"/>
              <w:outlineLvl w:val="9"/>
              <w:rPr>
                <w:rFonts w:hint="eastAsia" w:ascii="宋体" w:hAnsi="宋体" w:cs="宋体"/>
                <w:color w:val="000000" w:themeColor="text1"/>
                <w:szCs w:val="20"/>
                <w:highlight w:val="none"/>
                <w14:textFill>
                  <w14:solidFill>
                    <w14:schemeClr w14:val="tx1"/>
                  </w14:solidFill>
                </w14:textFill>
              </w:rPr>
            </w:pPr>
          </w:p>
        </w:tc>
        <w:tc>
          <w:tcPr>
            <w:tcW w:w="1007" w:type="dxa"/>
            <w:noWrap w:val="0"/>
            <w:vAlign w:val="center"/>
          </w:tcPr>
          <w:p w14:paraId="4F6045D3">
            <w:pPr>
              <w:pageBreakBefore w:val="0"/>
              <w:kinsoku/>
              <w:wordWrap/>
              <w:overflowPunct/>
              <w:topLinePunct w:val="0"/>
              <w:bidi w:val="0"/>
              <w:spacing w:line="400" w:lineRule="exact"/>
              <w:jc w:val="center"/>
              <w:outlineLvl w:val="9"/>
              <w:rPr>
                <w:rFonts w:hint="eastAsia" w:ascii="宋体" w:hAnsi="宋体" w:cs="宋体"/>
                <w:color w:val="000000" w:themeColor="text1"/>
                <w:szCs w:val="20"/>
                <w:highlight w:val="none"/>
                <w14:textFill>
                  <w14:solidFill>
                    <w14:schemeClr w14:val="tx1"/>
                  </w14:solidFill>
                </w14:textFill>
              </w:rPr>
            </w:pPr>
          </w:p>
        </w:tc>
      </w:tr>
      <w:tr w14:paraId="2304B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76" w:type="dxa"/>
            <w:vMerge w:val="continue"/>
            <w:noWrap w:val="0"/>
            <w:vAlign w:val="center"/>
          </w:tcPr>
          <w:p w14:paraId="25333F00">
            <w:pPr>
              <w:pageBreakBefore w:val="0"/>
              <w:kinsoku/>
              <w:wordWrap/>
              <w:overflowPunct/>
              <w:topLinePunct w:val="0"/>
              <w:bidi w:val="0"/>
              <w:spacing w:line="360" w:lineRule="exact"/>
              <w:jc w:val="center"/>
              <w:outlineLvl w:val="9"/>
              <w:rPr>
                <w:rFonts w:hint="eastAsia" w:ascii="宋体" w:hAnsi="宋体" w:cs="宋体"/>
                <w:color w:val="000000" w:themeColor="text1"/>
                <w:szCs w:val="21"/>
                <w:highlight w:val="none"/>
                <w14:textFill>
                  <w14:solidFill>
                    <w14:schemeClr w14:val="tx1"/>
                  </w14:solidFill>
                </w14:textFill>
              </w:rPr>
            </w:pPr>
          </w:p>
        </w:tc>
        <w:tc>
          <w:tcPr>
            <w:tcW w:w="1985" w:type="dxa"/>
            <w:noWrap w:val="0"/>
            <w:vAlign w:val="center"/>
          </w:tcPr>
          <w:p w14:paraId="6A252CD3">
            <w:pPr>
              <w:pageBreakBefore w:val="0"/>
              <w:kinsoku/>
              <w:wordWrap/>
              <w:overflowPunct/>
              <w:topLinePunct w:val="0"/>
              <w:bidi w:val="0"/>
              <w:spacing w:line="360" w:lineRule="exact"/>
              <w:outlineLvl w:val="9"/>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4、服务要求</w:t>
            </w:r>
          </w:p>
        </w:tc>
        <w:tc>
          <w:tcPr>
            <w:tcW w:w="1984" w:type="dxa"/>
            <w:noWrap w:val="0"/>
            <w:vAlign w:val="center"/>
          </w:tcPr>
          <w:p w14:paraId="19D6E722">
            <w:pPr>
              <w:pageBreakBefore w:val="0"/>
              <w:kinsoku/>
              <w:wordWrap/>
              <w:overflowPunct/>
              <w:topLinePunct w:val="0"/>
              <w:bidi w:val="0"/>
              <w:spacing w:line="400" w:lineRule="exact"/>
              <w:outlineLvl w:val="9"/>
              <w:rPr>
                <w:rFonts w:hint="eastAsia" w:ascii="宋体" w:hAnsi="宋体" w:cs="宋体"/>
                <w:color w:val="000000" w:themeColor="text1"/>
                <w:szCs w:val="20"/>
                <w:highlight w:val="none"/>
                <w14:textFill>
                  <w14:solidFill>
                    <w14:schemeClr w14:val="tx1"/>
                  </w14:solidFill>
                </w14:textFill>
              </w:rPr>
            </w:pPr>
          </w:p>
        </w:tc>
        <w:tc>
          <w:tcPr>
            <w:tcW w:w="2552" w:type="dxa"/>
            <w:noWrap w:val="0"/>
            <w:vAlign w:val="center"/>
          </w:tcPr>
          <w:p w14:paraId="06BF13E7">
            <w:pPr>
              <w:pageBreakBefore w:val="0"/>
              <w:kinsoku/>
              <w:wordWrap/>
              <w:overflowPunct/>
              <w:topLinePunct w:val="0"/>
              <w:bidi w:val="0"/>
              <w:spacing w:line="400" w:lineRule="exact"/>
              <w:jc w:val="center"/>
              <w:outlineLvl w:val="9"/>
              <w:rPr>
                <w:rFonts w:hint="eastAsia" w:ascii="宋体" w:hAnsi="宋体" w:cs="宋体"/>
                <w:color w:val="000000" w:themeColor="text1"/>
                <w:szCs w:val="20"/>
                <w:highlight w:val="none"/>
                <w14:textFill>
                  <w14:solidFill>
                    <w14:schemeClr w14:val="tx1"/>
                  </w14:solidFill>
                </w14:textFill>
              </w:rPr>
            </w:pPr>
          </w:p>
        </w:tc>
        <w:tc>
          <w:tcPr>
            <w:tcW w:w="992" w:type="dxa"/>
            <w:noWrap w:val="0"/>
            <w:vAlign w:val="center"/>
          </w:tcPr>
          <w:p w14:paraId="1031BA59">
            <w:pPr>
              <w:pageBreakBefore w:val="0"/>
              <w:kinsoku/>
              <w:wordWrap/>
              <w:overflowPunct/>
              <w:topLinePunct w:val="0"/>
              <w:bidi w:val="0"/>
              <w:spacing w:line="400" w:lineRule="exact"/>
              <w:jc w:val="center"/>
              <w:outlineLvl w:val="9"/>
              <w:rPr>
                <w:rFonts w:hint="eastAsia" w:ascii="宋体" w:hAnsi="宋体" w:cs="宋体"/>
                <w:color w:val="000000" w:themeColor="text1"/>
                <w:szCs w:val="20"/>
                <w:highlight w:val="none"/>
                <w14:textFill>
                  <w14:solidFill>
                    <w14:schemeClr w14:val="tx1"/>
                  </w14:solidFill>
                </w14:textFill>
              </w:rPr>
            </w:pPr>
          </w:p>
        </w:tc>
        <w:tc>
          <w:tcPr>
            <w:tcW w:w="1007" w:type="dxa"/>
            <w:noWrap w:val="0"/>
            <w:vAlign w:val="center"/>
          </w:tcPr>
          <w:p w14:paraId="65C338FE">
            <w:pPr>
              <w:pageBreakBefore w:val="0"/>
              <w:kinsoku/>
              <w:wordWrap/>
              <w:overflowPunct/>
              <w:topLinePunct w:val="0"/>
              <w:bidi w:val="0"/>
              <w:spacing w:line="400" w:lineRule="exact"/>
              <w:jc w:val="center"/>
              <w:outlineLvl w:val="9"/>
              <w:rPr>
                <w:rFonts w:hint="eastAsia" w:ascii="宋体" w:hAnsi="宋体" w:cs="宋体"/>
                <w:color w:val="000000" w:themeColor="text1"/>
                <w:szCs w:val="20"/>
                <w:highlight w:val="none"/>
                <w14:textFill>
                  <w14:solidFill>
                    <w14:schemeClr w14:val="tx1"/>
                  </w14:solidFill>
                </w14:textFill>
              </w:rPr>
            </w:pPr>
          </w:p>
        </w:tc>
      </w:tr>
    </w:tbl>
    <w:p w14:paraId="3E7CDAF3">
      <w:pPr>
        <w:pStyle w:val="17"/>
        <w:pageBreakBefore w:val="0"/>
        <w:kinsoku/>
        <w:wordWrap/>
        <w:overflowPunct/>
        <w:topLinePunct w:val="0"/>
        <w:bidi w:val="0"/>
        <w:outlineLvl w:val="9"/>
        <w:rPr>
          <w:color w:val="000000" w:themeColor="text1"/>
          <w:highlight w:val="none"/>
          <w14:textFill>
            <w14:solidFill>
              <w14:schemeClr w14:val="tx1"/>
            </w14:solidFill>
          </w14:textFill>
        </w:rPr>
      </w:pPr>
    </w:p>
    <w:p w14:paraId="1C86AB19">
      <w:pPr>
        <w:pStyle w:val="17"/>
        <w:pageBreakBefore w:val="0"/>
        <w:kinsoku/>
        <w:wordWrap/>
        <w:overflowPunct/>
        <w:topLinePunct w:val="0"/>
        <w:bidi w:val="0"/>
        <w:spacing w:line="300" w:lineRule="exact"/>
        <w:ind w:firstLine="3465" w:firstLineChars="1650"/>
        <w:outlineLvl w:val="9"/>
        <w:rPr>
          <w:rFonts w:hint="eastAsia"/>
          <w:color w:val="000000" w:themeColor="text1"/>
          <w:highlight w:val="none"/>
          <w14:textFill>
            <w14:solidFill>
              <w14:schemeClr w14:val="tx1"/>
            </w14:solidFill>
          </w14:textFill>
        </w:rPr>
      </w:pPr>
    </w:p>
    <w:p w14:paraId="2B76FF82">
      <w:pPr>
        <w:pStyle w:val="17"/>
        <w:pageBreakBefore w:val="0"/>
        <w:kinsoku/>
        <w:wordWrap/>
        <w:overflowPunct/>
        <w:topLinePunct w:val="0"/>
        <w:bidi w:val="0"/>
        <w:spacing w:line="360" w:lineRule="exact"/>
        <w:jc w:val="right"/>
        <w:outlineLvl w:val="9"/>
        <w:rPr>
          <w:rFonts w:hint="eastAsia"/>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投标人名称（并加盖投标人CA证书电子签章，自然人除外）</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2A9757AB">
      <w:pPr>
        <w:pStyle w:val="17"/>
        <w:pageBreakBefore w:val="0"/>
        <w:kinsoku/>
        <w:wordWrap/>
        <w:overflowPunct/>
        <w:topLinePunct w:val="0"/>
        <w:bidi w:val="0"/>
        <w:spacing w:line="360" w:lineRule="exact"/>
        <w:ind w:firstLine="6930" w:firstLineChars="3300"/>
        <w:outlineLvl w:val="9"/>
        <w:rPr>
          <w:rFonts w:hint="eastAsia" w:hAnsi="宋体"/>
          <w:bCs/>
          <w:color w:val="000000" w:themeColor="text1"/>
          <w:szCs w:val="21"/>
          <w:highlight w:val="none"/>
          <w14:textFill>
            <w14:solidFill>
              <w14:schemeClr w14:val="tx1"/>
            </w14:solidFill>
          </w14:textFill>
        </w:rPr>
      </w:pPr>
      <w:r>
        <w:rPr>
          <w:rFonts w:hint="eastAsia" w:hAnsi="宋体"/>
          <w:bCs/>
          <w:color w:val="000000" w:themeColor="text1"/>
          <w:szCs w:val="21"/>
          <w:highlight w:val="none"/>
          <w14:textFill>
            <w14:solidFill>
              <w14:schemeClr w14:val="tx1"/>
            </w14:solidFill>
          </w14:textFill>
        </w:rPr>
        <w:t>日期：</w:t>
      </w:r>
      <w:r>
        <w:rPr>
          <w:rFonts w:hint="eastAsia" w:hAnsi="宋体"/>
          <w:bCs/>
          <w:color w:val="000000" w:themeColor="text1"/>
          <w:szCs w:val="21"/>
          <w:highlight w:val="none"/>
          <w:u w:val="single"/>
          <w14:textFill>
            <w14:solidFill>
              <w14:schemeClr w14:val="tx1"/>
            </w14:solidFill>
          </w14:textFill>
        </w:rPr>
        <w:t xml:space="preserve">                ；</w:t>
      </w:r>
    </w:p>
    <w:p w14:paraId="26BA6BB5">
      <w:pPr>
        <w:pageBreakBefore w:val="0"/>
        <w:widowControl/>
        <w:kinsoku/>
        <w:wordWrap/>
        <w:overflowPunct/>
        <w:topLinePunct w:val="0"/>
        <w:bidi w:val="0"/>
        <w:spacing w:line="300" w:lineRule="exact"/>
        <w:jc w:val="left"/>
        <w:outlineLvl w:val="9"/>
        <w:rPr>
          <w:rFonts w:hint="eastAsia"/>
          <w:color w:val="000000" w:themeColor="text1"/>
          <w:highlight w:val="none"/>
          <w14:textFill>
            <w14:solidFill>
              <w14:schemeClr w14:val="tx1"/>
            </w14:solidFill>
          </w14:textFill>
        </w:rPr>
      </w:pPr>
    </w:p>
    <w:p w14:paraId="033C75BC">
      <w:pPr>
        <w:pStyle w:val="17"/>
        <w:pageBreakBefore w:val="0"/>
        <w:kinsoku/>
        <w:wordWrap/>
        <w:overflowPunct/>
        <w:topLinePunct w:val="0"/>
        <w:bidi w:val="0"/>
        <w:spacing w:line="360" w:lineRule="auto"/>
        <w:outlineLvl w:val="9"/>
        <w:rPr>
          <w:rFonts w:hint="eastAsia" w:hAnsi="宋体"/>
          <w:b/>
          <w:bCs/>
          <w:color w:val="000000" w:themeColor="text1"/>
          <w:szCs w:val="21"/>
          <w:highlight w:val="none"/>
          <w14:textFill>
            <w14:solidFill>
              <w14:schemeClr w14:val="tx1"/>
            </w14:solidFill>
          </w14:textFill>
        </w:rPr>
      </w:pPr>
      <w:r>
        <w:rPr>
          <w:rFonts w:hint="eastAsia" w:hAnsi="宋体"/>
          <w:b/>
          <w:bCs/>
          <w:color w:val="000000" w:themeColor="text1"/>
          <w:szCs w:val="21"/>
          <w:highlight w:val="none"/>
          <w14:textFill>
            <w14:solidFill>
              <w14:schemeClr w14:val="tx1"/>
            </w14:solidFill>
          </w14:textFill>
        </w:rPr>
        <w:t>注：（1）投标人应对照《服务采购需求》表第一条“服务内容及要求” 中的内容在本表的“投标文件的响应情况（对服务内容及要求的承诺）”栏中进行逐条内容响应，并在“响应偏离情况”栏注明无偏离、正偏离、负偏离，当出现“正偏离”情况时应对应填写偏离情况说明。</w:t>
      </w:r>
    </w:p>
    <w:p w14:paraId="2828A2D5">
      <w:pPr>
        <w:pStyle w:val="17"/>
        <w:pageBreakBefore w:val="0"/>
        <w:kinsoku/>
        <w:wordWrap/>
        <w:overflowPunct/>
        <w:topLinePunct w:val="0"/>
        <w:bidi w:val="0"/>
        <w:spacing w:line="360" w:lineRule="auto"/>
        <w:outlineLvl w:val="9"/>
        <w:rPr>
          <w:rFonts w:hint="eastAsia" w:hAnsi="宋体"/>
          <w:b/>
          <w:bCs/>
          <w:color w:val="000000" w:themeColor="text1"/>
          <w:szCs w:val="21"/>
          <w:highlight w:val="none"/>
          <w14:textFill>
            <w14:solidFill>
              <w14:schemeClr w14:val="tx1"/>
            </w14:solidFill>
          </w14:textFill>
        </w:rPr>
      </w:pPr>
      <w:r>
        <w:rPr>
          <w:rFonts w:hint="eastAsia" w:hAnsi="宋体"/>
          <w:b/>
          <w:bCs/>
          <w:color w:val="000000" w:themeColor="text1"/>
          <w:szCs w:val="21"/>
          <w:highlight w:val="none"/>
          <w14:textFill>
            <w14:solidFill>
              <w14:schemeClr w14:val="tx1"/>
            </w14:solidFill>
          </w14:textFill>
        </w:rPr>
        <w:t>（2）服务内容及要求响应表须加盖投标人公章（CA证书签章，自然人除外）；当本表由多页构成时，需逐页加盖投标人公章（CA证书签章，自然人签字或个人CA签章）。</w:t>
      </w:r>
    </w:p>
    <w:p w14:paraId="49F3937F">
      <w:pPr>
        <w:pageBreakBefore w:val="0"/>
        <w:kinsoku/>
        <w:wordWrap/>
        <w:overflowPunct/>
        <w:topLinePunct w:val="0"/>
        <w:bidi w:val="0"/>
        <w:spacing w:line="300" w:lineRule="exact"/>
        <w:ind w:firstLine="210" w:firstLineChars="100"/>
        <w:outlineLvl w:val="9"/>
        <w:rPr>
          <w:rFonts w:hint="eastAsia"/>
          <w:color w:val="000000" w:themeColor="text1"/>
          <w:highlight w:val="none"/>
          <w14:textFill>
            <w14:solidFill>
              <w14:schemeClr w14:val="tx1"/>
            </w14:solidFill>
          </w14:textFill>
        </w:rPr>
      </w:pPr>
    </w:p>
    <w:p w14:paraId="1B4437D9">
      <w:pPr>
        <w:pageBreakBefore w:val="0"/>
        <w:kinsoku/>
        <w:wordWrap/>
        <w:overflowPunct/>
        <w:topLinePunct w:val="0"/>
        <w:bidi w:val="0"/>
        <w:outlineLvl w:val="9"/>
        <w:rPr>
          <w:rFonts w:hint="eastAsia" w:ascii="宋体" w:hAnsi="宋体" w:cs="宋体"/>
          <w:b/>
          <w:bCs/>
          <w:color w:val="000000" w:themeColor="text1"/>
          <w:sz w:val="32"/>
          <w:szCs w:val="32"/>
          <w:highlight w:val="none"/>
          <w:lang w:val="en-US" w:eastAsia="zh-CN"/>
          <w14:textFill>
            <w14:solidFill>
              <w14:schemeClr w14:val="tx1"/>
            </w14:solidFill>
          </w14:textFill>
        </w:rPr>
      </w:pPr>
    </w:p>
    <w:p w14:paraId="78E7FF97">
      <w:pPr>
        <w:pageBreakBefore w:val="0"/>
        <w:kinsoku/>
        <w:wordWrap/>
        <w:overflowPunct/>
        <w:topLinePunct w:val="0"/>
        <w:bidi w:val="0"/>
        <w:outlineLvl w:val="9"/>
        <w:rPr>
          <w:rFonts w:hint="eastAsia" w:ascii="宋体" w:hAnsi="宋体" w:cs="宋体"/>
          <w:b/>
          <w:bCs/>
          <w:color w:val="000000" w:themeColor="text1"/>
          <w:sz w:val="32"/>
          <w:szCs w:val="32"/>
          <w:highlight w:val="none"/>
          <w:lang w:val="en-US" w:eastAsia="zh-CN"/>
          <w14:textFill>
            <w14:solidFill>
              <w14:schemeClr w14:val="tx1"/>
            </w14:solidFill>
          </w14:textFill>
        </w:rPr>
      </w:pPr>
    </w:p>
    <w:p w14:paraId="57EE5D15">
      <w:pPr>
        <w:pageBreakBefore w:val="0"/>
        <w:kinsoku/>
        <w:wordWrap/>
        <w:overflowPunct/>
        <w:topLinePunct w:val="0"/>
        <w:bidi w:val="0"/>
        <w:outlineLvl w:val="9"/>
        <w:rPr>
          <w:rFonts w:hint="eastAsia" w:ascii="宋体" w:hAnsi="宋体" w:cs="宋体"/>
          <w:b/>
          <w:bCs/>
          <w:color w:val="000000" w:themeColor="text1"/>
          <w:sz w:val="32"/>
          <w:szCs w:val="32"/>
          <w:highlight w:val="none"/>
          <w:lang w:val="en-US" w:eastAsia="zh-CN"/>
          <w14:textFill>
            <w14:solidFill>
              <w14:schemeClr w14:val="tx1"/>
            </w14:solidFill>
          </w14:textFill>
        </w:rPr>
      </w:pPr>
    </w:p>
    <w:p w14:paraId="7C44198C">
      <w:pPr>
        <w:pageBreakBefore w:val="0"/>
        <w:kinsoku/>
        <w:wordWrap/>
        <w:overflowPunct/>
        <w:topLinePunct w:val="0"/>
        <w:bidi w:val="0"/>
        <w:outlineLvl w:val="9"/>
        <w:rPr>
          <w:rFonts w:hint="eastAsia" w:ascii="宋体" w:hAnsi="宋体" w:cs="宋体"/>
          <w:b/>
          <w:bCs/>
          <w:color w:val="000000" w:themeColor="text1"/>
          <w:sz w:val="32"/>
          <w:szCs w:val="32"/>
          <w:highlight w:val="none"/>
          <w:lang w:val="en-US" w:eastAsia="zh-CN"/>
          <w14:textFill>
            <w14:solidFill>
              <w14:schemeClr w14:val="tx1"/>
            </w14:solidFill>
          </w14:textFill>
        </w:rPr>
      </w:pPr>
    </w:p>
    <w:p w14:paraId="3891A382">
      <w:pPr>
        <w:pageBreakBefore w:val="0"/>
        <w:kinsoku/>
        <w:wordWrap/>
        <w:overflowPunct/>
        <w:topLinePunct w:val="0"/>
        <w:bidi w:val="0"/>
        <w:outlineLvl w:val="9"/>
        <w:rPr>
          <w:rFonts w:hint="eastAsia" w:ascii="宋体" w:hAnsi="宋体" w:cs="宋体"/>
          <w:b/>
          <w:bCs/>
          <w:color w:val="000000" w:themeColor="text1"/>
          <w:sz w:val="32"/>
          <w:szCs w:val="32"/>
          <w:highlight w:val="none"/>
          <w:lang w:val="en-US" w:eastAsia="zh-CN"/>
          <w14:textFill>
            <w14:solidFill>
              <w14:schemeClr w14:val="tx1"/>
            </w14:solidFill>
          </w14:textFill>
        </w:rPr>
      </w:pPr>
    </w:p>
    <w:p w14:paraId="511CE67E">
      <w:pPr>
        <w:pageBreakBefore w:val="0"/>
        <w:kinsoku/>
        <w:wordWrap/>
        <w:overflowPunct/>
        <w:topLinePunct w:val="0"/>
        <w:bidi w:val="0"/>
        <w:outlineLvl w:val="9"/>
        <w:rPr>
          <w:rFonts w:hint="eastAsia" w:ascii="宋体" w:hAnsi="宋体" w:cs="宋体"/>
          <w:b/>
          <w:bCs/>
          <w:color w:val="000000" w:themeColor="text1"/>
          <w:sz w:val="32"/>
          <w:szCs w:val="32"/>
          <w:highlight w:val="none"/>
          <w:lang w:val="en-US" w:eastAsia="zh-CN"/>
          <w14:textFill>
            <w14:solidFill>
              <w14:schemeClr w14:val="tx1"/>
            </w14:solidFill>
          </w14:textFill>
        </w:rPr>
      </w:pPr>
    </w:p>
    <w:p w14:paraId="08EC2770">
      <w:pPr>
        <w:pageBreakBefore w:val="0"/>
        <w:kinsoku/>
        <w:wordWrap/>
        <w:overflowPunct/>
        <w:topLinePunct w:val="0"/>
        <w:bidi w:val="0"/>
        <w:outlineLvl w:val="9"/>
        <w:rPr>
          <w:rFonts w:hint="eastAsia" w:ascii="宋体" w:hAnsi="宋体" w:cs="宋体"/>
          <w:b/>
          <w:bCs/>
          <w:color w:val="000000" w:themeColor="text1"/>
          <w:sz w:val="32"/>
          <w:szCs w:val="32"/>
          <w:highlight w:val="none"/>
          <w:lang w:val="en-US" w:eastAsia="zh-CN"/>
          <w14:textFill>
            <w14:solidFill>
              <w14:schemeClr w14:val="tx1"/>
            </w14:solidFill>
          </w14:textFill>
        </w:rPr>
      </w:pPr>
    </w:p>
    <w:p w14:paraId="666D68DA">
      <w:pPr>
        <w:pageBreakBefore w:val="0"/>
        <w:kinsoku/>
        <w:wordWrap/>
        <w:overflowPunct/>
        <w:topLinePunct w:val="0"/>
        <w:bidi w:val="0"/>
        <w:outlineLvl w:val="9"/>
        <w:rPr>
          <w:rFonts w:hint="eastAsia" w:ascii="宋体" w:hAnsi="宋体" w:cs="宋体"/>
          <w:b/>
          <w:bCs/>
          <w:color w:val="000000" w:themeColor="text1"/>
          <w:sz w:val="32"/>
          <w:szCs w:val="32"/>
          <w:highlight w:val="none"/>
          <w:lang w:val="en-US" w:eastAsia="zh-CN"/>
          <w14:textFill>
            <w14:solidFill>
              <w14:schemeClr w14:val="tx1"/>
            </w14:solidFill>
          </w14:textFill>
        </w:rPr>
      </w:pPr>
    </w:p>
    <w:p w14:paraId="4CC2D218">
      <w:pPr>
        <w:pageBreakBefore w:val="0"/>
        <w:kinsoku/>
        <w:wordWrap/>
        <w:overflowPunct/>
        <w:topLinePunct w:val="0"/>
        <w:bidi w:val="0"/>
        <w:outlineLvl w:val="9"/>
        <w:rPr>
          <w:rFonts w:hint="eastAsia" w:ascii="宋体" w:hAnsi="宋体" w:cs="宋体"/>
          <w:b/>
          <w:bCs/>
          <w:color w:val="000000" w:themeColor="text1"/>
          <w:sz w:val="32"/>
          <w:szCs w:val="32"/>
          <w:highlight w:val="none"/>
          <w:lang w:val="en-US" w:eastAsia="zh-CN"/>
          <w14:textFill>
            <w14:solidFill>
              <w14:schemeClr w14:val="tx1"/>
            </w14:solidFill>
          </w14:textFill>
        </w:rPr>
      </w:pPr>
    </w:p>
    <w:p w14:paraId="0DD2BEDB">
      <w:pPr>
        <w:pageBreakBefore w:val="0"/>
        <w:kinsoku/>
        <w:wordWrap/>
        <w:overflowPunct/>
        <w:topLinePunct w:val="0"/>
        <w:bidi w:val="0"/>
        <w:outlineLvl w:val="9"/>
        <w:rPr>
          <w:rFonts w:hint="eastAsia" w:ascii="宋体" w:hAnsi="宋体" w:cs="宋体"/>
          <w:b/>
          <w:bCs/>
          <w:color w:val="000000" w:themeColor="text1"/>
          <w:sz w:val="32"/>
          <w:szCs w:val="32"/>
          <w:highlight w:val="none"/>
          <w:lang w:val="en-US" w:eastAsia="zh-CN"/>
          <w14:textFill>
            <w14:solidFill>
              <w14:schemeClr w14:val="tx1"/>
            </w14:solidFill>
          </w14:textFill>
        </w:rPr>
      </w:pPr>
    </w:p>
    <w:p w14:paraId="36097306">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4</w:t>
      </w:r>
      <w:r>
        <w:rPr>
          <w:rFonts w:hint="eastAsia" w:ascii="宋体" w:hAnsi="宋体" w:cs="宋体"/>
          <w:b/>
          <w:bCs/>
          <w:color w:val="000000" w:themeColor="text1"/>
          <w:sz w:val="32"/>
          <w:szCs w:val="32"/>
          <w:highlight w:val="none"/>
          <w14:textFill>
            <w14:solidFill>
              <w14:schemeClr w14:val="tx1"/>
            </w14:solidFill>
          </w14:textFill>
        </w:rPr>
        <w:t>.商务</w:t>
      </w:r>
      <w:r>
        <w:rPr>
          <w:rFonts w:hint="eastAsia" w:ascii="宋体" w:hAnsi="宋体" w:cs="宋体"/>
          <w:b/>
          <w:bCs/>
          <w:color w:val="000000" w:themeColor="text1"/>
          <w:sz w:val="32"/>
          <w:szCs w:val="32"/>
          <w:highlight w:val="none"/>
          <w:lang w:val="en-US" w:eastAsia="zh-CN"/>
          <w14:textFill>
            <w14:solidFill>
              <w14:schemeClr w14:val="tx1"/>
            </w14:solidFill>
          </w14:textFill>
        </w:rPr>
        <w:t>要求</w:t>
      </w:r>
      <w:r>
        <w:rPr>
          <w:rFonts w:hint="eastAsia" w:ascii="宋体" w:hAnsi="宋体" w:cs="宋体"/>
          <w:b/>
          <w:bCs/>
          <w:color w:val="000000" w:themeColor="text1"/>
          <w:sz w:val="32"/>
          <w:szCs w:val="32"/>
          <w:highlight w:val="none"/>
          <w14:textFill>
            <w14:solidFill>
              <w14:schemeClr w14:val="tx1"/>
            </w14:solidFill>
          </w14:textFill>
        </w:rPr>
        <w:t>响应表（格式见附件）（必须提供）</w:t>
      </w:r>
      <w:bookmarkEnd w:id="331"/>
    </w:p>
    <w:p w14:paraId="238E82E6">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附件：</w:t>
      </w:r>
    </w:p>
    <w:p w14:paraId="2D40839A">
      <w:pPr>
        <w:pageBreakBefore w:val="0"/>
        <w:kinsoku/>
        <w:wordWrap/>
        <w:overflowPunct/>
        <w:topLinePunct w:val="0"/>
        <w:bidi w:val="0"/>
        <w:jc w:val="center"/>
        <w:outlineLvl w:val="9"/>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商务</w:t>
      </w:r>
      <w:r>
        <w:rPr>
          <w:rFonts w:hint="eastAsia" w:ascii="宋体" w:hAnsi="宋体" w:cs="宋体"/>
          <w:b/>
          <w:bCs/>
          <w:color w:val="000000" w:themeColor="text1"/>
          <w:sz w:val="32"/>
          <w:szCs w:val="32"/>
          <w:highlight w:val="none"/>
          <w:lang w:val="en-US" w:eastAsia="zh-CN"/>
          <w14:textFill>
            <w14:solidFill>
              <w14:schemeClr w14:val="tx1"/>
            </w14:solidFill>
          </w14:textFill>
        </w:rPr>
        <w:t>要求</w:t>
      </w:r>
      <w:r>
        <w:rPr>
          <w:rFonts w:hint="eastAsia" w:ascii="宋体" w:hAnsi="宋体" w:cs="宋体"/>
          <w:b/>
          <w:bCs/>
          <w:color w:val="000000" w:themeColor="text1"/>
          <w:sz w:val="32"/>
          <w:szCs w:val="32"/>
          <w:highlight w:val="none"/>
          <w14:textFill>
            <w14:solidFill>
              <w14:schemeClr w14:val="tx1"/>
            </w14:solidFill>
          </w14:textFill>
        </w:rPr>
        <w:t>响应表（格式）</w:t>
      </w:r>
    </w:p>
    <w:p w14:paraId="1F0580D1">
      <w:pPr>
        <w:pStyle w:val="49"/>
        <w:pageBreakBefore w:val="0"/>
        <w:kinsoku/>
        <w:wordWrap/>
        <w:overflowPunct/>
        <w:topLinePunct w:val="0"/>
        <w:bidi w:val="0"/>
        <w:outlineLvl w:val="9"/>
        <w:rPr>
          <w:color w:val="000000" w:themeColor="text1"/>
          <w:highlight w:val="none"/>
          <w14:textFill>
            <w14:solidFill>
              <w14:schemeClr w14:val="tx1"/>
            </w14:solidFill>
          </w14:textFill>
        </w:rPr>
      </w:pPr>
    </w:p>
    <w:tbl>
      <w:tblPr>
        <w:tblStyle w:val="3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3"/>
        <w:gridCol w:w="1602"/>
        <w:gridCol w:w="2250"/>
        <w:gridCol w:w="2604"/>
        <w:gridCol w:w="2162"/>
      </w:tblGrid>
      <w:tr w14:paraId="6F708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163" w:type="dxa"/>
            <w:tcBorders>
              <w:top w:val="single" w:color="auto" w:sz="4" w:space="0"/>
              <w:left w:val="single" w:color="auto" w:sz="4" w:space="0"/>
              <w:bottom w:val="single" w:color="auto" w:sz="4" w:space="0"/>
              <w:right w:val="single" w:color="auto" w:sz="4" w:space="0"/>
            </w:tcBorders>
            <w:shd w:val="clear" w:color="auto" w:fill="8DB3E2"/>
            <w:vAlign w:val="center"/>
          </w:tcPr>
          <w:p w14:paraId="312B8B8C">
            <w:pPr>
              <w:pageBreakBefore w:val="0"/>
              <w:kinsoku/>
              <w:wordWrap/>
              <w:overflowPunct/>
              <w:topLinePunct w:val="0"/>
              <w:bidi w:val="0"/>
              <w:snapToGrid w:val="0"/>
              <w:spacing w:line="360" w:lineRule="exact"/>
              <w:jc w:val="center"/>
              <w:outlineLvl w:val="9"/>
              <w:rPr>
                <w:rFonts w:hint="eastAsia" w:ascii="宋体" w:hAnsi="宋体" w:eastAsia="宋体" w:cs="宋体"/>
                <w:b/>
                <w:bCs/>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序号</w:t>
            </w:r>
          </w:p>
        </w:tc>
        <w:tc>
          <w:tcPr>
            <w:tcW w:w="1602" w:type="dxa"/>
            <w:tcBorders>
              <w:top w:val="single" w:color="auto" w:sz="4" w:space="0"/>
              <w:left w:val="single" w:color="auto" w:sz="4" w:space="0"/>
              <w:bottom w:val="single" w:color="auto" w:sz="4" w:space="0"/>
              <w:right w:val="single" w:color="auto" w:sz="4" w:space="0"/>
            </w:tcBorders>
            <w:shd w:val="clear" w:color="auto" w:fill="8DB3E2"/>
            <w:vAlign w:val="center"/>
          </w:tcPr>
          <w:p w14:paraId="6E95477C">
            <w:pPr>
              <w:pStyle w:val="17"/>
              <w:pageBreakBefore w:val="0"/>
              <w:kinsoku/>
              <w:wordWrap/>
              <w:overflowPunct/>
              <w:topLinePunct w:val="0"/>
              <w:bidi w:val="0"/>
              <w:spacing w:line="360" w:lineRule="exact"/>
              <w:jc w:val="center"/>
              <w:outlineLvl w:val="9"/>
              <w:rPr>
                <w:rFonts w:hAnsi="宋体" w:cs="宋体"/>
                <w:b/>
                <w:bCs/>
                <w:color w:val="000000" w:themeColor="text1"/>
                <w:highlight w:val="none"/>
                <w14:textFill>
                  <w14:solidFill>
                    <w14:schemeClr w14:val="tx1"/>
                  </w14:solidFill>
                </w14:textFill>
              </w:rPr>
            </w:pPr>
            <w:r>
              <w:rPr>
                <w:rFonts w:hint="eastAsia" w:hAnsi="宋体" w:cs="宋体"/>
                <w:b/>
                <w:bCs/>
                <w:color w:val="000000" w:themeColor="text1"/>
                <w:szCs w:val="24"/>
                <w:highlight w:val="none"/>
                <w14:textFill>
                  <w14:solidFill>
                    <w14:schemeClr w14:val="tx1"/>
                  </w14:solidFill>
                </w14:textFill>
              </w:rPr>
              <w:t>招标文件的商务条款</w:t>
            </w:r>
            <w:r>
              <w:rPr>
                <w:rFonts w:hint="eastAsia" w:hAnsi="宋体" w:cs="宋体"/>
                <w:b/>
                <w:bCs/>
                <w:color w:val="000000" w:themeColor="text1"/>
                <w:szCs w:val="24"/>
                <w:highlight w:val="none"/>
                <w:lang w:val="en-US" w:eastAsia="zh-CN"/>
                <w14:textFill>
                  <w14:solidFill>
                    <w14:schemeClr w14:val="tx1"/>
                  </w14:solidFill>
                </w14:textFill>
              </w:rPr>
              <w:t>名称</w:t>
            </w:r>
          </w:p>
        </w:tc>
        <w:tc>
          <w:tcPr>
            <w:tcW w:w="2250" w:type="dxa"/>
            <w:tcBorders>
              <w:top w:val="single" w:color="auto" w:sz="4" w:space="0"/>
              <w:left w:val="single" w:color="auto" w:sz="4" w:space="0"/>
              <w:bottom w:val="single" w:color="auto" w:sz="4" w:space="0"/>
              <w:right w:val="single" w:color="auto" w:sz="4" w:space="0"/>
            </w:tcBorders>
            <w:shd w:val="clear" w:color="auto" w:fill="8DB3E2"/>
            <w:vAlign w:val="center"/>
          </w:tcPr>
          <w:p w14:paraId="7126DFCF">
            <w:pPr>
              <w:pStyle w:val="17"/>
              <w:pageBreakBefore w:val="0"/>
              <w:kinsoku/>
              <w:wordWrap/>
              <w:overflowPunct/>
              <w:topLinePunct w:val="0"/>
              <w:bidi w:val="0"/>
              <w:spacing w:line="360" w:lineRule="exact"/>
              <w:jc w:val="center"/>
              <w:outlineLvl w:val="9"/>
              <w:rPr>
                <w:rFonts w:hint="eastAsia" w:hAnsi="宋体" w:eastAsia="宋体" w:cs="宋体"/>
                <w:b/>
                <w:bCs/>
                <w:color w:val="000000" w:themeColor="text1"/>
                <w:szCs w:val="24"/>
                <w:highlight w:val="none"/>
                <w:lang w:val="en-US" w:eastAsia="zh-CN"/>
                <w14:textFill>
                  <w14:solidFill>
                    <w14:schemeClr w14:val="tx1"/>
                  </w14:solidFill>
                </w14:textFill>
              </w:rPr>
            </w:pPr>
            <w:r>
              <w:rPr>
                <w:rFonts w:hint="eastAsia" w:hAnsi="宋体" w:cs="宋体"/>
                <w:b/>
                <w:bCs/>
                <w:color w:val="000000" w:themeColor="text1"/>
                <w:szCs w:val="24"/>
                <w:highlight w:val="none"/>
                <w14:textFill>
                  <w14:solidFill>
                    <w14:schemeClr w14:val="tx1"/>
                  </w14:solidFill>
                </w14:textFill>
              </w:rPr>
              <w:t>招标文件的商务条款</w:t>
            </w:r>
            <w:r>
              <w:rPr>
                <w:rFonts w:hint="eastAsia" w:hAnsi="宋体" w:cs="宋体"/>
                <w:b/>
                <w:bCs/>
                <w:color w:val="000000" w:themeColor="text1"/>
                <w:szCs w:val="24"/>
                <w:highlight w:val="none"/>
                <w:lang w:val="en-US" w:eastAsia="zh-CN"/>
                <w14:textFill>
                  <w14:solidFill>
                    <w14:schemeClr w14:val="tx1"/>
                  </w14:solidFill>
                </w14:textFill>
              </w:rPr>
              <w:t>要求</w:t>
            </w:r>
          </w:p>
        </w:tc>
        <w:tc>
          <w:tcPr>
            <w:tcW w:w="2604" w:type="dxa"/>
            <w:tcBorders>
              <w:top w:val="single" w:color="auto" w:sz="4" w:space="0"/>
              <w:left w:val="single" w:color="auto" w:sz="4" w:space="0"/>
              <w:bottom w:val="single" w:color="auto" w:sz="4" w:space="0"/>
              <w:right w:val="single" w:color="auto" w:sz="4" w:space="0"/>
            </w:tcBorders>
            <w:shd w:val="clear" w:color="auto" w:fill="8DB3E2"/>
            <w:vAlign w:val="center"/>
          </w:tcPr>
          <w:p w14:paraId="6FE440C7">
            <w:pPr>
              <w:pStyle w:val="17"/>
              <w:pageBreakBefore w:val="0"/>
              <w:kinsoku/>
              <w:wordWrap/>
              <w:overflowPunct/>
              <w:topLinePunct w:val="0"/>
              <w:bidi w:val="0"/>
              <w:spacing w:line="360" w:lineRule="exact"/>
              <w:jc w:val="center"/>
              <w:outlineLvl w:val="9"/>
              <w:rPr>
                <w:rFonts w:hAnsi="宋体" w:cs="宋体"/>
                <w:b/>
                <w:bCs/>
                <w:color w:val="000000" w:themeColor="text1"/>
                <w:highlight w:val="none"/>
                <w14:textFill>
                  <w14:solidFill>
                    <w14:schemeClr w14:val="tx1"/>
                  </w14:solidFill>
                </w14:textFill>
              </w:rPr>
            </w:pPr>
            <w:r>
              <w:rPr>
                <w:rFonts w:hint="eastAsia" w:hAnsi="宋体" w:cs="宋体"/>
                <w:b/>
                <w:bCs/>
                <w:color w:val="000000" w:themeColor="text1"/>
                <w:szCs w:val="24"/>
                <w:highlight w:val="none"/>
                <w14:textFill>
                  <w14:solidFill>
                    <w14:schemeClr w14:val="tx1"/>
                  </w14:solidFill>
                </w14:textFill>
              </w:rPr>
              <w:t>投标文件承诺的商务条款</w:t>
            </w:r>
          </w:p>
        </w:tc>
        <w:tc>
          <w:tcPr>
            <w:tcW w:w="2162" w:type="dxa"/>
            <w:tcBorders>
              <w:top w:val="single" w:color="auto" w:sz="4" w:space="0"/>
              <w:left w:val="single" w:color="auto" w:sz="4" w:space="0"/>
              <w:bottom w:val="single" w:color="auto" w:sz="4" w:space="0"/>
              <w:right w:val="single" w:color="auto" w:sz="4" w:space="0"/>
            </w:tcBorders>
            <w:shd w:val="clear" w:color="auto" w:fill="8DB3E2"/>
            <w:vAlign w:val="center"/>
          </w:tcPr>
          <w:p w14:paraId="2295FF51">
            <w:pPr>
              <w:pStyle w:val="17"/>
              <w:pageBreakBefore w:val="0"/>
              <w:kinsoku/>
              <w:wordWrap/>
              <w:overflowPunct/>
              <w:topLinePunct w:val="0"/>
              <w:bidi w:val="0"/>
              <w:spacing w:line="360" w:lineRule="exact"/>
              <w:jc w:val="center"/>
              <w:outlineLvl w:val="9"/>
              <w:rPr>
                <w:rFonts w:hAnsi="宋体" w:cs="宋体"/>
                <w:b/>
                <w:bCs/>
                <w:color w:val="000000" w:themeColor="text1"/>
                <w:highlight w:val="none"/>
                <w14:textFill>
                  <w14:solidFill>
                    <w14:schemeClr w14:val="tx1"/>
                  </w14:solidFill>
                </w14:textFill>
              </w:rPr>
            </w:pPr>
            <w:r>
              <w:rPr>
                <w:rFonts w:hint="eastAsia" w:hAnsi="宋体" w:cs="宋体"/>
                <w:b/>
                <w:bCs/>
                <w:color w:val="000000" w:themeColor="text1"/>
                <w:szCs w:val="24"/>
                <w:highlight w:val="none"/>
                <w14:textFill>
                  <w14:solidFill>
                    <w14:schemeClr w14:val="tx1"/>
                  </w14:solidFill>
                </w14:textFill>
              </w:rPr>
              <w:t>偏离情况说明</w:t>
            </w:r>
          </w:p>
        </w:tc>
      </w:tr>
      <w:tr w14:paraId="0F1E65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vAlign w:val="center"/>
          </w:tcPr>
          <w:p w14:paraId="4AAAD173">
            <w:pPr>
              <w:pageBreakBefore w:val="0"/>
              <w:kinsoku/>
              <w:wordWrap/>
              <w:overflowPunct/>
              <w:topLinePunct w:val="0"/>
              <w:bidi w:val="0"/>
              <w:snapToGrid w:val="0"/>
              <w:spacing w:before="120" w:beforeLines="50"/>
              <w:jc w:val="center"/>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p>
        </w:tc>
        <w:tc>
          <w:tcPr>
            <w:tcW w:w="1602" w:type="dxa"/>
            <w:tcBorders>
              <w:top w:val="single" w:color="auto" w:sz="4" w:space="0"/>
              <w:left w:val="single" w:color="auto" w:sz="4" w:space="0"/>
              <w:bottom w:val="single" w:color="auto" w:sz="4" w:space="0"/>
              <w:right w:val="single" w:color="auto" w:sz="4" w:space="0"/>
            </w:tcBorders>
            <w:vAlign w:val="center"/>
          </w:tcPr>
          <w:p w14:paraId="16320637">
            <w:pPr>
              <w:pageBreakBefore w:val="0"/>
              <w:kinsoku/>
              <w:wordWrap/>
              <w:overflowPunct/>
              <w:topLinePunct w:val="0"/>
              <w:bidi w:val="0"/>
              <w:snapToGrid w:val="0"/>
              <w:spacing w:before="120" w:beforeLines="50"/>
              <w:jc w:val="center"/>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合同签订时间</w:t>
            </w:r>
          </w:p>
        </w:tc>
        <w:tc>
          <w:tcPr>
            <w:tcW w:w="2250" w:type="dxa"/>
            <w:tcBorders>
              <w:top w:val="single" w:color="auto" w:sz="4" w:space="0"/>
              <w:left w:val="single" w:color="auto" w:sz="4" w:space="0"/>
              <w:bottom w:val="single" w:color="auto" w:sz="4" w:space="0"/>
              <w:right w:val="single" w:color="auto" w:sz="4" w:space="0"/>
            </w:tcBorders>
            <w:vAlign w:val="center"/>
          </w:tcPr>
          <w:p w14:paraId="182532DE">
            <w:pPr>
              <w:pageBreakBefore w:val="0"/>
              <w:kinsoku/>
              <w:wordWrap/>
              <w:overflowPunct/>
              <w:topLinePunct w:val="0"/>
              <w:bidi w:val="0"/>
              <w:snapToGrid w:val="0"/>
              <w:spacing w:before="120" w:beforeLines="50"/>
              <w:jc w:val="center"/>
              <w:outlineLvl w:val="9"/>
              <w:rPr>
                <w:rFonts w:ascii="宋体" w:hAnsi="宋体" w:cs="宋体"/>
                <w:color w:val="000000" w:themeColor="text1"/>
                <w:szCs w:val="21"/>
                <w:highlight w:val="none"/>
                <w14:textFill>
                  <w14:solidFill>
                    <w14:schemeClr w14:val="tx1"/>
                  </w14:solidFill>
                </w14:textFill>
              </w:rPr>
            </w:pPr>
          </w:p>
        </w:tc>
        <w:tc>
          <w:tcPr>
            <w:tcW w:w="2604" w:type="dxa"/>
            <w:tcBorders>
              <w:top w:val="single" w:color="auto" w:sz="4" w:space="0"/>
              <w:left w:val="single" w:color="auto" w:sz="4" w:space="0"/>
              <w:bottom w:val="single" w:color="auto" w:sz="4" w:space="0"/>
              <w:right w:val="single" w:color="auto" w:sz="4" w:space="0"/>
            </w:tcBorders>
            <w:vAlign w:val="center"/>
          </w:tcPr>
          <w:p w14:paraId="661D1BAE">
            <w:pPr>
              <w:pageBreakBefore w:val="0"/>
              <w:kinsoku/>
              <w:wordWrap/>
              <w:overflowPunct/>
              <w:topLinePunct w:val="0"/>
              <w:bidi w:val="0"/>
              <w:snapToGrid w:val="0"/>
              <w:spacing w:before="120" w:beforeLines="50"/>
              <w:jc w:val="center"/>
              <w:outlineLvl w:val="9"/>
              <w:rPr>
                <w:rFonts w:ascii="宋体" w:hAnsi="宋体" w:cs="宋体"/>
                <w:color w:val="000000" w:themeColor="text1"/>
                <w:szCs w:val="21"/>
                <w:highlight w:val="none"/>
                <w14:textFill>
                  <w14:solidFill>
                    <w14:schemeClr w14:val="tx1"/>
                  </w14:solidFill>
                </w14:textFill>
              </w:rPr>
            </w:pPr>
          </w:p>
        </w:tc>
        <w:tc>
          <w:tcPr>
            <w:tcW w:w="2162" w:type="dxa"/>
            <w:tcBorders>
              <w:top w:val="single" w:color="auto" w:sz="4" w:space="0"/>
              <w:left w:val="single" w:color="auto" w:sz="4" w:space="0"/>
              <w:bottom w:val="single" w:color="auto" w:sz="4" w:space="0"/>
              <w:right w:val="single" w:color="auto" w:sz="4" w:space="0"/>
            </w:tcBorders>
            <w:vAlign w:val="center"/>
          </w:tcPr>
          <w:p w14:paraId="05BBC26C">
            <w:pPr>
              <w:pageBreakBefore w:val="0"/>
              <w:kinsoku/>
              <w:wordWrap/>
              <w:overflowPunct/>
              <w:topLinePunct w:val="0"/>
              <w:bidi w:val="0"/>
              <w:snapToGrid w:val="0"/>
              <w:spacing w:before="120" w:beforeLines="50"/>
              <w:jc w:val="center"/>
              <w:outlineLvl w:val="9"/>
              <w:rPr>
                <w:rFonts w:ascii="宋体" w:hAnsi="宋体" w:cs="宋体"/>
                <w:color w:val="000000" w:themeColor="text1"/>
                <w:szCs w:val="21"/>
                <w:highlight w:val="none"/>
                <w14:textFill>
                  <w14:solidFill>
                    <w14:schemeClr w14:val="tx1"/>
                  </w14:solidFill>
                </w14:textFill>
              </w:rPr>
            </w:pPr>
          </w:p>
        </w:tc>
      </w:tr>
      <w:tr w14:paraId="49130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163" w:type="dxa"/>
            <w:tcBorders>
              <w:top w:val="single" w:color="auto" w:sz="4" w:space="0"/>
              <w:left w:val="single" w:color="auto" w:sz="4" w:space="0"/>
              <w:bottom w:val="single" w:color="auto" w:sz="4" w:space="0"/>
              <w:right w:val="single" w:color="auto" w:sz="4" w:space="0"/>
            </w:tcBorders>
            <w:vAlign w:val="center"/>
          </w:tcPr>
          <w:p w14:paraId="1C24F4CA">
            <w:pPr>
              <w:pageBreakBefore w:val="0"/>
              <w:kinsoku/>
              <w:wordWrap/>
              <w:overflowPunct/>
              <w:topLinePunct w:val="0"/>
              <w:bidi w:val="0"/>
              <w:snapToGrid w:val="0"/>
              <w:spacing w:before="120" w:beforeLines="50"/>
              <w:jc w:val="center"/>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p>
        </w:tc>
        <w:tc>
          <w:tcPr>
            <w:tcW w:w="1602" w:type="dxa"/>
            <w:tcBorders>
              <w:top w:val="single" w:color="auto" w:sz="4" w:space="0"/>
              <w:left w:val="single" w:color="auto" w:sz="4" w:space="0"/>
              <w:bottom w:val="single" w:color="auto" w:sz="4" w:space="0"/>
              <w:right w:val="single" w:color="auto" w:sz="4" w:space="0"/>
            </w:tcBorders>
            <w:vAlign w:val="center"/>
          </w:tcPr>
          <w:p w14:paraId="50CFB117">
            <w:pPr>
              <w:pageBreakBefore w:val="0"/>
              <w:kinsoku/>
              <w:wordWrap/>
              <w:overflowPunct/>
              <w:topLinePunct w:val="0"/>
              <w:bidi w:val="0"/>
              <w:snapToGrid w:val="0"/>
              <w:spacing w:before="120" w:beforeLines="50"/>
              <w:jc w:val="center"/>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服务时间</w:t>
            </w:r>
          </w:p>
        </w:tc>
        <w:tc>
          <w:tcPr>
            <w:tcW w:w="2250" w:type="dxa"/>
            <w:tcBorders>
              <w:top w:val="single" w:color="auto" w:sz="4" w:space="0"/>
              <w:left w:val="single" w:color="auto" w:sz="4" w:space="0"/>
              <w:bottom w:val="single" w:color="auto" w:sz="4" w:space="0"/>
              <w:right w:val="single" w:color="auto" w:sz="4" w:space="0"/>
            </w:tcBorders>
            <w:vAlign w:val="center"/>
          </w:tcPr>
          <w:p w14:paraId="4AC992AD">
            <w:pPr>
              <w:pageBreakBefore w:val="0"/>
              <w:kinsoku/>
              <w:wordWrap/>
              <w:overflowPunct/>
              <w:topLinePunct w:val="0"/>
              <w:bidi w:val="0"/>
              <w:snapToGrid w:val="0"/>
              <w:spacing w:before="120" w:beforeLines="50"/>
              <w:jc w:val="center"/>
              <w:outlineLvl w:val="9"/>
              <w:rPr>
                <w:rFonts w:ascii="宋体" w:hAnsi="宋体" w:cs="宋体"/>
                <w:color w:val="000000" w:themeColor="text1"/>
                <w:szCs w:val="21"/>
                <w:highlight w:val="none"/>
                <w14:textFill>
                  <w14:solidFill>
                    <w14:schemeClr w14:val="tx1"/>
                  </w14:solidFill>
                </w14:textFill>
              </w:rPr>
            </w:pPr>
          </w:p>
        </w:tc>
        <w:tc>
          <w:tcPr>
            <w:tcW w:w="2604" w:type="dxa"/>
            <w:tcBorders>
              <w:top w:val="single" w:color="auto" w:sz="4" w:space="0"/>
              <w:left w:val="single" w:color="auto" w:sz="4" w:space="0"/>
              <w:bottom w:val="single" w:color="auto" w:sz="4" w:space="0"/>
              <w:right w:val="single" w:color="auto" w:sz="4" w:space="0"/>
            </w:tcBorders>
            <w:vAlign w:val="center"/>
          </w:tcPr>
          <w:p w14:paraId="320CD017">
            <w:pPr>
              <w:pageBreakBefore w:val="0"/>
              <w:kinsoku/>
              <w:wordWrap/>
              <w:overflowPunct/>
              <w:topLinePunct w:val="0"/>
              <w:bidi w:val="0"/>
              <w:snapToGrid w:val="0"/>
              <w:spacing w:before="120" w:beforeLines="50"/>
              <w:jc w:val="center"/>
              <w:outlineLvl w:val="9"/>
              <w:rPr>
                <w:rFonts w:ascii="宋体" w:hAnsi="宋体" w:cs="宋体"/>
                <w:color w:val="000000" w:themeColor="text1"/>
                <w:szCs w:val="21"/>
                <w:highlight w:val="none"/>
                <w14:textFill>
                  <w14:solidFill>
                    <w14:schemeClr w14:val="tx1"/>
                  </w14:solidFill>
                </w14:textFill>
              </w:rPr>
            </w:pPr>
          </w:p>
        </w:tc>
        <w:tc>
          <w:tcPr>
            <w:tcW w:w="2162" w:type="dxa"/>
            <w:tcBorders>
              <w:top w:val="single" w:color="auto" w:sz="4" w:space="0"/>
              <w:left w:val="single" w:color="auto" w:sz="4" w:space="0"/>
              <w:bottom w:val="single" w:color="auto" w:sz="4" w:space="0"/>
              <w:right w:val="single" w:color="auto" w:sz="4" w:space="0"/>
            </w:tcBorders>
            <w:vAlign w:val="center"/>
          </w:tcPr>
          <w:p w14:paraId="3097C2A5">
            <w:pPr>
              <w:pageBreakBefore w:val="0"/>
              <w:kinsoku/>
              <w:wordWrap/>
              <w:overflowPunct/>
              <w:topLinePunct w:val="0"/>
              <w:bidi w:val="0"/>
              <w:snapToGrid w:val="0"/>
              <w:spacing w:before="120" w:beforeLines="50"/>
              <w:jc w:val="center"/>
              <w:outlineLvl w:val="9"/>
              <w:rPr>
                <w:rFonts w:ascii="宋体" w:hAnsi="宋体" w:cs="宋体"/>
                <w:color w:val="000000" w:themeColor="text1"/>
                <w:szCs w:val="21"/>
                <w:highlight w:val="none"/>
                <w14:textFill>
                  <w14:solidFill>
                    <w14:schemeClr w14:val="tx1"/>
                  </w14:solidFill>
                </w14:textFill>
              </w:rPr>
            </w:pPr>
          </w:p>
        </w:tc>
      </w:tr>
      <w:tr w14:paraId="55C3A4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163" w:type="dxa"/>
            <w:tcBorders>
              <w:top w:val="single" w:color="auto" w:sz="4" w:space="0"/>
              <w:left w:val="single" w:color="auto" w:sz="4" w:space="0"/>
              <w:bottom w:val="single" w:color="auto" w:sz="4" w:space="0"/>
              <w:right w:val="single" w:color="auto" w:sz="4" w:space="0"/>
            </w:tcBorders>
            <w:vAlign w:val="center"/>
          </w:tcPr>
          <w:p w14:paraId="7A244D6A">
            <w:pPr>
              <w:pageBreakBefore w:val="0"/>
              <w:kinsoku/>
              <w:wordWrap/>
              <w:overflowPunct/>
              <w:topLinePunct w:val="0"/>
              <w:bidi w:val="0"/>
              <w:snapToGrid w:val="0"/>
              <w:spacing w:before="120" w:beforeLines="50"/>
              <w:jc w:val="center"/>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p>
        </w:tc>
        <w:tc>
          <w:tcPr>
            <w:tcW w:w="1602" w:type="dxa"/>
            <w:tcBorders>
              <w:top w:val="single" w:color="auto" w:sz="4" w:space="0"/>
              <w:left w:val="single" w:color="auto" w:sz="4" w:space="0"/>
              <w:bottom w:val="single" w:color="auto" w:sz="4" w:space="0"/>
              <w:right w:val="single" w:color="auto" w:sz="4" w:space="0"/>
            </w:tcBorders>
            <w:vAlign w:val="center"/>
          </w:tcPr>
          <w:p w14:paraId="5DBAC36F">
            <w:pPr>
              <w:pageBreakBefore w:val="0"/>
              <w:kinsoku/>
              <w:wordWrap/>
              <w:overflowPunct/>
              <w:topLinePunct w:val="0"/>
              <w:bidi w:val="0"/>
              <w:snapToGrid w:val="0"/>
              <w:spacing w:before="120" w:beforeLines="50"/>
              <w:jc w:val="center"/>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服务地点</w:t>
            </w:r>
          </w:p>
        </w:tc>
        <w:tc>
          <w:tcPr>
            <w:tcW w:w="2250" w:type="dxa"/>
            <w:tcBorders>
              <w:top w:val="single" w:color="auto" w:sz="4" w:space="0"/>
              <w:left w:val="single" w:color="auto" w:sz="4" w:space="0"/>
              <w:bottom w:val="single" w:color="auto" w:sz="4" w:space="0"/>
              <w:right w:val="single" w:color="auto" w:sz="4" w:space="0"/>
            </w:tcBorders>
            <w:vAlign w:val="center"/>
          </w:tcPr>
          <w:p w14:paraId="60E850C4">
            <w:pPr>
              <w:pageBreakBefore w:val="0"/>
              <w:kinsoku/>
              <w:wordWrap/>
              <w:overflowPunct/>
              <w:topLinePunct w:val="0"/>
              <w:bidi w:val="0"/>
              <w:snapToGrid w:val="0"/>
              <w:spacing w:before="120" w:beforeLines="50"/>
              <w:jc w:val="center"/>
              <w:outlineLvl w:val="9"/>
              <w:rPr>
                <w:rFonts w:ascii="宋体" w:hAnsi="宋体" w:cs="宋体"/>
                <w:color w:val="000000" w:themeColor="text1"/>
                <w:szCs w:val="21"/>
                <w:highlight w:val="none"/>
                <w14:textFill>
                  <w14:solidFill>
                    <w14:schemeClr w14:val="tx1"/>
                  </w14:solidFill>
                </w14:textFill>
              </w:rPr>
            </w:pPr>
          </w:p>
        </w:tc>
        <w:tc>
          <w:tcPr>
            <w:tcW w:w="2604" w:type="dxa"/>
            <w:tcBorders>
              <w:top w:val="single" w:color="auto" w:sz="4" w:space="0"/>
              <w:left w:val="single" w:color="auto" w:sz="4" w:space="0"/>
              <w:bottom w:val="single" w:color="auto" w:sz="4" w:space="0"/>
              <w:right w:val="single" w:color="auto" w:sz="4" w:space="0"/>
            </w:tcBorders>
            <w:vAlign w:val="center"/>
          </w:tcPr>
          <w:p w14:paraId="4B6F4811">
            <w:pPr>
              <w:pageBreakBefore w:val="0"/>
              <w:kinsoku/>
              <w:wordWrap/>
              <w:overflowPunct/>
              <w:topLinePunct w:val="0"/>
              <w:bidi w:val="0"/>
              <w:snapToGrid w:val="0"/>
              <w:spacing w:before="120" w:beforeLines="50"/>
              <w:ind w:left="43"/>
              <w:jc w:val="center"/>
              <w:outlineLvl w:val="9"/>
              <w:rPr>
                <w:rFonts w:ascii="宋体" w:hAnsi="宋体" w:cs="宋体"/>
                <w:color w:val="000000" w:themeColor="text1"/>
                <w:szCs w:val="21"/>
                <w:highlight w:val="none"/>
                <w14:textFill>
                  <w14:solidFill>
                    <w14:schemeClr w14:val="tx1"/>
                  </w14:solidFill>
                </w14:textFill>
              </w:rPr>
            </w:pPr>
          </w:p>
        </w:tc>
        <w:tc>
          <w:tcPr>
            <w:tcW w:w="2162" w:type="dxa"/>
            <w:tcBorders>
              <w:top w:val="single" w:color="auto" w:sz="4" w:space="0"/>
              <w:left w:val="single" w:color="auto" w:sz="4" w:space="0"/>
              <w:bottom w:val="single" w:color="auto" w:sz="4" w:space="0"/>
              <w:right w:val="single" w:color="auto" w:sz="4" w:space="0"/>
            </w:tcBorders>
            <w:vAlign w:val="center"/>
          </w:tcPr>
          <w:p w14:paraId="072C9E5A">
            <w:pPr>
              <w:pageBreakBefore w:val="0"/>
              <w:kinsoku/>
              <w:wordWrap/>
              <w:overflowPunct/>
              <w:topLinePunct w:val="0"/>
              <w:bidi w:val="0"/>
              <w:snapToGrid w:val="0"/>
              <w:spacing w:before="120" w:beforeLines="50"/>
              <w:ind w:left="43"/>
              <w:jc w:val="center"/>
              <w:outlineLvl w:val="9"/>
              <w:rPr>
                <w:rFonts w:ascii="宋体" w:hAnsi="宋体" w:cs="宋体"/>
                <w:color w:val="000000" w:themeColor="text1"/>
                <w:szCs w:val="21"/>
                <w:highlight w:val="none"/>
                <w14:textFill>
                  <w14:solidFill>
                    <w14:schemeClr w14:val="tx1"/>
                  </w14:solidFill>
                </w14:textFill>
              </w:rPr>
            </w:pPr>
          </w:p>
        </w:tc>
      </w:tr>
      <w:tr w14:paraId="41C45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vAlign w:val="center"/>
          </w:tcPr>
          <w:p w14:paraId="4D9B2E2E">
            <w:pPr>
              <w:pageBreakBefore w:val="0"/>
              <w:kinsoku/>
              <w:wordWrap/>
              <w:overflowPunct/>
              <w:topLinePunct w:val="0"/>
              <w:bidi w:val="0"/>
              <w:snapToGrid w:val="0"/>
              <w:spacing w:before="120" w:beforeLines="50"/>
              <w:jc w:val="center"/>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p>
        </w:tc>
        <w:tc>
          <w:tcPr>
            <w:tcW w:w="1602" w:type="dxa"/>
            <w:tcBorders>
              <w:top w:val="single" w:color="auto" w:sz="4" w:space="0"/>
              <w:left w:val="single" w:color="auto" w:sz="4" w:space="0"/>
              <w:bottom w:val="single" w:color="auto" w:sz="4" w:space="0"/>
              <w:right w:val="single" w:color="auto" w:sz="4" w:space="0"/>
            </w:tcBorders>
            <w:vAlign w:val="center"/>
          </w:tcPr>
          <w:p w14:paraId="55476DE1">
            <w:pPr>
              <w:pageBreakBefore w:val="0"/>
              <w:kinsoku/>
              <w:wordWrap/>
              <w:overflowPunct/>
              <w:topLinePunct w:val="0"/>
              <w:bidi w:val="0"/>
              <w:snapToGrid w:val="0"/>
              <w:spacing w:before="120" w:beforeLines="50"/>
              <w:jc w:val="center"/>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服务要求</w:t>
            </w:r>
          </w:p>
        </w:tc>
        <w:tc>
          <w:tcPr>
            <w:tcW w:w="2250" w:type="dxa"/>
            <w:tcBorders>
              <w:top w:val="single" w:color="auto" w:sz="4" w:space="0"/>
              <w:left w:val="single" w:color="auto" w:sz="4" w:space="0"/>
              <w:bottom w:val="single" w:color="auto" w:sz="4" w:space="0"/>
              <w:right w:val="single" w:color="auto" w:sz="4" w:space="0"/>
            </w:tcBorders>
            <w:vAlign w:val="center"/>
          </w:tcPr>
          <w:p w14:paraId="304F4268">
            <w:pPr>
              <w:pageBreakBefore w:val="0"/>
              <w:kinsoku/>
              <w:wordWrap/>
              <w:overflowPunct/>
              <w:topLinePunct w:val="0"/>
              <w:bidi w:val="0"/>
              <w:snapToGrid w:val="0"/>
              <w:spacing w:before="120" w:beforeLines="50"/>
              <w:jc w:val="center"/>
              <w:outlineLvl w:val="9"/>
              <w:rPr>
                <w:rFonts w:ascii="宋体" w:hAnsi="宋体" w:cs="宋体"/>
                <w:color w:val="000000" w:themeColor="text1"/>
                <w:szCs w:val="21"/>
                <w:highlight w:val="none"/>
                <w14:textFill>
                  <w14:solidFill>
                    <w14:schemeClr w14:val="tx1"/>
                  </w14:solidFill>
                </w14:textFill>
              </w:rPr>
            </w:pPr>
          </w:p>
        </w:tc>
        <w:tc>
          <w:tcPr>
            <w:tcW w:w="2604" w:type="dxa"/>
            <w:tcBorders>
              <w:top w:val="single" w:color="auto" w:sz="4" w:space="0"/>
              <w:left w:val="single" w:color="auto" w:sz="4" w:space="0"/>
              <w:bottom w:val="single" w:color="auto" w:sz="4" w:space="0"/>
              <w:right w:val="single" w:color="auto" w:sz="4" w:space="0"/>
            </w:tcBorders>
            <w:vAlign w:val="center"/>
          </w:tcPr>
          <w:p w14:paraId="6BB3584F">
            <w:pPr>
              <w:pageBreakBefore w:val="0"/>
              <w:kinsoku/>
              <w:wordWrap/>
              <w:overflowPunct/>
              <w:topLinePunct w:val="0"/>
              <w:bidi w:val="0"/>
              <w:snapToGrid w:val="0"/>
              <w:spacing w:before="120" w:beforeLines="50"/>
              <w:jc w:val="center"/>
              <w:outlineLvl w:val="9"/>
              <w:rPr>
                <w:rFonts w:ascii="宋体" w:hAnsi="宋体" w:cs="宋体"/>
                <w:color w:val="000000" w:themeColor="text1"/>
                <w:szCs w:val="21"/>
                <w:highlight w:val="none"/>
                <w14:textFill>
                  <w14:solidFill>
                    <w14:schemeClr w14:val="tx1"/>
                  </w14:solidFill>
                </w14:textFill>
              </w:rPr>
            </w:pPr>
          </w:p>
        </w:tc>
        <w:tc>
          <w:tcPr>
            <w:tcW w:w="2162" w:type="dxa"/>
            <w:tcBorders>
              <w:top w:val="single" w:color="auto" w:sz="4" w:space="0"/>
              <w:left w:val="single" w:color="auto" w:sz="4" w:space="0"/>
              <w:bottom w:val="single" w:color="auto" w:sz="4" w:space="0"/>
              <w:right w:val="single" w:color="auto" w:sz="4" w:space="0"/>
            </w:tcBorders>
            <w:vAlign w:val="center"/>
          </w:tcPr>
          <w:p w14:paraId="5A4FC84E">
            <w:pPr>
              <w:pageBreakBefore w:val="0"/>
              <w:kinsoku/>
              <w:wordWrap/>
              <w:overflowPunct/>
              <w:topLinePunct w:val="0"/>
              <w:bidi w:val="0"/>
              <w:snapToGrid w:val="0"/>
              <w:spacing w:before="120" w:beforeLines="50"/>
              <w:jc w:val="center"/>
              <w:outlineLvl w:val="9"/>
              <w:rPr>
                <w:rFonts w:ascii="宋体" w:hAnsi="宋体" w:cs="宋体"/>
                <w:color w:val="000000" w:themeColor="text1"/>
                <w:szCs w:val="21"/>
                <w:highlight w:val="none"/>
                <w14:textFill>
                  <w14:solidFill>
                    <w14:schemeClr w14:val="tx1"/>
                  </w14:solidFill>
                </w14:textFill>
              </w:rPr>
            </w:pPr>
          </w:p>
        </w:tc>
      </w:tr>
      <w:tr w14:paraId="0386BE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14:paraId="236604BD">
            <w:pPr>
              <w:pageBreakBefore w:val="0"/>
              <w:kinsoku/>
              <w:wordWrap/>
              <w:overflowPunct/>
              <w:topLinePunct w:val="0"/>
              <w:bidi w:val="0"/>
              <w:snapToGrid w:val="0"/>
              <w:spacing w:before="120" w:beforeLines="50"/>
              <w:jc w:val="center"/>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p>
        </w:tc>
        <w:tc>
          <w:tcPr>
            <w:tcW w:w="1602" w:type="dxa"/>
            <w:tcBorders>
              <w:top w:val="single" w:color="auto" w:sz="4" w:space="0"/>
              <w:left w:val="single" w:color="auto" w:sz="4" w:space="0"/>
              <w:bottom w:val="single" w:color="auto" w:sz="4" w:space="0"/>
              <w:right w:val="single" w:color="auto" w:sz="4" w:space="0"/>
            </w:tcBorders>
            <w:vAlign w:val="center"/>
          </w:tcPr>
          <w:p w14:paraId="1BD09629">
            <w:pPr>
              <w:pageBreakBefore w:val="0"/>
              <w:kinsoku/>
              <w:wordWrap/>
              <w:overflowPunct/>
              <w:topLinePunct w:val="0"/>
              <w:bidi w:val="0"/>
              <w:snapToGrid w:val="0"/>
              <w:spacing w:before="120" w:beforeLines="50"/>
              <w:jc w:val="center"/>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付款方式</w:t>
            </w:r>
          </w:p>
        </w:tc>
        <w:tc>
          <w:tcPr>
            <w:tcW w:w="2250" w:type="dxa"/>
            <w:tcBorders>
              <w:top w:val="single" w:color="auto" w:sz="4" w:space="0"/>
              <w:left w:val="single" w:color="auto" w:sz="4" w:space="0"/>
              <w:bottom w:val="single" w:color="auto" w:sz="4" w:space="0"/>
              <w:right w:val="single" w:color="auto" w:sz="4" w:space="0"/>
            </w:tcBorders>
            <w:vAlign w:val="center"/>
          </w:tcPr>
          <w:p w14:paraId="2C1D7205">
            <w:pPr>
              <w:pageBreakBefore w:val="0"/>
              <w:kinsoku/>
              <w:wordWrap/>
              <w:overflowPunct/>
              <w:topLinePunct w:val="0"/>
              <w:bidi w:val="0"/>
              <w:snapToGrid w:val="0"/>
              <w:spacing w:before="120" w:beforeLines="50"/>
              <w:jc w:val="center"/>
              <w:outlineLvl w:val="9"/>
              <w:rPr>
                <w:rFonts w:ascii="宋体" w:hAnsi="宋体" w:cs="宋体"/>
                <w:color w:val="000000" w:themeColor="text1"/>
                <w:szCs w:val="21"/>
                <w:highlight w:val="none"/>
                <w14:textFill>
                  <w14:solidFill>
                    <w14:schemeClr w14:val="tx1"/>
                  </w14:solidFill>
                </w14:textFill>
              </w:rPr>
            </w:pPr>
          </w:p>
        </w:tc>
        <w:tc>
          <w:tcPr>
            <w:tcW w:w="2604" w:type="dxa"/>
            <w:tcBorders>
              <w:top w:val="single" w:color="auto" w:sz="4" w:space="0"/>
              <w:left w:val="single" w:color="auto" w:sz="4" w:space="0"/>
              <w:bottom w:val="single" w:color="auto" w:sz="4" w:space="0"/>
              <w:right w:val="single" w:color="auto" w:sz="4" w:space="0"/>
            </w:tcBorders>
            <w:vAlign w:val="center"/>
          </w:tcPr>
          <w:p w14:paraId="00ABFC77">
            <w:pPr>
              <w:pageBreakBefore w:val="0"/>
              <w:kinsoku/>
              <w:wordWrap/>
              <w:overflowPunct/>
              <w:topLinePunct w:val="0"/>
              <w:bidi w:val="0"/>
              <w:snapToGrid w:val="0"/>
              <w:spacing w:before="120" w:beforeLines="50"/>
              <w:jc w:val="center"/>
              <w:outlineLvl w:val="9"/>
              <w:rPr>
                <w:rFonts w:ascii="宋体" w:hAnsi="宋体" w:cs="宋体"/>
                <w:color w:val="000000" w:themeColor="text1"/>
                <w:szCs w:val="21"/>
                <w:highlight w:val="none"/>
                <w14:textFill>
                  <w14:solidFill>
                    <w14:schemeClr w14:val="tx1"/>
                  </w14:solidFill>
                </w14:textFill>
              </w:rPr>
            </w:pPr>
          </w:p>
        </w:tc>
        <w:tc>
          <w:tcPr>
            <w:tcW w:w="2162" w:type="dxa"/>
            <w:tcBorders>
              <w:top w:val="single" w:color="auto" w:sz="4" w:space="0"/>
              <w:left w:val="single" w:color="auto" w:sz="4" w:space="0"/>
              <w:bottom w:val="single" w:color="auto" w:sz="4" w:space="0"/>
              <w:right w:val="single" w:color="auto" w:sz="4" w:space="0"/>
            </w:tcBorders>
            <w:vAlign w:val="center"/>
          </w:tcPr>
          <w:p w14:paraId="6101221E">
            <w:pPr>
              <w:pageBreakBefore w:val="0"/>
              <w:kinsoku/>
              <w:wordWrap/>
              <w:overflowPunct/>
              <w:topLinePunct w:val="0"/>
              <w:bidi w:val="0"/>
              <w:snapToGrid w:val="0"/>
              <w:spacing w:before="120" w:beforeLines="50"/>
              <w:jc w:val="center"/>
              <w:outlineLvl w:val="9"/>
              <w:rPr>
                <w:rFonts w:ascii="宋体" w:hAnsi="宋体" w:cs="宋体"/>
                <w:color w:val="000000" w:themeColor="text1"/>
                <w:szCs w:val="21"/>
                <w:highlight w:val="none"/>
                <w14:textFill>
                  <w14:solidFill>
                    <w14:schemeClr w14:val="tx1"/>
                  </w14:solidFill>
                </w14:textFill>
              </w:rPr>
            </w:pPr>
          </w:p>
        </w:tc>
      </w:tr>
      <w:tr w14:paraId="2B450B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14:paraId="633E85E1">
            <w:pPr>
              <w:pageBreakBefore w:val="0"/>
              <w:kinsoku/>
              <w:wordWrap/>
              <w:overflowPunct/>
              <w:topLinePunct w:val="0"/>
              <w:bidi w:val="0"/>
              <w:snapToGrid w:val="0"/>
              <w:spacing w:before="120" w:beforeLines="50"/>
              <w:jc w:val="center"/>
              <w:outlineLvl w:val="9"/>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p>
        </w:tc>
        <w:tc>
          <w:tcPr>
            <w:tcW w:w="1602" w:type="dxa"/>
            <w:tcBorders>
              <w:top w:val="single" w:color="auto" w:sz="4" w:space="0"/>
              <w:left w:val="single" w:color="auto" w:sz="4" w:space="0"/>
              <w:bottom w:val="single" w:color="auto" w:sz="4" w:space="0"/>
              <w:right w:val="single" w:color="auto" w:sz="4" w:space="0"/>
            </w:tcBorders>
            <w:vAlign w:val="center"/>
          </w:tcPr>
          <w:p w14:paraId="70A2EBA4">
            <w:pPr>
              <w:pageBreakBefore w:val="0"/>
              <w:kinsoku/>
              <w:wordWrap/>
              <w:overflowPunct/>
              <w:topLinePunct w:val="0"/>
              <w:bidi w:val="0"/>
              <w:snapToGrid w:val="0"/>
              <w:spacing w:before="120" w:beforeLines="50"/>
              <w:jc w:val="center"/>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其他要求</w:t>
            </w:r>
          </w:p>
        </w:tc>
        <w:tc>
          <w:tcPr>
            <w:tcW w:w="2250" w:type="dxa"/>
            <w:tcBorders>
              <w:top w:val="single" w:color="auto" w:sz="4" w:space="0"/>
              <w:left w:val="single" w:color="auto" w:sz="4" w:space="0"/>
              <w:bottom w:val="single" w:color="auto" w:sz="4" w:space="0"/>
              <w:right w:val="single" w:color="auto" w:sz="4" w:space="0"/>
            </w:tcBorders>
            <w:vAlign w:val="center"/>
          </w:tcPr>
          <w:p w14:paraId="3536E9CA">
            <w:pPr>
              <w:pageBreakBefore w:val="0"/>
              <w:kinsoku/>
              <w:wordWrap/>
              <w:overflowPunct/>
              <w:topLinePunct w:val="0"/>
              <w:bidi w:val="0"/>
              <w:snapToGrid w:val="0"/>
              <w:spacing w:before="120" w:beforeLines="50"/>
              <w:jc w:val="center"/>
              <w:outlineLvl w:val="9"/>
              <w:rPr>
                <w:rFonts w:ascii="宋体" w:hAnsi="宋体" w:cs="宋体"/>
                <w:color w:val="000000" w:themeColor="text1"/>
                <w:szCs w:val="21"/>
                <w:highlight w:val="none"/>
                <w14:textFill>
                  <w14:solidFill>
                    <w14:schemeClr w14:val="tx1"/>
                  </w14:solidFill>
                </w14:textFill>
              </w:rPr>
            </w:pPr>
          </w:p>
        </w:tc>
        <w:tc>
          <w:tcPr>
            <w:tcW w:w="2604" w:type="dxa"/>
            <w:tcBorders>
              <w:top w:val="single" w:color="auto" w:sz="4" w:space="0"/>
              <w:left w:val="single" w:color="auto" w:sz="4" w:space="0"/>
              <w:bottom w:val="single" w:color="auto" w:sz="4" w:space="0"/>
              <w:right w:val="single" w:color="auto" w:sz="4" w:space="0"/>
            </w:tcBorders>
            <w:vAlign w:val="center"/>
          </w:tcPr>
          <w:p w14:paraId="16B3C3ED">
            <w:pPr>
              <w:pageBreakBefore w:val="0"/>
              <w:kinsoku/>
              <w:wordWrap/>
              <w:overflowPunct/>
              <w:topLinePunct w:val="0"/>
              <w:bidi w:val="0"/>
              <w:snapToGrid w:val="0"/>
              <w:spacing w:before="120" w:beforeLines="50"/>
              <w:jc w:val="center"/>
              <w:outlineLvl w:val="9"/>
              <w:rPr>
                <w:rFonts w:ascii="宋体" w:hAnsi="宋体" w:cs="宋体"/>
                <w:color w:val="000000" w:themeColor="text1"/>
                <w:szCs w:val="21"/>
                <w:highlight w:val="none"/>
                <w14:textFill>
                  <w14:solidFill>
                    <w14:schemeClr w14:val="tx1"/>
                  </w14:solidFill>
                </w14:textFill>
              </w:rPr>
            </w:pPr>
          </w:p>
        </w:tc>
        <w:tc>
          <w:tcPr>
            <w:tcW w:w="2162" w:type="dxa"/>
            <w:tcBorders>
              <w:top w:val="single" w:color="auto" w:sz="4" w:space="0"/>
              <w:left w:val="single" w:color="auto" w:sz="4" w:space="0"/>
              <w:bottom w:val="single" w:color="auto" w:sz="4" w:space="0"/>
              <w:right w:val="single" w:color="auto" w:sz="4" w:space="0"/>
            </w:tcBorders>
            <w:vAlign w:val="center"/>
          </w:tcPr>
          <w:p w14:paraId="097010E6">
            <w:pPr>
              <w:pageBreakBefore w:val="0"/>
              <w:kinsoku/>
              <w:wordWrap/>
              <w:overflowPunct/>
              <w:topLinePunct w:val="0"/>
              <w:bidi w:val="0"/>
              <w:snapToGrid w:val="0"/>
              <w:spacing w:before="120" w:beforeLines="50"/>
              <w:jc w:val="center"/>
              <w:outlineLvl w:val="9"/>
              <w:rPr>
                <w:rFonts w:ascii="宋体" w:hAnsi="宋体" w:cs="宋体"/>
                <w:color w:val="000000" w:themeColor="text1"/>
                <w:szCs w:val="21"/>
                <w:highlight w:val="none"/>
                <w14:textFill>
                  <w14:solidFill>
                    <w14:schemeClr w14:val="tx1"/>
                  </w14:solidFill>
                </w14:textFill>
              </w:rPr>
            </w:pPr>
          </w:p>
        </w:tc>
      </w:tr>
    </w:tbl>
    <w:p w14:paraId="12C657E8">
      <w:pPr>
        <w:pageBreakBefore w:val="0"/>
        <w:kinsoku/>
        <w:wordWrap/>
        <w:overflowPunct/>
        <w:topLinePunct w:val="0"/>
        <w:bidi w:val="0"/>
        <w:snapToGrid w:val="0"/>
        <w:spacing w:before="50" w:after="50"/>
        <w:outlineLvl w:val="9"/>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注：（1）投标人应对照《服务采购需求》表第</w:t>
      </w:r>
      <w:r>
        <w:rPr>
          <w:rFonts w:hint="eastAsia" w:ascii="宋体" w:hAnsi="宋体" w:cs="宋体"/>
          <w:color w:val="000000" w:themeColor="text1"/>
          <w:highlight w:val="none"/>
          <w:lang w:val="en-US" w:eastAsia="zh-CN"/>
          <w14:textFill>
            <w14:solidFill>
              <w14:schemeClr w14:val="tx1"/>
            </w14:solidFill>
          </w14:textFill>
        </w:rPr>
        <w:t>二</w:t>
      </w:r>
      <w:r>
        <w:rPr>
          <w:rFonts w:hint="eastAsia" w:ascii="宋体" w:hAnsi="宋体" w:cs="宋体"/>
          <w:color w:val="000000" w:themeColor="text1"/>
          <w:highlight w:val="none"/>
          <w14:textFill>
            <w14:solidFill>
              <w14:schemeClr w14:val="tx1"/>
            </w14:solidFill>
          </w14:textFill>
        </w:rPr>
        <w:t>条“</w:t>
      </w:r>
      <w:r>
        <w:rPr>
          <w:rFonts w:hint="eastAsia" w:ascii="宋体" w:hAnsi="宋体" w:cs="宋体"/>
          <w:color w:val="000000" w:themeColor="text1"/>
          <w:highlight w:val="none"/>
          <w:lang w:val="en-US" w:eastAsia="zh-CN"/>
          <w14:textFill>
            <w14:solidFill>
              <w14:schemeClr w14:val="tx1"/>
            </w14:solidFill>
          </w14:textFill>
        </w:rPr>
        <w:t>商务</w:t>
      </w:r>
      <w:r>
        <w:rPr>
          <w:rFonts w:hint="eastAsia" w:ascii="宋体" w:hAnsi="宋体" w:cs="宋体"/>
          <w:color w:val="000000" w:themeColor="text1"/>
          <w:highlight w:val="none"/>
          <w14:textFill>
            <w14:solidFill>
              <w14:schemeClr w14:val="tx1"/>
            </w14:solidFill>
          </w14:textFill>
        </w:rPr>
        <w:t>要求” 中的内容在本表的“投标文件的响应情况（对服务内容及要求的承诺）”栏中进行逐条内容响应，并在“响应偏离情况”栏注明无偏离、正偏离、负偏离，当出现“正偏离”情况时应对应填写偏离情况说明。</w:t>
      </w:r>
    </w:p>
    <w:p w14:paraId="1AF670DE">
      <w:pPr>
        <w:pStyle w:val="17"/>
        <w:pageBreakBefore w:val="0"/>
        <w:kinsoku/>
        <w:wordWrap/>
        <w:overflowPunct/>
        <w:topLinePunct w:val="0"/>
        <w:bidi w:val="0"/>
        <w:spacing w:line="360" w:lineRule="auto"/>
        <w:ind w:firstLine="422" w:firstLineChars="200"/>
        <w:outlineLvl w:val="9"/>
        <w:rPr>
          <w:rFonts w:hint="eastAsia" w:hAnsi="宋体"/>
          <w:b/>
          <w:bCs/>
          <w:color w:val="000000" w:themeColor="text1"/>
          <w:szCs w:val="21"/>
          <w:highlight w:val="none"/>
          <w14:textFill>
            <w14:solidFill>
              <w14:schemeClr w14:val="tx1"/>
            </w14:solidFill>
          </w14:textFill>
        </w:rPr>
      </w:pPr>
      <w:r>
        <w:rPr>
          <w:rFonts w:hint="eastAsia" w:hAnsi="宋体"/>
          <w:b/>
          <w:bCs/>
          <w:color w:val="000000" w:themeColor="text1"/>
          <w:szCs w:val="21"/>
          <w:highlight w:val="none"/>
          <w14:textFill>
            <w14:solidFill>
              <w14:schemeClr w14:val="tx1"/>
            </w14:solidFill>
          </w14:textFill>
        </w:rPr>
        <w:t>（2）商务</w:t>
      </w:r>
      <w:r>
        <w:rPr>
          <w:rFonts w:hint="eastAsia" w:hAnsi="宋体"/>
          <w:b/>
          <w:bCs/>
          <w:color w:val="000000" w:themeColor="text1"/>
          <w:szCs w:val="21"/>
          <w:highlight w:val="none"/>
          <w:lang w:val="en-US" w:eastAsia="zh-CN"/>
          <w14:textFill>
            <w14:solidFill>
              <w14:schemeClr w14:val="tx1"/>
            </w14:solidFill>
          </w14:textFill>
        </w:rPr>
        <w:t>要求</w:t>
      </w:r>
      <w:r>
        <w:rPr>
          <w:rFonts w:hint="eastAsia" w:hAnsi="宋体"/>
          <w:b/>
          <w:bCs/>
          <w:color w:val="000000" w:themeColor="text1"/>
          <w:szCs w:val="21"/>
          <w:highlight w:val="none"/>
          <w14:textFill>
            <w14:solidFill>
              <w14:schemeClr w14:val="tx1"/>
            </w14:solidFill>
          </w14:textFill>
        </w:rPr>
        <w:t>响应表须加盖投标人公章（CA证书签章，自然人除外）；当本表由多页构成时，需逐页加盖投标人公章（CA证书签章，自然人签字或个人CA签章）。</w:t>
      </w:r>
    </w:p>
    <w:p w14:paraId="335FF10E">
      <w:pPr>
        <w:pageBreakBefore w:val="0"/>
        <w:kinsoku/>
        <w:wordWrap/>
        <w:overflowPunct/>
        <w:topLinePunct w:val="0"/>
        <w:bidi w:val="0"/>
        <w:snapToGrid w:val="0"/>
        <w:spacing w:before="50" w:after="50"/>
        <w:outlineLvl w:val="9"/>
        <w:rPr>
          <w:rFonts w:hint="eastAsia" w:ascii="宋体" w:hAnsi="宋体" w:cs="宋体"/>
          <w:color w:val="000000" w:themeColor="text1"/>
          <w:highlight w:val="none"/>
          <w14:textFill>
            <w14:solidFill>
              <w14:schemeClr w14:val="tx1"/>
            </w14:solidFill>
          </w14:textFill>
        </w:rPr>
      </w:pPr>
    </w:p>
    <w:p w14:paraId="5E2712C1">
      <w:pPr>
        <w:pageBreakBefore w:val="0"/>
        <w:kinsoku/>
        <w:wordWrap/>
        <w:overflowPunct/>
        <w:topLinePunct w:val="0"/>
        <w:bidi w:val="0"/>
        <w:snapToGrid w:val="0"/>
        <w:spacing w:before="50" w:after="50"/>
        <w:outlineLvl w:val="9"/>
        <w:rPr>
          <w:rFonts w:ascii="宋体" w:hAnsi="宋体" w:cs="宋体"/>
          <w:color w:val="000000" w:themeColor="text1"/>
          <w:spacing w:val="20"/>
          <w:sz w:val="24"/>
          <w:highlight w:val="none"/>
          <w14:textFill>
            <w14:solidFill>
              <w14:schemeClr w14:val="tx1"/>
            </w14:solidFill>
          </w14:textFill>
        </w:rPr>
      </w:pPr>
    </w:p>
    <w:p w14:paraId="1C076E27">
      <w:pPr>
        <w:pageBreakBefore w:val="0"/>
        <w:kinsoku/>
        <w:wordWrap/>
        <w:overflowPunct/>
        <w:topLinePunct w:val="0"/>
        <w:bidi w:val="0"/>
        <w:spacing w:line="340" w:lineRule="exact"/>
        <w:outlineLvl w:val="9"/>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供应商（CA签章，自然人除外）：</w:t>
      </w:r>
    </w:p>
    <w:p w14:paraId="64198131">
      <w:pPr>
        <w:pageBreakBefore w:val="0"/>
        <w:kinsoku/>
        <w:wordWrap/>
        <w:overflowPunct/>
        <w:topLinePunct w:val="0"/>
        <w:bidi w:val="0"/>
        <w:spacing w:line="340" w:lineRule="exact"/>
        <w:outlineLvl w:val="9"/>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法定代表人（负责人或自然人）或相应的委托代理人签字或个人CA签章（属自然人的应在签名处加盖食指指印或个人CA签章）：</w:t>
      </w:r>
    </w:p>
    <w:p w14:paraId="417E2964">
      <w:pPr>
        <w:pageBreakBefore w:val="0"/>
        <w:tabs>
          <w:tab w:val="left" w:pos="1305"/>
        </w:tabs>
        <w:kinsoku/>
        <w:wordWrap/>
        <w:overflowPunct/>
        <w:topLinePunct w:val="0"/>
        <w:bidi w:val="0"/>
        <w:spacing w:line="340" w:lineRule="exact"/>
        <w:outlineLvl w:val="9"/>
        <w:rPr>
          <w:rFonts w:ascii="宋体" w:hAnsi="宋体" w:cs="宋体"/>
          <w:bCs/>
          <w:color w:val="000000" w:themeColor="text1"/>
          <w:szCs w:val="21"/>
          <w:highlight w:val="none"/>
          <w:u w:val="single"/>
          <w14:textFill>
            <w14:solidFill>
              <w14:schemeClr w14:val="tx1"/>
            </w14:solidFill>
          </w14:textFill>
        </w:rPr>
      </w:pPr>
      <w:r>
        <w:rPr>
          <w:rFonts w:ascii="宋体" w:hAnsi="宋体" w:cs="宋体"/>
          <w:bCs/>
          <w:color w:val="000000" w:themeColor="text1"/>
          <w:szCs w:val="21"/>
          <w:highlight w:val="none"/>
          <w14:textFill>
            <w14:solidFill>
              <w14:schemeClr w14:val="tx1"/>
            </w14:solidFill>
          </w14:textFill>
        </w:rPr>
        <w:t>日期：</w:t>
      </w:r>
      <w:r>
        <w:rPr>
          <w:rFonts w:hint="eastAsia" w:ascii="宋体" w:hAnsi="宋体" w:cs="宋体"/>
          <w:bCs/>
          <w:color w:val="000000" w:themeColor="text1"/>
          <w:szCs w:val="21"/>
          <w:highlight w:val="none"/>
          <w:lang w:val="en-US" w:eastAsia="zh-CN"/>
          <w14:textFill>
            <w14:solidFill>
              <w14:schemeClr w14:val="tx1"/>
            </w14:solidFill>
          </w14:textFill>
        </w:rPr>
        <w:t xml:space="preserve">  </w:t>
      </w:r>
      <w:r>
        <w:rPr>
          <w:rFonts w:ascii="宋体" w:hAnsi="宋体" w:cs="宋体"/>
          <w:bCs/>
          <w:color w:val="000000" w:themeColor="text1"/>
          <w:szCs w:val="21"/>
          <w:highlight w:val="none"/>
          <w14:textFill>
            <w14:solidFill>
              <w14:schemeClr w14:val="tx1"/>
            </w14:solidFill>
          </w14:textFill>
        </w:rPr>
        <w:t>年</w:t>
      </w:r>
      <w:r>
        <w:rPr>
          <w:rFonts w:hint="eastAsia" w:ascii="宋体" w:hAnsi="宋体" w:cs="宋体"/>
          <w:bCs/>
          <w:color w:val="000000" w:themeColor="text1"/>
          <w:szCs w:val="21"/>
          <w:highlight w:val="none"/>
          <w:lang w:val="en-US" w:eastAsia="zh-CN"/>
          <w14:textFill>
            <w14:solidFill>
              <w14:schemeClr w14:val="tx1"/>
            </w14:solidFill>
          </w14:textFill>
        </w:rPr>
        <w:t xml:space="preserve">  </w:t>
      </w:r>
      <w:r>
        <w:rPr>
          <w:rFonts w:ascii="宋体" w:hAnsi="宋体" w:cs="宋体"/>
          <w:bCs/>
          <w:color w:val="000000" w:themeColor="text1"/>
          <w:szCs w:val="21"/>
          <w:highlight w:val="none"/>
          <w14:textFill>
            <w14:solidFill>
              <w14:schemeClr w14:val="tx1"/>
            </w14:solidFill>
          </w14:textFill>
        </w:rPr>
        <w:t>月</w:t>
      </w:r>
      <w:r>
        <w:rPr>
          <w:rFonts w:hint="eastAsia" w:ascii="宋体" w:hAnsi="宋体" w:cs="宋体"/>
          <w:bCs/>
          <w:color w:val="000000" w:themeColor="text1"/>
          <w:szCs w:val="21"/>
          <w:highlight w:val="none"/>
          <w:lang w:val="en-US" w:eastAsia="zh-CN"/>
          <w14:textFill>
            <w14:solidFill>
              <w14:schemeClr w14:val="tx1"/>
            </w14:solidFill>
          </w14:textFill>
        </w:rPr>
        <w:t xml:space="preserve">  </w:t>
      </w:r>
      <w:r>
        <w:rPr>
          <w:rFonts w:ascii="宋体" w:hAnsi="宋体" w:cs="宋体"/>
          <w:bCs/>
          <w:color w:val="000000" w:themeColor="text1"/>
          <w:szCs w:val="21"/>
          <w:highlight w:val="none"/>
          <w14:textFill>
            <w14:solidFill>
              <w14:schemeClr w14:val="tx1"/>
            </w14:solidFill>
          </w14:textFill>
        </w:rPr>
        <w:t>日</w:t>
      </w:r>
    </w:p>
    <w:p w14:paraId="2006AD15">
      <w:pPr>
        <w:pageBreakBefore w:val="0"/>
        <w:kinsoku/>
        <w:wordWrap/>
        <w:overflowPunct/>
        <w:topLinePunct w:val="0"/>
        <w:bidi w:val="0"/>
        <w:ind w:firstLine="1890" w:firstLineChars="900"/>
        <w:outlineLvl w:val="9"/>
        <w:rPr>
          <w:rFonts w:ascii="宋体" w:hAnsi="宋体" w:cs="宋体"/>
          <w:color w:val="000000" w:themeColor="text1"/>
          <w:highlight w:val="none"/>
          <w:u w:val="single"/>
          <w14:textFill>
            <w14:solidFill>
              <w14:schemeClr w14:val="tx1"/>
            </w14:solidFill>
          </w14:textFill>
        </w:rPr>
      </w:pPr>
    </w:p>
    <w:p w14:paraId="3B2ACA9B">
      <w:pPr>
        <w:pageBreakBefore w:val="0"/>
        <w:kinsoku/>
        <w:wordWrap/>
        <w:overflowPunct/>
        <w:topLinePunct w:val="0"/>
        <w:bidi w:val="0"/>
        <w:ind w:firstLine="1890" w:firstLineChars="900"/>
        <w:outlineLvl w:val="9"/>
        <w:rPr>
          <w:rFonts w:ascii="宋体" w:hAnsi="宋体" w:cs="宋体"/>
          <w:color w:val="000000" w:themeColor="text1"/>
          <w:highlight w:val="none"/>
          <w:u w:val="single"/>
          <w14:textFill>
            <w14:solidFill>
              <w14:schemeClr w14:val="tx1"/>
            </w14:solidFill>
          </w14:textFill>
        </w:rPr>
      </w:pPr>
    </w:p>
    <w:p w14:paraId="1FE3406F">
      <w:pPr>
        <w:pStyle w:val="14"/>
        <w:pageBreakBefore w:val="0"/>
        <w:kinsoku/>
        <w:wordWrap/>
        <w:overflowPunct/>
        <w:topLinePunct w:val="0"/>
        <w:bidi w:val="0"/>
        <w:outlineLvl w:val="9"/>
        <w:rPr>
          <w:color w:val="000000" w:themeColor="text1"/>
          <w:highlight w:val="none"/>
          <w14:textFill>
            <w14:solidFill>
              <w14:schemeClr w14:val="tx1"/>
            </w14:solidFill>
          </w14:textFill>
        </w:rPr>
      </w:pPr>
    </w:p>
    <w:p w14:paraId="6C2BAD66">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bookmarkStart w:id="332" w:name="_Toc495841797"/>
      <w:bookmarkStart w:id="333" w:name="_Toc12988"/>
    </w:p>
    <w:p w14:paraId="62A82268">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p>
    <w:p w14:paraId="673CCF76">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p>
    <w:p w14:paraId="22EFE059">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p>
    <w:p w14:paraId="677E812F">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p>
    <w:p w14:paraId="7B2ED385">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p>
    <w:p w14:paraId="4E75814A">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p>
    <w:p w14:paraId="0CEDC3FC">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p>
    <w:p w14:paraId="188454B2">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p>
    <w:p w14:paraId="27B1E258">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p>
    <w:p w14:paraId="6A3153C3">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5</w:t>
      </w:r>
      <w:r>
        <w:rPr>
          <w:rFonts w:hint="eastAsia" w:ascii="宋体" w:hAnsi="宋体" w:cs="宋体"/>
          <w:b/>
          <w:bCs/>
          <w:color w:val="000000" w:themeColor="text1"/>
          <w:sz w:val="32"/>
          <w:szCs w:val="32"/>
          <w:highlight w:val="none"/>
          <w14:textFill>
            <w14:solidFill>
              <w14:schemeClr w14:val="tx1"/>
            </w14:solidFill>
          </w14:textFill>
        </w:rPr>
        <w:t>.服务承诺书（</w:t>
      </w:r>
      <w:r>
        <w:rPr>
          <w:rFonts w:hint="eastAsia" w:ascii="宋体" w:hAnsi="宋体" w:cs="宋体"/>
          <w:b/>
          <w:bCs/>
          <w:color w:val="000000" w:themeColor="text1"/>
          <w:sz w:val="32"/>
          <w:szCs w:val="32"/>
          <w:highlight w:val="none"/>
          <w:lang w:eastAsia="zh-CN"/>
          <w14:textFill>
            <w14:solidFill>
              <w14:schemeClr w14:val="tx1"/>
            </w14:solidFill>
          </w14:textFill>
        </w:rPr>
        <w:t>由供应商根据本项目服务采购需求、特点及评标办法自行编写</w:t>
      </w:r>
      <w:r>
        <w:rPr>
          <w:rFonts w:hint="eastAsia" w:ascii="宋体" w:hAnsi="宋体" w:cs="宋体"/>
          <w:b/>
          <w:bCs/>
          <w:color w:val="000000" w:themeColor="text1"/>
          <w:sz w:val="32"/>
          <w:szCs w:val="32"/>
          <w:highlight w:val="none"/>
          <w14:textFill>
            <w14:solidFill>
              <w14:schemeClr w14:val="tx1"/>
            </w14:solidFill>
          </w14:textFill>
        </w:rPr>
        <w:t>）（必须提供）</w:t>
      </w:r>
      <w:bookmarkEnd w:id="332"/>
      <w:bookmarkEnd w:id="333"/>
    </w:p>
    <w:p w14:paraId="01674B84">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附件：</w:t>
      </w:r>
    </w:p>
    <w:p w14:paraId="72C8BB1A">
      <w:pPr>
        <w:pageBreakBefore w:val="0"/>
        <w:kinsoku/>
        <w:wordWrap/>
        <w:overflowPunct/>
        <w:topLinePunct w:val="0"/>
        <w:bidi w:val="0"/>
        <w:ind w:firstLine="472" w:firstLineChars="147"/>
        <w:jc w:val="center"/>
        <w:outlineLvl w:val="9"/>
        <w:rPr>
          <w:rFonts w:ascii="宋体" w:hAnsi="宋体" w:cs="宋体"/>
          <w:b/>
          <w:bCs/>
          <w:color w:val="000000" w:themeColor="text1"/>
          <w:sz w:val="32"/>
          <w:szCs w:val="32"/>
          <w:highlight w:val="none"/>
          <w14:textFill>
            <w14:solidFill>
              <w14:schemeClr w14:val="tx1"/>
            </w14:solidFill>
          </w14:textFill>
        </w:rPr>
      </w:pPr>
    </w:p>
    <w:p w14:paraId="19BEBE79">
      <w:pPr>
        <w:pStyle w:val="14"/>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p>
    <w:p w14:paraId="459DE7DF">
      <w:pPr>
        <w:pageBreakBefore w:val="0"/>
        <w:kinsoku/>
        <w:wordWrap/>
        <w:overflowPunct/>
        <w:topLinePunct w:val="0"/>
        <w:bidi w:val="0"/>
        <w:ind w:firstLine="472" w:firstLineChars="147"/>
        <w:jc w:val="center"/>
        <w:outlineLvl w:val="9"/>
        <w:rPr>
          <w:rFonts w:ascii="宋体" w:hAnsi="宋体" w:cs="宋体"/>
          <w:b/>
          <w:bCs/>
          <w:color w:val="000000" w:themeColor="text1"/>
          <w:sz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服务承诺书</w:t>
      </w:r>
      <w:r>
        <w:rPr>
          <w:rFonts w:hint="eastAsia" w:ascii="宋体" w:hAnsi="宋体" w:cs="宋体"/>
          <w:b/>
          <w:bCs/>
          <w:color w:val="000000" w:themeColor="text1"/>
          <w:sz w:val="32"/>
          <w:highlight w:val="none"/>
          <w14:textFill>
            <w14:solidFill>
              <w14:schemeClr w14:val="tx1"/>
            </w14:solidFill>
          </w14:textFill>
        </w:rPr>
        <w:t>（格式）</w:t>
      </w:r>
    </w:p>
    <w:p w14:paraId="55D52D87">
      <w:pPr>
        <w:pageBreakBefore w:val="0"/>
        <w:kinsoku/>
        <w:wordWrap/>
        <w:overflowPunct/>
        <w:topLinePunct w:val="0"/>
        <w:bidi w:val="0"/>
        <w:spacing w:line="400" w:lineRule="exact"/>
        <w:outlineLvl w:val="9"/>
        <w:rPr>
          <w:rFonts w:ascii="宋体" w:hAnsi="宋体" w:cs="宋体"/>
          <w:color w:val="000000" w:themeColor="text1"/>
          <w:sz w:val="32"/>
          <w:szCs w:val="32"/>
          <w:highlight w:val="none"/>
          <w14:textFill>
            <w14:solidFill>
              <w14:schemeClr w14:val="tx1"/>
            </w14:solidFill>
          </w14:textFill>
        </w:rPr>
      </w:pPr>
    </w:p>
    <w:p w14:paraId="6E4073E0">
      <w:pPr>
        <w:pStyle w:val="49"/>
        <w:pageBreakBefore w:val="0"/>
        <w:kinsoku/>
        <w:wordWrap/>
        <w:overflowPunct/>
        <w:topLinePunct w:val="0"/>
        <w:bidi w:val="0"/>
        <w:outlineLvl w:val="9"/>
        <w:rPr>
          <w:color w:val="000000" w:themeColor="text1"/>
          <w:highlight w:val="none"/>
          <w14:textFill>
            <w14:solidFill>
              <w14:schemeClr w14:val="tx1"/>
            </w14:solidFill>
          </w14:textFill>
        </w:rPr>
      </w:pPr>
    </w:p>
    <w:p w14:paraId="39AA3E6E">
      <w:pPr>
        <w:pageBreakBefore w:val="0"/>
        <w:kinsoku/>
        <w:wordWrap/>
        <w:overflowPunct/>
        <w:topLinePunct w:val="0"/>
        <w:bidi w:val="0"/>
        <w:spacing w:line="400" w:lineRule="exact"/>
        <w:outlineLvl w:val="9"/>
        <w:rPr>
          <w:rFonts w:ascii="宋体" w:hAnsi="宋体" w:cs="宋体"/>
          <w:color w:val="000000" w:themeColor="text1"/>
          <w:sz w:val="32"/>
          <w:szCs w:val="32"/>
          <w:highlight w:val="none"/>
          <w14:textFill>
            <w14:solidFill>
              <w14:schemeClr w14:val="tx1"/>
            </w14:solidFill>
          </w14:textFill>
        </w:rPr>
      </w:pPr>
    </w:p>
    <w:p w14:paraId="5329C4B9">
      <w:pPr>
        <w:pageBreakBefore w:val="0"/>
        <w:kinsoku/>
        <w:wordWrap/>
        <w:overflowPunct/>
        <w:topLinePunct w:val="0"/>
        <w:bidi w:val="0"/>
        <w:spacing w:line="400" w:lineRule="exact"/>
        <w:outlineLvl w:val="9"/>
        <w:rPr>
          <w:rFonts w:ascii="宋体" w:hAnsi="宋体" w:cs="宋体"/>
          <w:color w:val="000000" w:themeColor="text1"/>
          <w:sz w:val="32"/>
          <w:szCs w:val="32"/>
          <w:highlight w:val="none"/>
          <w14:textFill>
            <w14:solidFill>
              <w14:schemeClr w14:val="tx1"/>
            </w14:solidFill>
          </w14:textFill>
        </w:rPr>
      </w:pPr>
    </w:p>
    <w:p w14:paraId="046CC0FB">
      <w:pPr>
        <w:pageBreakBefore w:val="0"/>
        <w:kinsoku/>
        <w:wordWrap/>
        <w:overflowPunct/>
        <w:topLinePunct w:val="0"/>
        <w:bidi w:val="0"/>
        <w:spacing w:line="400" w:lineRule="exact"/>
        <w:outlineLvl w:val="9"/>
        <w:rPr>
          <w:rFonts w:ascii="宋体" w:hAnsi="宋体" w:cs="宋体"/>
          <w:color w:val="000000" w:themeColor="text1"/>
          <w:sz w:val="32"/>
          <w:szCs w:val="32"/>
          <w:highlight w:val="none"/>
          <w14:textFill>
            <w14:solidFill>
              <w14:schemeClr w14:val="tx1"/>
            </w14:solidFill>
          </w14:textFill>
        </w:rPr>
      </w:pPr>
    </w:p>
    <w:p w14:paraId="5B341381">
      <w:pPr>
        <w:pageBreakBefore w:val="0"/>
        <w:kinsoku/>
        <w:wordWrap/>
        <w:overflowPunct/>
        <w:topLinePunct w:val="0"/>
        <w:bidi w:val="0"/>
        <w:spacing w:line="340" w:lineRule="exact"/>
        <w:outlineLvl w:val="9"/>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供应商（CA签章，自然人除外）：</w:t>
      </w:r>
    </w:p>
    <w:p w14:paraId="77DD3026">
      <w:pPr>
        <w:pageBreakBefore w:val="0"/>
        <w:kinsoku/>
        <w:wordWrap/>
        <w:overflowPunct/>
        <w:topLinePunct w:val="0"/>
        <w:bidi w:val="0"/>
        <w:spacing w:line="340" w:lineRule="exact"/>
        <w:outlineLvl w:val="9"/>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法定代表人（负责人或自然人）或相应的委托代理人签字或个人CA签章（属自然人的应在签名处加盖食指指印或个人CA签章）：</w:t>
      </w:r>
    </w:p>
    <w:p w14:paraId="7B8D1E68">
      <w:pPr>
        <w:pageBreakBefore w:val="0"/>
        <w:tabs>
          <w:tab w:val="left" w:pos="1305"/>
        </w:tabs>
        <w:kinsoku/>
        <w:wordWrap/>
        <w:overflowPunct/>
        <w:topLinePunct w:val="0"/>
        <w:bidi w:val="0"/>
        <w:spacing w:line="340" w:lineRule="exact"/>
        <w:outlineLvl w:val="9"/>
        <w:rPr>
          <w:rFonts w:ascii="宋体" w:hAnsi="宋体" w:cs="宋体"/>
          <w:bCs/>
          <w:color w:val="000000" w:themeColor="text1"/>
          <w:szCs w:val="21"/>
          <w:highlight w:val="none"/>
          <w:u w:val="single"/>
          <w14:textFill>
            <w14:solidFill>
              <w14:schemeClr w14:val="tx1"/>
            </w14:solidFill>
          </w14:textFill>
        </w:rPr>
      </w:pPr>
      <w:r>
        <w:rPr>
          <w:rFonts w:ascii="宋体" w:hAnsi="宋体" w:cs="宋体"/>
          <w:bCs/>
          <w:color w:val="000000" w:themeColor="text1"/>
          <w:szCs w:val="21"/>
          <w:highlight w:val="none"/>
          <w14:textFill>
            <w14:solidFill>
              <w14:schemeClr w14:val="tx1"/>
            </w14:solidFill>
          </w14:textFill>
        </w:rPr>
        <w:t>日期：</w:t>
      </w:r>
      <w:r>
        <w:rPr>
          <w:rFonts w:hint="eastAsia" w:ascii="宋体" w:hAnsi="宋体" w:cs="宋体"/>
          <w:bCs/>
          <w:color w:val="000000" w:themeColor="text1"/>
          <w:szCs w:val="21"/>
          <w:highlight w:val="none"/>
          <w:lang w:val="en-US" w:eastAsia="zh-CN"/>
          <w14:textFill>
            <w14:solidFill>
              <w14:schemeClr w14:val="tx1"/>
            </w14:solidFill>
          </w14:textFill>
        </w:rPr>
        <w:t xml:space="preserve">   </w:t>
      </w:r>
      <w:r>
        <w:rPr>
          <w:rFonts w:ascii="宋体" w:hAnsi="宋体" w:cs="宋体"/>
          <w:bCs/>
          <w:color w:val="000000" w:themeColor="text1"/>
          <w:szCs w:val="21"/>
          <w:highlight w:val="none"/>
          <w14:textFill>
            <w14:solidFill>
              <w14:schemeClr w14:val="tx1"/>
            </w14:solidFill>
          </w14:textFill>
        </w:rPr>
        <w:t>年</w:t>
      </w:r>
      <w:r>
        <w:rPr>
          <w:rFonts w:hint="eastAsia" w:ascii="宋体" w:hAnsi="宋体" w:cs="宋体"/>
          <w:bCs/>
          <w:color w:val="000000" w:themeColor="text1"/>
          <w:szCs w:val="21"/>
          <w:highlight w:val="none"/>
          <w:lang w:val="en-US" w:eastAsia="zh-CN"/>
          <w14:textFill>
            <w14:solidFill>
              <w14:schemeClr w14:val="tx1"/>
            </w14:solidFill>
          </w14:textFill>
        </w:rPr>
        <w:t xml:space="preserve">  </w:t>
      </w:r>
      <w:r>
        <w:rPr>
          <w:rFonts w:ascii="宋体" w:hAnsi="宋体" w:cs="宋体"/>
          <w:bCs/>
          <w:color w:val="000000" w:themeColor="text1"/>
          <w:szCs w:val="21"/>
          <w:highlight w:val="none"/>
          <w14:textFill>
            <w14:solidFill>
              <w14:schemeClr w14:val="tx1"/>
            </w14:solidFill>
          </w14:textFill>
        </w:rPr>
        <w:t>月</w:t>
      </w:r>
      <w:r>
        <w:rPr>
          <w:rFonts w:hint="eastAsia" w:ascii="宋体" w:hAnsi="宋体" w:cs="宋体"/>
          <w:bCs/>
          <w:color w:val="000000" w:themeColor="text1"/>
          <w:szCs w:val="21"/>
          <w:highlight w:val="none"/>
          <w:lang w:val="en-US" w:eastAsia="zh-CN"/>
          <w14:textFill>
            <w14:solidFill>
              <w14:schemeClr w14:val="tx1"/>
            </w14:solidFill>
          </w14:textFill>
        </w:rPr>
        <w:t xml:space="preserve">  </w:t>
      </w:r>
      <w:r>
        <w:rPr>
          <w:rFonts w:ascii="宋体" w:hAnsi="宋体" w:cs="宋体"/>
          <w:bCs/>
          <w:color w:val="000000" w:themeColor="text1"/>
          <w:szCs w:val="21"/>
          <w:highlight w:val="none"/>
          <w14:textFill>
            <w14:solidFill>
              <w14:schemeClr w14:val="tx1"/>
            </w14:solidFill>
          </w14:textFill>
        </w:rPr>
        <w:t>日</w:t>
      </w:r>
    </w:p>
    <w:p w14:paraId="6FD47EAE">
      <w:pPr>
        <w:pStyle w:val="14"/>
        <w:pageBreakBefore w:val="0"/>
        <w:kinsoku/>
        <w:wordWrap/>
        <w:overflowPunct/>
        <w:topLinePunct w:val="0"/>
        <w:bidi w:val="0"/>
        <w:outlineLvl w:val="9"/>
        <w:rPr>
          <w:color w:val="000000" w:themeColor="text1"/>
          <w:highlight w:val="none"/>
          <w14:textFill>
            <w14:solidFill>
              <w14:schemeClr w14:val="tx1"/>
            </w14:solidFill>
          </w14:textFill>
        </w:rPr>
      </w:pPr>
    </w:p>
    <w:p w14:paraId="460CBFA3">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p>
    <w:p w14:paraId="7220B5BD">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6</w:t>
      </w:r>
      <w:r>
        <w:rPr>
          <w:rFonts w:hint="eastAsia" w:ascii="宋体" w:hAnsi="宋体" w:cs="宋体"/>
          <w:b/>
          <w:bCs/>
          <w:color w:val="000000" w:themeColor="text1"/>
          <w:sz w:val="32"/>
          <w:szCs w:val="32"/>
          <w:highlight w:val="none"/>
          <w14:textFill>
            <w14:solidFill>
              <w14:schemeClr w14:val="tx1"/>
            </w14:solidFill>
          </w14:textFill>
        </w:rPr>
        <w:t>.项目实施方案（格式见附件）（如有，请提供）；</w:t>
      </w:r>
    </w:p>
    <w:p w14:paraId="6BE91895">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附件：</w:t>
      </w:r>
    </w:p>
    <w:p w14:paraId="6860EEF5">
      <w:pPr>
        <w:pStyle w:val="14"/>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p>
    <w:p w14:paraId="69BC1D52">
      <w:pPr>
        <w:pStyle w:val="14"/>
        <w:pageBreakBefore w:val="0"/>
        <w:kinsoku/>
        <w:wordWrap/>
        <w:overflowPunct/>
        <w:topLinePunct w:val="0"/>
        <w:bidi w:val="0"/>
        <w:outlineLvl w:val="9"/>
        <w:rPr>
          <w:color w:val="000000" w:themeColor="text1"/>
          <w:highlight w:val="none"/>
          <w14:textFill>
            <w14:solidFill>
              <w14:schemeClr w14:val="tx1"/>
            </w14:solidFill>
          </w14:textFill>
        </w:rPr>
      </w:pPr>
    </w:p>
    <w:p w14:paraId="70BDB757">
      <w:pPr>
        <w:pageBreakBefore w:val="0"/>
        <w:kinsoku/>
        <w:wordWrap/>
        <w:overflowPunct/>
        <w:topLinePunct w:val="0"/>
        <w:bidi w:val="0"/>
        <w:outlineLvl w:val="9"/>
        <w:rPr>
          <w:color w:val="000000" w:themeColor="text1"/>
          <w:highlight w:val="none"/>
          <w14:textFill>
            <w14:solidFill>
              <w14:schemeClr w14:val="tx1"/>
            </w14:solidFill>
          </w14:textFill>
        </w:rPr>
      </w:pPr>
    </w:p>
    <w:p w14:paraId="392F7BAB">
      <w:pPr>
        <w:pStyle w:val="17"/>
        <w:pageBreakBefore w:val="0"/>
        <w:kinsoku/>
        <w:wordWrap/>
        <w:overflowPunct/>
        <w:topLinePunct w:val="0"/>
        <w:bidi w:val="0"/>
        <w:spacing w:line="340" w:lineRule="exact"/>
        <w:jc w:val="center"/>
        <w:outlineLvl w:val="9"/>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项目实施方案 （格式）</w:t>
      </w:r>
    </w:p>
    <w:p w14:paraId="2919D942">
      <w:pPr>
        <w:pageBreakBefore w:val="0"/>
        <w:widowControl/>
        <w:kinsoku/>
        <w:wordWrap/>
        <w:overflowPunct/>
        <w:topLinePunct w:val="0"/>
        <w:bidi w:val="0"/>
        <w:jc w:val="left"/>
        <w:outlineLvl w:val="9"/>
        <w:rPr>
          <w:rFonts w:hint="eastAsia" w:ascii="宋体" w:hAnsi="宋体" w:cs="宋体"/>
          <w:b/>
          <w:bCs/>
          <w:color w:val="000000" w:themeColor="text1"/>
          <w:sz w:val="32"/>
          <w:szCs w:val="32"/>
          <w:highlight w:val="none"/>
          <w:lang w:eastAsia="zh-CN"/>
          <w14:textFill>
            <w14:solidFill>
              <w14:schemeClr w14:val="tx1"/>
            </w14:solidFill>
          </w14:textFill>
        </w:rPr>
      </w:pPr>
    </w:p>
    <w:p w14:paraId="4787A6CA">
      <w:pPr>
        <w:pageBreakBefore w:val="0"/>
        <w:widowControl/>
        <w:kinsoku/>
        <w:wordWrap/>
        <w:overflowPunct/>
        <w:topLinePunct w:val="0"/>
        <w:bidi w:val="0"/>
        <w:jc w:val="left"/>
        <w:outlineLvl w:val="9"/>
        <w:rPr>
          <w:rFonts w:hint="eastAsia" w:ascii="宋体" w:hAnsi="宋体" w:cs="宋体"/>
          <w:b/>
          <w:bCs/>
          <w:color w:val="000000" w:themeColor="text1"/>
          <w:sz w:val="32"/>
          <w:szCs w:val="32"/>
          <w:highlight w:val="none"/>
          <w:lang w:eastAsia="zh-CN"/>
          <w14:textFill>
            <w14:solidFill>
              <w14:schemeClr w14:val="tx1"/>
            </w14:solidFill>
          </w14:textFill>
        </w:rPr>
      </w:pPr>
    </w:p>
    <w:p w14:paraId="23C5EC3A">
      <w:pPr>
        <w:pageBreakBefore w:val="0"/>
        <w:kinsoku/>
        <w:wordWrap/>
        <w:overflowPunct/>
        <w:topLinePunct w:val="0"/>
        <w:bidi w:val="0"/>
        <w:spacing w:line="340" w:lineRule="exact"/>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根据本项目服务采购需求、特点及评标办法自行编写</w:t>
      </w:r>
    </w:p>
    <w:p w14:paraId="7E6A89BA">
      <w:pPr>
        <w:pageBreakBefore w:val="0"/>
        <w:kinsoku/>
        <w:wordWrap/>
        <w:overflowPunct/>
        <w:topLinePunct w:val="0"/>
        <w:bidi w:val="0"/>
        <w:spacing w:line="340" w:lineRule="exact"/>
        <w:outlineLvl w:val="9"/>
        <w:rPr>
          <w:rFonts w:hint="eastAsia" w:ascii="宋体" w:hAnsi="宋体" w:cs="宋体"/>
          <w:color w:val="000000" w:themeColor="text1"/>
          <w:szCs w:val="21"/>
          <w:highlight w:val="none"/>
          <w14:textFill>
            <w14:solidFill>
              <w14:schemeClr w14:val="tx1"/>
            </w14:solidFill>
          </w14:textFill>
        </w:rPr>
      </w:pPr>
    </w:p>
    <w:p w14:paraId="6E5E7DED">
      <w:pPr>
        <w:pageBreakBefore w:val="0"/>
        <w:kinsoku/>
        <w:wordWrap/>
        <w:overflowPunct/>
        <w:topLinePunct w:val="0"/>
        <w:bidi w:val="0"/>
        <w:spacing w:line="340" w:lineRule="exact"/>
        <w:outlineLvl w:val="9"/>
        <w:rPr>
          <w:rFonts w:hint="eastAsia" w:ascii="宋体" w:hAnsi="宋体" w:cs="宋体"/>
          <w:color w:val="000000" w:themeColor="text1"/>
          <w:szCs w:val="21"/>
          <w:highlight w:val="none"/>
          <w14:textFill>
            <w14:solidFill>
              <w14:schemeClr w14:val="tx1"/>
            </w14:solidFill>
          </w14:textFill>
        </w:rPr>
      </w:pPr>
    </w:p>
    <w:p w14:paraId="7B0444A9">
      <w:pPr>
        <w:pageBreakBefore w:val="0"/>
        <w:kinsoku/>
        <w:wordWrap/>
        <w:overflowPunct/>
        <w:topLinePunct w:val="0"/>
        <w:bidi w:val="0"/>
        <w:spacing w:line="340" w:lineRule="exact"/>
        <w:outlineLvl w:val="9"/>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供应商（CA签章，自然人除外）：</w:t>
      </w:r>
    </w:p>
    <w:p w14:paraId="6DCAEE32">
      <w:pPr>
        <w:pageBreakBefore w:val="0"/>
        <w:kinsoku/>
        <w:wordWrap/>
        <w:overflowPunct/>
        <w:topLinePunct w:val="0"/>
        <w:bidi w:val="0"/>
        <w:spacing w:line="340" w:lineRule="exact"/>
        <w:outlineLvl w:val="9"/>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法定代表人（负责人或自然人）或相应的委托代理人签字或个人CA签章（属自然人的应在签名处加盖食指指印或个人CA签章）：</w:t>
      </w:r>
    </w:p>
    <w:p w14:paraId="1D20D619">
      <w:pPr>
        <w:pageBreakBefore w:val="0"/>
        <w:tabs>
          <w:tab w:val="left" w:pos="1305"/>
        </w:tabs>
        <w:kinsoku/>
        <w:wordWrap/>
        <w:overflowPunct/>
        <w:topLinePunct w:val="0"/>
        <w:bidi w:val="0"/>
        <w:spacing w:line="340" w:lineRule="exact"/>
        <w:outlineLvl w:val="9"/>
        <w:rPr>
          <w:rFonts w:ascii="宋体" w:hAnsi="宋体" w:cs="宋体"/>
          <w:bCs/>
          <w:color w:val="000000" w:themeColor="text1"/>
          <w:szCs w:val="21"/>
          <w:highlight w:val="none"/>
          <w:u w:val="single"/>
          <w14:textFill>
            <w14:solidFill>
              <w14:schemeClr w14:val="tx1"/>
            </w14:solidFill>
          </w14:textFill>
        </w:rPr>
      </w:pPr>
      <w:r>
        <w:rPr>
          <w:rFonts w:ascii="宋体" w:hAnsi="宋体" w:cs="宋体"/>
          <w:bCs/>
          <w:color w:val="000000" w:themeColor="text1"/>
          <w:szCs w:val="21"/>
          <w:highlight w:val="none"/>
          <w14:textFill>
            <w14:solidFill>
              <w14:schemeClr w14:val="tx1"/>
            </w14:solidFill>
          </w14:textFill>
        </w:rPr>
        <w:t>日期：</w:t>
      </w:r>
      <w:r>
        <w:rPr>
          <w:rFonts w:hint="eastAsia" w:ascii="宋体" w:hAnsi="宋体" w:cs="宋体"/>
          <w:bCs/>
          <w:color w:val="000000" w:themeColor="text1"/>
          <w:szCs w:val="21"/>
          <w:highlight w:val="none"/>
          <w:lang w:val="en-US" w:eastAsia="zh-CN"/>
          <w14:textFill>
            <w14:solidFill>
              <w14:schemeClr w14:val="tx1"/>
            </w14:solidFill>
          </w14:textFill>
        </w:rPr>
        <w:t xml:space="preserve">  </w:t>
      </w:r>
      <w:r>
        <w:rPr>
          <w:rFonts w:ascii="宋体" w:hAnsi="宋体" w:cs="宋体"/>
          <w:bCs/>
          <w:color w:val="000000" w:themeColor="text1"/>
          <w:szCs w:val="21"/>
          <w:highlight w:val="none"/>
          <w14:textFill>
            <w14:solidFill>
              <w14:schemeClr w14:val="tx1"/>
            </w14:solidFill>
          </w14:textFill>
        </w:rPr>
        <w:t>年</w:t>
      </w:r>
      <w:r>
        <w:rPr>
          <w:rFonts w:hint="eastAsia" w:ascii="宋体" w:hAnsi="宋体" w:cs="宋体"/>
          <w:bCs/>
          <w:color w:val="000000" w:themeColor="text1"/>
          <w:szCs w:val="21"/>
          <w:highlight w:val="none"/>
          <w:lang w:val="en-US" w:eastAsia="zh-CN"/>
          <w14:textFill>
            <w14:solidFill>
              <w14:schemeClr w14:val="tx1"/>
            </w14:solidFill>
          </w14:textFill>
        </w:rPr>
        <w:t xml:space="preserve">  </w:t>
      </w:r>
      <w:r>
        <w:rPr>
          <w:rFonts w:ascii="宋体" w:hAnsi="宋体" w:cs="宋体"/>
          <w:bCs/>
          <w:color w:val="000000" w:themeColor="text1"/>
          <w:szCs w:val="21"/>
          <w:highlight w:val="none"/>
          <w14:textFill>
            <w14:solidFill>
              <w14:schemeClr w14:val="tx1"/>
            </w14:solidFill>
          </w14:textFill>
        </w:rPr>
        <w:t>月</w:t>
      </w:r>
      <w:r>
        <w:rPr>
          <w:rFonts w:hint="eastAsia" w:ascii="宋体" w:hAnsi="宋体" w:cs="宋体"/>
          <w:bCs/>
          <w:color w:val="000000" w:themeColor="text1"/>
          <w:szCs w:val="21"/>
          <w:highlight w:val="none"/>
          <w:lang w:val="en-US" w:eastAsia="zh-CN"/>
          <w14:textFill>
            <w14:solidFill>
              <w14:schemeClr w14:val="tx1"/>
            </w14:solidFill>
          </w14:textFill>
        </w:rPr>
        <w:t xml:space="preserve">  </w:t>
      </w:r>
      <w:r>
        <w:rPr>
          <w:rFonts w:ascii="宋体" w:hAnsi="宋体" w:cs="宋体"/>
          <w:bCs/>
          <w:color w:val="000000" w:themeColor="text1"/>
          <w:szCs w:val="21"/>
          <w:highlight w:val="none"/>
          <w14:textFill>
            <w14:solidFill>
              <w14:schemeClr w14:val="tx1"/>
            </w14:solidFill>
          </w14:textFill>
        </w:rPr>
        <w:t>日</w:t>
      </w:r>
    </w:p>
    <w:p w14:paraId="320D4969">
      <w:pPr>
        <w:pageBreakBefore w:val="0"/>
        <w:kinsoku/>
        <w:wordWrap/>
        <w:overflowPunct/>
        <w:topLinePunct w:val="0"/>
        <w:bidi w:val="0"/>
        <w:outlineLvl w:val="9"/>
        <w:rPr>
          <w:color w:val="000000" w:themeColor="text1"/>
          <w:highlight w:val="none"/>
          <w14:textFill>
            <w14:solidFill>
              <w14:schemeClr w14:val="tx1"/>
            </w14:solidFill>
          </w14:textFill>
        </w:rPr>
      </w:pPr>
    </w:p>
    <w:p w14:paraId="3CCAFDB9">
      <w:pPr>
        <w:pageBreakBefore w:val="0"/>
        <w:kinsoku/>
        <w:wordWrap/>
        <w:overflowPunct/>
        <w:topLinePunct w:val="0"/>
        <w:bidi w:val="0"/>
        <w:outlineLvl w:val="9"/>
        <w:rPr>
          <w:rFonts w:hint="eastAsia" w:ascii="宋体" w:hAnsi="宋体" w:cs="宋体"/>
          <w:b/>
          <w:bCs/>
          <w:color w:val="000000" w:themeColor="text1"/>
          <w:sz w:val="32"/>
          <w:szCs w:val="32"/>
          <w:highlight w:val="none"/>
          <w:lang w:val="en-US" w:eastAsia="zh-CN"/>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br w:type="page"/>
      </w:r>
    </w:p>
    <w:p w14:paraId="42C61092">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7</w:t>
      </w:r>
      <w:r>
        <w:rPr>
          <w:rFonts w:hint="eastAsia" w:ascii="宋体" w:hAnsi="宋体" w:cs="宋体"/>
          <w:b/>
          <w:bCs/>
          <w:color w:val="000000" w:themeColor="text1"/>
          <w:sz w:val="32"/>
          <w:szCs w:val="32"/>
          <w:highlight w:val="none"/>
          <w14:textFill>
            <w14:solidFill>
              <w14:schemeClr w14:val="tx1"/>
            </w14:solidFill>
          </w14:textFill>
        </w:rPr>
        <w:t>.项目实施人员一览表（格式见附件）【如有，请提供】</w:t>
      </w:r>
    </w:p>
    <w:p w14:paraId="43767932">
      <w:pPr>
        <w:pageBreakBefore w:val="0"/>
        <w:kinsoku/>
        <w:wordWrap/>
        <w:overflowPunct/>
        <w:topLinePunct w:val="0"/>
        <w:bidi w:val="0"/>
        <w:jc w:val="left"/>
        <w:outlineLvl w:val="9"/>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附件：</w:t>
      </w:r>
    </w:p>
    <w:p w14:paraId="331449EF">
      <w:pPr>
        <w:pageBreakBefore w:val="0"/>
        <w:kinsoku/>
        <w:wordWrap/>
        <w:overflowPunct/>
        <w:topLinePunct w:val="0"/>
        <w:bidi w:val="0"/>
        <w:jc w:val="center"/>
        <w:outlineLvl w:val="9"/>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项目实施人员一览表（格式）</w:t>
      </w:r>
    </w:p>
    <w:p w14:paraId="2C651657">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p>
    <w:tbl>
      <w:tblPr>
        <w:tblStyle w:val="3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993"/>
        <w:gridCol w:w="1888"/>
        <w:gridCol w:w="1559"/>
        <w:gridCol w:w="2163"/>
        <w:gridCol w:w="1477"/>
      </w:tblGrid>
      <w:tr w14:paraId="2C403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8DB3E2"/>
            <w:vAlign w:val="center"/>
          </w:tcPr>
          <w:p w14:paraId="3D16CA24">
            <w:pPr>
              <w:pageBreakBefore w:val="0"/>
              <w:kinsoku/>
              <w:wordWrap/>
              <w:overflowPunct/>
              <w:topLinePunct w:val="0"/>
              <w:bidi w:val="0"/>
              <w:spacing w:line="400" w:lineRule="exact"/>
              <w:jc w:val="center"/>
              <w:outlineLvl w:val="9"/>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姓 名</w:t>
            </w:r>
          </w:p>
        </w:tc>
        <w:tc>
          <w:tcPr>
            <w:tcW w:w="993" w:type="dxa"/>
            <w:shd w:val="clear" w:color="auto" w:fill="8DB3E2"/>
            <w:vAlign w:val="center"/>
          </w:tcPr>
          <w:p w14:paraId="2E55AC4F">
            <w:pPr>
              <w:pageBreakBefore w:val="0"/>
              <w:kinsoku/>
              <w:wordWrap/>
              <w:overflowPunct/>
              <w:topLinePunct w:val="0"/>
              <w:bidi w:val="0"/>
              <w:spacing w:line="400" w:lineRule="exact"/>
              <w:jc w:val="center"/>
              <w:outlineLvl w:val="9"/>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职务</w:t>
            </w:r>
          </w:p>
        </w:tc>
        <w:tc>
          <w:tcPr>
            <w:tcW w:w="1888" w:type="dxa"/>
            <w:shd w:val="clear" w:color="auto" w:fill="8DB3E2"/>
            <w:vAlign w:val="center"/>
          </w:tcPr>
          <w:p w14:paraId="27C01563">
            <w:pPr>
              <w:pageBreakBefore w:val="0"/>
              <w:kinsoku/>
              <w:wordWrap/>
              <w:overflowPunct/>
              <w:topLinePunct w:val="0"/>
              <w:bidi w:val="0"/>
              <w:spacing w:line="400" w:lineRule="exact"/>
              <w:jc w:val="center"/>
              <w:outlineLvl w:val="9"/>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专业技术资格</w:t>
            </w:r>
          </w:p>
        </w:tc>
        <w:tc>
          <w:tcPr>
            <w:tcW w:w="1559" w:type="dxa"/>
            <w:shd w:val="clear" w:color="auto" w:fill="8DB3E2"/>
            <w:vAlign w:val="center"/>
          </w:tcPr>
          <w:p w14:paraId="0F0143C5">
            <w:pPr>
              <w:pageBreakBefore w:val="0"/>
              <w:kinsoku/>
              <w:wordWrap/>
              <w:overflowPunct/>
              <w:topLinePunct w:val="0"/>
              <w:bidi w:val="0"/>
              <w:spacing w:line="400" w:lineRule="exact"/>
              <w:jc w:val="center"/>
              <w:outlineLvl w:val="9"/>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证书编号</w:t>
            </w:r>
          </w:p>
        </w:tc>
        <w:tc>
          <w:tcPr>
            <w:tcW w:w="2163" w:type="dxa"/>
            <w:shd w:val="clear" w:color="auto" w:fill="8DB3E2"/>
            <w:vAlign w:val="center"/>
          </w:tcPr>
          <w:p w14:paraId="3E919703">
            <w:pPr>
              <w:pageBreakBefore w:val="0"/>
              <w:kinsoku/>
              <w:wordWrap/>
              <w:overflowPunct/>
              <w:topLinePunct w:val="0"/>
              <w:bidi w:val="0"/>
              <w:spacing w:line="400" w:lineRule="exact"/>
              <w:jc w:val="center"/>
              <w:outlineLvl w:val="9"/>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参加工作时间</w:t>
            </w:r>
          </w:p>
        </w:tc>
        <w:tc>
          <w:tcPr>
            <w:tcW w:w="1477" w:type="dxa"/>
            <w:shd w:val="clear" w:color="auto" w:fill="8DB3E2"/>
            <w:vAlign w:val="center"/>
          </w:tcPr>
          <w:p w14:paraId="725B1BA3">
            <w:pPr>
              <w:pageBreakBefore w:val="0"/>
              <w:kinsoku/>
              <w:wordWrap/>
              <w:overflowPunct/>
              <w:topLinePunct w:val="0"/>
              <w:bidi w:val="0"/>
              <w:spacing w:line="400" w:lineRule="exact"/>
              <w:jc w:val="center"/>
              <w:outlineLvl w:val="9"/>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备注</w:t>
            </w:r>
          </w:p>
        </w:tc>
      </w:tr>
      <w:tr w14:paraId="5173F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3757C6D3">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993" w:type="dxa"/>
          </w:tcPr>
          <w:p w14:paraId="3D7351BD">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1888" w:type="dxa"/>
          </w:tcPr>
          <w:p w14:paraId="0C138546">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1559" w:type="dxa"/>
          </w:tcPr>
          <w:p w14:paraId="63EC7817">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2163" w:type="dxa"/>
          </w:tcPr>
          <w:p w14:paraId="01C7E3E6">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1477" w:type="dxa"/>
          </w:tcPr>
          <w:p w14:paraId="6C7EA45A">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r>
      <w:tr w14:paraId="5C4F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696096C4">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993" w:type="dxa"/>
          </w:tcPr>
          <w:p w14:paraId="3984D457">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1888" w:type="dxa"/>
          </w:tcPr>
          <w:p w14:paraId="37D2E01A">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1559" w:type="dxa"/>
          </w:tcPr>
          <w:p w14:paraId="2FEC1EC3">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2163" w:type="dxa"/>
          </w:tcPr>
          <w:p w14:paraId="1064E61A">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1477" w:type="dxa"/>
          </w:tcPr>
          <w:p w14:paraId="09DC1CF6">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r>
      <w:tr w14:paraId="6011E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77EA54B6">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993" w:type="dxa"/>
          </w:tcPr>
          <w:p w14:paraId="73C0B33D">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1888" w:type="dxa"/>
          </w:tcPr>
          <w:p w14:paraId="42A9255E">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1559" w:type="dxa"/>
          </w:tcPr>
          <w:p w14:paraId="6E0B6AE0">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2163" w:type="dxa"/>
          </w:tcPr>
          <w:p w14:paraId="47100A83">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1477" w:type="dxa"/>
          </w:tcPr>
          <w:p w14:paraId="4D70163C">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r>
      <w:tr w14:paraId="24C9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294028BD">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993" w:type="dxa"/>
          </w:tcPr>
          <w:p w14:paraId="1D67AB49">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1888" w:type="dxa"/>
          </w:tcPr>
          <w:p w14:paraId="2D22D415">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1559" w:type="dxa"/>
          </w:tcPr>
          <w:p w14:paraId="2C2EE4D3">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2163" w:type="dxa"/>
          </w:tcPr>
          <w:p w14:paraId="1E0D392A">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1477" w:type="dxa"/>
          </w:tcPr>
          <w:p w14:paraId="7C56B0CF">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r>
      <w:tr w14:paraId="5E102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712355D2">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993" w:type="dxa"/>
          </w:tcPr>
          <w:p w14:paraId="73A0463B">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1888" w:type="dxa"/>
          </w:tcPr>
          <w:p w14:paraId="66B349D4">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1559" w:type="dxa"/>
          </w:tcPr>
          <w:p w14:paraId="072448B9">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2163" w:type="dxa"/>
          </w:tcPr>
          <w:p w14:paraId="16069A9B">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1477" w:type="dxa"/>
          </w:tcPr>
          <w:p w14:paraId="1665E508">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r>
      <w:tr w14:paraId="4635E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2D409B0A">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993" w:type="dxa"/>
          </w:tcPr>
          <w:p w14:paraId="228890B9">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1888" w:type="dxa"/>
          </w:tcPr>
          <w:p w14:paraId="6C24C49F">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1559" w:type="dxa"/>
          </w:tcPr>
          <w:p w14:paraId="59980989">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2163" w:type="dxa"/>
          </w:tcPr>
          <w:p w14:paraId="38B2BDB0">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c>
          <w:tcPr>
            <w:tcW w:w="1477" w:type="dxa"/>
          </w:tcPr>
          <w:p w14:paraId="3C23D883">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tc>
      </w:tr>
    </w:tbl>
    <w:p w14:paraId="1E38DB1A">
      <w:pPr>
        <w:pageBreakBefore w:val="0"/>
        <w:kinsoku/>
        <w:wordWrap/>
        <w:overflowPunct/>
        <w:topLinePunct w:val="0"/>
        <w:bidi w:val="0"/>
        <w:spacing w:line="400" w:lineRule="exact"/>
        <w:outlineLvl w:val="9"/>
        <w:rPr>
          <w:rFonts w:ascii="宋体" w:hAnsi="宋体" w:cs="宋体"/>
          <w:color w:val="000000" w:themeColor="text1"/>
          <w:szCs w:val="21"/>
          <w:highlight w:val="none"/>
          <w14:textFill>
            <w14:solidFill>
              <w14:schemeClr w14:val="tx1"/>
            </w14:solidFill>
          </w14:textFill>
        </w:rPr>
      </w:pPr>
    </w:p>
    <w:p w14:paraId="063A35B6">
      <w:pPr>
        <w:pageBreakBefore w:val="0"/>
        <w:kinsoku/>
        <w:wordWrap/>
        <w:overflowPunct/>
        <w:topLinePunct w:val="0"/>
        <w:bidi w:val="0"/>
        <w:spacing w:line="400" w:lineRule="exact"/>
        <w:ind w:firstLine="422" w:firstLineChars="200"/>
        <w:outlineLvl w:val="9"/>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注：在填写时，如本表格不适合投标单位的实际情况，可根据本表格式自行制表填写。</w:t>
      </w:r>
    </w:p>
    <w:p w14:paraId="022B429D">
      <w:pPr>
        <w:pageBreakBefore w:val="0"/>
        <w:kinsoku/>
        <w:wordWrap/>
        <w:overflowPunct/>
        <w:topLinePunct w:val="0"/>
        <w:bidi w:val="0"/>
        <w:spacing w:line="400" w:lineRule="exact"/>
        <w:ind w:firstLine="3255" w:firstLineChars="1550"/>
        <w:outlineLvl w:val="9"/>
        <w:rPr>
          <w:rFonts w:ascii="宋体" w:hAnsi="宋体" w:cs="宋体"/>
          <w:color w:val="000000" w:themeColor="text1"/>
          <w:highlight w:val="none"/>
          <w14:textFill>
            <w14:solidFill>
              <w14:schemeClr w14:val="tx1"/>
            </w14:solidFill>
          </w14:textFill>
        </w:rPr>
      </w:pPr>
    </w:p>
    <w:p w14:paraId="50A73D0D">
      <w:pPr>
        <w:pageBreakBefore w:val="0"/>
        <w:kinsoku/>
        <w:wordWrap/>
        <w:overflowPunct/>
        <w:topLinePunct w:val="0"/>
        <w:bidi w:val="0"/>
        <w:spacing w:line="400" w:lineRule="exact"/>
        <w:ind w:firstLine="3255" w:firstLineChars="1550"/>
        <w:outlineLvl w:val="9"/>
        <w:rPr>
          <w:rFonts w:ascii="宋体" w:hAnsi="宋体" w:cs="宋体"/>
          <w:color w:val="000000" w:themeColor="text1"/>
          <w:highlight w:val="none"/>
          <w14:textFill>
            <w14:solidFill>
              <w14:schemeClr w14:val="tx1"/>
            </w14:solidFill>
          </w14:textFill>
        </w:rPr>
      </w:pPr>
    </w:p>
    <w:p w14:paraId="3ADE0886">
      <w:pPr>
        <w:pageBreakBefore w:val="0"/>
        <w:kinsoku/>
        <w:wordWrap/>
        <w:overflowPunct/>
        <w:topLinePunct w:val="0"/>
        <w:bidi w:val="0"/>
        <w:spacing w:line="340" w:lineRule="exact"/>
        <w:outlineLvl w:val="9"/>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供应商（CA签章，自然人除外）：</w:t>
      </w:r>
    </w:p>
    <w:p w14:paraId="72F9BD44">
      <w:pPr>
        <w:pageBreakBefore w:val="0"/>
        <w:kinsoku/>
        <w:wordWrap/>
        <w:overflowPunct/>
        <w:topLinePunct w:val="0"/>
        <w:bidi w:val="0"/>
        <w:spacing w:line="340" w:lineRule="exact"/>
        <w:outlineLvl w:val="9"/>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法定代表人（负责人或自然人）或相应的委托代理人签字或个人CA签章（属自然人的应在签名处加盖食指指印或个人CA签章）：</w:t>
      </w:r>
    </w:p>
    <w:p w14:paraId="71DEC991">
      <w:pPr>
        <w:pageBreakBefore w:val="0"/>
        <w:tabs>
          <w:tab w:val="left" w:pos="1305"/>
        </w:tabs>
        <w:kinsoku/>
        <w:wordWrap/>
        <w:overflowPunct/>
        <w:topLinePunct w:val="0"/>
        <w:bidi w:val="0"/>
        <w:spacing w:line="340" w:lineRule="exact"/>
        <w:outlineLvl w:val="9"/>
        <w:rPr>
          <w:rFonts w:ascii="宋体" w:hAnsi="宋体" w:cs="宋体"/>
          <w:bCs/>
          <w:color w:val="000000" w:themeColor="text1"/>
          <w:szCs w:val="21"/>
          <w:highlight w:val="none"/>
          <w:u w:val="single"/>
          <w14:textFill>
            <w14:solidFill>
              <w14:schemeClr w14:val="tx1"/>
            </w14:solidFill>
          </w14:textFill>
        </w:rPr>
      </w:pPr>
      <w:r>
        <w:rPr>
          <w:rFonts w:ascii="宋体" w:hAnsi="宋体" w:cs="宋体"/>
          <w:bCs/>
          <w:color w:val="000000" w:themeColor="text1"/>
          <w:szCs w:val="21"/>
          <w:highlight w:val="none"/>
          <w14:textFill>
            <w14:solidFill>
              <w14:schemeClr w14:val="tx1"/>
            </w14:solidFill>
          </w14:textFill>
        </w:rPr>
        <w:t>日期：</w:t>
      </w:r>
      <w:r>
        <w:rPr>
          <w:rFonts w:hint="eastAsia" w:ascii="宋体" w:hAnsi="宋体" w:cs="宋体"/>
          <w:bCs/>
          <w:color w:val="000000" w:themeColor="text1"/>
          <w:szCs w:val="21"/>
          <w:highlight w:val="none"/>
          <w:lang w:val="en-US" w:eastAsia="zh-CN"/>
          <w14:textFill>
            <w14:solidFill>
              <w14:schemeClr w14:val="tx1"/>
            </w14:solidFill>
          </w14:textFill>
        </w:rPr>
        <w:t xml:space="preserve">  </w:t>
      </w:r>
      <w:r>
        <w:rPr>
          <w:rFonts w:ascii="宋体" w:hAnsi="宋体" w:cs="宋体"/>
          <w:bCs/>
          <w:color w:val="000000" w:themeColor="text1"/>
          <w:szCs w:val="21"/>
          <w:highlight w:val="none"/>
          <w14:textFill>
            <w14:solidFill>
              <w14:schemeClr w14:val="tx1"/>
            </w14:solidFill>
          </w14:textFill>
        </w:rPr>
        <w:t>年</w:t>
      </w:r>
      <w:r>
        <w:rPr>
          <w:rFonts w:hint="eastAsia" w:ascii="宋体" w:hAnsi="宋体" w:cs="宋体"/>
          <w:bCs/>
          <w:color w:val="000000" w:themeColor="text1"/>
          <w:szCs w:val="21"/>
          <w:highlight w:val="none"/>
          <w:lang w:val="en-US" w:eastAsia="zh-CN"/>
          <w14:textFill>
            <w14:solidFill>
              <w14:schemeClr w14:val="tx1"/>
            </w14:solidFill>
          </w14:textFill>
        </w:rPr>
        <w:t xml:space="preserve">    </w:t>
      </w:r>
      <w:r>
        <w:rPr>
          <w:rFonts w:ascii="宋体" w:hAnsi="宋体" w:cs="宋体"/>
          <w:bCs/>
          <w:color w:val="000000" w:themeColor="text1"/>
          <w:szCs w:val="21"/>
          <w:highlight w:val="none"/>
          <w14:textFill>
            <w14:solidFill>
              <w14:schemeClr w14:val="tx1"/>
            </w14:solidFill>
          </w14:textFill>
        </w:rPr>
        <w:t>月</w:t>
      </w:r>
      <w:r>
        <w:rPr>
          <w:rFonts w:hint="eastAsia" w:ascii="宋体" w:hAnsi="宋体" w:cs="宋体"/>
          <w:bCs/>
          <w:color w:val="000000" w:themeColor="text1"/>
          <w:szCs w:val="21"/>
          <w:highlight w:val="none"/>
          <w:lang w:val="en-US" w:eastAsia="zh-CN"/>
          <w14:textFill>
            <w14:solidFill>
              <w14:schemeClr w14:val="tx1"/>
            </w14:solidFill>
          </w14:textFill>
        </w:rPr>
        <w:t xml:space="preserve">    </w:t>
      </w:r>
      <w:r>
        <w:rPr>
          <w:rFonts w:ascii="宋体" w:hAnsi="宋体" w:cs="宋体"/>
          <w:bCs/>
          <w:color w:val="000000" w:themeColor="text1"/>
          <w:szCs w:val="21"/>
          <w:highlight w:val="none"/>
          <w14:textFill>
            <w14:solidFill>
              <w14:schemeClr w14:val="tx1"/>
            </w14:solidFill>
          </w14:textFill>
        </w:rPr>
        <w:t>日</w:t>
      </w:r>
    </w:p>
    <w:p w14:paraId="78D29FCF">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bookmarkStart w:id="334" w:name="_Toc10856"/>
      <w:bookmarkStart w:id="335" w:name="_Toc495841799"/>
    </w:p>
    <w:bookmarkEnd w:id="334"/>
    <w:bookmarkEnd w:id="335"/>
    <w:p w14:paraId="573A3EC1">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p>
    <w:p w14:paraId="708648A7">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bookmarkStart w:id="336" w:name="_Toc6517"/>
      <w:bookmarkStart w:id="337" w:name="_Toc495841802"/>
      <w:r>
        <w:rPr>
          <w:rFonts w:hint="eastAsia" w:ascii="宋体" w:hAnsi="宋体" w:cs="宋体"/>
          <w:b/>
          <w:bCs/>
          <w:color w:val="000000" w:themeColor="text1"/>
          <w:sz w:val="32"/>
          <w:szCs w:val="32"/>
          <w:highlight w:val="none"/>
          <w:lang w:val="en-US" w:eastAsia="zh-CN"/>
          <w14:textFill>
            <w14:solidFill>
              <w14:schemeClr w14:val="tx1"/>
            </w14:solidFill>
          </w14:textFill>
        </w:rPr>
        <w:t>8</w:t>
      </w:r>
      <w:r>
        <w:rPr>
          <w:rFonts w:hint="eastAsia" w:ascii="宋体" w:hAnsi="宋体" w:cs="宋体"/>
          <w:b/>
          <w:bCs/>
          <w:color w:val="000000" w:themeColor="text1"/>
          <w:sz w:val="32"/>
          <w:szCs w:val="32"/>
          <w:highlight w:val="none"/>
          <w14:textFill>
            <w14:solidFill>
              <w14:schemeClr w14:val="tx1"/>
            </w14:solidFill>
          </w14:textFill>
        </w:rPr>
        <w:t>.</w:t>
      </w:r>
      <w:bookmarkEnd w:id="336"/>
      <w:bookmarkEnd w:id="337"/>
      <w:r>
        <w:rPr>
          <w:rFonts w:hint="eastAsia" w:ascii="宋体" w:hAnsi="宋体" w:cs="宋体"/>
          <w:b/>
          <w:bCs/>
          <w:color w:val="000000" w:themeColor="text1"/>
          <w:sz w:val="32"/>
          <w:szCs w:val="32"/>
          <w:highlight w:val="none"/>
          <w14:textFill>
            <w14:solidFill>
              <w14:schemeClr w14:val="tx1"/>
            </w14:solidFill>
          </w14:textFill>
        </w:rPr>
        <w:t>投标人2020年以来具有同类业绩的相关证明材料【以中标（成交）通知书或签订的合同复印件为准，并能清晰反映项目的名称、采购内容、采购金额、采购时间等内容】（</w:t>
      </w:r>
      <w:r>
        <w:rPr>
          <w:rFonts w:hint="eastAsia" w:ascii="宋体" w:hAnsi="宋体" w:cs="宋体"/>
          <w:b/>
          <w:bCs/>
          <w:color w:val="000000" w:themeColor="text1"/>
          <w:sz w:val="32"/>
          <w:szCs w:val="32"/>
          <w:highlight w:val="none"/>
          <w:lang w:eastAsia="zh-CN"/>
          <w14:textFill>
            <w14:solidFill>
              <w14:schemeClr w14:val="tx1"/>
            </w14:solidFill>
          </w14:textFill>
        </w:rPr>
        <w:t>如有，请提供</w:t>
      </w:r>
      <w:r>
        <w:rPr>
          <w:rFonts w:hint="eastAsia" w:ascii="宋体" w:hAnsi="宋体" w:cs="宋体"/>
          <w:b/>
          <w:bCs/>
          <w:color w:val="000000" w:themeColor="text1"/>
          <w:sz w:val="32"/>
          <w:szCs w:val="32"/>
          <w:highlight w:val="none"/>
          <w14:textFill>
            <w14:solidFill>
              <w14:schemeClr w14:val="tx1"/>
            </w14:solidFill>
          </w14:textFill>
        </w:rPr>
        <w:t>）；</w:t>
      </w:r>
    </w:p>
    <w:p w14:paraId="6A9E2700">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p>
    <w:p w14:paraId="5254967E">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p>
    <w:p w14:paraId="121E3AE4">
      <w:pPr>
        <w:pageBreakBefore w:val="0"/>
        <w:kinsoku/>
        <w:wordWrap/>
        <w:overflowPunct/>
        <w:topLinePunct w:val="0"/>
        <w:bidi w:val="0"/>
        <w:spacing w:line="460" w:lineRule="exact"/>
        <w:ind w:firstLine="9638" w:firstLineChars="3000"/>
        <w:outlineLvl w:val="9"/>
        <w:rPr>
          <w:rFonts w:ascii="宋体" w:hAnsi="宋体" w:cs="宋体"/>
          <w:b/>
          <w:bCs/>
          <w:color w:val="000000" w:themeColor="text1"/>
          <w:sz w:val="32"/>
          <w:szCs w:val="32"/>
          <w:highlight w:val="none"/>
          <w14:textFill>
            <w14:solidFill>
              <w14:schemeClr w14:val="tx1"/>
            </w14:solidFill>
          </w14:textFill>
        </w:rPr>
      </w:pPr>
      <w:bookmarkStart w:id="338" w:name="_Toc495841804"/>
      <w:bookmarkStart w:id="339" w:name="_Toc5317"/>
    </w:p>
    <w:p w14:paraId="2CC5EB83">
      <w:pPr>
        <w:pageBreakBefore w:val="0"/>
        <w:kinsoku/>
        <w:wordWrap/>
        <w:overflowPunct/>
        <w:topLinePunct w:val="0"/>
        <w:bidi w:val="0"/>
        <w:spacing w:line="460" w:lineRule="exact"/>
        <w:outlineLvl w:val="9"/>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9</w:t>
      </w:r>
      <w:r>
        <w:rPr>
          <w:rFonts w:hint="eastAsia" w:ascii="宋体" w:hAnsi="宋体" w:cs="宋体"/>
          <w:b/>
          <w:bCs/>
          <w:color w:val="000000" w:themeColor="text1"/>
          <w:sz w:val="32"/>
          <w:szCs w:val="32"/>
          <w:highlight w:val="none"/>
          <w14:textFill>
            <w14:solidFill>
              <w14:schemeClr w14:val="tx1"/>
            </w14:solidFill>
          </w14:textFill>
        </w:rPr>
        <w:t>.投标人相关获奖证书、认证证书等复印件（如有，请提供）</w:t>
      </w:r>
      <w:bookmarkEnd w:id="338"/>
      <w:bookmarkEnd w:id="339"/>
    </w:p>
    <w:p w14:paraId="3FE8BA49">
      <w:pPr>
        <w:pStyle w:val="9"/>
        <w:pageBreakBefore w:val="0"/>
        <w:kinsoku/>
        <w:wordWrap/>
        <w:overflowPunct/>
        <w:topLinePunct w:val="0"/>
        <w:bidi w:val="0"/>
        <w:ind w:firstLine="0"/>
        <w:outlineLvl w:val="9"/>
        <w:rPr>
          <w:color w:val="000000" w:themeColor="text1"/>
          <w:highlight w:val="none"/>
          <w14:textFill>
            <w14:solidFill>
              <w14:schemeClr w14:val="tx1"/>
            </w14:solidFill>
          </w14:textFill>
        </w:rPr>
      </w:pPr>
    </w:p>
    <w:p w14:paraId="4E6A218A">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p>
    <w:p w14:paraId="1A6A631E">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p>
    <w:p w14:paraId="58958F16">
      <w:pPr>
        <w:pageBreakBefore w:val="0"/>
        <w:kinsoku/>
        <w:wordWrap/>
        <w:overflowPunct/>
        <w:topLinePunct w:val="0"/>
        <w:bidi w:val="0"/>
        <w:outlineLvl w:val="9"/>
        <w:rPr>
          <w:rFonts w:ascii="宋体" w:hAnsi="宋体" w:cs="宋体"/>
          <w:b/>
          <w:bCs/>
          <w:color w:val="000000" w:themeColor="text1"/>
          <w:sz w:val="32"/>
          <w:szCs w:val="32"/>
          <w:highlight w:val="none"/>
          <w14:textFill>
            <w14:solidFill>
              <w14:schemeClr w14:val="tx1"/>
            </w14:solidFill>
          </w14:textFill>
        </w:rPr>
      </w:pPr>
      <w:bookmarkStart w:id="340" w:name="_Toc495841807"/>
      <w:bookmarkStart w:id="341" w:name="_Toc14735"/>
      <w:r>
        <w:rPr>
          <w:rFonts w:hint="eastAsia" w:ascii="宋体" w:hAnsi="宋体" w:cs="宋体"/>
          <w:b/>
          <w:bCs/>
          <w:color w:val="000000" w:themeColor="text1"/>
          <w:sz w:val="32"/>
          <w:szCs w:val="32"/>
          <w:highlight w:val="none"/>
          <w14:textFill>
            <w14:solidFill>
              <w14:schemeClr w14:val="tx1"/>
            </w14:solidFill>
          </w14:textFill>
        </w:rPr>
        <w:t>1</w:t>
      </w:r>
      <w:r>
        <w:rPr>
          <w:rFonts w:hint="eastAsia" w:ascii="宋体" w:hAnsi="宋体" w:cs="宋体"/>
          <w:b/>
          <w:bCs/>
          <w:color w:val="000000" w:themeColor="text1"/>
          <w:sz w:val="32"/>
          <w:szCs w:val="32"/>
          <w:highlight w:val="none"/>
          <w:lang w:val="en-US" w:eastAsia="zh-CN"/>
          <w14:textFill>
            <w14:solidFill>
              <w14:schemeClr w14:val="tx1"/>
            </w14:solidFill>
          </w14:textFill>
        </w:rPr>
        <w:t>1</w:t>
      </w:r>
      <w:r>
        <w:rPr>
          <w:rFonts w:hint="eastAsia" w:ascii="宋体" w:hAnsi="宋体" w:cs="宋体"/>
          <w:b/>
          <w:bCs/>
          <w:color w:val="000000" w:themeColor="text1"/>
          <w:sz w:val="32"/>
          <w:szCs w:val="32"/>
          <w:highlight w:val="none"/>
          <w14:textFill>
            <w14:solidFill>
              <w14:schemeClr w14:val="tx1"/>
            </w14:solidFill>
          </w14:textFill>
        </w:rPr>
        <w:t>.投标人可结合本项目的评标办法视自身情况自行提交相关证明材料（如有，请提供）</w:t>
      </w:r>
      <w:bookmarkEnd w:id="340"/>
      <w:bookmarkEnd w:id="341"/>
      <w:r>
        <w:rPr>
          <w:rFonts w:hint="eastAsia" w:ascii="宋体" w:hAnsi="宋体" w:cs="宋体"/>
          <w:b/>
          <w:bCs/>
          <w:color w:val="000000" w:themeColor="text1"/>
          <w:sz w:val="32"/>
          <w:szCs w:val="32"/>
          <w:highlight w:val="none"/>
          <w14:textFill>
            <w14:solidFill>
              <w14:schemeClr w14:val="tx1"/>
            </w14:solidFill>
          </w14:textFill>
        </w:rPr>
        <w:t>。</w:t>
      </w:r>
    </w:p>
    <w:p w14:paraId="7C9F24AB">
      <w:pPr>
        <w:pStyle w:val="49"/>
        <w:pageBreakBefore w:val="0"/>
        <w:kinsoku/>
        <w:wordWrap/>
        <w:overflowPunct/>
        <w:topLinePunct w:val="0"/>
        <w:bidi w:val="0"/>
        <w:outlineLvl w:val="9"/>
        <w:rPr>
          <w:color w:val="000000" w:themeColor="text1"/>
          <w:highlight w:val="none"/>
          <w14:textFill>
            <w14:solidFill>
              <w14:schemeClr w14:val="tx1"/>
            </w14:solidFill>
          </w14:textFill>
        </w:rPr>
      </w:pPr>
    </w:p>
    <w:p w14:paraId="004EA09F">
      <w:pPr>
        <w:pageBreakBefore w:val="0"/>
        <w:widowControl/>
        <w:kinsoku/>
        <w:wordWrap/>
        <w:overflowPunct/>
        <w:topLinePunct w:val="0"/>
        <w:bidi w:val="0"/>
        <w:jc w:val="left"/>
        <w:outlineLvl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6374A7D6">
      <w:pPr>
        <w:pStyle w:val="17"/>
        <w:pageBreakBefore w:val="0"/>
        <w:kinsoku/>
        <w:wordWrap/>
        <w:overflowPunct/>
        <w:topLinePunct w:val="0"/>
        <w:bidi w:val="0"/>
        <w:snapToGrid w:val="0"/>
        <w:outlineLvl w:val="9"/>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附表1：</w:t>
      </w:r>
    </w:p>
    <w:p w14:paraId="0D579FCD">
      <w:pPr>
        <w:pageBreakBefore w:val="0"/>
        <w:kinsoku/>
        <w:wordWrap/>
        <w:overflowPunct/>
        <w:topLinePunct w:val="0"/>
        <w:bidi w:val="0"/>
        <w:spacing w:line="460" w:lineRule="exact"/>
        <w:jc w:val="center"/>
        <w:outlineLvl w:val="9"/>
        <w:rPr>
          <w:rFonts w:ascii="宋体" w:hAnsi="宋体"/>
          <w:color w:val="000000" w:themeColor="text1"/>
          <w:sz w:val="44"/>
          <w:highlight w:val="none"/>
          <w14:textFill>
            <w14:solidFill>
              <w14:schemeClr w14:val="tx1"/>
            </w14:solidFill>
          </w14:textFill>
        </w:rPr>
      </w:pPr>
      <w:r>
        <w:rPr>
          <w:rFonts w:hint="eastAsia" w:ascii="宋体" w:hAnsi="宋体"/>
          <w:color w:val="000000" w:themeColor="text1"/>
          <w:sz w:val="44"/>
          <w:highlight w:val="none"/>
          <w14:textFill>
            <w14:solidFill>
              <w14:schemeClr w14:val="tx1"/>
            </w14:solidFill>
          </w14:textFill>
        </w:rPr>
        <w:t>质疑函（格式）</w:t>
      </w:r>
    </w:p>
    <w:p w14:paraId="759A4247">
      <w:pPr>
        <w:pStyle w:val="17"/>
        <w:pageBreakBefore w:val="0"/>
        <w:kinsoku/>
        <w:wordWrap/>
        <w:overflowPunct/>
        <w:topLinePunct w:val="0"/>
        <w:bidi w:val="0"/>
        <w:snapToGrid w:val="0"/>
        <w:spacing w:line="320" w:lineRule="exact"/>
        <w:ind w:firstLine="422" w:firstLineChars="200"/>
        <w:outlineLvl w:val="9"/>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一、质疑供应商基本信息：</w:t>
      </w:r>
    </w:p>
    <w:p w14:paraId="39ED9095">
      <w:pPr>
        <w:pStyle w:val="17"/>
        <w:pageBreakBefore w:val="0"/>
        <w:kinsoku/>
        <w:wordWrap/>
        <w:overflowPunct/>
        <w:topLinePunct w:val="0"/>
        <w:bidi w:val="0"/>
        <w:snapToGrid w:val="0"/>
        <w:spacing w:line="320" w:lineRule="exact"/>
        <w:ind w:firstLine="420" w:firstLineChars="200"/>
        <w:outlineLvl w:val="9"/>
        <w:rPr>
          <w:rFonts w:hAnsi="宋体"/>
          <w:bCs/>
          <w:color w:val="000000" w:themeColor="text1"/>
          <w:highlight w:val="none"/>
          <w:u w:val="single"/>
          <w14:textFill>
            <w14:solidFill>
              <w14:schemeClr w14:val="tx1"/>
            </w14:solidFill>
          </w14:textFill>
        </w:rPr>
      </w:pPr>
      <w:r>
        <w:rPr>
          <w:rFonts w:hint="eastAsia" w:hAnsi="宋体"/>
          <w:bCs/>
          <w:color w:val="000000" w:themeColor="text1"/>
          <w:highlight w:val="none"/>
          <w14:textFill>
            <w14:solidFill>
              <w14:schemeClr w14:val="tx1"/>
            </w14:solidFill>
          </w14:textFill>
        </w:rPr>
        <w:t>质疑供应商：</w:t>
      </w:r>
      <w:r>
        <w:rPr>
          <w:rFonts w:hAnsi="宋体"/>
          <w:bCs/>
          <w:color w:val="000000" w:themeColor="text1"/>
          <w:highlight w:val="none"/>
          <w:u w:val="single"/>
          <w14:textFill>
            <w14:solidFill>
              <w14:schemeClr w14:val="tx1"/>
            </w14:solidFill>
          </w14:textFill>
        </w:rPr>
        <w:t>    </w:t>
      </w:r>
    </w:p>
    <w:p w14:paraId="69D08875">
      <w:pPr>
        <w:pStyle w:val="17"/>
        <w:pageBreakBefore w:val="0"/>
        <w:kinsoku/>
        <w:wordWrap/>
        <w:overflowPunct/>
        <w:topLinePunct w:val="0"/>
        <w:bidi w:val="0"/>
        <w:snapToGrid w:val="0"/>
        <w:spacing w:line="320" w:lineRule="exact"/>
        <w:ind w:firstLine="420" w:firstLineChars="200"/>
        <w:outlineLvl w:val="9"/>
        <w:rPr>
          <w:rFonts w:hAnsi="宋体"/>
          <w:bCs/>
          <w:color w:val="000000" w:themeColor="text1"/>
          <w:highlight w:val="none"/>
          <w:u w:val="single"/>
          <w14:textFill>
            <w14:solidFill>
              <w14:schemeClr w14:val="tx1"/>
            </w14:solidFill>
          </w14:textFill>
        </w:rPr>
      </w:pPr>
      <w:r>
        <w:rPr>
          <w:rFonts w:hAnsi="宋体"/>
          <w:bCs/>
          <w:color w:val="000000" w:themeColor="text1"/>
          <w:highlight w:val="none"/>
          <w14:textFill>
            <w14:solidFill>
              <w14:schemeClr w14:val="tx1"/>
            </w14:solidFill>
          </w14:textFill>
        </w:rPr>
        <w:t>地址</w:t>
      </w:r>
      <w:r>
        <w:rPr>
          <w:rFonts w:hint="eastAsia" w:hAnsi="宋体"/>
          <w:bCs/>
          <w:color w:val="000000" w:themeColor="text1"/>
          <w:highlight w:val="none"/>
          <w14:textFill>
            <w14:solidFill>
              <w14:schemeClr w14:val="tx1"/>
            </w14:solidFill>
          </w14:textFill>
        </w:rPr>
        <w:t>：</w:t>
      </w:r>
      <w:r>
        <w:rPr>
          <w:rFonts w:hAnsi="宋体"/>
          <w:bCs/>
          <w:color w:val="000000" w:themeColor="text1"/>
          <w:highlight w:val="none"/>
          <w14:textFill>
            <w14:solidFill>
              <w14:schemeClr w14:val="tx1"/>
            </w14:solidFill>
          </w14:textFill>
        </w:rPr>
        <w:t>邮编</w:t>
      </w:r>
      <w:r>
        <w:rPr>
          <w:rFonts w:hint="eastAsia" w:hAnsi="宋体"/>
          <w:bCs/>
          <w:color w:val="000000" w:themeColor="text1"/>
          <w:highlight w:val="none"/>
          <w14:textFill>
            <w14:solidFill>
              <w14:schemeClr w14:val="tx1"/>
            </w14:solidFill>
          </w14:textFill>
        </w:rPr>
        <w:t>：</w:t>
      </w:r>
      <w:r>
        <w:rPr>
          <w:rFonts w:hAnsi="宋体"/>
          <w:bCs/>
          <w:color w:val="000000" w:themeColor="text1"/>
          <w:highlight w:val="none"/>
          <w:u w:val="single"/>
          <w14:textFill>
            <w14:solidFill>
              <w14:schemeClr w14:val="tx1"/>
            </w14:solidFill>
          </w14:textFill>
        </w:rPr>
        <w:t>  </w:t>
      </w:r>
    </w:p>
    <w:p w14:paraId="000FD2AA">
      <w:pPr>
        <w:pStyle w:val="17"/>
        <w:pageBreakBefore w:val="0"/>
        <w:kinsoku/>
        <w:wordWrap/>
        <w:overflowPunct/>
        <w:topLinePunct w:val="0"/>
        <w:bidi w:val="0"/>
        <w:snapToGrid w:val="0"/>
        <w:spacing w:line="320" w:lineRule="exact"/>
        <w:ind w:firstLine="420" w:firstLineChars="200"/>
        <w:outlineLvl w:val="9"/>
        <w:rPr>
          <w:rFonts w:hAnsi="宋体"/>
          <w:bCs/>
          <w:color w:val="000000" w:themeColor="text1"/>
          <w:highlight w:val="none"/>
          <w:u w:val="single"/>
          <w14:textFill>
            <w14:solidFill>
              <w14:schemeClr w14:val="tx1"/>
            </w14:solidFill>
          </w14:textFill>
        </w:rPr>
      </w:pPr>
      <w:r>
        <w:rPr>
          <w:rFonts w:hAnsi="宋体"/>
          <w:bCs/>
          <w:color w:val="000000" w:themeColor="text1"/>
          <w:highlight w:val="none"/>
          <w14:textFill>
            <w14:solidFill>
              <w14:schemeClr w14:val="tx1"/>
            </w14:solidFill>
          </w14:textFill>
        </w:rPr>
        <w:t>联系人</w:t>
      </w:r>
      <w:r>
        <w:rPr>
          <w:rFonts w:hint="eastAsia" w:hAnsi="宋体"/>
          <w:bCs/>
          <w:color w:val="000000" w:themeColor="text1"/>
          <w:highlight w:val="none"/>
          <w14:textFill>
            <w14:solidFill>
              <w14:schemeClr w14:val="tx1"/>
            </w14:solidFill>
          </w14:textFill>
        </w:rPr>
        <w:t>：</w:t>
      </w:r>
      <w:r>
        <w:rPr>
          <w:rFonts w:hAnsi="宋体"/>
          <w:bCs/>
          <w:color w:val="000000" w:themeColor="text1"/>
          <w:highlight w:val="none"/>
          <w14:textFill>
            <w14:solidFill>
              <w14:schemeClr w14:val="tx1"/>
            </w14:solidFill>
          </w14:textFill>
        </w:rPr>
        <w:t>联系电话</w:t>
      </w:r>
      <w:r>
        <w:rPr>
          <w:rFonts w:hint="eastAsia" w:hAnsi="宋体"/>
          <w:bCs/>
          <w:color w:val="000000" w:themeColor="text1"/>
          <w:highlight w:val="none"/>
          <w14:textFill>
            <w14:solidFill>
              <w14:schemeClr w14:val="tx1"/>
            </w14:solidFill>
          </w14:textFill>
        </w:rPr>
        <w:t>：</w:t>
      </w:r>
      <w:r>
        <w:rPr>
          <w:rFonts w:hAnsi="宋体"/>
          <w:bCs/>
          <w:color w:val="000000" w:themeColor="text1"/>
          <w:highlight w:val="none"/>
          <w:u w:val="single"/>
          <w14:textFill>
            <w14:solidFill>
              <w14:schemeClr w14:val="tx1"/>
            </w14:solidFill>
          </w14:textFill>
        </w:rPr>
        <w:t>  </w:t>
      </w:r>
    </w:p>
    <w:p w14:paraId="7A117548">
      <w:pPr>
        <w:pStyle w:val="17"/>
        <w:pageBreakBefore w:val="0"/>
        <w:kinsoku/>
        <w:wordWrap/>
        <w:overflowPunct/>
        <w:topLinePunct w:val="0"/>
        <w:bidi w:val="0"/>
        <w:snapToGrid w:val="0"/>
        <w:spacing w:line="320" w:lineRule="exact"/>
        <w:ind w:firstLine="420" w:firstLineChars="200"/>
        <w:outlineLvl w:val="9"/>
        <w:rPr>
          <w:rFonts w:hAnsi="宋体"/>
          <w:bCs/>
          <w:color w:val="000000" w:themeColor="text1"/>
          <w:highlight w:val="none"/>
          <w:u w:val="single"/>
          <w14:textFill>
            <w14:solidFill>
              <w14:schemeClr w14:val="tx1"/>
            </w14:solidFill>
          </w14:textFill>
        </w:rPr>
      </w:pPr>
      <w:r>
        <w:rPr>
          <w:rFonts w:hint="eastAsia" w:hAnsi="宋体"/>
          <w:bCs/>
          <w:color w:val="000000" w:themeColor="text1"/>
          <w:highlight w:val="none"/>
          <w14:textFill>
            <w14:solidFill>
              <w14:schemeClr w14:val="tx1"/>
            </w14:solidFill>
          </w14:textFill>
        </w:rPr>
        <w:t>授权代表：</w:t>
      </w:r>
      <w:r>
        <w:rPr>
          <w:rFonts w:hAnsi="宋体"/>
          <w:bCs/>
          <w:color w:val="000000" w:themeColor="text1"/>
          <w:highlight w:val="none"/>
          <w:u w:val="single"/>
          <w14:textFill>
            <w14:solidFill>
              <w14:schemeClr w14:val="tx1"/>
            </w14:solidFill>
          </w14:textFill>
        </w:rPr>
        <w:t>      </w:t>
      </w:r>
      <w:r>
        <w:rPr>
          <w:rFonts w:hAnsi="宋体"/>
          <w:bCs/>
          <w:color w:val="000000" w:themeColor="text1"/>
          <w:highlight w:val="none"/>
          <w14:textFill>
            <w14:solidFill>
              <w14:schemeClr w14:val="tx1"/>
            </w14:solidFill>
          </w14:textFill>
        </w:rPr>
        <w:t>       联系</w:t>
      </w:r>
      <w:r>
        <w:rPr>
          <w:rFonts w:hint="eastAsia" w:hAnsi="宋体"/>
          <w:bCs/>
          <w:color w:val="000000" w:themeColor="text1"/>
          <w:highlight w:val="none"/>
          <w14:textFill>
            <w14:solidFill>
              <w14:schemeClr w14:val="tx1"/>
            </w14:solidFill>
          </w14:textFill>
        </w:rPr>
        <w:t>电话：</w:t>
      </w:r>
      <w:r>
        <w:rPr>
          <w:rFonts w:hAnsi="宋体"/>
          <w:bCs/>
          <w:color w:val="000000" w:themeColor="text1"/>
          <w:highlight w:val="none"/>
          <w:u w:val="single"/>
          <w14:textFill>
            <w14:solidFill>
              <w14:schemeClr w14:val="tx1"/>
            </w14:solidFill>
          </w14:textFill>
        </w:rPr>
        <w:t>  </w:t>
      </w:r>
    </w:p>
    <w:p w14:paraId="0ACD4DD6">
      <w:pPr>
        <w:pStyle w:val="17"/>
        <w:pageBreakBefore w:val="0"/>
        <w:kinsoku/>
        <w:wordWrap/>
        <w:overflowPunct/>
        <w:topLinePunct w:val="0"/>
        <w:bidi w:val="0"/>
        <w:snapToGrid w:val="0"/>
        <w:spacing w:line="320" w:lineRule="exact"/>
        <w:ind w:firstLine="420" w:firstLineChars="200"/>
        <w:outlineLvl w:val="9"/>
        <w:rPr>
          <w:rFonts w:hAnsi="宋体"/>
          <w:bCs/>
          <w:color w:val="000000" w:themeColor="text1"/>
          <w:highlight w:val="none"/>
          <w:u w:val="single"/>
          <w14:textFill>
            <w14:solidFill>
              <w14:schemeClr w14:val="tx1"/>
            </w14:solidFill>
          </w14:textFill>
        </w:rPr>
      </w:pPr>
      <w:r>
        <w:rPr>
          <w:rFonts w:hAnsi="宋体"/>
          <w:bCs/>
          <w:color w:val="000000" w:themeColor="text1"/>
          <w:highlight w:val="none"/>
          <w14:textFill>
            <w14:solidFill>
              <w14:schemeClr w14:val="tx1"/>
            </w14:solidFill>
          </w14:textFill>
        </w:rPr>
        <w:t>地址</w:t>
      </w:r>
      <w:r>
        <w:rPr>
          <w:rFonts w:hint="eastAsia" w:hAnsi="宋体"/>
          <w:bCs/>
          <w:color w:val="000000" w:themeColor="text1"/>
          <w:highlight w:val="none"/>
          <w14:textFill>
            <w14:solidFill>
              <w14:schemeClr w14:val="tx1"/>
            </w14:solidFill>
          </w14:textFill>
        </w:rPr>
        <w:t>：</w:t>
      </w:r>
      <w:r>
        <w:rPr>
          <w:rFonts w:hAnsi="宋体"/>
          <w:bCs/>
          <w:color w:val="000000" w:themeColor="text1"/>
          <w:highlight w:val="none"/>
          <w14:textFill>
            <w14:solidFill>
              <w14:schemeClr w14:val="tx1"/>
            </w14:solidFill>
          </w14:textFill>
        </w:rPr>
        <w:t>邮编</w:t>
      </w:r>
      <w:r>
        <w:rPr>
          <w:rFonts w:hint="eastAsia" w:hAnsi="宋体"/>
          <w:bCs/>
          <w:color w:val="000000" w:themeColor="text1"/>
          <w:highlight w:val="none"/>
          <w14:textFill>
            <w14:solidFill>
              <w14:schemeClr w14:val="tx1"/>
            </w14:solidFill>
          </w14:textFill>
        </w:rPr>
        <w:t>：</w:t>
      </w:r>
      <w:r>
        <w:rPr>
          <w:rFonts w:hAnsi="宋体"/>
          <w:bCs/>
          <w:color w:val="000000" w:themeColor="text1"/>
          <w:highlight w:val="none"/>
          <w:u w:val="single"/>
          <w14:textFill>
            <w14:solidFill>
              <w14:schemeClr w14:val="tx1"/>
            </w14:solidFill>
          </w14:textFill>
        </w:rPr>
        <w:t>  </w:t>
      </w:r>
    </w:p>
    <w:p w14:paraId="012FC39E">
      <w:pPr>
        <w:pStyle w:val="17"/>
        <w:pageBreakBefore w:val="0"/>
        <w:kinsoku/>
        <w:wordWrap/>
        <w:overflowPunct/>
        <w:topLinePunct w:val="0"/>
        <w:bidi w:val="0"/>
        <w:snapToGrid w:val="0"/>
        <w:spacing w:line="320" w:lineRule="exact"/>
        <w:ind w:firstLine="422" w:firstLineChars="200"/>
        <w:outlineLvl w:val="9"/>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 xml:space="preserve">二、质疑项目基本情况： </w:t>
      </w:r>
    </w:p>
    <w:p w14:paraId="207032B5">
      <w:pPr>
        <w:pStyle w:val="17"/>
        <w:pageBreakBefore w:val="0"/>
        <w:kinsoku/>
        <w:wordWrap/>
        <w:overflowPunct/>
        <w:topLinePunct w:val="0"/>
        <w:bidi w:val="0"/>
        <w:spacing w:line="320" w:lineRule="exact"/>
        <w:ind w:left="25" w:leftChars="12" w:firstLine="413" w:firstLineChars="197"/>
        <w:outlineLvl w:val="9"/>
        <w:rPr>
          <w:rFonts w:hAnsi="宋体"/>
          <w:color w:val="000000" w:themeColor="text1"/>
          <w:szCs w:val="2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质疑</w:t>
      </w:r>
      <w:r>
        <w:rPr>
          <w:rFonts w:hint="eastAsia" w:hAnsi="宋体"/>
          <w:color w:val="000000" w:themeColor="text1"/>
          <w:szCs w:val="21"/>
          <w:highlight w:val="none"/>
          <w14:textFill>
            <w14:solidFill>
              <w14:schemeClr w14:val="tx1"/>
            </w14:solidFill>
          </w14:textFill>
        </w:rPr>
        <w:t>项目的名称：</w:t>
      </w:r>
      <w:r>
        <w:rPr>
          <w:rFonts w:hAnsi="宋体"/>
          <w:bCs/>
          <w:color w:val="000000" w:themeColor="text1"/>
          <w:highlight w:val="none"/>
          <w:u w:val="single"/>
          <w14:textFill>
            <w14:solidFill>
              <w14:schemeClr w14:val="tx1"/>
            </w14:solidFill>
          </w14:textFill>
        </w:rPr>
        <w:t>               </w:t>
      </w:r>
    </w:p>
    <w:p w14:paraId="0B5606FA">
      <w:pPr>
        <w:pStyle w:val="17"/>
        <w:pageBreakBefore w:val="0"/>
        <w:kinsoku/>
        <w:wordWrap/>
        <w:overflowPunct/>
        <w:topLinePunct w:val="0"/>
        <w:bidi w:val="0"/>
        <w:spacing w:line="320" w:lineRule="exact"/>
        <w:ind w:left="25" w:leftChars="12" w:firstLine="413" w:firstLineChars="197"/>
        <w:outlineLvl w:val="9"/>
        <w:rPr>
          <w:rFonts w:hAnsi="宋体"/>
          <w:bCs/>
          <w:color w:val="000000" w:themeColor="text1"/>
          <w:highlight w:val="none"/>
          <w:u w:val="single"/>
          <w14:textFill>
            <w14:solidFill>
              <w14:schemeClr w14:val="tx1"/>
            </w14:solidFill>
          </w14:textFill>
        </w:rPr>
      </w:pPr>
      <w:r>
        <w:rPr>
          <w:rFonts w:hint="eastAsia" w:hAnsi="宋体"/>
          <w:bCs/>
          <w:color w:val="000000" w:themeColor="text1"/>
          <w:highlight w:val="none"/>
          <w14:textFill>
            <w14:solidFill>
              <w14:schemeClr w14:val="tx1"/>
            </w14:solidFill>
          </w14:textFill>
        </w:rPr>
        <w:t>质疑</w:t>
      </w:r>
      <w:r>
        <w:rPr>
          <w:rFonts w:hint="eastAsia" w:hAnsi="宋体"/>
          <w:color w:val="000000" w:themeColor="text1"/>
          <w:szCs w:val="21"/>
          <w:highlight w:val="none"/>
          <w14:textFill>
            <w14:solidFill>
              <w14:schemeClr w14:val="tx1"/>
            </w14:solidFill>
          </w14:textFill>
        </w:rPr>
        <w:t>项目的编号：</w:t>
      </w:r>
      <w:r>
        <w:rPr>
          <w:rFonts w:hAnsi="宋体"/>
          <w:bCs/>
          <w:color w:val="000000" w:themeColor="text1"/>
          <w:highlight w:val="none"/>
          <w:u w:val="single"/>
          <w14:textFill>
            <w14:solidFill>
              <w14:schemeClr w14:val="tx1"/>
            </w14:solidFill>
          </w14:textFill>
        </w:rPr>
        <w:t>  </w:t>
      </w:r>
    </w:p>
    <w:p w14:paraId="7E564CCB">
      <w:pPr>
        <w:pStyle w:val="17"/>
        <w:pageBreakBefore w:val="0"/>
        <w:kinsoku/>
        <w:wordWrap/>
        <w:overflowPunct/>
        <w:topLinePunct w:val="0"/>
        <w:bidi w:val="0"/>
        <w:spacing w:line="320" w:lineRule="exact"/>
        <w:ind w:left="25" w:leftChars="12" w:firstLine="413" w:firstLineChars="197"/>
        <w:outlineLvl w:val="9"/>
        <w:rPr>
          <w:rFonts w:hAnsi="宋体"/>
          <w:bCs/>
          <w:color w:val="000000" w:themeColor="text1"/>
          <w:highlight w:val="none"/>
          <w:u w:val="single"/>
          <w14:textFill>
            <w14:solidFill>
              <w14:schemeClr w14:val="tx1"/>
            </w14:solidFill>
          </w14:textFill>
        </w:rPr>
      </w:pPr>
      <w:r>
        <w:rPr>
          <w:rFonts w:hint="eastAsia" w:hAnsi="宋体"/>
          <w:color w:val="000000" w:themeColor="text1"/>
          <w:szCs w:val="21"/>
          <w:highlight w:val="none"/>
          <w14:textFill>
            <w14:solidFill>
              <w14:schemeClr w14:val="tx1"/>
            </w14:solidFill>
          </w14:textFill>
        </w:rPr>
        <w:t>采购人名称：</w:t>
      </w:r>
      <w:r>
        <w:rPr>
          <w:rFonts w:hAnsi="宋体"/>
          <w:bCs/>
          <w:color w:val="000000" w:themeColor="text1"/>
          <w:highlight w:val="none"/>
          <w:u w:val="single"/>
          <w14:textFill>
            <w14:solidFill>
              <w14:schemeClr w14:val="tx1"/>
            </w14:solidFill>
          </w14:textFill>
        </w:rPr>
        <w:t>    </w:t>
      </w:r>
    </w:p>
    <w:p w14:paraId="4FCCF122">
      <w:pPr>
        <w:pStyle w:val="17"/>
        <w:pageBreakBefore w:val="0"/>
        <w:kinsoku/>
        <w:wordWrap/>
        <w:overflowPunct/>
        <w:topLinePunct w:val="0"/>
        <w:bidi w:val="0"/>
        <w:spacing w:line="320" w:lineRule="exact"/>
        <w:ind w:left="25" w:leftChars="12" w:firstLine="413" w:firstLineChars="197"/>
        <w:outlineLvl w:val="9"/>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质疑事项：</w:t>
      </w:r>
    </w:p>
    <w:p w14:paraId="044B7E72">
      <w:pPr>
        <w:pStyle w:val="17"/>
        <w:pageBreakBefore w:val="0"/>
        <w:kinsoku/>
        <w:wordWrap/>
        <w:overflowPunct/>
        <w:topLinePunct w:val="0"/>
        <w:bidi w:val="0"/>
        <w:spacing w:line="320" w:lineRule="exact"/>
        <w:ind w:left="25" w:leftChars="12" w:firstLine="441" w:firstLineChars="147"/>
        <w:outlineLvl w:val="9"/>
        <w:rPr>
          <w:rFonts w:hAnsi="宋体"/>
          <w:bCs/>
          <w:color w:val="000000" w:themeColor="text1"/>
          <w:highlight w:val="none"/>
          <w:u w:val="single"/>
          <w14:textFill>
            <w14:solidFill>
              <w14:schemeClr w14:val="tx1"/>
            </w14:solidFill>
          </w14:textFill>
        </w:rPr>
      </w:pPr>
      <w:r>
        <w:rPr>
          <w:rFonts w:hint="eastAsia" w:hAnsi="宋体"/>
          <w:color w:val="000000" w:themeColor="text1"/>
          <w:sz w:val="30"/>
          <w:szCs w:val="30"/>
          <w:highlight w:val="none"/>
          <w14:textFill>
            <w14:solidFill>
              <w14:schemeClr w14:val="tx1"/>
            </w14:solidFill>
          </w14:textFill>
        </w:rPr>
        <w:t>□</w:t>
      </w:r>
      <w:r>
        <w:rPr>
          <w:rFonts w:hint="eastAsia" w:hAnsi="宋体"/>
          <w:color w:val="000000" w:themeColor="text1"/>
          <w:szCs w:val="21"/>
          <w:highlight w:val="none"/>
          <w14:textFill>
            <w14:solidFill>
              <w14:schemeClr w14:val="tx1"/>
            </w14:solidFill>
          </w14:textFill>
        </w:rPr>
        <w:t>谈判文件   采购文件获取日期：</w:t>
      </w:r>
      <w:r>
        <w:rPr>
          <w:rFonts w:hAnsi="宋体"/>
          <w:bCs/>
          <w:color w:val="000000" w:themeColor="text1"/>
          <w:highlight w:val="none"/>
          <w:u w:val="single"/>
          <w14:textFill>
            <w14:solidFill>
              <w14:schemeClr w14:val="tx1"/>
            </w14:solidFill>
          </w14:textFill>
        </w:rPr>
        <w:t>    </w:t>
      </w:r>
    </w:p>
    <w:p w14:paraId="5F3E8DC4">
      <w:pPr>
        <w:pStyle w:val="17"/>
        <w:pageBreakBefore w:val="0"/>
        <w:kinsoku/>
        <w:wordWrap/>
        <w:overflowPunct/>
        <w:topLinePunct w:val="0"/>
        <w:bidi w:val="0"/>
        <w:spacing w:line="320" w:lineRule="exact"/>
        <w:ind w:left="25" w:leftChars="12" w:firstLine="441" w:firstLineChars="147"/>
        <w:outlineLvl w:val="9"/>
        <w:rPr>
          <w:rFonts w:hAnsi="宋体"/>
          <w:color w:val="000000" w:themeColor="text1"/>
          <w:szCs w:val="21"/>
          <w:highlight w:val="none"/>
          <w14:textFill>
            <w14:solidFill>
              <w14:schemeClr w14:val="tx1"/>
            </w14:solidFill>
          </w14:textFill>
        </w:rPr>
      </w:pPr>
      <w:r>
        <w:rPr>
          <w:rFonts w:hint="eastAsia" w:hAnsi="宋体"/>
          <w:color w:val="000000" w:themeColor="text1"/>
          <w:sz w:val="30"/>
          <w:szCs w:val="30"/>
          <w:highlight w:val="none"/>
          <w14:textFill>
            <w14:solidFill>
              <w14:schemeClr w14:val="tx1"/>
            </w14:solidFill>
          </w14:textFill>
        </w:rPr>
        <w:t>□</w:t>
      </w:r>
      <w:r>
        <w:rPr>
          <w:rFonts w:hint="eastAsia" w:hAnsi="宋体"/>
          <w:color w:val="000000" w:themeColor="text1"/>
          <w:szCs w:val="21"/>
          <w:highlight w:val="none"/>
          <w14:textFill>
            <w14:solidFill>
              <w14:schemeClr w14:val="tx1"/>
            </w14:solidFill>
          </w14:textFill>
        </w:rPr>
        <w:t xml:space="preserve">采购过程   </w:t>
      </w:r>
    </w:p>
    <w:p w14:paraId="7DD17470">
      <w:pPr>
        <w:pStyle w:val="17"/>
        <w:pageBreakBefore w:val="0"/>
        <w:kinsoku/>
        <w:wordWrap/>
        <w:overflowPunct/>
        <w:topLinePunct w:val="0"/>
        <w:bidi w:val="0"/>
        <w:spacing w:line="320" w:lineRule="exact"/>
        <w:ind w:left="25" w:leftChars="12" w:firstLine="441" w:firstLineChars="147"/>
        <w:outlineLvl w:val="9"/>
        <w:rPr>
          <w:rFonts w:hAnsi="宋体"/>
          <w:bCs/>
          <w:color w:val="000000" w:themeColor="text1"/>
          <w:highlight w:val="none"/>
          <w:u w:val="single"/>
          <w14:textFill>
            <w14:solidFill>
              <w14:schemeClr w14:val="tx1"/>
            </w14:solidFill>
          </w14:textFill>
        </w:rPr>
      </w:pPr>
      <w:r>
        <w:rPr>
          <w:rFonts w:hint="eastAsia" w:hAnsi="宋体"/>
          <w:color w:val="000000" w:themeColor="text1"/>
          <w:sz w:val="30"/>
          <w:szCs w:val="30"/>
          <w:highlight w:val="none"/>
          <w14:textFill>
            <w14:solidFill>
              <w14:schemeClr w14:val="tx1"/>
            </w14:solidFill>
          </w14:textFill>
        </w:rPr>
        <w:t>□</w:t>
      </w:r>
      <w:r>
        <w:rPr>
          <w:rFonts w:hint="eastAsia" w:hAnsi="宋体"/>
          <w:color w:val="000000" w:themeColor="text1"/>
          <w:szCs w:val="21"/>
          <w:highlight w:val="none"/>
          <w14:textFill>
            <w14:solidFill>
              <w14:schemeClr w14:val="tx1"/>
            </w14:solidFill>
          </w14:textFill>
        </w:rPr>
        <w:t xml:space="preserve">成交结果   </w:t>
      </w:r>
    </w:p>
    <w:p w14:paraId="676CDD87">
      <w:pPr>
        <w:pStyle w:val="17"/>
        <w:pageBreakBefore w:val="0"/>
        <w:kinsoku/>
        <w:wordWrap/>
        <w:overflowPunct/>
        <w:topLinePunct w:val="0"/>
        <w:bidi w:val="0"/>
        <w:spacing w:line="320" w:lineRule="exact"/>
        <w:ind w:left="25" w:leftChars="12" w:firstLine="413" w:firstLineChars="196"/>
        <w:outlineLvl w:val="9"/>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三、质疑事项具体内容</w:t>
      </w:r>
    </w:p>
    <w:p w14:paraId="567B7329">
      <w:pPr>
        <w:pStyle w:val="17"/>
        <w:pageBreakBefore w:val="0"/>
        <w:kinsoku/>
        <w:wordWrap/>
        <w:overflowPunct/>
        <w:topLinePunct w:val="0"/>
        <w:bidi w:val="0"/>
        <w:spacing w:line="320" w:lineRule="exact"/>
        <w:ind w:left="25" w:leftChars="12" w:firstLine="413" w:firstLineChars="197"/>
        <w:outlineLvl w:val="9"/>
        <w:rPr>
          <w:rFonts w:hAnsi="宋体"/>
          <w:bCs/>
          <w:color w:val="000000" w:themeColor="text1"/>
          <w:highlight w:val="none"/>
          <w:u w:val="single"/>
          <w14:textFill>
            <w14:solidFill>
              <w14:schemeClr w14:val="tx1"/>
            </w14:solidFill>
          </w14:textFill>
        </w:rPr>
      </w:pPr>
      <w:r>
        <w:rPr>
          <w:rFonts w:hint="eastAsia" w:hAnsi="宋体"/>
          <w:color w:val="000000" w:themeColor="text1"/>
          <w:szCs w:val="21"/>
          <w:highlight w:val="none"/>
          <w14:textFill>
            <w14:solidFill>
              <w14:schemeClr w14:val="tx1"/>
            </w14:solidFill>
          </w14:textFill>
        </w:rPr>
        <w:t>质疑事项1：</w:t>
      </w:r>
      <w:r>
        <w:rPr>
          <w:rFonts w:hAnsi="宋体"/>
          <w:bCs/>
          <w:color w:val="000000" w:themeColor="text1"/>
          <w:highlight w:val="none"/>
          <w:u w:val="single"/>
          <w14:textFill>
            <w14:solidFill>
              <w14:schemeClr w14:val="tx1"/>
            </w14:solidFill>
          </w14:textFill>
        </w:rPr>
        <w:t>                </w:t>
      </w:r>
      <w:r>
        <w:rPr>
          <w:rFonts w:hint="eastAsia" w:hAnsi="宋体"/>
          <w:bCs/>
          <w:color w:val="000000" w:themeColor="text1"/>
          <w:highlight w:val="none"/>
          <w:u w:val="single"/>
          <w14:textFill>
            <w14:solidFill>
              <w14:schemeClr w14:val="tx1"/>
            </w14:solidFill>
          </w14:textFill>
        </w:rPr>
        <w:t xml:space="preserve">               </w:t>
      </w:r>
      <w:r>
        <w:rPr>
          <w:rFonts w:hAnsi="宋体"/>
          <w:bCs/>
          <w:color w:val="000000" w:themeColor="text1"/>
          <w:highlight w:val="none"/>
          <w:u w:val="single"/>
          <w14:textFill>
            <w14:solidFill>
              <w14:schemeClr w14:val="tx1"/>
            </w14:solidFill>
          </w14:textFill>
        </w:rPr>
        <w:t>   </w:t>
      </w:r>
    </w:p>
    <w:p w14:paraId="58FDD40B">
      <w:pPr>
        <w:pStyle w:val="17"/>
        <w:pageBreakBefore w:val="0"/>
        <w:kinsoku/>
        <w:wordWrap/>
        <w:overflowPunct/>
        <w:topLinePunct w:val="0"/>
        <w:bidi w:val="0"/>
        <w:spacing w:line="320" w:lineRule="exact"/>
        <w:ind w:left="25" w:leftChars="12" w:firstLine="413" w:firstLineChars="197"/>
        <w:outlineLvl w:val="9"/>
        <w:rPr>
          <w:rFonts w:hAnsi="宋体"/>
          <w:bCs/>
          <w:color w:val="000000" w:themeColor="text1"/>
          <w:highlight w:val="none"/>
          <w:u w:val="single"/>
          <w14:textFill>
            <w14:solidFill>
              <w14:schemeClr w14:val="tx1"/>
            </w14:solidFill>
          </w14:textFill>
        </w:rPr>
      </w:pPr>
      <w:r>
        <w:rPr>
          <w:rFonts w:hint="eastAsia" w:hAnsi="宋体"/>
          <w:color w:val="000000" w:themeColor="text1"/>
          <w:szCs w:val="21"/>
          <w:highlight w:val="none"/>
          <w14:textFill>
            <w14:solidFill>
              <w14:schemeClr w14:val="tx1"/>
            </w14:solidFill>
          </w14:textFill>
        </w:rPr>
        <w:t>事实依据：</w:t>
      </w:r>
      <w:r>
        <w:rPr>
          <w:rFonts w:hAnsi="宋体"/>
          <w:bCs/>
          <w:color w:val="000000" w:themeColor="text1"/>
          <w:highlight w:val="none"/>
          <w:u w:val="single"/>
          <w14:textFill>
            <w14:solidFill>
              <w14:schemeClr w14:val="tx1"/>
            </w14:solidFill>
          </w14:textFill>
        </w:rPr>
        <w:t>                      </w:t>
      </w:r>
    </w:p>
    <w:p w14:paraId="1CBC9645">
      <w:pPr>
        <w:pStyle w:val="17"/>
        <w:pageBreakBefore w:val="0"/>
        <w:kinsoku/>
        <w:wordWrap/>
        <w:overflowPunct/>
        <w:topLinePunct w:val="0"/>
        <w:bidi w:val="0"/>
        <w:spacing w:line="320" w:lineRule="exact"/>
        <w:ind w:left="25" w:leftChars="12" w:firstLine="413" w:firstLineChars="197"/>
        <w:outlineLvl w:val="9"/>
        <w:rPr>
          <w:rFonts w:hAnsi="宋体"/>
          <w:bCs/>
          <w:color w:val="000000" w:themeColor="text1"/>
          <w:highlight w:val="none"/>
          <w:u w:val="single"/>
          <w14:textFill>
            <w14:solidFill>
              <w14:schemeClr w14:val="tx1"/>
            </w14:solidFill>
          </w14:textFill>
        </w:rPr>
      </w:pPr>
      <w:r>
        <w:rPr>
          <w:rFonts w:hint="eastAsia" w:hAnsi="宋体"/>
          <w:color w:val="000000" w:themeColor="text1"/>
          <w:szCs w:val="21"/>
          <w:highlight w:val="none"/>
          <w14:textFill>
            <w14:solidFill>
              <w14:schemeClr w14:val="tx1"/>
            </w14:solidFill>
          </w14:textFill>
        </w:rPr>
        <w:t>法律依据：</w:t>
      </w:r>
      <w:r>
        <w:rPr>
          <w:rFonts w:hAnsi="宋体"/>
          <w:bCs/>
          <w:color w:val="000000" w:themeColor="text1"/>
          <w:highlight w:val="none"/>
          <w:u w:val="single"/>
          <w14:textFill>
            <w14:solidFill>
              <w14:schemeClr w14:val="tx1"/>
            </w14:solidFill>
          </w14:textFill>
        </w:rPr>
        <w:t>          </w:t>
      </w:r>
    </w:p>
    <w:p w14:paraId="09DD9A9A">
      <w:pPr>
        <w:pStyle w:val="17"/>
        <w:pageBreakBefore w:val="0"/>
        <w:kinsoku/>
        <w:wordWrap/>
        <w:overflowPunct/>
        <w:topLinePunct w:val="0"/>
        <w:bidi w:val="0"/>
        <w:spacing w:line="320" w:lineRule="exact"/>
        <w:ind w:left="25" w:leftChars="12" w:firstLine="413" w:firstLineChars="197"/>
        <w:outlineLvl w:val="9"/>
        <w:rPr>
          <w:rFonts w:hAnsi="宋体"/>
          <w:bCs/>
          <w:color w:val="000000" w:themeColor="text1"/>
          <w:highlight w:val="none"/>
          <w:u w:val="single"/>
          <w14:textFill>
            <w14:solidFill>
              <w14:schemeClr w14:val="tx1"/>
            </w14:solidFill>
          </w14:textFill>
        </w:rPr>
      </w:pPr>
      <w:r>
        <w:rPr>
          <w:rFonts w:hint="eastAsia" w:hAnsi="宋体"/>
          <w:color w:val="000000" w:themeColor="text1"/>
          <w:szCs w:val="21"/>
          <w:highlight w:val="none"/>
          <w14:textFill>
            <w14:solidFill>
              <w14:schemeClr w14:val="tx1"/>
            </w14:solidFill>
          </w14:textFill>
        </w:rPr>
        <w:t>质疑事项2：</w:t>
      </w:r>
      <w:r>
        <w:rPr>
          <w:rFonts w:hAnsi="宋体"/>
          <w:bCs/>
          <w:color w:val="000000" w:themeColor="text1"/>
          <w:highlight w:val="none"/>
          <w:u w:val="single"/>
          <w14:textFill>
            <w14:solidFill>
              <w14:schemeClr w14:val="tx1"/>
            </w14:solidFill>
          </w14:textFill>
        </w:rPr>
        <w:t>          </w:t>
      </w:r>
    </w:p>
    <w:p w14:paraId="1580CF01">
      <w:pPr>
        <w:pStyle w:val="17"/>
        <w:pageBreakBefore w:val="0"/>
        <w:kinsoku/>
        <w:wordWrap/>
        <w:overflowPunct/>
        <w:topLinePunct w:val="0"/>
        <w:bidi w:val="0"/>
        <w:spacing w:line="320" w:lineRule="exact"/>
        <w:ind w:left="25" w:leftChars="12" w:firstLine="413" w:firstLineChars="197"/>
        <w:outlineLvl w:val="9"/>
        <w:rPr>
          <w:rFonts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w:t>
      </w:r>
    </w:p>
    <w:p w14:paraId="099210AA">
      <w:pPr>
        <w:pStyle w:val="17"/>
        <w:pageBreakBefore w:val="0"/>
        <w:kinsoku/>
        <w:wordWrap/>
        <w:overflowPunct/>
        <w:topLinePunct w:val="0"/>
        <w:bidi w:val="0"/>
        <w:spacing w:line="320" w:lineRule="exact"/>
        <w:ind w:left="25" w:leftChars="12" w:firstLine="413" w:firstLineChars="197"/>
        <w:outlineLvl w:val="9"/>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四、与质疑事项相关的质疑请求：</w:t>
      </w:r>
    </w:p>
    <w:p w14:paraId="4395FF2F">
      <w:pPr>
        <w:pStyle w:val="17"/>
        <w:pageBreakBefore w:val="0"/>
        <w:kinsoku/>
        <w:wordWrap/>
        <w:overflowPunct/>
        <w:topLinePunct w:val="0"/>
        <w:bidi w:val="0"/>
        <w:spacing w:line="320" w:lineRule="exact"/>
        <w:ind w:left="25" w:leftChars="12" w:firstLine="413" w:firstLineChars="197"/>
        <w:outlineLvl w:val="9"/>
        <w:rPr>
          <w:rFonts w:hAnsi="宋体"/>
          <w:bCs/>
          <w:color w:val="000000" w:themeColor="text1"/>
          <w:highlight w:val="none"/>
          <w:u w:val="single"/>
          <w14:textFill>
            <w14:solidFill>
              <w14:schemeClr w14:val="tx1"/>
            </w14:solidFill>
          </w14:textFill>
        </w:rPr>
      </w:pPr>
      <w:r>
        <w:rPr>
          <w:rFonts w:hint="eastAsia" w:hAnsi="宋体"/>
          <w:color w:val="000000" w:themeColor="text1"/>
          <w:szCs w:val="21"/>
          <w:highlight w:val="none"/>
          <w14:textFill>
            <w14:solidFill>
              <w14:schemeClr w14:val="tx1"/>
            </w14:solidFill>
          </w14:textFill>
        </w:rPr>
        <w:t>请求：</w:t>
      </w:r>
      <w:r>
        <w:rPr>
          <w:rFonts w:hAnsi="宋体"/>
          <w:bCs/>
          <w:color w:val="000000" w:themeColor="text1"/>
          <w:highlight w:val="none"/>
          <w:u w:val="single"/>
          <w14:textFill>
            <w14:solidFill>
              <w14:schemeClr w14:val="tx1"/>
            </w14:solidFill>
          </w14:textFill>
        </w:rPr>
        <w:t>              </w:t>
      </w:r>
      <w:r>
        <w:rPr>
          <w:rFonts w:hint="eastAsia" w:hAnsi="宋体"/>
          <w:bCs/>
          <w:color w:val="000000" w:themeColor="text1"/>
          <w:highlight w:val="none"/>
          <w:u w:val="single"/>
          <w14:textFill>
            <w14:solidFill>
              <w14:schemeClr w14:val="tx1"/>
            </w14:solidFill>
          </w14:textFill>
        </w:rPr>
        <w:t xml:space="preserve">                 </w:t>
      </w:r>
      <w:r>
        <w:rPr>
          <w:rFonts w:hAnsi="宋体"/>
          <w:bCs/>
          <w:color w:val="000000" w:themeColor="text1"/>
          <w:highlight w:val="none"/>
          <w:u w:val="single"/>
          <w14:textFill>
            <w14:solidFill>
              <w14:schemeClr w14:val="tx1"/>
            </w14:solidFill>
          </w14:textFill>
        </w:rPr>
        <w:t>   </w:t>
      </w:r>
    </w:p>
    <w:p w14:paraId="6C6B751B">
      <w:pPr>
        <w:pStyle w:val="17"/>
        <w:pageBreakBefore w:val="0"/>
        <w:kinsoku/>
        <w:wordWrap/>
        <w:overflowPunct/>
        <w:topLinePunct w:val="0"/>
        <w:bidi w:val="0"/>
        <w:spacing w:line="320" w:lineRule="exact"/>
        <w:ind w:left="25" w:leftChars="12" w:firstLine="413" w:firstLineChars="197"/>
        <w:outlineLvl w:val="9"/>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签字（签章）：</w:t>
      </w:r>
      <w:r>
        <w:rPr>
          <w:rFonts w:hAnsi="宋体"/>
          <w:color w:val="000000" w:themeColor="text1"/>
          <w:szCs w:val="21"/>
          <w:highlight w:val="none"/>
          <w:u w:val="single"/>
          <w14:textFill>
            <w14:solidFill>
              <w14:schemeClr w14:val="tx1"/>
            </w14:solidFill>
          </w14:textFill>
        </w:rPr>
        <w:t>             </w:t>
      </w:r>
    </w:p>
    <w:p w14:paraId="71786E23">
      <w:pPr>
        <w:pStyle w:val="17"/>
        <w:pageBreakBefore w:val="0"/>
        <w:kinsoku/>
        <w:wordWrap/>
        <w:overflowPunct/>
        <w:topLinePunct w:val="0"/>
        <w:bidi w:val="0"/>
        <w:spacing w:line="320" w:lineRule="exact"/>
        <w:ind w:left="25" w:leftChars="12" w:firstLine="413" w:firstLineChars="197"/>
        <w:outlineLvl w:val="9"/>
        <w:rPr>
          <w:rFonts w:hAnsi="宋体"/>
          <w:color w:val="000000" w:themeColor="text1"/>
          <w:szCs w:val="21"/>
          <w:highlight w:val="none"/>
          <w:u w:val="single"/>
          <w14:textFill>
            <w14:solidFill>
              <w14:schemeClr w14:val="tx1"/>
            </w14:solidFill>
          </w14:textFill>
        </w:rPr>
      </w:pPr>
      <w:r>
        <w:rPr>
          <w:rFonts w:hint="eastAsia" w:hAnsi="宋体"/>
          <w:color w:val="000000" w:themeColor="text1"/>
          <w:szCs w:val="21"/>
          <w:highlight w:val="none"/>
          <w14:textFill>
            <w14:solidFill>
              <w14:schemeClr w14:val="tx1"/>
            </w14:solidFill>
          </w14:textFill>
        </w:rPr>
        <w:t>公章：</w:t>
      </w:r>
      <w:r>
        <w:rPr>
          <w:rFonts w:hAnsi="宋体"/>
          <w:color w:val="000000" w:themeColor="text1"/>
          <w:szCs w:val="21"/>
          <w:highlight w:val="none"/>
          <w:u w:val="single"/>
          <w14:textFill>
            <w14:solidFill>
              <w14:schemeClr w14:val="tx1"/>
            </w14:solidFill>
          </w14:textFill>
        </w:rPr>
        <w:t>                 </w:t>
      </w:r>
    </w:p>
    <w:p w14:paraId="3426331F">
      <w:pPr>
        <w:pStyle w:val="17"/>
        <w:pageBreakBefore w:val="0"/>
        <w:kinsoku/>
        <w:wordWrap/>
        <w:overflowPunct/>
        <w:topLinePunct w:val="0"/>
        <w:bidi w:val="0"/>
        <w:spacing w:line="320" w:lineRule="exact"/>
        <w:ind w:left="25" w:leftChars="12" w:firstLine="413" w:firstLineChars="197"/>
        <w:outlineLvl w:val="9"/>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日期：</w:t>
      </w:r>
      <w:r>
        <w:rPr>
          <w:rFonts w:hAnsi="宋体"/>
          <w:color w:val="000000" w:themeColor="text1"/>
          <w:szCs w:val="21"/>
          <w:highlight w:val="none"/>
          <w:u w:val="single"/>
          <w14:textFill>
            <w14:solidFill>
              <w14:schemeClr w14:val="tx1"/>
            </w14:solidFill>
          </w14:textFill>
        </w:rPr>
        <w:t>                 </w:t>
      </w:r>
    </w:p>
    <w:p w14:paraId="3883F039">
      <w:pPr>
        <w:pStyle w:val="17"/>
        <w:pageBreakBefore w:val="0"/>
        <w:kinsoku/>
        <w:wordWrap/>
        <w:overflowPunct/>
        <w:topLinePunct w:val="0"/>
        <w:bidi w:val="0"/>
        <w:snapToGrid w:val="0"/>
        <w:spacing w:line="320" w:lineRule="exact"/>
        <w:outlineLvl w:val="9"/>
        <w:rPr>
          <w:rFonts w:hAnsi="宋体"/>
          <w:b/>
          <w:color w:val="000000" w:themeColor="text1"/>
          <w:szCs w:val="21"/>
          <w:highlight w:val="none"/>
          <w14:textFill>
            <w14:solidFill>
              <w14:schemeClr w14:val="tx1"/>
            </w14:solidFill>
          </w14:textFill>
        </w:rPr>
      </w:pPr>
    </w:p>
    <w:p w14:paraId="38A38AE2">
      <w:pPr>
        <w:pStyle w:val="17"/>
        <w:pageBreakBefore w:val="0"/>
        <w:kinsoku/>
        <w:wordWrap/>
        <w:overflowPunct/>
        <w:topLinePunct w:val="0"/>
        <w:bidi w:val="0"/>
        <w:snapToGrid w:val="0"/>
        <w:spacing w:line="320" w:lineRule="exact"/>
        <w:outlineLvl w:val="9"/>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说明：</w:t>
      </w:r>
    </w:p>
    <w:p w14:paraId="7513C136">
      <w:pPr>
        <w:pStyle w:val="17"/>
        <w:pageBreakBefore w:val="0"/>
        <w:kinsoku/>
        <w:wordWrap/>
        <w:overflowPunct/>
        <w:topLinePunct w:val="0"/>
        <w:bidi w:val="0"/>
        <w:spacing w:line="320" w:lineRule="exact"/>
        <w:ind w:left="25" w:leftChars="12" w:firstLine="310" w:firstLineChars="147"/>
        <w:outlineLvl w:val="9"/>
        <w:rPr>
          <w:rFonts w:hAnsi="宋体"/>
          <w:b/>
          <w:bCs/>
          <w:color w:val="000000" w:themeColor="text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1.供应商提出质疑时，应提交质疑函和必要的证明材料</w:t>
      </w:r>
      <w:r>
        <w:rPr>
          <w:rFonts w:hint="eastAsia" w:hAnsi="宋体"/>
          <w:b/>
          <w:bCs/>
          <w:color w:val="000000" w:themeColor="text1"/>
          <w:highlight w:val="none"/>
          <w14:textFill>
            <w14:solidFill>
              <w14:schemeClr w14:val="tx1"/>
            </w14:solidFill>
          </w14:textFill>
        </w:rPr>
        <w:t>。</w:t>
      </w:r>
    </w:p>
    <w:p w14:paraId="11E82EE7">
      <w:pPr>
        <w:pStyle w:val="17"/>
        <w:pageBreakBefore w:val="0"/>
        <w:kinsoku/>
        <w:wordWrap/>
        <w:overflowPunct/>
        <w:topLinePunct w:val="0"/>
        <w:bidi w:val="0"/>
        <w:spacing w:line="320" w:lineRule="exact"/>
        <w:ind w:left="25" w:leftChars="12" w:firstLine="310" w:firstLineChars="147"/>
        <w:outlineLvl w:val="9"/>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35C182E">
      <w:pPr>
        <w:pStyle w:val="17"/>
        <w:pageBreakBefore w:val="0"/>
        <w:kinsoku/>
        <w:wordWrap/>
        <w:overflowPunct/>
        <w:topLinePunct w:val="0"/>
        <w:bidi w:val="0"/>
        <w:spacing w:line="320" w:lineRule="exact"/>
        <w:ind w:left="25" w:leftChars="12" w:firstLine="310" w:firstLineChars="147"/>
        <w:outlineLvl w:val="9"/>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3.质疑函的质疑事项应具体、明确，并有必要的事实依据和法律依据。</w:t>
      </w:r>
    </w:p>
    <w:p w14:paraId="4F186265">
      <w:pPr>
        <w:pStyle w:val="17"/>
        <w:pageBreakBefore w:val="0"/>
        <w:kinsoku/>
        <w:wordWrap/>
        <w:overflowPunct/>
        <w:topLinePunct w:val="0"/>
        <w:bidi w:val="0"/>
        <w:spacing w:line="320" w:lineRule="exact"/>
        <w:ind w:left="25" w:leftChars="12" w:firstLine="310" w:firstLineChars="147"/>
        <w:outlineLvl w:val="9"/>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4.质疑函的质疑请求应与质疑事项相关。</w:t>
      </w:r>
    </w:p>
    <w:p w14:paraId="758393AE">
      <w:pPr>
        <w:pStyle w:val="17"/>
        <w:pageBreakBefore w:val="0"/>
        <w:kinsoku/>
        <w:wordWrap/>
        <w:overflowPunct/>
        <w:topLinePunct w:val="0"/>
        <w:bidi w:val="0"/>
        <w:spacing w:line="320" w:lineRule="exact"/>
        <w:ind w:left="25" w:leftChars="12" w:firstLine="310" w:firstLineChars="147"/>
        <w:outlineLvl w:val="9"/>
        <w:rPr>
          <w:rFonts w:hAnsi="宋体"/>
          <w:b/>
          <w:bCs/>
          <w:color w:val="000000" w:themeColor="text1"/>
          <w:highlight w:val="none"/>
          <w14:textFill>
            <w14:solidFill>
              <w14:schemeClr w14:val="tx1"/>
            </w14:solidFill>
          </w14:textFill>
        </w:rPr>
      </w:pPr>
      <w:r>
        <w:rPr>
          <w:rFonts w:hAnsi="宋体"/>
          <w:b/>
          <w:bCs/>
          <w:color w:val="000000" w:themeColor="text1"/>
          <w:highlight w:val="none"/>
          <w14:textFill>
            <w14:solidFill>
              <w14:schemeClr w14:val="tx1"/>
            </w14:solidFill>
          </w14:textFill>
        </w:rPr>
        <w:t>5.</w:t>
      </w:r>
      <w:r>
        <w:rPr>
          <w:rFonts w:hint="eastAsia" w:hAnsi="宋体"/>
          <w:b/>
          <w:bCs/>
          <w:color w:val="000000" w:themeColor="text1"/>
          <w:highlight w:val="none"/>
          <w14:textFill>
            <w14:solidFill>
              <w14:schemeClr w14:val="tx1"/>
            </w14:solidFill>
          </w14:textFill>
        </w:rPr>
        <w:t>质疑供应商为法人或者其他组织的，质疑函应由法定代表人、主要负责人，或者其授权代表签字或者盖章，并加盖公章。</w:t>
      </w:r>
    </w:p>
    <w:p w14:paraId="53C575FE">
      <w:pPr>
        <w:pStyle w:val="17"/>
        <w:pageBreakBefore w:val="0"/>
        <w:kinsoku/>
        <w:wordWrap/>
        <w:overflowPunct/>
        <w:topLinePunct w:val="0"/>
        <w:bidi w:val="0"/>
        <w:snapToGrid w:val="0"/>
        <w:outlineLvl w:val="9"/>
        <w:rPr>
          <w:rFonts w:hAnsi="宋体"/>
          <w:b/>
          <w:color w:val="000000" w:themeColor="text1"/>
          <w:sz w:val="24"/>
          <w:szCs w:val="24"/>
          <w:highlight w:val="none"/>
          <w14:textFill>
            <w14:solidFill>
              <w14:schemeClr w14:val="tx1"/>
            </w14:solidFill>
          </w14:textFill>
        </w:rPr>
      </w:pPr>
      <w:r>
        <w:rPr>
          <w:rFonts w:hAnsi="宋体"/>
          <w:b/>
          <w:color w:val="000000" w:themeColor="text1"/>
          <w:sz w:val="24"/>
          <w:szCs w:val="24"/>
          <w:highlight w:val="none"/>
          <w14:textFill>
            <w14:solidFill>
              <w14:schemeClr w14:val="tx1"/>
            </w14:solidFill>
          </w14:textFill>
        </w:rPr>
        <w:br w:type="page"/>
      </w:r>
      <w:r>
        <w:rPr>
          <w:rFonts w:hint="eastAsia" w:hAnsi="宋体"/>
          <w:b/>
          <w:color w:val="000000" w:themeColor="text1"/>
          <w:sz w:val="24"/>
          <w:szCs w:val="24"/>
          <w:highlight w:val="none"/>
          <w14:textFill>
            <w14:solidFill>
              <w14:schemeClr w14:val="tx1"/>
            </w14:solidFill>
          </w14:textFill>
        </w:rPr>
        <w:t>附表2：</w:t>
      </w:r>
    </w:p>
    <w:p w14:paraId="594C6DCF">
      <w:pPr>
        <w:pageBreakBefore w:val="0"/>
        <w:kinsoku/>
        <w:wordWrap/>
        <w:overflowPunct/>
        <w:topLinePunct w:val="0"/>
        <w:bidi w:val="0"/>
        <w:spacing w:line="460" w:lineRule="exact"/>
        <w:jc w:val="center"/>
        <w:outlineLvl w:val="9"/>
        <w:rPr>
          <w:rFonts w:ascii="宋体" w:hAnsi="宋体"/>
          <w:color w:val="000000" w:themeColor="text1"/>
          <w:sz w:val="44"/>
          <w:highlight w:val="none"/>
          <w14:textFill>
            <w14:solidFill>
              <w14:schemeClr w14:val="tx1"/>
            </w14:solidFill>
          </w14:textFill>
        </w:rPr>
      </w:pPr>
    </w:p>
    <w:p w14:paraId="641D848D">
      <w:pPr>
        <w:pageBreakBefore w:val="0"/>
        <w:kinsoku/>
        <w:wordWrap/>
        <w:overflowPunct/>
        <w:topLinePunct w:val="0"/>
        <w:bidi w:val="0"/>
        <w:spacing w:line="460" w:lineRule="exact"/>
        <w:jc w:val="center"/>
        <w:outlineLvl w:val="9"/>
        <w:rPr>
          <w:rFonts w:ascii="宋体" w:hAnsi="宋体"/>
          <w:color w:val="000000" w:themeColor="text1"/>
          <w:sz w:val="44"/>
          <w:highlight w:val="none"/>
          <w14:textFill>
            <w14:solidFill>
              <w14:schemeClr w14:val="tx1"/>
            </w14:solidFill>
          </w14:textFill>
        </w:rPr>
      </w:pPr>
      <w:r>
        <w:rPr>
          <w:rFonts w:hint="eastAsia" w:ascii="宋体" w:hAnsi="宋体"/>
          <w:color w:val="000000" w:themeColor="text1"/>
          <w:sz w:val="44"/>
          <w:highlight w:val="none"/>
          <w14:textFill>
            <w14:solidFill>
              <w14:schemeClr w14:val="tx1"/>
            </w14:solidFill>
          </w14:textFill>
        </w:rPr>
        <w:t>投诉书（格式）</w:t>
      </w:r>
    </w:p>
    <w:p w14:paraId="5B72F3B5">
      <w:pPr>
        <w:pStyle w:val="17"/>
        <w:pageBreakBefore w:val="0"/>
        <w:kinsoku/>
        <w:wordWrap/>
        <w:overflowPunct/>
        <w:topLinePunct w:val="0"/>
        <w:bidi w:val="0"/>
        <w:snapToGrid w:val="0"/>
        <w:spacing w:line="400" w:lineRule="exact"/>
        <w:ind w:firstLine="422" w:firstLineChars="200"/>
        <w:outlineLvl w:val="9"/>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一、投诉相关主体基本情况：</w:t>
      </w:r>
    </w:p>
    <w:p w14:paraId="63FC4277">
      <w:pPr>
        <w:pStyle w:val="17"/>
        <w:pageBreakBefore w:val="0"/>
        <w:kinsoku/>
        <w:wordWrap/>
        <w:overflowPunct/>
        <w:topLinePunct w:val="0"/>
        <w:bidi w:val="0"/>
        <w:snapToGrid w:val="0"/>
        <w:spacing w:line="400" w:lineRule="exact"/>
        <w:ind w:firstLine="420" w:firstLineChars="200"/>
        <w:outlineLvl w:val="9"/>
        <w:rPr>
          <w:rFonts w:hAnsi="宋体"/>
          <w:bCs/>
          <w:color w:val="000000" w:themeColor="text1"/>
          <w:highlight w:val="none"/>
          <w:u w:val="single"/>
          <w14:textFill>
            <w14:solidFill>
              <w14:schemeClr w14:val="tx1"/>
            </w14:solidFill>
          </w14:textFill>
        </w:rPr>
      </w:pPr>
      <w:r>
        <w:rPr>
          <w:rFonts w:hint="eastAsia" w:hAnsi="宋体"/>
          <w:bCs/>
          <w:color w:val="000000" w:themeColor="text1"/>
          <w:highlight w:val="none"/>
          <w14:textFill>
            <w14:solidFill>
              <w14:schemeClr w14:val="tx1"/>
            </w14:solidFill>
          </w14:textFill>
        </w:rPr>
        <w:t>投标人：</w:t>
      </w:r>
      <w:r>
        <w:rPr>
          <w:rFonts w:hAnsi="宋体"/>
          <w:bCs/>
          <w:color w:val="000000" w:themeColor="text1"/>
          <w:highlight w:val="none"/>
          <w:u w:val="single"/>
          <w14:textFill>
            <w14:solidFill>
              <w14:schemeClr w14:val="tx1"/>
            </w14:solidFill>
          </w14:textFill>
        </w:rPr>
        <w:t>             </w:t>
      </w:r>
    </w:p>
    <w:p w14:paraId="5F8EB5A8">
      <w:pPr>
        <w:pStyle w:val="17"/>
        <w:pageBreakBefore w:val="0"/>
        <w:kinsoku/>
        <w:wordWrap/>
        <w:overflowPunct/>
        <w:topLinePunct w:val="0"/>
        <w:bidi w:val="0"/>
        <w:snapToGrid w:val="0"/>
        <w:spacing w:line="400" w:lineRule="exact"/>
        <w:ind w:firstLine="420" w:firstLineChars="200"/>
        <w:outlineLvl w:val="9"/>
        <w:rPr>
          <w:rFonts w:hAnsi="宋体"/>
          <w:bCs/>
          <w:color w:val="000000" w:themeColor="text1"/>
          <w:highlight w:val="none"/>
          <w14:textFill>
            <w14:solidFill>
              <w14:schemeClr w14:val="tx1"/>
            </w14:solidFill>
          </w14:textFill>
        </w:rPr>
      </w:pPr>
      <w:r>
        <w:rPr>
          <w:rFonts w:hAnsi="宋体"/>
          <w:bCs/>
          <w:color w:val="000000" w:themeColor="text1"/>
          <w:highlight w:val="none"/>
          <w14:textFill>
            <w14:solidFill>
              <w14:schemeClr w14:val="tx1"/>
            </w14:solidFill>
          </w14:textFill>
        </w:rPr>
        <w:t>地址</w:t>
      </w:r>
      <w:r>
        <w:rPr>
          <w:rFonts w:hint="eastAsia" w:hAnsi="宋体"/>
          <w:bCs/>
          <w:color w:val="000000" w:themeColor="text1"/>
          <w:highlight w:val="none"/>
          <w14:textFill>
            <w14:solidFill>
              <w14:schemeClr w14:val="tx1"/>
            </w14:solidFill>
          </w14:textFill>
        </w:rPr>
        <w:t>：</w:t>
      </w:r>
      <w:r>
        <w:rPr>
          <w:rFonts w:hAnsi="宋体"/>
          <w:bCs/>
          <w:color w:val="000000" w:themeColor="text1"/>
          <w:highlight w:val="none"/>
          <w14:textFill>
            <w14:solidFill>
              <w14:schemeClr w14:val="tx1"/>
            </w14:solidFill>
          </w14:textFill>
        </w:rPr>
        <w:t>邮编</w:t>
      </w:r>
      <w:r>
        <w:rPr>
          <w:rFonts w:hint="eastAsia" w:hAnsi="宋体"/>
          <w:bCs/>
          <w:color w:val="000000" w:themeColor="text1"/>
          <w:highlight w:val="none"/>
          <w14:textFill>
            <w14:solidFill>
              <w14:schemeClr w14:val="tx1"/>
            </w14:solidFill>
          </w14:textFill>
        </w:rPr>
        <w:t>：</w:t>
      </w:r>
      <w:r>
        <w:rPr>
          <w:rFonts w:hAnsi="宋体"/>
          <w:bCs/>
          <w:color w:val="000000" w:themeColor="text1"/>
          <w:highlight w:val="none"/>
          <w:u w:val="single"/>
          <w14:textFill>
            <w14:solidFill>
              <w14:schemeClr w14:val="tx1"/>
            </w14:solidFill>
          </w14:textFill>
        </w:rPr>
        <w:t>              </w:t>
      </w:r>
    </w:p>
    <w:p w14:paraId="00DBD37D">
      <w:pPr>
        <w:pStyle w:val="17"/>
        <w:pageBreakBefore w:val="0"/>
        <w:kinsoku/>
        <w:wordWrap/>
        <w:overflowPunct/>
        <w:topLinePunct w:val="0"/>
        <w:bidi w:val="0"/>
        <w:snapToGrid w:val="0"/>
        <w:spacing w:line="400" w:lineRule="exact"/>
        <w:ind w:firstLine="420" w:firstLineChars="200"/>
        <w:outlineLvl w:val="9"/>
        <w:rPr>
          <w:rFonts w:hAnsi="宋体"/>
          <w:bCs/>
          <w:color w:val="000000" w:themeColor="text1"/>
          <w:highlight w:val="none"/>
          <w:u w:val="single"/>
          <w14:textFill>
            <w14:solidFill>
              <w14:schemeClr w14:val="tx1"/>
            </w14:solidFill>
          </w14:textFill>
        </w:rPr>
      </w:pPr>
      <w:r>
        <w:rPr>
          <w:rFonts w:hint="eastAsia" w:hAnsi="宋体"/>
          <w:bCs/>
          <w:color w:val="000000" w:themeColor="text1"/>
          <w:highlight w:val="none"/>
          <w14:textFill>
            <w14:solidFill>
              <w14:schemeClr w14:val="tx1"/>
            </w14:solidFill>
          </w14:textFill>
        </w:rPr>
        <w:t>法定代表人/主要负责人：</w:t>
      </w:r>
      <w:r>
        <w:rPr>
          <w:rFonts w:hAnsi="宋体"/>
          <w:bCs/>
          <w:color w:val="000000" w:themeColor="text1"/>
          <w:highlight w:val="none"/>
          <w:u w:val="single"/>
          <w14:textFill>
            <w14:solidFill>
              <w14:schemeClr w14:val="tx1"/>
            </w14:solidFill>
          </w14:textFill>
        </w:rPr>
        <w:t>     </w:t>
      </w:r>
    </w:p>
    <w:p w14:paraId="0C4D13A4">
      <w:pPr>
        <w:pStyle w:val="17"/>
        <w:pageBreakBefore w:val="0"/>
        <w:kinsoku/>
        <w:wordWrap/>
        <w:overflowPunct/>
        <w:topLinePunct w:val="0"/>
        <w:bidi w:val="0"/>
        <w:snapToGrid w:val="0"/>
        <w:spacing w:line="400" w:lineRule="exact"/>
        <w:ind w:firstLine="420" w:firstLineChars="200"/>
        <w:outlineLvl w:val="9"/>
        <w:rPr>
          <w:rFonts w:hAnsi="宋体"/>
          <w:bCs/>
          <w:color w:val="000000" w:themeColor="text1"/>
          <w:highlight w:val="none"/>
          <w:u w:val="single"/>
          <w14:textFill>
            <w14:solidFill>
              <w14:schemeClr w14:val="tx1"/>
            </w14:solidFill>
          </w14:textFill>
        </w:rPr>
      </w:pPr>
      <w:r>
        <w:rPr>
          <w:rFonts w:hAnsi="宋体"/>
          <w:bCs/>
          <w:color w:val="000000" w:themeColor="text1"/>
          <w:highlight w:val="none"/>
          <w14:textFill>
            <w14:solidFill>
              <w14:schemeClr w14:val="tx1"/>
            </w14:solidFill>
          </w14:textFill>
        </w:rPr>
        <w:t>联系电话</w:t>
      </w:r>
      <w:r>
        <w:rPr>
          <w:rFonts w:hint="eastAsia" w:hAnsi="宋体"/>
          <w:bCs/>
          <w:color w:val="000000" w:themeColor="text1"/>
          <w:highlight w:val="none"/>
          <w14:textFill>
            <w14:solidFill>
              <w14:schemeClr w14:val="tx1"/>
            </w14:solidFill>
          </w14:textFill>
        </w:rPr>
        <w:t>：</w:t>
      </w:r>
      <w:r>
        <w:rPr>
          <w:rFonts w:hAnsi="宋体"/>
          <w:bCs/>
          <w:color w:val="000000" w:themeColor="text1"/>
          <w:highlight w:val="none"/>
          <w:u w:val="single"/>
          <w14:textFill>
            <w14:solidFill>
              <w14:schemeClr w14:val="tx1"/>
            </w14:solidFill>
          </w14:textFill>
        </w:rPr>
        <w:t>              </w:t>
      </w:r>
    </w:p>
    <w:p w14:paraId="03F73B06">
      <w:pPr>
        <w:pStyle w:val="17"/>
        <w:pageBreakBefore w:val="0"/>
        <w:kinsoku/>
        <w:wordWrap/>
        <w:overflowPunct/>
        <w:topLinePunct w:val="0"/>
        <w:bidi w:val="0"/>
        <w:snapToGrid w:val="0"/>
        <w:spacing w:line="400" w:lineRule="exact"/>
        <w:ind w:firstLine="420" w:firstLineChars="200"/>
        <w:outlineLvl w:val="9"/>
        <w:rPr>
          <w:rFonts w:hAnsi="宋体"/>
          <w:bCs/>
          <w:color w:val="000000" w:themeColor="text1"/>
          <w:highlight w:val="none"/>
          <w:u w:val="single"/>
          <w14:textFill>
            <w14:solidFill>
              <w14:schemeClr w14:val="tx1"/>
            </w14:solidFill>
          </w14:textFill>
        </w:rPr>
      </w:pPr>
      <w:r>
        <w:rPr>
          <w:rFonts w:hint="eastAsia" w:hAnsi="宋体"/>
          <w:bCs/>
          <w:color w:val="000000" w:themeColor="text1"/>
          <w:highlight w:val="none"/>
          <w14:textFill>
            <w14:solidFill>
              <w14:schemeClr w14:val="tx1"/>
            </w14:solidFill>
          </w14:textFill>
        </w:rPr>
        <w:t>授权代表：</w:t>
      </w:r>
      <w:r>
        <w:rPr>
          <w:rFonts w:hAnsi="宋体"/>
          <w:bCs/>
          <w:color w:val="000000" w:themeColor="text1"/>
          <w:highlight w:val="none"/>
          <w14:textFill>
            <w14:solidFill>
              <w14:schemeClr w14:val="tx1"/>
            </w14:solidFill>
          </w14:textFill>
        </w:rPr>
        <w:t>联系</w:t>
      </w:r>
      <w:r>
        <w:rPr>
          <w:rFonts w:hint="eastAsia" w:hAnsi="宋体"/>
          <w:bCs/>
          <w:color w:val="000000" w:themeColor="text1"/>
          <w:highlight w:val="none"/>
          <w14:textFill>
            <w14:solidFill>
              <w14:schemeClr w14:val="tx1"/>
            </w14:solidFill>
          </w14:textFill>
        </w:rPr>
        <w:t>电话：</w:t>
      </w:r>
      <w:r>
        <w:rPr>
          <w:rFonts w:hAnsi="宋体"/>
          <w:bCs/>
          <w:color w:val="000000" w:themeColor="text1"/>
          <w:highlight w:val="none"/>
          <w:u w:val="single"/>
          <w14:textFill>
            <w14:solidFill>
              <w14:schemeClr w14:val="tx1"/>
            </w14:solidFill>
          </w14:textFill>
        </w:rPr>
        <w:t>              </w:t>
      </w:r>
    </w:p>
    <w:p w14:paraId="3E9FF5E3">
      <w:pPr>
        <w:pStyle w:val="17"/>
        <w:pageBreakBefore w:val="0"/>
        <w:kinsoku/>
        <w:wordWrap/>
        <w:overflowPunct/>
        <w:topLinePunct w:val="0"/>
        <w:bidi w:val="0"/>
        <w:snapToGrid w:val="0"/>
        <w:spacing w:line="400" w:lineRule="exact"/>
        <w:ind w:firstLine="420" w:firstLineChars="200"/>
        <w:outlineLvl w:val="9"/>
        <w:rPr>
          <w:rFonts w:hAnsi="宋体"/>
          <w:bCs/>
          <w:color w:val="000000" w:themeColor="text1"/>
          <w:highlight w:val="none"/>
          <w:u w:val="single"/>
          <w14:textFill>
            <w14:solidFill>
              <w14:schemeClr w14:val="tx1"/>
            </w14:solidFill>
          </w14:textFill>
        </w:rPr>
      </w:pPr>
      <w:r>
        <w:rPr>
          <w:rFonts w:hAnsi="宋体"/>
          <w:bCs/>
          <w:color w:val="000000" w:themeColor="text1"/>
          <w:highlight w:val="none"/>
          <w14:textFill>
            <w14:solidFill>
              <w14:schemeClr w14:val="tx1"/>
            </w14:solidFill>
          </w14:textFill>
        </w:rPr>
        <w:t>地址</w:t>
      </w:r>
      <w:r>
        <w:rPr>
          <w:rFonts w:hint="eastAsia" w:hAnsi="宋体"/>
          <w:bCs/>
          <w:color w:val="000000" w:themeColor="text1"/>
          <w:highlight w:val="none"/>
          <w14:textFill>
            <w14:solidFill>
              <w14:schemeClr w14:val="tx1"/>
            </w14:solidFill>
          </w14:textFill>
        </w:rPr>
        <w:t>：</w:t>
      </w:r>
      <w:r>
        <w:rPr>
          <w:rFonts w:hAnsi="宋体"/>
          <w:bCs/>
          <w:color w:val="000000" w:themeColor="text1"/>
          <w:highlight w:val="none"/>
          <w14:textFill>
            <w14:solidFill>
              <w14:schemeClr w14:val="tx1"/>
            </w14:solidFill>
          </w14:textFill>
        </w:rPr>
        <w:t>邮编</w:t>
      </w:r>
      <w:r>
        <w:rPr>
          <w:rFonts w:hint="eastAsia" w:hAnsi="宋体"/>
          <w:bCs/>
          <w:color w:val="000000" w:themeColor="text1"/>
          <w:highlight w:val="none"/>
          <w14:textFill>
            <w14:solidFill>
              <w14:schemeClr w14:val="tx1"/>
            </w14:solidFill>
          </w14:textFill>
        </w:rPr>
        <w:t>：</w:t>
      </w:r>
      <w:r>
        <w:rPr>
          <w:rFonts w:hAnsi="宋体"/>
          <w:bCs/>
          <w:color w:val="000000" w:themeColor="text1"/>
          <w:highlight w:val="none"/>
          <w:u w:val="single"/>
          <w14:textFill>
            <w14:solidFill>
              <w14:schemeClr w14:val="tx1"/>
            </w14:solidFill>
          </w14:textFill>
        </w:rPr>
        <w:t>          </w:t>
      </w:r>
    </w:p>
    <w:p w14:paraId="19A8D71A">
      <w:pPr>
        <w:pStyle w:val="17"/>
        <w:pageBreakBefore w:val="0"/>
        <w:kinsoku/>
        <w:wordWrap/>
        <w:overflowPunct/>
        <w:topLinePunct w:val="0"/>
        <w:bidi w:val="0"/>
        <w:snapToGrid w:val="0"/>
        <w:spacing w:line="400" w:lineRule="exact"/>
        <w:ind w:firstLine="420" w:firstLineChars="200"/>
        <w:outlineLvl w:val="9"/>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被投诉人1：</w:t>
      </w:r>
      <w:r>
        <w:rPr>
          <w:rFonts w:hAnsi="宋体"/>
          <w:bCs/>
          <w:color w:val="000000" w:themeColor="text1"/>
          <w:highlight w:val="none"/>
          <w:u w:val="single"/>
          <w14:textFill>
            <w14:solidFill>
              <w14:schemeClr w14:val="tx1"/>
            </w14:solidFill>
          </w14:textFill>
        </w:rPr>
        <w:t>                  </w:t>
      </w:r>
    </w:p>
    <w:p w14:paraId="7D50C321">
      <w:pPr>
        <w:pStyle w:val="17"/>
        <w:pageBreakBefore w:val="0"/>
        <w:kinsoku/>
        <w:wordWrap/>
        <w:overflowPunct/>
        <w:topLinePunct w:val="0"/>
        <w:bidi w:val="0"/>
        <w:snapToGrid w:val="0"/>
        <w:spacing w:line="400" w:lineRule="exact"/>
        <w:ind w:firstLine="420" w:firstLineChars="200"/>
        <w:outlineLvl w:val="9"/>
        <w:rPr>
          <w:rFonts w:hAnsi="宋体"/>
          <w:bCs/>
          <w:color w:val="000000" w:themeColor="text1"/>
          <w:highlight w:val="none"/>
          <w:u w:val="single"/>
          <w14:textFill>
            <w14:solidFill>
              <w14:schemeClr w14:val="tx1"/>
            </w14:solidFill>
          </w14:textFill>
        </w:rPr>
      </w:pPr>
      <w:r>
        <w:rPr>
          <w:rFonts w:hint="eastAsia" w:hAnsi="宋体"/>
          <w:bCs/>
          <w:color w:val="000000" w:themeColor="text1"/>
          <w:highlight w:val="none"/>
          <w14:textFill>
            <w14:solidFill>
              <w14:schemeClr w14:val="tx1"/>
            </w14:solidFill>
          </w14:textFill>
        </w:rPr>
        <w:t>地址：</w:t>
      </w:r>
      <w:r>
        <w:rPr>
          <w:rFonts w:hAnsi="宋体"/>
          <w:bCs/>
          <w:color w:val="000000" w:themeColor="text1"/>
          <w:highlight w:val="none"/>
          <w14:textFill>
            <w14:solidFill>
              <w14:schemeClr w14:val="tx1"/>
            </w14:solidFill>
          </w14:textFill>
        </w:rPr>
        <w:t>邮编</w:t>
      </w:r>
      <w:r>
        <w:rPr>
          <w:rFonts w:hint="eastAsia" w:hAnsi="宋体"/>
          <w:bCs/>
          <w:color w:val="000000" w:themeColor="text1"/>
          <w:highlight w:val="none"/>
          <w14:textFill>
            <w14:solidFill>
              <w14:schemeClr w14:val="tx1"/>
            </w14:solidFill>
          </w14:textFill>
        </w:rPr>
        <w:t>：</w:t>
      </w:r>
      <w:r>
        <w:rPr>
          <w:rFonts w:hAnsi="宋体"/>
          <w:bCs/>
          <w:color w:val="000000" w:themeColor="text1"/>
          <w:highlight w:val="none"/>
          <w:u w:val="single"/>
          <w14:textFill>
            <w14:solidFill>
              <w14:schemeClr w14:val="tx1"/>
            </w14:solidFill>
          </w14:textFill>
        </w:rPr>
        <w:t>          </w:t>
      </w:r>
    </w:p>
    <w:p w14:paraId="1E5ABC28">
      <w:pPr>
        <w:pStyle w:val="17"/>
        <w:pageBreakBefore w:val="0"/>
        <w:kinsoku/>
        <w:wordWrap/>
        <w:overflowPunct/>
        <w:topLinePunct w:val="0"/>
        <w:bidi w:val="0"/>
        <w:snapToGrid w:val="0"/>
        <w:spacing w:line="400" w:lineRule="exact"/>
        <w:ind w:firstLine="420" w:firstLineChars="200"/>
        <w:outlineLvl w:val="9"/>
        <w:rPr>
          <w:rFonts w:hAnsi="宋体"/>
          <w:bCs/>
          <w:color w:val="000000" w:themeColor="text1"/>
          <w:highlight w:val="none"/>
          <w:u w:val="single"/>
          <w14:textFill>
            <w14:solidFill>
              <w14:schemeClr w14:val="tx1"/>
            </w14:solidFill>
          </w14:textFill>
        </w:rPr>
      </w:pPr>
      <w:r>
        <w:rPr>
          <w:rFonts w:hint="eastAsia" w:hAnsi="宋体"/>
          <w:bCs/>
          <w:color w:val="000000" w:themeColor="text1"/>
          <w:highlight w:val="none"/>
          <w14:textFill>
            <w14:solidFill>
              <w14:schemeClr w14:val="tx1"/>
            </w14:solidFill>
          </w14:textFill>
        </w:rPr>
        <w:t>联系人：</w:t>
      </w:r>
      <w:r>
        <w:rPr>
          <w:rFonts w:hAnsi="宋体"/>
          <w:bCs/>
          <w:color w:val="000000" w:themeColor="text1"/>
          <w:highlight w:val="none"/>
          <w14:textFill>
            <w14:solidFill>
              <w14:schemeClr w14:val="tx1"/>
            </w14:solidFill>
          </w14:textFill>
        </w:rPr>
        <w:t>联系</w:t>
      </w:r>
      <w:r>
        <w:rPr>
          <w:rFonts w:hint="eastAsia" w:hAnsi="宋体"/>
          <w:bCs/>
          <w:color w:val="000000" w:themeColor="text1"/>
          <w:highlight w:val="none"/>
          <w14:textFill>
            <w14:solidFill>
              <w14:schemeClr w14:val="tx1"/>
            </w14:solidFill>
          </w14:textFill>
        </w:rPr>
        <w:t>电话：</w:t>
      </w:r>
      <w:r>
        <w:rPr>
          <w:rFonts w:hAnsi="宋体"/>
          <w:bCs/>
          <w:color w:val="000000" w:themeColor="text1"/>
          <w:highlight w:val="none"/>
          <w:u w:val="single"/>
          <w14:textFill>
            <w14:solidFill>
              <w14:schemeClr w14:val="tx1"/>
            </w14:solidFill>
          </w14:textFill>
        </w:rPr>
        <w:t>              </w:t>
      </w:r>
    </w:p>
    <w:p w14:paraId="19F1050E">
      <w:pPr>
        <w:pStyle w:val="17"/>
        <w:pageBreakBefore w:val="0"/>
        <w:kinsoku/>
        <w:wordWrap/>
        <w:overflowPunct/>
        <w:topLinePunct w:val="0"/>
        <w:bidi w:val="0"/>
        <w:snapToGrid w:val="0"/>
        <w:spacing w:line="400" w:lineRule="exact"/>
        <w:ind w:firstLine="420" w:firstLineChars="200"/>
        <w:outlineLvl w:val="9"/>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被投诉人2：</w:t>
      </w:r>
    </w:p>
    <w:p w14:paraId="4E5B983E">
      <w:pPr>
        <w:pStyle w:val="17"/>
        <w:pageBreakBefore w:val="0"/>
        <w:kinsoku/>
        <w:wordWrap/>
        <w:overflowPunct/>
        <w:topLinePunct w:val="0"/>
        <w:bidi w:val="0"/>
        <w:snapToGrid w:val="0"/>
        <w:spacing w:line="400" w:lineRule="exact"/>
        <w:ind w:firstLine="420" w:firstLineChars="200"/>
        <w:outlineLvl w:val="9"/>
        <w:rPr>
          <w:rFonts w:hAnsi="宋体"/>
          <w:bCs/>
          <w:color w:val="000000" w:themeColor="text1"/>
          <w:highlight w:val="none"/>
          <w14:textFill>
            <w14:solidFill>
              <w14:schemeClr w14:val="tx1"/>
            </w14:solidFill>
          </w14:textFill>
        </w:rPr>
      </w:pPr>
      <w:r>
        <w:rPr>
          <w:rFonts w:hAnsi="宋体"/>
          <w:bCs/>
          <w:color w:val="000000" w:themeColor="text1"/>
          <w:highlight w:val="none"/>
          <w14:textFill>
            <w14:solidFill>
              <w14:schemeClr w14:val="tx1"/>
            </w14:solidFill>
          </w14:textFill>
        </w:rPr>
        <w:t>……</w:t>
      </w:r>
    </w:p>
    <w:p w14:paraId="2AEC582B">
      <w:pPr>
        <w:pStyle w:val="17"/>
        <w:pageBreakBefore w:val="0"/>
        <w:kinsoku/>
        <w:wordWrap/>
        <w:overflowPunct/>
        <w:topLinePunct w:val="0"/>
        <w:bidi w:val="0"/>
        <w:snapToGrid w:val="0"/>
        <w:spacing w:line="400" w:lineRule="exact"/>
        <w:ind w:firstLine="420" w:firstLineChars="200"/>
        <w:outlineLvl w:val="9"/>
        <w:rPr>
          <w:rFonts w:hAnsi="宋体"/>
          <w:bCs/>
          <w:color w:val="000000" w:themeColor="text1"/>
          <w:highlight w:val="none"/>
          <w:u w:val="single"/>
          <w14:textFill>
            <w14:solidFill>
              <w14:schemeClr w14:val="tx1"/>
            </w14:solidFill>
          </w14:textFill>
        </w:rPr>
      </w:pPr>
      <w:r>
        <w:rPr>
          <w:rFonts w:hint="eastAsia" w:hAnsi="宋体"/>
          <w:bCs/>
          <w:color w:val="000000" w:themeColor="text1"/>
          <w:highlight w:val="none"/>
          <w14:textFill>
            <w14:solidFill>
              <w14:schemeClr w14:val="tx1"/>
            </w14:solidFill>
          </w14:textFill>
        </w:rPr>
        <w:t>相关供应商：</w:t>
      </w:r>
    </w:p>
    <w:p w14:paraId="47FF34B3">
      <w:pPr>
        <w:pStyle w:val="17"/>
        <w:pageBreakBefore w:val="0"/>
        <w:kinsoku/>
        <w:wordWrap/>
        <w:overflowPunct/>
        <w:topLinePunct w:val="0"/>
        <w:bidi w:val="0"/>
        <w:snapToGrid w:val="0"/>
        <w:spacing w:line="400" w:lineRule="exact"/>
        <w:ind w:firstLine="420" w:firstLineChars="200"/>
        <w:outlineLvl w:val="9"/>
        <w:rPr>
          <w:rFonts w:hAnsi="宋体"/>
          <w:bCs/>
          <w:color w:val="000000" w:themeColor="text1"/>
          <w:highlight w:val="none"/>
          <w:u w:val="single"/>
          <w14:textFill>
            <w14:solidFill>
              <w14:schemeClr w14:val="tx1"/>
            </w14:solidFill>
          </w14:textFill>
        </w:rPr>
      </w:pPr>
      <w:r>
        <w:rPr>
          <w:rFonts w:hAnsi="宋体"/>
          <w:bCs/>
          <w:color w:val="000000" w:themeColor="text1"/>
          <w:highlight w:val="none"/>
          <w14:textFill>
            <w14:solidFill>
              <w14:schemeClr w14:val="tx1"/>
            </w14:solidFill>
          </w14:textFill>
        </w:rPr>
        <w:t>地址</w:t>
      </w:r>
      <w:r>
        <w:rPr>
          <w:rFonts w:hint="eastAsia" w:hAnsi="宋体"/>
          <w:bCs/>
          <w:color w:val="000000" w:themeColor="text1"/>
          <w:highlight w:val="none"/>
          <w14:textFill>
            <w14:solidFill>
              <w14:schemeClr w14:val="tx1"/>
            </w14:solidFill>
          </w14:textFill>
        </w:rPr>
        <w:t>：</w:t>
      </w:r>
      <w:r>
        <w:rPr>
          <w:rFonts w:hAnsi="宋体"/>
          <w:bCs/>
          <w:color w:val="000000" w:themeColor="text1"/>
          <w:highlight w:val="none"/>
          <w14:textFill>
            <w14:solidFill>
              <w14:schemeClr w14:val="tx1"/>
            </w14:solidFill>
          </w14:textFill>
        </w:rPr>
        <w:t>邮编</w:t>
      </w:r>
      <w:r>
        <w:rPr>
          <w:rFonts w:hint="eastAsia" w:hAnsi="宋体"/>
          <w:bCs/>
          <w:color w:val="000000" w:themeColor="text1"/>
          <w:highlight w:val="none"/>
          <w14:textFill>
            <w14:solidFill>
              <w14:schemeClr w14:val="tx1"/>
            </w14:solidFill>
          </w14:textFill>
        </w:rPr>
        <w:t>：</w:t>
      </w:r>
      <w:r>
        <w:rPr>
          <w:rFonts w:hAnsi="宋体"/>
          <w:bCs/>
          <w:color w:val="000000" w:themeColor="text1"/>
          <w:highlight w:val="none"/>
          <w:u w:val="single"/>
          <w14:textFill>
            <w14:solidFill>
              <w14:schemeClr w14:val="tx1"/>
            </w14:solidFill>
          </w14:textFill>
        </w:rPr>
        <w:t>          </w:t>
      </w:r>
    </w:p>
    <w:p w14:paraId="24959105">
      <w:pPr>
        <w:pStyle w:val="17"/>
        <w:pageBreakBefore w:val="0"/>
        <w:kinsoku/>
        <w:wordWrap/>
        <w:overflowPunct/>
        <w:topLinePunct w:val="0"/>
        <w:bidi w:val="0"/>
        <w:snapToGrid w:val="0"/>
        <w:spacing w:line="400" w:lineRule="exact"/>
        <w:ind w:firstLine="420" w:firstLineChars="200"/>
        <w:outlineLvl w:val="9"/>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联系人：</w:t>
      </w:r>
      <w:r>
        <w:rPr>
          <w:rFonts w:hAnsi="宋体"/>
          <w:bCs/>
          <w:color w:val="000000" w:themeColor="text1"/>
          <w:highlight w:val="none"/>
          <w14:textFill>
            <w14:solidFill>
              <w14:schemeClr w14:val="tx1"/>
            </w14:solidFill>
          </w14:textFill>
        </w:rPr>
        <w:t>联系</w:t>
      </w:r>
      <w:r>
        <w:rPr>
          <w:rFonts w:hint="eastAsia" w:hAnsi="宋体"/>
          <w:bCs/>
          <w:color w:val="000000" w:themeColor="text1"/>
          <w:highlight w:val="none"/>
          <w14:textFill>
            <w14:solidFill>
              <w14:schemeClr w14:val="tx1"/>
            </w14:solidFill>
          </w14:textFill>
        </w:rPr>
        <w:t>电话：</w:t>
      </w:r>
      <w:r>
        <w:rPr>
          <w:rFonts w:hAnsi="宋体"/>
          <w:bCs/>
          <w:color w:val="000000" w:themeColor="text1"/>
          <w:highlight w:val="none"/>
          <w:u w:val="single"/>
          <w14:textFill>
            <w14:solidFill>
              <w14:schemeClr w14:val="tx1"/>
            </w14:solidFill>
          </w14:textFill>
        </w:rPr>
        <w:t>              </w:t>
      </w:r>
    </w:p>
    <w:p w14:paraId="18E92610">
      <w:pPr>
        <w:pStyle w:val="17"/>
        <w:pageBreakBefore w:val="0"/>
        <w:kinsoku/>
        <w:wordWrap/>
        <w:overflowPunct/>
        <w:topLinePunct w:val="0"/>
        <w:bidi w:val="0"/>
        <w:snapToGrid w:val="0"/>
        <w:spacing w:line="400" w:lineRule="exact"/>
        <w:ind w:firstLine="422" w:firstLineChars="200"/>
        <w:outlineLvl w:val="9"/>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二、投诉项目基本情况：</w:t>
      </w:r>
    </w:p>
    <w:p w14:paraId="436604F6">
      <w:pPr>
        <w:pStyle w:val="17"/>
        <w:pageBreakBefore w:val="0"/>
        <w:kinsoku/>
        <w:wordWrap/>
        <w:overflowPunct/>
        <w:topLinePunct w:val="0"/>
        <w:bidi w:val="0"/>
        <w:spacing w:line="400" w:lineRule="exact"/>
        <w:ind w:left="25" w:leftChars="12" w:firstLine="413" w:firstLineChars="197"/>
        <w:outlineLvl w:val="9"/>
        <w:rPr>
          <w:rFonts w:hAnsi="宋体"/>
          <w:bCs/>
          <w:color w:val="000000" w:themeColor="text1"/>
          <w:highlight w:val="none"/>
          <w:u w:val="single"/>
          <w14:textFill>
            <w14:solidFill>
              <w14:schemeClr w14:val="tx1"/>
            </w14:solidFill>
          </w14:textFill>
        </w:rPr>
      </w:pPr>
      <w:r>
        <w:rPr>
          <w:rFonts w:hint="eastAsia" w:hAnsi="宋体"/>
          <w:bCs/>
          <w:color w:val="000000" w:themeColor="text1"/>
          <w:highlight w:val="none"/>
          <w14:textFill>
            <w14:solidFill>
              <w14:schemeClr w14:val="tx1"/>
            </w14:solidFill>
          </w14:textFill>
        </w:rPr>
        <w:t>采购</w:t>
      </w:r>
      <w:r>
        <w:rPr>
          <w:rFonts w:hint="eastAsia" w:hAnsi="宋体"/>
          <w:color w:val="000000" w:themeColor="text1"/>
          <w:szCs w:val="21"/>
          <w:highlight w:val="none"/>
          <w14:textFill>
            <w14:solidFill>
              <w14:schemeClr w14:val="tx1"/>
            </w14:solidFill>
          </w14:textFill>
        </w:rPr>
        <w:t>项目的名称：</w:t>
      </w:r>
      <w:r>
        <w:rPr>
          <w:rFonts w:hAnsi="宋体"/>
          <w:bCs/>
          <w:color w:val="000000" w:themeColor="text1"/>
          <w:highlight w:val="none"/>
          <w:u w:val="single"/>
          <w14:textFill>
            <w14:solidFill>
              <w14:schemeClr w14:val="tx1"/>
            </w14:solidFill>
          </w14:textFill>
        </w:rPr>
        <w:t>        </w:t>
      </w:r>
    </w:p>
    <w:p w14:paraId="3BD92058">
      <w:pPr>
        <w:pStyle w:val="17"/>
        <w:pageBreakBefore w:val="0"/>
        <w:kinsoku/>
        <w:wordWrap/>
        <w:overflowPunct/>
        <w:topLinePunct w:val="0"/>
        <w:bidi w:val="0"/>
        <w:spacing w:line="400" w:lineRule="exact"/>
        <w:ind w:left="25" w:leftChars="12" w:firstLine="413" w:firstLineChars="197"/>
        <w:outlineLvl w:val="9"/>
        <w:rPr>
          <w:rFonts w:hAnsi="宋体"/>
          <w:bCs/>
          <w:color w:val="000000" w:themeColor="text1"/>
          <w:highlight w:val="none"/>
          <w:u w:val="single"/>
          <w14:textFill>
            <w14:solidFill>
              <w14:schemeClr w14:val="tx1"/>
            </w14:solidFill>
          </w14:textFill>
        </w:rPr>
      </w:pPr>
      <w:r>
        <w:rPr>
          <w:rFonts w:hint="eastAsia" w:hAnsi="宋体"/>
          <w:bCs/>
          <w:color w:val="000000" w:themeColor="text1"/>
          <w:highlight w:val="none"/>
          <w14:textFill>
            <w14:solidFill>
              <w14:schemeClr w14:val="tx1"/>
            </w14:solidFill>
          </w14:textFill>
        </w:rPr>
        <w:t>采购</w:t>
      </w:r>
      <w:r>
        <w:rPr>
          <w:rFonts w:hint="eastAsia" w:hAnsi="宋体"/>
          <w:color w:val="000000" w:themeColor="text1"/>
          <w:szCs w:val="21"/>
          <w:highlight w:val="none"/>
          <w14:textFill>
            <w14:solidFill>
              <w14:schemeClr w14:val="tx1"/>
            </w14:solidFill>
          </w14:textFill>
        </w:rPr>
        <w:t>项目的编号：</w:t>
      </w:r>
      <w:r>
        <w:rPr>
          <w:rFonts w:hAnsi="宋体"/>
          <w:bCs/>
          <w:color w:val="000000" w:themeColor="text1"/>
          <w:highlight w:val="none"/>
          <w:u w:val="single"/>
          <w14:textFill>
            <w14:solidFill>
              <w14:schemeClr w14:val="tx1"/>
            </w14:solidFill>
          </w14:textFill>
        </w:rPr>
        <w:t>         </w:t>
      </w:r>
    </w:p>
    <w:p w14:paraId="13BA94AE">
      <w:pPr>
        <w:pStyle w:val="17"/>
        <w:pageBreakBefore w:val="0"/>
        <w:kinsoku/>
        <w:wordWrap/>
        <w:overflowPunct/>
        <w:topLinePunct w:val="0"/>
        <w:bidi w:val="0"/>
        <w:spacing w:line="400" w:lineRule="exact"/>
        <w:ind w:left="25" w:leftChars="12" w:firstLine="413" w:firstLineChars="197"/>
        <w:outlineLvl w:val="9"/>
        <w:rPr>
          <w:rFonts w:hAnsi="宋体"/>
          <w:bCs/>
          <w:color w:val="000000" w:themeColor="text1"/>
          <w:highlight w:val="none"/>
          <w:u w:val="single"/>
          <w14:textFill>
            <w14:solidFill>
              <w14:schemeClr w14:val="tx1"/>
            </w14:solidFill>
          </w14:textFill>
        </w:rPr>
      </w:pPr>
      <w:r>
        <w:rPr>
          <w:rFonts w:hint="eastAsia" w:hAnsi="宋体"/>
          <w:color w:val="000000" w:themeColor="text1"/>
          <w:szCs w:val="21"/>
          <w:highlight w:val="none"/>
          <w14:textFill>
            <w14:solidFill>
              <w14:schemeClr w14:val="tx1"/>
            </w14:solidFill>
          </w14:textFill>
        </w:rPr>
        <w:t>采购人名称：</w:t>
      </w:r>
      <w:r>
        <w:rPr>
          <w:rFonts w:hAnsi="宋体"/>
          <w:bCs/>
          <w:color w:val="000000" w:themeColor="text1"/>
          <w:highlight w:val="none"/>
          <w:u w:val="single"/>
          <w14:textFill>
            <w14:solidFill>
              <w14:schemeClr w14:val="tx1"/>
            </w14:solidFill>
          </w14:textFill>
        </w:rPr>
        <w:t>           </w:t>
      </w:r>
    </w:p>
    <w:p w14:paraId="77E6A056">
      <w:pPr>
        <w:pStyle w:val="17"/>
        <w:pageBreakBefore w:val="0"/>
        <w:kinsoku/>
        <w:wordWrap/>
        <w:overflowPunct/>
        <w:topLinePunct w:val="0"/>
        <w:bidi w:val="0"/>
        <w:spacing w:line="400" w:lineRule="exact"/>
        <w:ind w:left="25" w:leftChars="12" w:firstLine="413" w:firstLineChars="197"/>
        <w:outlineLvl w:val="9"/>
        <w:rPr>
          <w:rFonts w:hAnsi="宋体"/>
          <w:bCs/>
          <w:color w:val="000000" w:themeColor="text1"/>
          <w:highlight w:val="none"/>
          <w:u w:val="single"/>
          <w14:textFill>
            <w14:solidFill>
              <w14:schemeClr w14:val="tx1"/>
            </w14:solidFill>
          </w14:textFill>
        </w:rPr>
      </w:pPr>
      <w:r>
        <w:rPr>
          <w:rFonts w:hint="eastAsia" w:hAnsi="宋体"/>
          <w:color w:val="000000" w:themeColor="text1"/>
          <w:szCs w:val="21"/>
          <w:highlight w:val="none"/>
          <w14:textFill>
            <w14:solidFill>
              <w14:schemeClr w14:val="tx1"/>
            </w14:solidFill>
          </w14:textFill>
        </w:rPr>
        <w:t>代理机构名称：</w:t>
      </w:r>
      <w:r>
        <w:rPr>
          <w:rFonts w:hAnsi="宋体"/>
          <w:bCs/>
          <w:color w:val="000000" w:themeColor="text1"/>
          <w:highlight w:val="none"/>
          <w:u w:val="single"/>
          <w14:textFill>
            <w14:solidFill>
              <w14:schemeClr w14:val="tx1"/>
            </w14:solidFill>
          </w14:textFill>
        </w:rPr>
        <w:t>          </w:t>
      </w:r>
    </w:p>
    <w:p w14:paraId="65A20E3B">
      <w:pPr>
        <w:pStyle w:val="17"/>
        <w:pageBreakBefore w:val="0"/>
        <w:kinsoku/>
        <w:wordWrap/>
        <w:overflowPunct/>
        <w:topLinePunct w:val="0"/>
        <w:bidi w:val="0"/>
        <w:spacing w:line="400" w:lineRule="exact"/>
        <w:ind w:left="25" w:leftChars="12" w:firstLine="413" w:firstLineChars="197"/>
        <w:outlineLvl w:val="9"/>
        <w:rPr>
          <w:rFonts w:hAnsi="宋体"/>
          <w:bCs/>
          <w:color w:val="000000" w:themeColor="text1"/>
          <w:highlight w:val="none"/>
          <w:u w:val="single"/>
          <w14:textFill>
            <w14:solidFill>
              <w14:schemeClr w14:val="tx1"/>
            </w14:solidFill>
          </w14:textFill>
        </w:rPr>
      </w:pPr>
      <w:r>
        <w:rPr>
          <w:rFonts w:hint="eastAsia" w:hAnsi="宋体"/>
          <w:bCs/>
          <w:color w:val="000000" w:themeColor="text1"/>
          <w:highlight w:val="none"/>
          <w14:textFill>
            <w14:solidFill>
              <w14:schemeClr w14:val="tx1"/>
            </w14:solidFill>
          </w14:textFill>
        </w:rPr>
        <w:t>采购文件公告：</w:t>
      </w:r>
      <w:r>
        <w:rPr>
          <w:rFonts w:hint="eastAsia" w:hAnsi="宋体"/>
          <w:bCs/>
          <w:color w:val="000000" w:themeColor="text1"/>
          <w:highlight w:val="none"/>
          <w:u w:val="single"/>
          <w14:textFill>
            <w14:solidFill>
              <w14:schemeClr w14:val="tx1"/>
            </w14:solidFill>
          </w14:textFill>
        </w:rPr>
        <w:t>是/否</w:t>
      </w:r>
      <w:r>
        <w:rPr>
          <w:rFonts w:hint="eastAsia" w:hAnsi="宋体"/>
          <w:bCs/>
          <w:color w:val="000000" w:themeColor="text1"/>
          <w:highlight w:val="none"/>
          <w14:textFill>
            <w14:solidFill>
              <w14:schemeClr w14:val="tx1"/>
            </w14:solidFill>
          </w14:textFill>
        </w:rPr>
        <w:t>公告期限：</w:t>
      </w:r>
      <w:r>
        <w:rPr>
          <w:rFonts w:hAnsi="宋体"/>
          <w:bCs/>
          <w:color w:val="000000" w:themeColor="text1"/>
          <w:highlight w:val="none"/>
          <w:u w:val="single"/>
          <w14:textFill>
            <w14:solidFill>
              <w14:schemeClr w14:val="tx1"/>
            </w14:solidFill>
          </w14:textFill>
        </w:rPr>
        <w:t>              </w:t>
      </w:r>
    </w:p>
    <w:p w14:paraId="1508EB8A">
      <w:pPr>
        <w:pStyle w:val="17"/>
        <w:pageBreakBefore w:val="0"/>
        <w:kinsoku/>
        <w:wordWrap/>
        <w:overflowPunct/>
        <w:topLinePunct w:val="0"/>
        <w:bidi w:val="0"/>
        <w:spacing w:line="400" w:lineRule="exact"/>
        <w:ind w:left="25" w:leftChars="12" w:firstLine="413" w:firstLineChars="197"/>
        <w:outlineLvl w:val="9"/>
        <w:rPr>
          <w:rFonts w:hAnsi="宋体"/>
          <w:b/>
          <w:color w:val="000000" w:themeColor="text1"/>
          <w:szCs w:val="2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采购结果公告：</w:t>
      </w:r>
      <w:r>
        <w:rPr>
          <w:rFonts w:hint="eastAsia" w:hAnsi="宋体"/>
          <w:bCs/>
          <w:color w:val="000000" w:themeColor="text1"/>
          <w:highlight w:val="none"/>
          <w:u w:val="single"/>
          <w14:textFill>
            <w14:solidFill>
              <w14:schemeClr w14:val="tx1"/>
            </w14:solidFill>
          </w14:textFill>
        </w:rPr>
        <w:t>是/否</w:t>
      </w:r>
      <w:r>
        <w:rPr>
          <w:rFonts w:hint="eastAsia" w:hAnsi="宋体"/>
          <w:bCs/>
          <w:color w:val="000000" w:themeColor="text1"/>
          <w:highlight w:val="none"/>
          <w14:textFill>
            <w14:solidFill>
              <w14:schemeClr w14:val="tx1"/>
            </w14:solidFill>
          </w14:textFill>
        </w:rPr>
        <w:t>公告期限：</w:t>
      </w:r>
      <w:r>
        <w:rPr>
          <w:rFonts w:hAnsi="宋体"/>
          <w:bCs/>
          <w:color w:val="000000" w:themeColor="text1"/>
          <w:highlight w:val="none"/>
          <w:u w:val="single"/>
          <w14:textFill>
            <w14:solidFill>
              <w14:schemeClr w14:val="tx1"/>
            </w14:solidFill>
          </w14:textFill>
        </w:rPr>
        <w:t>              </w:t>
      </w:r>
    </w:p>
    <w:p w14:paraId="1240DB83">
      <w:pPr>
        <w:pStyle w:val="17"/>
        <w:pageBreakBefore w:val="0"/>
        <w:kinsoku/>
        <w:wordWrap/>
        <w:overflowPunct/>
        <w:topLinePunct w:val="0"/>
        <w:bidi w:val="0"/>
        <w:spacing w:line="400" w:lineRule="exact"/>
        <w:ind w:left="25" w:leftChars="12" w:firstLine="413" w:firstLineChars="196"/>
        <w:outlineLvl w:val="9"/>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三、质疑基本情况</w:t>
      </w:r>
    </w:p>
    <w:p w14:paraId="5D31E3EA">
      <w:pPr>
        <w:pStyle w:val="17"/>
        <w:pageBreakBefore w:val="0"/>
        <w:kinsoku/>
        <w:wordWrap/>
        <w:overflowPunct/>
        <w:topLinePunct w:val="0"/>
        <w:bidi w:val="0"/>
        <w:spacing w:line="400" w:lineRule="exact"/>
        <w:ind w:left="25" w:leftChars="12" w:firstLine="833" w:firstLineChars="397"/>
        <w:outlineLvl w:val="9"/>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投诉人于年月日，向提出质疑，质疑事项为：</w:t>
      </w:r>
    </w:p>
    <w:p w14:paraId="5E01721B">
      <w:pPr>
        <w:pStyle w:val="17"/>
        <w:pageBreakBefore w:val="0"/>
        <w:kinsoku/>
        <w:wordWrap/>
        <w:overflowPunct/>
        <w:topLinePunct w:val="0"/>
        <w:bidi w:val="0"/>
        <w:spacing w:line="400" w:lineRule="exact"/>
        <w:ind w:left="25" w:leftChars="12" w:firstLine="399" w:firstLineChars="190"/>
        <w:outlineLvl w:val="9"/>
        <w:rPr>
          <w:rFonts w:hAnsi="宋体"/>
          <w:bCs/>
          <w:color w:val="000000" w:themeColor="text1"/>
          <w:highlight w:val="none"/>
          <w:u w:val="single"/>
          <w14:textFill>
            <w14:solidFill>
              <w14:schemeClr w14:val="tx1"/>
            </w14:solidFill>
          </w14:textFill>
        </w:rPr>
      </w:pPr>
      <w:r>
        <w:rPr>
          <w:rFonts w:hAnsi="宋体"/>
          <w:bCs/>
          <w:color w:val="000000" w:themeColor="text1"/>
          <w:highlight w:val="none"/>
          <w:u w:val="single"/>
          <w14:textFill>
            <w14:solidFill>
              <w14:schemeClr w14:val="tx1"/>
            </w14:solidFill>
          </w14:textFill>
        </w:rPr>
        <w:t>                                        </w:t>
      </w:r>
    </w:p>
    <w:p w14:paraId="78835770">
      <w:pPr>
        <w:pStyle w:val="17"/>
        <w:pageBreakBefore w:val="0"/>
        <w:kinsoku/>
        <w:wordWrap/>
        <w:overflowPunct/>
        <w:topLinePunct w:val="0"/>
        <w:bidi w:val="0"/>
        <w:spacing w:line="400" w:lineRule="exact"/>
        <w:ind w:left="25" w:leftChars="12" w:firstLine="399" w:firstLineChars="190"/>
        <w:outlineLvl w:val="9"/>
        <w:rPr>
          <w:rFonts w:hAnsi="宋体"/>
          <w:bCs/>
          <w:color w:val="000000" w:themeColor="text1"/>
          <w:highlight w:val="none"/>
          <w:u w:val="single"/>
          <w14:textFill>
            <w14:solidFill>
              <w14:schemeClr w14:val="tx1"/>
            </w14:solidFill>
          </w14:textFill>
        </w:rPr>
      </w:pPr>
      <w:r>
        <w:rPr>
          <w:rFonts w:hAnsi="宋体"/>
          <w:bCs/>
          <w:color w:val="000000" w:themeColor="text1"/>
          <w:highlight w:val="none"/>
          <w:u w:val="single"/>
          <w14:textFill>
            <w14:solidFill>
              <w14:schemeClr w14:val="tx1"/>
            </w14:solidFill>
          </w14:textFill>
        </w:rPr>
        <w:t>                                        </w:t>
      </w:r>
    </w:p>
    <w:p w14:paraId="61BE5786">
      <w:pPr>
        <w:pStyle w:val="17"/>
        <w:pageBreakBefore w:val="0"/>
        <w:kinsoku/>
        <w:wordWrap/>
        <w:overflowPunct/>
        <w:topLinePunct w:val="0"/>
        <w:bidi w:val="0"/>
        <w:spacing w:line="400" w:lineRule="exact"/>
        <w:outlineLvl w:val="9"/>
        <w:rPr>
          <w:rFonts w:hAnsi="宋体"/>
          <w:color w:val="000000" w:themeColor="text1"/>
          <w:szCs w:val="21"/>
          <w:highlight w:val="none"/>
          <w14:textFill>
            <w14:solidFill>
              <w14:schemeClr w14:val="tx1"/>
            </w14:solidFill>
          </w14:textFill>
        </w:rPr>
      </w:pPr>
      <w:r>
        <w:rPr>
          <w:rFonts w:hint="eastAsia" w:hAnsi="宋体"/>
          <w:bCs/>
          <w:color w:val="000000" w:themeColor="text1"/>
          <w:highlight w:val="none"/>
          <w:u w:val="single"/>
          <w14:textFill>
            <w14:solidFill>
              <w14:schemeClr w14:val="tx1"/>
            </w14:solidFill>
          </w14:textFill>
        </w:rPr>
        <w:t>采购人/代理机构</w:t>
      </w:r>
      <w:r>
        <w:rPr>
          <w:rFonts w:hint="eastAsia" w:hAnsi="宋体"/>
          <w:bCs/>
          <w:color w:val="000000" w:themeColor="text1"/>
          <w:highlight w:val="none"/>
          <w14:textFill>
            <w14:solidFill>
              <w14:schemeClr w14:val="tx1"/>
            </w14:solidFill>
          </w14:textFill>
        </w:rPr>
        <w:t>于</w:t>
      </w:r>
      <w:r>
        <w:rPr>
          <w:rFonts w:hint="eastAsia" w:hAnsi="宋体"/>
          <w:color w:val="000000" w:themeColor="text1"/>
          <w:szCs w:val="21"/>
          <w:highlight w:val="none"/>
          <w14:textFill>
            <w14:solidFill>
              <w14:schemeClr w14:val="tx1"/>
            </w14:solidFill>
          </w14:textFill>
        </w:rPr>
        <w:t>年月日，</w:t>
      </w:r>
      <w:r>
        <w:rPr>
          <w:rFonts w:hint="eastAsia" w:hAnsi="宋体"/>
          <w:bCs/>
          <w:color w:val="000000" w:themeColor="text1"/>
          <w:highlight w:val="none"/>
          <w14:textFill>
            <w14:solidFill>
              <w14:schemeClr w14:val="tx1"/>
            </w14:solidFill>
          </w14:textFill>
        </w:rPr>
        <w:t xml:space="preserve">就质疑事项作出了答复/没有在法定期限内作出答复。                                                                                             </w:t>
      </w:r>
    </w:p>
    <w:p w14:paraId="5E30A8FD">
      <w:pPr>
        <w:pStyle w:val="17"/>
        <w:pageBreakBefore w:val="0"/>
        <w:kinsoku/>
        <w:wordWrap/>
        <w:overflowPunct/>
        <w:topLinePunct w:val="0"/>
        <w:bidi w:val="0"/>
        <w:spacing w:line="400" w:lineRule="exact"/>
        <w:ind w:left="25" w:leftChars="12" w:firstLine="413" w:firstLineChars="196"/>
        <w:outlineLvl w:val="9"/>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四、投诉事项具体内容</w:t>
      </w:r>
    </w:p>
    <w:p w14:paraId="0BCFCEAD">
      <w:pPr>
        <w:pStyle w:val="17"/>
        <w:pageBreakBefore w:val="0"/>
        <w:kinsoku/>
        <w:wordWrap/>
        <w:overflowPunct/>
        <w:topLinePunct w:val="0"/>
        <w:bidi w:val="0"/>
        <w:spacing w:line="400" w:lineRule="exact"/>
        <w:ind w:left="25" w:leftChars="12" w:firstLine="413" w:firstLineChars="197"/>
        <w:outlineLvl w:val="9"/>
        <w:rPr>
          <w:rFonts w:hAnsi="宋体"/>
          <w:bCs/>
          <w:color w:val="000000" w:themeColor="text1"/>
          <w:highlight w:val="none"/>
          <w:u w:val="single"/>
          <w14:textFill>
            <w14:solidFill>
              <w14:schemeClr w14:val="tx1"/>
            </w14:solidFill>
          </w14:textFill>
        </w:rPr>
      </w:pPr>
      <w:r>
        <w:rPr>
          <w:rFonts w:hint="eastAsia" w:hAnsi="宋体"/>
          <w:color w:val="000000" w:themeColor="text1"/>
          <w:szCs w:val="21"/>
          <w:highlight w:val="none"/>
          <w14:textFill>
            <w14:solidFill>
              <w14:schemeClr w14:val="tx1"/>
            </w14:solidFill>
          </w14:textFill>
        </w:rPr>
        <w:t>投诉事项1：</w:t>
      </w:r>
      <w:r>
        <w:rPr>
          <w:rFonts w:hAnsi="宋体"/>
          <w:bCs/>
          <w:color w:val="000000" w:themeColor="text1"/>
          <w:highlight w:val="none"/>
          <w:u w:val="single"/>
          <w14:textFill>
            <w14:solidFill>
              <w14:schemeClr w14:val="tx1"/>
            </w14:solidFill>
          </w14:textFill>
        </w:rPr>
        <w:t>              </w:t>
      </w:r>
    </w:p>
    <w:p w14:paraId="3E387161">
      <w:pPr>
        <w:pStyle w:val="17"/>
        <w:pageBreakBefore w:val="0"/>
        <w:kinsoku/>
        <w:wordWrap/>
        <w:overflowPunct/>
        <w:topLinePunct w:val="0"/>
        <w:bidi w:val="0"/>
        <w:spacing w:line="400" w:lineRule="exact"/>
        <w:ind w:firstLine="420" w:firstLineChars="200"/>
        <w:outlineLvl w:val="9"/>
        <w:rPr>
          <w:rFonts w:hAnsi="宋体"/>
          <w:bCs/>
          <w:color w:val="000000" w:themeColor="text1"/>
          <w:highlight w:val="none"/>
          <w:u w:val="single"/>
          <w14:textFill>
            <w14:solidFill>
              <w14:schemeClr w14:val="tx1"/>
            </w14:solidFill>
          </w14:textFill>
        </w:rPr>
      </w:pPr>
      <w:r>
        <w:rPr>
          <w:rFonts w:hint="eastAsia" w:hAnsi="宋体"/>
          <w:bCs/>
          <w:color w:val="000000" w:themeColor="text1"/>
          <w:highlight w:val="none"/>
          <w14:textFill>
            <w14:solidFill>
              <w14:schemeClr w14:val="tx1"/>
            </w14:solidFill>
          </w14:textFill>
        </w:rPr>
        <w:t>事实依据：</w:t>
      </w:r>
      <w:r>
        <w:rPr>
          <w:rFonts w:hAnsi="宋体"/>
          <w:bCs/>
          <w:color w:val="000000" w:themeColor="text1"/>
          <w:highlight w:val="none"/>
          <w:u w:val="single"/>
          <w14:textFill>
            <w14:solidFill>
              <w14:schemeClr w14:val="tx1"/>
            </w14:solidFill>
          </w14:textFill>
        </w:rPr>
        <w:t>              </w:t>
      </w:r>
    </w:p>
    <w:p w14:paraId="1662685D">
      <w:pPr>
        <w:pStyle w:val="17"/>
        <w:pageBreakBefore w:val="0"/>
        <w:kinsoku/>
        <w:wordWrap/>
        <w:overflowPunct/>
        <w:topLinePunct w:val="0"/>
        <w:bidi w:val="0"/>
        <w:spacing w:line="400" w:lineRule="exact"/>
        <w:ind w:firstLine="420" w:firstLineChars="200"/>
        <w:outlineLvl w:val="9"/>
        <w:rPr>
          <w:rFonts w:hAnsi="宋体"/>
          <w:color w:val="000000" w:themeColor="text1"/>
          <w:szCs w:val="21"/>
          <w:highlight w:val="none"/>
          <w14:textFill>
            <w14:solidFill>
              <w14:schemeClr w14:val="tx1"/>
            </w14:solidFill>
          </w14:textFill>
        </w:rPr>
      </w:pPr>
      <w:r>
        <w:rPr>
          <w:rFonts w:hAnsi="宋体"/>
          <w:bCs/>
          <w:color w:val="000000" w:themeColor="text1"/>
          <w:highlight w:val="none"/>
          <w:u w:val="single"/>
          <w14:textFill>
            <w14:solidFill>
              <w14:schemeClr w14:val="tx1"/>
            </w14:solidFill>
          </w14:textFill>
        </w:rPr>
        <w:t>              </w:t>
      </w:r>
    </w:p>
    <w:p w14:paraId="584A6E42">
      <w:pPr>
        <w:pStyle w:val="17"/>
        <w:pageBreakBefore w:val="0"/>
        <w:kinsoku/>
        <w:wordWrap/>
        <w:overflowPunct/>
        <w:topLinePunct w:val="0"/>
        <w:bidi w:val="0"/>
        <w:spacing w:line="400" w:lineRule="exact"/>
        <w:ind w:firstLine="420" w:firstLineChars="200"/>
        <w:outlineLvl w:val="9"/>
        <w:rPr>
          <w:rFonts w:hAnsi="宋体"/>
          <w:bCs/>
          <w:color w:val="000000" w:themeColor="text1"/>
          <w:highlight w:val="none"/>
          <w:u w:val="single"/>
          <w14:textFill>
            <w14:solidFill>
              <w14:schemeClr w14:val="tx1"/>
            </w14:solidFill>
          </w14:textFill>
        </w:rPr>
      </w:pPr>
      <w:r>
        <w:rPr>
          <w:rFonts w:hint="eastAsia" w:hAnsi="宋体"/>
          <w:bCs/>
          <w:color w:val="000000" w:themeColor="text1"/>
          <w:highlight w:val="none"/>
          <w14:textFill>
            <w14:solidFill>
              <w14:schemeClr w14:val="tx1"/>
            </w14:solidFill>
          </w14:textFill>
        </w:rPr>
        <w:t>法律依据：</w:t>
      </w:r>
      <w:r>
        <w:rPr>
          <w:rFonts w:hAnsi="宋体"/>
          <w:bCs/>
          <w:color w:val="000000" w:themeColor="text1"/>
          <w:highlight w:val="none"/>
          <w:u w:val="single"/>
          <w14:textFill>
            <w14:solidFill>
              <w14:schemeClr w14:val="tx1"/>
            </w14:solidFill>
          </w14:textFill>
        </w:rPr>
        <w:t>              </w:t>
      </w:r>
    </w:p>
    <w:p w14:paraId="3A74B5D7">
      <w:pPr>
        <w:pStyle w:val="17"/>
        <w:pageBreakBefore w:val="0"/>
        <w:kinsoku/>
        <w:wordWrap/>
        <w:overflowPunct/>
        <w:topLinePunct w:val="0"/>
        <w:bidi w:val="0"/>
        <w:spacing w:line="400" w:lineRule="exact"/>
        <w:ind w:firstLine="420" w:firstLineChars="200"/>
        <w:outlineLvl w:val="9"/>
        <w:rPr>
          <w:rFonts w:hAnsi="宋体"/>
          <w:bCs/>
          <w:color w:val="000000" w:themeColor="text1"/>
          <w:highlight w:val="none"/>
          <w:u w:val="single"/>
          <w14:textFill>
            <w14:solidFill>
              <w14:schemeClr w14:val="tx1"/>
            </w14:solidFill>
          </w14:textFill>
        </w:rPr>
      </w:pPr>
      <w:r>
        <w:rPr>
          <w:rFonts w:hAnsi="宋体"/>
          <w:bCs/>
          <w:color w:val="000000" w:themeColor="text1"/>
          <w:highlight w:val="none"/>
          <w:u w:val="single"/>
          <w14:textFill>
            <w14:solidFill>
              <w14:schemeClr w14:val="tx1"/>
            </w14:solidFill>
          </w14:textFill>
        </w:rPr>
        <w:t>              </w:t>
      </w:r>
    </w:p>
    <w:p w14:paraId="2A70C71C">
      <w:pPr>
        <w:pStyle w:val="17"/>
        <w:pageBreakBefore w:val="0"/>
        <w:kinsoku/>
        <w:wordWrap/>
        <w:overflowPunct/>
        <w:topLinePunct w:val="0"/>
        <w:bidi w:val="0"/>
        <w:spacing w:line="400" w:lineRule="exact"/>
        <w:ind w:firstLine="420" w:firstLineChars="200"/>
        <w:outlineLvl w:val="9"/>
        <w:rPr>
          <w:rFonts w:hAnsi="宋体"/>
          <w:bCs/>
          <w:color w:val="000000" w:themeColor="text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投诉事项2：</w:t>
      </w:r>
      <w:r>
        <w:rPr>
          <w:rFonts w:hAnsi="宋体"/>
          <w:bCs/>
          <w:color w:val="000000" w:themeColor="text1"/>
          <w:highlight w:val="none"/>
          <w:u w:val="single"/>
          <w14:textFill>
            <w14:solidFill>
              <w14:schemeClr w14:val="tx1"/>
            </w14:solidFill>
          </w14:textFill>
        </w:rPr>
        <w:t>              </w:t>
      </w:r>
    </w:p>
    <w:p w14:paraId="43933405">
      <w:pPr>
        <w:pStyle w:val="17"/>
        <w:pageBreakBefore w:val="0"/>
        <w:kinsoku/>
        <w:wordWrap/>
        <w:overflowPunct/>
        <w:topLinePunct w:val="0"/>
        <w:bidi w:val="0"/>
        <w:spacing w:line="400" w:lineRule="exact"/>
        <w:ind w:left="25" w:leftChars="12" w:firstLine="413" w:firstLineChars="197"/>
        <w:outlineLvl w:val="9"/>
        <w:rPr>
          <w:rFonts w:hAnsi="宋体"/>
          <w:bCs/>
          <w:color w:val="000000" w:themeColor="text1"/>
          <w:highlight w:val="none"/>
          <w14:textFill>
            <w14:solidFill>
              <w14:schemeClr w14:val="tx1"/>
            </w14:solidFill>
          </w14:textFill>
        </w:rPr>
      </w:pPr>
      <w:r>
        <w:rPr>
          <w:rFonts w:hAnsi="宋体"/>
          <w:bCs/>
          <w:color w:val="000000" w:themeColor="text1"/>
          <w:highlight w:val="none"/>
          <w14:textFill>
            <w14:solidFill>
              <w14:schemeClr w14:val="tx1"/>
            </w14:solidFill>
          </w14:textFill>
        </w:rPr>
        <w:t>……</w:t>
      </w:r>
    </w:p>
    <w:p w14:paraId="013F7C29">
      <w:pPr>
        <w:pStyle w:val="17"/>
        <w:pageBreakBefore w:val="0"/>
        <w:kinsoku/>
        <w:wordWrap/>
        <w:overflowPunct/>
        <w:topLinePunct w:val="0"/>
        <w:bidi w:val="0"/>
        <w:spacing w:line="400" w:lineRule="exact"/>
        <w:ind w:left="25" w:leftChars="12" w:firstLine="413" w:firstLineChars="196"/>
        <w:outlineLvl w:val="9"/>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五、与投诉事项相关的投诉请求：</w:t>
      </w:r>
    </w:p>
    <w:p w14:paraId="7B8AEA49">
      <w:pPr>
        <w:pStyle w:val="17"/>
        <w:pageBreakBefore w:val="0"/>
        <w:kinsoku/>
        <w:wordWrap/>
        <w:overflowPunct/>
        <w:topLinePunct w:val="0"/>
        <w:bidi w:val="0"/>
        <w:spacing w:line="400" w:lineRule="exact"/>
        <w:ind w:left="25" w:leftChars="12" w:firstLine="413" w:firstLineChars="197"/>
        <w:outlineLvl w:val="9"/>
        <w:rPr>
          <w:rFonts w:hAnsi="宋体"/>
          <w:bCs/>
          <w:color w:val="000000" w:themeColor="text1"/>
          <w:highlight w:val="none"/>
          <w:u w:val="single"/>
          <w14:textFill>
            <w14:solidFill>
              <w14:schemeClr w14:val="tx1"/>
            </w14:solidFill>
          </w14:textFill>
        </w:rPr>
      </w:pPr>
      <w:r>
        <w:rPr>
          <w:rFonts w:hint="eastAsia" w:hAnsi="宋体"/>
          <w:color w:val="000000" w:themeColor="text1"/>
          <w:szCs w:val="21"/>
          <w:highlight w:val="none"/>
          <w14:textFill>
            <w14:solidFill>
              <w14:schemeClr w14:val="tx1"/>
            </w14:solidFill>
          </w14:textFill>
        </w:rPr>
        <w:t>请求：</w:t>
      </w:r>
      <w:r>
        <w:rPr>
          <w:rFonts w:hAnsi="宋体"/>
          <w:bCs/>
          <w:color w:val="000000" w:themeColor="text1"/>
          <w:highlight w:val="none"/>
          <w:u w:val="single"/>
          <w14:textFill>
            <w14:solidFill>
              <w14:schemeClr w14:val="tx1"/>
            </w14:solidFill>
          </w14:textFill>
        </w:rPr>
        <w:t>               </w:t>
      </w:r>
    </w:p>
    <w:p w14:paraId="1B4AF7F8">
      <w:pPr>
        <w:pStyle w:val="17"/>
        <w:pageBreakBefore w:val="0"/>
        <w:kinsoku/>
        <w:wordWrap/>
        <w:overflowPunct/>
        <w:topLinePunct w:val="0"/>
        <w:bidi w:val="0"/>
        <w:spacing w:line="400" w:lineRule="exact"/>
        <w:ind w:left="25" w:leftChars="12" w:firstLine="308" w:firstLineChars="147"/>
        <w:outlineLvl w:val="9"/>
        <w:rPr>
          <w:rFonts w:hAnsi="宋体"/>
          <w:color w:val="000000" w:themeColor="text1"/>
          <w:szCs w:val="21"/>
          <w:highlight w:val="none"/>
          <w14:textFill>
            <w14:solidFill>
              <w14:schemeClr w14:val="tx1"/>
            </w14:solidFill>
          </w14:textFill>
        </w:rPr>
      </w:pPr>
      <w:r>
        <w:rPr>
          <w:rFonts w:hAnsi="宋体"/>
          <w:bCs/>
          <w:color w:val="000000" w:themeColor="text1"/>
          <w:highlight w:val="none"/>
          <w:u w:val="single"/>
          <w14:textFill>
            <w14:solidFill>
              <w14:schemeClr w14:val="tx1"/>
            </w14:solidFill>
          </w14:textFill>
        </w:rPr>
        <w:t>             </w:t>
      </w:r>
    </w:p>
    <w:p w14:paraId="2617B771">
      <w:pPr>
        <w:pStyle w:val="17"/>
        <w:pageBreakBefore w:val="0"/>
        <w:kinsoku/>
        <w:wordWrap/>
        <w:overflowPunct/>
        <w:topLinePunct w:val="0"/>
        <w:bidi w:val="0"/>
        <w:spacing w:line="400" w:lineRule="exact"/>
        <w:ind w:left="25" w:leftChars="12" w:firstLine="413" w:firstLineChars="197"/>
        <w:outlineLvl w:val="9"/>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签字（签章）：</w:t>
      </w:r>
      <w:r>
        <w:rPr>
          <w:rFonts w:hAnsi="宋体"/>
          <w:color w:val="000000" w:themeColor="text1"/>
          <w:szCs w:val="21"/>
          <w:highlight w:val="none"/>
          <w:u w:val="single"/>
          <w14:textFill>
            <w14:solidFill>
              <w14:schemeClr w14:val="tx1"/>
            </w14:solidFill>
          </w14:textFill>
        </w:rPr>
        <w:t>             </w:t>
      </w:r>
    </w:p>
    <w:p w14:paraId="76E5356D">
      <w:pPr>
        <w:pStyle w:val="17"/>
        <w:pageBreakBefore w:val="0"/>
        <w:kinsoku/>
        <w:wordWrap/>
        <w:overflowPunct/>
        <w:topLinePunct w:val="0"/>
        <w:bidi w:val="0"/>
        <w:spacing w:line="400" w:lineRule="exact"/>
        <w:ind w:left="25" w:leftChars="12" w:firstLine="413" w:firstLineChars="197"/>
        <w:outlineLvl w:val="9"/>
        <w:rPr>
          <w:rFonts w:hAnsi="宋体"/>
          <w:color w:val="000000" w:themeColor="text1"/>
          <w:szCs w:val="21"/>
          <w:highlight w:val="none"/>
          <w:u w:val="single"/>
          <w14:textFill>
            <w14:solidFill>
              <w14:schemeClr w14:val="tx1"/>
            </w14:solidFill>
          </w14:textFill>
        </w:rPr>
      </w:pPr>
      <w:r>
        <w:rPr>
          <w:rFonts w:hint="eastAsia" w:hAnsi="宋体"/>
          <w:color w:val="000000" w:themeColor="text1"/>
          <w:szCs w:val="21"/>
          <w:highlight w:val="none"/>
          <w14:textFill>
            <w14:solidFill>
              <w14:schemeClr w14:val="tx1"/>
            </w14:solidFill>
          </w14:textFill>
        </w:rPr>
        <w:t>公章：</w:t>
      </w:r>
      <w:r>
        <w:rPr>
          <w:rFonts w:hAnsi="宋体"/>
          <w:color w:val="000000" w:themeColor="text1"/>
          <w:szCs w:val="21"/>
          <w:highlight w:val="none"/>
          <w:u w:val="single"/>
          <w14:textFill>
            <w14:solidFill>
              <w14:schemeClr w14:val="tx1"/>
            </w14:solidFill>
          </w14:textFill>
        </w:rPr>
        <w:t>                 </w:t>
      </w:r>
    </w:p>
    <w:p w14:paraId="523F8C76">
      <w:pPr>
        <w:pStyle w:val="17"/>
        <w:pageBreakBefore w:val="0"/>
        <w:kinsoku/>
        <w:wordWrap/>
        <w:overflowPunct/>
        <w:topLinePunct w:val="0"/>
        <w:bidi w:val="0"/>
        <w:spacing w:line="400" w:lineRule="exact"/>
        <w:ind w:left="25" w:leftChars="12" w:firstLine="413" w:firstLineChars="197"/>
        <w:outlineLvl w:val="9"/>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日期：</w:t>
      </w:r>
      <w:r>
        <w:rPr>
          <w:rFonts w:hAnsi="宋体"/>
          <w:color w:val="000000" w:themeColor="text1"/>
          <w:szCs w:val="21"/>
          <w:highlight w:val="none"/>
          <w:u w:val="single"/>
          <w14:textFill>
            <w14:solidFill>
              <w14:schemeClr w14:val="tx1"/>
            </w14:solidFill>
          </w14:textFill>
        </w:rPr>
        <w:t>                 </w:t>
      </w:r>
    </w:p>
    <w:p w14:paraId="6AFC5A10">
      <w:pPr>
        <w:pStyle w:val="17"/>
        <w:pageBreakBefore w:val="0"/>
        <w:kinsoku/>
        <w:wordWrap/>
        <w:overflowPunct/>
        <w:topLinePunct w:val="0"/>
        <w:bidi w:val="0"/>
        <w:spacing w:line="360" w:lineRule="exact"/>
        <w:ind w:left="25" w:leftChars="12" w:firstLine="413" w:firstLineChars="197"/>
        <w:outlineLvl w:val="9"/>
        <w:rPr>
          <w:rFonts w:hAnsi="宋体"/>
          <w:color w:val="000000" w:themeColor="text1"/>
          <w:szCs w:val="21"/>
          <w:highlight w:val="none"/>
          <w14:textFill>
            <w14:solidFill>
              <w14:schemeClr w14:val="tx1"/>
            </w14:solidFill>
          </w14:textFill>
        </w:rPr>
      </w:pPr>
    </w:p>
    <w:p w14:paraId="6E1817CA">
      <w:pPr>
        <w:pStyle w:val="17"/>
        <w:pageBreakBefore w:val="0"/>
        <w:kinsoku/>
        <w:wordWrap/>
        <w:overflowPunct/>
        <w:topLinePunct w:val="0"/>
        <w:bidi w:val="0"/>
        <w:snapToGrid w:val="0"/>
        <w:spacing w:line="340" w:lineRule="exact"/>
        <w:outlineLvl w:val="9"/>
        <w:rPr>
          <w:rFonts w:hAnsi="宋体"/>
          <w:b/>
          <w:color w:val="000000" w:themeColor="text1"/>
          <w:szCs w:val="21"/>
          <w:highlight w:val="none"/>
          <w14:textFill>
            <w14:solidFill>
              <w14:schemeClr w14:val="tx1"/>
            </w14:solidFill>
          </w14:textFill>
        </w:rPr>
      </w:pPr>
    </w:p>
    <w:p w14:paraId="2D558384">
      <w:pPr>
        <w:pStyle w:val="17"/>
        <w:pageBreakBefore w:val="0"/>
        <w:kinsoku/>
        <w:wordWrap/>
        <w:overflowPunct/>
        <w:topLinePunct w:val="0"/>
        <w:bidi w:val="0"/>
        <w:snapToGrid w:val="0"/>
        <w:spacing w:line="340" w:lineRule="exact"/>
        <w:outlineLvl w:val="9"/>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说明：</w:t>
      </w:r>
    </w:p>
    <w:p w14:paraId="44A31E6B">
      <w:pPr>
        <w:pStyle w:val="17"/>
        <w:pageBreakBefore w:val="0"/>
        <w:kinsoku/>
        <w:wordWrap/>
        <w:overflowPunct/>
        <w:topLinePunct w:val="0"/>
        <w:bidi w:val="0"/>
        <w:spacing w:line="340" w:lineRule="exact"/>
        <w:ind w:left="25" w:leftChars="12" w:firstLine="310" w:firstLineChars="147"/>
        <w:outlineLvl w:val="9"/>
        <w:rPr>
          <w:rFonts w:hAnsi="宋体"/>
          <w:b/>
          <w:bCs/>
          <w:color w:val="000000" w:themeColor="text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1.投诉人提起投诉时，应当提交投诉书和必要的证明材料，并按照被投诉人和与投诉事项有关的供应商数量提供投诉书副本</w:t>
      </w:r>
      <w:r>
        <w:rPr>
          <w:rFonts w:hint="eastAsia" w:hAnsi="宋体"/>
          <w:b/>
          <w:bCs/>
          <w:color w:val="000000" w:themeColor="text1"/>
          <w:highlight w:val="none"/>
          <w14:textFill>
            <w14:solidFill>
              <w14:schemeClr w14:val="tx1"/>
            </w14:solidFill>
          </w14:textFill>
        </w:rPr>
        <w:t>。</w:t>
      </w:r>
    </w:p>
    <w:p w14:paraId="40D2C2F1">
      <w:pPr>
        <w:pStyle w:val="17"/>
        <w:pageBreakBefore w:val="0"/>
        <w:kinsoku/>
        <w:wordWrap/>
        <w:overflowPunct/>
        <w:topLinePunct w:val="0"/>
        <w:bidi w:val="0"/>
        <w:spacing w:line="340" w:lineRule="exact"/>
        <w:ind w:left="25" w:leftChars="12" w:firstLine="310" w:firstLineChars="147"/>
        <w:outlineLvl w:val="9"/>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08D69BF">
      <w:pPr>
        <w:pStyle w:val="17"/>
        <w:pageBreakBefore w:val="0"/>
        <w:kinsoku/>
        <w:wordWrap/>
        <w:overflowPunct/>
        <w:topLinePunct w:val="0"/>
        <w:bidi w:val="0"/>
        <w:spacing w:line="340" w:lineRule="exact"/>
        <w:ind w:left="25" w:leftChars="12" w:firstLine="310" w:firstLineChars="147"/>
        <w:outlineLvl w:val="9"/>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3.投诉书应简要列明质疑事项，质疑函、质疑答复等作为附件材料提供。</w:t>
      </w:r>
    </w:p>
    <w:p w14:paraId="7C1EA830">
      <w:pPr>
        <w:pStyle w:val="17"/>
        <w:pageBreakBefore w:val="0"/>
        <w:kinsoku/>
        <w:wordWrap/>
        <w:overflowPunct/>
        <w:topLinePunct w:val="0"/>
        <w:bidi w:val="0"/>
        <w:spacing w:line="340" w:lineRule="exact"/>
        <w:ind w:left="25" w:leftChars="12" w:firstLine="310" w:firstLineChars="147"/>
        <w:outlineLvl w:val="9"/>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4.投诉书的投诉事项应具体、明确，并有必要的事实依据和法律依据。</w:t>
      </w:r>
    </w:p>
    <w:p w14:paraId="3F27378B">
      <w:pPr>
        <w:pStyle w:val="17"/>
        <w:pageBreakBefore w:val="0"/>
        <w:kinsoku/>
        <w:wordWrap/>
        <w:overflowPunct/>
        <w:topLinePunct w:val="0"/>
        <w:bidi w:val="0"/>
        <w:spacing w:line="340" w:lineRule="exact"/>
        <w:ind w:left="25" w:leftChars="12" w:firstLine="310" w:firstLineChars="147"/>
        <w:outlineLvl w:val="9"/>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5.投诉书的投诉请求应与投诉事项相关。</w:t>
      </w:r>
    </w:p>
    <w:p w14:paraId="5E8A9DF2">
      <w:pPr>
        <w:pageBreakBefore w:val="0"/>
        <w:kinsoku/>
        <w:wordWrap/>
        <w:overflowPunct/>
        <w:topLinePunct w:val="0"/>
        <w:bidi w:val="0"/>
        <w:outlineLvl w:val="9"/>
        <w:rPr>
          <w:rFonts w:ascii="宋体" w:hAnsi="宋体"/>
          <w:b/>
          <w:bCs/>
          <w:color w:val="000000" w:themeColor="text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6.</w:t>
      </w:r>
      <w:r>
        <w:rPr>
          <w:rFonts w:hint="eastAsia" w:ascii="宋体" w:hAnsi="宋体"/>
          <w:b/>
          <w:bCs/>
          <w:color w:val="000000" w:themeColor="text1"/>
          <w:highlight w:val="none"/>
          <w14:textFill>
            <w14:solidFill>
              <w14:schemeClr w14:val="tx1"/>
            </w14:solidFill>
          </w14:textFill>
        </w:rPr>
        <w:t>投诉人为法人或者其他组织的，投诉书应由法定代表人、主要负责人，或者其授权代表签字或者盖章，并加盖公章。</w:t>
      </w:r>
    </w:p>
    <w:p w14:paraId="2A1AC695">
      <w:pPr>
        <w:pageBreakBefore w:val="0"/>
        <w:widowControl/>
        <w:kinsoku/>
        <w:wordWrap/>
        <w:overflowPunct/>
        <w:topLinePunct w:val="0"/>
        <w:bidi w:val="0"/>
        <w:jc w:val="left"/>
        <w:outlineLvl w:val="9"/>
        <w:rPr>
          <w:color w:val="000000" w:themeColor="text1"/>
          <w:highlight w:val="none"/>
          <w14:textFill>
            <w14:solidFill>
              <w14:schemeClr w14:val="tx1"/>
            </w14:solidFill>
          </w14:textFill>
        </w:rPr>
      </w:pPr>
    </w:p>
    <w:sectPr>
      <w:footerReference r:id="rId3" w:type="default"/>
      <w:pgSz w:w="11906" w:h="16838"/>
      <w:pgMar w:top="1440" w:right="1080" w:bottom="1440" w:left="1080" w:header="851" w:footer="992"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Ђ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im Sun">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55688">
    <w:pPr>
      <w:pStyle w:val="2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5AFE3C">
                          <w:pPr>
                            <w:pStyle w:val="21"/>
                          </w:pPr>
                          <w:r>
                            <w:t xml:space="preserve">— </w:t>
                          </w:r>
                          <w:r>
                            <w:fldChar w:fldCharType="begin"/>
                          </w:r>
                          <w:r>
                            <w:instrText xml:space="preserve"> PAGE  \* MERGEFORMAT </w:instrText>
                          </w:r>
                          <w:r>
                            <w:fldChar w:fldCharType="separate"/>
                          </w:r>
                          <w:r>
                            <w:t>- 2 -</w:t>
                          </w:r>
                          <w:r>
                            <w:fldChar w:fldCharType="end"/>
                          </w:r>
                          <w: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14:paraId="205AFE3C">
                    <w:pPr>
                      <w:pStyle w:val="21"/>
                    </w:pPr>
                    <w:r>
                      <w:t xml:space="preserve">— </w:t>
                    </w:r>
                    <w:r>
                      <w:fldChar w:fldCharType="begin"/>
                    </w:r>
                    <w:r>
                      <w:instrText xml:space="preserve"> PAGE  \* MERGEFORMAT </w:instrText>
                    </w:r>
                    <w:r>
                      <w:fldChar w:fldCharType="separate"/>
                    </w:r>
                    <w:r>
                      <w:t>- 2 -</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0B2570"/>
    <w:multiLevelType w:val="singleLevel"/>
    <w:tmpl w:val="AC0B2570"/>
    <w:lvl w:ilvl="0" w:tentative="0">
      <w:start w:val="4"/>
      <w:numFmt w:val="chineseCounting"/>
      <w:suff w:val="space"/>
      <w:lvlText w:val="第%1章"/>
      <w:lvlJc w:val="left"/>
      <w:rPr>
        <w:rFonts w:hint="eastAsia"/>
      </w:rPr>
    </w:lvl>
  </w:abstractNum>
  <w:abstractNum w:abstractNumId="1">
    <w:nsid w:val="AE8EBBE8"/>
    <w:multiLevelType w:val="singleLevel"/>
    <w:tmpl w:val="AE8EBBE8"/>
    <w:lvl w:ilvl="0" w:tentative="0">
      <w:start w:val="15"/>
      <w:numFmt w:val="decimal"/>
      <w:suff w:val="space"/>
      <w:lvlText w:val="%1."/>
      <w:lvlJc w:val="left"/>
    </w:lvl>
  </w:abstractNum>
  <w:abstractNum w:abstractNumId="2">
    <w:nsid w:val="DDD19038"/>
    <w:multiLevelType w:val="singleLevel"/>
    <w:tmpl w:val="DDD19038"/>
    <w:lvl w:ilvl="0" w:tentative="0">
      <w:start w:val="12"/>
      <w:numFmt w:val="chineseCounting"/>
      <w:suff w:val="space"/>
      <w:lvlText w:val="第%1条"/>
      <w:lvlJc w:val="left"/>
      <w:rPr>
        <w:rFonts w:hint="eastAsia"/>
      </w:rPr>
    </w:lvl>
  </w:abstractNum>
  <w:abstractNum w:abstractNumId="3">
    <w:nsid w:val="262694A4"/>
    <w:multiLevelType w:val="singleLevel"/>
    <w:tmpl w:val="262694A4"/>
    <w:lvl w:ilvl="0" w:tentative="0">
      <w:start w:val="1"/>
      <w:numFmt w:val="chineseCounting"/>
      <w:suff w:val="space"/>
      <w:lvlText w:val="第%1章"/>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ZGU4OGIwMWNiZTI0OTFhMDQ0YjIxMDI1YmViMzMifQ=="/>
  </w:docVars>
  <w:rsids>
    <w:rsidRoot w:val="00F92138"/>
    <w:rsid w:val="0000012A"/>
    <w:rsid w:val="000004C3"/>
    <w:rsid w:val="000007B3"/>
    <w:rsid w:val="00000DC5"/>
    <w:rsid w:val="000012F4"/>
    <w:rsid w:val="000013C5"/>
    <w:rsid w:val="0000245C"/>
    <w:rsid w:val="00002511"/>
    <w:rsid w:val="00002604"/>
    <w:rsid w:val="00002682"/>
    <w:rsid w:val="00002771"/>
    <w:rsid w:val="00002789"/>
    <w:rsid w:val="00003EA2"/>
    <w:rsid w:val="00004D43"/>
    <w:rsid w:val="00004D70"/>
    <w:rsid w:val="000064D3"/>
    <w:rsid w:val="000066AE"/>
    <w:rsid w:val="0000694B"/>
    <w:rsid w:val="00007562"/>
    <w:rsid w:val="00007A12"/>
    <w:rsid w:val="00007F96"/>
    <w:rsid w:val="00010484"/>
    <w:rsid w:val="00010630"/>
    <w:rsid w:val="0001073E"/>
    <w:rsid w:val="00010A38"/>
    <w:rsid w:val="00010C20"/>
    <w:rsid w:val="00010EAD"/>
    <w:rsid w:val="00011006"/>
    <w:rsid w:val="00011968"/>
    <w:rsid w:val="00011B3B"/>
    <w:rsid w:val="0001275D"/>
    <w:rsid w:val="00012CDC"/>
    <w:rsid w:val="0001389F"/>
    <w:rsid w:val="000139C8"/>
    <w:rsid w:val="000139E0"/>
    <w:rsid w:val="00013C53"/>
    <w:rsid w:val="000147E9"/>
    <w:rsid w:val="00014885"/>
    <w:rsid w:val="00014897"/>
    <w:rsid w:val="000154C2"/>
    <w:rsid w:val="00015526"/>
    <w:rsid w:val="00015616"/>
    <w:rsid w:val="00016164"/>
    <w:rsid w:val="000161E6"/>
    <w:rsid w:val="000168D8"/>
    <w:rsid w:val="00016CCE"/>
    <w:rsid w:val="00016DFC"/>
    <w:rsid w:val="00016E25"/>
    <w:rsid w:val="00016F9A"/>
    <w:rsid w:val="000171D6"/>
    <w:rsid w:val="000176F2"/>
    <w:rsid w:val="00017B36"/>
    <w:rsid w:val="00020282"/>
    <w:rsid w:val="000204F7"/>
    <w:rsid w:val="00020654"/>
    <w:rsid w:val="000206E4"/>
    <w:rsid w:val="00020A3D"/>
    <w:rsid w:val="00020C2E"/>
    <w:rsid w:val="00020C93"/>
    <w:rsid w:val="00020DFC"/>
    <w:rsid w:val="00021802"/>
    <w:rsid w:val="00021DAE"/>
    <w:rsid w:val="000226EF"/>
    <w:rsid w:val="00022A04"/>
    <w:rsid w:val="00022F6B"/>
    <w:rsid w:val="0002300B"/>
    <w:rsid w:val="00023496"/>
    <w:rsid w:val="00023CCC"/>
    <w:rsid w:val="00024D1C"/>
    <w:rsid w:val="000250DF"/>
    <w:rsid w:val="000253B5"/>
    <w:rsid w:val="000255CC"/>
    <w:rsid w:val="00025BB2"/>
    <w:rsid w:val="00025BFA"/>
    <w:rsid w:val="00026487"/>
    <w:rsid w:val="00026761"/>
    <w:rsid w:val="00026815"/>
    <w:rsid w:val="00026A9C"/>
    <w:rsid w:val="00026BD0"/>
    <w:rsid w:val="00026D0B"/>
    <w:rsid w:val="00026E89"/>
    <w:rsid w:val="00026FAA"/>
    <w:rsid w:val="00027726"/>
    <w:rsid w:val="00027F50"/>
    <w:rsid w:val="00030259"/>
    <w:rsid w:val="00031CD3"/>
    <w:rsid w:val="00031D23"/>
    <w:rsid w:val="000320DB"/>
    <w:rsid w:val="00032419"/>
    <w:rsid w:val="0003258D"/>
    <w:rsid w:val="00033233"/>
    <w:rsid w:val="000338EF"/>
    <w:rsid w:val="00033A28"/>
    <w:rsid w:val="00033C3A"/>
    <w:rsid w:val="00033C62"/>
    <w:rsid w:val="00034267"/>
    <w:rsid w:val="000344EF"/>
    <w:rsid w:val="00034581"/>
    <w:rsid w:val="00034D30"/>
    <w:rsid w:val="00034E5F"/>
    <w:rsid w:val="000353B8"/>
    <w:rsid w:val="000357BE"/>
    <w:rsid w:val="00035820"/>
    <w:rsid w:val="00035C6F"/>
    <w:rsid w:val="00036348"/>
    <w:rsid w:val="00036425"/>
    <w:rsid w:val="00036594"/>
    <w:rsid w:val="00037242"/>
    <w:rsid w:val="000373A3"/>
    <w:rsid w:val="00037991"/>
    <w:rsid w:val="000404A8"/>
    <w:rsid w:val="00040678"/>
    <w:rsid w:val="00040706"/>
    <w:rsid w:val="00040C08"/>
    <w:rsid w:val="000425C4"/>
    <w:rsid w:val="000425DB"/>
    <w:rsid w:val="00042F69"/>
    <w:rsid w:val="000430A5"/>
    <w:rsid w:val="000433E9"/>
    <w:rsid w:val="00043717"/>
    <w:rsid w:val="00043BC9"/>
    <w:rsid w:val="00044162"/>
    <w:rsid w:val="00044210"/>
    <w:rsid w:val="0004422A"/>
    <w:rsid w:val="00044409"/>
    <w:rsid w:val="000447E7"/>
    <w:rsid w:val="00044C3F"/>
    <w:rsid w:val="00044E0C"/>
    <w:rsid w:val="00044E5F"/>
    <w:rsid w:val="000457ED"/>
    <w:rsid w:val="00045A4C"/>
    <w:rsid w:val="00045FA3"/>
    <w:rsid w:val="0004657B"/>
    <w:rsid w:val="00047190"/>
    <w:rsid w:val="000473C1"/>
    <w:rsid w:val="000476F0"/>
    <w:rsid w:val="00047877"/>
    <w:rsid w:val="000479BB"/>
    <w:rsid w:val="000479E2"/>
    <w:rsid w:val="000500EE"/>
    <w:rsid w:val="0005043F"/>
    <w:rsid w:val="000517CE"/>
    <w:rsid w:val="00052295"/>
    <w:rsid w:val="00052409"/>
    <w:rsid w:val="00053E02"/>
    <w:rsid w:val="0005424F"/>
    <w:rsid w:val="00054CFF"/>
    <w:rsid w:val="00055A2B"/>
    <w:rsid w:val="000561BD"/>
    <w:rsid w:val="00056276"/>
    <w:rsid w:val="0005641F"/>
    <w:rsid w:val="0005650A"/>
    <w:rsid w:val="00056832"/>
    <w:rsid w:val="00057D96"/>
    <w:rsid w:val="00057FA8"/>
    <w:rsid w:val="000606D6"/>
    <w:rsid w:val="0006095D"/>
    <w:rsid w:val="00061342"/>
    <w:rsid w:val="0006145F"/>
    <w:rsid w:val="000617D3"/>
    <w:rsid w:val="00061A7B"/>
    <w:rsid w:val="0006269C"/>
    <w:rsid w:val="000629C0"/>
    <w:rsid w:val="00062A93"/>
    <w:rsid w:val="00062EB9"/>
    <w:rsid w:val="0006313B"/>
    <w:rsid w:val="00063580"/>
    <w:rsid w:val="00063621"/>
    <w:rsid w:val="0006377B"/>
    <w:rsid w:val="00063C67"/>
    <w:rsid w:val="000645BF"/>
    <w:rsid w:val="00064792"/>
    <w:rsid w:val="00064E88"/>
    <w:rsid w:val="00064E8B"/>
    <w:rsid w:val="00065C6C"/>
    <w:rsid w:val="0006602F"/>
    <w:rsid w:val="00066231"/>
    <w:rsid w:val="00066254"/>
    <w:rsid w:val="0006630F"/>
    <w:rsid w:val="000663F2"/>
    <w:rsid w:val="00066927"/>
    <w:rsid w:val="000675B5"/>
    <w:rsid w:val="00070648"/>
    <w:rsid w:val="0007072F"/>
    <w:rsid w:val="000707BA"/>
    <w:rsid w:val="00070B84"/>
    <w:rsid w:val="000712BA"/>
    <w:rsid w:val="000715DB"/>
    <w:rsid w:val="00072AF3"/>
    <w:rsid w:val="000731E0"/>
    <w:rsid w:val="0007321D"/>
    <w:rsid w:val="00073EB9"/>
    <w:rsid w:val="00074060"/>
    <w:rsid w:val="000740EE"/>
    <w:rsid w:val="00074441"/>
    <w:rsid w:val="000746A6"/>
    <w:rsid w:val="000746D3"/>
    <w:rsid w:val="00074890"/>
    <w:rsid w:val="00074AAC"/>
    <w:rsid w:val="000750FD"/>
    <w:rsid w:val="00075405"/>
    <w:rsid w:val="000759B4"/>
    <w:rsid w:val="00075AC6"/>
    <w:rsid w:val="000763B8"/>
    <w:rsid w:val="00080266"/>
    <w:rsid w:val="00080A97"/>
    <w:rsid w:val="00080C72"/>
    <w:rsid w:val="00080DDA"/>
    <w:rsid w:val="00080FD4"/>
    <w:rsid w:val="00081197"/>
    <w:rsid w:val="000815D9"/>
    <w:rsid w:val="0008283C"/>
    <w:rsid w:val="00082B33"/>
    <w:rsid w:val="00082F26"/>
    <w:rsid w:val="000834F3"/>
    <w:rsid w:val="00083AFC"/>
    <w:rsid w:val="000840AE"/>
    <w:rsid w:val="00084236"/>
    <w:rsid w:val="000844B3"/>
    <w:rsid w:val="00084D1E"/>
    <w:rsid w:val="00085194"/>
    <w:rsid w:val="000858A2"/>
    <w:rsid w:val="00085993"/>
    <w:rsid w:val="00085C26"/>
    <w:rsid w:val="00085EE0"/>
    <w:rsid w:val="00086806"/>
    <w:rsid w:val="00086B00"/>
    <w:rsid w:val="000870A4"/>
    <w:rsid w:val="00087492"/>
    <w:rsid w:val="00087C2E"/>
    <w:rsid w:val="00087C30"/>
    <w:rsid w:val="00087D46"/>
    <w:rsid w:val="000900BE"/>
    <w:rsid w:val="0009120F"/>
    <w:rsid w:val="0009192D"/>
    <w:rsid w:val="00091A92"/>
    <w:rsid w:val="00091ADC"/>
    <w:rsid w:val="00091F7B"/>
    <w:rsid w:val="000921D6"/>
    <w:rsid w:val="00092416"/>
    <w:rsid w:val="00093502"/>
    <w:rsid w:val="0009423E"/>
    <w:rsid w:val="0009439C"/>
    <w:rsid w:val="0009450E"/>
    <w:rsid w:val="0009583E"/>
    <w:rsid w:val="00095D3B"/>
    <w:rsid w:val="0009609B"/>
    <w:rsid w:val="00096254"/>
    <w:rsid w:val="0009629E"/>
    <w:rsid w:val="0009657E"/>
    <w:rsid w:val="0009672C"/>
    <w:rsid w:val="00096B3D"/>
    <w:rsid w:val="0009733E"/>
    <w:rsid w:val="00097869"/>
    <w:rsid w:val="00097B00"/>
    <w:rsid w:val="000A1985"/>
    <w:rsid w:val="000A1B2D"/>
    <w:rsid w:val="000A1C5C"/>
    <w:rsid w:val="000A1EE1"/>
    <w:rsid w:val="000A22B8"/>
    <w:rsid w:val="000A22E4"/>
    <w:rsid w:val="000A2348"/>
    <w:rsid w:val="000A3D4E"/>
    <w:rsid w:val="000A45D6"/>
    <w:rsid w:val="000A482E"/>
    <w:rsid w:val="000A4CC3"/>
    <w:rsid w:val="000A507F"/>
    <w:rsid w:val="000A5F1C"/>
    <w:rsid w:val="000A6BCA"/>
    <w:rsid w:val="000A6E55"/>
    <w:rsid w:val="000A7020"/>
    <w:rsid w:val="000A715A"/>
    <w:rsid w:val="000A7BC1"/>
    <w:rsid w:val="000B005F"/>
    <w:rsid w:val="000B0082"/>
    <w:rsid w:val="000B0948"/>
    <w:rsid w:val="000B116B"/>
    <w:rsid w:val="000B147E"/>
    <w:rsid w:val="000B14E2"/>
    <w:rsid w:val="000B1865"/>
    <w:rsid w:val="000B25AB"/>
    <w:rsid w:val="000B27B0"/>
    <w:rsid w:val="000B2E07"/>
    <w:rsid w:val="000B3350"/>
    <w:rsid w:val="000B3403"/>
    <w:rsid w:val="000B3F43"/>
    <w:rsid w:val="000B414E"/>
    <w:rsid w:val="000B420E"/>
    <w:rsid w:val="000B517B"/>
    <w:rsid w:val="000B599B"/>
    <w:rsid w:val="000B6149"/>
    <w:rsid w:val="000B6464"/>
    <w:rsid w:val="000B6616"/>
    <w:rsid w:val="000B67FF"/>
    <w:rsid w:val="000B6D4B"/>
    <w:rsid w:val="000B7280"/>
    <w:rsid w:val="000B75AB"/>
    <w:rsid w:val="000B775D"/>
    <w:rsid w:val="000B7B41"/>
    <w:rsid w:val="000B7B6B"/>
    <w:rsid w:val="000C042D"/>
    <w:rsid w:val="000C16C7"/>
    <w:rsid w:val="000C17B3"/>
    <w:rsid w:val="000C18B9"/>
    <w:rsid w:val="000C1C14"/>
    <w:rsid w:val="000C1C47"/>
    <w:rsid w:val="000C1CBA"/>
    <w:rsid w:val="000C1E87"/>
    <w:rsid w:val="000C1FFE"/>
    <w:rsid w:val="000C278F"/>
    <w:rsid w:val="000C3182"/>
    <w:rsid w:val="000C3627"/>
    <w:rsid w:val="000C3D7C"/>
    <w:rsid w:val="000C3E5D"/>
    <w:rsid w:val="000C3EBF"/>
    <w:rsid w:val="000C3EF9"/>
    <w:rsid w:val="000C4226"/>
    <w:rsid w:val="000C46A7"/>
    <w:rsid w:val="000C4B4A"/>
    <w:rsid w:val="000C577C"/>
    <w:rsid w:val="000C5EBC"/>
    <w:rsid w:val="000C6007"/>
    <w:rsid w:val="000C62B4"/>
    <w:rsid w:val="000C63C1"/>
    <w:rsid w:val="000C6487"/>
    <w:rsid w:val="000C6542"/>
    <w:rsid w:val="000C66D5"/>
    <w:rsid w:val="000C671D"/>
    <w:rsid w:val="000C6905"/>
    <w:rsid w:val="000C726B"/>
    <w:rsid w:val="000C79D7"/>
    <w:rsid w:val="000C7DC0"/>
    <w:rsid w:val="000C7E03"/>
    <w:rsid w:val="000D04B5"/>
    <w:rsid w:val="000D07D7"/>
    <w:rsid w:val="000D0A2A"/>
    <w:rsid w:val="000D197F"/>
    <w:rsid w:val="000D1EC5"/>
    <w:rsid w:val="000D1F8E"/>
    <w:rsid w:val="000D2C99"/>
    <w:rsid w:val="000D3131"/>
    <w:rsid w:val="000D317E"/>
    <w:rsid w:val="000D3499"/>
    <w:rsid w:val="000D35D0"/>
    <w:rsid w:val="000D3ADD"/>
    <w:rsid w:val="000D3C13"/>
    <w:rsid w:val="000D416D"/>
    <w:rsid w:val="000D4271"/>
    <w:rsid w:val="000D565B"/>
    <w:rsid w:val="000D5A69"/>
    <w:rsid w:val="000D5C45"/>
    <w:rsid w:val="000D6183"/>
    <w:rsid w:val="000D6249"/>
    <w:rsid w:val="000D663D"/>
    <w:rsid w:val="000D713C"/>
    <w:rsid w:val="000D7241"/>
    <w:rsid w:val="000D7491"/>
    <w:rsid w:val="000D761D"/>
    <w:rsid w:val="000D7811"/>
    <w:rsid w:val="000E0233"/>
    <w:rsid w:val="000E07EE"/>
    <w:rsid w:val="000E1051"/>
    <w:rsid w:val="000E111B"/>
    <w:rsid w:val="000E125D"/>
    <w:rsid w:val="000E17A5"/>
    <w:rsid w:val="000E1EA9"/>
    <w:rsid w:val="000E20CC"/>
    <w:rsid w:val="000E221C"/>
    <w:rsid w:val="000E2C59"/>
    <w:rsid w:val="000E2D2A"/>
    <w:rsid w:val="000E2D3C"/>
    <w:rsid w:val="000E3086"/>
    <w:rsid w:val="000E3A00"/>
    <w:rsid w:val="000E4218"/>
    <w:rsid w:val="000E4714"/>
    <w:rsid w:val="000E477C"/>
    <w:rsid w:val="000E4A2E"/>
    <w:rsid w:val="000E4AA0"/>
    <w:rsid w:val="000E5032"/>
    <w:rsid w:val="000E551D"/>
    <w:rsid w:val="000E6A8A"/>
    <w:rsid w:val="000E6BBF"/>
    <w:rsid w:val="000E7078"/>
    <w:rsid w:val="000E75B1"/>
    <w:rsid w:val="000F07E0"/>
    <w:rsid w:val="000F0927"/>
    <w:rsid w:val="000F09EA"/>
    <w:rsid w:val="000F0AEC"/>
    <w:rsid w:val="000F0DF2"/>
    <w:rsid w:val="000F1BF2"/>
    <w:rsid w:val="000F1C7B"/>
    <w:rsid w:val="000F2448"/>
    <w:rsid w:val="000F25B0"/>
    <w:rsid w:val="000F2B3A"/>
    <w:rsid w:val="000F2EA9"/>
    <w:rsid w:val="000F3291"/>
    <w:rsid w:val="000F33D3"/>
    <w:rsid w:val="000F3E81"/>
    <w:rsid w:val="000F4D92"/>
    <w:rsid w:val="000F512C"/>
    <w:rsid w:val="000F5A14"/>
    <w:rsid w:val="000F6137"/>
    <w:rsid w:val="000F6477"/>
    <w:rsid w:val="000F660D"/>
    <w:rsid w:val="000F72C5"/>
    <w:rsid w:val="000F7404"/>
    <w:rsid w:val="000F7D5B"/>
    <w:rsid w:val="001002A5"/>
    <w:rsid w:val="0010101A"/>
    <w:rsid w:val="0010113E"/>
    <w:rsid w:val="00101C2F"/>
    <w:rsid w:val="0010220C"/>
    <w:rsid w:val="001023DA"/>
    <w:rsid w:val="00103AEB"/>
    <w:rsid w:val="00103B1E"/>
    <w:rsid w:val="00103D34"/>
    <w:rsid w:val="001043E8"/>
    <w:rsid w:val="001051FB"/>
    <w:rsid w:val="00105E7C"/>
    <w:rsid w:val="00106635"/>
    <w:rsid w:val="0010772D"/>
    <w:rsid w:val="00107AAB"/>
    <w:rsid w:val="00107DBE"/>
    <w:rsid w:val="001100AC"/>
    <w:rsid w:val="00110BD9"/>
    <w:rsid w:val="0011171E"/>
    <w:rsid w:val="001118FC"/>
    <w:rsid w:val="00111A1E"/>
    <w:rsid w:val="00111A2D"/>
    <w:rsid w:val="00111B72"/>
    <w:rsid w:val="00111CA9"/>
    <w:rsid w:val="00112548"/>
    <w:rsid w:val="00112720"/>
    <w:rsid w:val="00112F5B"/>
    <w:rsid w:val="00113A0E"/>
    <w:rsid w:val="00113A99"/>
    <w:rsid w:val="00113AF4"/>
    <w:rsid w:val="0011471D"/>
    <w:rsid w:val="00114B86"/>
    <w:rsid w:val="0011508E"/>
    <w:rsid w:val="00115442"/>
    <w:rsid w:val="00115F5F"/>
    <w:rsid w:val="00115FBC"/>
    <w:rsid w:val="0011635D"/>
    <w:rsid w:val="00116814"/>
    <w:rsid w:val="00116CBB"/>
    <w:rsid w:val="0011747F"/>
    <w:rsid w:val="001174AE"/>
    <w:rsid w:val="00117D20"/>
    <w:rsid w:val="00117DC0"/>
    <w:rsid w:val="00117E74"/>
    <w:rsid w:val="00120547"/>
    <w:rsid w:val="00120802"/>
    <w:rsid w:val="0012191A"/>
    <w:rsid w:val="001231A6"/>
    <w:rsid w:val="001234BD"/>
    <w:rsid w:val="001235F0"/>
    <w:rsid w:val="001236EF"/>
    <w:rsid w:val="001239B2"/>
    <w:rsid w:val="00123B65"/>
    <w:rsid w:val="001240C4"/>
    <w:rsid w:val="00124323"/>
    <w:rsid w:val="00124456"/>
    <w:rsid w:val="00124ACB"/>
    <w:rsid w:val="001255C6"/>
    <w:rsid w:val="0012638B"/>
    <w:rsid w:val="00130193"/>
    <w:rsid w:val="0013024C"/>
    <w:rsid w:val="001303EA"/>
    <w:rsid w:val="0013041D"/>
    <w:rsid w:val="00130436"/>
    <w:rsid w:val="00130EFA"/>
    <w:rsid w:val="00131BB7"/>
    <w:rsid w:val="00131C08"/>
    <w:rsid w:val="00131D21"/>
    <w:rsid w:val="0013248D"/>
    <w:rsid w:val="00132F97"/>
    <w:rsid w:val="00133180"/>
    <w:rsid w:val="00133205"/>
    <w:rsid w:val="001333DB"/>
    <w:rsid w:val="00133450"/>
    <w:rsid w:val="001335B1"/>
    <w:rsid w:val="00133C3B"/>
    <w:rsid w:val="00133F22"/>
    <w:rsid w:val="0013449B"/>
    <w:rsid w:val="001344C7"/>
    <w:rsid w:val="001346D2"/>
    <w:rsid w:val="00134862"/>
    <w:rsid w:val="00134BD1"/>
    <w:rsid w:val="00134CC0"/>
    <w:rsid w:val="0013598F"/>
    <w:rsid w:val="00135E46"/>
    <w:rsid w:val="001361B4"/>
    <w:rsid w:val="001363FF"/>
    <w:rsid w:val="00136517"/>
    <w:rsid w:val="00137852"/>
    <w:rsid w:val="00137953"/>
    <w:rsid w:val="00140213"/>
    <w:rsid w:val="0014047C"/>
    <w:rsid w:val="0014115B"/>
    <w:rsid w:val="00141AE7"/>
    <w:rsid w:val="00141BE9"/>
    <w:rsid w:val="00141E3C"/>
    <w:rsid w:val="00142405"/>
    <w:rsid w:val="00142784"/>
    <w:rsid w:val="00142C09"/>
    <w:rsid w:val="00142CC9"/>
    <w:rsid w:val="00142FA9"/>
    <w:rsid w:val="00143102"/>
    <w:rsid w:val="0014329A"/>
    <w:rsid w:val="001433F1"/>
    <w:rsid w:val="00143861"/>
    <w:rsid w:val="001440A4"/>
    <w:rsid w:val="00144341"/>
    <w:rsid w:val="00144815"/>
    <w:rsid w:val="00144F89"/>
    <w:rsid w:val="00145537"/>
    <w:rsid w:val="00145D1C"/>
    <w:rsid w:val="00146021"/>
    <w:rsid w:val="00150049"/>
    <w:rsid w:val="00150055"/>
    <w:rsid w:val="001502A2"/>
    <w:rsid w:val="001502DD"/>
    <w:rsid w:val="00150373"/>
    <w:rsid w:val="00150AE6"/>
    <w:rsid w:val="00150C40"/>
    <w:rsid w:val="00150D03"/>
    <w:rsid w:val="001519DF"/>
    <w:rsid w:val="00151F58"/>
    <w:rsid w:val="00151F67"/>
    <w:rsid w:val="0015285A"/>
    <w:rsid w:val="0015299C"/>
    <w:rsid w:val="00152FB4"/>
    <w:rsid w:val="0015313E"/>
    <w:rsid w:val="001531B4"/>
    <w:rsid w:val="001533BA"/>
    <w:rsid w:val="00153787"/>
    <w:rsid w:val="0015396D"/>
    <w:rsid w:val="001539B4"/>
    <w:rsid w:val="00153BBF"/>
    <w:rsid w:val="001543DB"/>
    <w:rsid w:val="0015440E"/>
    <w:rsid w:val="001552FB"/>
    <w:rsid w:val="00155B83"/>
    <w:rsid w:val="00155E4D"/>
    <w:rsid w:val="00156262"/>
    <w:rsid w:val="001563CA"/>
    <w:rsid w:val="00156423"/>
    <w:rsid w:val="00156979"/>
    <w:rsid w:val="00156A19"/>
    <w:rsid w:val="00156D43"/>
    <w:rsid w:val="00157103"/>
    <w:rsid w:val="00157320"/>
    <w:rsid w:val="00157C06"/>
    <w:rsid w:val="00157CF4"/>
    <w:rsid w:val="001600D7"/>
    <w:rsid w:val="0016036D"/>
    <w:rsid w:val="001608AE"/>
    <w:rsid w:val="00160D3E"/>
    <w:rsid w:val="00160F50"/>
    <w:rsid w:val="001610F5"/>
    <w:rsid w:val="00161375"/>
    <w:rsid w:val="001613B7"/>
    <w:rsid w:val="00161A0D"/>
    <w:rsid w:val="00162D4C"/>
    <w:rsid w:val="001631FE"/>
    <w:rsid w:val="00163584"/>
    <w:rsid w:val="001635A4"/>
    <w:rsid w:val="001638BE"/>
    <w:rsid w:val="00163AF5"/>
    <w:rsid w:val="00163FCD"/>
    <w:rsid w:val="00164003"/>
    <w:rsid w:val="00164249"/>
    <w:rsid w:val="00164902"/>
    <w:rsid w:val="00164B0A"/>
    <w:rsid w:val="00164B7B"/>
    <w:rsid w:val="00165240"/>
    <w:rsid w:val="00165735"/>
    <w:rsid w:val="00166390"/>
    <w:rsid w:val="001666A4"/>
    <w:rsid w:val="00166AF1"/>
    <w:rsid w:val="00166B91"/>
    <w:rsid w:val="00166C88"/>
    <w:rsid w:val="00166CED"/>
    <w:rsid w:val="00167F1C"/>
    <w:rsid w:val="00170706"/>
    <w:rsid w:val="00170B25"/>
    <w:rsid w:val="00170BD1"/>
    <w:rsid w:val="001718C5"/>
    <w:rsid w:val="00171A3B"/>
    <w:rsid w:val="00171CE9"/>
    <w:rsid w:val="00171F84"/>
    <w:rsid w:val="0017246C"/>
    <w:rsid w:val="00173282"/>
    <w:rsid w:val="001734B9"/>
    <w:rsid w:val="00173886"/>
    <w:rsid w:val="00173F97"/>
    <w:rsid w:val="00173FCF"/>
    <w:rsid w:val="00174754"/>
    <w:rsid w:val="00175739"/>
    <w:rsid w:val="00175FAB"/>
    <w:rsid w:val="001760DA"/>
    <w:rsid w:val="001769B1"/>
    <w:rsid w:val="00177096"/>
    <w:rsid w:val="001771F7"/>
    <w:rsid w:val="00180926"/>
    <w:rsid w:val="0018107F"/>
    <w:rsid w:val="00181CCB"/>
    <w:rsid w:val="00181D44"/>
    <w:rsid w:val="00181DE6"/>
    <w:rsid w:val="00181F65"/>
    <w:rsid w:val="001821F4"/>
    <w:rsid w:val="00183599"/>
    <w:rsid w:val="00183DF4"/>
    <w:rsid w:val="001841FA"/>
    <w:rsid w:val="0018449C"/>
    <w:rsid w:val="00185480"/>
    <w:rsid w:val="001857E0"/>
    <w:rsid w:val="0018632C"/>
    <w:rsid w:val="001863AB"/>
    <w:rsid w:val="00186697"/>
    <w:rsid w:val="001866AB"/>
    <w:rsid w:val="001867C4"/>
    <w:rsid w:val="00186855"/>
    <w:rsid w:val="00186A0B"/>
    <w:rsid w:val="00186B2C"/>
    <w:rsid w:val="00186DB1"/>
    <w:rsid w:val="001870BC"/>
    <w:rsid w:val="001872B9"/>
    <w:rsid w:val="0018738A"/>
    <w:rsid w:val="00187BD2"/>
    <w:rsid w:val="00187C27"/>
    <w:rsid w:val="00187CB1"/>
    <w:rsid w:val="00187CDD"/>
    <w:rsid w:val="00190215"/>
    <w:rsid w:val="001902E5"/>
    <w:rsid w:val="001904B0"/>
    <w:rsid w:val="00190ED8"/>
    <w:rsid w:val="001914DA"/>
    <w:rsid w:val="00191864"/>
    <w:rsid w:val="001919E8"/>
    <w:rsid w:val="00191DC4"/>
    <w:rsid w:val="00192AFC"/>
    <w:rsid w:val="0019308B"/>
    <w:rsid w:val="001934E3"/>
    <w:rsid w:val="001938D1"/>
    <w:rsid w:val="00194200"/>
    <w:rsid w:val="001942EB"/>
    <w:rsid w:val="00194589"/>
    <w:rsid w:val="00194761"/>
    <w:rsid w:val="001948C3"/>
    <w:rsid w:val="00194924"/>
    <w:rsid w:val="0019500A"/>
    <w:rsid w:val="0019547E"/>
    <w:rsid w:val="0019565F"/>
    <w:rsid w:val="001958CA"/>
    <w:rsid w:val="00195D31"/>
    <w:rsid w:val="00195E63"/>
    <w:rsid w:val="00196835"/>
    <w:rsid w:val="00196FFE"/>
    <w:rsid w:val="00197718"/>
    <w:rsid w:val="00197957"/>
    <w:rsid w:val="00197DF4"/>
    <w:rsid w:val="001A0E8A"/>
    <w:rsid w:val="001A16A9"/>
    <w:rsid w:val="001A1A33"/>
    <w:rsid w:val="001A1AEE"/>
    <w:rsid w:val="001A1C41"/>
    <w:rsid w:val="001A2E4E"/>
    <w:rsid w:val="001A301F"/>
    <w:rsid w:val="001A324E"/>
    <w:rsid w:val="001A3D9F"/>
    <w:rsid w:val="001A415B"/>
    <w:rsid w:val="001A42F7"/>
    <w:rsid w:val="001A43DB"/>
    <w:rsid w:val="001A4BAE"/>
    <w:rsid w:val="001A5377"/>
    <w:rsid w:val="001A5641"/>
    <w:rsid w:val="001A58E7"/>
    <w:rsid w:val="001A5C92"/>
    <w:rsid w:val="001A5EEF"/>
    <w:rsid w:val="001A612C"/>
    <w:rsid w:val="001A624C"/>
    <w:rsid w:val="001A62A0"/>
    <w:rsid w:val="001A62BA"/>
    <w:rsid w:val="001A68C1"/>
    <w:rsid w:val="001A6B02"/>
    <w:rsid w:val="001A6F5F"/>
    <w:rsid w:val="001A714B"/>
    <w:rsid w:val="001A71C3"/>
    <w:rsid w:val="001A74B6"/>
    <w:rsid w:val="001A7D50"/>
    <w:rsid w:val="001B02BF"/>
    <w:rsid w:val="001B0531"/>
    <w:rsid w:val="001B0DD6"/>
    <w:rsid w:val="001B0E49"/>
    <w:rsid w:val="001B16EB"/>
    <w:rsid w:val="001B1A2F"/>
    <w:rsid w:val="001B1ACB"/>
    <w:rsid w:val="001B213D"/>
    <w:rsid w:val="001B2294"/>
    <w:rsid w:val="001B3238"/>
    <w:rsid w:val="001B3D61"/>
    <w:rsid w:val="001B4946"/>
    <w:rsid w:val="001B4A8B"/>
    <w:rsid w:val="001B5976"/>
    <w:rsid w:val="001B5ACC"/>
    <w:rsid w:val="001B5C67"/>
    <w:rsid w:val="001B60D9"/>
    <w:rsid w:val="001B7730"/>
    <w:rsid w:val="001C0110"/>
    <w:rsid w:val="001C0A6B"/>
    <w:rsid w:val="001C0AF7"/>
    <w:rsid w:val="001C0C1A"/>
    <w:rsid w:val="001C0C6B"/>
    <w:rsid w:val="001C0E3E"/>
    <w:rsid w:val="001C0E71"/>
    <w:rsid w:val="001C1D54"/>
    <w:rsid w:val="001C20E1"/>
    <w:rsid w:val="001C256D"/>
    <w:rsid w:val="001C27CF"/>
    <w:rsid w:val="001C27DF"/>
    <w:rsid w:val="001C34BA"/>
    <w:rsid w:val="001C3AF1"/>
    <w:rsid w:val="001C4E4F"/>
    <w:rsid w:val="001C51B8"/>
    <w:rsid w:val="001C58F2"/>
    <w:rsid w:val="001C6244"/>
    <w:rsid w:val="001C6458"/>
    <w:rsid w:val="001C6B56"/>
    <w:rsid w:val="001C701F"/>
    <w:rsid w:val="001C71B5"/>
    <w:rsid w:val="001C7E26"/>
    <w:rsid w:val="001D0D38"/>
    <w:rsid w:val="001D0F2A"/>
    <w:rsid w:val="001D120F"/>
    <w:rsid w:val="001D1E46"/>
    <w:rsid w:val="001D20A4"/>
    <w:rsid w:val="001D23BC"/>
    <w:rsid w:val="001D23F2"/>
    <w:rsid w:val="001D2E28"/>
    <w:rsid w:val="001D3335"/>
    <w:rsid w:val="001D355E"/>
    <w:rsid w:val="001D3AB6"/>
    <w:rsid w:val="001D3AC0"/>
    <w:rsid w:val="001D3CDE"/>
    <w:rsid w:val="001D3F44"/>
    <w:rsid w:val="001D4377"/>
    <w:rsid w:val="001D465D"/>
    <w:rsid w:val="001D4C8D"/>
    <w:rsid w:val="001D4D43"/>
    <w:rsid w:val="001D509B"/>
    <w:rsid w:val="001D55BB"/>
    <w:rsid w:val="001D5D94"/>
    <w:rsid w:val="001D5E08"/>
    <w:rsid w:val="001D5E18"/>
    <w:rsid w:val="001D5FED"/>
    <w:rsid w:val="001D6030"/>
    <w:rsid w:val="001D60FE"/>
    <w:rsid w:val="001D684F"/>
    <w:rsid w:val="001D6BA3"/>
    <w:rsid w:val="001E02D1"/>
    <w:rsid w:val="001E0C63"/>
    <w:rsid w:val="001E10B5"/>
    <w:rsid w:val="001E12CD"/>
    <w:rsid w:val="001E131B"/>
    <w:rsid w:val="001E148F"/>
    <w:rsid w:val="001E1CC1"/>
    <w:rsid w:val="001E2128"/>
    <w:rsid w:val="001E267B"/>
    <w:rsid w:val="001E2BF6"/>
    <w:rsid w:val="001E3014"/>
    <w:rsid w:val="001E355A"/>
    <w:rsid w:val="001E3645"/>
    <w:rsid w:val="001E3AEC"/>
    <w:rsid w:val="001E40F0"/>
    <w:rsid w:val="001E4584"/>
    <w:rsid w:val="001E539D"/>
    <w:rsid w:val="001E59FB"/>
    <w:rsid w:val="001E5A19"/>
    <w:rsid w:val="001E696A"/>
    <w:rsid w:val="001E6A68"/>
    <w:rsid w:val="001E6C10"/>
    <w:rsid w:val="001E6C70"/>
    <w:rsid w:val="001E6CAE"/>
    <w:rsid w:val="001E75C5"/>
    <w:rsid w:val="001E784D"/>
    <w:rsid w:val="001F02D9"/>
    <w:rsid w:val="001F0617"/>
    <w:rsid w:val="001F0875"/>
    <w:rsid w:val="001F0D48"/>
    <w:rsid w:val="001F0D4F"/>
    <w:rsid w:val="001F0DB7"/>
    <w:rsid w:val="001F10E4"/>
    <w:rsid w:val="001F14D8"/>
    <w:rsid w:val="001F1853"/>
    <w:rsid w:val="001F1982"/>
    <w:rsid w:val="001F1B4F"/>
    <w:rsid w:val="001F22E7"/>
    <w:rsid w:val="001F2B87"/>
    <w:rsid w:val="001F2FC9"/>
    <w:rsid w:val="001F32A9"/>
    <w:rsid w:val="001F352D"/>
    <w:rsid w:val="001F3734"/>
    <w:rsid w:val="001F388F"/>
    <w:rsid w:val="001F50A7"/>
    <w:rsid w:val="001F50E9"/>
    <w:rsid w:val="001F542B"/>
    <w:rsid w:val="001F562A"/>
    <w:rsid w:val="001F565A"/>
    <w:rsid w:val="001F56EE"/>
    <w:rsid w:val="001F5959"/>
    <w:rsid w:val="001F5AA6"/>
    <w:rsid w:val="001F5CA6"/>
    <w:rsid w:val="001F606B"/>
    <w:rsid w:val="001F662E"/>
    <w:rsid w:val="001F6B44"/>
    <w:rsid w:val="001F732C"/>
    <w:rsid w:val="001F75C1"/>
    <w:rsid w:val="001F7977"/>
    <w:rsid w:val="001F7A84"/>
    <w:rsid w:val="001F7EC3"/>
    <w:rsid w:val="0020050E"/>
    <w:rsid w:val="00200830"/>
    <w:rsid w:val="0020115A"/>
    <w:rsid w:val="00201B95"/>
    <w:rsid w:val="00201F52"/>
    <w:rsid w:val="0020234A"/>
    <w:rsid w:val="00202DFC"/>
    <w:rsid w:val="00204142"/>
    <w:rsid w:val="00205FBE"/>
    <w:rsid w:val="00206225"/>
    <w:rsid w:val="00206463"/>
    <w:rsid w:val="00206878"/>
    <w:rsid w:val="00206D6A"/>
    <w:rsid w:val="00206DF4"/>
    <w:rsid w:val="002103F2"/>
    <w:rsid w:val="002106DB"/>
    <w:rsid w:val="002107B9"/>
    <w:rsid w:val="002109BF"/>
    <w:rsid w:val="00210B4E"/>
    <w:rsid w:val="00210F83"/>
    <w:rsid w:val="00210FA9"/>
    <w:rsid w:val="0021128A"/>
    <w:rsid w:val="002113F6"/>
    <w:rsid w:val="00211602"/>
    <w:rsid w:val="00211891"/>
    <w:rsid w:val="00211CED"/>
    <w:rsid w:val="002120AC"/>
    <w:rsid w:val="00212153"/>
    <w:rsid w:val="00212499"/>
    <w:rsid w:val="002125D6"/>
    <w:rsid w:val="00212626"/>
    <w:rsid w:val="0021325E"/>
    <w:rsid w:val="002133B5"/>
    <w:rsid w:val="002135A1"/>
    <w:rsid w:val="00213BDE"/>
    <w:rsid w:val="00214CC2"/>
    <w:rsid w:val="00214FEB"/>
    <w:rsid w:val="00216381"/>
    <w:rsid w:val="00216D6C"/>
    <w:rsid w:val="00216F19"/>
    <w:rsid w:val="0021787D"/>
    <w:rsid w:val="00217CBE"/>
    <w:rsid w:val="00217EDD"/>
    <w:rsid w:val="002201F5"/>
    <w:rsid w:val="00220601"/>
    <w:rsid w:val="0022092C"/>
    <w:rsid w:val="00220A7A"/>
    <w:rsid w:val="00220BB9"/>
    <w:rsid w:val="002210A3"/>
    <w:rsid w:val="002214F6"/>
    <w:rsid w:val="00221704"/>
    <w:rsid w:val="00221C61"/>
    <w:rsid w:val="0022348B"/>
    <w:rsid w:val="002239A4"/>
    <w:rsid w:val="00223DBA"/>
    <w:rsid w:val="00223F41"/>
    <w:rsid w:val="002248DF"/>
    <w:rsid w:val="00224A40"/>
    <w:rsid w:val="00224E71"/>
    <w:rsid w:val="002253D1"/>
    <w:rsid w:val="00225858"/>
    <w:rsid w:val="00225AE7"/>
    <w:rsid w:val="00225E43"/>
    <w:rsid w:val="00225E92"/>
    <w:rsid w:val="00226073"/>
    <w:rsid w:val="0022635C"/>
    <w:rsid w:val="00226B69"/>
    <w:rsid w:val="00226BE2"/>
    <w:rsid w:val="00226F25"/>
    <w:rsid w:val="002277F1"/>
    <w:rsid w:val="0023032D"/>
    <w:rsid w:val="00230D05"/>
    <w:rsid w:val="00230DF5"/>
    <w:rsid w:val="00230EDB"/>
    <w:rsid w:val="002312B3"/>
    <w:rsid w:val="00231C1F"/>
    <w:rsid w:val="00231C91"/>
    <w:rsid w:val="002323B1"/>
    <w:rsid w:val="00233414"/>
    <w:rsid w:val="002336EB"/>
    <w:rsid w:val="002337E4"/>
    <w:rsid w:val="002339C1"/>
    <w:rsid w:val="00233BD9"/>
    <w:rsid w:val="00233D3B"/>
    <w:rsid w:val="0023410C"/>
    <w:rsid w:val="002346BF"/>
    <w:rsid w:val="00234B7A"/>
    <w:rsid w:val="00234C7A"/>
    <w:rsid w:val="00234DC8"/>
    <w:rsid w:val="00235085"/>
    <w:rsid w:val="0023591C"/>
    <w:rsid w:val="00235AD7"/>
    <w:rsid w:val="00235C84"/>
    <w:rsid w:val="00236898"/>
    <w:rsid w:val="00236F5D"/>
    <w:rsid w:val="002371F2"/>
    <w:rsid w:val="00237617"/>
    <w:rsid w:val="00237D7B"/>
    <w:rsid w:val="00237DD4"/>
    <w:rsid w:val="002402FB"/>
    <w:rsid w:val="002403AB"/>
    <w:rsid w:val="0024086C"/>
    <w:rsid w:val="00240B43"/>
    <w:rsid w:val="00240CCC"/>
    <w:rsid w:val="002414E2"/>
    <w:rsid w:val="00241A5C"/>
    <w:rsid w:val="00241A7C"/>
    <w:rsid w:val="00241C15"/>
    <w:rsid w:val="00241F12"/>
    <w:rsid w:val="00242092"/>
    <w:rsid w:val="00242709"/>
    <w:rsid w:val="0024302E"/>
    <w:rsid w:val="002433E8"/>
    <w:rsid w:val="0024369D"/>
    <w:rsid w:val="00243C1C"/>
    <w:rsid w:val="00243F0E"/>
    <w:rsid w:val="002441BE"/>
    <w:rsid w:val="002447C1"/>
    <w:rsid w:val="002451AA"/>
    <w:rsid w:val="002453BE"/>
    <w:rsid w:val="002458F3"/>
    <w:rsid w:val="00245F50"/>
    <w:rsid w:val="0024622C"/>
    <w:rsid w:val="00246238"/>
    <w:rsid w:val="0024656D"/>
    <w:rsid w:val="00246836"/>
    <w:rsid w:val="002468E5"/>
    <w:rsid w:val="00246B28"/>
    <w:rsid w:val="00246BC2"/>
    <w:rsid w:val="00246CF3"/>
    <w:rsid w:val="0024723E"/>
    <w:rsid w:val="002501A4"/>
    <w:rsid w:val="002502A8"/>
    <w:rsid w:val="0025120C"/>
    <w:rsid w:val="00251283"/>
    <w:rsid w:val="002513DE"/>
    <w:rsid w:val="00251C4A"/>
    <w:rsid w:val="00251E7B"/>
    <w:rsid w:val="002522E4"/>
    <w:rsid w:val="002527AC"/>
    <w:rsid w:val="002528CC"/>
    <w:rsid w:val="00252CE1"/>
    <w:rsid w:val="00252D16"/>
    <w:rsid w:val="00252F49"/>
    <w:rsid w:val="00253376"/>
    <w:rsid w:val="00253443"/>
    <w:rsid w:val="00253667"/>
    <w:rsid w:val="00253715"/>
    <w:rsid w:val="0025374C"/>
    <w:rsid w:val="00253ADA"/>
    <w:rsid w:val="00253C52"/>
    <w:rsid w:val="002544BE"/>
    <w:rsid w:val="00254BEC"/>
    <w:rsid w:val="0025555E"/>
    <w:rsid w:val="0025597E"/>
    <w:rsid w:val="00255BF6"/>
    <w:rsid w:val="00255DC5"/>
    <w:rsid w:val="00255E37"/>
    <w:rsid w:val="00256A19"/>
    <w:rsid w:val="00256D6E"/>
    <w:rsid w:val="00257100"/>
    <w:rsid w:val="00257272"/>
    <w:rsid w:val="00257557"/>
    <w:rsid w:val="00257747"/>
    <w:rsid w:val="002600ED"/>
    <w:rsid w:val="0026041B"/>
    <w:rsid w:val="00260586"/>
    <w:rsid w:val="00260593"/>
    <w:rsid w:val="002609CA"/>
    <w:rsid w:val="002616F3"/>
    <w:rsid w:val="00261726"/>
    <w:rsid w:val="00261A24"/>
    <w:rsid w:val="00262050"/>
    <w:rsid w:val="00262145"/>
    <w:rsid w:val="00262313"/>
    <w:rsid w:val="00262804"/>
    <w:rsid w:val="00262F55"/>
    <w:rsid w:val="002630F3"/>
    <w:rsid w:val="0026318C"/>
    <w:rsid w:val="002634B7"/>
    <w:rsid w:val="002637C6"/>
    <w:rsid w:val="00263CDC"/>
    <w:rsid w:val="00263D17"/>
    <w:rsid w:val="002645AA"/>
    <w:rsid w:val="002647D1"/>
    <w:rsid w:val="00264E2B"/>
    <w:rsid w:val="00264FFE"/>
    <w:rsid w:val="0026598F"/>
    <w:rsid w:val="0026658D"/>
    <w:rsid w:val="002674B7"/>
    <w:rsid w:val="0026774F"/>
    <w:rsid w:val="0026776F"/>
    <w:rsid w:val="00267B04"/>
    <w:rsid w:val="00267DEA"/>
    <w:rsid w:val="00270115"/>
    <w:rsid w:val="002704A0"/>
    <w:rsid w:val="0027076D"/>
    <w:rsid w:val="002709A1"/>
    <w:rsid w:val="00270AFF"/>
    <w:rsid w:val="00270EEB"/>
    <w:rsid w:val="00270F26"/>
    <w:rsid w:val="00271456"/>
    <w:rsid w:val="00272075"/>
    <w:rsid w:val="00272CD9"/>
    <w:rsid w:val="00273516"/>
    <w:rsid w:val="00273FCE"/>
    <w:rsid w:val="00274B4D"/>
    <w:rsid w:val="00275110"/>
    <w:rsid w:val="002755BC"/>
    <w:rsid w:val="00275B61"/>
    <w:rsid w:val="0027652D"/>
    <w:rsid w:val="00276D77"/>
    <w:rsid w:val="00276EBC"/>
    <w:rsid w:val="0027768C"/>
    <w:rsid w:val="002778E6"/>
    <w:rsid w:val="00277CA8"/>
    <w:rsid w:val="00277EC2"/>
    <w:rsid w:val="002804B6"/>
    <w:rsid w:val="0028059E"/>
    <w:rsid w:val="002808EF"/>
    <w:rsid w:val="00280B47"/>
    <w:rsid w:val="00280E4B"/>
    <w:rsid w:val="00280E9D"/>
    <w:rsid w:val="00280EB0"/>
    <w:rsid w:val="00281541"/>
    <w:rsid w:val="00281F87"/>
    <w:rsid w:val="002820E1"/>
    <w:rsid w:val="00282395"/>
    <w:rsid w:val="002824CA"/>
    <w:rsid w:val="00282762"/>
    <w:rsid w:val="0028343A"/>
    <w:rsid w:val="00283845"/>
    <w:rsid w:val="002839D5"/>
    <w:rsid w:val="00283A86"/>
    <w:rsid w:val="002846FC"/>
    <w:rsid w:val="00284FD0"/>
    <w:rsid w:val="0028552C"/>
    <w:rsid w:val="00285907"/>
    <w:rsid w:val="002874EA"/>
    <w:rsid w:val="0028771B"/>
    <w:rsid w:val="00287CD3"/>
    <w:rsid w:val="00287E74"/>
    <w:rsid w:val="00290204"/>
    <w:rsid w:val="002903D6"/>
    <w:rsid w:val="002906A6"/>
    <w:rsid w:val="00290D12"/>
    <w:rsid w:val="00291DB8"/>
    <w:rsid w:val="002922EE"/>
    <w:rsid w:val="002923E8"/>
    <w:rsid w:val="002926ED"/>
    <w:rsid w:val="00292897"/>
    <w:rsid w:val="002928D7"/>
    <w:rsid w:val="00293034"/>
    <w:rsid w:val="002938C6"/>
    <w:rsid w:val="00293F65"/>
    <w:rsid w:val="00293FD7"/>
    <w:rsid w:val="002940BC"/>
    <w:rsid w:val="00295200"/>
    <w:rsid w:val="00295925"/>
    <w:rsid w:val="00295B4E"/>
    <w:rsid w:val="00296A2C"/>
    <w:rsid w:val="00296A4D"/>
    <w:rsid w:val="00296F7D"/>
    <w:rsid w:val="002973ED"/>
    <w:rsid w:val="002976DF"/>
    <w:rsid w:val="002A1849"/>
    <w:rsid w:val="002A1EF2"/>
    <w:rsid w:val="002A22AA"/>
    <w:rsid w:val="002A2715"/>
    <w:rsid w:val="002A3296"/>
    <w:rsid w:val="002A39A3"/>
    <w:rsid w:val="002A3A57"/>
    <w:rsid w:val="002A3BA3"/>
    <w:rsid w:val="002A3CB1"/>
    <w:rsid w:val="002A3FF4"/>
    <w:rsid w:val="002A425F"/>
    <w:rsid w:val="002A44C2"/>
    <w:rsid w:val="002A46B7"/>
    <w:rsid w:val="002A4A83"/>
    <w:rsid w:val="002A4ADF"/>
    <w:rsid w:val="002A503D"/>
    <w:rsid w:val="002A541A"/>
    <w:rsid w:val="002A6A6B"/>
    <w:rsid w:val="002A6EBA"/>
    <w:rsid w:val="002A72EE"/>
    <w:rsid w:val="002A79A9"/>
    <w:rsid w:val="002A7A32"/>
    <w:rsid w:val="002B0292"/>
    <w:rsid w:val="002B02BA"/>
    <w:rsid w:val="002B055D"/>
    <w:rsid w:val="002B0D7C"/>
    <w:rsid w:val="002B1057"/>
    <w:rsid w:val="002B1200"/>
    <w:rsid w:val="002B1B23"/>
    <w:rsid w:val="002B1B61"/>
    <w:rsid w:val="002B1C8D"/>
    <w:rsid w:val="002B1F6E"/>
    <w:rsid w:val="002B2466"/>
    <w:rsid w:val="002B270F"/>
    <w:rsid w:val="002B27BC"/>
    <w:rsid w:val="002B2F56"/>
    <w:rsid w:val="002B330D"/>
    <w:rsid w:val="002B3F99"/>
    <w:rsid w:val="002B40BA"/>
    <w:rsid w:val="002B41E2"/>
    <w:rsid w:val="002B4283"/>
    <w:rsid w:val="002B42FF"/>
    <w:rsid w:val="002B45E2"/>
    <w:rsid w:val="002B4AD8"/>
    <w:rsid w:val="002B4AF1"/>
    <w:rsid w:val="002B4FA8"/>
    <w:rsid w:val="002B519B"/>
    <w:rsid w:val="002B59CC"/>
    <w:rsid w:val="002B5F9F"/>
    <w:rsid w:val="002B673E"/>
    <w:rsid w:val="002B6870"/>
    <w:rsid w:val="002B6B4B"/>
    <w:rsid w:val="002B7E97"/>
    <w:rsid w:val="002C0149"/>
    <w:rsid w:val="002C0295"/>
    <w:rsid w:val="002C0B4C"/>
    <w:rsid w:val="002C1004"/>
    <w:rsid w:val="002C1375"/>
    <w:rsid w:val="002C15D0"/>
    <w:rsid w:val="002C1E19"/>
    <w:rsid w:val="002C209E"/>
    <w:rsid w:val="002C2153"/>
    <w:rsid w:val="002C2224"/>
    <w:rsid w:val="002C2536"/>
    <w:rsid w:val="002C28DB"/>
    <w:rsid w:val="002C2B29"/>
    <w:rsid w:val="002C2B67"/>
    <w:rsid w:val="002C4099"/>
    <w:rsid w:val="002C424A"/>
    <w:rsid w:val="002C4580"/>
    <w:rsid w:val="002C4D0A"/>
    <w:rsid w:val="002C52D1"/>
    <w:rsid w:val="002C5383"/>
    <w:rsid w:val="002C555C"/>
    <w:rsid w:val="002C612B"/>
    <w:rsid w:val="002C6B47"/>
    <w:rsid w:val="002C6D53"/>
    <w:rsid w:val="002C6E0E"/>
    <w:rsid w:val="002C6E3A"/>
    <w:rsid w:val="002C6F79"/>
    <w:rsid w:val="002C73F6"/>
    <w:rsid w:val="002C7C68"/>
    <w:rsid w:val="002D0323"/>
    <w:rsid w:val="002D063F"/>
    <w:rsid w:val="002D0CC4"/>
    <w:rsid w:val="002D128D"/>
    <w:rsid w:val="002D12C2"/>
    <w:rsid w:val="002D15A4"/>
    <w:rsid w:val="002D1988"/>
    <w:rsid w:val="002D19C1"/>
    <w:rsid w:val="002D232A"/>
    <w:rsid w:val="002D27C9"/>
    <w:rsid w:val="002D2C47"/>
    <w:rsid w:val="002D2CAE"/>
    <w:rsid w:val="002D2E7E"/>
    <w:rsid w:val="002D35BD"/>
    <w:rsid w:val="002D36C7"/>
    <w:rsid w:val="002D370A"/>
    <w:rsid w:val="002D3821"/>
    <w:rsid w:val="002D3DCC"/>
    <w:rsid w:val="002D3F19"/>
    <w:rsid w:val="002D42A0"/>
    <w:rsid w:val="002D52F6"/>
    <w:rsid w:val="002D55DE"/>
    <w:rsid w:val="002D5F03"/>
    <w:rsid w:val="002D5F67"/>
    <w:rsid w:val="002D624B"/>
    <w:rsid w:val="002D695F"/>
    <w:rsid w:val="002D6981"/>
    <w:rsid w:val="002D6CAE"/>
    <w:rsid w:val="002D713F"/>
    <w:rsid w:val="002D73C9"/>
    <w:rsid w:val="002D77FE"/>
    <w:rsid w:val="002D78F5"/>
    <w:rsid w:val="002E0209"/>
    <w:rsid w:val="002E045E"/>
    <w:rsid w:val="002E0470"/>
    <w:rsid w:val="002E04F8"/>
    <w:rsid w:val="002E051A"/>
    <w:rsid w:val="002E0937"/>
    <w:rsid w:val="002E0AA5"/>
    <w:rsid w:val="002E0DE0"/>
    <w:rsid w:val="002E120D"/>
    <w:rsid w:val="002E1416"/>
    <w:rsid w:val="002E1DDD"/>
    <w:rsid w:val="002E2C4C"/>
    <w:rsid w:val="002E32B8"/>
    <w:rsid w:val="002E3507"/>
    <w:rsid w:val="002E39C5"/>
    <w:rsid w:val="002E3FE4"/>
    <w:rsid w:val="002E430C"/>
    <w:rsid w:val="002E46BB"/>
    <w:rsid w:val="002E4723"/>
    <w:rsid w:val="002E4DFF"/>
    <w:rsid w:val="002E5870"/>
    <w:rsid w:val="002E5B4C"/>
    <w:rsid w:val="002E5BA0"/>
    <w:rsid w:val="002E5DE0"/>
    <w:rsid w:val="002E652A"/>
    <w:rsid w:val="002E77B5"/>
    <w:rsid w:val="002E7F0A"/>
    <w:rsid w:val="002F066C"/>
    <w:rsid w:val="002F096F"/>
    <w:rsid w:val="002F0B8A"/>
    <w:rsid w:val="002F0E87"/>
    <w:rsid w:val="002F111C"/>
    <w:rsid w:val="002F1331"/>
    <w:rsid w:val="002F13E6"/>
    <w:rsid w:val="002F148C"/>
    <w:rsid w:val="002F1590"/>
    <w:rsid w:val="002F1BB3"/>
    <w:rsid w:val="002F1E2E"/>
    <w:rsid w:val="002F1FB4"/>
    <w:rsid w:val="002F2042"/>
    <w:rsid w:val="002F25EC"/>
    <w:rsid w:val="002F2C27"/>
    <w:rsid w:val="002F33B7"/>
    <w:rsid w:val="002F375C"/>
    <w:rsid w:val="002F3C9C"/>
    <w:rsid w:val="002F3E7D"/>
    <w:rsid w:val="002F43A6"/>
    <w:rsid w:val="002F4F60"/>
    <w:rsid w:val="002F51D4"/>
    <w:rsid w:val="002F5420"/>
    <w:rsid w:val="002F5A67"/>
    <w:rsid w:val="002F5FBD"/>
    <w:rsid w:val="002F6488"/>
    <w:rsid w:val="002F6D0E"/>
    <w:rsid w:val="002F73A0"/>
    <w:rsid w:val="003000B4"/>
    <w:rsid w:val="0030097B"/>
    <w:rsid w:val="00300A97"/>
    <w:rsid w:val="00300F4A"/>
    <w:rsid w:val="00301C9A"/>
    <w:rsid w:val="00301F57"/>
    <w:rsid w:val="003026B8"/>
    <w:rsid w:val="003026EB"/>
    <w:rsid w:val="00302969"/>
    <w:rsid w:val="003039DF"/>
    <w:rsid w:val="0030413D"/>
    <w:rsid w:val="00304417"/>
    <w:rsid w:val="003049C0"/>
    <w:rsid w:val="00304DAD"/>
    <w:rsid w:val="00304DF1"/>
    <w:rsid w:val="0030566A"/>
    <w:rsid w:val="003056F9"/>
    <w:rsid w:val="00305979"/>
    <w:rsid w:val="00305B81"/>
    <w:rsid w:val="00305DE0"/>
    <w:rsid w:val="00305FAC"/>
    <w:rsid w:val="0030608A"/>
    <w:rsid w:val="0030646F"/>
    <w:rsid w:val="00306CE9"/>
    <w:rsid w:val="00306FE1"/>
    <w:rsid w:val="003071FE"/>
    <w:rsid w:val="003072E2"/>
    <w:rsid w:val="00307420"/>
    <w:rsid w:val="003074F7"/>
    <w:rsid w:val="003103CE"/>
    <w:rsid w:val="003105B5"/>
    <w:rsid w:val="0031074F"/>
    <w:rsid w:val="00310792"/>
    <w:rsid w:val="00310AB1"/>
    <w:rsid w:val="00310F5E"/>
    <w:rsid w:val="00310FED"/>
    <w:rsid w:val="0031115B"/>
    <w:rsid w:val="00311566"/>
    <w:rsid w:val="00311611"/>
    <w:rsid w:val="00311690"/>
    <w:rsid w:val="00312748"/>
    <w:rsid w:val="00313073"/>
    <w:rsid w:val="00313FF8"/>
    <w:rsid w:val="00314411"/>
    <w:rsid w:val="003146F7"/>
    <w:rsid w:val="0031474F"/>
    <w:rsid w:val="00314B45"/>
    <w:rsid w:val="00315142"/>
    <w:rsid w:val="0031581E"/>
    <w:rsid w:val="0031603C"/>
    <w:rsid w:val="003160F3"/>
    <w:rsid w:val="0031651E"/>
    <w:rsid w:val="00316F1B"/>
    <w:rsid w:val="00317016"/>
    <w:rsid w:val="00317092"/>
    <w:rsid w:val="003177C2"/>
    <w:rsid w:val="00317C22"/>
    <w:rsid w:val="00320A25"/>
    <w:rsid w:val="00321001"/>
    <w:rsid w:val="00321248"/>
    <w:rsid w:val="00321556"/>
    <w:rsid w:val="00321946"/>
    <w:rsid w:val="0032195E"/>
    <w:rsid w:val="00321A1F"/>
    <w:rsid w:val="00321D92"/>
    <w:rsid w:val="00321EF8"/>
    <w:rsid w:val="003224C5"/>
    <w:rsid w:val="00322660"/>
    <w:rsid w:val="003226FF"/>
    <w:rsid w:val="003233C4"/>
    <w:rsid w:val="00323436"/>
    <w:rsid w:val="00323A96"/>
    <w:rsid w:val="003241F6"/>
    <w:rsid w:val="003248ED"/>
    <w:rsid w:val="00325256"/>
    <w:rsid w:val="00325C7F"/>
    <w:rsid w:val="0032622F"/>
    <w:rsid w:val="0032654A"/>
    <w:rsid w:val="00326855"/>
    <w:rsid w:val="00326936"/>
    <w:rsid w:val="00326CE2"/>
    <w:rsid w:val="00326FA8"/>
    <w:rsid w:val="003301C6"/>
    <w:rsid w:val="00330263"/>
    <w:rsid w:val="00330618"/>
    <w:rsid w:val="00330821"/>
    <w:rsid w:val="00331A3D"/>
    <w:rsid w:val="0033238F"/>
    <w:rsid w:val="00333A93"/>
    <w:rsid w:val="00334507"/>
    <w:rsid w:val="0033530A"/>
    <w:rsid w:val="00335404"/>
    <w:rsid w:val="00335C87"/>
    <w:rsid w:val="003360CD"/>
    <w:rsid w:val="0033692A"/>
    <w:rsid w:val="00336D41"/>
    <w:rsid w:val="0033701B"/>
    <w:rsid w:val="0033794F"/>
    <w:rsid w:val="00337F00"/>
    <w:rsid w:val="003405CA"/>
    <w:rsid w:val="003408D2"/>
    <w:rsid w:val="00340A08"/>
    <w:rsid w:val="00340B21"/>
    <w:rsid w:val="00340DAB"/>
    <w:rsid w:val="00341BF9"/>
    <w:rsid w:val="003421BD"/>
    <w:rsid w:val="00342401"/>
    <w:rsid w:val="00342429"/>
    <w:rsid w:val="003424DC"/>
    <w:rsid w:val="00342823"/>
    <w:rsid w:val="00342F51"/>
    <w:rsid w:val="00343144"/>
    <w:rsid w:val="00343C25"/>
    <w:rsid w:val="00343D34"/>
    <w:rsid w:val="00344781"/>
    <w:rsid w:val="00344D1A"/>
    <w:rsid w:val="00344DD0"/>
    <w:rsid w:val="00344F5E"/>
    <w:rsid w:val="00344FAF"/>
    <w:rsid w:val="003452DA"/>
    <w:rsid w:val="003458ED"/>
    <w:rsid w:val="00345A4A"/>
    <w:rsid w:val="00345F66"/>
    <w:rsid w:val="0034617F"/>
    <w:rsid w:val="003467A1"/>
    <w:rsid w:val="00347096"/>
    <w:rsid w:val="0034752B"/>
    <w:rsid w:val="003476A1"/>
    <w:rsid w:val="003500E1"/>
    <w:rsid w:val="003501E5"/>
    <w:rsid w:val="0035045F"/>
    <w:rsid w:val="00350EBD"/>
    <w:rsid w:val="00350FAD"/>
    <w:rsid w:val="003513E3"/>
    <w:rsid w:val="003514CF"/>
    <w:rsid w:val="00351506"/>
    <w:rsid w:val="003516E4"/>
    <w:rsid w:val="00351731"/>
    <w:rsid w:val="00351A7E"/>
    <w:rsid w:val="00351BD6"/>
    <w:rsid w:val="003524B0"/>
    <w:rsid w:val="003527E7"/>
    <w:rsid w:val="00352D65"/>
    <w:rsid w:val="00352D90"/>
    <w:rsid w:val="00353588"/>
    <w:rsid w:val="0035368D"/>
    <w:rsid w:val="003537F1"/>
    <w:rsid w:val="00353C15"/>
    <w:rsid w:val="00353F78"/>
    <w:rsid w:val="00354084"/>
    <w:rsid w:val="003557B7"/>
    <w:rsid w:val="0035744C"/>
    <w:rsid w:val="003606BF"/>
    <w:rsid w:val="00360EC2"/>
    <w:rsid w:val="00361164"/>
    <w:rsid w:val="003619AD"/>
    <w:rsid w:val="00362045"/>
    <w:rsid w:val="003621AD"/>
    <w:rsid w:val="00362353"/>
    <w:rsid w:val="0036262E"/>
    <w:rsid w:val="00362958"/>
    <w:rsid w:val="00362EF5"/>
    <w:rsid w:val="0036300A"/>
    <w:rsid w:val="003631D0"/>
    <w:rsid w:val="003633B0"/>
    <w:rsid w:val="003635EE"/>
    <w:rsid w:val="00363A57"/>
    <w:rsid w:val="00363E53"/>
    <w:rsid w:val="00363F68"/>
    <w:rsid w:val="003649E9"/>
    <w:rsid w:val="00364F4C"/>
    <w:rsid w:val="00365079"/>
    <w:rsid w:val="00365530"/>
    <w:rsid w:val="00365A03"/>
    <w:rsid w:val="00366A02"/>
    <w:rsid w:val="00366B46"/>
    <w:rsid w:val="0036768B"/>
    <w:rsid w:val="00367B1F"/>
    <w:rsid w:val="003705F2"/>
    <w:rsid w:val="0037078C"/>
    <w:rsid w:val="00370E22"/>
    <w:rsid w:val="0037132A"/>
    <w:rsid w:val="00371991"/>
    <w:rsid w:val="00371BB4"/>
    <w:rsid w:val="00372AE6"/>
    <w:rsid w:val="00372D3A"/>
    <w:rsid w:val="00373063"/>
    <w:rsid w:val="00373080"/>
    <w:rsid w:val="003736CA"/>
    <w:rsid w:val="00373911"/>
    <w:rsid w:val="00373A66"/>
    <w:rsid w:val="00373ABC"/>
    <w:rsid w:val="00373E25"/>
    <w:rsid w:val="00373FCA"/>
    <w:rsid w:val="0037418D"/>
    <w:rsid w:val="0037462D"/>
    <w:rsid w:val="003746AC"/>
    <w:rsid w:val="003747C9"/>
    <w:rsid w:val="00375873"/>
    <w:rsid w:val="0037610F"/>
    <w:rsid w:val="00376A71"/>
    <w:rsid w:val="003770CE"/>
    <w:rsid w:val="003806E9"/>
    <w:rsid w:val="00380D09"/>
    <w:rsid w:val="00380F4E"/>
    <w:rsid w:val="00380F81"/>
    <w:rsid w:val="00381336"/>
    <w:rsid w:val="0038170D"/>
    <w:rsid w:val="00381D7C"/>
    <w:rsid w:val="0038203B"/>
    <w:rsid w:val="0038255D"/>
    <w:rsid w:val="003828BA"/>
    <w:rsid w:val="00384555"/>
    <w:rsid w:val="003845EF"/>
    <w:rsid w:val="00384BF3"/>
    <w:rsid w:val="00384D6A"/>
    <w:rsid w:val="0038519E"/>
    <w:rsid w:val="003853FB"/>
    <w:rsid w:val="0038615B"/>
    <w:rsid w:val="00386687"/>
    <w:rsid w:val="00386BDE"/>
    <w:rsid w:val="00386CBF"/>
    <w:rsid w:val="003870D7"/>
    <w:rsid w:val="00387253"/>
    <w:rsid w:val="003873DE"/>
    <w:rsid w:val="003906D3"/>
    <w:rsid w:val="00391AD0"/>
    <w:rsid w:val="00391BBA"/>
    <w:rsid w:val="0039272A"/>
    <w:rsid w:val="00392D7B"/>
    <w:rsid w:val="00392F64"/>
    <w:rsid w:val="00392FAA"/>
    <w:rsid w:val="003934E6"/>
    <w:rsid w:val="00393503"/>
    <w:rsid w:val="003936FE"/>
    <w:rsid w:val="0039391E"/>
    <w:rsid w:val="00393A8D"/>
    <w:rsid w:val="00393D55"/>
    <w:rsid w:val="00393EA4"/>
    <w:rsid w:val="00394061"/>
    <w:rsid w:val="003940DF"/>
    <w:rsid w:val="0039450B"/>
    <w:rsid w:val="0039469E"/>
    <w:rsid w:val="00394CA6"/>
    <w:rsid w:val="00394E40"/>
    <w:rsid w:val="00394F18"/>
    <w:rsid w:val="003956A2"/>
    <w:rsid w:val="003956FA"/>
    <w:rsid w:val="00395754"/>
    <w:rsid w:val="00395C8D"/>
    <w:rsid w:val="00396890"/>
    <w:rsid w:val="00396E22"/>
    <w:rsid w:val="003971D4"/>
    <w:rsid w:val="00397264"/>
    <w:rsid w:val="0039736F"/>
    <w:rsid w:val="00397EEB"/>
    <w:rsid w:val="00397F46"/>
    <w:rsid w:val="003A0AA5"/>
    <w:rsid w:val="003A0D83"/>
    <w:rsid w:val="003A1464"/>
    <w:rsid w:val="003A178F"/>
    <w:rsid w:val="003A1A07"/>
    <w:rsid w:val="003A1E87"/>
    <w:rsid w:val="003A20AA"/>
    <w:rsid w:val="003A2173"/>
    <w:rsid w:val="003A2EF8"/>
    <w:rsid w:val="003A3447"/>
    <w:rsid w:val="003A3513"/>
    <w:rsid w:val="003A3C7F"/>
    <w:rsid w:val="003A3D3F"/>
    <w:rsid w:val="003A3D9F"/>
    <w:rsid w:val="003A3DC3"/>
    <w:rsid w:val="003A440C"/>
    <w:rsid w:val="003A44F5"/>
    <w:rsid w:val="003A4B57"/>
    <w:rsid w:val="003A51C6"/>
    <w:rsid w:val="003A587E"/>
    <w:rsid w:val="003A6A55"/>
    <w:rsid w:val="003A75A9"/>
    <w:rsid w:val="003A75F5"/>
    <w:rsid w:val="003A78E6"/>
    <w:rsid w:val="003B00EA"/>
    <w:rsid w:val="003B0263"/>
    <w:rsid w:val="003B038F"/>
    <w:rsid w:val="003B0B27"/>
    <w:rsid w:val="003B126D"/>
    <w:rsid w:val="003B153B"/>
    <w:rsid w:val="003B1E6B"/>
    <w:rsid w:val="003B1FA4"/>
    <w:rsid w:val="003B22E9"/>
    <w:rsid w:val="003B243A"/>
    <w:rsid w:val="003B248C"/>
    <w:rsid w:val="003B2494"/>
    <w:rsid w:val="003B2665"/>
    <w:rsid w:val="003B39F0"/>
    <w:rsid w:val="003B3A2A"/>
    <w:rsid w:val="003B3E70"/>
    <w:rsid w:val="003B4980"/>
    <w:rsid w:val="003B4F2D"/>
    <w:rsid w:val="003B5007"/>
    <w:rsid w:val="003B558E"/>
    <w:rsid w:val="003B5799"/>
    <w:rsid w:val="003B6FF2"/>
    <w:rsid w:val="003B7721"/>
    <w:rsid w:val="003B773D"/>
    <w:rsid w:val="003B77DA"/>
    <w:rsid w:val="003B78E1"/>
    <w:rsid w:val="003C09A2"/>
    <w:rsid w:val="003C0D5B"/>
    <w:rsid w:val="003C1032"/>
    <w:rsid w:val="003C1C19"/>
    <w:rsid w:val="003C1CFC"/>
    <w:rsid w:val="003C1D9D"/>
    <w:rsid w:val="003C234A"/>
    <w:rsid w:val="003C23CA"/>
    <w:rsid w:val="003C27A2"/>
    <w:rsid w:val="003C2C05"/>
    <w:rsid w:val="003C35B8"/>
    <w:rsid w:val="003C380A"/>
    <w:rsid w:val="003C3850"/>
    <w:rsid w:val="003C3963"/>
    <w:rsid w:val="003C3B73"/>
    <w:rsid w:val="003C3E20"/>
    <w:rsid w:val="003C4323"/>
    <w:rsid w:val="003C4683"/>
    <w:rsid w:val="003C554A"/>
    <w:rsid w:val="003C5566"/>
    <w:rsid w:val="003C5635"/>
    <w:rsid w:val="003C57BA"/>
    <w:rsid w:val="003C57F6"/>
    <w:rsid w:val="003C5C5B"/>
    <w:rsid w:val="003C6523"/>
    <w:rsid w:val="003C6664"/>
    <w:rsid w:val="003C66C2"/>
    <w:rsid w:val="003C681E"/>
    <w:rsid w:val="003C7323"/>
    <w:rsid w:val="003C76A1"/>
    <w:rsid w:val="003C7BBC"/>
    <w:rsid w:val="003C7D6B"/>
    <w:rsid w:val="003C7E0E"/>
    <w:rsid w:val="003D06F5"/>
    <w:rsid w:val="003D0EDD"/>
    <w:rsid w:val="003D173E"/>
    <w:rsid w:val="003D1882"/>
    <w:rsid w:val="003D1AA1"/>
    <w:rsid w:val="003D1E17"/>
    <w:rsid w:val="003D22D5"/>
    <w:rsid w:val="003D24D7"/>
    <w:rsid w:val="003D2B4B"/>
    <w:rsid w:val="003D2BAD"/>
    <w:rsid w:val="003D2DA4"/>
    <w:rsid w:val="003D2E71"/>
    <w:rsid w:val="003D39BC"/>
    <w:rsid w:val="003D3D3A"/>
    <w:rsid w:val="003D3DF6"/>
    <w:rsid w:val="003D3E02"/>
    <w:rsid w:val="003D3F4C"/>
    <w:rsid w:val="003D3FE8"/>
    <w:rsid w:val="003D4218"/>
    <w:rsid w:val="003D42CA"/>
    <w:rsid w:val="003D43DA"/>
    <w:rsid w:val="003D43E0"/>
    <w:rsid w:val="003D46A0"/>
    <w:rsid w:val="003D4780"/>
    <w:rsid w:val="003D47CC"/>
    <w:rsid w:val="003D5083"/>
    <w:rsid w:val="003D5264"/>
    <w:rsid w:val="003D6201"/>
    <w:rsid w:val="003D6DFF"/>
    <w:rsid w:val="003D7979"/>
    <w:rsid w:val="003D7BB8"/>
    <w:rsid w:val="003D7E78"/>
    <w:rsid w:val="003E03FF"/>
    <w:rsid w:val="003E07BA"/>
    <w:rsid w:val="003E0B58"/>
    <w:rsid w:val="003E15FC"/>
    <w:rsid w:val="003E1B37"/>
    <w:rsid w:val="003E1E28"/>
    <w:rsid w:val="003E1EDB"/>
    <w:rsid w:val="003E2189"/>
    <w:rsid w:val="003E2231"/>
    <w:rsid w:val="003E2D16"/>
    <w:rsid w:val="003E3495"/>
    <w:rsid w:val="003E37ED"/>
    <w:rsid w:val="003E37F4"/>
    <w:rsid w:val="003E386F"/>
    <w:rsid w:val="003E4245"/>
    <w:rsid w:val="003E465D"/>
    <w:rsid w:val="003E4D0E"/>
    <w:rsid w:val="003E4F71"/>
    <w:rsid w:val="003E522B"/>
    <w:rsid w:val="003E5530"/>
    <w:rsid w:val="003E55A9"/>
    <w:rsid w:val="003E5938"/>
    <w:rsid w:val="003E61DA"/>
    <w:rsid w:val="003E6558"/>
    <w:rsid w:val="003E6756"/>
    <w:rsid w:val="003E6F05"/>
    <w:rsid w:val="003E6F32"/>
    <w:rsid w:val="003E7809"/>
    <w:rsid w:val="003E7A46"/>
    <w:rsid w:val="003E7C5C"/>
    <w:rsid w:val="003E7ECA"/>
    <w:rsid w:val="003F0C9D"/>
    <w:rsid w:val="003F0D84"/>
    <w:rsid w:val="003F18B5"/>
    <w:rsid w:val="003F18E5"/>
    <w:rsid w:val="003F1A29"/>
    <w:rsid w:val="003F2356"/>
    <w:rsid w:val="003F2424"/>
    <w:rsid w:val="003F2A5C"/>
    <w:rsid w:val="003F33C6"/>
    <w:rsid w:val="003F3855"/>
    <w:rsid w:val="003F3900"/>
    <w:rsid w:val="003F3BD0"/>
    <w:rsid w:val="003F3C25"/>
    <w:rsid w:val="003F3DE2"/>
    <w:rsid w:val="003F4366"/>
    <w:rsid w:val="003F4884"/>
    <w:rsid w:val="003F4D86"/>
    <w:rsid w:val="003F4D9D"/>
    <w:rsid w:val="003F4DBF"/>
    <w:rsid w:val="003F52AD"/>
    <w:rsid w:val="003F5AC4"/>
    <w:rsid w:val="003F62E3"/>
    <w:rsid w:val="003F6983"/>
    <w:rsid w:val="003F6DFE"/>
    <w:rsid w:val="003F7ABB"/>
    <w:rsid w:val="003F7AE7"/>
    <w:rsid w:val="003F7B0B"/>
    <w:rsid w:val="003F7D3A"/>
    <w:rsid w:val="0040015F"/>
    <w:rsid w:val="00400186"/>
    <w:rsid w:val="00400725"/>
    <w:rsid w:val="0040077A"/>
    <w:rsid w:val="00401210"/>
    <w:rsid w:val="00401ABB"/>
    <w:rsid w:val="00401EFC"/>
    <w:rsid w:val="004024B0"/>
    <w:rsid w:val="0040258E"/>
    <w:rsid w:val="00402723"/>
    <w:rsid w:val="00402DE3"/>
    <w:rsid w:val="00403474"/>
    <w:rsid w:val="004037D1"/>
    <w:rsid w:val="0040385D"/>
    <w:rsid w:val="00403F22"/>
    <w:rsid w:val="0040446F"/>
    <w:rsid w:val="004050A6"/>
    <w:rsid w:val="004050CC"/>
    <w:rsid w:val="00405529"/>
    <w:rsid w:val="00405958"/>
    <w:rsid w:val="004059E8"/>
    <w:rsid w:val="00405E9A"/>
    <w:rsid w:val="004062C0"/>
    <w:rsid w:val="004067A3"/>
    <w:rsid w:val="0040696A"/>
    <w:rsid w:val="00406EB0"/>
    <w:rsid w:val="0040790E"/>
    <w:rsid w:val="00407B9D"/>
    <w:rsid w:val="004101EE"/>
    <w:rsid w:val="004103DB"/>
    <w:rsid w:val="00410EEC"/>
    <w:rsid w:val="00410F1F"/>
    <w:rsid w:val="00410F7D"/>
    <w:rsid w:val="00411104"/>
    <w:rsid w:val="00411200"/>
    <w:rsid w:val="004112AA"/>
    <w:rsid w:val="0041155F"/>
    <w:rsid w:val="0041191B"/>
    <w:rsid w:val="00411B47"/>
    <w:rsid w:val="00411B8A"/>
    <w:rsid w:val="00411C4A"/>
    <w:rsid w:val="0041220C"/>
    <w:rsid w:val="004124FE"/>
    <w:rsid w:val="00412D71"/>
    <w:rsid w:val="004132E4"/>
    <w:rsid w:val="0041354D"/>
    <w:rsid w:val="00414152"/>
    <w:rsid w:val="004143A8"/>
    <w:rsid w:val="00414883"/>
    <w:rsid w:val="00414990"/>
    <w:rsid w:val="00414E56"/>
    <w:rsid w:val="00415527"/>
    <w:rsid w:val="004155C6"/>
    <w:rsid w:val="00415F53"/>
    <w:rsid w:val="004163FA"/>
    <w:rsid w:val="00416B07"/>
    <w:rsid w:val="00416C5B"/>
    <w:rsid w:val="00416E6C"/>
    <w:rsid w:val="00416F0A"/>
    <w:rsid w:val="004175EE"/>
    <w:rsid w:val="00417AFB"/>
    <w:rsid w:val="00417DA3"/>
    <w:rsid w:val="00417FF2"/>
    <w:rsid w:val="00420294"/>
    <w:rsid w:val="004205B3"/>
    <w:rsid w:val="004212E8"/>
    <w:rsid w:val="00421A4C"/>
    <w:rsid w:val="00421C9C"/>
    <w:rsid w:val="00421CEE"/>
    <w:rsid w:val="00422A2D"/>
    <w:rsid w:val="00422E10"/>
    <w:rsid w:val="00423387"/>
    <w:rsid w:val="004233B7"/>
    <w:rsid w:val="00423497"/>
    <w:rsid w:val="00423650"/>
    <w:rsid w:val="00423A79"/>
    <w:rsid w:val="0042472C"/>
    <w:rsid w:val="00424A37"/>
    <w:rsid w:val="00424FD0"/>
    <w:rsid w:val="00425056"/>
    <w:rsid w:val="0042506C"/>
    <w:rsid w:val="00425533"/>
    <w:rsid w:val="00425B44"/>
    <w:rsid w:val="00425B55"/>
    <w:rsid w:val="00425E95"/>
    <w:rsid w:val="00425F38"/>
    <w:rsid w:val="00425FCD"/>
    <w:rsid w:val="00426D48"/>
    <w:rsid w:val="004272E1"/>
    <w:rsid w:val="00427443"/>
    <w:rsid w:val="00427A97"/>
    <w:rsid w:val="00427B53"/>
    <w:rsid w:val="004302B8"/>
    <w:rsid w:val="0043080A"/>
    <w:rsid w:val="00431B0D"/>
    <w:rsid w:val="00431CEB"/>
    <w:rsid w:val="00432C69"/>
    <w:rsid w:val="00432DD6"/>
    <w:rsid w:val="0043340C"/>
    <w:rsid w:val="00433727"/>
    <w:rsid w:val="0043374C"/>
    <w:rsid w:val="00433D2C"/>
    <w:rsid w:val="00433ECD"/>
    <w:rsid w:val="0043411B"/>
    <w:rsid w:val="00434D61"/>
    <w:rsid w:val="00434E12"/>
    <w:rsid w:val="00434F6A"/>
    <w:rsid w:val="00435054"/>
    <w:rsid w:val="004354D5"/>
    <w:rsid w:val="00435ADA"/>
    <w:rsid w:val="00435E05"/>
    <w:rsid w:val="00435E77"/>
    <w:rsid w:val="00436E4B"/>
    <w:rsid w:val="004374CD"/>
    <w:rsid w:val="004376E7"/>
    <w:rsid w:val="00437E34"/>
    <w:rsid w:val="00441527"/>
    <w:rsid w:val="004417ED"/>
    <w:rsid w:val="00442FC0"/>
    <w:rsid w:val="0044391B"/>
    <w:rsid w:val="00443C2C"/>
    <w:rsid w:val="00443F66"/>
    <w:rsid w:val="0044435C"/>
    <w:rsid w:val="004443F4"/>
    <w:rsid w:val="004448C6"/>
    <w:rsid w:val="00444917"/>
    <w:rsid w:val="0044491E"/>
    <w:rsid w:val="00444D0E"/>
    <w:rsid w:val="00445DFA"/>
    <w:rsid w:val="004466E0"/>
    <w:rsid w:val="00447F91"/>
    <w:rsid w:val="0045013F"/>
    <w:rsid w:val="00450651"/>
    <w:rsid w:val="0045158A"/>
    <w:rsid w:val="00452259"/>
    <w:rsid w:val="00452DCC"/>
    <w:rsid w:val="00453477"/>
    <w:rsid w:val="00453B89"/>
    <w:rsid w:val="00454507"/>
    <w:rsid w:val="00454640"/>
    <w:rsid w:val="00454867"/>
    <w:rsid w:val="00454ECF"/>
    <w:rsid w:val="00454F85"/>
    <w:rsid w:val="004554B1"/>
    <w:rsid w:val="0045554E"/>
    <w:rsid w:val="004563B7"/>
    <w:rsid w:val="004575E6"/>
    <w:rsid w:val="004575F0"/>
    <w:rsid w:val="00457A30"/>
    <w:rsid w:val="00457E27"/>
    <w:rsid w:val="004601EB"/>
    <w:rsid w:val="00461079"/>
    <w:rsid w:val="004611DD"/>
    <w:rsid w:val="00462981"/>
    <w:rsid w:val="0046298E"/>
    <w:rsid w:val="004629AB"/>
    <w:rsid w:val="0046326D"/>
    <w:rsid w:val="004634A3"/>
    <w:rsid w:val="00463DD3"/>
    <w:rsid w:val="004640B4"/>
    <w:rsid w:val="0046410B"/>
    <w:rsid w:val="00464D5E"/>
    <w:rsid w:val="00465395"/>
    <w:rsid w:val="004657C4"/>
    <w:rsid w:val="00465AD7"/>
    <w:rsid w:val="0046650C"/>
    <w:rsid w:val="00467115"/>
    <w:rsid w:val="00467468"/>
    <w:rsid w:val="0046760E"/>
    <w:rsid w:val="00467E36"/>
    <w:rsid w:val="0047031F"/>
    <w:rsid w:val="00470AB7"/>
    <w:rsid w:val="004710B8"/>
    <w:rsid w:val="0047123D"/>
    <w:rsid w:val="004719E8"/>
    <w:rsid w:val="00472B8D"/>
    <w:rsid w:val="00473868"/>
    <w:rsid w:val="004740B1"/>
    <w:rsid w:val="004747D7"/>
    <w:rsid w:val="0047480F"/>
    <w:rsid w:val="00474A04"/>
    <w:rsid w:val="00475897"/>
    <w:rsid w:val="0047610D"/>
    <w:rsid w:val="004767AE"/>
    <w:rsid w:val="00476940"/>
    <w:rsid w:val="00476A0C"/>
    <w:rsid w:val="00476B9B"/>
    <w:rsid w:val="00476EA1"/>
    <w:rsid w:val="00476F1C"/>
    <w:rsid w:val="00477661"/>
    <w:rsid w:val="00477A6A"/>
    <w:rsid w:val="0048054C"/>
    <w:rsid w:val="0048057C"/>
    <w:rsid w:val="00480FDF"/>
    <w:rsid w:val="00481171"/>
    <w:rsid w:val="004811AA"/>
    <w:rsid w:val="004811E0"/>
    <w:rsid w:val="004819DB"/>
    <w:rsid w:val="00481A39"/>
    <w:rsid w:val="00481B41"/>
    <w:rsid w:val="00481D3F"/>
    <w:rsid w:val="00481E5B"/>
    <w:rsid w:val="0048228A"/>
    <w:rsid w:val="00482561"/>
    <w:rsid w:val="00483199"/>
    <w:rsid w:val="004847DC"/>
    <w:rsid w:val="00484FB0"/>
    <w:rsid w:val="004855BF"/>
    <w:rsid w:val="00486272"/>
    <w:rsid w:val="00486433"/>
    <w:rsid w:val="00486DC2"/>
    <w:rsid w:val="004873D3"/>
    <w:rsid w:val="004876F8"/>
    <w:rsid w:val="0048793E"/>
    <w:rsid w:val="00487B07"/>
    <w:rsid w:val="0049062A"/>
    <w:rsid w:val="00490807"/>
    <w:rsid w:val="004917DE"/>
    <w:rsid w:val="00491835"/>
    <w:rsid w:val="00491AD2"/>
    <w:rsid w:val="004928B0"/>
    <w:rsid w:val="00492F33"/>
    <w:rsid w:val="004930CC"/>
    <w:rsid w:val="00493C82"/>
    <w:rsid w:val="00493EEF"/>
    <w:rsid w:val="00493F3B"/>
    <w:rsid w:val="00494185"/>
    <w:rsid w:val="00494A95"/>
    <w:rsid w:val="00495320"/>
    <w:rsid w:val="00495870"/>
    <w:rsid w:val="00495A89"/>
    <w:rsid w:val="00496795"/>
    <w:rsid w:val="00496ACA"/>
    <w:rsid w:val="004970AD"/>
    <w:rsid w:val="004974CF"/>
    <w:rsid w:val="004974FF"/>
    <w:rsid w:val="004978C1"/>
    <w:rsid w:val="004A01CF"/>
    <w:rsid w:val="004A03AD"/>
    <w:rsid w:val="004A06D9"/>
    <w:rsid w:val="004A0B60"/>
    <w:rsid w:val="004A0BFD"/>
    <w:rsid w:val="004A146A"/>
    <w:rsid w:val="004A14E9"/>
    <w:rsid w:val="004A2B6E"/>
    <w:rsid w:val="004A312D"/>
    <w:rsid w:val="004A3329"/>
    <w:rsid w:val="004A36E7"/>
    <w:rsid w:val="004A3E75"/>
    <w:rsid w:val="004A4188"/>
    <w:rsid w:val="004A43D1"/>
    <w:rsid w:val="004A4D99"/>
    <w:rsid w:val="004A4E60"/>
    <w:rsid w:val="004A4EC7"/>
    <w:rsid w:val="004A51D4"/>
    <w:rsid w:val="004A5483"/>
    <w:rsid w:val="004A5A35"/>
    <w:rsid w:val="004A5C74"/>
    <w:rsid w:val="004A6327"/>
    <w:rsid w:val="004A681E"/>
    <w:rsid w:val="004A6ECC"/>
    <w:rsid w:val="004A7053"/>
    <w:rsid w:val="004A73E3"/>
    <w:rsid w:val="004A75C6"/>
    <w:rsid w:val="004A7602"/>
    <w:rsid w:val="004A76DC"/>
    <w:rsid w:val="004B058F"/>
    <w:rsid w:val="004B08B2"/>
    <w:rsid w:val="004B1166"/>
    <w:rsid w:val="004B1267"/>
    <w:rsid w:val="004B19B1"/>
    <w:rsid w:val="004B1CE8"/>
    <w:rsid w:val="004B1E9E"/>
    <w:rsid w:val="004B2029"/>
    <w:rsid w:val="004B20D1"/>
    <w:rsid w:val="004B2145"/>
    <w:rsid w:val="004B2642"/>
    <w:rsid w:val="004B2CFD"/>
    <w:rsid w:val="004B3181"/>
    <w:rsid w:val="004B382E"/>
    <w:rsid w:val="004B459B"/>
    <w:rsid w:val="004B4DBB"/>
    <w:rsid w:val="004B5552"/>
    <w:rsid w:val="004B56F9"/>
    <w:rsid w:val="004B5D69"/>
    <w:rsid w:val="004B5E42"/>
    <w:rsid w:val="004B5ED6"/>
    <w:rsid w:val="004B5F11"/>
    <w:rsid w:val="004B605A"/>
    <w:rsid w:val="004B6742"/>
    <w:rsid w:val="004B67EA"/>
    <w:rsid w:val="004B69B2"/>
    <w:rsid w:val="004B7476"/>
    <w:rsid w:val="004B7849"/>
    <w:rsid w:val="004B7AD8"/>
    <w:rsid w:val="004B7BDF"/>
    <w:rsid w:val="004B7DDC"/>
    <w:rsid w:val="004C0BFB"/>
    <w:rsid w:val="004C1309"/>
    <w:rsid w:val="004C15DC"/>
    <w:rsid w:val="004C1985"/>
    <w:rsid w:val="004C1D3A"/>
    <w:rsid w:val="004C287D"/>
    <w:rsid w:val="004C30F0"/>
    <w:rsid w:val="004C3284"/>
    <w:rsid w:val="004C39E7"/>
    <w:rsid w:val="004C3F22"/>
    <w:rsid w:val="004C3FDD"/>
    <w:rsid w:val="004C42C7"/>
    <w:rsid w:val="004C4C13"/>
    <w:rsid w:val="004C50AB"/>
    <w:rsid w:val="004C518F"/>
    <w:rsid w:val="004C547C"/>
    <w:rsid w:val="004C5C54"/>
    <w:rsid w:val="004C615B"/>
    <w:rsid w:val="004C6341"/>
    <w:rsid w:val="004C6857"/>
    <w:rsid w:val="004C6BA0"/>
    <w:rsid w:val="004C7106"/>
    <w:rsid w:val="004C7810"/>
    <w:rsid w:val="004C7AD9"/>
    <w:rsid w:val="004D0354"/>
    <w:rsid w:val="004D08AF"/>
    <w:rsid w:val="004D0E53"/>
    <w:rsid w:val="004D12E8"/>
    <w:rsid w:val="004D1770"/>
    <w:rsid w:val="004D1965"/>
    <w:rsid w:val="004D1A88"/>
    <w:rsid w:val="004D26B2"/>
    <w:rsid w:val="004D2DED"/>
    <w:rsid w:val="004D2E45"/>
    <w:rsid w:val="004D37A1"/>
    <w:rsid w:val="004D3A05"/>
    <w:rsid w:val="004D4166"/>
    <w:rsid w:val="004D439C"/>
    <w:rsid w:val="004D497D"/>
    <w:rsid w:val="004D4C48"/>
    <w:rsid w:val="004D53AC"/>
    <w:rsid w:val="004D5C94"/>
    <w:rsid w:val="004D60D0"/>
    <w:rsid w:val="004D6283"/>
    <w:rsid w:val="004D640C"/>
    <w:rsid w:val="004D6499"/>
    <w:rsid w:val="004D67F9"/>
    <w:rsid w:val="004D699D"/>
    <w:rsid w:val="004D69B4"/>
    <w:rsid w:val="004D77AA"/>
    <w:rsid w:val="004D7989"/>
    <w:rsid w:val="004D7B8D"/>
    <w:rsid w:val="004D7C30"/>
    <w:rsid w:val="004D7CD2"/>
    <w:rsid w:val="004E00A3"/>
    <w:rsid w:val="004E04BE"/>
    <w:rsid w:val="004E0623"/>
    <w:rsid w:val="004E0896"/>
    <w:rsid w:val="004E08DC"/>
    <w:rsid w:val="004E1230"/>
    <w:rsid w:val="004E12FF"/>
    <w:rsid w:val="004E1DA8"/>
    <w:rsid w:val="004E2CF7"/>
    <w:rsid w:val="004E2F97"/>
    <w:rsid w:val="004E3A1A"/>
    <w:rsid w:val="004E4111"/>
    <w:rsid w:val="004E4285"/>
    <w:rsid w:val="004E4AFF"/>
    <w:rsid w:val="004E5069"/>
    <w:rsid w:val="004E5213"/>
    <w:rsid w:val="004E5735"/>
    <w:rsid w:val="004E57B0"/>
    <w:rsid w:val="004E5816"/>
    <w:rsid w:val="004E5E60"/>
    <w:rsid w:val="004E6542"/>
    <w:rsid w:val="004E66DE"/>
    <w:rsid w:val="004E678D"/>
    <w:rsid w:val="004E7556"/>
    <w:rsid w:val="004E7913"/>
    <w:rsid w:val="004E7F54"/>
    <w:rsid w:val="004F01B1"/>
    <w:rsid w:val="004F075B"/>
    <w:rsid w:val="004F0C0D"/>
    <w:rsid w:val="004F1BD4"/>
    <w:rsid w:val="004F1FA2"/>
    <w:rsid w:val="004F2886"/>
    <w:rsid w:val="004F2BB0"/>
    <w:rsid w:val="004F31EC"/>
    <w:rsid w:val="004F33B9"/>
    <w:rsid w:val="004F3AFA"/>
    <w:rsid w:val="004F3EA0"/>
    <w:rsid w:val="004F3EEE"/>
    <w:rsid w:val="004F419B"/>
    <w:rsid w:val="004F41F9"/>
    <w:rsid w:val="004F4518"/>
    <w:rsid w:val="004F4D91"/>
    <w:rsid w:val="004F4EA1"/>
    <w:rsid w:val="004F5297"/>
    <w:rsid w:val="004F5CA2"/>
    <w:rsid w:val="004F6397"/>
    <w:rsid w:val="004F69B7"/>
    <w:rsid w:val="004F6B45"/>
    <w:rsid w:val="004F6E93"/>
    <w:rsid w:val="004F760C"/>
    <w:rsid w:val="004F79BB"/>
    <w:rsid w:val="004F7D9D"/>
    <w:rsid w:val="00500568"/>
    <w:rsid w:val="0050087D"/>
    <w:rsid w:val="00501300"/>
    <w:rsid w:val="0050135C"/>
    <w:rsid w:val="00501383"/>
    <w:rsid w:val="00501897"/>
    <w:rsid w:val="00501DCF"/>
    <w:rsid w:val="00501E7B"/>
    <w:rsid w:val="00502228"/>
    <w:rsid w:val="005023DC"/>
    <w:rsid w:val="00502560"/>
    <w:rsid w:val="0050276C"/>
    <w:rsid w:val="00502D82"/>
    <w:rsid w:val="00502E20"/>
    <w:rsid w:val="005040F2"/>
    <w:rsid w:val="0050467C"/>
    <w:rsid w:val="005046F6"/>
    <w:rsid w:val="00504E44"/>
    <w:rsid w:val="00504F8D"/>
    <w:rsid w:val="00505601"/>
    <w:rsid w:val="0050585D"/>
    <w:rsid w:val="00505880"/>
    <w:rsid w:val="00505AED"/>
    <w:rsid w:val="005069FA"/>
    <w:rsid w:val="005069FB"/>
    <w:rsid w:val="005070CD"/>
    <w:rsid w:val="0050727D"/>
    <w:rsid w:val="00507462"/>
    <w:rsid w:val="00507530"/>
    <w:rsid w:val="00507D4E"/>
    <w:rsid w:val="005107EB"/>
    <w:rsid w:val="00510ACD"/>
    <w:rsid w:val="00511852"/>
    <w:rsid w:val="005118AF"/>
    <w:rsid w:val="00511C78"/>
    <w:rsid w:val="0051219C"/>
    <w:rsid w:val="00512227"/>
    <w:rsid w:val="00512435"/>
    <w:rsid w:val="00512C8A"/>
    <w:rsid w:val="005130AB"/>
    <w:rsid w:val="005130D4"/>
    <w:rsid w:val="005137F0"/>
    <w:rsid w:val="00513B89"/>
    <w:rsid w:val="00513D09"/>
    <w:rsid w:val="005140F2"/>
    <w:rsid w:val="005141AC"/>
    <w:rsid w:val="00514815"/>
    <w:rsid w:val="0051481C"/>
    <w:rsid w:val="00514C92"/>
    <w:rsid w:val="0051574E"/>
    <w:rsid w:val="0051588A"/>
    <w:rsid w:val="00516056"/>
    <w:rsid w:val="00516680"/>
    <w:rsid w:val="0051694B"/>
    <w:rsid w:val="00517089"/>
    <w:rsid w:val="005178D5"/>
    <w:rsid w:val="00517A1E"/>
    <w:rsid w:val="00517AAB"/>
    <w:rsid w:val="005204F3"/>
    <w:rsid w:val="00520692"/>
    <w:rsid w:val="00520E32"/>
    <w:rsid w:val="00521117"/>
    <w:rsid w:val="00521419"/>
    <w:rsid w:val="005217C0"/>
    <w:rsid w:val="00521856"/>
    <w:rsid w:val="00521861"/>
    <w:rsid w:val="00521AC1"/>
    <w:rsid w:val="0052273E"/>
    <w:rsid w:val="005230C3"/>
    <w:rsid w:val="0052331B"/>
    <w:rsid w:val="0052340C"/>
    <w:rsid w:val="005235BE"/>
    <w:rsid w:val="00523956"/>
    <w:rsid w:val="00523CAB"/>
    <w:rsid w:val="00523FAC"/>
    <w:rsid w:val="0052423E"/>
    <w:rsid w:val="005245A2"/>
    <w:rsid w:val="005246D4"/>
    <w:rsid w:val="00524EB2"/>
    <w:rsid w:val="005252CC"/>
    <w:rsid w:val="0052555D"/>
    <w:rsid w:val="005255F2"/>
    <w:rsid w:val="00525636"/>
    <w:rsid w:val="005256DD"/>
    <w:rsid w:val="00526021"/>
    <w:rsid w:val="00527A07"/>
    <w:rsid w:val="00527E60"/>
    <w:rsid w:val="0053000B"/>
    <w:rsid w:val="00530AC7"/>
    <w:rsid w:val="00530CE0"/>
    <w:rsid w:val="00530DE8"/>
    <w:rsid w:val="00530F9F"/>
    <w:rsid w:val="00531101"/>
    <w:rsid w:val="00531919"/>
    <w:rsid w:val="00532187"/>
    <w:rsid w:val="00532BD5"/>
    <w:rsid w:val="005331A5"/>
    <w:rsid w:val="005339B1"/>
    <w:rsid w:val="00533D16"/>
    <w:rsid w:val="0053435F"/>
    <w:rsid w:val="0053477E"/>
    <w:rsid w:val="0053509C"/>
    <w:rsid w:val="00535170"/>
    <w:rsid w:val="00535513"/>
    <w:rsid w:val="005358B2"/>
    <w:rsid w:val="00535A8C"/>
    <w:rsid w:val="00536365"/>
    <w:rsid w:val="0053649C"/>
    <w:rsid w:val="005369C1"/>
    <w:rsid w:val="00537015"/>
    <w:rsid w:val="00537138"/>
    <w:rsid w:val="005372C9"/>
    <w:rsid w:val="00537577"/>
    <w:rsid w:val="00537934"/>
    <w:rsid w:val="0053796A"/>
    <w:rsid w:val="00537FFB"/>
    <w:rsid w:val="0054046A"/>
    <w:rsid w:val="00540509"/>
    <w:rsid w:val="0054053A"/>
    <w:rsid w:val="00541674"/>
    <w:rsid w:val="00541894"/>
    <w:rsid w:val="005418EE"/>
    <w:rsid w:val="00541C50"/>
    <w:rsid w:val="00541E39"/>
    <w:rsid w:val="0054236F"/>
    <w:rsid w:val="00542C2C"/>
    <w:rsid w:val="00542E32"/>
    <w:rsid w:val="00542ECA"/>
    <w:rsid w:val="00542F5F"/>
    <w:rsid w:val="0054322B"/>
    <w:rsid w:val="00543651"/>
    <w:rsid w:val="00543A3F"/>
    <w:rsid w:val="00543BDB"/>
    <w:rsid w:val="0054450E"/>
    <w:rsid w:val="00544685"/>
    <w:rsid w:val="005447B3"/>
    <w:rsid w:val="0054495C"/>
    <w:rsid w:val="00544AC1"/>
    <w:rsid w:val="00544D90"/>
    <w:rsid w:val="00544F17"/>
    <w:rsid w:val="00544F86"/>
    <w:rsid w:val="00545A48"/>
    <w:rsid w:val="00546369"/>
    <w:rsid w:val="0054659E"/>
    <w:rsid w:val="005465F1"/>
    <w:rsid w:val="00546751"/>
    <w:rsid w:val="005467ED"/>
    <w:rsid w:val="00546813"/>
    <w:rsid w:val="005468BC"/>
    <w:rsid w:val="0054690F"/>
    <w:rsid w:val="00547B3C"/>
    <w:rsid w:val="00550E1C"/>
    <w:rsid w:val="00551CC8"/>
    <w:rsid w:val="00552075"/>
    <w:rsid w:val="00552F88"/>
    <w:rsid w:val="00553377"/>
    <w:rsid w:val="00553943"/>
    <w:rsid w:val="00553A9A"/>
    <w:rsid w:val="0055406E"/>
    <w:rsid w:val="00554341"/>
    <w:rsid w:val="00554617"/>
    <w:rsid w:val="00554692"/>
    <w:rsid w:val="00554C0C"/>
    <w:rsid w:val="00554C29"/>
    <w:rsid w:val="0055516F"/>
    <w:rsid w:val="00555779"/>
    <w:rsid w:val="00555A02"/>
    <w:rsid w:val="00555C37"/>
    <w:rsid w:val="00556140"/>
    <w:rsid w:val="00556555"/>
    <w:rsid w:val="0055672C"/>
    <w:rsid w:val="00556B24"/>
    <w:rsid w:val="005571C1"/>
    <w:rsid w:val="005571DC"/>
    <w:rsid w:val="0055733F"/>
    <w:rsid w:val="0055749F"/>
    <w:rsid w:val="005574A7"/>
    <w:rsid w:val="005574F9"/>
    <w:rsid w:val="00557553"/>
    <w:rsid w:val="005575C1"/>
    <w:rsid w:val="00557718"/>
    <w:rsid w:val="005578A4"/>
    <w:rsid w:val="00557C91"/>
    <w:rsid w:val="00557EB5"/>
    <w:rsid w:val="00557FD7"/>
    <w:rsid w:val="00561067"/>
    <w:rsid w:val="00561140"/>
    <w:rsid w:val="00562131"/>
    <w:rsid w:val="005625D1"/>
    <w:rsid w:val="00562DAB"/>
    <w:rsid w:val="00562E2C"/>
    <w:rsid w:val="0056425D"/>
    <w:rsid w:val="0056451C"/>
    <w:rsid w:val="0056478C"/>
    <w:rsid w:val="00564E7A"/>
    <w:rsid w:val="00565215"/>
    <w:rsid w:val="00565970"/>
    <w:rsid w:val="00565D2A"/>
    <w:rsid w:val="00566020"/>
    <w:rsid w:val="00566713"/>
    <w:rsid w:val="00566791"/>
    <w:rsid w:val="00566852"/>
    <w:rsid w:val="00566DE1"/>
    <w:rsid w:val="0056766B"/>
    <w:rsid w:val="00567C8C"/>
    <w:rsid w:val="00570365"/>
    <w:rsid w:val="0057112A"/>
    <w:rsid w:val="005712CD"/>
    <w:rsid w:val="00571ED7"/>
    <w:rsid w:val="00571F45"/>
    <w:rsid w:val="005725D7"/>
    <w:rsid w:val="0057268E"/>
    <w:rsid w:val="005728A9"/>
    <w:rsid w:val="005733B0"/>
    <w:rsid w:val="005735F4"/>
    <w:rsid w:val="0057372A"/>
    <w:rsid w:val="00573C8E"/>
    <w:rsid w:val="00573EE5"/>
    <w:rsid w:val="00574139"/>
    <w:rsid w:val="005743DE"/>
    <w:rsid w:val="00574524"/>
    <w:rsid w:val="0057474E"/>
    <w:rsid w:val="00574930"/>
    <w:rsid w:val="0057566E"/>
    <w:rsid w:val="005758EA"/>
    <w:rsid w:val="00575F6E"/>
    <w:rsid w:val="005760F0"/>
    <w:rsid w:val="005761F8"/>
    <w:rsid w:val="005765F3"/>
    <w:rsid w:val="00576B47"/>
    <w:rsid w:val="00577202"/>
    <w:rsid w:val="005773A7"/>
    <w:rsid w:val="00577497"/>
    <w:rsid w:val="00577D54"/>
    <w:rsid w:val="00577DFA"/>
    <w:rsid w:val="00577FEF"/>
    <w:rsid w:val="00580971"/>
    <w:rsid w:val="0058099B"/>
    <w:rsid w:val="005809BA"/>
    <w:rsid w:val="00580E49"/>
    <w:rsid w:val="0058108C"/>
    <w:rsid w:val="005813A0"/>
    <w:rsid w:val="00581798"/>
    <w:rsid w:val="00581A18"/>
    <w:rsid w:val="0058236B"/>
    <w:rsid w:val="00582E32"/>
    <w:rsid w:val="005837C9"/>
    <w:rsid w:val="005837D7"/>
    <w:rsid w:val="00583EF6"/>
    <w:rsid w:val="0058404F"/>
    <w:rsid w:val="005844F5"/>
    <w:rsid w:val="00584D94"/>
    <w:rsid w:val="00584F6E"/>
    <w:rsid w:val="00585EFC"/>
    <w:rsid w:val="005861F5"/>
    <w:rsid w:val="00586448"/>
    <w:rsid w:val="00586936"/>
    <w:rsid w:val="00587590"/>
    <w:rsid w:val="0058760A"/>
    <w:rsid w:val="00587971"/>
    <w:rsid w:val="00587DB7"/>
    <w:rsid w:val="00587F8E"/>
    <w:rsid w:val="00590C13"/>
    <w:rsid w:val="00591771"/>
    <w:rsid w:val="005918CE"/>
    <w:rsid w:val="0059190C"/>
    <w:rsid w:val="00591C40"/>
    <w:rsid w:val="00591C8D"/>
    <w:rsid w:val="0059259D"/>
    <w:rsid w:val="0059296C"/>
    <w:rsid w:val="00593725"/>
    <w:rsid w:val="00593A00"/>
    <w:rsid w:val="005940EB"/>
    <w:rsid w:val="00595308"/>
    <w:rsid w:val="005954A7"/>
    <w:rsid w:val="00595902"/>
    <w:rsid w:val="005959AF"/>
    <w:rsid w:val="00595B9C"/>
    <w:rsid w:val="00595CDD"/>
    <w:rsid w:val="00596858"/>
    <w:rsid w:val="00596D1C"/>
    <w:rsid w:val="00596D54"/>
    <w:rsid w:val="00597674"/>
    <w:rsid w:val="00597884"/>
    <w:rsid w:val="00597A33"/>
    <w:rsid w:val="00597EC7"/>
    <w:rsid w:val="005A0212"/>
    <w:rsid w:val="005A0479"/>
    <w:rsid w:val="005A098A"/>
    <w:rsid w:val="005A0F7E"/>
    <w:rsid w:val="005A128F"/>
    <w:rsid w:val="005A1546"/>
    <w:rsid w:val="005A229B"/>
    <w:rsid w:val="005A24D7"/>
    <w:rsid w:val="005A25DE"/>
    <w:rsid w:val="005A2B76"/>
    <w:rsid w:val="005A32DD"/>
    <w:rsid w:val="005A33CD"/>
    <w:rsid w:val="005A3647"/>
    <w:rsid w:val="005A392A"/>
    <w:rsid w:val="005A3A50"/>
    <w:rsid w:val="005A3C44"/>
    <w:rsid w:val="005A3C83"/>
    <w:rsid w:val="005A3E4B"/>
    <w:rsid w:val="005A3FF5"/>
    <w:rsid w:val="005A45AB"/>
    <w:rsid w:val="005A4BEE"/>
    <w:rsid w:val="005A4DC0"/>
    <w:rsid w:val="005A5D6E"/>
    <w:rsid w:val="005A6226"/>
    <w:rsid w:val="005A6407"/>
    <w:rsid w:val="005A641F"/>
    <w:rsid w:val="005A6DA4"/>
    <w:rsid w:val="005A7843"/>
    <w:rsid w:val="005A794E"/>
    <w:rsid w:val="005B04AD"/>
    <w:rsid w:val="005B0652"/>
    <w:rsid w:val="005B0A14"/>
    <w:rsid w:val="005B0FEE"/>
    <w:rsid w:val="005B1134"/>
    <w:rsid w:val="005B1267"/>
    <w:rsid w:val="005B1379"/>
    <w:rsid w:val="005B160A"/>
    <w:rsid w:val="005B1935"/>
    <w:rsid w:val="005B1BB2"/>
    <w:rsid w:val="005B1C83"/>
    <w:rsid w:val="005B2238"/>
    <w:rsid w:val="005B2242"/>
    <w:rsid w:val="005B2569"/>
    <w:rsid w:val="005B2E8F"/>
    <w:rsid w:val="005B312A"/>
    <w:rsid w:val="005B398E"/>
    <w:rsid w:val="005B3E44"/>
    <w:rsid w:val="005B3F2A"/>
    <w:rsid w:val="005B3F3B"/>
    <w:rsid w:val="005B4128"/>
    <w:rsid w:val="005B4208"/>
    <w:rsid w:val="005B434C"/>
    <w:rsid w:val="005B46BC"/>
    <w:rsid w:val="005B5018"/>
    <w:rsid w:val="005B55DA"/>
    <w:rsid w:val="005B5808"/>
    <w:rsid w:val="005B5B6C"/>
    <w:rsid w:val="005B5E35"/>
    <w:rsid w:val="005B668C"/>
    <w:rsid w:val="005B68BA"/>
    <w:rsid w:val="005B6E9D"/>
    <w:rsid w:val="005B70C6"/>
    <w:rsid w:val="005B7314"/>
    <w:rsid w:val="005B7AE8"/>
    <w:rsid w:val="005C01B7"/>
    <w:rsid w:val="005C0D88"/>
    <w:rsid w:val="005C123A"/>
    <w:rsid w:val="005C2CC2"/>
    <w:rsid w:val="005C33E6"/>
    <w:rsid w:val="005C3BF5"/>
    <w:rsid w:val="005C4558"/>
    <w:rsid w:val="005C46DF"/>
    <w:rsid w:val="005C4A36"/>
    <w:rsid w:val="005C4C15"/>
    <w:rsid w:val="005C4C84"/>
    <w:rsid w:val="005C5D23"/>
    <w:rsid w:val="005C5E4E"/>
    <w:rsid w:val="005C6579"/>
    <w:rsid w:val="005C6741"/>
    <w:rsid w:val="005C76DF"/>
    <w:rsid w:val="005C7843"/>
    <w:rsid w:val="005C7A51"/>
    <w:rsid w:val="005C7A73"/>
    <w:rsid w:val="005C7F8F"/>
    <w:rsid w:val="005C7FEB"/>
    <w:rsid w:val="005D0F72"/>
    <w:rsid w:val="005D14EA"/>
    <w:rsid w:val="005D15CD"/>
    <w:rsid w:val="005D1830"/>
    <w:rsid w:val="005D1876"/>
    <w:rsid w:val="005D1B12"/>
    <w:rsid w:val="005D2653"/>
    <w:rsid w:val="005D29BD"/>
    <w:rsid w:val="005D2C7C"/>
    <w:rsid w:val="005D2E4B"/>
    <w:rsid w:val="005D2FFB"/>
    <w:rsid w:val="005D3056"/>
    <w:rsid w:val="005D32ED"/>
    <w:rsid w:val="005D3AC8"/>
    <w:rsid w:val="005D41D6"/>
    <w:rsid w:val="005D435C"/>
    <w:rsid w:val="005D4A70"/>
    <w:rsid w:val="005D4FBC"/>
    <w:rsid w:val="005D508A"/>
    <w:rsid w:val="005D551F"/>
    <w:rsid w:val="005D583D"/>
    <w:rsid w:val="005D589F"/>
    <w:rsid w:val="005D5E97"/>
    <w:rsid w:val="005D6D72"/>
    <w:rsid w:val="005D6EC0"/>
    <w:rsid w:val="005E00BF"/>
    <w:rsid w:val="005E04E8"/>
    <w:rsid w:val="005E0538"/>
    <w:rsid w:val="005E075E"/>
    <w:rsid w:val="005E079D"/>
    <w:rsid w:val="005E0C7C"/>
    <w:rsid w:val="005E0E84"/>
    <w:rsid w:val="005E13A7"/>
    <w:rsid w:val="005E17D9"/>
    <w:rsid w:val="005E1B3B"/>
    <w:rsid w:val="005E1BD3"/>
    <w:rsid w:val="005E250F"/>
    <w:rsid w:val="005E3604"/>
    <w:rsid w:val="005E3AF0"/>
    <w:rsid w:val="005E3EDA"/>
    <w:rsid w:val="005E43F2"/>
    <w:rsid w:val="005E4FBB"/>
    <w:rsid w:val="005E5412"/>
    <w:rsid w:val="005E595D"/>
    <w:rsid w:val="005E5A3A"/>
    <w:rsid w:val="005E5C20"/>
    <w:rsid w:val="005E5CC2"/>
    <w:rsid w:val="005E5EFC"/>
    <w:rsid w:val="005E62B7"/>
    <w:rsid w:val="005E6630"/>
    <w:rsid w:val="005E6B1F"/>
    <w:rsid w:val="005E7BD0"/>
    <w:rsid w:val="005E7F3F"/>
    <w:rsid w:val="005F2018"/>
    <w:rsid w:val="005F2164"/>
    <w:rsid w:val="005F22FA"/>
    <w:rsid w:val="005F3150"/>
    <w:rsid w:val="005F4069"/>
    <w:rsid w:val="005F44A2"/>
    <w:rsid w:val="005F46FC"/>
    <w:rsid w:val="005F489D"/>
    <w:rsid w:val="005F49EC"/>
    <w:rsid w:val="005F4AD7"/>
    <w:rsid w:val="005F4C7B"/>
    <w:rsid w:val="005F504A"/>
    <w:rsid w:val="005F5AFE"/>
    <w:rsid w:val="005F5D65"/>
    <w:rsid w:val="005F5F8C"/>
    <w:rsid w:val="005F62EB"/>
    <w:rsid w:val="005F697D"/>
    <w:rsid w:val="005F6ED6"/>
    <w:rsid w:val="005F7102"/>
    <w:rsid w:val="005F757C"/>
    <w:rsid w:val="005F7952"/>
    <w:rsid w:val="005F7A25"/>
    <w:rsid w:val="005F7B74"/>
    <w:rsid w:val="006002E9"/>
    <w:rsid w:val="0060062C"/>
    <w:rsid w:val="00600D04"/>
    <w:rsid w:val="006023B9"/>
    <w:rsid w:val="006023E9"/>
    <w:rsid w:val="00602441"/>
    <w:rsid w:val="00602467"/>
    <w:rsid w:val="00602708"/>
    <w:rsid w:val="00602864"/>
    <w:rsid w:val="00603BE1"/>
    <w:rsid w:val="00603CD7"/>
    <w:rsid w:val="00603CEE"/>
    <w:rsid w:val="006044D5"/>
    <w:rsid w:val="00604532"/>
    <w:rsid w:val="00604756"/>
    <w:rsid w:val="00604A94"/>
    <w:rsid w:val="00604AA1"/>
    <w:rsid w:val="00605D73"/>
    <w:rsid w:val="006063F1"/>
    <w:rsid w:val="00606724"/>
    <w:rsid w:val="00606896"/>
    <w:rsid w:val="00606BDF"/>
    <w:rsid w:val="00607018"/>
    <w:rsid w:val="006074A5"/>
    <w:rsid w:val="00607E6C"/>
    <w:rsid w:val="0061022E"/>
    <w:rsid w:val="0061027F"/>
    <w:rsid w:val="00610D73"/>
    <w:rsid w:val="0061134F"/>
    <w:rsid w:val="0061187E"/>
    <w:rsid w:val="00611E3B"/>
    <w:rsid w:val="006121FC"/>
    <w:rsid w:val="006122A8"/>
    <w:rsid w:val="0061230C"/>
    <w:rsid w:val="006125B8"/>
    <w:rsid w:val="006144AF"/>
    <w:rsid w:val="006145E8"/>
    <w:rsid w:val="00614D1B"/>
    <w:rsid w:val="006150AD"/>
    <w:rsid w:val="006151A2"/>
    <w:rsid w:val="00615839"/>
    <w:rsid w:val="006159D1"/>
    <w:rsid w:val="00615D51"/>
    <w:rsid w:val="0061740D"/>
    <w:rsid w:val="00617C09"/>
    <w:rsid w:val="00620181"/>
    <w:rsid w:val="006203C0"/>
    <w:rsid w:val="00620E0D"/>
    <w:rsid w:val="0062148A"/>
    <w:rsid w:val="00621628"/>
    <w:rsid w:val="00621AB5"/>
    <w:rsid w:val="00622769"/>
    <w:rsid w:val="00622AFF"/>
    <w:rsid w:val="00622D94"/>
    <w:rsid w:val="00622DC5"/>
    <w:rsid w:val="00622E50"/>
    <w:rsid w:val="006235AB"/>
    <w:rsid w:val="00623683"/>
    <w:rsid w:val="00623D92"/>
    <w:rsid w:val="0062461B"/>
    <w:rsid w:val="00624E95"/>
    <w:rsid w:val="0062516A"/>
    <w:rsid w:val="006255FD"/>
    <w:rsid w:val="00625F5B"/>
    <w:rsid w:val="006262FF"/>
    <w:rsid w:val="006263A1"/>
    <w:rsid w:val="0062658D"/>
    <w:rsid w:val="00626B4D"/>
    <w:rsid w:val="00626EF5"/>
    <w:rsid w:val="00627084"/>
    <w:rsid w:val="00627838"/>
    <w:rsid w:val="00627A52"/>
    <w:rsid w:val="00627F99"/>
    <w:rsid w:val="006306EA"/>
    <w:rsid w:val="006308E3"/>
    <w:rsid w:val="006309FC"/>
    <w:rsid w:val="00631859"/>
    <w:rsid w:val="00631864"/>
    <w:rsid w:val="00631BC3"/>
    <w:rsid w:val="00632639"/>
    <w:rsid w:val="00632D60"/>
    <w:rsid w:val="00633057"/>
    <w:rsid w:val="0063374D"/>
    <w:rsid w:val="00635063"/>
    <w:rsid w:val="006356A1"/>
    <w:rsid w:val="006359FD"/>
    <w:rsid w:val="00635A8A"/>
    <w:rsid w:val="006362B8"/>
    <w:rsid w:val="00636579"/>
    <w:rsid w:val="006370CE"/>
    <w:rsid w:val="0063760A"/>
    <w:rsid w:val="006379B2"/>
    <w:rsid w:val="00637ED1"/>
    <w:rsid w:val="00637F05"/>
    <w:rsid w:val="00640460"/>
    <w:rsid w:val="0064060A"/>
    <w:rsid w:val="006407F5"/>
    <w:rsid w:val="006409AE"/>
    <w:rsid w:val="00641228"/>
    <w:rsid w:val="00641694"/>
    <w:rsid w:val="00641999"/>
    <w:rsid w:val="00641C8B"/>
    <w:rsid w:val="00642817"/>
    <w:rsid w:val="00642B62"/>
    <w:rsid w:val="00642F2D"/>
    <w:rsid w:val="0064311E"/>
    <w:rsid w:val="00643D31"/>
    <w:rsid w:val="00643DFF"/>
    <w:rsid w:val="00643E73"/>
    <w:rsid w:val="00644758"/>
    <w:rsid w:val="00644870"/>
    <w:rsid w:val="00644B86"/>
    <w:rsid w:val="00645087"/>
    <w:rsid w:val="0064534A"/>
    <w:rsid w:val="00645869"/>
    <w:rsid w:val="00646166"/>
    <w:rsid w:val="0064683D"/>
    <w:rsid w:val="00646AD0"/>
    <w:rsid w:val="00647317"/>
    <w:rsid w:val="00647539"/>
    <w:rsid w:val="00647A91"/>
    <w:rsid w:val="00650154"/>
    <w:rsid w:val="006502F5"/>
    <w:rsid w:val="006504BE"/>
    <w:rsid w:val="006508C5"/>
    <w:rsid w:val="00650AFF"/>
    <w:rsid w:val="00651095"/>
    <w:rsid w:val="006511B5"/>
    <w:rsid w:val="006513F2"/>
    <w:rsid w:val="006523D5"/>
    <w:rsid w:val="00652470"/>
    <w:rsid w:val="00652B04"/>
    <w:rsid w:val="00652E0D"/>
    <w:rsid w:val="006530B0"/>
    <w:rsid w:val="006530DA"/>
    <w:rsid w:val="00654B7B"/>
    <w:rsid w:val="0065539D"/>
    <w:rsid w:val="00655818"/>
    <w:rsid w:val="006558B6"/>
    <w:rsid w:val="00655DE1"/>
    <w:rsid w:val="00655E5D"/>
    <w:rsid w:val="006562E6"/>
    <w:rsid w:val="00656BFC"/>
    <w:rsid w:val="00656DFD"/>
    <w:rsid w:val="00656FD7"/>
    <w:rsid w:val="00656FD9"/>
    <w:rsid w:val="006572D9"/>
    <w:rsid w:val="006576CE"/>
    <w:rsid w:val="00657FBA"/>
    <w:rsid w:val="00661087"/>
    <w:rsid w:val="0066142F"/>
    <w:rsid w:val="00661CD8"/>
    <w:rsid w:val="00663203"/>
    <w:rsid w:val="00663220"/>
    <w:rsid w:val="0066327F"/>
    <w:rsid w:val="0066350A"/>
    <w:rsid w:val="006635F1"/>
    <w:rsid w:val="0066402C"/>
    <w:rsid w:val="0066410F"/>
    <w:rsid w:val="006641AF"/>
    <w:rsid w:val="006644DD"/>
    <w:rsid w:val="00664998"/>
    <w:rsid w:val="00664C26"/>
    <w:rsid w:val="00664C37"/>
    <w:rsid w:val="00665802"/>
    <w:rsid w:val="00665C41"/>
    <w:rsid w:val="00665CFD"/>
    <w:rsid w:val="00665DEB"/>
    <w:rsid w:val="00665E30"/>
    <w:rsid w:val="00666C39"/>
    <w:rsid w:val="00667A4B"/>
    <w:rsid w:val="006705BF"/>
    <w:rsid w:val="00670920"/>
    <w:rsid w:val="00670987"/>
    <w:rsid w:val="00670ACB"/>
    <w:rsid w:val="00671190"/>
    <w:rsid w:val="006716A2"/>
    <w:rsid w:val="0067176F"/>
    <w:rsid w:val="00671A3F"/>
    <w:rsid w:val="00671D00"/>
    <w:rsid w:val="006720F0"/>
    <w:rsid w:val="006722E8"/>
    <w:rsid w:val="00672918"/>
    <w:rsid w:val="00672A6F"/>
    <w:rsid w:val="00673030"/>
    <w:rsid w:val="0067394F"/>
    <w:rsid w:val="00673F46"/>
    <w:rsid w:val="006748B7"/>
    <w:rsid w:val="00674944"/>
    <w:rsid w:val="00674A91"/>
    <w:rsid w:val="00674F17"/>
    <w:rsid w:val="006753B7"/>
    <w:rsid w:val="006753C7"/>
    <w:rsid w:val="0067560C"/>
    <w:rsid w:val="00675964"/>
    <w:rsid w:val="00675EC1"/>
    <w:rsid w:val="00675FAE"/>
    <w:rsid w:val="00676862"/>
    <w:rsid w:val="00676ABE"/>
    <w:rsid w:val="00676B47"/>
    <w:rsid w:val="006778DF"/>
    <w:rsid w:val="00677BD3"/>
    <w:rsid w:val="006800B7"/>
    <w:rsid w:val="00680435"/>
    <w:rsid w:val="006804B0"/>
    <w:rsid w:val="006807EF"/>
    <w:rsid w:val="00680B69"/>
    <w:rsid w:val="00680B9D"/>
    <w:rsid w:val="00680C9D"/>
    <w:rsid w:val="006810DF"/>
    <w:rsid w:val="00681407"/>
    <w:rsid w:val="006818FD"/>
    <w:rsid w:val="00681DF3"/>
    <w:rsid w:val="0068211F"/>
    <w:rsid w:val="006822B4"/>
    <w:rsid w:val="006824F3"/>
    <w:rsid w:val="00682C98"/>
    <w:rsid w:val="00683A0A"/>
    <w:rsid w:val="00683BEE"/>
    <w:rsid w:val="00683C1B"/>
    <w:rsid w:val="00684689"/>
    <w:rsid w:val="006846C9"/>
    <w:rsid w:val="00684829"/>
    <w:rsid w:val="00684F7B"/>
    <w:rsid w:val="00684F89"/>
    <w:rsid w:val="00685218"/>
    <w:rsid w:val="00686142"/>
    <w:rsid w:val="00686573"/>
    <w:rsid w:val="006872CE"/>
    <w:rsid w:val="00687C63"/>
    <w:rsid w:val="00687FDD"/>
    <w:rsid w:val="0069015E"/>
    <w:rsid w:val="0069096E"/>
    <w:rsid w:val="00691709"/>
    <w:rsid w:val="00692AD5"/>
    <w:rsid w:val="00692D80"/>
    <w:rsid w:val="006931DF"/>
    <w:rsid w:val="006933AA"/>
    <w:rsid w:val="006936F8"/>
    <w:rsid w:val="0069393C"/>
    <w:rsid w:val="00693BD8"/>
    <w:rsid w:val="00693F24"/>
    <w:rsid w:val="006940BF"/>
    <w:rsid w:val="00694A83"/>
    <w:rsid w:val="00694AA9"/>
    <w:rsid w:val="00694BF3"/>
    <w:rsid w:val="00694F10"/>
    <w:rsid w:val="00694FFD"/>
    <w:rsid w:val="00695177"/>
    <w:rsid w:val="00695563"/>
    <w:rsid w:val="006956E6"/>
    <w:rsid w:val="00695FF9"/>
    <w:rsid w:val="0069626D"/>
    <w:rsid w:val="00696631"/>
    <w:rsid w:val="00696977"/>
    <w:rsid w:val="00696B9B"/>
    <w:rsid w:val="00696C44"/>
    <w:rsid w:val="00696F55"/>
    <w:rsid w:val="00697721"/>
    <w:rsid w:val="00697754"/>
    <w:rsid w:val="00697832"/>
    <w:rsid w:val="006A09DF"/>
    <w:rsid w:val="006A0B64"/>
    <w:rsid w:val="006A10BB"/>
    <w:rsid w:val="006A11CB"/>
    <w:rsid w:val="006A1915"/>
    <w:rsid w:val="006A1C6C"/>
    <w:rsid w:val="006A1DF3"/>
    <w:rsid w:val="006A1EC1"/>
    <w:rsid w:val="006A20A8"/>
    <w:rsid w:val="006A22A5"/>
    <w:rsid w:val="006A242B"/>
    <w:rsid w:val="006A260F"/>
    <w:rsid w:val="006A30F5"/>
    <w:rsid w:val="006A3C70"/>
    <w:rsid w:val="006A3FF8"/>
    <w:rsid w:val="006A50D7"/>
    <w:rsid w:val="006A538A"/>
    <w:rsid w:val="006A5597"/>
    <w:rsid w:val="006A5B14"/>
    <w:rsid w:val="006A5D49"/>
    <w:rsid w:val="006A6C81"/>
    <w:rsid w:val="006A736C"/>
    <w:rsid w:val="006A7AEC"/>
    <w:rsid w:val="006A7BB0"/>
    <w:rsid w:val="006B1255"/>
    <w:rsid w:val="006B1687"/>
    <w:rsid w:val="006B3007"/>
    <w:rsid w:val="006B346D"/>
    <w:rsid w:val="006B37D0"/>
    <w:rsid w:val="006B3B7F"/>
    <w:rsid w:val="006B4328"/>
    <w:rsid w:val="006B4612"/>
    <w:rsid w:val="006B46AE"/>
    <w:rsid w:val="006B483E"/>
    <w:rsid w:val="006B4898"/>
    <w:rsid w:val="006B4E0D"/>
    <w:rsid w:val="006B4E91"/>
    <w:rsid w:val="006B5041"/>
    <w:rsid w:val="006B52A0"/>
    <w:rsid w:val="006B5720"/>
    <w:rsid w:val="006B5C3C"/>
    <w:rsid w:val="006B6027"/>
    <w:rsid w:val="006B6119"/>
    <w:rsid w:val="006B656A"/>
    <w:rsid w:val="006B7203"/>
    <w:rsid w:val="006B72A4"/>
    <w:rsid w:val="006B73AB"/>
    <w:rsid w:val="006B773E"/>
    <w:rsid w:val="006B7F1F"/>
    <w:rsid w:val="006C069D"/>
    <w:rsid w:val="006C06BB"/>
    <w:rsid w:val="006C098D"/>
    <w:rsid w:val="006C09B1"/>
    <w:rsid w:val="006C0BB6"/>
    <w:rsid w:val="006C0D1B"/>
    <w:rsid w:val="006C1A3C"/>
    <w:rsid w:val="006C1A99"/>
    <w:rsid w:val="006C2CA0"/>
    <w:rsid w:val="006C2D85"/>
    <w:rsid w:val="006C30F8"/>
    <w:rsid w:val="006C33AA"/>
    <w:rsid w:val="006C3563"/>
    <w:rsid w:val="006C3813"/>
    <w:rsid w:val="006C3862"/>
    <w:rsid w:val="006C3B01"/>
    <w:rsid w:val="006C3D0F"/>
    <w:rsid w:val="006C3F83"/>
    <w:rsid w:val="006C4893"/>
    <w:rsid w:val="006C4D46"/>
    <w:rsid w:val="006C5312"/>
    <w:rsid w:val="006C5B90"/>
    <w:rsid w:val="006C5E76"/>
    <w:rsid w:val="006C6841"/>
    <w:rsid w:val="006C6D52"/>
    <w:rsid w:val="006C7184"/>
    <w:rsid w:val="006C7D8E"/>
    <w:rsid w:val="006D07D0"/>
    <w:rsid w:val="006D07FB"/>
    <w:rsid w:val="006D0EE7"/>
    <w:rsid w:val="006D1073"/>
    <w:rsid w:val="006D10F8"/>
    <w:rsid w:val="006D128B"/>
    <w:rsid w:val="006D14E7"/>
    <w:rsid w:val="006D150B"/>
    <w:rsid w:val="006D1641"/>
    <w:rsid w:val="006D18B7"/>
    <w:rsid w:val="006D1A62"/>
    <w:rsid w:val="006D2287"/>
    <w:rsid w:val="006D292A"/>
    <w:rsid w:val="006D29F5"/>
    <w:rsid w:val="006D3520"/>
    <w:rsid w:val="006D37BB"/>
    <w:rsid w:val="006D43AB"/>
    <w:rsid w:val="006D443F"/>
    <w:rsid w:val="006D52CB"/>
    <w:rsid w:val="006D53C6"/>
    <w:rsid w:val="006D614C"/>
    <w:rsid w:val="006D67EE"/>
    <w:rsid w:val="006D714F"/>
    <w:rsid w:val="006D71A1"/>
    <w:rsid w:val="006D7B45"/>
    <w:rsid w:val="006D7B4E"/>
    <w:rsid w:val="006D7F2D"/>
    <w:rsid w:val="006D7F93"/>
    <w:rsid w:val="006E0298"/>
    <w:rsid w:val="006E08CE"/>
    <w:rsid w:val="006E15CD"/>
    <w:rsid w:val="006E1754"/>
    <w:rsid w:val="006E1767"/>
    <w:rsid w:val="006E17E5"/>
    <w:rsid w:val="006E1BE1"/>
    <w:rsid w:val="006E1E53"/>
    <w:rsid w:val="006E25B1"/>
    <w:rsid w:val="006E263E"/>
    <w:rsid w:val="006E284A"/>
    <w:rsid w:val="006E2BA8"/>
    <w:rsid w:val="006E30B7"/>
    <w:rsid w:val="006E36A7"/>
    <w:rsid w:val="006E36FB"/>
    <w:rsid w:val="006E37ED"/>
    <w:rsid w:val="006E3923"/>
    <w:rsid w:val="006E3C10"/>
    <w:rsid w:val="006E41F3"/>
    <w:rsid w:val="006E439C"/>
    <w:rsid w:val="006E45E5"/>
    <w:rsid w:val="006E4977"/>
    <w:rsid w:val="006E49AB"/>
    <w:rsid w:val="006E4C6A"/>
    <w:rsid w:val="006E4CA6"/>
    <w:rsid w:val="006E4EDC"/>
    <w:rsid w:val="006E50AB"/>
    <w:rsid w:val="006E5AC1"/>
    <w:rsid w:val="006E5EAB"/>
    <w:rsid w:val="006E6380"/>
    <w:rsid w:val="006E66EE"/>
    <w:rsid w:val="006E6C62"/>
    <w:rsid w:val="006E72E4"/>
    <w:rsid w:val="006E738A"/>
    <w:rsid w:val="006E7578"/>
    <w:rsid w:val="006E757B"/>
    <w:rsid w:val="006E790F"/>
    <w:rsid w:val="006F0153"/>
    <w:rsid w:val="006F039F"/>
    <w:rsid w:val="006F08F4"/>
    <w:rsid w:val="006F1804"/>
    <w:rsid w:val="006F1B73"/>
    <w:rsid w:val="006F1F90"/>
    <w:rsid w:val="006F2453"/>
    <w:rsid w:val="006F25F1"/>
    <w:rsid w:val="006F2891"/>
    <w:rsid w:val="006F2E8D"/>
    <w:rsid w:val="006F31EC"/>
    <w:rsid w:val="006F3B36"/>
    <w:rsid w:val="006F3D82"/>
    <w:rsid w:val="006F3E78"/>
    <w:rsid w:val="006F454C"/>
    <w:rsid w:val="006F49D7"/>
    <w:rsid w:val="006F49D8"/>
    <w:rsid w:val="006F4ED1"/>
    <w:rsid w:val="006F57A3"/>
    <w:rsid w:val="006F5A64"/>
    <w:rsid w:val="006F5A98"/>
    <w:rsid w:val="006F5E90"/>
    <w:rsid w:val="006F6209"/>
    <w:rsid w:val="006F646B"/>
    <w:rsid w:val="006F6472"/>
    <w:rsid w:val="006F69EC"/>
    <w:rsid w:val="006F705E"/>
    <w:rsid w:val="006F7301"/>
    <w:rsid w:val="006F7597"/>
    <w:rsid w:val="006F7F39"/>
    <w:rsid w:val="00700253"/>
    <w:rsid w:val="00700997"/>
    <w:rsid w:val="00700D85"/>
    <w:rsid w:val="007010EB"/>
    <w:rsid w:val="0070139F"/>
    <w:rsid w:val="00701A21"/>
    <w:rsid w:val="00701AFE"/>
    <w:rsid w:val="00701C5B"/>
    <w:rsid w:val="0070223D"/>
    <w:rsid w:val="0070260F"/>
    <w:rsid w:val="00702B67"/>
    <w:rsid w:val="00702C36"/>
    <w:rsid w:val="00702E9A"/>
    <w:rsid w:val="00703448"/>
    <w:rsid w:val="007036D4"/>
    <w:rsid w:val="00704603"/>
    <w:rsid w:val="00704BC1"/>
    <w:rsid w:val="00704E93"/>
    <w:rsid w:val="0070535C"/>
    <w:rsid w:val="00705B67"/>
    <w:rsid w:val="00705DE6"/>
    <w:rsid w:val="00706119"/>
    <w:rsid w:val="00706623"/>
    <w:rsid w:val="00706C7B"/>
    <w:rsid w:val="007072DE"/>
    <w:rsid w:val="00707ADB"/>
    <w:rsid w:val="00707EB4"/>
    <w:rsid w:val="00710566"/>
    <w:rsid w:val="00710933"/>
    <w:rsid w:val="00710E5A"/>
    <w:rsid w:val="00710F4D"/>
    <w:rsid w:val="007112A1"/>
    <w:rsid w:val="00711521"/>
    <w:rsid w:val="00711A3A"/>
    <w:rsid w:val="00711C7A"/>
    <w:rsid w:val="00711DB8"/>
    <w:rsid w:val="00711F37"/>
    <w:rsid w:val="0071272D"/>
    <w:rsid w:val="007130FC"/>
    <w:rsid w:val="0071325D"/>
    <w:rsid w:val="007135FD"/>
    <w:rsid w:val="00713E89"/>
    <w:rsid w:val="00714590"/>
    <w:rsid w:val="007147C3"/>
    <w:rsid w:val="0071540A"/>
    <w:rsid w:val="00715EDF"/>
    <w:rsid w:val="00716AA3"/>
    <w:rsid w:val="00716FE1"/>
    <w:rsid w:val="00717676"/>
    <w:rsid w:val="007177CC"/>
    <w:rsid w:val="00717BA2"/>
    <w:rsid w:val="00717F73"/>
    <w:rsid w:val="00720143"/>
    <w:rsid w:val="00720751"/>
    <w:rsid w:val="00720BDD"/>
    <w:rsid w:val="00720CB5"/>
    <w:rsid w:val="00720E00"/>
    <w:rsid w:val="00720E47"/>
    <w:rsid w:val="007214AD"/>
    <w:rsid w:val="007219A3"/>
    <w:rsid w:val="007219A6"/>
    <w:rsid w:val="00721DE0"/>
    <w:rsid w:val="00721E46"/>
    <w:rsid w:val="00722130"/>
    <w:rsid w:val="0072247E"/>
    <w:rsid w:val="0072278A"/>
    <w:rsid w:val="00722CA2"/>
    <w:rsid w:val="00722CE1"/>
    <w:rsid w:val="00723A2C"/>
    <w:rsid w:val="0072417D"/>
    <w:rsid w:val="007241BB"/>
    <w:rsid w:val="00724A2F"/>
    <w:rsid w:val="00725001"/>
    <w:rsid w:val="00725B83"/>
    <w:rsid w:val="00725E63"/>
    <w:rsid w:val="007264D6"/>
    <w:rsid w:val="007265BB"/>
    <w:rsid w:val="007267B8"/>
    <w:rsid w:val="00726B61"/>
    <w:rsid w:val="00726C1B"/>
    <w:rsid w:val="007270C9"/>
    <w:rsid w:val="007276E6"/>
    <w:rsid w:val="00727EA6"/>
    <w:rsid w:val="0073018B"/>
    <w:rsid w:val="0073055A"/>
    <w:rsid w:val="00730FC2"/>
    <w:rsid w:val="0073104F"/>
    <w:rsid w:val="007314DA"/>
    <w:rsid w:val="0073176A"/>
    <w:rsid w:val="00731D2F"/>
    <w:rsid w:val="0073220A"/>
    <w:rsid w:val="00732F5E"/>
    <w:rsid w:val="007332CA"/>
    <w:rsid w:val="007336B7"/>
    <w:rsid w:val="00733CC2"/>
    <w:rsid w:val="00733F5A"/>
    <w:rsid w:val="00734ACE"/>
    <w:rsid w:val="00734D59"/>
    <w:rsid w:val="00734EBD"/>
    <w:rsid w:val="007352D8"/>
    <w:rsid w:val="00735CBF"/>
    <w:rsid w:val="00736281"/>
    <w:rsid w:val="0073679E"/>
    <w:rsid w:val="007367B2"/>
    <w:rsid w:val="007368C6"/>
    <w:rsid w:val="007368FB"/>
    <w:rsid w:val="00736BD8"/>
    <w:rsid w:val="00736CC4"/>
    <w:rsid w:val="0073765D"/>
    <w:rsid w:val="007379C2"/>
    <w:rsid w:val="007379C4"/>
    <w:rsid w:val="00741112"/>
    <w:rsid w:val="0074146D"/>
    <w:rsid w:val="00741887"/>
    <w:rsid w:val="007419BF"/>
    <w:rsid w:val="00742098"/>
    <w:rsid w:val="0074296C"/>
    <w:rsid w:val="00742974"/>
    <w:rsid w:val="00742CA6"/>
    <w:rsid w:val="007431DC"/>
    <w:rsid w:val="007434B9"/>
    <w:rsid w:val="00743846"/>
    <w:rsid w:val="00743966"/>
    <w:rsid w:val="00743B89"/>
    <w:rsid w:val="00744423"/>
    <w:rsid w:val="0074457E"/>
    <w:rsid w:val="00744E8D"/>
    <w:rsid w:val="00745422"/>
    <w:rsid w:val="00745A50"/>
    <w:rsid w:val="00745E97"/>
    <w:rsid w:val="007460AB"/>
    <w:rsid w:val="00746595"/>
    <w:rsid w:val="00746D08"/>
    <w:rsid w:val="00746E8E"/>
    <w:rsid w:val="0074711F"/>
    <w:rsid w:val="0074741C"/>
    <w:rsid w:val="00747531"/>
    <w:rsid w:val="00747705"/>
    <w:rsid w:val="0074799E"/>
    <w:rsid w:val="00747DBC"/>
    <w:rsid w:val="00747E05"/>
    <w:rsid w:val="00747F0C"/>
    <w:rsid w:val="00750C86"/>
    <w:rsid w:val="00750F87"/>
    <w:rsid w:val="007510CA"/>
    <w:rsid w:val="00751111"/>
    <w:rsid w:val="007511CE"/>
    <w:rsid w:val="00751E3B"/>
    <w:rsid w:val="007521A1"/>
    <w:rsid w:val="00752361"/>
    <w:rsid w:val="007525CC"/>
    <w:rsid w:val="00752702"/>
    <w:rsid w:val="0075283F"/>
    <w:rsid w:val="0075291C"/>
    <w:rsid w:val="007529CA"/>
    <w:rsid w:val="0075301F"/>
    <w:rsid w:val="0075362B"/>
    <w:rsid w:val="00753D75"/>
    <w:rsid w:val="00754354"/>
    <w:rsid w:val="00754F9B"/>
    <w:rsid w:val="007551C6"/>
    <w:rsid w:val="00755CA9"/>
    <w:rsid w:val="00756225"/>
    <w:rsid w:val="007564BD"/>
    <w:rsid w:val="00756549"/>
    <w:rsid w:val="00756560"/>
    <w:rsid w:val="0075680A"/>
    <w:rsid w:val="00756B64"/>
    <w:rsid w:val="00756CC6"/>
    <w:rsid w:val="00756F61"/>
    <w:rsid w:val="00756FDD"/>
    <w:rsid w:val="0075700F"/>
    <w:rsid w:val="007571FA"/>
    <w:rsid w:val="0075794B"/>
    <w:rsid w:val="00757CED"/>
    <w:rsid w:val="00757D41"/>
    <w:rsid w:val="007601A1"/>
    <w:rsid w:val="0076060F"/>
    <w:rsid w:val="00760761"/>
    <w:rsid w:val="007609D0"/>
    <w:rsid w:val="00760F0D"/>
    <w:rsid w:val="00761651"/>
    <w:rsid w:val="0076186C"/>
    <w:rsid w:val="00761CF1"/>
    <w:rsid w:val="00762511"/>
    <w:rsid w:val="00762842"/>
    <w:rsid w:val="00762A25"/>
    <w:rsid w:val="00762C7F"/>
    <w:rsid w:val="00762F9F"/>
    <w:rsid w:val="0076325C"/>
    <w:rsid w:val="00763AF3"/>
    <w:rsid w:val="00763D08"/>
    <w:rsid w:val="00763DCB"/>
    <w:rsid w:val="0076469B"/>
    <w:rsid w:val="00764ADF"/>
    <w:rsid w:val="00764F42"/>
    <w:rsid w:val="00765074"/>
    <w:rsid w:val="00765A63"/>
    <w:rsid w:val="00765CCC"/>
    <w:rsid w:val="00765E44"/>
    <w:rsid w:val="00766011"/>
    <w:rsid w:val="00766737"/>
    <w:rsid w:val="0076691D"/>
    <w:rsid w:val="00766DA3"/>
    <w:rsid w:val="00767507"/>
    <w:rsid w:val="00767BF9"/>
    <w:rsid w:val="007705F1"/>
    <w:rsid w:val="00770A5D"/>
    <w:rsid w:val="00770C3B"/>
    <w:rsid w:val="00770DFE"/>
    <w:rsid w:val="00770F75"/>
    <w:rsid w:val="0077130F"/>
    <w:rsid w:val="007718C0"/>
    <w:rsid w:val="00771B30"/>
    <w:rsid w:val="00771F9B"/>
    <w:rsid w:val="00772248"/>
    <w:rsid w:val="0077260A"/>
    <w:rsid w:val="00772D3F"/>
    <w:rsid w:val="00772D64"/>
    <w:rsid w:val="00772D6D"/>
    <w:rsid w:val="007742FA"/>
    <w:rsid w:val="0077490F"/>
    <w:rsid w:val="0077502F"/>
    <w:rsid w:val="0077504B"/>
    <w:rsid w:val="007751D8"/>
    <w:rsid w:val="00775228"/>
    <w:rsid w:val="00775546"/>
    <w:rsid w:val="00775620"/>
    <w:rsid w:val="00775F70"/>
    <w:rsid w:val="00776048"/>
    <w:rsid w:val="0077770F"/>
    <w:rsid w:val="00777B93"/>
    <w:rsid w:val="00777C40"/>
    <w:rsid w:val="007800DA"/>
    <w:rsid w:val="007801DD"/>
    <w:rsid w:val="00780437"/>
    <w:rsid w:val="007808B1"/>
    <w:rsid w:val="00780DBF"/>
    <w:rsid w:val="00780E46"/>
    <w:rsid w:val="00781095"/>
    <w:rsid w:val="00781CCB"/>
    <w:rsid w:val="00781FA8"/>
    <w:rsid w:val="007822BA"/>
    <w:rsid w:val="0078284E"/>
    <w:rsid w:val="00782EC7"/>
    <w:rsid w:val="0078334B"/>
    <w:rsid w:val="00783818"/>
    <w:rsid w:val="00783A40"/>
    <w:rsid w:val="0078418B"/>
    <w:rsid w:val="007846AF"/>
    <w:rsid w:val="00784C1F"/>
    <w:rsid w:val="00784C39"/>
    <w:rsid w:val="00785A21"/>
    <w:rsid w:val="00785FBD"/>
    <w:rsid w:val="00786515"/>
    <w:rsid w:val="0078660B"/>
    <w:rsid w:val="0078684F"/>
    <w:rsid w:val="00786F5E"/>
    <w:rsid w:val="007874B0"/>
    <w:rsid w:val="007876AF"/>
    <w:rsid w:val="00787AC1"/>
    <w:rsid w:val="00787F9E"/>
    <w:rsid w:val="007910A5"/>
    <w:rsid w:val="007913CB"/>
    <w:rsid w:val="00791CBB"/>
    <w:rsid w:val="00792046"/>
    <w:rsid w:val="00792302"/>
    <w:rsid w:val="007927D6"/>
    <w:rsid w:val="00792AEC"/>
    <w:rsid w:val="00792B27"/>
    <w:rsid w:val="00792FFC"/>
    <w:rsid w:val="007933F3"/>
    <w:rsid w:val="0079343F"/>
    <w:rsid w:val="00793E86"/>
    <w:rsid w:val="00794031"/>
    <w:rsid w:val="007941C7"/>
    <w:rsid w:val="0079515A"/>
    <w:rsid w:val="007953DE"/>
    <w:rsid w:val="007957A3"/>
    <w:rsid w:val="0079588F"/>
    <w:rsid w:val="00795AD0"/>
    <w:rsid w:val="00795D31"/>
    <w:rsid w:val="00795DC9"/>
    <w:rsid w:val="00795EA6"/>
    <w:rsid w:val="00796239"/>
    <w:rsid w:val="007963AE"/>
    <w:rsid w:val="00796EC4"/>
    <w:rsid w:val="00797013"/>
    <w:rsid w:val="00797150"/>
    <w:rsid w:val="0079718C"/>
    <w:rsid w:val="00797A00"/>
    <w:rsid w:val="007A08B6"/>
    <w:rsid w:val="007A0EAE"/>
    <w:rsid w:val="007A17C0"/>
    <w:rsid w:val="007A1AA8"/>
    <w:rsid w:val="007A25CB"/>
    <w:rsid w:val="007A28EA"/>
    <w:rsid w:val="007A2D0F"/>
    <w:rsid w:val="007A31A4"/>
    <w:rsid w:val="007A3529"/>
    <w:rsid w:val="007A3E11"/>
    <w:rsid w:val="007A40C2"/>
    <w:rsid w:val="007A4779"/>
    <w:rsid w:val="007A4BB4"/>
    <w:rsid w:val="007A5016"/>
    <w:rsid w:val="007A606B"/>
    <w:rsid w:val="007A66AA"/>
    <w:rsid w:val="007A6897"/>
    <w:rsid w:val="007A6B2B"/>
    <w:rsid w:val="007A6B6C"/>
    <w:rsid w:val="007A7262"/>
    <w:rsid w:val="007A7395"/>
    <w:rsid w:val="007A7AA0"/>
    <w:rsid w:val="007A7ACE"/>
    <w:rsid w:val="007A7FA7"/>
    <w:rsid w:val="007B0593"/>
    <w:rsid w:val="007B0B2F"/>
    <w:rsid w:val="007B0B46"/>
    <w:rsid w:val="007B0BF1"/>
    <w:rsid w:val="007B0EBD"/>
    <w:rsid w:val="007B14F1"/>
    <w:rsid w:val="007B1F92"/>
    <w:rsid w:val="007B1FAC"/>
    <w:rsid w:val="007B1FAD"/>
    <w:rsid w:val="007B20F2"/>
    <w:rsid w:val="007B20FF"/>
    <w:rsid w:val="007B2321"/>
    <w:rsid w:val="007B2492"/>
    <w:rsid w:val="007B2B95"/>
    <w:rsid w:val="007B2CC5"/>
    <w:rsid w:val="007B31BE"/>
    <w:rsid w:val="007B3978"/>
    <w:rsid w:val="007B516F"/>
    <w:rsid w:val="007B5B51"/>
    <w:rsid w:val="007B62BF"/>
    <w:rsid w:val="007B745D"/>
    <w:rsid w:val="007B7664"/>
    <w:rsid w:val="007B79EF"/>
    <w:rsid w:val="007B7CCC"/>
    <w:rsid w:val="007B7CE2"/>
    <w:rsid w:val="007B7F9C"/>
    <w:rsid w:val="007C00F9"/>
    <w:rsid w:val="007C0AA1"/>
    <w:rsid w:val="007C20C2"/>
    <w:rsid w:val="007C2288"/>
    <w:rsid w:val="007C2432"/>
    <w:rsid w:val="007C2A61"/>
    <w:rsid w:val="007C371C"/>
    <w:rsid w:val="007C3C43"/>
    <w:rsid w:val="007C3F58"/>
    <w:rsid w:val="007C440F"/>
    <w:rsid w:val="007C4577"/>
    <w:rsid w:val="007C4A58"/>
    <w:rsid w:val="007C541C"/>
    <w:rsid w:val="007C55E0"/>
    <w:rsid w:val="007C5635"/>
    <w:rsid w:val="007C5697"/>
    <w:rsid w:val="007C608B"/>
    <w:rsid w:val="007C60FF"/>
    <w:rsid w:val="007C6335"/>
    <w:rsid w:val="007C671A"/>
    <w:rsid w:val="007C6D8E"/>
    <w:rsid w:val="007C6E8A"/>
    <w:rsid w:val="007C6F8E"/>
    <w:rsid w:val="007C72CB"/>
    <w:rsid w:val="007C7787"/>
    <w:rsid w:val="007C785C"/>
    <w:rsid w:val="007C79A6"/>
    <w:rsid w:val="007C7B1E"/>
    <w:rsid w:val="007C7F63"/>
    <w:rsid w:val="007C7FF9"/>
    <w:rsid w:val="007D0295"/>
    <w:rsid w:val="007D053C"/>
    <w:rsid w:val="007D0EBF"/>
    <w:rsid w:val="007D0F0E"/>
    <w:rsid w:val="007D129C"/>
    <w:rsid w:val="007D1728"/>
    <w:rsid w:val="007D228F"/>
    <w:rsid w:val="007D243A"/>
    <w:rsid w:val="007D34EB"/>
    <w:rsid w:val="007D380E"/>
    <w:rsid w:val="007D3AC7"/>
    <w:rsid w:val="007D4FF3"/>
    <w:rsid w:val="007D50AD"/>
    <w:rsid w:val="007D51FF"/>
    <w:rsid w:val="007D5254"/>
    <w:rsid w:val="007D54C4"/>
    <w:rsid w:val="007D5772"/>
    <w:rsid w:val="007D6579"/>
    <w:rsid w:val="007D682F"/>
    <w:rsid w:val="007D688E"/>
    <w:rsid w:val="007D68E9"/>
    <w:rsid w:val="007D6CB3"/>
    <w:rsid w:val="007D6E20"/>
    <w:rsid w:val="007D7557"/>
    <w:rsid w:val="007D77FD"/>
    <w:rsid w:val="007D79ED"/>
    <w:rsid w:val="007D7FB6"/>
    <w:rsid w:val="007E0C40"/>
    <w:rsid w:val="007E17F4"/>
    <w:rsid w:val="007E1F10"/>
    <w:rsid w:val="007E24C5"/>
    <w:rsid w:val="007E24E0"/>
    <w:rsid w:val="007E2859"/>
    <w:rsid w:val="007E2AFC"/>
    <w:rsid w:val="007E3B19"/>
    <w:rsid w:val="007E3E65"/>
    <w:rsid w:val="007E46E8"/>
    <w:rsid w:val="007E482E"/>
    <w:rsid w:val="007E4A5B"/>
    <w:rsid w:val="007E4B91"/>
    <w:rsid w:val="007E4BDB"/>
    <w:rsid w:val="007E5796"/>
    <w:rsid w:val="007E5B71"/>
    <w:rsid w:val="007E621F"/>
    <w:rsid w:val="007E6444"/>
    <w:rsid w:val="007E676C"/>
    <w:rsid w:val="007E6A47"/>
    <w:rsid w:val="007E6FA4"/>
    <w:rsid w:val="007E7C24"/>
    <w:rsid w:val="007F0004"/>
    <w:rsid w:val="007F097E"/>
    <w:rsid w:val="007F107C"/>
    <w:rsid w:val="007F1363"/>
    <w:rsid w:val="007F1A76"/>
    <w:rsid w:val="007F275D"/>
    <w:rsid w:val="007F2A76"/>
    <w:rsid w:val="007F330E"/>
    <w:rsid w:val="007F34D4"/>
    <w:rsid w:val="007F355F"/>
    <w:rsid w:val="007F35EC"/>
    <w:rsid w:val="007F39FD"/>
    <w:rsid w:val="007F496A"/>
    <w:rsid w:val="007F49D8"/>
    <w:rsid w:val="007F5039"/>
    <w:rsid w:val="007F5CE9"/>
    <w:rsid w:val="007F67E1"/>
    <w:rsid w:val="007F6A45"/>
    <w:rsid w:val="007F6A50"/>
    <w:rsid w:val="007F6F21"/>
    <w:rsid w:val="007F7655"/>
    <w:rsid w:val="007F7ED5"/>
    <w:rsid w:val="0080033E"/>
    <w:rsid w:val="0080072A"/>
    <w:rsid w:val="008009D0"/>
    <w:rsid w:val="00800AA6"/>
    <w:rsid w:val="00800B85"/>
    <w:rsid w:val="008012A6"/>
    <w:rsid w:val="008014A8"/>
    <w:rsid w:val="00802352"/>
    <w:rsid w:val="008023E1"/>
    <w:rsid w:val="00802513"/>
    <w:rsid w:val="008029E0"/>
    <w:rsid w:val="00802AEF"/>
    <w:rsid w:val="0080335D"/>
    <w:rsid w:val="0080381C"/>
    <w:rsid w:val="00803C64"/>
    <w:rsid w:val="008044BE"/>
    <w:rsid w:val="008048D4"/>
    <w:rsid w:val="008049CB"/>
    <w:rsid w:val="008049D5"/>
    <w:rsid w:val="008049DE"/>
    <w:rsid w:val="00804B01"/>
    <w:rsid w:val="0080507A"/>
    <w:rsid w:val="00805E7E"/>
    <w:rsid w:val="0080624F"/>
    <w:rsid w:val="00806805"/>
    <w:rsid w:val="00806953"/>
    <w:rsid w:val="00806B08"/>
    <w:rsid w:val="00806B2A"/>
    <w:rsid w:val="00806B77"/>
    <w:rsid w:val="00806F70"/>
    <w:rsid w:val="0080742F"/>
    <w:rsid w:val="0080769F"/>
    <w:rsid w:val="00810012"/>
    <w:rsid w:val="00810962"/>
    <w:rsid w:val="00810E2C"/>
    <w:rsid w:val="008115A1"/>
    <w:rsid w:val="00811B37"/>
    <w:rsid w:val="00811C59"/>
    <w:rsid w:val="00812BDE"/>
    <w:rsid w:val="00812DED"/>
    <w:rsid w:val="008137A7"/>
    <w:rsid w:val="00813AEC"/>
    <w:rsid w:val="0081411A"/>
    <w:rsid w:val="00814305"/>
    <w:rsid w:val="00814D15"/>
    <w:rsid w:val="0081510C"/>
    <w:rsid w:val="008159D3"/>
    <w:rsid w:val="00815F70"/>
    <w:rsid w:val="00816013"/>
    <w:rsid w:val="008167E6"/>
    <w:rsid w:val="00816A4E"/>
    <w:rsid w:val="008173A8"/>
    <w:rsid w:val="0081747E"/>
    <w:rsid w:val="0081769E"/>
    <w:rsid w:val="00817816"/>
    <w:rsid w:val="00817870"/>
    <w:rsid w:val="00817A97"/>
    <w:rsid w:val="00817CB6"/>
    <w:rsid w:val="00817FA3"/>
    <w:rsid w:val="00820138"/>
    <w:rsid w:val="00820522"/>
    <w:rsid w:val="008208E5"/>
    <w:rsid w:val="008208F6"/>
    <w:rsid w:val="0082095E"/>
    <w:rsid w:val="008209E6"/>
    <w:rsid w:val="00821402"/>
    <w:rsid w:val="0082272F"/>
    <w:rsid w:val="00822A24"/>
    <w:rsid w:val="008233CE"/>
    <w:rsid w:val="00823635"/>
    <w:rsid w:val="008237A2"/>
    <w:rsid w:val="00824497"/>
    <w:rsid w:val="008244EB"/>
    <w:rsid w:val="00825A65"/>
    <w:rsid w:val="00825CAA"/>
    <w:rsid w:val="0082644D"/>
    <w:rsid w:val="0082662F"/>
    <w:rsid w:val="00827148"/>
    <w:rsid w:val="0082728A"/>
    <w:rsid w:val="0082745B"/>
    <w:rsid w:val="00827A5F"/>
    <w:rsid w:val="00830495"/>
    <w:rsid w:val="008305F9"/>
    <w:rsid w:val="00830FAC"/>
    <w:rsid w:val="008314FE"/>
    <w:rsid w:val="00831695"/>
    <w:rsid w:val="0083201D"/>
    <w:rsid w:val="00832403"/>
    <w:rsid w:val="00832546"/>
    <w:rsid w:val="00832F24"/>
    <w:rsid w:val="00833083"/>
    <w:rsid w:val="00833CFD"/>
    <w:rsid w:val="00833DB2"/>
    <w:rsid w:val="008343B2"/>
    <w:rsid w:val="00835D8B"/>
    <w:rsid w:val="00836130"/>
    <w:rsid w:val="00836316"/>
    <w:rsid w:val="00836474"/>
    <w:rsid w:val="0083700E"/>
    <w:rsid w:val="0083711E"/>
    <w:rsid w:val="008371B9"/>
    <w:rsid w:val="00837442"/>
    <w:rsid w:val="008374EB"/>
    <w:rsid w:val="00837549"/>
    <w:rsid w:val="00837E15"/>
    <w:rsid w:val="008400F6"/>
    <w:rsid w:val="00840315"/>
    <w:rsid w:val="00840ED6"/>
    <w:rsid w:val="00840F03"/>
    <w:rsid w:val="0084143F"/>
    <w:rsid w:val="008415D1"/>
    <w:rsid w:val="00841DD8"/>
    <w:rsid w:val="00842317"/>
    <w:rsid w:val="00842FBE"/>
    <w:rsid w:val="00844B7E"/>
    <w:rsid w:val="00844F61"/>
    <w:rsid w:val="00845035"/>
    <w:rsid w:val="00845221"/>
    <w:rsid w:val="008455D8"/>
    <w:rsid w:val="0084597C"/>
    <w:rsid w:val="008462BD"/>
    <w:rsid w:val="0084663B"/>
    <w:rsid w:val="00846B66"/>
    <w:rsid w:val="00846C07"/>
    <w:rsid w:val="00846C7F"/>
    <w:rsid w:val="008470ED"/>
    <w:rsid w:val="00847D1D"/>
    <w:rsid w:val="008500CB"/>
    <w:rsid w:val="00850154"/>
    <w:rsid w:val="00850155"/>
    <w:rsid w:val="00850A55"/>
    <w:rsid w:val="00851053"/>
    <w:rsid w:val="00851A9A"/>
    <w:rsid w:val="00852604"/>
    <w:rsid w:val="00852DC6"/>
    <w:rsid w:val="00853210"/>
    <w:rsid w:val="00854212"/>
    <w:rsid w:val="00854CFA"/>
    <w:rsid w:val="00854DE5"/>
    <w:rsid w:val="00854EBF"/>
    <w:rsid w:val="00855433"/>
    <w:rsid w:val="008558A5"/>
    <w:rsid w:val="00855AE9"/>
    <w:rsid w:val="00855C21"/>
    <w:rsid w:val="008572B6"/>
    <w:rsid w:val="008573D9"/>
    <w:rsid w:val="00860414"/>
    <w:rsid w:val="00860490"/>
    <w:rsid w:val="008606E5"/>
    <w:rsid w:val="00861575"/>
    <w:rsid w:val="008623ED"/>
    <w:rsid w:val="00862F26"/>
    <w:rsid w:val="008632DB"/>
    <w:rsid w:val="008634FC"/>
    <w:rsid w:val="008635AF"/>
    <w:rsid w:val="008636C9"/>
    <w:rsid w:val="008638F1"/>
    <w:rsid w:val="008643DE"/>
    <w:rsid w:val="00864FF9"/>
    <w:rsid w:val="00865029"/>
    <w:rsid w:val="00865532"/>
    <w:rsid w:val="00865653"/>
    <w:rsid w:val="00865735"/>
    <w:rsid w:val="0086595F"/>
    <w:rsid w:val="00865F1B"/>
    <w:rsid w:val="00865FEB"/>
    <w:rsid w:val="008667DC"/>
    <w:rsid w:val="00866A88"/>
    <w:rsid w:val="0086702A"/>
    <w:rsid w:val="0086726B"/>
    <w:rsid w:val="008673E0"/>
    <w:rsid w:val="00867D97"/>
    <w:rsid w:val="008703FE"/>
    <w:rsid w:val="008706EE"/>
    <w:rsid w:val="008708A7"/>
    <w:rsid w:val="00871000"/>
    <w:rsid w:val="0087221D"/>
    <w:rsid w:val="008724DA"/>
    <w:rsid w:val="00872AD4"/>
    <w:rsid w:val="00872E7E"/>
    <w:rsid w:val="008742DD"/>
    <w:rsid w:val="008750C2"/>
    <w:rsid w:val="00876168"/>
    <w:rsid w:val="00876451"/>
    <w:rsid w:val="00876B2A"/>
    <w:rsid w:val="00877020"/>
    <w:rsid w:val="0087761B"/>
    <w:rsid w:val="00877971"/>
    <w:rsid w:val="00877AF4"/>
    <w:rsid w:val="00877D2D"/>
    <w:rsid w:val="00877D3C"/>
    <w:rsid w:val="008800CC"/>
    <w:rsid w:val="008802D9"/>
    <w:rsid w:val="00880B87"/>
    <w:rsid w:val="008816BA"/>
    <w:rsid w:val="00881D51"/>
    <w:rsid w:val="00882301"/>
    <w:rsid w:val="008827C0"/>
    <w:rsid w:val="00883328"/>
    <w:rsid w:val="00883AD3"/>
    <w:rsid w:val="00883C32"/>
    <w:rsid w:val="00884A55"/>
    <w:rsid w:val="00884E03"/>
    <w:rsid w:val="00884E7C"/>
    <w:rsid w:val="0088559D"/>
    <w:rsid w:val="0088562B"/>
    <w:rsid w:val="008856DB"/>
    <w:rsid w:val="008857EF"/>
    <w:rsid w:val="00885818"/>
    <w:rsid w:val="00885BA3"/>
    <w:rsid w:val="00885D8F"/>
    <w:rsid w:val="008861E0"/>
    <w:rsid w:val="00886762"/>
    <w:rsid w:val="00886C36"/>
    <w:rsid w:val="00886CCF"/>
    <w:rsid w:val="00886E72"/>
    <w:rsid w:val="00886F2D"/>
    <w:rsid w:val="0088758A"/>
    <w:rsid w:val="00887B34"/>
    <w:rsid w:val="00887D59"/>
    <w:rsid w:val="008906EC"/>
    <w:rsid w:val="0089088B"/>
    <w:rsid w:val="00890F9F"/>
    <w:rsid w:val="008910B1"/>
    <w:rsid w:val="00891649"/>
    <w:rsid w:val="00891FBC"/>
    <w:rsid w:val="008922EE"/>
    <w:rsid w:val="00892561"/>
    <w:rsid w:val="00892A88"/>
    <w:rsid w:val="00893086"/>
    <w:rsid w:val="008937F2"/>
    <w:rsid w:val="008941B1"/>
    <w:rsid w:val="008941FD"/>
    <w:rsid w:val="0089472A"/>
    <w:rsid w:val="008947EA"/>
    <w:rsid w:val="00894DE7"/>
    <w:rsid w:val="00895C54"/>
    <w:rsid w:val="00895C99"/>
    <w:rsid w:val="0089606C"/>
    <w:rsid w:val="00896323"/>
    <w:rsid w:val="008963EB"/>
    <w:rsid w:val="00896590"/>
    <w:rsid w:val="0089665B"/>
    <w:rsid w:val="00896B0D"/>
    <w:rsid w:val="00896B83"/>
    <w:rsid w:val="00896C23"/>
    <w:rsid w:val="00896DC6"/>
    <w:rsid w:val="008975DD"/>
    <w:rsid w:val="008976DB"/>
    <w:rsid w:val="00897E57"/>
    <w:rsid w:val="00897F88"/>
    <w:rsid w:val="00897FEF"/>
    <w:rsid w:val="008A019A"/>
    <w:rsid w:val="008A0267"/>
    <w:rsid w:val="008A05F3"/>
    <w:rsid w:val="008A0C86"/>
    <w:rsid w:val="008A125F"/>
    <w:rsid w:val="008A12C9"/>
    <w:rsid w:val="008A209D"/>
    <w:rsid w:val="008A29D2"/>
    <w:rsid w:val="008A2AA7"/>
    <w:rsid w:val="008A33A0"/>
    <w:rsid w:val="008A3685"/>
    <w:rsid w:val="008A3710"/>
    <w:rsid w:val="008A3C73"/>
    <w:rsid w:val="008A4368"/>
    <w:rsid w:val="008A4668"/>
    <w:rsid w:val="008A4759"/>
    <w:rsid w:val="008A5BE5"/>
    <w:rsid w:val="008A5DCB"/>
    <w:rsid w:val="008A6085"/>
    <w:rsid w:val="008A60BE"/>
    <w:rsid w:val="008A6542"/>
    <w:rsid w:val="008A66C1"/>
    <w:rsid w:val="008A6DE6"/>
    <w:rsid w:val="008A756A"/>
    <w:rsid w:val="008A7A23"/>
    <w:rsid w:val="008B07EB"/>
    <w:rsid w:val="008B0EC5"/>
    <w:rsid w:val="008B1176"/>
    <w:rsid w:val="008B12E9"/>
    <w:rsid w:val="008B17C8"/>
    <w:rsid w:val="008B22B5"/>
    <w:rsid w:val="008B2400"/>
    <w:rsid w:val="008B304B"/>
    <w:rsid w:val="008B3317"/>
    <w:rsid w:val="008B3678"/>
    <w:rsid w:val="008B3A3C"/>
    <w:rsid w:val="008B453B"/>
    <w:rsid w:val="008B51D8"/>
    <w:rsid w:val="008B5674"/>
    <w:rsid w:val="008B621A"/>
    <w:rsid w:val="008B6568"/>
    <w:rsid w:val="008B6C1D"/>
    <w:rsid w:val="008B6D1A"/>
    <w:rsid w:val="008B7023"/>
    <w:rsid w:val="008B713C"/>
    <w:rsid w:val="008B7890"/>
    <w:rsid w:val="008B7C67"/>
    <w:rsid w:val="008C0784"/>
    <w:rsid w:val="008C0BF8"/>
    <w:rsid w:val="008C0DAE"/>
    <w:rsid w:val="008C1051"/>
    <w:rsid w:val="008C1B85"/>
    <w:rsid w:val="008C22D6"/>
    <w:rsid w:val="008C22E8"/>
    <w:rsid w:val="008C26CE"/>
    <w:rsid w:val="008C2827"/>
    <w:rsid w:val="008C31B1"/>
    <w:rsid w:val="008C37BB"/>
    <w:rsid w:val="008C3AC2"/>
    <w:rsid w:val="008C4217"/>
    <w:rsid w:val="008C50AB"/>
    <w:rsid w:val="008C52E6"/>
    <w:rsid w:val="008C57D7"/>
    <w:rsid w:val="008C597D"/>
    <w:rsid w:val="008C626E"/>
    <w:rsid w:val="008C6476"/>
    <w:rsid w:val="008C671C"/>
    <w:rsid w:val="008C6BD1"/>
    <w:rsid w:val="008C729D"/>
    <w:rsid w:val="008C78E2"/>
    <w:rsid w:val="008C7AA2"/>
    <w:rsid w:val="008C7DEF"/>
    <w:rsid w:val="008C7E0E"/>
    <w:rsid w:val="008D1D42"/>
    <w:rsid w:val="008D1D87"/>
    <w:rsid w:val="008D2120"/>
    <w:rsid w:val="008D219F"/>
    <w:rsid w:val="008D266F"/>
    <w:rsid w:val="008D26D7"/>
    <w:rsid w:val="008D275B"/>
    <w:rsid w:val="008D2BE3"/>
    <w:rsid w:val="008D2E4D"/>
    <w:rsid w:val="008D497C"/>
    <w:rsid w:val="008D4BE1"/>
    <w:rsid w:val="008D555A"/>
    <w:rsid w:val="008D5D70"/>
    <w:rsid w:val="008D6298"/>
    <w:rsid w:val="008D6DFA"/>
    <w:rsid w:val="008D70EE"/>
    <w:rsid w:val="008D71A2"/>
    <w:rsid w:val="008D7350"/>
    <w:rsid w:val="008E10AA"/>
    <w:rsid w:val="008E1388"/>
    <w:rsid w:val="008E1648"/>
    <w:rsid w:val="008E1704"/>
    <w:rsid w:val="008E1C76"/>
    <w:rsid w:val="008E1D39"/>
    <w:rsid w:val="008E1DAC"/>
    <w:rsid w:val="008E233E"/>
    <w:rsid w:val="008E233F"/>
    <w:rsid w:val="008E236F"/>
    <w:rsid w:val="008E23BD"/>
    <w:rsid w:val="008E26F5"/>
    <w:rsid w:val="008E28E3"/>
    <w:rsid w:val="008E2FDD"/>
    <w:rsid w:val="008E3055"/>
    <w:rsid w:val="008E3210"/>
    <w:rsid w:val="008E32E5"/>
    <w:rsid w:val="008E392A"/>
    <w:rsid w:val="008E3F13"/>
    <w:rsid w:val="008E4176"/>
    <w:rsid w:val="008E4489"/>
    <w:rsid w:val="008E454D"/>
    <w:rsid w:val="008E4FE5"/>
    <w:rsid w:val="008E5728"/>
    <w:rsid w:val="008E6291"/>
    <w:rsid w:val="008E683A"/>
    <w:rsid w:val="008E75E0"/>
    <w:rsid w:val="008E797E"/>
    <w:rsid w:val="008F0BBF"/>
    <w:rsid w:val="008F0C29"/>
    <w:rsid w:val="008F0EC9"/>
    <w:rsid w:val="008F12C2"/>
    <w:rsid w:val="008F14F2"/>
    <w:rsid w:val="008F1870"/>
    <w:rsid w:val="008F1BB4"/>
    <w:rsid w:val="008F2409"/>
    <w:rsid w:val="008F2426"/>
    <w:rsid w:val="008F2754"/>
    <w:rsid w:val="008F30A8"/>
    <w:rsid w:val="008F38BC"/>
    <w:rsid w:val="008F3988"/>
    <w:rsid w:val="008F39CB"/>
    <w:rsid w:val="008F3E0D"/>
    <w:rsid w:val="008F3F8D"/>
    <w:rsid w:val="008F4222"/>
    <w:rsid w:val="008F4406"/>
    <w:rsid w:val="008F4BC0"/>
    <w:rsid w:val="008F4EB9"/>
    <w:rsid w:val="008F4FEC"/>
    <w:rsid w:val="008F5A86"/>
    <w:rsid w:val="008F5B8C"/>
    <w:rsid w:val="008F6BA0"/>
    <w:rsid w:val="008F6CED"/>
    <w:rsid w:val="008F7027"/>
    <w:rsid w:val="008F762E"/>
    <w:rsid w:val="008F770B"/>
    <w:rsid w:val="008F7C1D"/>
    <w:rsid w:val="009007F0"/>
    <w:rsid w:val="00900CD8"/>
    <w:rsid w:val="0090102C"/>
    <w:rsid w:val="00901433"/>
    <w:rsid w:val="0090224A"/>
    <w:rsid w:val="009023F8"/>
    <w:rsid w:val="00902655"/>
    <w:rsid w:val="00903036"/>
    <w:rsid w:val="009030CD"/>
    <w:rsid w:val="00903798"/>
    <w:rsid w:val="00903CF7"/>
    <w:rsid w:val="00903DFE"/>
    <w:rsid w:val="009040F1"/>
    <w:rsid w:val="00904C10"/>
    <w:rsid w:val="00904EE1"/>
    <w:rsid w:val="00905012"/>
    <w:rsid w:val="009052E3"/>
    <w:rsid w:val="009067DE"/>
    <w:rsid w:val="009068F7"/>
    <w:rsid w:val="009075C4"/>
    <w:rsid w:val="009079DE"/>
    <w:rsid w:val="00907BA0"/>
    <w:rsid w:val="00907D0B"/>
    <w:rsid w:val="009104A4"/>
    <w:rsid w:val="00910B09"/>
    <w:rsid w:val="00911DB0"/>
    <w:rsid w:val="00912AC1"/>
    <w:rsid w:val="0091300F"/>
    <w:rsid w:val="009130C6"/>
    <w:rsid w:val="00913455"/>
    <w:rsid w:val="0091355F"/>
    <w:rsid w:val="009142DA"/>
    <w:rsid w:val="00914F85"/>
    <w:rsid w:val="009150AC"/>
    <w:rsid w:val="009158CE"/>
    <w:rsid w:val="00915B45"/>
    <w:rsid w:val="009160D0"/>
    <w:rsid w:val="00916130"/>
    <w:rsid w:val="00916337"/>
    <w:rsid w:val="00916911"/>
    <w:rsid w:val="00916B19"/>
    <w:rsid w:val="009170D0"/>
    <w:rsid w:val="00917371"/>
    <w:rsid w:val="009174F5"/>
    <w:rsid w:val="00920D3B"/>
    <w:rsid w:val="00921137"/>
    <w:rsid w:val="0092128E"/>
    <w:rsid w:val="0092133D"/>
    <w:rsid w:val="00921696"/>
    <w:rsid w:val="00921A86"/>
    <w:rsid w:val="00921DEE"/>
    <w:rsid w:val="00921F51"/>
    <w:rsid w:val="009226B3"/>
    <w:rsid w:val="00923B82"/>
    <w:rsid w:val="00923CFC"/>
    <w:rsid w:val="0092425A"/>
    <w:rsid w:val="009244E6"/>
    <w:rsid w:val="009249EA"/>
    <w:rsid w:val="00925422"/>
    <w:rsid w:val="00925711"/>
    <w:rsid w:val="00925918"/>
    <w:rsid w:val="00925C18"/>
    <w:rsid w:val="0092603B"/>
    <w:rsid w:val="009260F8"/>
    <w:rsid w:val="0092659B"/>
    <w:rsid w:val="00927BAC"/>
    <w:rsid w:val="0093032D"/>
    <w:rsid w:val="00930CB7"/>
    <w:rsid w:val="009312C6"/>
    <w:rsid w:val="009313A1"/>
    <w:rsid w:val="00931AA4"/>
    <w:rsid w:val="00931CA4"/>
    <w:rsid w:val="00931DCA"/>
    <w:rsid w:val="00931F56"/>
    <w:rsid w:val="00932649"/>
    <w:rsid w:val="0093285E"/>
    <w:rsid w:val="0093286F"/>
    <w:rsid w:val="00932CB0"/>
    <w:rsid w:val="009330F9"/>
    <w:rsid w:val="009336FA"/>
    <w:rsid w:val="00933A6F"/>
    <w:rsid w:val="00933BE3"/>
    <w:rsid w:val="009348D7"/>
    <w:rsid w:val="0093498C"/>
    <w:rsid w:val="00934E07"/>
    <w:rsid w:val="00935912"/>
    <w:rsid w:val="0093660E"/>
    <w:rsid w:val="009366BF"/>
    <w:rsid w:val="00936838"/>
    <w:rsid w:val="00936A8A"/>
    <w:rsid w:val="00937482"/>
    <w:rsid w:val="00937DEE"/>
    <w:rsid w:val="009402DA"/>
    <w:rsid w:val="009411B9"/>
    <w:rsid w:val="0094122F"/>
    <w:rsid w:val="0094129C"/>
    <w:rsid w:val="00941B71"/>
    <w:rsid w:val="00941C8B"/>
    <w:rsid w:val="0094264B"/>
    <w:rsid w:val="009427E5"/>
    <w:rsid w:val="00942C49"/>
    <w:rsid w:val="009432DD"/>
    <w:rsid w:val="009434F1"/>
    <w:rsid w:val="009439A2"/>
    <w:rsid w:val="009445BB"/>
    <w:rsid w:val="00944900"/>
    <w:rsid w:val="009449ED"/>
    <w:rsid w:val="00945418"/>
    <w:rsid w:val="009456D4"/>
    <w:rsid w:val="009461DC"/>
    <w:rsid w:val="0094686C"/>
    <w:rsid w:val="009473FE"/>
    <w:rsid w:val="00947B90"/>
    <w:rsid w:val="00947EBC"/>
    <w:rsid w:val="00947F2F"/>
    <w:rsid w:val="00950063"/>
    <w:rsid w:val="00950379"/>
    <w:rsid w:val="00950551"/>
    <w:rsid w:val="00950A77"/>
    <w:rsid w:val="00951B39"/>
    <w:rsid w:val="009520EE"/>
    <w:rsid w:val="0095292F"/>
    <w:rsid w:val="0095374C"/>
    <w:rsid w:val="0095387D"/>
    <w:rsid w:val="00953B1D"/>
    <w:rsid w:val="009544BE"/>
    <w:rsid w:val="0095469E"/>
    <w:rsid w:val="009548CA"/>
    <w:rsid w:val="0095515C"/>
    <w:rsid w:val="009551A9"/>
    <w:rsid w:val="00955C70"/>
    <w:rsid w:val="00955E7B"/>
    <w:rsid w:val="009566C7"/>
    <w:rsid w:val="00956D6E"/>
    <w:rsid w:val="00957999"/>
    <w:rsid w:val="00957AAC"/>
    <w:rsid w:val="00957E9B"/>
    <w:rsid w:val="00957FF7"/>
    <w:rsid w:val="00960165"/>
    <w:rsid w:val="0096019E"/>
    <w:rsid w:val="009603AE"/>
    <w:rsid w:val="00960F7A"/>
    <w:rsid w:val="00961E59"/>
    <w:rsid w:val="00961FCA"/>
    <w:rsid w:val="009624E0"/>
    <w:rsid w:val="0096274F"/>
    <w:rsid w:val="009627E1"/>
    <w:rsid w:val="0096283B"/>
    <w:rsid w:val="00962F22"/>
    <w:rsid w:val="0096308D"/>
    <w:rsid w:val="00963E98"/>
    <w:rsid w:val="009644DE"/>
    <w:rsid w:val="009645C6"/>
    <w:rsid w:val="009645D8"/>
    <w:rsid w:val="00964802"/>
    <w:rsid w:val="00964BFE"/>
    <w:rsid w:val="00965C63"/>
    <w:rsid w:val="00965CED"/>
    <w:rsid w:val="0096610A"/>
    <w:rsid w:val="0096644E"/>
    <w:rsid w:val="00966645"/>
    <w:rsid w:val="009668EB"/>
    <w:rsid w:val="00966F47"/>
    <w:rsid w:val="0096705E"/>
    <w:rsid w:val="0096754D"/>
    <w:rsid w:val="00970195"/>
    <w:rsid w:val="009702B3"/>
    <w:rsid w:val="009704BB"/>
    <w:rsid w:val="00970997"/>
    <w:rsid w:val="00970A2A"/>
    <w:rsid w:val="00970ADE"/>
    <w:rsid w:val="00970E76"/>
    <w:rsid w:val="00971024"/>
    <w:rsid w:val="00971A53"/>
    <w:rsid w:val="00971B5C"/>
    <w:rsid w:val="00971E4A"/>
    <w:rsid w:val="0097223A"/>
    <w:rsid w:val="00972395"/>
    <w:rsid w:val="0097268F"/>
    <w:rsid w:val="00972723"/>
    <w:rsid w:val="0097287C"/>
    <w:rsid w:val="00973164"/>
    <w:rsid w:val="0097378B"/>
    <w:rsid w:val="009745AE"/>
    <w:rsid w:val="009746ED"/>
    <w:rsid w:val="00974B1E"/>
    <w:rsid w:val="00974C73"/>
    <w:rsid w:val="00975926"/>
    <w:rsid w:val="00976376"/>
    <w:rsid w:val="009764A0"/>
    <w:rsid w:val="0097664A"/>
    <w:rsid w:val="00976669"/>
    <w:rsid w:val="0097738F"/>
    <w:rsid w:val="00977579"/>
    <w:rsid w:val="00977875"/>
    <w:rsid w:val="00977C30"/>
    <w:rsid w:val="00977D01"/>
    <w:rsid w:val="00977DEB"/>
    <w:rsid w:val="0098002B"/>
    <w:rsid w:val="00980CC9"/>
    <w:rsid w:val="00980E1A"/>
    <w:rsid w:val="00980E62"/>
    <w:rsid w:val="00981897"/>
    <w:rsid w:val="009818B5"/>
    <w:rsid w:val="00982BDE"/>
    <w:rsid w:val="00982EBB"/>
    <w:rsid w:val="00982F44"/>
    <w:rsid w:val="00983903"/>
    <w:rsid w:val="00983956"/>
    <w:rsid w:val="00983E2E"/>
    <w:rsid w:val="00984062"/>
    <w:rsid w:val="009843C9"/>
    <w:rsid w:val="0098505F"/>
    <w:rsid w:val="00985264"/>
    <w:rsid w:val="00985485"/>
    <w:rsid w:val="00985511"/>
    <w:rsid w:val="00985554"/>
    <w:rsid w:val="009857EB"/>
    <w:rsid w:val="00985F9B"/>
    <w:rsid w:val="00986192"/>
    <w:rsid w:val="00986319"/>
    <w:rsid w:val="009867A3"/>
    <w:rsid w:val="0098698A"/>
    <w:rsid w:val="00986AAA"/>
    <w:rsid w:val="0098752F"/>
    <w:rsid w:val="00987933"/>
    <w:rsid w:val="00987987"/>
    <w:rsid w:val="00987995"/>
    <w:rsid w:val="009879D2"/>
    <w:rsid w:val="00987F1A"/>
    <w:rsid w:val="00987FDE"/>
    <w:rsid w:val="00990577"/>
    <w:rsid w:val="009905BC"/>
    <w:rsid w:val="00990B19"/>
    <w:rsid w:val="00990B38"/>
    <w:rsid w:val="00990B6B"/>
    <w:rsid w:val="00990FE4"/>
    <w:rsid w:val="00991777"/>
    <w:rsid w:val="009925C9"/>
    <w:rsid w:val="009928DB"/>
    <w:rsid w:val="00992A29"/>
    <w:rsid w:val="0099375D"/>
    <w:rsid w:val="009941F6"/>
    <w:rsid w:val="009942E0"/>
    <w:rsid w:val="00994832"/>
    <w:rsid w:val="0099496D"/>
    <w:rsid w:val="00994AB3"/>
    <w:rsid w:val="009951FC"/>
    <w:rsid w:val="009956D4"/>
    <w:rsid w:val="009958CF"/>
    <w:rsid w:val="00995C7F"/>
    <w:rsid w:val="009961EC"/>
    <w:rsid w:val="0099625A"/>
    <w:rsid w:val="00996D1D"/>
    <w:rsid w:val="00996D6A"/>
    <w:rsid w:val="00996E07"/>
    <w:rsid w:val="009971AB"/>
    <w:rsid w:val="009972B9"/>
    <w:rsid w:val="00997475"/>
    <w:rsid w:val="00997DB7"/>
    <w:rsid w:val="00997F99"/>
    <w:rsid w:val="009A01B9"/>
    <w:rsid w:val="009A0233"/>
    <w:rsid w:val="009A063D"/>
    <w:rsid w:val="009A08BE"/>
    <w:rsid w:val="009A0920"/>
    <w:rsid w:val="009A0BA4"/>
    <w:rsid w:val="009A1054"/>
    <w:rsid w:val="009A17EA"/>
    <w:rsid w:val="009A1821"/>
    <w:rsid w:val="009A25F5"/>
    <w:rsid w:val="009A2ADB"/>
    <w:rsid w:val="009A2F2B"/>
    <w:rsid w:val="009A3706"/>
    <w:rsid w:val="009A3D7C"/>
    <w:rsid w:val="009A3F33"/>
    <w:rsid w:val="009A3FE1"/>
    <w:rsid w:val="009A4923"/>
    <w:rsid w:val="009A4DDF"/>
    <w:rsid w:val="009A4EC6"/>
    <w:rsid w:val="009A54AB"/>
    <w:rsid w:val="009A5917"/>
    <w:rsid w:val="009A60AD"/>
    <w:rsid w:val="009A65CE"/>
    <w:rsid w:val="009A682B"/>
    <w:rsid w:val="009A6958"/>
    <w:rsid w:val="009A6EDA"/>
    <w:rsid w:val="009A6F73"/>
    <w:rsid w:val="009A72B7"/>
    <w:rsid w:val="009A75DD"/>
    <w:rsid w:val="009A76F8"/>
    <w:rsid w:val="009A7FA3"/>
    <w:rsid w:val="009B0433"/>
    <w:rsid w:val="009B0665"/>
    <w:rsid w:val="009B0A5A"/>
    <w:rsid w:val="009B0B96"/>
    <w:rsid w:val="009B17E1"/>
    <w:rsid w:val="009B1CAB"/>
    <w:rsid w:val="009B1CCC"/>
    <w:rsid w:val="009B1E92"/>
    <w:rsid w:val="009B286D"/>
    <w:rsid w:val="009B2C2A"/>
    <w:rsid w:val="009B352A"/>
    <w:rsid w:val="009B35F1"/>
    <w:rsid w:val="009B3691"/>
    <w:rsid w:val="009B3917"/>
    <w:rsid w:val="009B3A05"/>
    <w:rsid w:val="009B46DE"/>
    <w:rsid w:val="009B49A9"/>
    <w:rsid w:val="009B5047"/>
    <w:rsid w:val="009B50C1"/>
    <w:rsid w:val="009B578F"/>
    <w:rsid w:val="009B6287"/>
    <w:rsid w:val="009B6333"/>
    <w:rsid w:val="009B793A"/>
    <w:rsid w:val="009B7B18"/>
    <w:rsid w:val="009B7BE9"/>
    <w:rsid w:val="009C024E"/>
    <w:rsid w:val="009C1004"/>
    <w:rsid w:val="009C205A"/>
    <w:rsid w:val="009C23D5"/>
    <w:rsid w:val="009C279E"/>
    <w:rsid w:val="009C3F0D"/>
    <w:rsid w:val="009C4015"/>
    <w:rsid w:val="009C4048"/>
    <w:rsid w:val="009C43FF"/>
    <w:rsid w:val="009C4AD0"/>
    <w:rsid w:val="009C5017"/>
    <w:rsid w:val="009C51B3"/>
    <w:rsid w:val="009C566D"/>
    <w:rsid w:val="009C5929"/>
    <w:rsid w:val="009C59E6"/>
    <w:rsid w:val="009C5D62"/>
    <w:rsid w:val="009C652D"/>
    <w:rsid w:val="009C67AC"/>
    <w:rsid w:val="009C6947"/>
    <w:rsid w:val="009C6C69"/>
    <w:rsid w:val="009C6F54"/>
    <w:rsid w:val="009C7B74"/>
    <w:rsid w:val="009C7DB9"/>
    <w:rsid w:val="009C7E15"/>
    <w:rsid w:val="009D0308"/>
    <w:rsid w:val="009D03C3"/>
    <w:rsid w:val="009D0414"/>
    <w:rsid w:val="009D079B"/>
    <w:rsid w:val="009D0A37"/>
    <w:rsid w:val="009D0C9C"/>
    <w:rsid w:val="009D0D14"/>
    <w:rsid w:val="009D10B0"/>
    <w:rsid w:val="009D2493"/>
    <w:rsid w:val="009D338F"/>
    <w:rsid w:val="009D33E7"/>
    <w:rsid w:val="009D44D1"/>
    <w:rsid w:val="009D4DD5"/>
    <w:rsid w:val="009D506C"/>
    <w:rsid w:val="009D69BE"/>
    <w:rsid w:val="009D6FA9"/>
    <w:rsid w:val="009E0024"/>
    <w:rsid w:val="009E037D"/>
    <w:rsid w:val="009E050C"/>
    <w:rsid w:val="009E1C60"/>
    <w:rsid w:val="009E2590"/>
    <w:rsid w:val="009E2D94"/>
    <w:rsid w:val="009E31DC"/>
    <w:rsid w:val="009E364A"/>
    <w:rsid w:val="009E3745"/>
    <w:rsid w:val="009E4360"/>
    <w:rsid w:val="009E493F"/>
    <w:rsid w:val="009E5184"/>
    <w:rsid w:val="009E547B"/>
    <w:rsid w:val="009E5F69"/>
    <w:rsid w:val="009E6070"/>
    <w:rsid w:val="009E6A4B"/>
    <w:rsid w:val="009E6D16"/>
    <w:rsid w:val="009E71E1"/>
    <w:rsid w:val="009F02B3"/>
    <w:rsid w:val="009F03DF"/>
    <w:rsid w:val="009F0967"/>
    <w:rsid w:val="009F0A2E"/>
    <w:rsid w:val="009F0BD2"/>
    <w:rsid w:val="009F1176"/>
    <w:rsid w:val="009F15CC"/>
    <w:rsid w:val="009F1DBB"/>
    <w:rsid w:val="009F2EB3"/>
    <w:rsid w:val="009F2FDF"/>
    <w:rsid w:val="009F3440"/>
    <w:rsid w:val="009F3474"/>
    <w:rsid w:val="009F4BBA"/>
    <w:rsid w:val="009F4D49"/>
    <w:rsid w:val="009F4D6C"/>
    <w:rsid w:val="009F4D71"/>
    <w:rsid w:val="009F6027"/>
    <w:rsid w:val="009F6B6B"/>
    <w:rsid w:val="009F6EBE"/>
    <w:rsid w:val="00A0011C"/>
    <w:rsid w:val="00A0083D"/>
    <w:rsid w:val="00A00988"/>
    <w:rsid w:val="00A00E35"/>
    <w:rsid w:val="00A01528"/>
    <w:rsid w:val="00A017B0"/>
    <w:rsid w:val="00A01BBC"/>
    <w:rsid w:val="00A01C31"/>
    <w:rsid w:val="00A01F61"/>
    <w:rsid w:val="00A021F7"/>
    <w:rsid w:val="00A0243C"/>
    <w:rsid w:val="00A0248E"/>
    <w:rsid w:val="00A0269F"/>
    <w:rsid w:val="00A02837"/>
    <w:rsid w:val="00A049DB"/>
    <w:rsid w:val="00A04B65"/>
    <w:rsid w:val="00A04FAB"/>
    <w:rsid w:val="00A0503F"/>
    <w:rsid w:val="00A05089"/>
    <w:rsid w:val="00A05141"/>
    <w:rsid w:val="00A0542F"/>
    <w:rsid w:val="00A055B2"/>
    <w:rsid w:val="00A05E90"/>
    <w:rsid w:val="00A0631C"/>
    <w:rsid w:val="00A0635C"/>
    <w:rsid w:val="00A0637F"/>
    <w:rsid w:val="00A06509"/>
    <w:rsid w:val="00A06848"/>
    <w:rsid w:val="00A068CE"/>
    <w:rsid w:val="00A069B4"/>
    <w:rsid w:val="00A06BB8"/>
    <w:rsid w:val="00A07221"/>
    <w:rsid w:val="00A07A4E"/>
    <w:rsid w:val="00A07D41"/>
    <w:rsid w:val="00A07FBD"/>
    <w:rsid w:val="00A1040F"/>
    <w:rsid w:val="00A104AC"/>
    <w:rsid w:val="00A10AE0"/>
    <w:rsid w:val="00A114E3"/>
    <w:rsid w:val="00A114F1"/>
    <w:rsid w:val="00A11B60"/>
    <w:rsid w:val="00A11D0D"/>
    <w:rsid w:val="00A124EC"/>
    <w:rsid w:val="00A12694"/>
    <w:rsid w:val="00A128B0"/>
    <w:rsid w:val="00A12B60"/>
    <w:rsid w:val="00A12ED5"/>
    <w:rsid w:val="00A13083"/>
    <w:rsid w:val="00A136F6"/>
    <w:rsid w:val="00A13A77"/>
    <w:rsid w:val="00A13F04"/>
    <w:rsid w:val="00A14E6F"/>
    <w:rsid w:val="00A14F11"/>
    <w:rsid w:val="00A15543"/>
    <w:rsid w:val="00A15FE5"/>
    <w:rsid w:val="00A163C5"/>
    <w:rsid w:val="00A16A5F"/>
    <w:rsid w:val="00A16C3E"/>
    <w:rsid w:val="00A17558"/>
    <w:rsid w:val="00A2000D"/>
    <w:rsid w:val="00A20926"/>
    <w:rsid w:val="00A21C0B"/>
    <w:rsid w:val="00A21CDB"/>
    <w:rsid w:val="00A21D9F"/>
    <w:rsid w:val="00A223A5"/>
    <w:rsid w:val="00A230C4"/>
    <w:rsid w:val="00A231CC"/>
    <w:rsid w:val="00A23698"/>
    <w:rsid w:val="00A238ED"/>
    <w:rsid w:val="00A23E5B"/>
    <w:rsid w:val="00A244EE"/>
    <w:rsid w:val="00A24799"/>
    <w:rsid w:val="00A252B8"/>
    <w:rsid w:val="00A25C70"/>
    <w:rsid w:val="00A26556"/>
    <w:rsid w:val="00A273BD"/>
    <w:rsid w:val="00A275FA"/>
    <w:rsid w:val="00A30415"/>
    <w:rsid w:val="00A30FAE"/>
    <w:rsid w:val="00A31748"/>
    <w:rsid w:val="00A3206C"/>
    <w:rsid w:val="00A3257A"/>
    <w:rsid w:val="00A328B9"/>
    <w:rsid w:val="00A328CA"/>
    <w:rsid w:val="00A32AD3"/>
    <w:rsid w:val="00A32C54"/>
    <w:rsid w:val="00A32D66"/>
    <w:rsid w:val="00A32F32"/>
    <w:rsid w:val="00A33102"/>
    <w:rsid w:val="00A33D95"/>
    <w:rsid w:val="00A34013"/>
    <w:rsid w:val="00A34072"/>
    <w:rsid w:val="00A340AF"/>
    <w:rsid w:val="00A340EB"/>
    <w:rsid w:val="00A34B8F"/>
    <w:rsid w:val="00A35133"/>
    <w:rsid w:val="00A3528E"/>
    <w:rsid w:val="00A353B0"/>
    <w:rsid w:val="00A354DA"/>
    <w:rsid w:val="00A35738"/>
    <w:rsid w:val="00A3575C"/>
    <w:rsid w:val="00A35824"/>
    <w:rsid w:val="00A366AA"/>
    <w:rsid w:val="00A37078"/>
    <w:rsid w:val="00A37375"/>
    <w:rsid w:val="00A37B2B"/>
    <w:rsid w:val="00A37EC2"/>
    <w:rsid w:val="00A40098"/>
    <w:rsid w:val="00A4012C"/>
    <w:rsid w:val="00A422C0"/>
    <w:rsid w:val="00A42716"/>
    <w:rsid w:val="00A42A30"/>
    <w:rsid w:val="00A42CEC"/>
    <w:rsid w:val="00A42E1E"/>
    <w:rsid w:val="00A44042"/>
    <w:rsid w:val="00A4416D"/>
    <w:rsid w:val="00A4448F"/>
    <w:rsid w:val="00A4455F"/>
    <w:rsid w:val="00A44841"/>
    <w:rsid w:val="00A44F21"/>
    <w:rsid w:val="00A45399"/>
    <w:rsid w:val="00A4565F"/>
    <w:rsid w:val="00A458F5"/>
    <w:rsid w:val="00A45C55"/>
    <w:rsid w:val="00A45FB0"/>
    <w:rsid w:val="00A4632A"/>
    <w:rsid w:val="00A46611"/>
    <w:rsid w:val="00A46810"/>
    <w:rsid w:val="00A46E8F"/>
    <w:rsid w:val="00A4714A"/>
    <w:rsid w:val="00A474A1"/>
    <w:rsid w:val="00A50081"/>
    <w:rsid w:val="00A503A0"/>
    <w:rsid w:val="00A503F7"/>
    <w:rsid w:val="00A50CD3"/>
    <w:rsid w:val="00A5201D"/>
    <w:rsid w:val="00A52525"/>
    <w:rsid w:val="00A525B8"/>
    <w:rsid w:val="00A5293B"/>
    <w:rsid w:val="00A52AC5"/>
    <w:rsid w:val="00A52C3C"/>
    <w:rsid w:val="00A5386D"/>
    <w:rsid w:val="00A5391C"/>
    <w:rsid w:val="00A54237"/>
    <w:rsid w:val="00A543B5"/>
    <w:rsid w:val="00A543D9"/>
    <w:rsid w:val="00A54912"/>
    <w:rsid w:val="00A5582F"/>
    <w:rsid w:val="00A558EA"/>
    <w:rsid w:val="00A559B9"/>
    <w:rsid w:val="00A55A71"/>
    <w:rsid w:val="00A55BE8"/>
    <w:rsid w:val="00A55C79"/>
    <w:rsid w:val="00A560AF"/>
    <w:rsid w:val="00A5696A"/>
    <w:rsid w:val="00A56C25"/>
    <w:rsid w:val="00A57157"/>
    <w:rsid w:val="00A573BA"/>
    <w:rsid w:val="00A57B80"/>
    <w:rsid w:val="00A57D8E"/>
    <w:rsid w:val="00A60244"/>
    <w:rsid w:val="00A60CD0"/>
    <w:rsid w:val="00A60EED"/>
    <w:rsid w:val="00A610C5"/>
    <w:rsid w:val="00A61885"/>
    <w:rsid w:val="00A62724"/>
    <w:rsid w:val="00A62BA8"/>
    <w:rsid w:val="00A62CEB"/>
    <w:rsid w:val="00A63CDA"/>
    <w:rsid w:val="00A63EB2"/>
    <w:rsid w:val="00A641E3"/>
    <w:rsid w:val="00A64E3A"/>
    <w:rsid w:val="00A6515A"/>
    <w:rsid w:val="00A652E5"/>
    <w:rsid w:val="00A658AD"/>
    <w:rsid w:val="00A659EF"/>
    <w:rsid w:val="00A65DB0"/>
    <w:rsid w:val="00A66483"/>
    <w:rsid w:val="00A66721"/>
    <w:rsid w:val="00A67E1F"/>
    <w:rsid w:val="00A7043A"/>
    <w:rsid w:val="00A70CAB"/>
    <w:rsid w:val="00A710F5"/>
    <w:rsid w:val="00A71199"/>
    <w:rsid w:val="00A714B2"/>
    <w:rsid w:val="00A718AC"/>
    <w:rsid w:val="00A71C01"/>
    <w:rsid w:val="00A72324"/>
    <w:rsid w:val="00A7254A"/>
    <w:rsid w:val="00A726ED"/>
    <w:rsid w:val="00A738B1"/>
    <w:rsid w:val="00A7435B"/>
    <w:rsid w:val="00A749FD"/>
    <w:rsid w:val="00A74B13"/>
    <w:rsid w:val="00A74B5C"/>
    <w:rsid w:val="00A74EB0"/>
    <w:rsid w:val="00A755AD"/>
    <w:rsid w:val="00A76292"/>
    <w:rsid w:val="00A7666B"/>
    <w:rsid w:val="00A766F2"/>
    <w:rsid w:val="00A76BAD"/>
    <w:rsid w:val="00A770BB"/>
    <w:rsid w:val="00A778D7"/>
    <w:rsid w:val="00A801C4"/>
    <w:rsid w:val="00A80710"/>
    <w:rsid w:val="00A809C0"/>
    <w:rsid w:val="00A80F86"/>
    <w:rsid w:val="00A812E7"/>
    <w:rsid w:val="00A82378"/>
    <w:rsid w:val="00A825EE"/>
    <w:rsid w:val="00A829FF"/>
    <w:rsid w:val="00A83C4D"/>
    <w:rsid w:val="00A83F31"/>
    <w:rsid w:val="00A8422D"/>
    <w:rsid w:val="00A84644"/>
    <w:rsid w:val="00A846BB"/>
    <w:rsid w:val="00A84B77"/>
    <w:rsid w:val="00A84BAF"/>
    <w:rsid w:val="00A84EC9"/>
    <w:rsid w:val="00A854BF"/>
    <w:rsid w:val="00A85935"/>
    <w:rsid w:val="00A859CD"/>
    <w:rsid w:val="00A85BB2"/>
    <w:rsid w:val="00A85D67"/>
    <w:rsid w:val="00A866BC"/>
    <w:rsid w:val="00A8739B"/>
    <w:rsid w:val="00A87B27"/>
    <w:rsid w:val="00A87B69"/>
    <w:rsid w:val="00A87C73"/>
    <w:rsid w:val="00A87FFA"/>
    <w:rsid w:val="00A90249"/>
    <w:rsid w:val="00A90409"/>
    <w:rsid w:val="00A9045D"/>
    <w:rsid w:val="00A904AD"/>
    <w:rsid w:val="00A90972"/>
    <w:rsid w:val="00A90F1E"/>
    <w:rsid w:val="00A90FE2"/>
    <w:rsid w:val="00A91038"/>
    <w:rsid w:val="00A91BAD"/>
    <w:rsid w:val="00A91D2D"/>
    <w:rsid w:val="00A9290F"/>
    <w:rsid w:val="00A92D1D"/>
    <w:rsid w:val="00A9310F"/>
    <w:rsid w:val="00A93B61"/>
    <w:rsid w:val="00A93F15"/>
    <w:rsid w:val="00A941EF"/>
    <w:rsid w:val="00A94905"/>
    <w:rsid w:val="00A9492E"/>
    <w:rsid w:val="00A94D93"/>
    <w:rsid w:val="00A94E7A"/>
    <w:rsid w:val="00A94EBE"/>
    <w:rsid w:val="00A9537C"/>
    <w:rsid w:val="00A95A66"/>
    <w:rsid w:val="00A95BA1"/>
    <w:rsid w:val="00A95E4B"/>
    <w:rsid w:val="00A9616C"/>
    <w:rsid w:val="00A96508"/>
    <w:rsid w:val="00A96DF1"/>
    <w:rsid w:val="00A9748A"/>
    <w:rsid w:val="00A977AC"/>
    <w:rsid w:val="00AA0AF7"/>
    <w:rsid w:val="00AA0FBC"/>
    <w:rsid w:val="00AA1174"/>
    <w:rsid w:val="00AA124B"/>
    <w:rsid w:val="00AA17F8"/>
    <w:rsid w:val="00AA1D3E"/>
    <w:rsid w:val="00AA1F6B"/>
    <w:rsid w:val="00AA262C"/>
    <w:rsid w:val="00AA2D5A"/>
    <w:rsid w:val="00AA31C5"/>
    <w:rsid w:val="00AA397B"/>
    <w:rsid w:val="00AA39C8"/>
    <w:rsid w:val="00AA51B8"/>
    <w:rsid w:val="00AA58B8"/>
    <w:rsid w:val="00AA5D08"/>
    <w:rsid w:val="00AA6922"/>
    <w:rsid w:val="00AA78B5"/>
    <w:rsid w:val="00AB05BD"/>
    <w:rsid w:val="00AB0724"/>
    <w:rsid w:val="00AB19C8"/>
    <w:rsid w:val="00AB1B6F"/>
    <w:rsid w:val="00AB22E6"/>
    <w:rsid w:val="00AB23D7"/>
    <w:rsid w:val="00AB2843"/>
    <w:rsid w:val="00AB351B"/>
    <w:rsid w:val="00AB37B5"/>
    <w:rsid w:val="00AB39DA"/>
    <w:rsid w:val="00AB3AF5"/>
    <w:rsid w:val="00AB41D3"/>
    <w:rsid w:val="00AB467E"/>
    <w:rsid w:val="00AB4B6C"/>
    <w:rsid w:val="00AB50D0"/>
    <w:rsid w:val="00AB536C"/>
    <w:rsid w:val="00AB5D62"/>
    <w:rsid w:val="00AB5E5D"/>
    <w:rsid w:val="00AB6A3B"/>
    <w:rsid w:val="00AB6E33"/>
    <w:rsid w:val="00AB7587"/>
    <w:rsid w:val="00AC14A0"/>
    <w:rsid w:val="00AC1508"/>
    <w:rsid w:val="00AC165D"/>
    <w:rsid w:val="00AC2089"/>
    <w:rsid w:val="00AC23A8"/>
    <w:rsid w:val="00AC2440"/>
    <w:rsid w:val="00AC25F2"/>
    <w:rsid w:val="00AC2D98"/>
    <w:rsid w:val="00AC2DFC"/>
    <w:rsid w:val="00AC3009"/>
    <w:rsid w:val="00AC3035"/>
    <w:rsid w:val="00AC3401"/>
    <w:rsid w:val="00AC36A0"/>
    <w:rsid w:val="00AC3E40"/>
    <w:rsid w:val="00AC45DA"/>
    <w:rsid w:val="00AC53B7"/>
    <w:rsid w:val="00AC5CE9"/>
    <w:rsid w:val="00AC5D93"/>
    <w:rsid w:val="00AC61A2"/>
    <w:rsid w:val="00AC61AD"/>
    <w:rsid w:val="00AC6554"/>
    <w:rsid w:val="00AC65C3"/>
    <w:rsid w:val="00AC6BAB"/>
    <w:rsid w:val="00AC7190"/>
    <w:rsid w:val="00AC76A0"/>
    <w:rsid w:val="00AC784C"/>
    <w:rsid w:val="00AC7BB3"/>
    <w:rsid w:val="00AC7D5B"/>
    <w:rsid w:val="00AD0800"/>
    <w:rsid w:val="00AD12F8"/>
    <w:rsid w:val="00AD1BF6"/>
    <w:rsid w:val="00AD269E"/>
    <w:rsid w:val="00AD2DB6"/>
    <w:rsid w:val="00AD35EE"/>
    <w:rsid w:val="00AD384C"/>
    <w:rsid w:val="00AD4ACB"/>
    <w:rsid w:val="00AD5329"/>
    <w:rsid w:val="00AD632C"/>
    <w:rsid w:val="00AD632F"/>
    <w:rsid w:val="00AD6477"/>
    <w:rsid w:val="00AD6B94"/>
    <w:rsid w:val="00AD6D99"/>
    <w:rsid w:val="00AD6F66"/>
    <w:rsid w:val="00AD7438"/>
    <w:rsid w:val="00AE004A"/>
    <w:rsid w:val="00AE086E"/>
    <w:rsid w:val="00AE18FB"/>
    <w:rsid w:val="00AE1D6D"/>
    <w:rsid w:val="00AE1F65"/>
    <w:rsid w:val="00AE2812"/>
    <w:rsid w:val="00AE2DE0"/>
    <w:rsid w:val="00AE329C"/>
    <w:rsid w:val="00AE3E59"/>
    <w:rsid w:val="00AE3F8C"/>
    <w:rsid w:val="00AE46BC"/>
    <w:rsid w:val="00AE4838"/>
    <w:rsid w:val="00AE5179"/>
    <w:rsid w:val="00AE5CD8"/>
    <w:rsid w:val="00AE6F6A"/>
    <w:rsid w:val="00AE73B8"/>
    <w:rsid w:val="00AE73D2"/>
    <w:rsid w:val="00AE7455"/>
    <w:rsid w:val="00AE7CA1"/>
    <w:rsid w:val="00AF027A"/>
    <w:rsid w:val="00AF09AD"/>
    <w:rsid w:val="00AF0EAA"/>
    <w:rsid w:val="00AF1113"/>
    <w:rsid w:val="00AF1303"/>
    <w:rsid w:val="00AF1733"/>
    <w:rsid w:val="00AF190F"/>
    <w:rsid w:val="00AF26FA"/>
    <w:rsid w:val="00AF2927"/>
    <w:rsid w:val="00AF2C5B"/>
    <w:rsid w:val="00AF316C"/>
    <w:rsid w:val="00AF3BE2"/>
    <w:rsid w:val="00AF41DA"/>
    <w:rsid w:val="00AF47BC"/>
    <w:rsid w:val="00AF4D8D"/>
    <w:rsid w:val="00AF51DE"/>
    <w:rsid w:val="00AF52A9"/>
    <w:rsid w:val="00AF5599"/>
    <w:rsid w:val="00AF59AE"/>
    <w:rsid w:val="00AF5C3B"/>
    <w:rsid w:val="00AF625A"/>
    <w:rsid w:val="00AF6BE0"/>
    <w:rsid w:val="00B00AD6"/>
    <w:rsid w:val="00B019F6"/>
    <w:rsid w:val="00B01C4B"/>
    <w:rsid w:val="00B01CE3"/>
    <w:rsid w:val="00B020A8"/>
    <w:rsid w:val="00B02525"/>
    <w:rsid w:val="00B02F24"/>
    <w:rsid w:val="00B02FD2"/>
    <w:rsid w:val="00B0303C"/>
    <w:rsid w:val="00B030E2"/>
    <w:rsid w:val="00B032A5"/>
    <w:rsid w:val="00B03341"/>
    <w:rsid w:val="00B03C17"/>
    <w:rsid w:val="00B03F8F"/>
    <w:rsid w:val="00B03FAC"/>
    <w:rsid w:val="00B046D0"/>
    <w:rsid w:val="00B047DC"/>
    <w:rsid w:val="00B04ABA"/>
    <w:rsid w:val="00B04B6B"/>
    <w:rsid w:val="00B04BAF"/>
    <w:rsid w:val="00B04F1E"/>
    <w:rsid w:val="00B0506C"/>
    <w:rsid w:val="00B056FD"/>
    <w:rsid w:val="00B05994"/>
    <w:rsid w:val="00B0618D"/>
    <w:rsid w:val="00B062F6"/>
    <w:rsid w:val="00B0652F"/>
    <w:rsid w:val="00B067F5"/>
    <w:rsid w:val="00B06BFE"/>
    <w:rsid w:val="00B07556"/>
    <w:rsid w:val="00B076BD"/>
    <w:rsid w:val="00B104B0"/>
    <w:rsid w:val="00B106EB"/>
    <w:rsid w:val="00B10B2B"/>
    <w:rsid w:val="00B10B32"/>
    <w:rsid w:val="00B11221"/>
    <w:rsid w:val="00B12688"/>
    <w:rsid w:val="00B1277A"/>
    <w:rsid w:val="00B12B7F"/>
    <w:rsid w:val="00B12C4F"/>
    <w:rsid w:val="00B12E57"/>
    <w:rsid w:val="00B12F70"/>
    <w:rsid w:val="00B13970"/>
    <w:rsid w:val="00B1399D"/>
    <w:rsid w:val="00B13CA3"/>
    <w:rsid w:val="00B13DCC"/>
    <w:rsid w:val="00B14402"/>
    <w:rsid w:val="00B14FFB"/>
    <w:rsid w:val="00B15C30"/>
    <w:rsid w:val="00B16A34"/>
    <w:rsid w:val="00B16AAD"/>
    <w:rsid w:val="00B172AE"/>
    <w:rsid w:val="00B1736C"/>
    <w:rsid w:val="00B1778B"/>
    <w:rsid w:val="00B178F1"/>
    <w:rsid w:val="00B17BD2"/>
    <w:rsid w:val="00B20536"/>
    <w:rsid w:val="00B20A46"/>
    <w:rsid w:val="00B20A6E"/>
    <w:rsid w:val="00B218FC"/>
    <w:rsid w:val="00B21976"/>
    <w:rsid w:val="00B221E0"/>
    <w:rsid w:val="00B22473"/>
    <w:rsid w:val="00B22EBE"/>
    <w:rsid w:val="00B23062"/>
    <w:rsid w:val="00B238F8"/>
    <w:rsid w:val="00B23A13"/>
    <w:rsid w:val="00B23C87"/>
    <w:rsid w:val="00B23EB4"/>
    <w:rsid w:val="00B241D3"/>
    <w:rsid w:val="00B24F7B"/>
    <w:rsid w:val="00B254DE"/>
    <w:rsid w:val="00B2578A"/>
    <w:rsid w:val="00B25813"/>
    <w:rsid w:val="00B25E96"/>
    <w:rsid w:val="00B265CF"/>
    <w:rsid w:val="00B272C7"/>
    <w:rsid w:val="00B27711"/>
    <w:rsid w:val="00B30327"/>
    <w:rsid w:val="00B304BA"/>
    <w:rsid w:val="00B31932"/>
    <w:rsid w:val="00B31DAC"/>
    <w:rsid w:val="00B325BE"/>
    <w:rsid w:val="00B32E33"/>
    <w:rsid w:val="00B33018"/>
    <w:rsid w:val="00B33D2E"/>
    <w:rsid w:val="00B34257"/>
    <w:rsid w:val="00B34925"/>
    <w:rsid w:val="00B34A76"/>
    <w:rsid w:val="00B34ADB"/>
    <w:rsid w:val="00B34B9B"/>
    <w:rsid w:val="00B34BA7"/>
    <w:rsid w:val="00B3544D"/>
    <w:rsid w:val="00B35A03"/>
    <w:rsid w:val="00B360F8"/>
    <w:rsid w:val="00B3677E"/>
    <w:rsid w:val="00B3680A"/>
    <w:rsid w:val="00B3683C"/>
    <w:rsid w:val="00B371B9"/>
    <w:rsid w:val="00B37B56"/>
    <w:rsid w:val="00B400F8"/>
    <w:rsid w:val="00B4024C"/>
    <w:rsid w:val="00B40E65"/>
    <w:rsid w:val="00B414A9"/>
    <w:rsid w:val="00B41C17"/>
    <w:rsid w:val="00B41D60"/>
    <w:rsid w:val="00B42461"/>
    <w:rsid w:val="00B42585"/>
    <w:rsid w:val="00B431C7"/>
    <w:rsid w:val="00B4343C"/>
    <w:rsid w:val="00B4355D"/>
    <w:rsid w:val="00B44181"/>
    <w:rsid w:val="00B44B6A"/>
    <w:rsid w:val="00B44DF0"/>
    <w:rsid w:val="00B461F3"/>
    <w:rsid w:val="00B46331"/>
    <w:rsid w:val="00B47005"/>
    <w:rsid w:val="00B4714D"/>
    <w:rsid w:val="00B47475"/>
    <w:rsid w:val="00B47A93"/>
    <w:rsid w:val="00B47D65"/>
    <w:rsid w:val="00B5024A"/>
    <w:rsid w:val="00B50397"/>
    <w:rsid w:val="00B50762"/>
    <w:rsid w:val="00B50FA7"/>
    <w:rsid w:val="00B510B0"/>
    <w:rsid w:val="00B517CC"/>
    <w:rsid w:val="00B51DAE"/>
    <w:rsid w:val="00B52561"/>
    <w:rsid w:val="00B5290D"/>
    <w:rsid w:val="00B52F8A"/>
    <w:rsid w:val="00B530FD"/>
    <w:rsid w:val="00B5330C"/>
    <w:rsid w:val="00B53423"/>
    <w:rsid w:val="00B535F3"/>
    <w:rsid w:val="00B53927"/>
    <w:rsid w:val="00B539C5"/>
    <w:rsid w:val="00B55096"/>
    <w:rsid w:val="00B55108"/>
    <w:rsid w:val="00B55C77"/>
    <w:rsid w:val="00B560A8"/>
    <w:rsid w:val="00B5643A"/>
    <w:rsid w:val="00B56515"/>
    <w:rsid w:val="00B5714C"/>
    <w:rsid w:val="00B5759C"/>
    <w:rsid w:val="00B60309"/>
    <w:rsid w:val="00B606AA"/>
    <w:rsid w:val="00B616B9"/>
    <w:rsid w:val="00B618F6"/>
    <w:rsid w:val="00B61DC7"/>
    <w:rsid w:val="00B62106"/>
    <w:rsid w:val="00B62177"/>
    <w:rsid w:val="00B624E6"/>
    <w:rsid w:val="00B6323C"/>
    <w:rsid w:val="00B636A2"/>
    <w:rsid w:val="00B636FD"/>
    <w:rsid w:val="00B639DE"/>
    <w:rsid w:val="00B63DB3"/>
    <w:rsid w:val="00B641ED"/>
    <w:rsid w:val="00B64370"/>
    <w:rsid w:val="00B6497C"/>
    <w:rsid w:val="00B64BD1"/>
    <w:rsid w:val="00B65517"/>
    <w:rsid w:val="00B65D15"/>
    <w:rsid w:val="00B65E18"/>
    <w:rsid w:val="00B6641D"/>
    <w:rsid w:val="00B6685A"/>
    <w:rsid w:val="00B66B54"/>
    <w:rsid w:val="00B66F0C"/>
    <w:rsid w:val="00B678B1"/>
    <w:rsid w:val="00B71039"/>
    <w:rsid w:val="00B71860"/>
    <w:rsid w:val="00B71892"/>
    <w:rsid w:val="00B71936"/>
    <w:rsid w:val="00B71B2B"/>
    <w:rsid w:val="00B722A4"/>
    <w:rsid w:val="00B7270E"/>
    <w:rsid w:val="00B73933"/>
    <w:rsid w:val="00B73C86"/>
    <w:rsid w:val="00B73EB7"/>
    <w:rsid w:val="00B75B5D"/>
    <w:rsid w:val="00B75C1C"/>
    <w:rsid w:val="00B75FBB"/>
    <w:rsid w:val="00B761B3"/>
    <w:rsid w:val="00B763D7"/>
    <w:rsid w:val="00B76CFD"/>
    <w:rsid w:val="00B7753A"/>
    <w:rsid w:val="00B77904"/>
    <w:rsid w:val="00B77F88"/>
    <w:rsid w:val="00B80144"/>
    <w:rsid w:val="00B805DF"/>
    <w:rsid w:val="00B80705"/>
    <w:rsid w:val="00B80803"/>
    <w:rsid w:val="00B80B25"/>
    <w:rsid w:val="00B80C80"/>
    <w:rsid w:val="00B80E32"/>
    <w:rsid w:val="00B80F19"/>
    <w:rsid w:val="00B81004"/>
    <w:rsid w:val="00B815F5"/>
    <w:rsid w:val="00B81D66"/>
    <w:rsid w:val="00B825FC"/>
    <w:rsid w:val="00B82BE7"/>
    <w:rsid w:val="00B82D6C"/>
    <w:rsid w:val="00B83011"/>
    <w:rsid w:val="00B8301C"/>
    <w:rsid w:val="00B840DC"/>
    <w:rsid w:val="00B84667"/>
    <w:rsid w:val="00B84980"/>
    <w:rsid w:val="00B84D99"/>
    <w:rsid w:val="00B8533F"/>
    <w:rsid w:val="00B853B4"/>
    <w:rsid w:val="00B877B3"/>
    <w:rsid w:val="00B878EA"/>
    <w:rsid w:val="00B900BD"/>
    <w:rsid w:val="00B90146"/>
    <w:rsid w:val="00B901F8"/>
    <w:rsid w:val="00B907D7"/>
    <w:rsid w:val="00B90998"/>
    <w:rsid w:val="00B911D4"/>
    <w:rsid w:val="00B9172E"/>
    <w:rsid w:val="00B91E87"/>
    <w:rsid w:val="00B920BE"/>
    <w:rsid w:val="00B923F2"/>
    <w:rsid w:val="00B92F3E"/>
    <w:rsid w:val="00B932E4"/>
    <w:rsid w:val="00B937E6"/>
    <w:rsid w:val="00B93F9A"/>
    <w:rsid w:val="00B95175"/>
    <w:rsid w:val="00B957D6"/>
    <w:rsid w:val="00B95BA7"/>
    <w:rsid w:val="00B95E3A"/>
    <w:rsid w:val="00B960DB"/>
    <w:rsid w:val="00B96381"/>
    <w:rsid w:val="00B96586"/>
    <w:rsid w:val="00B96744"/>
    <w:rsid w:val="00B97492"/>
    <w:rsid w:val="00B97693"/>
    <w:rsid w:val="00B97864"/>
    <w:rsid w:val="00B9786A"/>
    <w:rsid w:val="00B9790D"/>
    <w:rsid w:val="00B97B23"/>
    <w:rsid w:val="00BA0C41"/>
    <w:rsid w:val="00BA0FA6"/>
    <w:rsid w:val="00BA13CD"/>
    <w:rsid w:val="00BA1440"/>
    <w:rsid w:val="00BA2B8A"/>
    <w:rsid w:val="00BA3053"/>
    <w:rsid w:val="00BA3295"/>
    <w:rsid w:val="00BA3B53"/>
    <w:rsid w:val="00BA40BB"/>
    <w:rsid w:val="00BA429B"/>
    <w:rsid w:val="00BA4422"/>
    <w:rsid w:val="00BA4C9F"/>
    <w:rsid w:val="00BA4F82"/>
    <w:rsid w:val="00BA505D"/>
    <w:rsid w:val="00BA52FA"/>
    <w:rsid w:val="00BA5573"/>
    <w:rsid w:val="00BA5C2D"/>
    <w:rsid w:val="00BA61ED"/>
    <w:rsid w:val="00BA6556"/>
    <w:rsid w:val="00BA6EAC"/>
    <w:rsid w:val="00BA7380"/>
    <w:rsid w:val="00BA754A"/>
    <w:rsid w:val="00BA7790"/>
    <w:rsid w:val="00BA7A07"/>
    <w:rsid w:val="00BA7E73"/>
    <w:rsid w:val="00BA7F13"/>
    <w:rsid w:val="00BB00F5"/>
    <w:rsid w:val="00BB0126"/>
    <w:rsid w:val="00BB037C"/>
    <w:rsid w:val="00BB0523"/>
    <w:rsid w:val="00BB1D25"/>
    <w:rsid w:val="00BB1E8D"/>
    <w:rsid w:val="00BB1F86"/>
    <w:rsid w:val="00BB2257"/>
    <w:rsid w:val="00BB2C9B"/>
    <w:rsid w:val="00BB2CCA"/>
    <w:rsid w:val="00BB2E0D"/>
    <w:rsid w:val="00BB331E"/>
    <w:rsid w:val="00BB3706"/>
    <w:rsid w:val="00BB3723"/>
    <w:rsid w:val="00BB37BB"/>
    <w:rsid w:val="00BB38DF"/>
    <w:rsid w:val="00BB3A53"/>
    <w:rsid w:val="00BB3B71"/>
    <w:rsid w:val="00BB3F38"/>
    <w:rsid w:val="00BB43F1"/>
    <w:rsid w:val="00BB4441"/>
    <w:rsid w:val="00BB4534"/>
    <w:rsid w:val="00BB4634"/>
    <w:rsid w:val="00BB4680"/>
    <w:rsid w:val="00BB490D"/>
    <w:rsid w:val="00BB4947"/>
    <w:rsid w:val="00BB4EB8"/>
    <w:rsid w:val="00BB4EC4"/>
    <w:rsid w:val="00BB527B"/>
    <w:rsid w:val="00BB5486"/>
    <w:rsid w:val="00BB551F"/>
    <w:rsid w:val="00BB5DB8"/>
    <w:rsid w:val="00BB61C8"/>
    <w:rsid w:val="00BB647C"/>
    <w:rsid w:val="00BB6BA3"/>
    <w:rsid w:val="00BB6EA6"/>
    <w:rsid w:val="00BB739E"/>
    <w:rsid w:val="00BB74E0"/>
    <w:rsid w:val="00BB7FB9"/>
    <w:rsid w:val="00BC006C"/>
    <w:rsid w:val="00BC08F9"/>
    <w:rsid w:val="00BC097D"/>
    <w:rsid w:val="00BC0B4E"/>
    <w:rsid w:val="00BC0BDE"/>
    <w:rsid w:val="00BC103B"/>
    <w:rsid w:val="00BC154D"/>
    <w:rsid w:val="00BC1FB9"/>
    <w:rsid w:val="00BC210E"/>
    <w:rsid w:val="00BC23D1"/>
    <w:rsid w:val="00BC3107"/>
    <w:rsid w:val="00BC3945"/>
    <w:rsid w:val="00BC3948"/>
    <w:rsid w:val="00BC45AD"/>
    <w:rsid w:val="00BC4744"/>
    <w:rsid w:val="00BC4B50"/>
    <w:rsid w:val="00BC4DCD"/>
    <w:rsid w:val="00BC549D"/>
    <w:rsid w:val="00BC567F"/>
    <w:rsid w:val="00BC570E"/>
    <w:rsid w:val="00BC64AB"/>
    <w:rsid w:val="00BC66CE"/>
    <w:rsid w:val="00BC6ADD"/>
    <w:rsid w:val="00BC6E15"/>
    <w:rsid w:val="00BC71F8"/>
    <w:rsid w:val="00BC796E"/>
    <w:rsid w:val="00BC7DF5"/>
    <w:rsid w:val="00BC7E41"/>
    <w:rsid w:val="00BC7FED"/>
    <w:rsid w:val="00BD061B"/>
    <w:rsid w:val="00BD07D4"/>
    <w:rsid w:val="00BD0F61"/>
    <w:rsid w:val="00BD1B03"/>
    <w:rsid w:val="00BD1E78"/>
    <w:rsid w:val="00BD23DF"/>
    <w:rsid w:val="00BD291B"/>
    <w:rsid w:val="00BD2CBE"/>
    <w:rsid w:val="00BD4748"/>
    <w:rsid w:val="00BD4CCA"/>
    <w:rsid w:val="00BD4E00"/>
    <w:rsid w:val="00BD5A38"/>
    <w:rsid w:val="00BD5FA9"/>
    <w:rsid w:val="00BD6406"/>
    <w:rsid w:val="00BD7538"/>
    <w:rsid w:val="00BD76F4"/>
    <w:rsid w:val="00BD7C01"/>
    <w:rsid w:val="00BD7EAC"/>
    <w:rsid w:val="00BE0648"/>
    <w:rsid w:val="00BE0E42"/>
    <w:rsid w:val="00BE1275"/>
    <w:rsid w:val="00BE1513"/>
    <w:rsid w:val="00BE226A"/>
    <w:rsid w:val="00BE2BA6"/>
    <w:rsid w:val="00BE2FF6"/>
    <w:rsid w:val="00BE32BD"/>
    <w:rsid w:val="00BE3671"/>
    <w:rsid w:val="00BE56F4"/>
    <w:rsid w:val="00BE57A8"/>
    <w:rsid w:val="00BE5AF8"/>
    <w:rsid w:val="00BE5CFA"/>
    <w:rsid w:val="00BE60DF"/>
    <w:rsid w:val="00BE6123"/>
    <w:rsid w:val="00BE6202"/>
    <w:rsid w:val="00BE6F4C"/>
    <w:rsid w:val="00BE7A5E"/>
    <w:rsid w:val="00BF0756"/>
    <w:rsid w:val="00BF09D6"/>
    <w:rsid w:val="00BF0E89"/>
    <w:rsid w:val="00BF1352"/>
    <w:rsid w:val="00BF18D0"/>
    <w:rsid w:val="00BF1B6D"/>
    <w:rsid w:val="00BF2731"/>
    <w:rsid w:val="00BF28F4"/>
    <w:rsid w:val="00BF3340"/>
    <w:rsid w:val="00BF359E"/>
    <w:rsid w:val="00BF3C66"/>
    <w:rsid w:val="00BF3FB4"/>
    <w:rsid w:val="00BF4E05"/>
    <w:rsid w:val="00BF63BF"/>
    <w:rsid w:val="00BF6705"/>
    <w:rsid w:val="00BF7186"/>
    <w:rsid w:val="00BF72E6"/>
    <w:rsid w:val="00BF74F9"/>
    <w:rsid w:val="00BF765A"/>
    <w:rsid w:val="00BF7FFB"/>
    <w:rsid w:val="00C005D3"/>
    <w:rsid w:val="00C0091C"/>
    <w:rsid w:val="00C00BEC"/>
    <w:rsid w:val="00C00FF7"/>
    <w:rsid w:val="00C01241"/>
    <w:rsid w:val="00C0127C"/>
    <w:rsid w:val="00C01B4F"/>
    <w:rsid w:val="00C01F12"/>
    <w:rsid w:val="00C01F75"/>
    <w:rsid w:val="00C02BE6"/>
    <w:rsid w:val="00C02FC6"/>
    <w:rsid w:val="00C03733"/>
    <w:rsid w:val="00C03753"/>
    <w:rsid w:val="00C03869"/>
    <w:rsid w:val="00C04A1F"/>
    <w:rsid w:val="00C05032"/>
    <w:rsid w:val="00C0549D"/>
    <w:rsid w:val="00C055CD"/>
    <w:rsid w:val="00C06197"/>
    <w:rsid w:val="00C06738"/>
    <w:rsid w:val="00C07204"/>
    <w:rsid w:val="00C07F97"/>
    <w:rsid w:val="00C101FB"/>
    <w:rsid w:val="00C1031B"/>
    <w:rsid w:val="00C1036A"/>
    <w:rsid w:val="00C103A4"/>
    <w:rsid w:val="00C10518"/>
    <w:rsid w:val="00C1054F"/>
    <w:rsid w:val="00C1079D"/>
    <w:rsid w:val="00C10B9A"/>
    <w:rsid w:val="00C10DAC"/>
    <w:rsid w:val="00C10DE1"/>
    <w:rsid w:val="00C10F67"/>
    <w:rsid w:val="00C11712"/>
    <w:rsid w:val="00C11F21"/>
    <w:rsid w:val="00C1230B"/>
    <w:rsid w:val="00C12322"/>
    <w:rsid w:val="00C12391"/>
    <w:rsid w:val="00C12F25"/>
    <w:rsid w:val="00C1339D"/>
    <w:rsid w:val="00C1371A"/>
    <w:rsid w:val="00C14007"/>
    <w:rsid w:val="00C151D3"/>
    <w:rsid w:val="00C1550F"/>
    <w:rsid w:val="00C158E4"/>
    <w:rsid w:val="00C15CF2"/>
    <w:rsid w:val="00C15FEB"/>
    <w:rsid w:val="00C16358"/>
    <w:rsid w:val="00C16550"/>
    <w:rsid w:val="00C174D3"/>
    <w:rsid w:val="00C179F5"/>
    <w:rsid w:val="00C17C0F"/>
    <w:rsid w:val="00C20040"/>
    <w:rsid w:val="00C2024C"/>
    <w:rsid w:val="00C20E42"/>
    <w:rsid w:val="00C2121B"/>
    <w:rsid w:val="00C21605"/>
    <w:rsid w:val="00C217CB"/>
    <w:rsid w:val="00C223B7"/>
    <w:rsid w:val="00C23542"/>
    <w:rsid w:val="00C236FA"/>
    <w:rsid w:val="00C23A48"/>
    <w:rsid w:val="00C23A66"/>
    <w:rsid w:val="00C23B11"/>
    <w:rsid w:val="00C23B2F"/>
    <w:rsid w:val="00C23CAC"/>
    <w:rsid w:val="00C23FE5"/>
    <w:rsid w:val="00C2448C"/>
    <w:rsid w:val="00C248E1"/>
    <w:rsid w:val="00C24904"/>
    <w:rsid w:val="00C252FE"/>
    <w:rsid w:val="00C25C70"/>
    <w:rsid w:val="00C25DC2"/>
    <w:rsid w:val="00C25FB5"/>
    <w:rsid w:val="00C26206"/>
    <w:rsid w:val="00C2754F"/>
    <w:rsid w:val="00C27556"/>
    <w:rsid w:val="00C278C8"/>
    <w:rsid w:val="00C27D76"/>
    <w:rsid w:val="00C301C1"/>
    <w:rsid w:val="00C30D91"/>
    <w:rsid w:val="00C30FA2"/>
    <w:rsid w:val="00C318A9"/>
    <w:rsid w:val="00C31C89"/>
    <w:rsid w:val="00C323D5"/>
    <w:rsid w:val="00C3278E"/>
    <w:rsid w:val="00C32B32"/>
    <w:rsid w:val="00C32D01"/>
    <w:rsid w:val="00C32FFE"/>
    <w:rsid w:val="00C33167"/>
    <w:rsid w:val="00C33E2C"/>
    <w:rsid w:val="00C33E9F"/>
    <w:rsid w:val="00C33FF6"/>
    <w:rsid w:val="00C34119"/>
    <w:rsid w:val="00C342C7"/>
    <w:rsid w:val="00C345B2"/>
    <w:rsid w:val="00C34739"/>
    <w:rsid w:val="00C3473E"/>
    <w:rsid w:val="00C347B3"/>
    <w:rsid w:val="00C355B0"/>
    <w:rsid w:val="00C355DD"/>
    <w:rsid w:val="00C35659"/>
    <w:rsid w:val="00C3628B"/>
    <w:rsid w:val="00C3693D"/>
    <w:rsid w:val="00C36B14"/>
    <w:rsid w:val="00C36E77"/>
    <w:rsid w:val="00C3766B"/>
    <w:rsid w:val="00C37A29"/>
    <w:rsid w:val="00C37CDE"/>
    <w:rsid w:val="00C37CF7"/>
    <w:rsid w:val="00C37D28"/>
    <w:rsid w:val="00C37D9E"/>
    <w:rsid w:val="00C40331"/>
    <w:rsid w:val="00C406E6"/>
    <w:rsid w:val="00C409FD"/>
    <w:rsid w:val="00C40E1B"/>
    <w:rsid w:val="00C4220B"/>
    <w:rsid w:val="00C427A9"/>
    <w:rsid w:val="00C42B40"/>
    <w:rsid w:val="00C432AE"/>
    <w:rsid w:val="00C43614"/>
    <w:rsid w:val="00C4379F"/>
    <w:rsid w:val="00C444F6"/>
    <w:rsid w:val="00C4478A"/>
    <w:rsid w:val="00C4485B"/>
    <w:rsid w:val="00C44C33"/>
    <w:rsid w:val="00C452CB"/>
    <w:rsid w:val="00C456AC"/>
    <w:rsid w:val="00C456C5"/>
    <w:rsid w:val="00C45B5F"/>
    <w:rsid w:val="00C45B61"/>
    <w:rsid w:val="00C45BF3"/>
    <w:rsid w:val="00C45D76"/>
    <w:rsid w:val="00C466C6"/>
    <w:rsid w:val="00C46879"/>
    <w:rsid w:val="00C4688A"/>
    <w:rsid w:val="00C47726"/>
    <w:rsid w:val="00C47C39"/>
    <w:rsid w:val="00C50570"/>
    <w:rsid w:val="00C50574"/>
    <w:rsid w:val="00C50D7F"/>
    <w:rsid w:val="00C51143"/>
    <w:rsid w:val="00C51471"/>
    <w:rsid w:val="00C51610"/>
    <w:rsid w:val="00C5184B"/>
    <w:rsid w:val="00C51BD2"/>
    <w:rsid w:val="00C52026"/>
    <w:rsid w:val="00C528CD"/>
    <w:rsid w:val="00C52C49"/>
    <w:rsid w:val="00C52F66"/>
    <w:rsid w:val="00C53657"/>
    <w:rsid w:val="00C538F3"/>
    <w:rsid w:val="00C54366"/>
    <w:rsid w:val="00C547CA"/>
    <w:rsid w:val="00C549CE"/>
    <w:rsid w:val="00C54F38"/>
    <w:rsid w:val="00C55DD1"/>
    <w:rsid w:val="00C56736"/>
    <w:rsid w:val="00C56D72"/>
    <w:rsid w:val="00C57214"/>
    <w:rsid w:val="00C579B3"/>
    <w:rsid w:val="00C57B78"/>
    <w:rsid w:val="00C57E44"/>
    <w:rsid w:val="00C606E8"/>
    <w:rsid w:val="00C60709"/>
    <w:rsid w:val="00C613B6"/>
    <w:rsid w:val="00C614A2"/>
    <w:rsid w:val="00C61B18"/>
    <w:rsid w:val="00C61B67"/>
    <w:rsid w:val="00C61EEC"/>
    <w:rsid w:val="00C620A4"/>
    <w:rsid w:val="00C62287"/>
    <w:rsid w:val="00C626E5"/>
    <w:rsid w:val="00C627E0"/>
    <w:rsid w:val="00C62F60"/>
    <w:rsid w:val="00C633E3"/>
    <w:rsid w:val="00C63443"/>
    <w:rsid w:val="00C634FE"/>
    <w:rsid w:val="00C63803"/>
    <w:rsid w:val="00C63E68"/>
    <w:rsid w:val="00C64240"/>
    <w:rsid w:val="00C64660"/>
    <w:rsid w:val="00C64BED"/>
    <w:rsid w:val="00C64D3A"/>
    <w:rsid w:val="00C655C3"/>
    <w:rsid w:val="00C65C59"/>
    <w:rsid w:val="00C65CCB"/>
    <w:rsid w:val="00C65DFC"/>
    <w:rsid w:val="00C66763"/>
    <w:rsid w:val="00C66822"/>
    <w:rsid w:val="00C66C99"/>
    <w:rsid w:val="00C66EBF"/>
    <w:rsid w:val="00C6718D"/>
    <w:rsid w:val="00C677F5"/>
    <w:rsid w:val="00C70450"/>
    <w:rsid w:val="00C70A6A"/>
    <w:rsid w:val="00C70C4D"/>
    <w:rsid w:val="00C71239"/>
    <w:rsid w:val="00C712FD"/>
    <w:rsid w:val="00C713CF"/>
    <w:rsid w:val="00C71566"/>
    <w:rsid w:val="00C71EF4"/>
    <w:rsid w:val="00C73057"/>
    <w:rsid w:val="00C732ED"/>
    <w:rsid w:val="00C73370"/>
    <w:rsid w:val="00C7357C"/>
    <w:rsid w:val="00C73A49"/>
    <w:rsid w:val="00C7464F"/>
    <w:rsid w:val="00C748E3"/>
    <w:rsid w:val="00C74BA5"/>
    <w:rsid w:val="00C74BED"/>
    <w:rsid w:val="00C74C61"/>
    <w:rsid w:val="00C75313"/>
    <w:rsid w:val="00C7554E"/>
    <w:rsid w:val="00C75683"/>
    <w:rsid w:val="00C75B36"/>
    <w:rsid w:val="00C7651D"/>
    <w:rsid w:val="00C767F8"/>
    <w:rsid w:val="00C76CA8"/>
    <w:rsid w:val="00C76E8D"/>
    <w:rsid w:val="00C771B0"/>
    <w:rsid w:val="00C772AE"/>
    <w:rsid w:val="00C77F3F"/>
    <w:rsid w:val="00C800B3"/>
    <w:rsid w:val="00C80165"/>
    <w:rsid w:val="00C80C46"/>
    <w:rsid w:val="00C81378"/>
    <w:rsid w:val="00C813AC"/>
    <w:rsid w:val="00C81709"/>
    <w:rsid w:val="00C81730"/>
    <w:rsid w:val="00C81A8D"/>
    <w:rsid w:val="00C823E3"/>
    <w:rsid w:val="00C825B3"/>
    <w:rsid w:val="00C82A06"/>
    <w:rsid w:val="00C82DF4"/>
    <w:rsid w:val="00C8329C"/>
    <w:rsid w:val="00C84359"/>
    <w:rsid w:val="00C8453A"/>
    <w:rsid w:val="00C84716"/>
    <w:rsid w:val="00C85355"/>
    <w:rsid w:val="00C8558C"/>
    <w:rsid w:val="00C8592A"/>
    <w:rsid w:val="00C8603F"/>
    <w:rsid w:val="00C86281"/>
    <w:rsid w:val="00C866B2"/>
    <w:rsid w:val="00C869FA"/>
    <w:rsid w:val="00C87528"/>
    <w:rsid w:val="00C90416"/>
    <w:rsid w:val="00C90CEA"/>
    <w:rsid w:val="00C9123D"/>
    <w:rsid w:val="00C9134C"/>
    <w:rsid w:val="00C9184E"/>
    <w:rsid w:val="00C91926"/>
    <w:rsid w:val="00C91A26"/>
    <w:rsid w:val="00C91F5D"/>
    <w:rsid w:val="00C92125"/>
    <w:rsid w:val="00C9310F"/>
    <w:rsid w:val="00C93141"/>
    <w:rsid w:val="00C931BE"/>
    <w:rsid w:val="00C93875"/>
    <w:rsid w:val="00C93A41"/>
    <w:rsid w:val="00C93B44"/>
    <w:rsid w:val="00C93C1A"/>
    <w:rsid w:val="00C93D32"/>
    <w:rsid w:val="00C95136"/>
    <w:rsid w:val="00C95324"/>
    <w:rsid w:val="00C95519"/>
    <w:rsid w:val="00C95610"/>
    <w:rsid w:val="00C9570A"/>
    <w:rsid w:val="00C95E23"/>
    <w:rsid w:val="00C96715"/>
    <w:rsid w:val="00C969E9"/>
    <w:rsid w:val="00C96FC2"/>
    <w:rsid w:val="00C97882"/>
    <w:rsid w:val="00C97A31"/>
    <w:rsid w:val="00CA059D"/>
    <w:rsid w:val="00CA07CE"/>
    <w:rsid w:val="00CA0CB0"/>
    <w:rsid w:val="00CA0DC5"/>
    <w:rsid w:val="00CA0EC8"/>
    <w:rsid w:val="00CA26D6"/>
    <w:rsid w:val="00CA28C7"/>
    <w:rsid w:val="00CA28D2"/>
    <w:rsid w:val="00CA2E66"/>
    <w:rsid w:val="00CA363E"/>
    <w:rsid w:val="00CA3BAE"/>
    <w:rsid w:val="00CA3DA8"/>
    <w:rsid w:val="00CA42CC"/>
    <w:rsid w:val="00CA49E1"/>
    <w:rsid w:val="00CA4CF1"/>
    <w:rsid w:val="00CA4CF2"/>
    <w:rsid w:val="00CA5043"/>
    <w:rsid w:val="00CA59BB"/>
    <w:rsid w:val="00CA5CCD"/>
    <w:rsid w:val="00CA5E8C"/>
    <w:rsid w:val="00CA6CEC"/>
    <w:rsid w:val="00CA6FE6"/>
    <w:rsid w:val="00CA745D"/>
    <w:rsid w:val="00CB054B"/>
    <w:rsid w:val="00CB0AEB"/>
    <w:rsid w:val="00CB0C30"/>
    <w:rsid w:val="00CB0D8F"/>
    <w:rsid w:val="00CB1571"/>
    <w:rsid w:val="00CB1A9F"/>
    <w:rsid w:val="00CB1DE9"/>
    <w:rsid w:val="00CB2564"/>
    <w:rsid w:val="00CB26DA"/>
    <w:rsid w:val="00CB3AF4"/>
    <w:rsid w:val="00CB42C0"/>
    <w:rsid w:val="00CB45B7"/>
    <w:rsid w:val="00CB49C5"/>
    <w:rsid w:val="00CB4B70"/>
    <w:rsid w:val="00CB5217"/>
    <w:rsid w:val="00CB56B7"/>
    <w:rsid w:val="00CB5DF7"/>
    <w:rsid w:val="00CB5F5D"/>
    <w:rsid w:val="00CB6122"/>
    <w:rsid w:val="00CB6385"/>
    <w:rsid w:val="00CB6DD8"/>
    <w:rsid w:val="00CB76B9"/>
    <w:rsid w:val="00CB77D0"/>
    <w:rsid w:val="00CB7B09"/>
    <w:rsid w:val="00CB7CCB"/>
    <w:rsid w:val="00CC008A"/>
    <w:rsid w:val="00CC0506"/>
    <w:rsid w:val="00CC06B2"/>
    <w:rsid w:val="00CC12CD"/>
    <w:rsid w:val="00CC13A6"/>
    <w:rsid w:val="00CC1C10"/>
    <w:rsid w:val="00CC1D26"/>
    <w:rsid w:val="00CC22AD"/>
    <w:rsid w:val="00CC2598"/>
    <w:rsid w:val="00CC2CF3"/>
    <w:rsid w:val="00CC2D3A"/>
    <w:rsid w:val="00CC3001"/>
    <w:rsid w:val="00CC3032"/>
    <w:rsid w:val="00CC308F"/>
    <w:rsid w:val="00CC40AD"/>
    <w:rsid w:val="00CC47DD"/>
    <w:rsid w:val="00CC4A10"/>
    <w:rsid w:val="00CC66C1"/>
    <w:rsid w:val="00CC73A7"/>
    <w:rsid w:val="00CC7484"/>
    <w:rsid w:val="00CC7972"/>
    <w:rsid w:val="00CC79A2"/>
    <w:rsid w:val="00CC7B22"/>
    <w:rsid w:val="00CC7C6C"/>
    <w:rsid w:val="00CC7D01"/>
    <w:rsid w:val="00CC7E01"/>
    <w:rsid w:val="00CD0029"/>
    <w:rsid w:val="00CD05F4"/>
    <w:rsid w:val="00CD0974"/>
    <w:rsid w:val="00CD0B23"/>
    <w:rsid w:val="00CD0E2B"/>
    <w:rsid w:val="00CD0ECA"/>
    <w:rsid w:val="00CD0F66"/>
    <w:rsid w:val="00CD1280"/>
    <w:rsid w:val="00CD18D6"/>
    <w:rsid w:val="00CD1B16"/>
    <w:rsid w:val="00CD2506"/>
    <w:rsid w:val="00CD2698"/>
    <w:rsid w:val="00CD3462"/>
    <w:rsid w:val="00CD35C5"/>
    <w:rsid w:val="00CD3850"/>
    <w:rsid w:val="00CD387A"/>
    <w:rsid w:val="00CD3C96"/>
    <w:rsid w:val="00CD4C3E"/>
    <w:rsid w:val="00CD4F18"/>
    <w:rsid w:val="00CD5056"/>
    <w:rsid w:val="00CD5136"/>
    <w:rsid w:val="00CD5CA5"/>
    <w:rsid w:val="00CD5D68"/>
    <w:rsid w:val="00CD5F97"/>
    <w:rsid w:val="00CD6579"/>
    <w:rsid w:val="00CD6666"/>
    <w:rsid w:val="00CD6B62"/>
    <w:rsid w:val="00CD6BBB"/>
    <w:rsid w:val="00CD73B5"/>
    <w:rsid w:val="00CD77A6"/>
    <w:rsid w:val="00CD7D7A"/>
    <w:rsid w:val="00CE0291"/>
    <w:rsid w:val="00CE0BE2"/>
    <w:rsid w:val="00CE151A"/>
    <w:rsid w:val="00CE1533"/>
    <w:rsid w:val="00CE1ECF"/>
    <w:rsid w:val="00CE1F19"/>
    <w:rsid w:val="00CE23A4"/>
    <w:rsid w:val="00CE3421"/>
    <w:rsid w:val="00CE349B"/>
    <w:rsid w:val="00CE3659"/>
    <w:rsid w:val="00CE3B93"/>
    <w:rsid w:val="00CE452F"/>
    <w:rsid w:val="00CE4BB8"/>
    <w:rsid w:val="00CE4D9A"/>
    <w:rsid w:val="00CE4F1A"/>
    <w:rsid w:val="00CE5171"/>
    <w:rsid w:val="00CE543D"/>
    <w:rsid w:val="00CE54FD"/>
    <w:rsid w:val="00CE6269"/>
    <w:rsid w:val="00CE640A"/>
    <w:rsid w:val="00CE6F34"/>
    <w:rsid w:val="00CE7277"/>
    <w:rsid w:val="00CE7AF8"/>
    <w:rsid w:val="00CF0032"/>
    <w:rsid w:val="00CF00F1"/>
    <w:rsid w:val="00CF0141"/>
    <w:rsid w:val="00CF014F"/>
    <w:rsid w:val="00CF087E"/>
    <w:rsid w:val="00CF0AE4"/>
    <w:rsid w:val="00CF0C13"/>
    <w:rsid w:val="00CF14F3"/>
    <w:rsid w:val="00CF19F7"/>
    <w:rsid w:val="00CF2511"/>
    <w:rsid w:val="00CF2692"/>
    <w:rsid w:val="00CF31A5"/>
    <w:rsid w:val="00CF3CB2"/>
    <w:rsid w:val="00CF425A"/>
    <w:rsid w:val="00CF42DD"/>
    <w:rsid w:val="00CF43F4"/>
    <w:rsid w:val="00CF4571"/>
    <w:rsid w:val="00CF4FB5"/>
    <w:rsid w:val="00CF5B34"/>
    <w:rsid w:val="00CF6208"/>
    <w:rsid w:val="00CF6749"/>
    <w:rsid w:val="00CF739E"/>
    <w:rsid w:val="00CF7D8A"/>
    <w:rsid w:val="00CF7D94"/>
    <w:rsid w:val="00CF7EA2"/>
    <w:rsid w:val="00CF7F79"/>
    <w:rsid w:val="00D00C88"/>
    <w:rsid w:val="00D00F33"/>
    <w:rsid w:val="00D01159"/>
    <w:rsid w:val="00D01248"/>
    <w:rsid w:val="00D01942"/>
    <w:rsid w:val="00D021F0"/>
    <w:rsid w:val="00D0255B"/>
    <w:rsid w:val="00D02686"/>
    <w:rsid w:val="00D027D9"/>
    <w:rsid w:val="00D02EA1"/>
    <w:rsid w:val="00D03332"/>
    <w:rsid w:val="00D034FE"/>
    <w:rsid w:val="00D0498A"/>
    <w:rsid w:val="00D05257"/>
    <w:rsid w:val="00D053F9"/>
    <w:rsid w:val="00D0561D"/>
    <w:rsid w:val="00D05AC6"/>
    <w:rsid w:val="00D06351"/>
    <w:rsid w:val="00D06C0D"/>
    <w:rsid w:val="00D06CD3"/>
    <w:rsid w:val="00D0755B"/>
    <w:rsid w:val="00D07573"/>
    <w:rsid w:val="00D10113"/>
    <w:rsid w:val="00D101E9"/>
    <w:rsid w:val="00D1054C"/>
    <w:rsid w:val="00D1171C"/>
    <w:rsid w:val="00D122ED"/>
    <w:rsid w:val="00D127F2"/>
    <w:rsid w:val="00D1286E"/>
    <w:rsid w:val="00D12A92"/>
    <w:rsid w:val="00D12AA5"/>
    <w:rsid w:val="00D134CA"/>
    <w:rsid w:val="00D136B6"/>
    <w:rsid w:val="00D136F9"/>
    <w:rsid w:val="00D1406E"/>
    <w:rsid w:val="00D14759"/>
    <w:rsid w:val="00D14762"/>
    <w:rsid w:val="00D1550E"/>
    <w:rsid w:val="00D1563C"/>
    <w:rsid w:val="00D158D0"/>
    <w:rsid w:val="00D15B33"/>
    <w:rsid w:val="00D15C89"/>
    <w:rsid w:val="00D16B8F"/>
    <w:rsid w:val="00D17429"/>
    <w:rsid w:val="00D1796B"/>
    <w:rsid w:val="00D17C4D"/>
    <w:rsid w:val="00D20001"/>
    <w:rsid w:val="00D200F7"/>
    <w:rsid w:val="00D202BD"/>
    <w:rsid w:val="00D20342"/>
    <w:rsid w:val="00D20A32"/>
    <w:rsid w:val="00D212B6"/>
    <w:rsid w:val="00D219B6"/>
    <w:rsid w:val="00D22CFF"/>
    <w:rsid w:val="00D23921"/>
    <w:rsid w:val="00D23CA0"/>
    <w:rsid w:val="00D24372"/>
    <w:rsid w:val="00D244F0"/>
    <w:rsid w:val="00D24911"/>
    <w:rsid w:val="00D25BAA"/>
    <w:rsid w:val="00D26897"/>
    <w:rsid w:val="00D26C86"/>
    <w:rsid w:val="00D2725E"/>
    <w:rsid w:val="00D27CDB"/>
    <w:rsid w:val="00D27D7E"/>
    <w:rsid w:val="00D30678"/>
    <w:rsid w:val="00D30B00"/>
    <w:rsid w:val="00D315F4"/>
    <w:rsid w:val="00D316A3"/>
    <w:rsid w:val="00D31705"/>
    <w:rsid w:val="00D3183C"/>
    <w:rsid w:val="00D31AA0"/>
    <w:rsid w:val="00D32F92"/>
    <w:rsid w:val="00D33490"/>
    <w:rsid w:val="00D33916"/>
    <w:rsid w:val="00D33DFA"/>
    <w:rsid w:val="00D33EC3"/>
    <w:rsid w:val="00D33ED3"/>
    <w:rsid w:val="00D34675"/>
    <w:rsid w:val="00D356BE"/>
    <w:rsid w:val="00D356DE"/>
    <w:rsid w:val="00D3617B"/>
    <w:rsid w:val="00D3628C"/>
    <w:rsid w:val="00D362C9"/>
    <w:rsid w:val="00D36364"/>
    <w:rsid w:val="00D36410"/>
    <w:rsid w:val="00D36518"/>
    <w:rsid w:val="00D3683E"/>
    <w:rsid w:val="00D369CB"/>
    <w:rsid w:val="00D374CA"/>
    <w:rsid w:val="00D379AD"/>
    <w:rsid w:val="00D407F3"/>
    <w:rsid w:val="00D408A3"/>
    <w:rsid w:val="00D40FB7"/>
    <w:rsid w:val="00D41086"/>
    <w:rsid w:val="00D41636"/>
    <w:rsid w:val="00D41BE7"/>
    <w:rsid w:val="00D420F1"/>
    <w:rsid w:val="00D429D7"/>
    <w:rsid w:val="00D42F55"/>
    <w:rsid w:val="00D42FCA"/>
    <w:rsid w:val="00D4353F"/>
    <w:rsid w:val="00D435E4"/>
    <w:rsid w:val="00D4372B"/>
    <w:rsid w:val="00D437AF"/>
    <w:rsid w:val="00D43B4D"/>
    <w:rsid w:val="00D43D58"/>
    <w:rsid w:val="00D441BC"/>
    <w:rsid w:val="00D441D8"/>
    <w:rsid w:val="00D44582"/>
    <w:rsid w:val="00D451E2"/>
    <w:rsid w:val="00D45715"/>
    <w:rsid w:val="00D45C81"/>
    <w:rsid w:val="00D46080"/>
    <w:rsid w:val="00D4622E"/>
    <w:rsid w:val="00D466B5"/>
    <w:rsid w:val="00D4731E"/>
    <w:rsid w:val="00D501AE"/>
    <w:rsid w:val="00D50AEC"/>
    <w:rsid w:val="00D50B7A"/>
    <w:rsid w:val="00D50BAB"/>
    <w:rsid w:val="00D5224A"/>
    <w:rsid w:val="00D524B0"/>
    <w:rsid w:val="00D52575"/>
    <w:rsid w:val="00D527F0"/>
    <w:rsid w:val="00D52CC7"/>
    <w:rsid w:val="00D52D40"/>
    <w:rsid w:val="00D53571"/>
    <w:rsid w:val="00D5385E"/>
    <w:rsid w:val="00D53CC7"/>
    <w:rsid w:val="00D548EA"/>
    <w:rsid w:val="00D54928"/>
    <w:rsid w:val="00D5566A"/>
    <w:rsid w:val="00D556FE"/>
    <w:rsid w:val="00D5576D"/>
    <w:rsid w:val="00D56385"/>
    <w:rsid w:val="00D563E5"/>
    <w:rsid w:val="00D56529"/>
    <w:rsid w:val="00D56E50"/>
    <w:rsid w:val="00D571DB"/>
    <w:rsid w:val="00D57348"/>
    <w:rsid w:val="00D603A4"/>
    <w:rsid w:val="00D60D6F"/>
    <w:rsid w:val="00D610E2"/>
    <w:rsid w:val="00D61240"/>
    <w:rsid w:val="00D617A6"/>
    <w:rsid w:val="00D61D52"/>
    <w:rsid w:val="00D625E7"/>
    <w:rsid w:val="00D62762"/>
    <w:rsid w:val="00D627DA"/>
    <w:rsid w:val="00D62D8D"/>
    <w:rsid w:val="00D631A3"/>
    <w:rsid w:val="00D63323"/>
    <w:rsid w:val="00D63848"/>
    <w:rsid w:val="00D63D21"/>
    <w:rsid w:val="00D64451"/>
    <w:rsid w:val="00D644A3"/>
    <w:rsid w:val="00D6461B"/>
    <w:rsid w:val="00D65C1A"/>
    <w:rsid w:val="00D65C61"/>
    <w:rsid w:val="00D65EF7"/>
    <w:rsid w:val="00D66088"/>
    <w:rsid w:val="00D674BA"/>
    <w:rsid w:val="00D674EC"/>
    <w:rsid w:val="00D676F4"/>
    <w:rsid w:val="00D679CC"/>
    <w:rsid w:val="00D703C1"/>
    <w:rsid w:val="00D70FAD"/>
    <w:rsid w:val="00D716E2"/>
    <w:rsid w:val="00D7266D"/>
    <w:rsid w:val="00D72FA1"/>
    <w:rsid w:val="00D7335C"/>
    <w:rsid w:val="00D73C43"/>
    <w:rsid w:val="00D740D8"/>
    <w:rsid w:val="00D742DB"/>
    <w:rsid w:val="00D748B7"/>
    <w:rsid w:val="00D760CA"/>
    <w:rsid w:val="00D77325"/>
    <w:rsid w:val="00D809FF"/>
    <w:rsid w:val="00D81C85"/>
    <w:rsid w:val="00D81E37"/>
    <w:rsid w:val="00D821A2"/>
    <w:rsid w:val="00D8261B"/>
    <w:rsid w:val="00D8272B"/>
    <w:rsid w:val="00D83B96"/>
    <w:rsid w:val="00D844D4"/>
    <w:rsid w:val="00D8487A"/>
    <w:rsid w:val="00D848A7"/>
    <w:rsid w:val="00D85511"/>
    <w:rsid w:val="00D859CF"/>
    <w:rsid w:val="00D86726"/>
    <w:rsid w:val="00D8702A"/>
    <w:rsid w:val="00D875B3"/>
    <w:rsid w:val="00D901A3"/>
    <w:rsid w:val="00D915A4"/>
    <w:rsid w:val="00D92701"/>
    <w:rsid w:val="00D92BD4"/>
    <w:rsid w:val="00D92FE1"/>
    <w:rsid w:val="00D9316E"/>
    <w:rsid w:val="00D932BC"/>
    <w:rsid w:val="00D93BF5"/>
    <w:rsid w:val="00D9450C"/>
    <w:rsid w:val="00D94C7A"/>
    <w:rsid w:val="00D952F9"/>
    <w:rsid w:val="00D95424"/>
    <w:rsid w:val="00D9556A"/>
    <w:rsid w:val="00D95A34"/>
    <w:rsid w:val="00D95B56"/>
    <w:rsid w:val="00D95D96"/>
    <w:rsid w:val="00D96951"/>
    <w:rsid w:val="00D96A2F"/>
    <w:rsid w:val="00D974DC"/>
    <w:rsid w:val="00D97FB7"/>
    <w:rsid w:val="00DA0113"/>
    <w:rsid w:val="00DA063D"/>
    <w:rsid w:val="00DA0E9D"/>
    <w:rsid w:val="00DA1180"/>
    <w:rsid w:val="00DA1B28"/>
    <w:rsid w:val="00DA1B5C"/>
    <w:rsid w:val="00DA1E9E"/>
    <w:rsid w:val="00DA24C0"/>
    <w:rsid w:val="00DA25F0"/>
    <w:rsid w:val="00DA28AB"/>
    <w:rsid w:val="00DA2CC4"/>
    <w:rsid w:val="00DA2E4A"/>
    <w:rsid w:val="00DA305F"/>
    <w:rsid w:val="00DA32FE"/>
    <w:rsid w:val="00DA3D47"/>
    <w:rsid w:val="00DA46D3"/>
    <w:rsid w:val="00DA4871"/>
    <w:rsid w:val="00DA4BDA"/>
    <w:rsid w:val="00DA4CAC"/>
    <w:rsid w:val="00DA4EE4"/>
    <w:rsid w:val="00DA530D"/>
    <w:rsid w:val="00DA5588"/>
    <w:rsid w:val="00DA5BDE"/>
    <w:rsid w:val="00DA6275"/>
    <w:rsid w:val="00DA68D2"/>
    <w:rsid w:val="00DA73B4"/>
    <w:rsid w:val="00DA79A5"/>
    <w:rsid w:val="00DA7FB0"/>
    <w:rsid w:val="00DB078E"/>
    <w:rsid w:val="00DB13D7"/>
    <w:rsid w:val="00DB14FC"/>
    <w:rsid w:val="00DB2C25"/>
    <w:rsid w:val="00DB30B8"/>
    <w:rsid w:val="00DB3102"/>
    <w:rsid w:val="00DB33C4"/>
    <w:rsid w:val="00DB33F0"/>
    <w:rsid w:val="00DB3585"/>
    <w:rsid w:val="00DB3A58"/>
    <w:rsid w:val="00DB3A7F"/>
    <w:rsid w:val="00DB3F63"/>
    <w:rsid w:val="00DB4B0D"/>
    <w:rsid w:val="00DB4DA1"/>
    <w:rsid w:val="00DB5F07"/>
    <w:rsid w:val="00DB6ABE"/>
    <w:rsid w:val="00DB6E8F"/>
    <w:rsid w:val="00DB6F52"/>
    <w:rsid w:val="00DC07BF"/>
    <w:rsid w:val="00DC0AD3"/>
    <w:rsid w:val="00DC1083"/>
    <w:rsid w:val="00DC1118"/>
    <w:rsid w:val="00DC1272"/>
    <w:rsid w:val="00DC18DB"/>
    <w:rsid w:val="00DC1B1B"/>
    <w:rsid w:val="00DC249D"/>
    <w:rsid w:val="00DC24E5"/>
    <w:rsid w:val="00DC24FD"/>
    <w:rsid w:val="00DC28AF"/>
    <w:rsid w:val="00DC2961"/>
    <w:rsid w:val="00DC330F"/>
    <w:rsid w:val="00DC3485"/>
    <w:rsid w:val="00DC3716"/>
    <w:rsid w:val="00DC3E3A"/>
    <w:rsid w:val="00DC5198"/>
    <w:rsid w:val="00DC5AB1"/>
    <w:rsid w:val="00DC5F39"/>
    <w:rsid w:val="00DC62C7"/>
    <w:rsid w:val="00DC68EB"/>
    <w:rsid w:val="00DC7960"/>
    <w:rsid w:val="00DD07C1"/>
    <w:rsid w:val="00DD087F"/>
    <w:rsid w:val="00DD0914"/>
    <w:rsid w:val="00DD0B9F"/>
    <w:rsid w:val="00DD0D93"/>
    <w:rsid w:val="00DD15AE"/>
    <w:rsid w:val="00DD1CC2"/>
    <w:rsid w:val="00DD2245"/>
    <w:rsid w:val="00DD26C8"/>
    <w:rsid w:val="00DD2918"/>
    <w:rsid w:val="00DD2985"/>
    <w:rsid w:val="00DD3139"/>
    <w:rsid w:val="00DD31C8"/>
    <w:rsid w:val="00DD3410"/>
    <w:rsid w:val="00DD3428"/>
    <w:rsid w:val="00DD4828"/>
    <w:rsid w:val="00DD4977"/>
    <w:rsid w:val="00DD4FBE"/>
    <w:rsid w:val="00DD536C"/>
    <w:rsid w:val="00DD555F"/>
    <w:rsid w:val="00DD5A67"/>
    <w:rsid w:val="00DD5BE3"/>
    <w:rsid w:val="00DD5E5E"/>
    <w:rsid w:val="00DD5ED0"/>
    <w:rsid w:val="00DD6254"/>
    <w:rsid w:val="00DD6782"/>
    <w:rsid w:val="00DD7573"/>
    <w:rsid w:val="00DD7EF8"/>
    <w:rsid w:val="00DE0113"/>
    <w:rsid w:val="00DE026E"/>
    <w:rsid w:val="00DE0475"/>
    <w:rsid w:val="00DE05AF"/>
    <w:rsid w:val="00DE0731"/>
    <w:rsid w:val="00DE0816"/>
    <w:rsid w:val="00DE0870"/>
    <w:rsid w:val="00DE09E2"/>
    <w:rsid w:val="00DE17FB"/>
    <w:rsid w:val="00DE1B72"/>
    <w:rsid w:val="00DE1C86"/>
    <w:rsid w:val="00DE1E75"/>
    <w:rsid w:val="00DE2849"/>
    <w:rsid w:val="00DE2C5A"/>
    <w:rsid w:val="00DE3B6C"/>
    <w:rsid w:val="00DE4A5C"/>
    <w:rsid w:val="00DE520E"/>
    <w:rsid w:val="00DE5872"/>
    <w:rsid w:val="00DE625D"/>
    <w:rsid w:val="00DE6AE6"/>
    <w:rsid w:val="00DE6D39"/>
    <w:rsid w:val="00DE6E8F"/>
    <w:rsid w:val="00DE77E9"/>
    <w:rsid w:val="00DF0A46"/>
    <w:rsid w:val="00DF112A"/>
    <w:rsid w:val="00DF1167"/>
    <w:rsid w:val="00DF1B65"/>
    <w:rsid w:val="00DF1DF0"/>
    <w:rsid w:val="00DF248A"/>
    <w:rsid w:val="00DF28F4"/>
    <w:rsid w:val="00DF2A17"/>
    <w:rsid w:val="00DF2C91"/>
    <w:rsid w:val="00DF3108"/>
    <w:rsid w:val="00DF3230"/>
    <w:rsid w:val="00DF36C2"/>
    <w:rsid w:val="00DF37C8"/>
    <w:rsid w:val="00DF3871"/>
    <w:rsid w:val="00DF39D1"/>
    <w:rsid w:val="00DF3C7A"/>
    <w:rsid w:val="00DF402C"/>
    <w:rsid w:val="00DF412D"/>
    <w:rsid w:val="00DF4693"/>
    <w:rsid w:val="00DF4C65"/>
    <w:rsid w:val="00DF4CAE"/>
    <w:rsid w:val="00DF5AB2"/>
    <w:rsid w:val="00DF65EC"/>
    <w:rsid w:val="00DF69EE"/>
    <w:rsid w:val="00DF6B7D"/>
    <w:rsid w:val="00DF73F3"/>
    <w:rsid w:val="00DF76BA"/>
    <w:rsid w:val="00DF77F0"/>
    <w:rsid w:val="00DF7E4E"/>
    <w:rsid w:val="00E007D4"/>
    <w:rsid w:val="00E00ADB"/>
    <w:rsid w:val="00E01050"/>
    <w:rsid w:val="00E016DC"/>
    <w:rsid w:val="00E01A54"/>
    <w:rsid w:val="00E022ED"/>
    <w:rsid w:val="00E024DB"/>
    <w:rsid w:val="00E026D1"/>
    <w:rsid w:val="00E03430"/>
    <w:rsid w:val="00E03497"/>
    <w:rsid w:val="00E03B77"/>
    <w:rsid w:val="00E048E7"/>
    <w:rsid w:val="00E050AB"/>
    <w:rsid w:val="00E0560B"/>
    <w:rsid w:val="00E05DAC"/>
    <w:rsid w:val="00E05E4E"/>
    <w:rsid w:val="00E05F7B"/>
    <w:rsid w:val="00E06B08"/>
    <w:rsid w:val="00E06B09"/>
    <w:rsid w:val="00E06C0A"/>
    <w:rsid w:val="00E07650"/>
    <w:rsid w:val="00E07664"/>
    <w:rsid w:val="00E0774C"/>
    <w:rsid w:val="00E07AB7"/>
    <w:rsid w:val="00E07BC0"/>
    <w:rsid w:val="00E07DB6"/>
    <w:rsid w:val="00E10341"/>
    <w:rsid w:val="00E10508"/>
    <w:rsid w:val="00E10B32"/>
    <w:rsid w:val="00E11103"/>
    <w:rsid w:val="00E112E4"/>
    <w:rsid w:val="00E116DF"/>
    <w:rsid w:val="00E11F47"/>
    <w:rsid w:val="00E12B81"/>
    <w:rsid w:val="00E13163"/>
    <w:rsid w:val="00E13BE2"/>
    <w:rsid w:val="00E13F7B"/>
    <w:rsid w:val="00E143D4"/>
    <w:rsid w:val="00E14581"/>
    <w:rsid w:val="00E1463E"/>
    <w:rsid w:val="00E14991"/>
    <w:rsid w:val="00E14E8D"/>
    <w:rsid w:val="00E14F73"/>
    <w:rsid w:val="00E1577A"/>
    <w:rsid w:val="00E15F21"/>
    <w:rsid w:val="00E168B3"/>
    <w:rsid w:val="00E16CEE"/>
    <w:rsid w:val="00E17666"/>
    <w:rsid w:val="00E17AF9"/>
    <w:rsid w:val="00E20986"/>
    <w:rsid w:val="00E20A8C"/>
    <w:rsid w:val="00E20C6A"/>
    <w:rsid w:val="00E20E4C"/>
    <w:rsid w:val="00E2133D"/>
    <w:rsid w:val="00E21489"/>
    <w:rsid w:val="00E214F0"/>
    <w:rsid w:val="00E2167E"/>
    <w:rsid w:val="00E21890"/>
    <w:rsid w:val="00E2196D"/>
    <w:rsid w:val="00E21E89"/>
    <w:rsid w:val="00E226D8"/>
    <w:rsid w:val="00E22A2E"/>
    <w:rsid w:val="00E22ADF"/>
    <w:rsid w:val="00E22C8F"/>
    <w:rsid w:val="00E23072"/>
    <w:rsid w:val="00E23ACD"/>
    <w:rsid w:val="00E24D18"/>
    <w:rsid w:val="00E25040"/>
    <w:rsid w:val="00E2542A"/>
    <w:rsid w:val="00E2549B"/>
    <w:rsid w:val="00E25973"/>
    <w:rsid w:val="00E26C3D"/>
    <w:rsid w:val="00E26E59"/>
    <w:rsid w:val="00E27241"/>
    <w:rsid w:val="00E27B7D"/>
    <w:rsid w:val="00E27C1A"/>
    <w:rsid w:val="00E27FE8"/>
    <w:rsid w:val="00E303A6"/>
    <w:rsid w:val="00E304F4"/>
    <w:rsid w:val="00E3052E"/>
    <w:rsid w:val="00E30B0D"/>
    <w:rsid w:val="00E3141B"/>
    <w:rsid w:val="00E31A80"/>
    <w:rsid w:val="00E31AF5"/>
    <w:rsid w:val="00E31D6D"/>
    <w:rsid w:val="00E31DA0"/>
    <w:rsid w:val="00E32394"/>
    <w:rsid w:val="00E32C5C"/>
    <w:rsid w:val="00E33795"/>
    <w:rsid w:val="00E345C9"/>
    <w:rsid w:val="00E3495F"/>
    <w:rsid w:val="00E351EB"/>
    <w:rsid w:val="00E35F62"/>
    <w:rsid w:val="00E35FC5"/>
    <w:rsid w:val="00E36269"/>
    <w:rsid w:val="00E3642D"/>
    <w:rsid w:val="00E364BE"/>
    <w:rsid w:val="00E36E5D"/>
    <w:rsid w:val="00E37370"/>
    <w:rsid w:val="00E373B3"/>
    <w:rsid w:val="00E37632"/>
    <w:rsid w:val="00E37802"/>
    <w:rsid w:val="00E416E8"/>
    <w:rsid w:val="00E41BDA"/>
    <w:rsid w:val="00E42698"/>
    <w:rsid w:val="00E429B1"/>
    <w:rsid w:val="00E42CA3"/>
    <w:rsid w:val="00E436FC"/>
    <w:rsid w:val="00E43A7D"/>
    <w:rsid w:val="00E43CE9"/>
    <w:rsid w:val="00E43F39"/>
    <w:rsid w:val="00E43F76"/>
    <w:rsid w:val="00E45451"/>
    <w:rsid w:val="00E45472"/>
    <w:rsid w:val="00E4564F"/>
    <w:rsid w:val="00E4566E"/>
    <w:rsid w:val="00E45931"/>
    <w:rsid w:val="00E465C1"/>
    <w:rsid w:val="00E46B44"/>
    <w:rsid w:val="00E46C9F"/>
    <w:rsid w:val="00E46E51"/>
    <w:rsid w:val="00E472E5"/>
    <w:rsid w:val="00E47D0A"/>
    <w:rsid w:val="00E50507"/>
    <w:rsid w:val="00E50DF7"/>
    <w:rsid w:val="00E51243"/>
    <w:rsid w:val="00E51263"/>
    <w:rsid w:val="00E51F16"/>
    <w:rsid w:val="00E521A6"/>
    <w:rsid w:val="00E521D0"/>
    <w:rsid w:val="00E52BBC"/>
    <w:rsid w:val="00E52D47"/>
    <w:rsid w:val="00E53292"/>
    <w:rsid w:val="00E5383C"/>
    <w:rsid w:val="00E54178"/>
    <w:rsid w:val="00E54E09"/>
    <w:rsid w:val="00E55638"/>
    <w:rsid w:val="00E55B6B"/>
    <w:rsid w:val="00E55F2A"/>
    <w:rsid w:val="00E56792"/>
    <w:rsid w:val="00E57167"/>
    <w:rsid w:val="00E57602"/>
    <w:rsid w:val="00E5763F"/>
    <w:rsid w:val="00E607BD"/>
    <w:rsid w:val="00E60ECB"/>
    <w:rsid w:val="00E6138D"/>
    <w:rsid w:val="00E61A30"/>
    <w:rsid w:val="00E62436"/>
    <w:rsid w:val="00E63402"/>
    <w:rsid w:val="00E63684"/>
    <w:rsid w:val="00E63915"/>
    <w:rsid w:val="00E639FB"/>
    <w:rsid w:val="00E63BED"/>
    <w:rsid w:val="00E63CEF"/>
    <w:rsid w:val="00E63F50"/>
    <w:rsid w:val="00E647C9"/>
    <w:rsid w:val="00E64896"/>
    <w:rsid w:val="00E6585D"/>
    <w:rsid w:val="00E65BB8"/>
    <w:rsid w:val="00E660C9"/>
    <w:rsid w:val="00E66581"/>
    <w:rsid w:val="00E66908"/>
    <w:rsid w:val="00E673E1"/>
    <w:rsid w:val="00E67972"/>
    <w:rsid w:val="00E67A8E"/>
    <w:rsid w:val="00E70499"/>
    <w:rsid w:val="00E704C4"/>
    <w:rsid w:val="00E70719"/>
    <w:rsid w:val="00E70914"/>
    <w:rsid w:val="00E713F5"/>
    <w:rsid w:val="00E71512"/>
    <w:rsid w:val="00E71546"/>
    <w:rsid w:val="00E719C1"/>
    <w:rsid w:val="00E71A82"/>
    <w:rsid w:val="00E72E67"/>
    <w:rsid w:val="00E7314C"/>
    <w:rsid w:val="00E73377"/>
    <w:rsid w:val="00E73448"/>
    <w:rsid w:val="00E7358D"/>
    <w:rsid w:val="00E73A82"/>
    <w:rsid w:val="00E7443F"/>
    <w:rsid w:val="00E74541"/>
    <w:rsid w:val="00E749B6"/>
    <w:rsid w:val="00E74A01"/>
    <w:rsid w:val="00E7518D"/>
    <w:rsid w:val="00E753E2"/>
    <w:rsid w:val="00E75895"/>
    <w:rsid w:val="00E75942"/>
    <w:rsid w:val="00E76A62"/>
    <w:rsid w:val="00E7710B"/>
    <w:rsid w:val="00E7739B"/>
    <w:rsid w:val="00E776BF"/>
    <w:rsid w:val="00E80201"/>
    <w:rsid w:val="00E80EA6"/>
    <w:rsid w:val="00E8105B"/>
    <w:rsid w:val="00E81206"/>
    <w:rsid w:val="00E813EA"/>
    <w:rsid w:val="00E81649"/>
    <w:rsid w:val="00E816F3"/>
    <w:rsid w:val="00E8180A"/>
    <w:rsid w:val="00E81AA8"/>
    <w:rsid w:val="00E81CC0"/>
    <w:rsid w:val="00E82B13"/>
    <w:rsid w:val="00E82D53"/>
    <w:rsid w:val="00E837A4"/>
    <w:rsid w:val="00E8402D"/>
    <w:rsid w:val="00E84BDF"/>
    <w:rsid w:val="00E85E95"/>
    <w:rsid w:val="00E86927"/>
    <w:rsid w:val="00E86D38"/>
    <w:rsid w:val="00E876D3"/>
    <w:rsid w:val="00E87970"/>
    <w:rsid w:val="00E87E45"/>
    <w:rsid w:val="00E87EAF"/>
    <w:rsid w:val="00E901AC"/>
    <w:rsid w:val="00E90B62"/>
    <w:rsid w:val="00E90C0C"/>
    <w:rsid w:val="00E90CEA"/>
    <w:rsid w:val="00E914AB"/>
    <w:rsid w:val="00E91653"/>
    <w:rsid w:val="00E9186A"/>
    <w:rsid w:val="00E919AB"/>
    <w:rsid w:val="00E91B0F"/>
    <w:rsid w:val="00E9291F"/>
    <w:rsid w:val="00E931EC"/>
    <w:rsid w:val="00E9367A"/>
    <w:rsid w:val="00E93A18"/>
    <w:rsid w:val="00E93C2B"/>
    <w:rsid w:val="00E944F1"/>
    <w:rsid w:val="00E94B0C"/>
    <w:rsid w:val="00E94F86"/>
    <w:rsid w:val="00E9517F"/>
    <w:rsid w:val="00E9599D"/>
    <w:rsid w:val="00E95A50"/>
    <w:rsid w:val="00E961A5"/>
    <w:rsid w:val="00E9628D"/>
    <w:rsid w:val="00E96567"/>
    <w:rsid w:val="00E969A7"/>
    <w:rsid w:val="00E96C2A"/>
    <w:rsid w:val="00E97339"/>
    <w:rsid w:val="00EA01F5"/>
    <w:rsid w:val="00EA0324"/>
    <w:rsid w:val="00EA0BCB"/>
    <w:rsid w:val="00EA1089"/>
    <w:rsid w:val="00EA1152"/>
    <w:rsid w:val="00EA1173"/>
    <w:rsid w:val="00EA1829"/>
    <w:rsid w:val="00EA1A5B"/>
    <w:rsid w:val="00EA1C32"/>
    <w:rsid w:val="00EA1D34"/>
    <w:rsid w:val="00EA2541"/>
    <w:rsid w:val="00EA2E3A"/>
    <w:rsid w:val="00EA2E77"/>
    <w:rsid w:val="00EA3852"/>
    <w:rsid w:val="00EA38FF"/>
    <w:rsid w:val="00EA3916"/>
    <w:rsid w:val="00EA3966"/>
    <w:rsid w:val="00EA3B34"/>
    <w:rsid w:val="00EA3C14"/>
    <w:rsid w:val="00EA44CA"/>
    <w:rsid w:val="00EA59F9"/>
    <w:rsid w:val="00EA5B4A"/>
    <w:rsid w:val="00EA6074"/>
    <w:rsid w:val="00EA696C"/>
    <w:rsid w:val="00EA6AFD"/>
    <w:rsid w:val="00EA6D8E"/>
    <w:rsid w:val="00EA72C0"/>
    <w:rsid w:val="00EA790F"/>
    <w:rsid w:val="00EA7A36"/>
    <w:rsid w:val="00EA7C47"/>
    <w:rsid w:val="00EB0035"/>
    <w:rsid w:val="00EB0D83"/>
    <w:rsid w:val="00EB12C0"/>
    <w:rsid w:val="00EB141A"/>
    <w:rsid w:val="00EB15BE"/>
    <w:rsid w:val="00EB1CCE"/>
    <w:rsid w:val="00EB1E2E"/>
    <w:rsid w:val="00EB289E"/>
    <w:rsid w:val="00EB2A50"/>
    <w:rsid w:val="00EB323E"/>
    <w:rsid w:val="00EB35F9"/>
    <w:rsid w:val="00EB3693"/>
    <w:rsid w:val="00EB3A37"/>
    <w:rsid w:val="00EB3CFE"/>
    <w:rsid w:val="00EB4C35"/>
    <w:rsid w:val="00EB50B3"/>
    <w:rsid w:val="00EB5A35"/>
    <w:rsid w:val="00EB5FAD"/>
    <w:rsid w:val="00EB5FFF"/>
    <w:rsid w:val="00EB619F"/>
    <w:rsid w:val="00EB6340"/>
    <w:rsid w:val="00EB64C1"/>
    <w:rsid w:val="00EB6708"/>
    <w:rsid w:val="00EB739B"/>
    <w:rsid w:val="00EB7C5C"/>
    <w:rsid w:val="00EC04F2"/>
    <w:rsid w:val="00EC057E"/>
    <w:rsid w:val="00EC0BDE"/>
    <w:rsid w:val="00EC0F40"/>
    <w:rsid w:val="00EC1845"/>
    <w:rsid w:val="00EC190A"/>
    <w:rsid w:val="00EC218C"/>
    <w:rsid w:val="00EC2408"/>
    <w:rsid w:val="00EC2415"/>
    <w:rsid w:val="00EC2D36"/>
    <w:rsid w:val="00EC3173"/>
    <w:rsid w:val="00EC3A04"/>
    <w:rsid w:val="00EC3A56"/>
    <w:rsid w:val="00EC3A98"/>
    <w:rsid w:val="00EC3DAB"/>
    <w:rsid w:val="00EC3DCE"/>
    <w:rsid w:val="00EC3EB2"/>
    <w:rsid w:val="00EC3FA4"/>
    <w:rsid w:val="00EC4870"/>
    <w:rsid w:val="00EC4B6E"/>
    <w:rsid w:val="00EC53C8"/>
    <w:rsid w:val="00EC5404"/>
    <w:rsid w:val="00EC545B"/>
    <w:rsid w:val="00EC6228"/>
    <w:rsid w:val="00EC6BED"/>
    <w:rsid w:val="00EC6DB9"/>
    <w:rsid w:val="00EC6EFB"/>
    <w:rsid w:val="00EC71F1"/>
    <w:rsid w:val="00ED07FB"/>
    <w:rsid w:val="00ED08F7"/>
    <w:rsid w:val="00ED0E56"/>
    <w:rsid w:val="00ED1761"/>
    <w:rsid w:val="00ED18FE"/>
    <w:rsid w:val="00ED1946"/>
    <w:rsid w:val="00ED1C26"/>
    <w:rsid w:val="00ED1C96"/>
    <w:rsid w:val="00ED1D26"/>
    <w:rsid w:val="00ED1E9C"/>
    <w:rsid w:val="00ED22F3"/>
    <w:rsid w:val="00ED2874"/>
    <w:rsid w:val="00ED29C7"/>
    <w:rsid w:val="00ED2B36"/>
    <w:rsid w:val="00ED405A"/>
    <w:rsid w:val="00ED4146"/>
    <w:rsid w:val="00ED4A08"/>
    <w:rsid w:val="00ED5222"/>
    <w:rsid w:val="00ED5961"/>
    <w:rsid w:val="00ED631C"/>
    <w:rsid w:val="00ED6F48"/>
    <w:rsid w:val="00ED70D4"/>
    <w:rsid w:val="00ED758E"/>
    <w:rsid w:val="00ED7B17"/>
    <w:rsid w:val="00EE01C5"/>
    <w:rsid w:val="00EE0266"/>
    <w:rsid w:val="00EE0747"/>
    <w:rsid w:val="00EE11F6"/>
    <w:rsid w:val="00EE13E9"/>
    <w:rsid w:val="00EE1421"/>
    <w:rsid w:val="00EE15F8"/>
    <w:rsid w:val="00EE172E"/>
    <w:rsid w:val="00EE1BD9"/>
    <w:rsid w:val="00EE1D3E"/>
    <w:rsid w:val="00EE1E6C"/>
    <w:rsid w:val="00EE1F38"/>
    <w:rsid w:val="00EE216B"/>
    <w:rsid w:val="00EE224E"/>
    <w:rsid w:val="00EE2600"/>
    <w:rsid w:val="00EE26D9"/>
    <w:rsid w:val="00EE276E"/>
    <w:rsid w:val="00EE2A03"/>
    <w:rsid w:val="00EE2BA8"/>
    <w:rsid w:val="00EE3098"/>
    <w:rsid w:val="00EE344E"/>
    <w:rsid w:val="00EE3466"/>
    <w:rsid w:val="00EE3525"/>
    <w:rsid w:val="00EE3D1D"/>
    <w:rsid w:val="00EE3DA3"/>
    <w:rsid w:val="00EE3EB1"/>
    <w:rsid w:val="00EE3EBF"/>
    <w:rsid w:val="00EE3FE7"/>
    <w:rsid w:val="00EE400D"/>
    <w:rsid w:val="00EE4162"/>
    <w:rsid w:val="00EE43CE"/>
    <w:rsid w:val="00EE440A"/>
    <w:rsid w:val="00EE464B"/>
    <w:rsid w:val="00EE480A"/>
    <w:rsid w:val="00EE4EA1"/>
    <w:rsid w:val="00EE6139"/>
    <w:rsid w:val="00EE62D9"/>
    <w:rsid w:val="00EE66EC"/>
    <w:rsid w:val="00EE732F"/>
    <w:rsid w:val="00EE772E"/>
    <w:rsid w:val="00EF0267"/>
    <w:rsid w:val="00EF03EB"/>
    <w:rsid w:val="00EF078A"/>
    <w:rsid w:val="00EF08DB"/>
    <w:rsid w:val="00EF0F65"/>
    <w:rsid w:val="00EF10FF"/>
    <w:rsid w:val="00EF11D3"/>
    <w:rsid w:val="00EF145A"/>
    <w:rsid w:val="00EF260B"/>
    <w:rsid w:val="00EF29BE"/>
    <w:rsid w:val="00EF340A"/>
    <w:rsid w:val="00EF3558"/>
    <w:rsid w:val="00EF35EE"/>
    <w:rsid w:val="00EF40D1"/>
    <w:rsid w:val="00EF491D"/>
    <w:rsid w:val="00EF4C12"/>
    <w:rsid w:val="00EF4C24"/>
    <w:rsid w:val="00EF4DE8"/>
    <w:rsid w:val="00EF52BD"/>
    <w:rsid w:val="00EF5788"/>
    <w:rsid w:val="00EF5A53"/>
    <w:rsid w:val="00EF5D9B"/>
    <w:rsid w:val="00EF69EC"/>
    <w:rsid w:val="00EF6B7C"/>
    <w:rsid w:val="00EF6E6E"/>
    <w:rsid w:val="00EF6FF1"/>
    <w:rsid w:val="00EF7CC3"/>
    <w:rsid w:val="00EF7F66"/>
    <w:rsid w:val="00F00103"/>
    <w:rsid w:val="00F007BD"/>
    <w:rsid w:val="00F00A48"/>
    <w:rsid w:val="00F012A1"/>
    <w:rsid w:val="00F015E1"/>
    <w:rsid w:val="00F019B0"/>
    <w:rsid w:val="00F01F9C"/>
    <w:rsid w:val="00F02542"/>
    <w:rsid w:val="00F027B3"/>
    <w:rsid w:val="00F02CCE"/>
    <w:rsid w:val="00F02CFD"/>
    <w:rsid w:val="00F03056"/>
    <w:rsid w:val="00F037F5"/>
    <w:rsid w:val="00F03982"/>
    <w:rsid w:val="00F039AD"/>
    <w:rsid w:val="00F03A95"/>
    <w:rsid w:val="00F03DBE"/>
    <w:rsid w:val="00F0447D"/>
    <w:rsid w:val="00F04589"/>
    <w:rsid w:val="00F0463A"/>
    <w:rsid w:val="00F048E0"/>
    <w:rsid w:val="00F05311"/>
    <w:rsid w:val="00F053D5"/>
    <w:rsid w:val="00F05513"/>
    <w:rsid w:val="00F059C5"/>
    <w:rsid w:val="00F05BA6"/>
    <w:rsid w:val="00F065BF"/>
    <w:rsid w:val="00F06733"/>
    <w:rsid w:val="00F06826"/>
    <w:rsid w:val="00F07965"/>
    <w:rsid w:val="00F10989"/>
    <w:rsid w:val="00F10E22"/>
    <w:rsid w:val="00F10F9F"/>
    <w:rsid w:val="00F114D8"/>
    <w:rsid w:val="00F11B0D"/>
    <w:rsid w:val="00F11C22"/>
    <w:rsid w:val="00F120F3"/>
    <w:rsid w:val="00F12435"/>
    <w:rsid w:val="00F1284E"/>
    <w:rsid w:val="00F12DC1"/>
    <w:rsid w:val="00F13112"/>
    <w:rsid w:val="00F13145"/>
    <w:rsid w:val="00F13300"/>
    <w:rsid w:val="00F1332E"/>
    <w:rsid w:val="00F13523"/>
    <w:rsid w:val="00F135C7"/>
    <w:rsid w:val="00F138B2"/>
    <w:rsid w:val="00F14335"/>
    <w:rsid w:val="00F144C3"/>
    <w:rsid w:val="00F14F06"/>
    <w:rsid w:val="00F15412"/>
    <w:rsid w:val="00F159C6"/>
    <w:rsid w:val="00F15CA8"/>
    <w:rsid w:val="00F15DBF"/>
    <w:rsid w:val="00F16431"/>
    <w:rsid w:val="00F16A94"/>
    <w:rsid w:val="00F17013"/>
    <w:rsid w:val="00F173EB"/>
    <w:rsid w:val="00F17595"/>
    <w:rsid w:val="00F17A85"/>
    <w:rsid w:val="00F20170"/>
    <w:rsid w:val="00F2096F"/>
    <w:rsid w:val="00F20D18"/>
    <w:rsid w:val="00F20F44"/>
    <w:rsid w:val="00F218DF"/>
    <w:rsid w:val="00F21A33"/>
    <w:rsid w:val="00F21A85"/>
    <w:rsid w:val="00F21FD7"/>
    <w:rsid w:val="00F22577"/>
    <w:rsid w:val="00F227DE"/>
    <w:rsid w:val="00F2293D"/>
    <w:rsid w:val="00F22D00"/>
    <w:rsid w:val="00F23316"/>
    <w:rsid w:val="00F23700"/>
    <w:rsid w:val="00F23AB2"/>
    <w:rsid w:val="00F24121"/>
    <w:rsid w:val="00F24BC8"/>
    <w:rsid w:val="00F25718"/>
    <w:rsid w:val="00F25885"/>
    <w:rsid w:val="00F25E9D"/>
    <w:rsid w:val="00F26266"/>
    <w:rsid w:val="00F264DD"/>
    <w:rsid w:val="00F265DA"/>
    <w:rsid w:val="00F2669E"/>
    <w:rsid w:val="00F266AB"/>
    <w:rsid w:val="00F268C7"/>
    <w:rsid w:val="00F271BD"/>
    <w:rsid w:val="00F27410"/>
    <w:rsid w:val="00F2776B"/>
    <w:rsid w:val="00F27E27"/>
    <w:rsid w:val="00F27F2B"/>
    <w:rsid w:val="00F30535"/>
    <w:rsid w:val="00F30EB3"/>
    <w:rsid w:val="00F31A0D"/>
    <w:rsid w:val="00F32148"/>
    <w:rsid w:val="00F324FD"/>
    <w:rsid w:val="00F32D38"/>
    <w:rsid w:val="00F33218"/>
    <w:rsid w:val="00F33F2F"/>
    <w:rsid w:val="00F3507D"/>
    <w:rsid w:val="00F35498"/>
    <w:rsid w:val="00F35E9E"/>
    <w:rsid w:val="00F35FD8"/>
    <w:rsid w:val="00F36145"/>
    <w:rsid w:val="00F3624D"/>
    <w:rsid w:val="00F36265"/>
    <w:rsid w:val="00F366AD"/>
    <w:rsid w:val="00F36914"/>
    <w:rsid w:val="00F36BBA"/>
    <w:rsid w:val="00F37902"/>
    <w:rsid w:val="00F37905"/>
    <w:rsid w:val="00F37947"/>
    <w:rsid w:val="00F37997"/>
    <w:rsid w:val="00F40989"/>
    <w:rsid w:val="00F40C39"/>
    <w:rsid w:val="00F4129D"/>
    <w:rsid w:val="00F414C5"/>
    <w:rsid w:val="00F41531"/>
    <w:rsid w:val="00F41F40"/>
    <w:rsid w:val="00F420E5"/>
    <w:rsid w:val="00F42730"/>
    <w:rsid w:val="00F42A4E"/>
    <w:rsid w:val="00F43445"/>
    <w:rsid w:val="00F43DA5"/>
    <w:rsid w:val="00F43E5E"/>
    <w:rsid w:val="00F448D2"/>
    <w:rsid w:val="00F44BB6"/>
    <w:rsid w:val="00F45073"/>
    <w:rsid w:val="00F45A4E"/>
    <w:rsid w:val="00F45DD1"/>
    <w:rsid w:val="00F46513"/>
    <w:rsid w:val="00F46662"/>
    <w:rsid w:val="00F47044"/>
    <w:rsid w:val="00F4720D"/>
    <w:rsid w:val="00F47216"/>
    <w:rsid w:val="00F47376"/>
    <w:rsid w:val="00F474E9"/>
    <w:rsid w:val="00F479DD"/>
    <w:rsid w:val="00F47CE3"/>
    <w:rsid w:val="00F5024E"/>
    <w:rsid w:val="00F50E6F"/>
    <w:rsid w:val="00F519DC"/>
    <w:rsid w:val="00F51BB7"/>
    <w:rsid w:val="00F52232"/>
    <w:rsid w:val="00F527B4"/>
    <w:rsid w:val="00F52990"/>
    <w:rsid w:val="00F52A7D"/>
    <w:rsid w:val="00F52C56"/>
    <w:rsid w:val="00F53E5C"/>
    <w:rsid w:val="00F548D3"/>
    <w:rsid w:val="00F54A53"/>
    <w:rsid w:val="00F5518C"/>
    <w:rsid w:val="00F5521F"/>
    <w:rsid w:val="00F552FA"/>
    <w:rsid w:val="00F55F24"/>
    <w:rsid w:val="00F56196"/>
    <w:rsid w:val="00F56606"/>
    <w:rsid w:val="00F568F1"/>
    <w:rsid w:val="00F572A9"/>
    <w:rsid w:val="00F57615"/>
    <w:rsid w:val="00F57650"/>
    <w:rsid w:val="00F5791F"/>
    <w:rsid w:val="00F57CB4"/>
    <w:rsid w:val="00F6022E"/>
    <w:rsid w:val="00F602B0"/>
    <w:rsid w:val="00F6038A"/>
    <w:rsid w:val="00F6056B"/>
    <w:rsid w:val="00F6074F"/>
    <w:rsid w:val="00F60783"/>
    <w:rsid w:val="00F60ABD"/>
    <w:rsid w:val="00F60F1B"/>
    <w:rsid w:val="00F61A5D"/>
    <w:rsid w:val="00F61E0E"/>
    <w:rsid w:val="00F6201B"/>
    <w:rsid w:val="00F62374"/>
    <w:rsid w:val="00F6238D"/>
    <w:rsid w:val="00F62D78"/>
    <w:rsid w:val="00F63413"/>
    <w:rsid w:val="00F63C4D"/>
    <w:rsid w:val="00F63FC3"/>
    <w:rsid w:val="00F643AE"/>
    <w:rsid w:val="00F644F3"/>
    <w:rsid w:val="00F645A5"/>
    <w:rsid w:val="00F6461F"/>
    <w:rsid w:val="00F64E86"/>
    <w:rsid w:val="00F64F7B"/>
    <w:rsid w:val="00F6564B"/>
    <w:rsid w:val="00F6564D"/>
    <w:rsid w:val="00F66367"/>
    <w:rsid w:val="00F66D0D"/>
    <w:rsid w:val="00F67006"/>
    <w:rsid w:val="00F670C0"/>
    <w:rsid w:val="00F675CB"/>
    <w:rsid w:val="00F70252"/>
    <w:rsid w:val="00F709BA"/>
    <w:rsid w:val="00F70D8C"/>
    <w:rsid w:val="00F70DF1"/>
    <w:rsid w:val="00F71183"/>
    <w:rsid w:val="00F71B86"/>
    <w:rsid w:val="00F725F3"/>
    <w:rsid w:val="00F72ED8"/>
    <w:rsid w:val="00F72F2A"/>
    <w:rsid w:val="00F73829"/>
    <w:rsid w:val="00F73A12"/>
    <w:rsid w:val="00F73F99"/>
    <w:rsid w:val="00F73FC6"/>
    <w:rsid w:val="00F745D1"/>
    <w:rsid w:val="00F74DE1"/>
    <w:rsid w:val="00F74DEB"/>
    <w:rsid w:val="00F75082"/>
    <w:rsid w:val="00F75405"/>
    <w:rsid w:val="00F7548A"/>
    <w:rsid w:val="00F75B48"/>
    <w:rsid w:val="00F75E70"/>
    <w:rsid w:val="00F76012"/>
    <w:rsid w:val="00F76A13"/>
    <w:rsid w:val="00F76AD3"/>
    <w:rsid w:val="00F76D7C"/>
    <w:rsid w:val="00F7716E"/>
    <w:rsid w:val="00F7766C"/>
    <w:rsid w:val="00F77900"/>
    <w:rsid w:val="00F7795E"/>
    <w:rsid w:val="00F804A0"/>
    <w:rsid w:val="00F80532"/>
    <w:rsid w:val="00F806DA"/>
    <w:rsid w:val="00F80BCA"/>
    <w:rsid w:val="00F80ED3"/>
    <w:rsid w:val="00F80FB8"/>
    <w:rsid w:val="00F818FE"/>
    <w:rsid w:val="00F819D1"/>
    <w:rsid w:val="00F82508"/>
    <w:rsid w:val="00F82A6B"/>
    <w:rsid w:val="00F82DB9"/>
    <w:rsid w:val="00F835D4"/>
    <w:rsid w:val="00F83943"/>
    <w:rsid w:val="00F83EB2"/>
    <w:rsid w:val="00F84D0B"/>
    <w:rsid w:val="00F84DAD"/>
    <w:rsid w:val="00F84DFF"/>
    <w:rsid w:val="00F84FED"/>
    <w:rsid w:val="00F85A30"/>
    <w:rsid w:val="00F85AC2"/>
    <w:rsid w:val="00F86173"/>
    <w:rsid w:val="00F866B4"/>
    <w:rsid w:val="00F86726"/>
    <w:rsid w:val="00F86B22"/>
    <w:rsid w:val="00F87247"/>
    <w:rsid w:val="00F87AF6"/>
    <w:rsid w:val="00F9043E"/>
    <w:rsid w:val="00F9072C"/>
    <w:rsid w:val="00F907A1"/>
    <w:rsid w:val="00F90B14"/>
    <w:rsid w:val="00F91C2A"/>
    <w:rsid w:val="00F92138"/>
    <w:rsid w:val="00F92596"/>
    <w:rsid w:val="00F92D8E"/>
    <w:rsid w:val="00F92F1D"/>
    <w:rsid w:val="00F935D9"/>
    <w:rsid w:val="00F935DA"/>
    <w:rsid w:val="00F93A6A"/>
    <w:rsid w:val="00F93B95"/>
    <w:rsid w:val="00F9439F"/>
    <w:rsid w:val="00F94805"/>
    <w:rsid w:val="00F9516F"/>
    <w:rsid w:val="00F9559D"/>
    <w:rsid w:val="00F95C4E"/>
    <w:rsid w:val="00F960B0"/>
    <w:rsid w:val="00F96871"/>
    <w:rsid w:val="00F96D5B"/>
    <w:rsid w:val="00F97278"/>
    <w:rsid w:val="00F975D7"/>
    <w:rsid w:val="00FA1458"/>
    <w:rsid w:val="00FA1A3E"/>
    <w:rsid w:val="00FA1B66"/>
    <w:rsid w:val="00FA1BCE"/>
    <w:rsid w:val="00FA2150"/>
    <w:rsid w:val="00FA21D2"/>
    <w:rsid w:val="00FA22B7"/>
    <w:rsid w:val="00FA2C2F"/>
    <w:rsid w:val="00FA2E13"/>
    <w:rsid w:val="00FA2E68"/>
    <w:rsid w:val="00FA3669"/>
    <w:rsid w:val="00FA3718"/>
    <w:rsid w:val="00FA3742"/>
    <w:rsid w:val="00FA3746"/>
    <w:rsid w:val="00FA37B7"/>
    <w:rsid w:val="00FA3C37"/>
    <w:rsid w:val="00FA3C6C"/>
    <w:rsid w:val="00FA43DB"/>
    <w:rsid w:val="00FA485F"/>
    <w:rsid w:val="00FA4999"/>
    <w:rsid w:val="00FA49A7"/>
    <w:rsid w:val="00FA4AA0"/>
    <w:rsid w:val="00FA54DE"/>
    <w:rsid w:val="00FA587B"/>
    <w:rsid w:val="00FA6579"/>
    <w:rsid w:val="00FA6892"/>
    <w:rsid w:val="00FA7AB6"/>
    <w:rsid w:val="00FA7B69"/>
    <w:rsid w:val="00FA7C9B"/>
    <w:rsid w:val="00FA7DF2"/>
    <w:rsid w:val="00FB0199"/>
    <w:rsid w:val="00FB0708"/>
    <w:rsid w:val="00FB0731"/>
    <w:rsid w:val="00FB1624"/>
    <w:rsid w:val="00FB169D"/>
    <w:rsid w:val="00FB1B9F"/>
    <w:rsid w:val="00FB1E2C"/>
    <w:rsid w:val="00FB20E0"/>
    <w:rsid w:val="00FB2890"/>
    <w:rsid w:val="00FB2BA0"/>
    <w:rsid w:val="00FB2D3D"/>
    <w:rsid w:val="00FB3624"/>
    <w:rsid w:val="00FB36D8"/>
    <w:rsid w:val="00FB36FE"/>
    <w:rsid w:val="00FB37BE"/>
    <w:rsid w:val="00FB3B0C"/>
    <w:rsid w:val="00FB4443"/>
    <w:rsid w:val="00FB44AB"/>
    <w:rsid w:val="00FB4B5C"/>
    <w:rsid w:val="00FB503C"/>
    <w:rsid w:val="00FB5662"/>
    <w:rsid w:val="00FB5B54"/>
    <w:rsid w:val="00FB5E4B"/>
    <w:rsid w:val="00FB63CF"/>
    <w:rsid w:val="00FC093A"/>
    <w:rsid w:val="00FC17B1"/>
    <w:rsid w:val="00FC1859"/>
    <w:rsid w:val="00FC20DF"/>
    <w:rsid w:val="00FC21BC"/>
    <w:rsid w:val="00FC2469"/>
    <w:rsid w:val="00FC3079"/>
    <w:rsid w:val="00FC343C"/>
    <w:rsid w:val="00FC37D5"/>
    <w:rsid w:val="00FC3B70"/>
    <w:rsid w:val="00FC42A3"/>
    <w:rsid w:val="00FC43FC"/>
    <w:rsid w:val="00FC5489"/>
    <w:rsid w:val="00FC66DA"/>
    <w:rsid w:val="00FC70D5"/>
    <w:rsid w:val="00FD0237"/>
    <w:rsid w:val="00FD0577"/>
    <w:rsid w:val="00FD0DDD"/>
    <w:rsid w:val="00FD0FE8"/>
    <w:rsid w:val="00FD11E7"/>
    <w:rsid w:val="00FD14EA"/>
    <w:rsid w:val="00FD169E"/>
    <w:rsid w:val="00FD1828"/>
    <w:rsid w:val="00FD1B05"/>
    <w:rsid w:val="00FD1BC3"/>
    <w:rsid w:val="00FD234E"/>
    <w:rsid w:val="00FD2D65"/>
    <w:rsid w:val="00FD3038"/>
    <w:rsid w:val="00FD3587"/>
    <w:rsid w:val="00FD3F46"/>
    <w:rsid w:val="00FD415E"/>
    <w:rsid w:val="00FD432F"/>
    <w:rsid w:val="00FD44EA"/>
    <w:rsid w:val="00FD4775"/>
    <w:rsid w:val="00FD477B"/>
    <w:rsid w:val="00FD4872"/>
    <w:rsid w:val="00FD496D"/>
    <w:rsid w:val="00FD4D32"/>
    <w:rsid w:val="00FD5128"/>
    <w:rsid w:val="00FD57D0"/>
    <w:rsid w:val="00FD5974"/>
    <w:rsid w:val="00FD5D0B"/>
    <w:rsid w:val="00FD5F79"/>
    <w:rsid w:val="00FD63F3"/>
    <w:rsid w:val="00FD6461"/>
    <w:rsid w:val="00FD675A"/>
    <w:rsid w:val="00FD694D"/>
    <w:rsid w:val="00FD719E"/>
    <w:rsid w:val="00FD71F9"/>
    <w:rsid w:val="00FD78B1"/>
    <w:rsid w:val="00FD7C18"/>
    <w:rsid w:val="00FD7E9C"/>
    <w:rsid w:val="00FD7F39"/>
    <w:rsid w:val="00FE0530"/>
    <w:rsid w:val="00FE054D"/>
    <w:rsid w:val="00FE0B8F"/>
    <w:rsid w:val="00FE0DB1"/>
    <w:rsid w:val="00FE123B"/>
    <w:rsid w:val="00FE1E66"/>
    <w:rsid w:val="00FE224C"/>
    <w:rsid w:val="00FE2D21"/>
    <w:rsid w:val="00FE3263"/>
    <w:rsid w:val="00FE406D"/>
    <w:rsid w:val="00FE42D9"/>
    <w:rsid w:val="00FE465D"/>
    <w:rsid w:val="00FE48DE"/>
    <w:rsid w:val="00FE533E"/>
    <w:rsid w:val="00FE5516"/>
    <w:rsid w:val="00FE5C3D"/>
    <w:rsid w:val="00FE625F"/>
    <w:rsid w:val="00FE6566"/>
    <w:rsid w:val="00FE7163"/>
    <w:rsid w:val="00FE72BE"/>
    <w:rsid w:val="00FE7A44"/>
    <w:rsid w:val="00FE7DB4"/>
    <w:rsid w:val="00FF004B"/>
    <w:rsid w:val="00FF052D"/>
    <w:rsid w:val="00FF0957"/>
    <w:rsid w:val="00FF0A4D"/>
    <w:rsid w:val="00FF0B8D"/>
    <w:rsid w:val="00FF1B56"/>
    <w:rsid w:val="00FF2133"/>
    <w:rsid w:val="00FF25A4"/>
    <w:rsid w:val="00FF2625"/>
    <w:rsid w:val="00FF26FF"/>
    <w:rsid w:val="00FF28D0"/>
    <w:rsid w:val="00FF2960"/>
    <w:rsid w:val="00FF2DE3"/>
    <w:rsid w:val="00FF358A"/>
    <w:rsid w:val="00FF39E3"/>
    <w:rsid w:val="00FF40F5"/>
    <w:rsid w:val="00FF4151"/>
    <w:rsid w:val="00FF43D8"/>
    <w:rsid w:val="00FF47CC"/>
    <w:rsid w:val="00FF4EEB"/>
    <w:rsid w:val="00FF546B"/>
    <w:rsid w:val="00FF54A0"/>
    <w:rsid w:val="00FF5B6A"/>
    <w:rsid w:val="00FF5F39"/>
    <w:rsid w:val="00FF5FEF"/>
    <w:rsid w:val="00FF6162"/>
    <w:rsid w:val="00FF6AD6"/>
    <w:rsid w:val="00FF6ADB"/>
    <w:rsid w:val="00FF6D13"/>
    <w:rsid w:val="00FF6F4B"/>
    <w:rsid w:val="00FF7F16"/>
    <w:rsid w:val="011F6A70"/>
    <w:rsid w:val="0125681A"/>
    <w:rsid w:val="012C6EBE"/>
    <w:rsid w:val="01351DB7"/>
    <w:rsid w:val="013F3D86"/>
    <w:rsid w:val="0150059B"/>
    <w:rsid w:val="017658EE"/>
    <w:rsid w:val="017F4F3B"/>
    <w:rsid w:val="018241E3"/>
    <w:rsid w:val="0187172A"/>
    <w:rsid w:val="018A1439"/>
    <w:rsid w:val="0196032D"/>
    <w:rsid w:val="0199328E"/>
    <w:rsid w:val="01AC6FF2"/>
    <w:rsid w:val="01B41481"/>
    <w:rsid w:val="01B84694"/>
    <w:rsid w:val="01B8481B"/>
    <w:rsid w:val="01CD5676"/>
    <w:rsid w:val="01E53944"/>
    <w:rsid w:val="01EA312A"/>
    <w:rsid w:val="01F068F2"/>
    <w:rsid w:val="02015B47"/>
    <w:rsid w:val="02061494"/>
    <w:rsid w:val="02235224"/>
    <w:rsid w:val="02282146"/>
    <w:rsid w:val="023341B1"/>
    <w:rsid w:val="02345E8B"/>
    <w:rsid w:val="02354F69"/>
    <w:rsid w:val="02500809"/>
    <w:rsid w:val="02621EB2"/>
    <w:rsid w:val="026B4332"/>
    <w:rsid w:val="02850BB3"/>
    <w:rsid w:val="02934CEF"/>
    <w:rsid w:val="02985EFC"/>
    <w:rsid w:val="02A75F90"/>
    <w:rsid w:val="02AA616C"/>
    <w:rsid w:val="02B53CBE"/>
    <w:rsid w:val="02C519A4"/>
    <w:rsid w:val="02C70C22"/>
    <w:rsid w:val="02C766DC"/>
    <w:rsid w:val="02CD15A9"/>
    <w:rsid w:val="02CE7A4B"/>
    <w:rsid w:val="02D012D4"/>
    <w:rsid w:val="02E42A9C"/>
    <w:rsid w:val="02FC2C26"/>
    <w:rsid w:val="030B0178"/>
    <w:rsid w:val="033B2F48"/>
    <w:rsid w:val="034B7E0E"/>
    <w:rsid w:val="03576E5E"/>
    <w:rsid w:val="03746140"/>
    <w:rsid w:val="03762D18"/>
    <w:rsid w:val="03783D1C"/>
    <w:rsid w:val="037E0EBC"/>
    <w:rsid w:val="038F1B8A"/>
    <w:rsid w:val="03A12977"/>
    <w:rsid w:val="03BD5AE4"/>
    <w:rsid w:val="03C0711D"/>
    <w:rsid w:val="03E80866"/>
    <w:rsid w:val="03FE4686"/>
    <w:rsid w:val="040A45ED"/>
    <w:rsid w:val="041F0240"/>
    <w:rsid w:val="04311671"/>
    <w:rsid w:val="043E7436"/>
    <w:rsid w:val="045D3940"/>
    <w:rsid w:val="04687059"/>
    <w:rsid w:val="047636B0"/>
    <w:rsid w:val="047776B3"/>
    <w:rsid w:val="04797C66"/>
    <w:rsid w:val="04807F2B"/>
    <w:rsid w:val="04823210"/>
    <w:rsid w:val="04887278"/>
    <w:rsid w:val="049709EF"/>
    <w:rsid w:val="04A32E9D"/>
    <w:rsid w:val="04A85A33"/>
    <w:rsid w:val="04AB0032"/>
    <w:rsid w:val="04B505E1"/>
    <w:rsid w:val="04CA4B7D"/>
    <w:rsid w:val="04DC5E9A"/>
    <w:rsid w:val="04EE3788"/>
    <w:rsid w:val="04EF33C9"/>
    <w:rsid w:val="04EF6E3D"/>
    <w:rsid w:val="04FD6405"/>
    <w:rsid w:val="050429A0"/>
    <w:rsid w:val="05136907"/>
    <w:rsid w:val="051657B3"/>
    <w:rsid w:val="05365FA5"/>
    <w:rsid w:val="05377777"/>
    <w:rsid w:val="054118EE"/>
    <w:rsid w:val="05473182"/>
    <w:rsid w:val="05551897"/>
    <w:rsid w:val="0559116C"/>
    <w:rsid w:val="05594C10"/>
    <w:rsid w:val="05621F7F"/>
    <w:rsid w:val="05642459"/>
    <w:rsid w:val="057B32AF"/>
    <w:rsid w:val="057D3D11"/>
    <w:rsid w:val="05822DD6"/>
    <w:rsid w:val="0597302A"/>
    <w:rsid w:val="05A12F11"/>
    <w:rsid w:val="05A57D26"/>
    <w:rsid w:val="05A95E4F"/>
    <w:rsid w:val="05C134FC"/>
    <w:rsid w:val="05DB041C"/>
    <w:rsid w:val="06142543"/>
    <w:rsid w:val="061A594B"/>
    <w:rsid w:val="061B18C4"/>
    <w:rsid w:val="063601AC"/>
    <w:rsid w:val="06606421"/>
    <w:rsid w:val="0665282F"/>
    <w:rsid w:val="066B5016"/>
    <w:rsid w:val="066C6F4E"/>
    <w:rsid w:val="06721A40"/>
    <w:rsid w:val="067A41B7"/>
    <w:rsid w:val="067B7E89"/>
    <w:rsid w:val="068E2F00"/>
    <w:rsid w:val="0693146B"/>
    <w:rsid w:val="069D4928"/>
    <w:rsid w:val="069F07B9"/>
    <w:rsid w:val="06A25401"/>
    <w:rsid w:val="06B12033"/>
    <w:rsid w:val="06BB0EAA"/>
    <w:rsid w:val="06BC0961"/>
    <w:rsid w:val="06BF04CB"/>
    <w:rsid w:val="06C93296"/>
    <w:rsid w:val="06D90323"/>
    <w:rsid w:val="06D949E3"/>
    <w:rsid w:val="06DD1AFD"/>
    <w:rsid w:val="06E445F8"/>
    <w:rsid w:val="06E87E13"/>
    <w:rsid w:val="06ED18D7"/>
    <w:rsid w:val="06F844AF"/>
    <w:rsid w:val="07010474"/>
    <w:rsid w:val="07075C9C"/>
    <w:rsid w:val="073C1361"/>
    <w:rsid w:val="07590CF0"/>
    <w:rsid w:val="07797230"/>
    <w:rsid w:val="07832BD0"/>
    <w:rsid w:val="078B100F"/>
    <w:rsid w:val="07953D06"/>
    <w:rsid w:val="079A3F2C"/>
    <w:rsid w:val="07A92473"/>
    <w:rsid w:val="07B465CB"/>
    <w:rsid w:val="07D1358A"/>
    <w:rsid w:val="07D40FD5"/>
    <w:rsid w:val="07D4316E"/>
    <w:rsid w:val="07E14ADB"/>
    <w:rsid w:val="07F10AB7"/>
    <w:rsid w:val="07F15947"/>
    <w:rsid w:val="07F93805"/>
    <w:rsid w:val="07FA2903"/>
    <w:rsid w:val="08040837"/>
    <w:rsid w:val="081169D5"/>
    <w:rsid w:val="081415B7"/>
    <w:rsid w:val="08252894"/>
    <w:rsid w:val="082A162C"/>
    <w:rsid w:val="082C5831"/>
    <w:rsid w:val="08323C36"/>
    <w:rsid w:val="08364DDB"/>
    <w:rsid w:val="083F75BF"/>
    <w:rsid w:val="084F3B52"/>
    <w:rsid w:val="085E409F"/>
    <w:rsid w:val="08625F36"/>
    <w:rsid w:val="0868273B"/>
    <w:rsid w:val="086C1887"/>
    <w:rsid w:val="0876656F"/>
    <w:rsid w:val="08782B49"/>
    <w:rsid w:val="087832DE"/>
    <w:rsid w:val="08834CD2"/>
    <w:rsid w:val="0893420B"/>
    <w:rsid w:val="089D5FCA"/>
    <w:rsid w:val="08A47847"/>
    <w:rsid w:val="08BB0B7D"/>
    <w:rsid w:val="08C554A9"/>
    <w:rsid w:val="08D2725E"/>
    <w:rsid w:val="08D56BA9"/>
    <w:rsid w:val="08DE6430"/>
    <w:rsid w:val="08EE28CE"/>
    <w:rsid w:val="08FA460C"/>
    <w:rsid w:val="08FD1DB0"/>
    <w:rsid w:val="09135118"/>
    <w:rsid w:val="09135DEC"/>
    <w:rsid w:val="09245DBA"/>
    <w:rsid w:val="09311E5E"/>
    <w:rsid w:val="09364BFB"/>
    <w:rsid w:val="093B3D65"/>
    <w:rsid w:val="09500296"/>
    <w:rsid w:val="095A4D71"/>
    <w:rsid w:val="095A61F2"/>
    <w:rsid w:val="096B3FC3"/>
    <w:rsid w:val="098709BF"/>
    <w:rsid w:val="09924976"/>
    <w:rsid w:val="09965E1F"/>
    <w:rsid w:val="099B6A31"/>
    <w:rsid w:val="09A5375D"/>
    <w:rsid w:val="09C36367"/>
    <w:rsid w:val="09DC3A8A"/>
    <w:rsid w:val="09E426AA"/>
    <w:rsid w:val="09E86999"/>
    <w:rsid w:val="09EE6F33"/>
    <w:rsid w:val="09EE6F5D"/>
    <w:rsid w:val="09EF4D90"/>
    <w:rsid w:val="0A0D4FB5"/>
    <w:rsid w:val="0A150CA6"/>
    <w:rsid w:val="0A163992"/>
    <w:rsid w:val="0A1F5988"/>
    <w:rsid w:val="0A2B7FB7"/>
    <w:rsid w:val="0A2D1483"/>
    <w:rsid w:val="0A2F167A"/>
    <w:rsid w:val="0A313A0C"/>
    <w:rsid w:val="0A3251DC"/>
    <w:rsid w:val="0A4859BC"/>
    <w:rsid w:val="0A654C02"/>
    <w:rsid w:val="0A667B75"/>
    <w:rsid w:val="0A7107EE"/>
    <w:rsid w:val="0A736854"/>
    <w:rsid w:val="0A8650D8"/>
    <w:rsid w:val="0A96040B"/>
    <w:rsid w:val="0A980FB2"/>
    <w:rsid w:val="0ABF201D"/>
    <w:rsid w:val="0AE2367F"/>
    <w:rsid w:val="0AFA1FA1"/>
    <w:rsid w:val="0B073641"/>
    <w:rsid w:val="0B1622E9"/>
    <w:rsid w:val="0B1D4091"/>
    <w:rsid w:val="0B1E2A0E"/>
    <w:rsid w:val="0B225152"/>
    <w:rsid w:val="0B303037"/>
    <w:rsid w:val="0B36269B"/>
    <w:rsid w:val="0B3E0F30"/>
    <w:rsid w:val="0B4460B3"/>
    <w:rsid w:val="0B553B0A"/>
    <w:rsid w:val="0B6743F7"/>
    <w:rsid w:val="0B764DD0"/>
    <w:rsid w:val="0B7D6096"/>
    <w:rsid w:val="0B801653"/>
    <w:rsid w:val="0BAE10F3"/>
    <w:rsid w:val="0BBB1DAE"/>
    <w:rsid w:val="0BC63B0D"/>
    <w:rsid w:val="0BCC4159"/>
    <w:rsid w:val="0BCF7BF4"/>
    <w:rsid w:val="0BD0264B"/>
    <w:rsid w:val="0BD50850"/>
    <w:rsid w:val="0BE55276"/>
    <w:rsid w:val="0BEF5CA5"/>
    <w:rsid w:val="0C0C591E"/>
    <w:rsid w:val="0C0F576D"/>
    <w:rsid w:val="0C216E2C"/>
    <w:rsid w:val="0C50067B"/>
    <w:rsid w:val="0C507879"/>
    <w:rsid w:val="0C5478BF"/>
    <w:rsid w:val="0C56615C"/>
    <w:rsid w:val="0C6245B1"/>
    <w:rsid w:val="0C6915F2"/>
    <w:rsid w:val="0C6E0DF7"/>
    <w:rsid w:val="0C856E52"/>
    <w:rsid w:val="0C8672C2"/>
    <w:rsid w:val="0C8835F1"/>
    <w:rsid w:val="0C976AAC"/>
    <w:rsid w:val="0CB41A9D"/>
    <w:rsid w:val="0CC40501"/>
    <w:rsid w:val="0CED74B3"/>
    <w:rsid w:val="0CEE0F81"/>
    <w:rsid w:val="0CFC12EA"/>
    <w:rsid w:val="0D0D7A7B"/>
    <w:rsid w:val="0D2E173F"/>
    <w:rsid w:val="0D3B7E88"/>
    <w:rsid w:val="0D3F4624"/>
    <w:rsid w:val="0D442E57"/>
    <w:rsid w:val="0D6304F1"/>
    <w:rsid w:val="0D842B3F"/>
    <w:rsid w:val="0D8A6929"/>
    <w:rsid w:val="0DB62113"/>
    <w:rsid w:val="0DC64E1F"/>
    <w:rsid w:val="0DC84055"/>
    <w:rsid w:val="0DC935B6"/>
    <w:rsid w:val="0DD80086"/>
    <w:rsid w:val="0DD922BC"/>
    <w:rsid w:val="0DDC36F8"/>
    <w:rsid w:val="0DE14AC5"/>
    <w:rsid w:val="0DE60B36"/>
    <w:rsid w:val="0DEE5B60"/>
    <w:rsid w:val="0E0169CE"/>
    <w:rsid w:val="0E172E1A"/>
    <w:rsid w:val="0E1B33D4"/>
    <w:rsid w:val="0E271D31"/>
    <w:rsid w:val="0E29293A"/>
    <w:rsid w:val="0E2D4088"/>
    <w:rsid w:val="0E3B5080"/>
    <w:rsid w:val="0E416F09"/>
    <w:rsid w:val="0E582D17"/>
    <w:rsid w:val="0E5A2693"/>
    <w:rsid w:val="0E5E33BD"/>
    <w:rsid w:val="0E6072A7"/>
    <w:rsid w:val="0E6C24F0"/>
    <w:rsid w:val="0E774B4E"/>
    <w:rsid w:val="0E90717B"/>
    <w:rsid w:val="0E913F3F"/>
    <w:rsid w:val="0E9204DA"/>
    <w:rsid w:val="0E941D8D"/>
    <w:rsid w:val="0E97378D"/>
    <w:rsid w:val="0E9A01FB"/>
    <w:rsid w:val="0E9C77E0"/>
    <w:rsid w:val="0EA5406C"/>
    <w:rsid w:val="0EA639FA"/>
    <w:rsid w:val="0EA83ED5"/>
    <w:rsid w:val="0EAB56CC"/>
    <w:rsid w:val="0EB26AD9"/>
    <w:rsid w:val="0EC67D03"/>
    <w:rsid w:val="0ED15D87"/>
    <w:rsid w:val="0ED5743F"/>
    <w:rsid w:val="0EDD26E0"/>
    <w:rsid w:val="0EEF3F2E"/>
    <w:rsid w:val="0EF53F21"/>
    <w:rsid w:val="0F000A81"/>
    <w:rsid w:val="0F016FDB"/>
    <w:rsid w:val="0F086673"/>
    <w:rsid w:val="0F135F9C"/>
    <w:rsid w:val="0F154C5A"/>
    <w:rsid w:val="0F193C03"/>
    <w:rsid w:val="0F260122"/>
    <w:rsid w:val="0F423C8F"/>
    <w:rsid w:val="0F486211"/>
    <w:rsid w:val="0F503628"/>
    <w:rsid w:val="0F5A0205"/>
    <w:rsid w:val="0F5E7D64"/>
    <w:rsid w:val="0F6059F1"/>
    <w:rsid w:val="0FAE4421"/>
    <w:rsid w:val="0FBB55A1"/>
    <w:rsid w:val="0FBE02AE"/>
    <w:rsid w:val="0FD526A9"/>
    <w:rsid w:val="0FD97FF0"/>
    <w:rsid w:val="0FE30B63"/>
    <w:rsid w:val="0FEF2558"/>
    <w:rsid w:val="0FFB6D68"/>
    <w:rsid w:val="0FFD41FD"/>
    <w:rsid w:val="102173FB"/>
    <w:rsid w:val="102A2746"/>
    <w:rsid w:val="10405DD6"/>
    <w:rsid w:val="104C5928"/>
    <w:rsid w:val="1052271B"/>
    <w:rsid w:val="10532DA0"/>
    <w:rsid w:val="105A2214"/>
    <w:rsid w:val="106916D0"/>
    <w:rsid w:val="106D2C14"/>
    <w:rsid w:val="1088161D"/>
    <w:rsid w:val="1089753B"/>
    <w:rsid w:val="1092036D"/>
    <w:rsid w:val="10947A67"/>
    <w:rsid w:val="10A613B8"/>
    <w:rsid w:val="10B45948"/>
    <w:rsid w:val="10E94CEA"/>
    <w:rsid w:val="10ED16BE"/>
    <w:rsid w:val="10F94749"/>
    <w:rsid w:val="11050F3A"/>
    <w:rsid w:val="110B7C86"/>
    <w:rsid w:val="111B7796"/>
    <w:rsid w:val="111D46B4"/>
    <w:rsid w:val="11266968"/>
    <w:rsid w:val="112A5FF0"/>
    <w:rsid w:val="113A2D97"/>
    <w:rsid w:val="113A7E7D"/>
    <w:rsid w:val="113F7B1C"/>
    <w:rsid w:val="114C38FF"/>
    <w:rsid w:val="11580813"/>
    <w:rsid w:val="116E041E"/>
    <w:rsid w:val="117C494C"/>
    <w:rsid w:val="117F03A9"/>
    <w:rsid w:val="119B0FE2"/>
    <w:rsid w:val="119B6FB0"/>
    <w:rsid w:val="11A608E8"/>
    <w:rsid w:val="11A766E0"/>
    <w:rsid w:val="11AA4CE6"/>
    <w:rsid w:val="11B1249F"/>
    <w:rsid w:val="11BB3F75"/>
    <w:rsid w:val="11C27133"/>
    <w:rsid w:val="11C97AFC"/>
    <w:rsid w:val="11D67D54"/>
    <w:rsid w:val="11D76AC9"/>
    <w:rsid w:val="11D76B45"/>
    <w:rsid w:val="11E91A7A"/>
    <w:rsid w:val="120F4341"/>
    <w:rsid w:val="120F6A9E"/>
    <w:rsid w:val="121E178F"/>
    <w:rsid w:val="123D7911"/>
    <w:rsid w:val="123E51A5"/>
    <w:rsid w:val="123E53DE"/>
    <w:rsid w:val="124A4CE1"/>
    <w:rsid w:val="124B09DE"/>
    <w:rsid w:val="12515293"/>
    <w:rsid w:val="125315ED"/>
    <w:rsid w:val="12565C90"/>
    <w:rsid w:val="125F485D"/>
    <w:rsid w:val="127F4FF0"/>
    <w:rsid w:val="128A5526"/>
    <w:rsid w:val="129070A2"/>
    <w:rsid w:val="12A61E8B"/>
    <w:rsid w:val="12A714C9"/>
    <w:rsid w:val="12C01FED"/>
    <w:rsid w:val="12C51E41"/>
    <w:rsid w:val="12C77593"/>
    <w:rsid w:val="12DB2936"/>
    <w:rsid w:val="12E56593"/>
    <w:rsid w:val="12ED55F4"/>
    <w:rsid w:val="12EF6632"/>
    <w:rsid w:val="12F4621D"/>
    <w:rsid w:val="1301042B"/>
    <w:rsid w:val="131360CC"/>
    <w:rsid w:val="132023CD"/>
    <w:rsid w:val="13343E10"/>
    <w:rsid w:val="133E18E4"/>
    <w:rsid w:val="1342238B"/>
    <w:rsid w:val="13485252"/>
    <w:rsid w:val="13497000"/>
    <w:rsid w:val="13535B48"/>
    <w:rsid w:val="13677964"/>
    <w:rsid w:val="136D7CFE"/>
    <w:rsid w:val="13767ADB"/>
    <w:rsid w:val="13891A0B"/>
    <w:rsid w:val="13927E1B"/>
    <w:rsid w:val="1393350B"/>
    <w:rsid w:val="139A46AA"/>
    <w:rsid w:val="139D287A"/>
    <w:rsid w:val="13B30B33"/>
    <w:rsid w:val="13B859C9"/>
    <w:rsid w:val="13D65416"/>
    <w:rsid w:val="13D8396B"/>
    <w:rsid w:val="13DE69E7"/>
    <w:rsid w:val="13E52FB8"/>
    <w:rsid w:val="14010F13"/>
    <w:rsid w:val="142514EB"/>
    <w:rsid w:val="1426603E"/>
    <w:rsid w:val="14404836"/>
    <w:rsid w:val="145950FC"/>
    <w:rsid w:val="147D3462"/>
    <w:rsid w:val="147D7658"/>
    <w:rsid w:val="147E798C"/>
    <w:rsid w:val="14950FCB"/>
    <w:rsid w:val="14A502E2"/>
    <w:rsid w:val="14B6588E"/>
    <w:rsid w:val="14BD12D2"/>
    <w:rsid w:val="14CE758B"/>
    <w:rsid w:val="14CF50F8"/>
    <w:rsid w:val="14D86E56"/>
    <w:rsid w:val="14E0464C"/>
    <w:rsid w:val="14E079D5"/>
    <w:rsid w:val="14F32C2F"/>
    <w:rsid w:val="14FA3215"/>
    <w:rsid w:val="15191204"/>
    <w:rsid w:val="151E19F2"/>
    <w:rsid w:val="152C1024"/>
    <w:rsid w:val="15321BAC"/>
    <w:rsid w:val="153F6159"/>
    <w:rsid w:val="15402152"/>
    <w:rsid w:val="154B25EC"/>
    <w:rsid w:val="15573978"/>
    <w:rsid w:val="155C56E0"/>
    <w:rsid w:val="1562240A"/>
    <w:rsid w:val="158F3DE0"/>
    <w:rsid w:val="1594158F"/>
    <w:rsid w:val="15A44760"/>
    <w:rsid w:val="15A93EFE"/>
    <w:rsid w:val="15B6602E"/>
    <w:rsid w:val="15BA472A"/>
    <w:rsid w:val="15CE6085"/>
    <w:rsid w:val="160142CD"/>
    <w:rsid w:val="162A58DA"/>
    <w:rsid w:val="16300BEB"/>
    <w:rsid w:val="1634210F"/>
    <w:rsid w:val="16342542"/>
    <w:rsid w:val="163C2B13"/>
    <w:rsid w:val="164C6B69"/>
    <w:rsid w:val="16555B6A"/>
    <w:rsid w:val="165F1FC3"/>
    <w:rsid w:val="1660277C"/>
    <w:rsid w:val="166139C2"/>
    <w:rsid w:val="167878C2"/>
    <w:rsid w:val="168123F1"/>
    <w:rsid w:val="16845253"/>
    <w:rsid w:val="16855282"/>
    <w:rsid w:val="168B26F9"/>
    <w:rsid w:val="168C0184"/>
    <w:rsid w:val="168C43BC"/>
    <w:rsid w:val="16905BEC"/>
    <w:rsid w:val="169A5A8F"/>
    <w:rsid w:val="16A333A7"/>
    <w:rsid w:val="16A50B6A"/>
    <w:rsid w:val="16A57A69"/>
    <w:rsid w:val="16AA28FA"/>
    <w:rsid w:val="16AB4C55"/>
    <w:rsid w:val="16B34D7B"/>
    <w:rsid w:val="16BD198A"/>
    <w:rsid w:val="16D77CBF"/>
    <w:rsid w:val="16DB0BFD"/>
    <w:rsid w:val="16FD5FCF"/>
    <w:rsid w:val="17033859"/>
    <w:rsid w:val="171E3822"/>
    <w:rsid w:val="173132B2"/>
    <w:rsid w:val="173349C8"/>
    <w:rsid w:val="173D2EE9"/>
    <w:rsid w:val="174C4AA0"/>
    <w:rsid w:val="175F3247"/>
    <w:rsid w:val="176355F8"/>
    <w:rsid w:val="17666413"/>
    <w:rsid w:val="1768254B"/>
    <w:rsid w:val="176C6D00"/>
    <w:rsid w:val="1772665E"/>
    <w:rsid w:val="177C149C"/>
    <w:rsid w:val="17800EC8"/>
    <w:rsid w:val="17915AC4"/>
    <w:rsid w:val="1791639B"/>
    <w:rsid w:val="179C70A9"/>
    <w:rsid w:val="17A72666"/>
    <w:rsid w:val="17AF6891"/>
    <w:rsid w:val="17B6028C"/>
    <w:rsid w:val="17BA5811"/>
    <w:rsid w:val="17BB7046"/>
    <w:rsid w:val="17BF757C"/>
    <w:rsid w:val="17C3509D"/>
    <w:rsid w:val="17D32F84"/>
    <w:rsid w:val="17D925B6"/>
    <w:rsid w:val="17E00F6E"/>
    <w:rsid w:val="17E769AB"/>
    <w:rsid w:val="17EF37F9"/>
    <w:rsid w:val="17F673B7"/>
    <w:rsid w:val="18047825"/>
    <w:rsid w:val="181A7AA6"/>
    <w:rsid w:val="182271D1"/>
    <w:rsid w:val="18293512"/>
    <w:rsid w:val="182C548F"/>
    <w:rsid w:val="18327661"/>
    <w:rsid w:val="184B01F2"/>
    <w:rsid w:val="1850387F"/>
    <w:rsid w:val="1856132B"/>
    <w:rsid w:val="185830D7"/>
    <w:rsid w:val="185C2EDF"/>
    <w:rsid w:val="185D11EC"/>
    <w:rsid w:val="18650AF2"/>
    <w:rsid w:val="18675385"/>
    <w:rsid w:val="186902BF"/>
    <w:rsid w:val="18701884"/>
    <w:rsid w:val="18704BAD"/>
    <w:rsid w:val="18760FDE"/>
    <w:rsid w:val="187B0453"/>
    <w:rsid w:val="18902D39"/>
    <w:rsid w:val="18AC19CF"/>
    <w:rsid w:val="18AC3BEE"/>
    <w:rsid w:val="18B62C08"/>
    <w:rsid w:val="18EC0606"/>
    <w:rsid w:val="18FA1113"/>
    <w:rsid w:val="18FD4F90"/>
    <w:rsid w:val="19044582"/>
    <w:rsid w:val="19087026"/>
    <w:rsid w:val="190A5ABE"/>
    <w:rsid w:val="190C2389"/>
    <w:rsid w:val="19255582"/>
    <w:rsid w:val="192D6B20"/>
    <w:rsid w:val="19304EC5"/>
    <w:rsid w:val="19387784"/>
    <w:rsid w:val="193F069B"/>
    <w:rsid w:val="19455F1C"/>
    <w:rsid w:val="19610DEF"/>
    <w:rsid w:val="1961286F"/>
    <w:rsid w:val="19665D28"/>
    <w:rsid w:val="19850AF9"/>
    <w:rsid w:val="1989144C"/>
    <w:rsid w:val="19902190"/>
    <w:rsid w:val="19A8303F"/>
    <w:rsid w:val="19AF5DD1"/>
    <w:rsid w:val="19BC46A1"/>
    <w:rsid w:val="19C42EF9"/>
    <w:rsid w:val="19C94053"/>
    <w:rsid w:val="19D0149C"/>
    <w:rsid w:val="19D6173B"/>
    <w:rsid w:val="19F0523F"/>
    <w:rsid w:val="19FE6B05"/>
    <w:rsid w:val="1A02498D"/>
    <w:rsid w:val="1A0E3F2E"/>
    <w:rsid w:val="1A126CE5"/>
    <w:rsid w:val="1A145B19"/>
    <w:rsid w:val="1A165FE9"/>
    <w:rsid w:val="1A1B1255"/>
    <w:rsid w:val="1A2364FA"/>
    <w:rsid w:val="1A2D79BA"/>
    <w:rsid w:val="1A3A554B"/>
    <w:rsid w:val="1A3D35E2"/>
    <w:rsid w:val="1A4221B0"/>
    <w:rsid w:val="1A4325D3"/>
    <w:rsid w:val="1A4C24FB"/>
    <w:rsid w:val="1A4E6954"/>
    <w:rsid w:val="1A5D3CBD"/>
    <w:rsid w:val="1A5F0B69"/>
    <w:rsid w:val="1A6316CE"/>
    <w:rsid w:val="1A6A1A25"/>
    <w:rsid w:val="1A6E5FB1"/>
    <w:rsid w:val="1A7B717D"/>
    <w:rsid w:val="1A7C1BE7"/>
    <w:rsid w:val="1A7C5A17"/>
    <w:rsid w:val="1A810791"/>
    <w:rsid w:val="1A920847"/>
    <w:rsid w:val="1AA85A85"/>
    <w:rsid w:val="1AA92FF4"/>
    <w:rsid w:val="1AB0573F"/>
    <w:rsid w:val="1AB95938"/>
    <w:rsid w:val="1AC53748"/>
    <w:rsid w:val="1AC64307"/>
    <w:rsid w:val="1AD37B8D"/>
    <w:rsid w:val="1AD47B96"/>
    <w:rsid w:val="1AD94DDF"/>
    <w:rsid w:val="1ADF6D58"/>
    <w:rsid w:val="1AEB21F0"/>
    <w:rsid w:val="1AFC2A03"/>
    <w:rsid w:val="1B1258BD"/>
    <w:rsid w:val="1B164B5E"/>
    <w:rsid w:val="1B180311"/>
    <w:rsid w:val="1B183088"/>
    <w:rsid w:val="1B313650"/>
    <w:rsid w:val="1B3B754B"/>
    <w:rsid w:val="1B563F9E"/>
    <w:rsid w:val="1B6B39BC"/>
    <w:rsid w:val="1B6C7155"/>
    <w:rsid w:val="1B72173B"/>
    <w:rsid w:val="1B744224"/>
    <w:rsid w:val="1B7A5099"/>
    <w:rsid w:val="1B7A6C0C"/>
    <w:rsid w:val="1B7E7D96"/>
    <w:rsid w:val="1B7F55A6"/>
    <w:rsid w:val="1B89508D"/>
    <w:rsid w:val="1BAE18A7"/>
    <w:rsid w:val="1BB14302"/>
    <w:rsid w:val="1BBA2DE0"/>
    <w:rsid w:val="1BC65E87"/>
    <w:rsid w:val="1BCE0F9D"/>
    <w:rsid w:val="1BE136C9"/>
    <w:rsid w:val="1BE83AC4"/>
    <w:rsid w:val="1BEE66EE"/>
    <w:rsid w:val="1BF12978"/>
    <w:rsid w:val="1C182E62"/>
    <w:rsid w:val="1C294FF9"/>
    <w:rsid w:val="1C296169"/>
    <w:rsid w:val="1C3138A1"/>
    <w:rsid w:val="1C340F0E"/>
    <w:rsid w:val="1C4A1A70"/>
    <w:rsid w:val="1C50373A"/>
    <w:rsid w:val="1C581A17"/>
    <w:rsid w:val="1C5A78FA"/>
    <w:rsid w:val="1C6E712E"/>
    <w:rsid w:val="1C7B1C92"/>
    <w:rsid w:val="1C961AB5"/>
    <w:rsid w:val="1CBA4001"/>
    <w:rsid w:val="1CE03C2B"/>
    <w:rsid w:val="1D11447C"/>
    <w:rsid w:val="1D1F4F82"/>
    <w:rsid w:val="1D25294D"/>
    <w:rsid w:val="1D3207FB"/>
    <w:rsid w:val="1D3C35D7"/>
    <w:rsid w:val="1D3C7E89"/>
    <w:rsid w:val="1D581489"/>
    <w:rsid w:val="1D582060"/>
    <w:rsid w:val="1D5C3264"/>
    <w:rsid w:val="1D61678A"/>
    <w:rsid w:val="1D6864B5"/>
    <w:rsid w:val="1D6E17A5"/>
    <w:rsid w:val="1D8130A9"/>
    <w:rsid w:val="1D830B79"/>
    <w:rsid w:val="1D914288"/>
    <w:rsid w:val="1D9E300B"/>
    <w:rsid w:val="1DA75838"/>
    <w:rsid w:val="1DB65465"/>
    <w:rsid w:val="1DBC3A09"/>
    <w:rsid w:val="1DC40AAF"/>
    <w:rsid w:val="1DDD1FE1"/>
    <w:rsid w:val="1DE71DF5"/>
    <w:rsid w:val="1DE877AA"/>
    <w:rsid w:val="1DEC0EC6"/>
    <w:rsid w:val="1E3B0826"/>
    <w:rsid w:val="1E3E22BF"/>
    <w:rsid w:val="1E3E2693"/>
    <w:rsid w:val="1E40548E"/>
    <w:rsid w:val="1E4A19AF"/>
    <w:rsid w:val="1E5A579C"/>
    <w:rsid w:val="1E7223AB"/>
    <w:rsid w:val="1E7A3AEF"/>
    <w:rsid w:val="1E7F376F"/>
    <w:rsid w:val="1E874C28"/>
    <w:rsid w:val="1E8F3078"/>
    <w:rsid w:val="1EB14A2F"/>
    <w:rsid w:val="1EB3177A"/>
    <w:rsid w:val="1EB56858"/>
    <w:rsid w:val="1EC705C4"/>
    <w:rsid w:val="1EC83B25"/>
    <w:rsid w:val="1ECD4C36"/>
    <w:rsid w:val="1ED97BDC"/>
    <w:rsid w:val="1EE5351D"/>
    <w:rsid w:val="1EF65EF6"/>
    <w:rsid w:val="1EF8692C"/>
    <w:rsid w:val="1EFB70AD"/>
    <w:rsid w:val="1F02433E"/>
    <w:rsid w:val="1F2545A0"/>
    <w:rsid w:val="1F5B41C5"/>
    <w:rsid w:val="1F5B522B"/>
    <w:rsid w:val="1F5B64F7"/>
    <w:rsid w:val="1F602B95"/>
    <w:rsid w:val="1F6034DA"/>
    <w:rsid w:val="1F610464"/>
    <w:rsid w:val="1F6608F6"/>
    <w:rsid w:val="1F6B516B"/>
    <w:rsid w:val="1F737DA7"/>
    <w:rsid w:val="1F8131B7"/>
    <w:rsid w:val="1F914072"/>
    <w:rsid w:val="1F974D47"/>
    <w:rsid w:val="1F9F7601"/>
    <w:rsid w:val="1FAA0518"/>
    <w:rsid w:val="1FAD7813"/>
    <w:rsid w:val="1FC97374"/>
    <w:rsid w:val="1FDF676A"/>
    <w:rsid w:val="1FF110DC"/>
    <w:rsid w:val="1FFE6231"/>
    <w:rsid w:val="1FFF1113"/>
    <w:rsid w:val="200107D5"/>
    <w:rsid w:val="20052B5D"/>
    <w:rsid w:val="200F3C1D"/>
    <w:rsid w:val="201620B4"/>
    <w:rsid w:val="202B68AE"/>
    <w:rsid w:val="202F793E"/>
    <w:rsid w:val="203D3166"/>
    <w:rsid w:val="20404305"/>
    <w:rsid w:val="20481907"/>
    <w:rsid w:val="206036D4"/>
    <w:rsid w:val="2064115A"/>
    <w:rsid w:val="206870D0"/>
    <w:rsid w:val="206E103C"/>
    <w:rsid w:val="207634AF"/>
    <w:rsid w:val="20824104"/>
    <w:rsid w:val="208B6F33"/>
    <w:rsid w:val="20904241"/>
    <w:rsid w:val="20923102"/>
    <w:rsid w:val="209A12F6"/>
    <w:rsid w:val="20A5542D"/>
    <w:rsid w:val="20AA40A0"/>
    <w:rsid w:val="20AF6A38"/>
    <w:rsid w:val="20BD1C65"/>
    <w:rsid w:val="20CC5370"/>
    <w:rsid w:val="20CE7CBB"/>
    <w:rsid w:val="20D61ED3"/>
    <w:rsid w:val="20D85477"/>
    <w:rsid w:val="210D463D"/>
    <w:rsid w:val="2122497B"/>
    <w:rsid w:val="212A5E65"/>
    <w:rsid w:val="21382F57"/>
    <w:rsid w:val="21483DCB"/>
    <w:rsid w:val="214F31D6"/>
    <w:rsid w:val="21520506"/>
    <w:rsid w:val="215971DB"/>
    <w:rsid w:val="216840B7"/>
    <w:rsid w:val="21707ABA"/>
    <w:rsid w:val="217750CC"/>
    <w:rsid w:val="217C6B87"/>
    <w:rsid w:val="217C7FFF"/>
    <w:rsid w:val="217D6F5B"/>
    <w:rsid w:val="217F7DE1"/>
    <w:rsid w:val="218C712D"/>
    <w:rsid w:val="219433BE"/>
    <w:rsid w:val="219B42AE"/>
    <w:rsid w:val="219F4DC2"/>
    <w:rsid w:val="21A6323A"/>
    <w:rsid w:val="21B8627A"/>
    <w:rsid w:val="21C76342"/>
    <w:rsid w:val="21DC1077"/>
    <w:rsid w:val="21E500BF"/>
    <w:rsid w:val="21F46DD7"/>
    <w:rsid w:val="21FE34D3"/>
    <w:rsid w:val="22102FC3"/>
    <w:rsid w:val="22106435"/>
    <w:rsid w:val="2211058E"/>
    <w:rsid w:val="2212793C"/>
    <w:rsid w:val="222446A3"/>
    <w:rsid w:val="22263305"/>
    <w:rsid w:val="22267251"/>
    <w:rsid w:val="223C6316"/>
    <w:rsid w:val="224A3888"/>
    <w:rsid w:val="2258018F"/>
    <w:rsid w:val="2269387C"/>
    <w:rsid w:val="226C7BAC"/>
    <w:rsid w:val="22834CF1"/>
    <w:rsid w:val="228F4F8F"/>
    <w:rsid w:val="229A773C"/>
    <w:rsid w:val="229C6E40"/>
    <w:rsid w:val="229F0037"/>
    <w:rsid w:val="22A77209"/>
    <w:rsid w:val="22B26378"/>
    <w:rsid w:val="22B649DD"/>
    <w:rsid w:val="22B83BBC"/>
    <w:rsid w:val="22C2087A"/>
    <w:rsid w:val="22DB1E07"/>
    <w:rsid w:val="22DF69C6"/>
    <w:rsid w:val="22F874E8"/>
    <w:rsid w:val="22FC4DA6"/>
    <w:rsid w:val="230612A7"/>
    <w:rsid w:val="230F4FB3"/>
    <w:rsid w:val="23252EB8"/>
    <w:rsid w:val="232668D5"/>
    <w:rsid w:val="232A266D"/>
    <w:rsid w:val="232C327F"/>
    <w:rsid w:val="23384757"/>
    <w:rsid w:val="23462716"/>
    <w:rsid w:val="234E1D95"/>
    <w:rsid w:val="234E7067"/>
    <w:rsid w:val="23550AD0"/>
    <w:rsid w:val="23577E5C"/>
    <w:rsid w:val="235A168E"/>
    <w:rsid w:val="235B0632"/>
    <w:rsid w:val="235F6585"/>
    <w:rsid w:val="23766920"/>
    <w:rsid w:val="2394513F"/>
    <w:rsid w:val="23B271DC"/>
    <w:rsid w:val="23B742F4"/>
    <w:rsid w:val="23B9450B"/>
    <w:rsid w:val="23BC0507"/>
    <w:rsid w:val="23CB21DA"/>
    <w:rsid w:val="23D41165"/>
    <w:rsid w:val="23DB5B4C"/>
    <w:rsid w:val="23DD1F6C"/>
    <w:rsid w:val="240437AA"/>
    <w:rsid w:val="240C2B3A"/>
    <w:rsid w:val="240D2A9C"/>
    <w:rsid w:val="24210E4E"/>
    <w:rsid w:val="242C18C4"/>
    <w:rsid w:val="242C213A"/>
    <w:rsid w:val="245F17EC"/>
    <w:rsid w:val="24624B37"/>
    <w:rsid w:val="24625EA0"/>
    <w:rsid w:val="246E68E8"/>
    <w:rsid w:val="24895713"/>
    <w:rsid w:val="24A0399F"/>
    <w:rsid w:val="24B564E0"/>
    <w:rsid w:val="24B876B2"/>
    <w:rsid w:val="24CD287B"/>
    <w:rsid w:val="24E821FC"/>
    <w:rsid w:val="24F554E6"/>
    <w:rsid w:val="25090523"/>
    <w:rsid w:val="250A7D5C"/>
    <w:rsid w:val="251746F0"/>
    <w:rsid w:val="253F2264"/>
    <w:rsid w:val="2541397E"/>
    <w:rsid w:val="254B40B2"/>
    <w:rsid w:val="254D335F"/>
    <w:rsid w:val="255346CB"/>
    <w:rsid w:val="25712EAE"/>
    <w:rsid w:val="25847B33"/>
    <w:rsid w:val="259A122B"/>
    <w:rsid w:val="25A179C3"/>
    <w:rsid w:val="25A23B72"/>
    <w:rsid w:val="25B33FA7"/>
    <w:rsid w:val="25BD3CA6"/>
    <w:rsid w:val="25BF3326"/>
    <w:rsid w:val="25BF627F"/>
    <w:rsid w:val="25C766C8"/>
    <w:rsid w:val="25D37304"/>
    <w:rsid w:val="25DC5E42"/>
    <w:rsid w:val="25EE750F"/>
    <w:rsid w:val="26084AA7"/>
    <w:rsid w:val="260A6611"/>
    <w:rsid w:val="260F58DC"/>
    <w:rsid w:val="2617264B"/>
    <w:rsid w:val="262420A3"/>
    <w:rsid w:val="26407842"/>
    <w:rsid w:val="264D2600"/>
    <w:rsid w:val="267B0D13"/>
    <w:rsid w:val="26916F1C"/>
    <w:rsid w:val="26A1465B"/>
    <w:rsid w:val="26A717FF"/>
    <w:rsid w:val="26A772A7"/>
    <w:rsid w:val="26AE7FF0"/>
    <w:rsid w:val="26B171B9"/>
    <w:rsid w:val="26B86B93"/>
    <w:rsid w:val="26BA2A88"/>
    <w:rsid w:val="27036A48"/>
    <w:rsid w:val="270812F9"/>
    <w:rsid w:val="270A712E"/>
    <w:rsid w:val="27120152"/>
    <w:rsid w:val="27410905"/>
    <w:rsid w:val="275F7EF3"/>
    <w:rsid w:val="2764097C"/>
    <w:rsid w:val="27767961"/>
    <w:rsid w:val="278542B4"/>
    <w:rsid w:val="279069C1"/>
    <w:rsid w:val="27A66474"/>
    <w:rsid w:val="27CC091C"/>
    <w:rsid w:val="27DE4235"/>
    <w:rsid w:val="27E67A43"/>
    <w:rsid w:val="27FA15F4"/>
    <w:rsid w:val="27FC19AB"/>
    <w:rsid w:val="28180E41"/>
    <w:rsid w:val="28187989"/>
    <w:rsid w:val="282B5E5B"/>
    <w:rsid w:val="28441B85"/>
    <w:rsid w:val="28445BA3"/>
    <w:rsid w:val="28572FF4"/>
    <w:rsid w:val="2861534B"/>
    <w:rsid w:val="286921AF"/>
    <w:rsid w:val="28776D26"/>
    <w:rsid w:val="289042BD"/>
    <w:rsid w:val="28940373"/>
    <w:rsid w:val="28A06628"/>
    <w:rsid w:val="28AA045C"/>
    <w:rsid w:val="28BD5251"/>
    <w:rsid w:val="28C606E7"/>
    <w:rsid w:val="28D01274"/>
    <w:rsid w:val="28D92391"/>
    <w:rsid w:val="28E901C4"/>
    <w:rsid w:val="28F60BE9"/>
    <w:rsid w:val="29040AEF"/>
    <w:rsid w:val="291717A7"/>
    <w:rsid w:val="2917705B"/>
    <w:rsid w:val="291974D7"/>
    <w:rsid w:val="29357C71"/>
    <w:rsid w:val="293E43CA"/>
    <w:rsid w:val="29753B56"/>
    <w:rsid w:val="2979190F"/>
    <w:rsid w:val="2980065D"/>
    <w:rsid w:val="2982372F"/>
    <w:rsid w:val="299A3E32"/>
    <w:rsid w:val="29A2287A"/>
    <w:rsid w:val="29A95FD6"/>
    <w:rsid w:val="29AA5DFE"/>
    <w:rsid w:val="29B26CBD"/>
    <w:rsid w:val="29B915F2"/>
    <w:rsid w:val="29BF65D9"/>
    <w:rsid w:val="29C60BDD"/>
    <w:rsid w:val="29FD49E7"/>
    <w:rsid w:val="29FD5C67"/>
    <w:rsid w:val="2A0C376C"/>
    <w:rsid w:val="2A205C5E"/>
    <w:rsid w:val="2A295505"/>
    <w:rsid w:val="2A331DF3"/>
    <w:rsid w:val="2A3335E3"/>
    <w:rsid w:val="2A334528"/>
    <w:rsid w:val="2A3415B0"/>
    <w:rsid w:val="2A366446"/>
    <w:rsid w:val="2A383867"/>
    <w:rsid w:val="2A492C82"/>
    <w:rsid w:val="2A4D00D1"/>
    <w:rsid w:val="2A5C4D90"/>
    <w:rsid w:val="2A6D366D"/>
    <w:rsid w:val="2A715FD6"/>
    <w:rsid w:val="2A7C0B09"/>
    <w:rsid w:val="2A836E98"/>
    <w:rsid w:val="2A8B3817"/>
    <w:rsid w:val="2A8F385D"/>
    <w:rsid w:val="2A9034B4"/>
    <w:rsid w:val="2AA605A4"/>
    <w:rsid w:val="2AA60DD9"/>
    <w:rsid w:val="2AB33F87"/>
    <w:rsid w:val="2ACD0B36"/>
    <w:rsid w:val="2AD111FD"/>
    <w:rsid w:val="2ADB2D56"/>
    <w:rsid w:val="2B034328"/>
    <w:rsid w:val="2B052E66"/>
    <w:rsid w:val="2B057B58"/>
    <w:rsid w:val="2B0C6254"/>
    <w:rsid w:val="2B2E3CA3"/>
    <w:rsid w:val="2B507EB6"/>
    <w:rsid w:val="2B5D556F"/>
    <w:rsid w:val="2B5F6EA6"/>
    <w:rsid w:val="2B692A79"/>
    <w:rsid w:val="2B7208B0"/>
    <w:rsid w:val="2B723083"/>
    <w:rsid w:val="2B761F1B"/>
    <w:rsid w:val="2B7E382A"/>
    <w:rsid w:val="2BC02C71"/>
    <w:rsid w:val="2BD6261E"/>
    <w:rsid w:val="2BE0479E"/>
    <w:rsid w:val="2BF60E02"/>
    <w:rsid w:val="2C0C40B6"/>
    <w:rsid w:val="2C0D60C4"/>
    <w:rsid w:val="2C221352"/>
    <w:rsid w:val="2C230F12"/>
    <w:rsid w:val="2C340552"/>
    <w:rsid w:val="2C3A3A18"/>
    <w:rsid w:val="2C406671"/>
    <w:rsid w:val="2C437678"/>
    <w:rsid w:val="2C5F7ED0"/>
    <w:rsid w:val="2C701C82"/>
    <w:rsid w:val="2C72245B"/>
    <w:rsid w:val="2C770FA3"/>
    <w:rsid w:val="2C7929C9"/>
    <w:rsid w:val="2C7A2CDC"/>
    <w:rsid w:val="2C8C4DA7"/>
    <w:rsid w:val="2C8D7AFE"/>
    <w:rsid w:val="2C940967"/>
    <w:rsid w:val="2C985BA6"/>
    <w:rsid w:val="2CA3250F"/>
    <w:rsid w:val="2CA83BFD"/>
    <w:rsid w:val="2CB172AB"/>
    <w:rsid w:val="2CB5245E"/>
    <w:rsid w:val="2CCC61DC"/>
    <w:rsid w:val="2CD835FA"/>
    <w:rsid w:val="2CE30F22"/>
    <w:rsid w:val="2CE460FF"/>
    <w:rsid w:val="2CFD1EAE"/>
    <w:rsid w:val="2CFF2CF1"/>
    <w:rsid w:val="2D0020FD"/>
    <w:rsid w:val="2D004449"/>
    <w:rsid w:val="2D040A3A"/>
    <w:rsid w:val="2D1B6979"/>
    <w:rsid w:val="2D3065F6"/>
    <w:rsid w:val="2D3E159C"/>
    <w:rsid w:val="2D454F76"/>
    <w:rsid w:val="2D5E5ACD"/>
    <w:rsid w:val="2D664E53"/>
    <w:rsid w:val="2D764C10"/>
    <w:rsid w:val="2D7A291E"/>
    <w:rsid w:val="2D7A5B83"/>
    <w:rsid w:val="2D7A691B"/>
    <w:rsid w:val="2D7E6051"/>
    <w:rsid w:val="2D8662AB"/>
    <w:rsid w:val="2D9D3CD6"/>
    <w:rsid w:val="2DAB070C"/>
    <w:rsid w:val="2DB81BCA"/>
    <w:rsid w:val="2DBA421D"/>
    <w:rsid w:val="2DCA68D8"/>
    <w:rsid w:val="2DCB4211"/>
    <w:rsid w:val="2DD123D5"/>
    <w:rsid w:val="2DFF65A7"/>
    <w:rsid w:val="2E007074"/>
    <w:rsid w:val="2E14172E"/>
    <w:rsid w:val="2E156C84"/>
    <w:rsid w:val="2E1F458A"/>
    <w:rsid w:val="2E344DAF"/>
    <w:rsid w:val="2E3933DD"/>
    <w:rsid w:val="2E542892"/>
    <w:rsid w:val="2E7C5CD1"/>
    <w:rsid w:val="2E827222"/>
    <w:rsid w:val="2E881839"/>
    <w:rsid w:val="2E936895"/>
    <w:rsid w:val="2E9C1619"/>
    <w:rsid w:val="2EA90574"/>
    <w:rsid w:val="2EA96D06"/>
    <w:rsid w:val="2EB475FA"/>
    <w:rsid w:val="2EB948EE"/>
    <w:rsid w:val="2EC767B9"/>
    <w:rsid w:val="2ECE30AA"/>
    <w:rsid w:val="2EDE7E92"/>
    <w:rsid w:val="2EDF2CF0"/>
    <w:rsid w:val="2EE32667"/>
    <w:rsid w:val="2EE70C2A"/>
    <w:rsid w:val="2EFE24FC"/>
    <w:rsid w:val="2F0B230D"/>
    <w:rsid w:val="2F1831B2"/>
    <w:rsid w:val="2F1D1825"/>
    <w:rsid w:val="2F1F6148"/>
    <w:rsid w:val="2F397ECA"/>
    <w:rsid w:val="2F4C7A7D"/>
    <w:rsid w:val="2F622F67"/>
    <w:rsid w:val="2F624BBD"/>
    <w:rsid w:val="2F77336C"/>
    <w:rsid w:val="2F831B61"/>
    <w:rsid w:val="2F8C627E"/>
    <w:rsid w:val="2F922726"/>
    <w:rsid w:val="2F9E6F42"/>
    <w:rsid w:val="2FA86799"/>
    <w:rsid w:val="2FBB3BF3"/>
    <w:rsid w:val="2FC25AE3"/>
    <w:rsid w:val="2FD06907"/>
    <w:rsid w:val="2FDB3DFA"/>
    <w:rsid w:val="2FDD1EC2"/>
    <w:rsid w:val="2FDF0645"/>
    <w:rsid w:val="2FDF697F"/>
    <w:rsid w:val="2FE17991"/>
    <w:rsid w:val="2FE779E3"/>
    <w:rsid w:val="2FED5A57"/>
    <w:rsid w:val="300A7C9C"/>
    <w:rsid w:val="300B61F3"/>
    <w:rsid w:val="301256DD"/>
    <w:rsid w:val="30166435"/>
    <w:rsid w:val="30192227"/>
    <w:rsid w:val="301F4F73"/>
    <w:rsid w:val="3028126B"/>
    <w:rsid w:val="302F1D36"/>
    <w:rsid w:val="30325164"/>
    <w:rsid w:val="303B3444"/>
    <w:rsid w:val="304159E4"/>
    <w:rsid w:val="30461251"/>
    <w:rsid w:val="304F3F56"/>
    <w:rsid w:val="305E6FBC"/>
    <w:rsid w:val="30602CE0"/>
    <w:rsid w:val="30622D1F"/>
    <w:rsid w:val="3071398E"/>
    <w:rsid w:val="307D42E1"/>
    <w:rsid w:val="307D6BEE"/>
    <w:rsid w:val="30826F45"/>
    <w:rsid w:val="308512FF"/>
    <w:rsid w:val="30962223"/>
    <w:rsid w:val="309F66E8"/>
    <w:rsid w:val="30A208D6"/>
    <w:rsid w:val="30A820C2"/>
    <w:rsid w:val="30AC7099"/>
    <w:rsid w:val="30AD40B6"/>
    <w:rsid w:val="30B02ECD"/>
    <w:rsid w:val="30C97C89"/>
    <w:rsid w:val="30D0747B"/>
    <w:rsid w:val="31000E5F"/>
    <w:rsid w:val="310E2D17"/>
    <w:rsid w:val="311901A8"/>
    <w:rsid w:val="312C3581"/>
    <w:rsid w:val="314C15D1"/>
    <w:rsid w:val="31544FDE"/>
    <w:rsid w:val="3164256F"/>
    <w:rsid w:val="316C1AF9"/>
    <w:rsid w:val="316E5904"/>
    <w:rsid w:val="31744959"/>
    <w:rsid w:val="31820ECF"/>
    <w:rsid w:val="31890D85"/>
    <w:rsid w:val="31941E22"/>
    <w:rsid w:val="31CD4724"/>
    <w:rsid w:val="31D04565"/>
    <w:rsid w:val="31D60522"/>
    <w:rsid w:val="31DC5E9C"/>
    <w:rsid w:val="31E06BCA"/>
    <w:rsid w:val="31E37F93"/>
    <w:rsid w:val="31F816AF"/>
    <w:rsid w:val="32083CCE"/>
    <w:rsid w:val="32146967"/>
    <w:rsid w:val="32157EE6"/>
    <w:rsid w:val="322354C0"/>
    <w:rsid w:val="322B2CE8"/>
    <w:rsid w:val="323139FD"/>
    <w:rsid w:val="323B5551"/>
    <w:rsid w:val="32403CD5"/>
    <w:rsid w:val="32484430"/>
    <w:rsid w:val="324C7EAF"/>
    <w:rsid w:val="325356E2"/>
    <w:rsid w:val="325A50D2"/>
    <w:rsid w:val="326B0434"/>
    <w:rsid w:val="327E1E9E"/>
    <w:rsid w:val="328B180D"/>
    <w:rsid w:val="32A14C53"/>
    <w:rsid w:val="32BA27AC"/>
    <w:rsid w:val="32D3172E"/>
    <w:rsid w:val="32F24B3E"/>
    <w:rsid w:val="32F4036A"/>
    <w:rsid w:val="33273C28"/>
    <w:rsid w:val="332C1869"/>
    <w:rsid w:val="33357C0F"/>
    <w:rsid w:val="334B2CD9"/>
    <w:rsid w:val="33503CCC"/>
    <w:rsid w:val="335C6117"/>
    <w:rsid w:val="336026F6"/>
    <w:rsid w:val="33667930"/>
    <w:rsid w:val="336C29C5"/>
    <w:rsid w:val="33721AC2"/>
    <w:rsid w:val="33760000"/>
    <w:rsid w:val="337D67F0"/>
    <w:rsid w:val="338E2C59"/>
    <w:rsid w:val="339031A2"/>
    <w:rsid w:val="339F1ED0"/>
    <w:rsid w:val="33B212E1"/>
    <w:rsid w:val="33B5385B"/>
    <w:rsid w:val="33B817BD"/>
    <w:rsid w:val="33C95FB0"/>
    <w:rsid w:val="33DB585B"/>
    <w:rsid w:val="33DD6C96"/>
    <w:rsid w:val="33E71C0E"/>
    <w:rsid w:val="33EC63F3"/>
    <w:rsid w:val="33FB3502"/>
    <w:rsid w:val="33FC0C35"/>
    <w:rsid w:val="34115587"/>
    <w:rsid w:val="341C751F"/>
    <w:rsid w:val="342122F5"/>
    <w:rsid w:val="342343BE"/>
    <w:rsid w:val="3427000D"/>
    <w:rsid w:val="345536BE"/>
    <w:rsid w:val="3462223A"/>
    <w:rsid w:val="346D289C"/>
    <w:rsid w:val="34746954"/>
    <w:rsid w:val="348262E8"/>
    <w:rsid w:val="34852DFB"/>
    <w:rsid w:val="34870FF3"/>
    <w:rsid w:val="34AA308A"/>
    <w:rsid w:val="34AE3021"/>
    <w:rsid w:val="34B5369D"/>
    <w:rsid w:val="34C23927"/>
    <w:rsid w:val="34D47C17"/>
    <w:rsid w:val="34D74524"/>
    <w:rsid w:val="34EF21BA"/>
    <w:rsid w:val="34FB21EC"/>
    <w:rsid w:val="351509F4"/>
    <w:rsid w:val="35255498"/>
    <w:rsid w:val="352B6064"/>
    <w:rsid w:val="353266FE"/>
    <w:rsid w:val="355154B2"/>
    <w:rsid w:val="355B39D5"/>
    <w:rsid w:val="356A72E6"/>
    <w:rsid w:val="358C2E02"/>
    <w:rsid w:val="359274C2"/>
    <w:rsid w:val="359E49E9"/>
    <w:rsid w:val="35AC7D9F"/>
    <w:rsid w:val="35C41F10"/>
    <w:rsid w:val="35C743CC"/>
    <w:rsid w:val="35CC2E55"/>
    <w:rsid w:val="35D25FBE"/>
    <w:rsid w:val="35E20F81"/>
    <w:rsid w:val="35F257DC"/>
    <w:rsid w:val="35F52853"/>
    <w:rsid w:val="35FB2318"/>
    <w:rsid w:val="36036E4C"/>
    <w:rsid w:val="360646D4"/>
    <w:rsid w:val="360F2A66"/>
    <w:rsid w:val="36177C38"/>
    <w:rsid w:val="363A4100"/>
    <w:rsid w:val="36410A3A"/>
    <w:rsid w:val="364D2060"/>
    <w:rsid w:val="364E7F63"/>
    <w:rsid w:val="36611E9F"/>
    <w:rsid w:val="366A4252"/>
    <w:rsid w:val="367754DE"/>
    <w:rsid w:val="36784AF0"/>
    <w:rsid w:val="36900D69"/>
    <w:rsid w:val="369236D1"/>
    <w:rsid w:val="36A121B3"/>
    <w:rsid w:val="36AF25C1"/>
    <w:rsid w:val="36C64BF6"/>
    <w:rsid w:val="36D72FA9"/>
    <w:rsid w:val="36DD1115"/>
    <w:rsid w:val="36FA4156"/>
    <w:rsid w:val="37013427"/>
    <w:rsid w:val="370653E7"/>
    <w:rsid w:val="370E3984"/>
    <w:rsid w:val="373B505A"/>
    <w:rsid w:val="374F2F07"/>
    <w:rsid w:val="3750792F"/>
    <w:rsid w:val="37517D16"/>
    <w:rsid w:val="375236E8"/>
    <w:rsid w:val="375463DB"/>
    <w:rsid w:val="375F7232"/>
    <w:rsid w:val="37625982"/>
    <w:rsid w:val="3766750F"/>
    <w:rsid w:val="37671578"/>
    <w:rsid w:val="3768699A"/>
    <w:rsid w:val="379B76DA"/>
    <w:rsid w:val="37BE4787"/>
    <w:rsid w:val="37C83999"/>
    <w:rsid w:val="37D33F79"/>
    <w:rsid w:val="37D72D05"/>
    <w:rsid w:val="37DF41BC"/>
    <w:rsid w:val="37E21686"/>
    <w:rsid w:val="37F42AB8"/>
    <w:rsid w:val="37F7720E"/>
    <w:rsid w:val="37FB6790"/>
    <w:rsid w:val="37FD4445"/>
    <w:rsid w:val="380517DC"/>
    <w:rsid w:val="381A4EA7"/>
    <w:rsid w:val="38252598"/>
    <w:rsid w:val="382F654A"/>
    <w:rsid w:val="38350332"/>
    <w:rsid w:val="383970A7"/>
    <w:rsid w:val="383A1C1E"/>
    <w:rsid w:val="38495504"/>
    <w:rsid w:val="384E3BBB"/>
    <w:rsid w:val="38650C1B"/>
    <w:rsid w:val="38982766"/>
    <w:rsid w:val="38991B97"/>
    <w:rsid w:val="38A07B54"/>
    <w:rsid w:val="38AC37B6"/>
    <w:rsid w:val="38B5657F"/>
    <w:rsid w:val="38CC4BED"/>
    <w:rsid w:val="38DC2F57"/>
    <w:rsid w:val="38F95415"/>
    <w:rsid w:val="390412D8"/>
    <w:rsid w:val="390C505F"/>
    <w:rsid w:val="392017C0"/>
    <w:rsid w:val="39252B76"/>
    <w:rsid w:val="392C4D9D"/>
    <w:rsid w:val="392E6F43"/>
    <w:rsid w:val="394D69CA"/>
    <w:rsid w:val="394F3CCB"/>
    <w:rsid w:val="3952140A"/>
    <w:rsid w:val="397A1C59"/>
    <w:rsid w:val="397F6E8D"/>
    <w:rsid w:val="399B7825"/>
    <w:rsid w:val="39A209C1"/>
    <w:rsid w:val="39AD6790"/>
    <w:rsid w:val="39C84866"/>
    <w:rsid w:val="39C86214"/>
    <w:rsid w:val="39CE6E0F"/>
    <w:rsid w:val="39D252AE"/>
    <w:rsid w:val="39D26619"/>
    <w:rsid w:val="39E25290"/>
    <w:rsid w:val="39E276D4"/>
    <w:rsid w:val="39E62997"/>
    <w:rsid w:val="39E93BC2"/>
    <w:rsid w:val="39F8422A"/>
    <w:rsid w:val="39F91CCB"/>
    <w:rsid w:val="3A04454A"/>
    <w:rsid w:val="3A0E457E"/>
    <w:rsid w:val="3A3D6D40"/>
    <w:rsid w:val="3A4112DA"/>
    <w:rsid w:val="3A4335B5"/>
    <w:rsid w:val="3A462802"/>
    <w:rsid w:val="3A485C20"/>
    <w:rsid w:val="3A4A4CC7"/>
    <w:rsid w:val="3A60703D"/>
    <w:rsid w:val="3A6C2289"/>
    <w:rsid w:val="3A6F6FB5"/>
    <w:rsid w:val="3A955CCA"/>
    <w:rsid w:val="3A9B2460"/>
    <w:rsid w:val="3AA62464"/>
    <w:rsid w:val="3AB61DD5"/>
    <w:rsid w:val="3AC60DC7"/>
    <w:rsid w:val="3AC97FAA"/>
    <w:rsid w:val="3ACB4EA8"/>
    <w:rsid w:val="3ACF35EC"/>
    <w:rsid w:val="3AE80E8E"/>
    <w:rsid w:val="3AEA2742"/>
    <w:rsid w:val="3AF909B9"/>
    <w:rsid w:val="3AFD6137"/>
    <w:rsid w:val="3AFF52EB"/>
    <w:rsid w:val="3B033D64"/>
    <w:rsid w:val="3B0376FA"/>
    <w:rsid w:val="3B0D52B2"/>
    <w:rsid w:val="3B143A56"/>
    <w:rsid w:val="3B367657"/>
    <w:rsid w:val="3B410BE2"/>
    <w:rsid w:val="3B411A26"/>
    <w:rsid w:val="3B5732FB"/>
    <w:rsid w:val="3B8904A2"/>
    <w:rsid w:val="3B9A7293"/>
    <w:rsid w:val="3BB07701"/>
    <w:rsid w:val="3BD24ADD"/>
    <w:rsid w:val="3BDF38AF"/>
    <w:rsid w:val="3C095D17"/>
    <w:rsid w:val="3C285D82"/>
    <w:rsid w:val="3C32053F"/>
    <w:rsid w:val="3C3E406C"/>
    <w:rsid w:val="3C404221"/>
    <w:rsid w:val="3C51067F"/>
    <w:rsid w:val="3C536B06"/>
    <w:rsid w:val="3C58436E"/>
    <w:rsid w:val="3C672048"/>
    <w:rsid w:val="3CA9364C"/>
    <w:rsid w:val="3CB74FF6"/>
    <w:rsid w:val="3CD72898"/>
    <w:rsid w:val="3CD741BF"/>
    <w:rsid w:val="3CE865B0"/>
    <w:rsid w:val="3CED427C"/>
    <w:rsid w:val="3CF038D6"/>
    <w:rsid w:val="3CF424B3"/>
    <w:rsid w:val="3D083788"/>
    <w:rsid w:val="3D0D7049"/>
    <w:rsid w:val="3D144F76"/>
    <w:rsid w:val="3D2008A3"/>
    <w:rsid w:val="3D2E2411"/>
    <w:rsid w:val="3D337B31"/>
    <w:rsid w:val="3D5005EB"/>
    <w:rsid w:val="3D6C7D3F"/>
    <w:rsid w:val="3D9307B4"/>
    <w:rsid w:val="3D9F4956"/>
    <w:rsid w:val="3DA6700D"/>
    <w:rsid w:val="3DAA5311"/>
    <w:rsid w:val="3DAC67B6"/>
    <w:rsid w:val="3DBD041E"/>
    <w:rsid w:val="3DC765B7"/>
    <w:rsid w:val="3DCB73BA"/>
    <w:rsid w:val="3DD35B24"/>
    <w:rsid w:val="3DEC3A44"/>
    <w:rsid w:val="3E0E6961"/>
    <w:rsid w:val="3E1A50E1"/>
    <w:rsid w:val="3E1C7725"/>
    <w:rsid w:val="3E25747C"/>
    <w:rsid w:val="3E26098F"/>
    <w:rsid w:val="3E3B04B0"/>
    <w:rsid w:val="3E3E7F7D"/>
    <w:rsid w:val="3E4D031B"/>
    <w:rsid w:val="3E4F3306"/>
    <w:rsid w:val="3E6B319E"/>
    <w:rsid w:val="3E796FBB"/>
    <w:rsid w:val="3E7D20AD"/>
    <w:rsid w:val="3E98343F"/>
    <w:rsid w:val="3EA12164"/>
    <w:rsid w:val="3EA22193"/>
    <w:rsid w:val="3EA77B3A"/>
    <w:rsid w:val="3EB44782"/>
    <w:rsid w:val="3EBD0BC4"/>
    <w:rsid w:val="3EBF0B79"/>
    <w:rsid w:val="3EC35584"/>
    <w:rsid w:val="3EC97CCB"/>
    <w:rsid w:val="3ED2230C"/>
    <w:rsid w:val="3EE27E07"/>
    <w:rsid w:val="3EF51FB7"/>
    <w:rsid w:val="3F0A6D15"/>
    <w:rsid w:val="3F1C0B53"/>
    <w:rsid w:val="3F337FF6"/>
    <w:rsid w:val="3F394A24"/>
    <w:rsid w:val="3F4802CD"/>
    <w:rsid w:val="3F734553"/>
    <w:rsid w:val="3F822788"/>
    <w:rsid w:val="3F954106"/>
    <w:rsid w:val="3F9723FF"/>
    <w:rsid w:val="3FA24D04"/>
    <w:rsid w:val="3FA45CFF"/>
    <w:rsid w:val="3FB74B6A"/>
    <w:rsid w:val="3FBD7DF0"/>
    <w:rsid w:val="3FC53F70"/>
    <w:rsid w:val="3FDA4009"/>
    <w:rsid w:val="3FE574EF"/>
    <w:rsid w:val="400C0C7E"/>
    <w:rsid w:val="401C76D3"/>
    <w:rsid w:val="401E4371"/>
    <w:rsid w:val="402179A3"/>
    <w:rsid w:val="40330CA4"/>
    <w:rsid w:val="4051781D"/>
    <w:rsid w:val="40734F8E"/>
    <w:rsid w:val="40890A0A"/>
    <w:rsid w:val="408B2769"/>
    <w:rsid w:val="40963AA1"/>
    <w:rsid w:val="409E1686"/>
    <w:rsid w:val="40AE1FF7"/>
    <w:rsid w:val="40B733A7"/>
    <w:rsid w:val="40BA68B9"/>
    <w:rsid w:val="40C16266"/>
    <w:rsid w:val="40C235CF"/>
    <w:rsid w:val="40CF00C1"/>
    <w:rsid w:val="40E40DFF"/>
    <w:rsid w:val="40F84163"/>
    <w:rsid w:val="40FD678B"/>
    <w:rsid w:val="410B5436"/>
    <w:rsid w:val="41176148"/>
    <w:rsid w:val="411E7E74"/>
    <w:rsid w:val="412344BF"/>
    <w:rsid w:val="412C5510"/>
    <w:rsid w:val="41356D45"/>
    <w:rsid w:val="414F7E63"/>
    <w:rsid w:val="415367E7"/>
    <w:rsid w:val="415818BD"/>
    <w:rsid w:val="4173037E"/>
    <w:rsid w:val="41763898"/>
    <w:rsid w:val="4178619D"/>
    <w:rsid w:val="41997BF4"/>
    <w:rsid w:val="41A25E23"/>
    <w:rsid w:val="41BA20AB"/>
    <w:rsid w:val="41D33240"/>
    <w:rsid w:val="41DB32FB"/>
    <w:rsid w:val="41DB562E"/>
    <w:rsid w:val="41E00282"/>
    <w:rsid w:val="41E24A84"/>
    <w:rsid w:val="41EF5897"/>
    <w:rsid w:val="41F141C8"/>
    <w:rsid w:val="41F769F8"/>
    <w:rsid w:val="41FA44D3"/>
    <w:rsid w:val="41FF317F"/>
    <w:rsid w:val="41FF49C1"/>
    <w:rsid w:val="42092855"/>
    <w:rsid w:val="420F3AD9"/>
    <w:rsid w:val="426A1BC5"/>
    <w:rsid w:val="426C3C56"/>
    <w:rsid w:val="426E763A"/>
    <w:rsid w:val="42970839"/>
    <w:rsid w:val="429C47B7"/>
    <w:rsid w:val="42AB449F"/>
    <w:rsid w:val="42AE439D"/>
    <w:rsid w:val="42B55856"/>
    <w:rsid w:val="42BB0C2D"/>
    <w:rsid w:val="42BF2999"/>
    <w:rsid w:val="42C21EAE"/>
    <w:rsid w:val="42C60F27"/>
    <w:rsid w:val="42D33507"/>
    <w:rsid w:val="42F45061"/>
    <w:rsid w:val="430075B6"/>
    <w:rsid w:val="430A2E6D"/>
    <w:rsid w:val="432664FB"/>
    <w:rsid w:val="43275C4F"/>
    <w:rsid w:val="43300406"/>
    <w:rsid w:val="43370D46"/>
    <w:rsid w:val="433711B8"/>
    <w:rsid w:val="43451141"/>
    <w:rsid w:val="434F746B"/>
    <w:rsid w:val="43515022"/>
    <w:rsid w:val="4358292F"/>
    <w:rsid w:val="437273A2"/>
    <w:rsid w:val="4373390F"/>
    <w:rsid w:val="43737750"/>
    <w:rsid w:val="43754326"/>
    <w:rsid w:val="437B2F7D"/>
    <w:rsid w:val="438D1048"/>
    <w:rsid w:val="439A257A"/>
    <w:rsid w:val="439B5FC3"/>
    <w:rsid w:val="43A32635"/>
    <w:rsid w:val="43C309A2"/>
    <w:rsid w:val="43C33D49"/>
    <w:rsid w:val="43C62AA3"/>
    <w:rsid w:val="43D77093"/>
    <w:rsid w:val="43D911A0"/>
    <w:rsid w:val="43D97147"/>
    <w:rsid w:val="43DE3D30"/>
    <w:rsid w:val="43E166FE"/>
    <w:rsid w:val="43E5401A"/>
    <w:rsid w:val="43E73CDC"/>
    <w:rsid w:val="43FA758D"/>
    <w:rsid w:val="43FC5E92"/>
    <w:rsid w:val="44017F76"/>
    <w:rsid w:val="440F49AF"/>
    <w:rsid w:val="441000C1"/>
    <w:rsid w:val="441926A9"/>
    <w:rsid w:val="4424251F"/>
    <w:rsid w:val="442828F8"/>
    <w:rsid w:val="442F79B9"/>
    <w:rsid w:val="443058AA"/>
    <w:rsid w:val="444136BD"/>
    <w:rsid w:val="44674566"/>
    <w:rsid w:val="446C1472"/>
    <w:rsid w:val="446C449B"/>
    <w:rsid w:val="446E0DE7"/>
    <w:rsid w:val="44855B8D"/>
    <w:rsid w:val="44A01FB0"/>
    <w:rsid w:val="44B63749"/>
    <w:rsid w:val="44B7174C"/>
    <w:rsid w:val="44C03003"/>
    <w:rsid w:val="44E173B8"/>
    <w:rsid w:val="44E33D42"/>
    <w:rsid w:val="44E94B58"/>
    <w:rsid w:val="44FD08B9"/>
    <w:rsid w:val="44FD4C59"/>
    <w:rsid w:val="45010901"/>
    <w:rsid w:val="4523483B"/>
    <w:rsid w:val="45252F0E"/>
    <w:rsid w:val="45503B6C"/>
    <w:rsid w:val="45615A31"/>
    <w:rsid w:val="45631F71"/>
    <w:rsid w:val="45645083"/>
    <w:rsid w:val="45645939"/>
    <w:rsid w:val="4567361B"/>
    <w:rsid w:val="45744428"/>
    <w:rsid w:val="457914A8"/>
    <w:rsid w:val="457A431F"/>
    <w:rsid w:val="45873F2E"/>
    <w:rsid w:val="45903A89"/>
    <w:rsid w:val="459A2B4B"/>
    <w:rsid w:val="45AE56E5"/>
    <w:rsid w:val="45B03BFE"/>
    <w:rsid w:val="45B60586"/>
    <w:rsid w:val="45CC0749"/>
    <w:rsid w:val="45CE0436"/>
    <w:rsid w:val="45D547C7"/>
    <w:rsid w:val="45E74894"/>
    <w:rsid w:val="45F11718"/>
    <w:rsid w:val="461E34FB"/>
    <w:rsid w:val="462112DE"/>
    <w:rsid w:val="463B677F"/>
    <w:rsid w:val="46584AC3"/>
    <w:rsid w:val="46586BBB"/>
    <w:rsid w:val="465B2564"/>
    <w:rsid w:val="465B2C13"/>
    <w:rsid w:val="466361E0"/>
    <w:rsid w:val="46745329"/>
    <w:rsid w:val="46756101"/>
    <w:rsid w:val="467B665C"/>
    <w:rsid w:val="467F1B7C"/>
    <w:rsid w:val="46837434"/>
    <w:rsid w:val="46874FB5"/>
    <w:rsid w:val="46A67E87"/>
    <w:rsid w:val="46B52D8F"/>
    <w:rsid w:val="46C451FF"/>
    <w:rsid w:val="46D13F56"/>
    <w:rsid w:val="46D73768"/>
    <w:rsid w:val="46DB748E"/>
    <w:rsid w:val="46E00800"/>
    <w:rsid w:val="46E42907"/>
    <w:rsid w:val="46EB3CE3"/>
    <w:rsid w:val="46EF4536"/>
    <w:rsid w:val="46F904F8"/>
    <w:rsid w:val="47036384"/>
    <w:rsid w:val="47195940"/>
    <w:rsid w:val="47283218"/>
    <w:rsid w:val="4735189F"/>
    <w:rsid w:val="474273EB"/>
    <w:rsid w:val="47462CC4"/>
    <w:rsid w:val="47497311"/>
    <w:rsid w:val="47534AE8"/>
    <w:rsid w:val="47612048"/>
    <w:rsid w:val="476153EE"/>
    <w:rsid w:val="47881DD7"/>
    <w:rsid w:val="47972FC8"/>
    <w:rsid w:val="47AD369A"/>
    <w:rsid w:val="47B71D4B"/>
    <w:rsid w:val="47BB0D42"/>
    <w:rsid w:val="47BD3358"/>
    <w:rsid w:val="47D7281A"/>
    <w:rsid w:val="47D9039A"/>
    <w:rsid w:val="47DD7218"/>
    <w:rsid w:val="47E5751E"/>
    <w:rsid w:val="47F56FB5"/>
    <w:rsid w:val="48082B32"/>
    <w:rsid w:val="4815529C"/>
    <w:rsid w:val="4832333D"/>
    <w:rsid w:val="48387293"/>
    <w:rsid w:val="483C1399"/>
    <w:rsid w:val="483C692C"/>
    <w:rsid w:val="484A137A"/>
    <w:rsid w:val="484E004A"/>
    <w:rsid w:val="4856426D"/>
    <w:rsid w:val="48565C3E"/>
    <w:rsid w:val="485A7935"/>
    <w:rsid w:val="48680B85"/>
    <w:rsid w:val="486D3B4B"/>
    <w:rsid w:val="487F0AE0"/>
    <w:rsid w:val="48925F17"/>
    <w:rsid w:val="48974472"/>
    <w:rsid w:val="4898557D"/>
    <w:rsid w:val="489D0D0E"/>
    <w:rsid w:val="48A16470"/>
    <w:rsid w:val="48A27D40"/>
    <w:rsid w:val="48AA37A2"/>
    <w:rsid w:val="48B044FA"/>
    <w:rsid w:val="48BB5D35"/>
    <w:rsid w:val="48C470AA"/>
    <w:rsid w:val="48CB26CB"/>
    <w:rsid w:val="48DB204A"/>
    <w:rsid w:val="48DC5F5F"/>
    <w:rsid w:val="48F505DB"/>
    <w:rsid w:val="492B0536"/>
    <w:rsid w:val="4946107B"/>
    <w:rsid w:val="49590FFD"/>
    <w:rsid w:val="49694ABD"/>
    <w:rsid w:val="497D17F6"/>
    <w:rsid w:val="497D527C"/>
    <w:rsid w:val="49800655"/>
    <w:rsid w:val="49921706"/>
    <w:rsid w:val="49951847"/>
    <w:rsid w:val="49966DC8"/>
    <w:rsid w:val="49994F38"/>
    <w:rsid w:val="49AC3B0D"/>
    <w:rsid w:val="49AD35FC"/>
    <w:rsid w:val="49B5767C"/>
    <w:rsid w:val="49BB5692"/>
    <w:rsid w:val="49BF5FA2"/>
    <w:rsid w:val="49C248DD"/>
    <w:rsid w:val="49D41534"/>
    <w:rsid w:val="49D42828"/>
    <w:rsid w:val="49E1749A"/>
    <w:rsid w:val="49F90D4B"/>
    <w:rsid w:val="4A0E4837"/>
    <w:rsid w:val="4A1D15AB"/>
    <w:rsid w:val="4A554FA8"/>
    <w:rsid w:val="4A616062"/>
    <w:rsid w:val="4A623B85"/>
    <w:rsid w:val="4A6A64C2"/>
    <w:rsid w:val="4A6F336A"/>
    <w:rsid w:val="4A700CF9"/>
    <w:rsid w:val="4A712133"/>
    <w:rsid w:val="4A782BCF"/>
    <w:rsid w:val="4A7850FA"/>
    <w:rsid w:val="4A85354F"/>
    <w:rsid w:val="4AA81784"/>
    <w:rsid w:val="4AA87225"/>
    <w:rsid w:val="4AB463CE"/>
    <w:rsid w:val="4AB937DA"/>
    <w:rsid w:val="4AB96C56"/>
    <w:rsid w:val="4ABB00CA"/>
    <w:rsid w:val="4ABC3474"/>
    <w:rsid w:val="4ABC72DF"/>
    <w:rsid w:val="4AD31CEC"/>
    <w:rsid w:val="4AD745A3"/>
    <w:rsid w:val="4ADA101D"/>
    <w:rsid w:val="4AE87FC6"/>
    <w:rsid w:val="4AF26FD5"/>
    <w:rsid w:val="4AF75E99"/>
    <w:rsid w:val="4AF81F9F"/>
    <w:rsid w:val="4B036BAB"/>
    <w:rsid w:val="4B045962"/>
    <w:rsid w:val="4B0D625E"/>
    <w:rsid w:val="4B203B01"/>
    <w:rsid w:val="4B263DDD"/>
    <w:rsid w:val="4B297D57"/>
    <w:rsid w:val="4B2B17CB"/>
    <w:rsid w:val="4B3A0462"/>
    <w:rsid w:val="4B5A1582"/>
    <w:rsid w:val="4B5A5E4A"/>
    <w:rsid w:val="4B641B1E"/>
    <w:rsid w:val="4B844162"/>
    <w:rsid w:val="4B854101"/>
    <w:rsid w:val="4B8D1E94"/>
    <w:rsid w:val="4BB25E6F"/>
    <w:rsid w:val="4BB62985"/>
    <w:rsid w:val="4BB72DF0"/>
    <w:rsid w:val="4BBF3B05"/>
    <w:rsid w:val="4BC46E98"/>
    <w:rsid w:val="4BC720E6"/>
    <w:rsid w:val="4BD95B32"/>
    <w:rsid w:val="4C1045AA"/>
    <w:rsid w:val="4C1665C6"/>
    <w:rsid w:val="4C2A0254"/>
    <w:rsid w:val="4C2A62E8"/>
    <w:rsid w:val="4C387FEA"/>
    <w:rsid w:val="4C41408F"/>
    <w:rsid w:val="4C466907"/>
    <w:rsid w:val="4C617EA0"/>
    <w:rsid w:val="4C6C058F"/>
    <w:rsid w:val="4C742C79"/>
    <w:rsid w:val="4C81376E"/>
    <w:rsid w:val="4C822C8D"/>
    <w:rsid w:val="4C8D63BF"/>
    <w:rsid w:val="4CA24D1D"/>
    <w:rsid w:val="4CB93537"/>
    <w:rsid w:val="4CCE340B"/>
    <w:rsid w:val="4CD170E8"/>
    <w:rsid w:val="4CDB2ED1"/>
    <w:rsid w:val="4CE40296"/>
    <w:rsid w:val="4CE83472"/>
    <w:rsid w:val="4CED0A5E"/>
    <w:rsid w:val="4CFD2DA9"/>
    <w:rsid w:val="4D010936"/>
    <w:rsid w:val="4D0D702D"/>
    <w:rsid w:val="4D146429"/>
    <w:rsid w:val="4D2A3734"/>
    <w:rsid w:val="4D2B37A9"/>
    <w:rsid w:val="4D3B22CD"/>
    <w:rsid w:val="4D3F2287"/>
    <w:rsid w:val="4D496228"/>
    <w:rsid w:val="4D521DFA"/>
    <w:rsid w:val="4D617E6D"/>
    <w:rsid w:val="4D661B93"/>
    <w:rsid w:val="4D78531A"/>
    <w:rsid w:val="4D7F6329"/>
    <w:rsid w:val="4D897CEC"/>
    <w:rsid w:val="4D8D71BC"/>
    <w:rsid w:val="4DA8587B"/>
    <w:rsid w:val="4DAF7F7D"/>
    <w:rsid w:val="4DB972EA"/>
    <w:rsid w:val="4DDF7306"/>
    <w:rsid w:val="4DE87C74"/>
    <w:rsid w:val="4DEB6BA2"/>
    <w:rsid w:val="4DF1750B"/>
    <w:rsid w:val="4DF2189D"/>
    <w:rsid w:val="4DF56B12"/>
    <w:rsid w:val="4DFE6DA4"/>
    <w:rsid w:val="4E0447E4"/>
    <w:rsid w:val="4E054EF1"/>
    <w:rsid w:val="4E0B28BA"/>
    <w:rsid w:val="4E0D21CB"/>
    <w:rsid w:val="4E273DF2"/>
    <w:rsid w:val="4E275E1F"/>
    <w:rsid w:val="4E2D718E"/>
    <w:rsid w:val="4E324791"/>
    <w:rsid w:val="4E345F70"/>
    <w:rsid w:val="4E3A332D"/>
    <w:rsid w:val="4E3B0B12"/>
    <w:rsid w:val="4E457CFC"/>
    <w:rsid w:val="4E494054"/>
    <w:rsid w:val="4E5035B9"/>
    <w:rsid w:val="4E5D6EB6"/>
    <w:rsid w:val="4E764269"/>
    <w:rsid w:val="4E796130"/>
    <w:rsid w:val="4E8619E7"/>
    <w:rsid w:val="4E86609F"/>
    <w:rsid w:val="4E894E7D"/>
    <w:rsid w:val="4ED07F80"/>
    <w:rsid w:val="4ED22AD6"/>
    <w:rsid w:val="4ED25FDC"/>
    <w:rsid w:val="4EDB7BE2"/>
    <w:rsid w:val="4EE143E2"/>
    <w:rsid w:val="4EE30C74"/>
    <w:rsid w:val="4EEC5DC2"/>
    <w:rsid w:val="4EF917AA"/>
    <w:rsid w:val="4EF96C36"/>
    <w:rsid w:val="4EFA1A63"/>
    <w:rsid w:val="4F053BD8"/>
    <w:rsid w:val="4F1064A1"/>
    <w:rsid w:val="4F2E4B36"/>
    <w:rsid w:val="4F524FE5"/>
    <w:rsid w:val="4F5A6B06"/>
    <w:rsid w:val="4F5C69D0"/>
    <w:rsid w:val="4F6C544F"/>
    <w:rsid w:val="4F730BAE"/>
    <w:rsid w:val="4F774221"/>
    <w:rsid w:val="4F7A017A"/>
    <w:rsid w:val="4F8417E0"/>
    <w:rsid w:val="4F921F77"/>
    <w:rsid w:val="4FA249BB"/>
    <w:rsid w:val="4FA56D18"/>
    <w:rsid w:val="4FBF4191"/>
    <w:rsid w:val="4FCB09D8"/>
    <w:rsid w:val="4FCB2AB8"/>
    <w:rsid w:val="4FDD33DB"/>
    <w:rsid w:val="4FE54559"/>
    <w:rsid w:val="4FE95430"/>
    <w:rsid w:val="4FF41CD9"/>
    <w:rsid w:val="4FFE322B"/>
    <w:rsid w:val="4FFF545A"/>
    <w:rsid w:val="500510D1"/>
    <w:rsid w:val="500B69CE"/>
    <w:rsid w:val="500E0FC3"/>
    <w:rsid w:val="503F7E98"/>
    <w:rsid w:val="504F15D1"/>
    <w:rsid w:val="507B7075"/>
    <w:rsid w:val="507F6E5B"/>
    <w:rsid w:val="50801A86"/>
    <w:rsid w:val="50843B54"/>
    <w:rsid w:val="5084607C"/>
    <w:rsid w:val="5087019C"/>
    <w:rsid w:val="509324F6"/>
    <w:rsid w:val="50AA4569"/>
    <w:rsid w:val="50AC191A"/>
    <w:rsid w:val="50AD363E"/>
    <w:rsid w:val="50C1453A"/>
    <w:rsid w:val="50C432C4"/>
    <w:rsid w:val="50CC7055"/>
    <w:rsid w:val="50D06BF1"/>
    <w:rsid w:val="50D35C50"/>
    <w:rsid w:val="50E0284F"/>
    <w:rsid w:val="50E047FE"/>
    <w:rsid w:val="50E06B31"/>
    <w:rsid w:val="50E4060D"/>
    <w:rsid w:val="50E536AE"/>
    <w:rsid w:val="50EA3832"/>
    <w:rsid w:val="50ED7405"/>
    <w:rsid w:val="50F0306A"/>
    <w:rsid w:val="50F52B7F"/>
    <w:rsid w:val="50FC79A0"/>
    <w:rsid w:val="51011B51"/>
    <w:rsid w:val="510378FB"/>
    <w:rsid w:val="510630D2"/>
    <w:rsid w:val="5108514E"/>
    <w:rsid w:val="512750E6"/>
    <w:rsid w:val="514D180D"/>
    <w:rsid w:val="51567810"/>
    <w:rsid w:val="51587FD2"/>
    <w:rsid w:val="5171036C"/>
    <w:rsid w:val="51945B03"/>
    <w:rsid w:val="51950E91"/>
    <w:rsid w:val="51CB2777"/>
    <w:rsid w:val="51CB522C"/>
    <w:rsid w:val="51DC5C72"/>
    <w:rsid w:val="51E55C99"/>
    <w:rsid w:val="52084C12"/>
    <w:rsid w:val="52131673"/>
    <w:rsid w:val="521A5044"/>
    <w:rsid w:val="522354C4"/>
    <w:rsid w:val="52285BEE"/>
    <w:rsid w:val="52365551"/>
    <w:rsid w:val="52460CA3"/>
    <w:rsid w:val="52680BFF"/>
    <w:rsid w:val="5271423C"/>
    <w:rsid w:val="52762A2B"/>
    <w:rsid w:val="528270C2"/>
    <w:rsid w:val="5290165F"/>
    <w:rsid w:val="529A6C72"/>
    <w:rsid w:val="52AB3F4D"/>
    <w:rsid w:val="52B33BDC"/>
    <w:rsid w:val="52B434C6"/>
    <w:rsid w:val="52CD4DEE"/>
    <w:rsid w:val="52D007C3"/>
    <w:rsid w:val="52D34D35"/>
    <w:rsid w:val="52E9496A"/>
    <w:rsid w:val="52FB230E"/>
    <w:rsid w:val="52FC6F5F"/>
    <w:rsid w:val="52FE7E6C"/>
    <w:rsid w:val="531418AE"/>
    <w:rsid w:val="53250243"/>
    <w:rsid w:val="5333696C"/>
    <w:rsid w:val="53385012"/>
    <w:rsid w:val="536C28D1"/>
    <w:rsid w:val="536D174D"/>
    <w:rsid w:val="536E2857"/>
    <w:rsid w:val="537E2CA8"/>
    <w:rsid w:val="5381408B"/>
    <w:rsid w:val="538357A7"/>
    <w:rsid w:val="53907BCB"/>
    <w:rsid w:val="53984738"/>
    <w:rsid w:val="539C47DB"/>
    <w:rsid w:val="53AD224A"/>
    <w:rsid w:val="53B603DC"/>
    <w:rsid w:val="53B67B60"/>
    <w:rsid w:val="53BE1C17"/>
    <w:rsid w:val="53D73191"/>
    <w:rsid w:val="53DF48D5"/>
    <w:rsid w:val="53ED6E6F"/>
    <w:rsid w:val="540253B3"/>
    <w:rsid w:val="54193EB2"/>
    <w:rsid w:val="541E1948"/>
    <w:rsid w:val="54275A2A"/>
    <w:rsid w:val="54365916"/>
    <w:rsid w:val="544C2D66"/>
    <w:rsid w:val="54600756"/>
    <w:rsid w:val="546432CE"/>
    <w:rsid w:val="546557E5"/>
    <w:rsid w:val="54701901"/>
    <w:rsid w:val="547565C0"/>
    <w:rsid w:val="54780A20"/>
    <w:rsid w:val="54C3175A"/>
    <w:rsid w:val="54DE0561"/>
    <w:rsid w:val="55044D0F"/>
    <w:rsid w:val="550B15A7"/>
    <w:rsid w:val="55144508"/>
    <w:rsid w:val="551848D1"/>
    <w:rsid w:val="551C42A6"/>
    <w:rsid w:val="55344AB0"/>
    <w:rsid w:val="5536730A"/>
    <w:rsid w:val="55377AD1"/>
    <w:rsid w:val="553E113E"/>
    <w:rsid w:val="5540237D"/>
    <w:rsid w:val="555518AD"/>
    <w:rsid w:val="55667A85"/>
    <w:rsid w:val="55716CD3"/>
    <w:rsid w:val="55761DEC"/>
    <w:rsid w:val="55776979"/>
    <w:rsid w:val="55790BCE"/>
    <w:rsid w:val="55913F7C"/>
    <w:rsid w:val="559D7A1C"/>
    <w:rsid w:val="55AB6ACF"/>
    <w:rsid w:val="55C01BA4"/>
    <w:rsid w:val="55C36371"/>
    <w:rsid w:val="55C41BF7"/>
    <w:rsid w:val="56127BAF"/>
    <w:rsid w:val="56176400"/>
    <w:rsid w:val="56193A1B"/>
    <w:rsid w:val="561C280F"/>
    <w:rsid w:val="562C5CA2"/>
    <w:rsid w:val="56365852"/>
    <w:rsid w:val="563D1425"/>
    <w:rsid w:val="563F174E"/>
    <w:rsid w:val="56495CB7"/>
    <w:rsid w:val="564A0DC5"/>
    <w:rsid w:val="564A1FCE"/>
    <w:rsid w:val="564E3E87"/>
    <w:rsid w:val="56567E26"/>
    <w:rsid w:val="565A4801"/>
    <w:rsid w:val="56605189"/>
    <w:rsid w:val="5665180E"/>
    <w:rsid w:val="566C32B4"/>
    <w:rsid w:val="567337C7"/>
    <w:rsid w:val="567B79EB"/>
    <w:rsid w:val="569E221B"/>
    <w:rsid w:val="56B27F3E"/>
    <w:rsid w:val="56B605A5"/>
    <w:rsid w:val="56CC3113"/>
    <w:rsid w:val="56CF0992"/>
    <w:rsid w:val="56D3618E"/>
    <w:rsid w:val="56E84067"/>
    <w:rsid w:val="570E2542"/>
    <w:rsid w:val="570E3283"/>
    <w:rsid w:val="57105F22"/>
    <w:rsid w:val="571628AF"/>
    <w:rsid w:val="57190023"/>
    <w:rsid w:val="572478E2"/>
    <w:rsid w:val="57286DAB"/>
    <w:rsid w:val="572A0645"/>
    <w:rsid w:val="573F2FA4"/>
    <w:rsid w:val="574861C5"/>
    <w:rsid w:val="574F31E1"/>
    <w:rsid w:val="5763331E"/>
    <w:rsid w:val="576A0E17"/>
    <w:rsid w:val="576D542E"/>
    <w:rsid w:val="579B29DB"/>
    <w:rsid w:val="57A81360"/>
    <w:rsid w:val="57C61FCE"/>
    <w:rsid w:val="57C93AFB"/>
    <w:rsid w:val="57CD6EFE"/>
    <w:rsid w:val="57D207B6"/>
    <w:rsid w:val="57EB1098"/>
    <w:rsid w:val="57ED7304"/>
    <w:rsid w:val="57F80D77"/>
    <w:rsid w:val="57FC04B2"/>
    <w:rsid w:val="580E5DA3"/>
    <w:rsid w:val="58167A35"/>
    <w:rsid w:val="581C39F0"/>
    <w:rsid w:val="58245DB2"/>
    <w:rsid w:val="58260813"/>
    <w:rsid w:val="583160C4"/>
    <w:rsid w:val="5837577C"/>
    <w:rsid w:val="584717C2"/>
    <w:rsid w:val="5883673E"/>
    <w:rsid w:val="58866DB9"/>
    <w:rsid w:val="588C3FB5"/>
    <w:rsid w:val="588D1F1F"/>
    <w:rsid w:val="589C20F4"/>
    <w:rsid w:val="58A0117C"/>
    <w:rsid w:val="58A02642"/>
    <w:rsid w:val="58AB5F44"/>
    <w:rsid w:val="58AC4087"/>
    <w:rsid w:val="58AD7C1E"/>
    <w:rsid w:val="58AE77FC"/>
    <w:rsid w:val="58B53257"/>
    <w:rsid w:val="58C23DE8"/>
    <w:rsid w:val="58C62CAE"/>
    <w:rsid w:val="58CD5DCD"/>
    <w:rsid w:val="58E76EAA"/>
    <w:rsid w:val="58E876F8"/>
    <w:rsid w:val="58EF2929"/>
    <w:rsid w:val="58F4772C"/>
    <w:rsid w:val="58F55475"/>
    <w:rsid w:val="5909230E"/>
    <w:rsid w:val="590A238B"/>
    <w:rsid w:val="5917121F"/>
    <w:rsid w:val="591D1ECE"/>
    <w:rsid w:val="59303B88"/>
    <w:rsid w:val="594D4198"/>
    <w:rsid w:val="596E1E52"/>
    <w:rsid w:val="5974413B"/>
    <w:rsid w:val="597B41FB"/>
    <w:rsid w:val="59811429"/>
    <w:rsid w:val="59814F7A"/>
    <w:rsid w:val="598D3E00"/>
    <w:rsid w:val="59963629"/>
    <w:rsid w:val="59A954D6"/>
    <w:rsid w:val="59BF504A"/>
    <w:rsid w:val="59D01A6D"/>
    <w:rsid w:val="59D0629F"/>
    <w:rsid w:val="59E60AE1"/>
    <w:rsid w:val="59E65B63"/>
    <w:rsid w:val="59FC225C"/>
    <w:rsid w:val="59FC7713"/>
    <w:rsid w:val="59FE4ABB"/>
    <w:rsid w:val="5A007265"/>
    <w:rsid w:val="5A0E23DB"/>
    <w:rsid w:val="5A231AC2"/>
    <w:rsid w:val="5A310067"/>
    <w:rsid w:val="5A3B4856"/>
    <w:rsid w:val="5A534768"/>
    <w:rsid w:val="5A5930CA"/>
    <w:rsid w:val="5A5C0A1F"/>
    <w:rsid w:val="5A8955AF"/>
    <w:rsid w:val="5AA251E6"/>
    <w:rsid w:val="5AAD3CEF"/>
    <w:rsid w:val="5AB16450"/>
    <w:rsid w:val="5AC3381C"/>
    <w:rsid w:val="5ACB4EEC"/>
    <w:rsid w:val="5ACD2AC8"/>
    <w:rsid w:val="5AD32754"/>
    <w:rsid w:val="5ADE17A9"/>
    <w:rsid w:val="5AEA58A1"/>
    <w:rsid w:val="5AF06D6E"/>
    <w:rsid w:val="5AF552C4"/>
    <w:rsid w:val="5B0567F2"/>
    <w:rsid w:val="5B07173B"/>
    <w:rsid w:val="5B110B78"/>
    <w:rsid w:val="5B1374B1"/>
    <w:rsid w:val="5B1661ED"/>
    <w:rsid w:val="5B200B71"/>
    <w:rsid w:val="5B47501F"/>
    <w:rsid w:val="5B506F99"/>
    <w:rsid w:val="5B586B25"/>
    <w:rsid w:val="5B7230ED"/>
    <w:rsid w:val="5B771706"/>
    <w:rsid w:val="5B807034"/>
    <w:rsid w:val="5B8153FB"/>
    <w:rsid w:val="5BA73EE2"/>
    <w:rsid w:val="5BA9593B"/>
    <w:rsid w:val="5BB7666F"/>
    <w:rsid w:val="5BBB0088"/>
    <w:rsid w:val="5BC333BC"/>
    <w:rsid w:val="5BC616E3"/>
    <w:rsid w:val="5BD73A7F"/>
    <w:rsid w:val="5BED6F4A"/>
    <w:rsid w:val="5C045C36"/>
    <w:rsid w:val="5C0F5719"/>
    <w:rsid w:val="5C362E9D"/>
    <w:rsid w:val="5C457203"/>
    <w:rsid w:val="5C49705F"/>
    <w:rsid w:val="5C4A1567"/>
    <w:rsid w:val="5C505487"/>
    <w:rsid w:val="5C533B03"/>
    <w:rsid w:val="5C78087D"/>
    <w:rsid w:val="5C7A1980"/>
    <w:rsid w:val="5C8A59C8"/>
    <w:rsid w:val="5C95407D"/>
    <w:rsid w:val="5CAF25EF"/>
    <w:rsid w:val="5CB35BC5"/>
    <w:rsid w:val="5CC14995"/>
    <w:rsid w:val="5CC43A65"/>
    <w:rsid w:val="5CCA507C"/>
    <w:rsid w:val="5CD3738E"/>
    <w:rsid w:val="5CDF4A83"/>
    <w:rsid w:val="5CE13344"/>
    <w:rsid w:val="5D2C3E5A"/>
    <w:rsid w:val="5D5A4CE6"/>
    <w:rsid w:val="5DC47B64"/>
    <w:rsid w:val="5DDE50FB"/>
    <w:rsid w:val="5DE128B7"/>
    <w:rsid w:val="5DE73600"/>
    <w:rsid w:val="5DEA527B"/>
    <w:rsid w:val="5DF54A43"/>
    <w:rsid w:val="5E052968"/>
    <w:rsid w:val="5E0D5F92"/>
    <w:rsid w:val="5E217268"/>
    <w:rsid w:val="5E3D5F7C"/>
    <w:rsid w:val="5E5A1110"/>
    <w:rsid w:val="5E616F2D"/>
    <w:rsid w:val="5E6E7A01"/>
    <w:rsid w:val="5E710639"/>
    <w:rsid w:val="5E960581"/>
    <w:rsid w:val="5EA03A56"/>
    <w:rsid w:val="5EA17018"/>
    <w:rsid w:val="5EAB2037"/>
    <w:rsid w:val="5EB24F14"/>
    <w:rsid w:val="5EB71C9C"/>
    <w:rsid w:val="5EBD5A8C"/>
    <w:rsid w:val="5ED82EFF"/>
    <w:rsid w:val="5EDF277D"/>
    <w:rsid w:val="5EE04748"/>
    <w:rsid w:val="5F026C79"/>
    <w:rsid w:val="5F086F8E"/>
    <w:rsid w:val="5F10472F"/>
    <w:rsid w:val="5F132FD3"/>
    <w:rsid w:val="5F1753EF"/>
    <w:rsid w:val="5F2C5CBB"/>
    <w:rsid w:val="5F2E2C7D"/>
    <w:rsid w:val="5F3A7040"/>
    <w:rsid w:val="5F490292"/>
    <w:rsid w:val="5F563661"/>
    <w:rsid w:val="5F7A5459"/>
    <w:rsid w:val="5F855458"/>
    <w:rsid w:val="5F8930B2"/>
    <w:rsid w:val="5F9F5B1D"/>
    <w:rsid w:val="5FA9475C"/>
    <w:rsid w:val="5FB764CF"/>
    <w:rsid w:val="5FBC3CFE"/>
    <w:rsid w:val="5FC55060"/>
    <w:rsid w:val="5FC81B85"/>
    <w:rsid w:val="5FCD6D01"/>
    <w:rsid w:val="5FE72417"/>
    <w:rsid w:val="5FE737C0"/>
    <w:rsid w:val="600D2ED9"/>
    <w:rsid w:val="600F2B39"/>
    <w:rsid w:val="601F751B"/>
    <w:rsid w:val="60273FDE"/>
    <w:rsid w:val="60376CFC"/>
    <w:rsid w:val="60472C3A"/>
    <w:rsid w:val="607140D0"/>
    <w:rsid w:val="607D34DA"/>
    <w:rsid w:val="60852CCE"/>
    <w:rsid w:val="60866FC5"/>
    <w:rsid w:val="60880163"/>
    <w:rsid w:val="6088786F"/>
    <w:rsid w:val="608973B8"/>
    <w:rsid w:val="60A3490B"/>
    <w:rsid w:val="60A65036"/>
    <w:rsid w:val="60D3357A"/>
    <w:rsid w:val="60DE464C"/>
    <w:rsid w:val="60E03EFA"/>
    <w:rsid w:val="610142AB"/>
    <w:rsid w:val="610A00CE"/>
    <w:rsid w:val="61155851"/>
    <w:rsid w:val="61205B8C"/>
    <w:rsid w:val="61277E71"/>
    <w:rsid w:val="61550CC1"/>
    <w:rsid w:val="615922E4"/>
    <w:rsid w:val="61643FCD"/>
    <w:rsid w:val="617048F7"/>
    <w:rsid w:val="61707ED7"/>
    <w:rsid w:val="61724738"/>
    <w:rsid w:val="61814313"/>
    <w:rsid w:val="61821264"/>
    <w:rsid w:val="61A87651"/>
    <w:rsid w:val="61AC3F39"/>
    <w:rsid w:val="61BD5AE8"/>
    <w:rsid w:val="61E84CBE"/>
    <w:rsid w:val="61EB219C"/>
    <w:rsid w:val="61F21F33"/>
    <w:rsid w:val="6237573F"/>
    <w:rsid w:val="62405210"/>
    <w:rsid w:val="624D1200"/>
    <w:rsid w:val="624F517C"/>
    <w:rsid w:val="62532BE3"/>
    <w:rsid w:val="62843B1F"/>
    <w:rsid w:val="629532C2"/>
    <w:rsid w:val="62A849E9"/>
    <w:rsid w:val="62C96C1C"/>
    <w:rsid w:val="62E316D0"/>
    <w:rsid w:val="63000919"/>
    <w:rsid w:val="631708CE"/>
    <w:rsid w:val="631953E1"/>
    <w:rsid w:val="631E09AF"/>
    <w:rsid w:val="63210676"/>
    <w:rsid w:val="632424C1"/>
    <w:rsid w:val="632457CD"/>
    <w:rsid w:val="633D35DF"/>
    <w:rsid w:val="634C3F40"/>
    <w:rsid w:val="634F395F"/>
    <w:rsid w:val="635C1D50"/>
    <w:rsid w:val="63613007"/>
    <w:rsid w:val="6362619B"/>
    <w:rsid w:val="63703AED"/>
    <w:rsid w:val="63862258"/>
    <w:rsid w:val="639075E2"/>
    <w:rsid w:val="63957971"/>
    <w:rsid w:val="63A669C9"/>
    <w:rsid w:val="63CB179D"/>
    <w:rsid w:val="63D157DD"/>
    <w:rsid w:val="63E93CBF"/>
    <w:rsid w:val="63F320A2"/>
    <w:rsid w:val="63F61AD4"/>
    <w:rsid w:val="63FF6C76"/>
    <w:rsid w:val="64004618"/>
    <w:rsid w:val="64026086"/>
    <w:rsid w:val="64073EDA"/>
    <w:rsid w:val="640D111D"/>
    <w:rsid w:val="64156BCB"/>
    <w:rsid w:val="641854A2"/>
    <w:rsid w:val="64284D06"/>
    <w:rsid w:val="64532BB0"/>
    <w:rsid w:val="646A467D"/>
    <w:rsid w:val="646D2223"/>
    <w:rsid w:val="647D193B"/>
    <w:rsid w:val="647F5CA1"/>
    <w:rsid w:val="6486038C"/>
    <w:rsid w:val="649F0473"/>
    <w:rsid w:val="64A65BB3"/>
    <w:rsid w:val="64C62351"/>
    <w:rsid w:val="64D64573"/>
    <w:rsid w:val="64D947CF"/>
    <w:rsid w:val="65020B1F"/>
    <w:rsid w:val="650414B6"/>
    <w:rsid w:val="65130F31"/>
    <w:rsid w:val="651E2EA8"/>
    <w:rsid w:val="65214347"/>
    <w:rsid w:val="65260478"/>
    <w:rsid w:val="653F637B"/>
    <w:rsid w:val="65792C9B"/>
    <w:rsid w:val="658A0863"/>
    <w:rsid w:val="658E643A"/>
    <w:rsid w:val="6590782D"/>
    <w:rsid w:val="659E2325"/>
    <w:rsid w:val="65A03D06"/>
    <w:rsid w:val="65A229CA"/>
    <w:rsid w:val="65B323F3"/>
    <w:rsid w:val="65B40A60"/>
    <w:rsid w:val="65CF78AC"/>
    <w:rsid w:val="65E01DC6"/>
    <w:rsid w:val="65E31996"/>
    <w:rsid w:val="65E6308E"/>
    <w:rsid w:val="65EE2CF5"/>
    <w:rsid w:val="660D6812"/>
    <w:rsid w:val="660F2269"/>
    <w:rsid w:val="66196C36"/>
    <w:rsid w:val="66633582"/>
    <w:rsid w:val="66651BDC"/>
    <w:rsid w:val="666D0DF2"/>
    <w:rsid w:val="66744D9F"/>
    <w:rsid w:val="667D0668"/>
    <w:rsid w:val="66817815"/>
    <w:rsid w:val="66832E6F"/>
    <w:rsid w:val="669A088D"/>
    <w:rsid w:val="669C5E53"/>
    <w:rsid w:val="669E4A4E"/>
    <w:rsid w:val="66B05B18"/>
    <w:rsid w:val="66C43DC9"/>
    <w:rsid w:val="66D400FB"/>
    <w:rsid w:val="66D570E2"/>
    <w:rsid w:val="66E02C5B"/>
    <w:rsid w:val="66F425CE"/>
    <w:rsid w:val="66FA7FAF"/>
    <w:rsid w:val="670A28A8"/>
    <w:rsid w:val="670A76B6"/>
    <w:rsid w:val="671110C2"/>
    <w:rsid w:val="671A3B7C"/>
    <w:rsid w:val="671A5EC6"/>
    <w:rsid w:val="672B7CC7"/>
    <w:rsid w:val="67414388"/>
    <w:rsid w:val="675024EE"/>
    <w:rsid w:val="6758406F"/>
    <w:rsid w:val="67591A5A"/>
    <w:rsid w:val="676A667F"/>
    <w:rsid w:val="67977CD1"/>
    <w:rsid w:val="67A30B1D"/>
    <w:rsid w:val="67B93427"/>
    <w:rsid w:val="67BC2E40"/>
    <w:rsid w:val="67D806ED"/>
    <w:rsid w:val="67DA1E3B"/>
    <w:rsid w:val="67DD1918"/>
    <w:rsid w:val="67E91C4C"/>
    <w:rsid w:val="67E944A6"/>
    <w:rsid w:val="67F6367D"/>
    <w:rsid w:val="687703E8"/>
    <w:rsid w:val="688C27B2"/>
    <w:rsid w:val="68934D5C"/>
    <w:rsid w:val="689748C0"/>
    <w:rsid w:val="68975E67"/>
    <w:rsid w:val="689B3943"/>
    <w:rsid w:val="68A4441D"/>
    <w:rsid w:val="68A60E45"/>
    <w:rsid w:val="68A92BBB"/>
    <w:rsid w:val="68AA3189"/>
    <w:rsid w:val="68B06589"/>
    <w:rsid w:val="68B87AA8"/>
    <w:rsid w:val="68C4047A"/>
    <w:rsid w:val="68CE79E9"/>
    <w:rsid w:val="68CF5FBA"/>
    <w:rsid w:val="68E032BE"/>
    <w:rsid w:val="68E84832"/>
    <w:rsid w:val="68EF4322"/>
    <w:rsid w:val="68F6064D"/>
    <w:rsid w:val="68FA155B"/>
    <w:rsid w:val="690B782E"/>
    <w:rsid w:val="69381330"/>
    <w:rsid w:val="693B5849"/>
    <w:rsid w:val="69476849"/>
    <w:rsid w:val="694A6159"/>
    <w:rsid w:val="694C06A9"/>
    <w:rsid w:val="69611532"/>
    <w:rsid w:val="697D5A91"/>
    <w:rsid w:val="6999071C"/>
    <w:rsid w:val="69AE1E1C"/>
    <w:rsid w:val="69BF39B8"/>
    <w:rsid w:val="69C33F35"/>
    <w:rsid w:val="69C52D46"/>
    <w:rsid w:val="69C93673"/>
    <w:rsid w:val="69CD7DC8"/>
    <w:rsid w:val="69EF3AA6"/>
    <w:rsid w:val="69FD3BAD"/>
    <w:rsid w:val="6A152E7C"/>
    <w:rsid w:val="6A1B6C6E"/>
    <w:rsid w:val="6A252E23"/>
    <w:rsid w:val="6A283947"/>
    <w:rsid w:val="6A2B7A6E"/>
    <w:rsid w:val="6A4609B2"/>
    <w:rsid w:val="6A516637"/>
    <w:rsid w:val="6A534F45"/>
    <w:rsid w:val="6A6125E1"/>
    <w:rsid w:val="6A645A26"/>
    <w:rsid w:val="6A655D02"/>
    <w:rsid w:val="6A6F2A4D"/>
    <w:rsid w:val="6A910026"/>
    <w:rsid w:val="6A9A4C08"/>
    <w:rsid w:val="6AA1438C"/>
    <w:rsid w:val="6AA33636"/>
    <w:rsid w:val="6AA9148D"/>
    <w:rsid w:val="6ACB5C61"/>
    <w:rsid w:val="6ADA058D"/>
    <w:rsid w:val="6ADB53D5"/>
    <w:rsid w:val="6AF55F2D"/>
    <w:rsid w:val="6AF620F3"/>
    <w:rsid w:val="6B210699"/>
    <w:rsid w:val="6B2A6E74"/>
    <w:rsid w:val="6B305200"/>
    <w:rsid w:val="6B5B3E77"/>
    <w:rsid w:val="6B63682C"/>
    <w:rsid w:val="6B7278F9"/>
    <w:rsid w:val="6B76781E"/>
    <w:rsid w:val="6B806B86"/>
    <w:rsid w:val="6B912284"/>
    <w:rsid w:val="6B9504F2"/>
    <w:rsid w:val="6BA023E9"/>
    <w:rsid w:val="6BA45F22"/>
    <w:rsid w:val="6BAF11DE"/>
    <w:rsid w:val="6BB248AE"/>
    <w:rsid w:val="6BC03BE4"/>
    <w:rsid w:val="6BD73320"/>
    <w:rsid w:val="6BFF59B7"/>
    <w:rsid w:val="6C0333AB"/>
    <w:rsid w:val="6C0F32DC"/>
    <w:rsid w:val="6C122F2C"/>
    <w:rsid w:val="6C1848DF"/>
    <w:rsid w:val="6C1D2F9F"/>
    <w:rsid w:val="6C206F72"/>
    <w:rsid w:val="6C2C6A38"/>
    <w:rsid w:val="6C3810A1"/>
    <w:rsid w:val="6C3A5834"/>
    <w:rsid w:val="6C4E22D9"/>
    <w:rsid w:val="6C530186"/>
    <w:rsid w:val="6C545E29"/>
    <w:rsid w:val="6C570C04"/>
    <w:rsid w:val="6C5A228B"/>
    <w:rsid w:val="6C5D23B9"/>
    <w:rsid w:val="6C8576CF"/>
    <w:rsid w:val="6C906DBE"/>
    <w:rsid w:val="6C940191"/>
    <w:rsid w:val="6C945EC1"/>
    <w:rsid w:val="6C9B5343"/>
    <w:rsid w:val="6C9C771D"/>
    <w:rsid w:val="6CA80F7D"/>
    <w:rsid w:val="6CAE4DC9"/>
    <w:rsid w:val="6CB8006D"/>
    <w:rsid w:val="6CC97D25"/>
    <w:rsid w:val="6CDB120E"/>
    <w:rsid w:val="6CE056C8"/>
    <w:rsid w:val="6CF57915"/>
    <w:rsid w:val="6D0E445B"/>
    <w:rsid w:val="6D154B26"/>
    <w:rsid w:val="6D320AEC"/>
    <w:rsid w:val="6D4315B7"/>
    <w:rsid w:val="6D441015"/>
    <w:rsid w:val="6D476697"/>
    <w:rsid w:val="6D4F17DC"/>
    <w:rsid w:val="6D6171C7"/>
    <w:rsid w:val="6D64106F"/>
    <w:rsid w:val="6D663BF9"/>
    <w:rsid w:val="6D6C22C0"/>
    <w:rsid w:val="6D7E41EB"/>
    <w:rsid w:val="6DA7006F"/>
    <w:rsid w:val="6DAC4AC0"/>
    <w:rsid w:val="6DBE2D94"/>
    <w:rsid w:val="6DCC42B3"/>
    <w:rsid w:val="6DEB30B5"/>
    <w:rsid w:val="6DF96AE0"/>
    <w:rsid w:val="6DFB2674"/>
    <w:rsid w:val="6E094A2E"/>
    <w:rsid w:val="6E0E6F67"/>
    <w:rsid w:val="6E1B1D04"/>
    <w:rsid w:val="6E4F65C4"/>
    <w:rsid w:val="6E753AFC"/>
    <w:rsid w:val="6E780D25"/>
    <w:rsid w:val="6E8D5AE2"/>
    <w:rsid w:val="6E8D6F92"/>
    <w:rsid w:val="6EB4252C"/>
    <w:rsid w:val="6EB85FF9"/>
    <w:rsid w:val="6EC34C47"/>
    <w:rsid w:val="6EC7506B"/>
    <w:rsid w:val="6ECC79E0"/>
    <w:rsid w:val="6ECD3F4B"/>
    <w:rsid w:val="6EE11FA9"/>
    <w:rsid w:val="6EFC3D84"/>
    <w:rsid w:val="6EFC62C8"/>
    <w:rsid w:val="6F2171A4"/>
    <w:rsid w:val="6F5372B3"/>
    <w:rsid w:val="6F541627"/>
    <w:rsid w:val="6F547652"/>
    <w:rsid w:val="6F610BEC"/>
    <w:rsid w:val="6F6A6988"/>
    <w:rsid w:val="6F792ECE"/>
    <w:rsid w:val="6F79580D"/>
    <w:rsid w:val="6F7D12F4"/>
    <w:rsid w:val="6F9375EA"/>
    <w:rsid w:val="6F9F5811"/>
    <w:rsid w:val="6FA757F4"/>
    <w:rsid w:val="6FAE0351"/>
    <w:rsid w:val="6FB369C1"/>
    <w:rsid w:val="6FC54716"/>
    <w:rsid w:val="6FC55C8A"/>
    <w:rsid w:val="6FC707AD"/>
    <w:rsid w:val="6FCA41E1"/>
    <w:rsid w:val="6FCF6A53"/>
    <w:rsid w:val="6FD33F3E"/>
    <w:rsid w:val="6FD44871"/>
    <w:rsid w:val="6FD96315"/>
    <w:rsid w:val="6FDE0649"/>
    <w:rsid w:val="6FE517B6"/>
    <w:rsid w:val="6FEA0BD4"/>
    <w:rsid w:val="6FFA1C6B"/>
    <w:rsid w:val="6FFA5B14"/>
    <w:rsid w:val="70201662"/>
    <w:rsid w:val="7024187D"/>
    <w:rsid w:val="70257AF8"/>
    <w:rsid w:val="7043389A"/>
    <w:rsid w:val="70503F25"/>
    <w:rsid w:val="70513947"/>
    <w:rsid w:val="70526725"/>
    <w:rsid w:val="705A4DB3"/>
    <w:rsid w:val="705E7338"/>
    <w:rsid w:val="707E3635"/>
    <w:rsid w:val="70870E3F"/>
    <w:rsid w:val="709B29A8"/>
    <w:rsid w:val="70B54D0D"/>
    <w:rsid w:val="70C81BA2"/>
    <w:rsid w:val="70CE1D3A"/>
    <w:rsid w:val="70D728AB"/>
    <w:rsid w:val="70E04AB7"/>
    <w:rsid w:val="70E752F8"/>
    <w:rsid w:val="70EE5669"/>
    <w:rsid w:val="70F00542"/>
    <w:rsid w:val="71054859"/>
    <w:rsid w:val="71084A5A"/>
    <w:rsid w:val="710B3E50"/>
    <w:rsid w:val="71234CD4"/>
    <w:rsid w:val="712D5E72"/>
    <w:rsid w:val="7135050C"/>
    <w:rsid w:val="71383FA3"/>
    <w:rsid w:val="71434BED"/>
    <w:rsid w:val="714D544E"/>
    <w:rsid w:val="71514593"/>
    <w:rsid w:val="71560B60"/>
    <w:rsid w:val="71641E43"/>
    <w:rsid w:val="716E5C58"/>
    <w:rsid w:val="71923A1E"/>
    <w:rsid w:val="71A70273"/>
    <w:rsid w:val="71C30463"/>
    <w:rsid w:val="71C84B93"/>
    <w:rsid w:val="71CE363D"/>
    <w:rsid w:val="71E43ADE"/>
    <w:rsid w:val="71F42EB8"/>
    <w:rsid w:val="72143096"/>
    <w:rsid w:val="721F3278"/>
    <w:rsid w:val="72214459"/>
    <w:rsid w:val="7225217C"/>
    <w:rsid w:val="722F0E5C"/>
    <w:rsid w:val="72394D2A"/>
    <w:rsid w:val="723B780F"/>
    <w:rsid w:val="724405BD"/>
    <w:rsid w:val="72474748"/>
    <w:rsid w:val="72606560"/>
    <w:rsid w:val="72746531"/>
    <w:rsid w:val="7279326C"/>
    <w:rsid w:val="727B0E73"/>
    <w:rsid w:val="729D67D7"/>
    <w:rsid w:val="72B7269E"/>
    <w:rsid w:val="72BF3070"/>
    <w:rsid w:val="72C82FDE"/>
    <w:rsid w:val="72CE136A"/>
    <w:rsid w:val="72D57472"/>
    <w:rsid w:val="72DD1671"/>
    <w:rsid w:val="72E56B49"/>
    <w:rsid w:val="72EB6154"/>
    <w:rsid w:val="72F558F2"/>
    <w:rsid w:val="7312119F"/>
    <w:rsid w:val="731877F4"/>
    <w:rsid w:val="73266077"/>
    <w:rsid w:val="732B21AE"/>
    <w:rsid w:val="73310AF2"/>
    <w:rsid w:val="733A2A9A"/>
    <w:rsid w:val="73524BC5"/>
    <w:rsid w:val="735C766E"/>
    <w:rsid w:val="7365769A"/>
    <w:rsid w:val="73744DDF"/>
    <w:rsid w:val="73846D0E"/>
    <w:rsid w:val="739E4751"/>
    <w:rsid w:val="73B115E6"/>
    <w:rsid w:val="73B41ED9"/>
    <w:rsid w:val="73B45B4B"/>
    <w:rsid w:val="73C62D23"/>
    <w:rsid w:val="73D420DC"/>
    <w:rsid w:val="73DB329B"/>
    <w:rsid w:val="73DF1BA8"/>
    <w:rsid w:val="74003491"/>
    <w:rsid w:val="740560C0"/>
    <w:rsid w:val="74101B27"/>
    <w:rsid w:val="74151F10"/>
    <w:rsid w:val="741833DC"/>
    <w:rsid w:val="742541DA"/>
    <w:rsid w:val="742841E7"/>
    <w:rsid w:val="742E52CB"/>
    <w:rsid w:val="743F3C36"/>
    <w:rsid w:val="74572AF7"/>
    <w:rsid w:val="745E364C"/>
    <w:rsid w:val="746E4153"/>
    <w:rsid w:val="7479108A"/>
    <w:rsid w:val="747C5D57"/>
    <w:rsid w:val="7480721E"/>
    <w:rsid w:val="74A1543A"/>
    <w:rsid w:val="74BB39F0"/>
    <w:rsid w:val="74BD5F94"/>
    <w:rsid w:val="74CE33F7"/>
    <w:rsid w:val="74D74DC6"/>
    <w:rsid w:val="74E00F35"/>
    <w:rsid w:val="74E31889"/>
    <w:rsid w:val="74EC2BF2"/>
    <w:rsid w:val="74F206D6"/>
    <w:rsid w:val="74FA443D"/>
    <w:rsid w:val="74FB1E15"/>
    <w:rsid w:val="74FD30C9"/>
    <w:rsid w:val="7505127B"/>
    <w:rsid w:val="750C5109"/>
    <w:rsid w:val="752C3E7A"/>
    <w:rsid w:val="75475154"/>
    <w:rsid w:val="754B62A6"/>
    <w:rsid w:val="75647E61"/>
    <w:rsid w:val="75705734"/>
    <w:rsid w:val="75723327"/>
    <w:rsid w:val="75862DDB"/>
    <w:rsid w:val="758B3BCD"/>
    <w:rsid w:val="758C3017"/>
    <w:rsid w:val="758C661B"/>
    <w:rsid w:val="75A36394"/>
    <w:rsid w:val="75A54A07"/>
    <w:rsid w:val="75B2513F"/>
    <w:rsid w:val="75C8628B"/>
    <w:rsid w:val="75D4791B"/>
    <w:rsid w:val="75D5679F"/>
    <w:rsid w:val="75E955E5"/>
    <w:rsid w:val="75EE4A87"/>
    <w:rsid w:val="76003899"/>
    <w:rsid w:val="760100FA"/>
    <w:rsid w:val="76044B04"/>
    <w:rsid w:val="76121576"/>
    <w:rsid w:val="76252589"/>
    <w:rsid w:val="762E4E2F"/>
    <w:rsid w:val="763276C8"/>
    <w:rsid w:val="76366201"/>
    <w:rsid w:val="763B707E"/>
    <w:rsid w:val="76483C5A"/>
    <w:rsid w:val="765374A5"/>
    <w:rsid w:val="765F5436"/>
    <w:rsid w:val="76745944"/>
    <w:rsid w:val="76750E1C"/>
    <w:rsid w:val="768874D4"/>
    <w:rsid w:val="7692155B"/>
    <w:rsid w:val="7698649F"/>
    <w:rsid w:val="76A1191A"/>
    <w:rsid w:val="76B471E7"/>
    <w:rsid w:val="76BB0C66"/>
    <w:rsid w:val="76BC1B77"/>
    <w:rsid w:val="76BE141B"/>
    <w:rsid w:val="76CA7A43"/>
    <w:rsid w:val="76DD6660"/>
    <w:rsid w:val="76E617D5"/>
    <w:rsid w:val="77004BC5"/>
    <w:rsid w:val="77055A5F"/>
    <w:rsid w:val="77061CB0"/>
    <w:rsid w:val="77062316"/>
    <w:rsid w:val="770C0F88"/>
    <w:rsid w:val="77164E54"/>
    <w:rsid w:val="77175110"/>
    <w:rsid w:val="771918E8"/>
    <w:rsid w:val="77255BC6"/>
    <w:rsid w:val="7730549D"/>
    <w:rsid w:val="77332EB5"/>
    <w:rsid w:val="773859A6"/>
    <w:rsid w:val="773C557A"/>
    <w:rsid w:val="77422DE8"/>
    <w:rsid w:val="774232CD"/>
    <w:rsid w:val="77483056"/>
    <w:rsid w:val="77496A23"/>
    <w:rsid w:val="77647724"/>
    <w:rsid w:val="7775505E"/>
    <w:rsid w:val="7784630C"/>
    <w:rsid w:val="7788144F"/>
    <w:rsid w:val="7793441F"/>
    <w:rsid w:val="779A60FD"/>
    <w:rsid w:val="77A53815"/>
    <w:rsid w:val="77B5380B"/>
    <w:rsid w:val="77B73DB6"/>
    <w:rsid w:val="77BD62BD"/>
    <w:rsid w:val="77C955DF"/>
    <w:rsid w:val="77F5079C"/>
    <w:rsid w:val="780F0E00"/>
    <w:rsid w:val="782379C5"/>
    <w:rsid w:val="782E0CD5"/>
    <w:rsid w:val="782E3942"/>
    <w:rsid w:val="78315774"/>
    <w:rsid w:val="783B3B20"/>
    <w:rsid w:val="783E73D2"/>
    <w:rsid w:val="78484950"/>
    <w:rsid w:val="784A450B"/>
    <w:rsid w:val="784A595B"/>
    <w:rsid w:val="78571C44"/>
    <w:rsid w:val="787D0BB5"/>
    <w:rsid w:val="787D7C16"/>
    <w:rsid w:val="788077FA"/>
    <w:rsid w:val="788B712E"/>
    <w:rsid w:val="788C162B"/>
    <w:rsid w:val="78A556E9"/>
    <w:rsid w:val="78C347BB"/>
    <w:rsid w:val="78C47752"/>
    <w:rsid w:val="78D005D7"/>
    <w:rsid w:val="78EE351E"/>
    <w:rsid w:val="78F07AFC"/>
    <w:rsid w:val="7904602B"/>
    <w:rsid w:val="791647D5"/>
    <w:rsid w:val="791C2D46"/>
    <w:rsid w:val="79243247"/>
    <w:rsid w:val="792702FB"/>
    <w:rsid w:val="793769E2"/>
    <w:rsid w:val="79601FFF"/>
    <w:rsid w:val="79671272"/>
    <w:rsid w:val="79697C10"/>
    <w:rsid w:val="797377DF"/>
    <w:rsid w:val="797B4607"/>
    <w:rsid w:val="79890C5D"/>
    <w:rsid w:val="798F5E60"/>
    <w:rsid w:val="79923CB3"/>
    <w:rsid w:val="79994FDB"/>
    <w:rsid w:val="799B49B2"/>
    <w:rsid w:val="79A023C6"/>
    <w:rsid w:val="79AF6CF7"/>
    <w:rsid w:val="79B83C71"/>
    <w:rsid w:val="79C71E03"/>
    <w:rsid w:val="79CA2953"/>
    <w:rsid w:val="79D05EA5"/>
    <w:rsid w:val="79D0613E"/>
    <w:rsid w:val="79D53D35"/>
    <w:rsid w:val="79D97847"/>
    <w:rsid w:val="79DB3E6D"/>
    <w:rsid w:val="79DB7DBB"/>
    <w:rsid w:val="79E02FB2"/>
    <w:rsid w:val="79E32B39"/>
    <w:rsid w:val="79E90504"/>
    <w:rsid w:val="7A0D78EC"/>
    <w:rsid w:val="7A171326"/>
    <w:rsid w:val="7A304A14"/>
    <w:rsid w:val="7A36742C"/>
    <w:rsid w:val="7A376FAD"/>
    <w:rsid w:val="7A573061"/>
    <w:rsid w:val="7A686C49"/>
    <w:rsid w:val="7A6903C9"/>
    <w:rsid w:val="7A764A1F"/>
    <w:rsid w:val="7A7E2E80"/>
    <w:rsid w:val="7A8B7131"/>
    <w:rsid w:val="7A900056"/>
    <w:rsid w:val="7A9F0501"/>
    <w:rsid w:val="7AA95841"/>
    <w:rsid w:val="7AAD7780"/>
    <w:rsid w:val="7AC41352"/>
    <w:rsid w:val="7AC70AE9"/>
    <w:rsid w:val="7ACA7190"/>
    <w:rsid w:val="7ACE6C6A"/>
    <w:rsid w:val="7AD92855"/>
    <w:rsid w:val="7AE74A0C"/>
    <w:rsid w:val="7AE9630D"/>
    <w:rsid w:val="7AEA69B5"/>
    <w:rsid w:val="7AEC352E"/>
    <w:rsid w:val="7B204C6C"/>
    <w:rsid w:val="7B2F13E3"/>
    <w:rsid w:val="7B323B12"/>
    <w:rsid w:val="7B3D406D"/>
    <w:rsid w:val="7B595071"/>
    <w:rsid w:val="7B5B2270"/>
    <w:rsid w:val="7B5F2971"/>
    <w:rsid w:val="7B64725E"/>
    <w:rsid w:val="7B6B0056"/>
    <w:rsid w:val="7B844529"/>
    <w:rsid w:val="7B8F5F44"/>
    <w:rsid w:val="7B96610F"/>
    <w:rsid w:val="7B9A5BCF"/>
    <w:rsid w:val="7BAA1965"/>
    <w:rsid w:val="7BC0698C"/>
    <w:rsid w:val="7BEB25BE"/>
    <w:rsid w:val="7BF34248"/>
    <w:rsid w:val="7BFA3A3D"/>
    <w:rsid w:val="7C14022C"/>
    <w:rsid w:val="7C163543"/>
    <w:rsid w:val="7C16489D"/>
    <w:rsid w:val="7C222BB8"/>
    <w:rsid w:val="7C2358FF"/>
    <w:rsid w:val="7C2C7719"/>
    <w:rsid w:val="7C4A3E4B"/>
    <w:rsid w:val="7C4F6131"/>
    <w:rsid w:val="7C636752"/>
    <w:rsid w:val="7C657B35"/>
    <w:rsid w:val="7C89017F"/>
    <w:rsid w:val="7C9D08C9"/>
    <w:rsid w:val="7CA455DE"/>
    <w:rsid w:val="7CAF47B7"/>
    <w:rsid w:val="7CB400F8"/>
    <w:rsid w:val="7CB86D53"/>
    <w:rsid w:val="7CBA32E5"/>
    <w:rsid w:val="7CC70CCE"/>
    <w:rsid w:val="7CCA0ED7"/>
    <w:rsid w:val="7CCD4D16"/>
    <w:rsid w:val="7CCE69FE"/>
    <w:rsid w:val="7CD072E2"/>
    <w:rsid w:val="7CE1380D"/>
    <w:rsid w:val="7CE60EAF"/>
    <w:rsid w:val="7CED5A0D"/>
    <w:rsid w:val="7D0E77C0"/>
    <w:rsid w:val="7D123CCA"/>
    <w:rsid w:val="7D2427B4"/>
    <w:rsid w:val="7D356E56"/>
    <w:rsid w:val="7D4F0510"/>
    <w:rsid w:val="7D667774"/>
    <w:rsid w:val="7D742FBA"/>
    <w:rsid w:val="7D803E8C"/>
    <w:rsid w:val="7DA85098"/>
    <w:rsid w:val="7DB50378"/>
    <w:rsid w:val="7DB514C6"/>
    <w:rsid w:val="7DB70A93"/>
    <w:rsid w:val="7DDB5C86"/>
    <w:rsid w:val="7DE20D2D"/>
    <w:rsid w:val="7DE340C8"/>
    <w:rsid w:val="7DE77096"/>
    <w:rsid w:val="7DEE545D"/>
    <w:rsid w:val="7DEE75C5"/>
    <w:rsid w:val="7DFA631C"/>
    <w:rsid w:val="7E083B41"/>
    <w:rsid w:val="7E20335F"/>
    <w:rsid w:val="7E321B56"/>
    <w:rsid w:val="7E380FED"/>
    <w:rsid w:val="7E3C0AE6"/>
    <w:rsid w:val="7E3E7829"/>
    <w:rsid w:val="7E4F79AF"/>
    <w:rsid w:val="7E675045"/>
    <w:rsid w:val="7E684851"/>
    <w:rsid w:val="7E7B41D7"/>
    <w:rsid w:val="7E8C2EDF"/>
    <w:rsid w:val="7EB11157"/>
    <w:rsid w:val="7EB53FFA"/>
    <w:rsid w:val="7EBE6507"/>
    <w:rsid w:val="7ECB2E11"/>
    <w:rsid w:val="7ECD1A2A"/>
    <w:rsid w:val="7ED916E7"/>
    <w:rsid w:val="7ED97EFB"/>
    <w:rsid w:val="7EDF2745"/>
    <w:rsid w:val="7EE15BB1"/>
    <w:rsid w:val="7EE443D5"/>
    <w:rsid w:val="7EE45739"/>
    <w:rsid w:val="7EE60311"/>
    <w:rsid w:val="7EF33C03"/>
    <w:rsid w:val="7EF65A47"/>
    <w:rsid w:val="7EF9195B"/>
    <w:rsid w:val="7F0B0626"/>
    <w:rsid w:val="7F137B09"/>
    <w:rsid w:val="7F142CC8"/>
    <w:rsid w:val="7F146FB9"/>
    <w:rsid w:val="7F201338"/>
    <w:rsid w:val="7F2809A6"/>
    <w:rsid w:val="7F2E3E36"/>
    <w:rsid w:val="7F3D71B1"/>
    <w:rsid w:val="7F586BD5"/>
    <w:rsid w:val="7F7B0F72"/>
    <w:rsid w:val="7F9E000F"/>
    <w:rsid w:val="7FAE7F5E"/>
    <w:rsid w:val="7FB70AB2"/>
    <w:rsid w:val="7FB7525C"/>
    <w:rsid w:val="7FC7186A"/>
    <w:rsid w:val="7FD94DD9"/>
    <w:rsid w:val="7FDA6CF1"/>
    <w:rsid w:val="7FF40B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qFormat="1" w:uiPriority="99"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spacing w:before="340" w:after="330" w:line="578" w:lineRule="auto"/>
      <w:outlineLvl w:val="0"/>
    </w:pPr>
    <w:rPr>
      <w:rFonts w:ascii="Tahoma" w:hAnsi="Tahoma"/>
      <w:b/>
      <w:bCs/>
      <w:kern w:val="44"/>
      <w:sz w:val="44"/>
      <w:szCs w:val="44"/>
    </w:rPr>
  </w:style>
  <w:style w:type="paragraph" w:styleId="3">
    <w:name w:val="heading 2"/>
    <w:basedOn w:val="1"/>
    <w:next w:val="1"/>
    <w:link w:val="5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147"/>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spacing w:before="240" w:after="60"/>
      <w:outlineLvl w:val="3"/>
    </w:pPr>
    <w:rPr>
      <w:b/>
      <w:bCs/>
      <w:sz w:val="28"/>
      <w:szCs w:val="28"/>
    </w:rPr>
  </w:style>
  <w:style w:type="paragraph" w:styleId="6">
    <w:name w:val="heading 6"/>
    <w:basedOn w:val="1"/>
    <w:next w:val="1"/>
    <w:link w:val="52"/>
    <w:qFormat/>
    <w:uiPriority w:val="0"/>
    <w:pPr>
      <w:keepNext/>
      <w:keepLines/>
      <w:spacing w:before="240" w:after="64" w:line="320" w:lineRule="auto"/>
      <w:outlineLvl w:val="5"/>
    </w:pPr>
    <w:rPr>
      <w:rFonts w:ascii="Arial" w:hAnsi="Arial" w:eastAsia="黑体"/>
      <w:b/>
      <w:bCs/>
      <w:sz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7">
    <w:name w:val="index 8"/>
    <w:basedOn w:val="1"/>
    <w:next w:val="1"/>
    <w:qFormat/>
    <w:uiPriority w:val="0"/>
    <w:pPr>
      <w:ind w:left="2940"/>
    </w:pPr>
  </w:style>
  <w:style w:type="paragraph" w:styleId="8">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9">
    <w:name w:val="Normal Indent"/>
    <w:basedOn w:val="1"/>
    <w:link w:val="53"/>
    <w:qFormat/>
    <w:uiPriority w:val="0"/>
    <w:pPr>
      <w:ind w:firstLine="420"/>
    </w:pPr>
    <w:rPr>
      <w:szCs w:val="20"/>
    </w:rPr>
  </w:style>
  <w:style w:type="paragraph" w:styleId="10">
    <w:name w:val="caption"/>
    <w:basedOn w:val="1"/>
    <w:next w:val="1"/>
    <w:qFormat/>
    <w:uiPriority w:val="0"/>
    <w:rPr>
      <w:rFonts w:ascii="Cambria" w:hAnsi="Cambria" w:eastAsia="黑体"/>
      <w:sz w:val="20"/>
      <w:szCs w:val="20"/>
    </w:rPr>
  </w:style>
  <w:style w:type="paragraph" w:styleId="11">
    <w:name w:val="Document Map"/>
    <w:basedOn w:val="1"/>
    <w:link w:val="54"/>
    <w:qFormat/>
    <w:uiPriority w:val="0"/>
    <w:rPr>
      <w:rFonts w:ascii="宋体" w:hAnsi="Tahoma"/>
      <w:sz w:val="18"/>
      <w:szCs w:val="18"/>
    </w:rPr>
  </w:style>
  <w:style w:type="paragraph" w:styleId="12">
    <w:name w:val="annotation text"/>
    <w:basedOn w:val="1"/>
    <w:link w:val="55"/>
    <w:qFormat/>
    <w:uiPriority w:val="0"/>
    <w:pPr>
      <w:jc w:val="left"/>
    </w:pPr>
  </w:style>
  <w:style w:type="paragraph" w:styleId="13">
    <w:name w:val="Body Text 3"/>
    <w:basedOn w:val="1"/>
    <w:qFormat/>
    <w:uiPriority w:val="0"/>
    <w:pPr>
      <w:spacing w:line="240" w:lineRule="exact"/>
    </w:pPr>
    <w:rPr>
      <w:rFonts w:ascii="宋体" w:hAnsi="宋体"/>
      <w:color w:val="000000"/>
      <w:szCs w:val="21"/>
    </w:rPr>
  </w:style>
  <w:style w:type="paragraph" w:styleId="14">
    <w:name w:val="Body Text"/>
    <w:basedOn w:val="1"/>
    <w:link w:val="148"/>
    <w:qFormat/>
    <w:uiPriority w:val="0"/>
    <w:pPr>
      <w:spacing w:line="380" w:lineRule="exact"/>
    </w:pPr>
    <w:rPr>
      <w:sz w:val="24"/>
    </w:rPr>
  </w:style>
  <w:style w:type="paragraph" w:styleId="15">
    <w:name w:val="Body Text Indent"/>
    <w:basedOn w:val="1"/>
    <w:link w:val="56"/>
    <w:qFormat/>
    <w:uiPriority w:val="0"/>
    <w:pPr>
      <w:spacing w:after="120"/>
      <w:ind w:left="420" w:leftChars="200"/>
    </w:pPr>
    <w:rPr>
      <w:rFonts w:ascii="Tahoma" w:hAnsi="Tahoma"/>
    </w:rPr>
  </w:style>
  <w:style w:type="paragraph" w:styleId="16">
    <w:name w:val="toc 3"/>
    <w:basedOn w:val="1"/>
    <w:next w:val="1"/>
    <w:qFormat/>
    <w:uiPriority w:val="39"/>
    <w:pPr>
      <w:ind w:left="840" w:leftChars="400"/>
    </w:pPr>
  </w:style>
  <w:style w:type="paragraph" w:styleId="17">
    <w:name w:val="Plain Text"/>
    <w:basedOn w:val="1"/>
    <w:next w:val="7"/>
    <w:link w:val="57"/>
    <w:qFormat/>
    <w:uiPriority w:val="0"/>
    <w:rPr>
      <w:rFonts w:ascii="宋体" w:hAnsi="Courier New"/>
      <w:szCs w:val="20"/>
    </w:rPr>
  </w:style>
  <w:style w:type="paragraph" w:styleId="18">
    <w:name w:val="Date"/>
    <w:basedOn w:val="1"/>
    <w:next w:val="1"/>
    <w:qFormat/>
    <w:uiPriority w:val="0"/>
    <w:pPr>
      <w:ind w:left="100" w:leftChars="2500"/>
    </w:pPr>
  </w:style>
  <w:style w:type="paragraph" w:styleId="19">
    <w:name w:val="Body Text Indent 2"/>
    <w:basedOn w:val="1"/>
    <w:qFormat/>
    <w:uiPriority w:val="0"/>
    <w:pPr>
      <w:ind w:firstLine="630"/>
    </w:pPr>
    <w:rPr>
      <w:sz w:val="32"/>
      <w:szCs w:val="20"/>
    </w:rPr>
  </w:style>
  <w:style w:type="paragraph" w:styleId="20">
    <w:name w:val="Balloon Text"/>
    <w:basedOn w:val="1"/>
    <w:semiHidden/>
    <w:qFormat/>
    <w:uiPriority w:val="0"/>
    <w:rPr>
      <w:sz w:val="18"/>
      <w:szCs w:val="18"/>
    </w:rPr>
  </w:style>
  <w:style w:type="paragraph" w:styleId="21">
    <w:name w:val="footer"/>
    <w:basedOn w:val="1"/>
    <w:next w:val="1"/>
    <w:link w:val="58"/>
    <w:qFormat/>
    <w:uiPriority w:val="99"/>
    <w:pPr>
      <w:tabs>
        <w:tab w:val="center" w:pos="4153"/>
        <w:tab w:val="right" w:pos="8306"/>
      </w:tabs>
      <w:snapToGrid w:val="0"/>
      <w:jc w:val="left"/>
    </w:pPr>
    <w:rPr>
      <w:rFonts w:ascii="Tahoma" w:hAnsi="Tahoma"/>
      <w:sz w:val="18"/>
      <w:szCs w:val="18"/>
    </w:rPr>
  </w:style>
  <w:style w:type="paragraph" w:styleId="22">
    <w:name w:val="header"/>
    <w:basedOn w:val="1"/>
    <w:link w:val="59"/>
    <w:qFormat/>
    <w:uiPriority w:val="99"/>
    <w:pPr>
      <w:pBdr>
        <w:bottom w:val="single" w:color="auto" w:sz="6" w:space="1"/>
      </w:pBdr>
      <w:tabs>
        <w:tab w:val="center" w:pos="4153"/>
        <w:tab w:val="right" w:pos="8306"/>
      </w:tabs>
      <w:snapToGrid w:val="0"/>
      <w:jc w:val="center"/>
    </w:pPr>
    <w:rPr>
      <w:rFonts w:ascii="Tahoma" w:hAnsi="Tahoma"/>
      <w:sz w:val="18"/>
      <w:szCs w:val="18"/>
    </w:rPr>
  </w:style>
  <w:style w:type="paragraph" w:styleId="23">
    <w:name w:val="toc 1"/>
    <w:basedOn w:val="1"/>
    <w:next w:val="1"/>
    <w:qFormat/>
    <w:uiPriority w:val="39"/>
  </w:style>
  <w:style w:type="paragraph" w:styleId="24">
    <w:name w:val="toc 2"/>
    <w:basedOn w:val="1"/>
    <w:next w:val="1"/>
    <w:qFormat/>
    <w:uiPriority w:val="39"/>
    <w:pPr>
      <w:ind w:left="420" w:leftChars="200"/>
    </w:pPr>
  </w:style>
  <w:style w:type="paragraph" w:styleId="25">
    <w:name w:val="toc 9"/>
    <w:basedOn w:val="1"/>
    <w:next w:val="1"/>
    <w:qFormat/>
    <w:uiPriority w:val="39"/>
    <w:pPr>
      <w:ind w:left="1680"/>
      <w:jc w:val="left"/>
    </w:pPr>
    <w:rPr>
      <w:sz w:val="18"/>
      <w:szCs w:val="18"/>
    </w:rPr>
  </w:style>
  <w:style w:type="paragraph" w:styleId="26">
    <w:name w:val="List 4"/>
    <w:basedOn w:val="1"/>
    <w:unhideWhenUsed/>
    <w:qFormat/>
    <w:uiPriority w:val="99"/>
    <w:pPr>
      <w:ind w:left="100" w:leftChars="600" w:hanging="200" w:hangingChars="200"/>
      <w:contextualSpacing/>
    </w:pPr>
  </w:style>
  <w:style w:type="paragraph" w:styleId="2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8">
    <w:name w:val="Title"/>
    <w:basedOn w:val="1"/>
    <w:next w:val="1"/>
    <w:qFormat/>
    <w:uiPriority w:val="10"/>
    <w:pPr>
      <w:spacing w:before="240" w:after="60"/>
      <w:jc w:val="center"/>
      <w:outlineLvl w:val="0"/>
    </w:pPr>
    <w:rPr>
      <w:rFonts w:ascii="等线 Light" w:hAnsi="等线 Light"/>
      <w:b/>
      <w:bCs/>
      <w:sz w:val="32"/>
      <w:szCs w:val="32"/>
    </w:rPr>
  </w:style>
  <w:style w:type="paragraph" w:styleId="29">
    <w:name w:val="annotation subject"/>
    <w:basedOn w:val="12"/>
    <w:next w:val="12"/>
    <w:semiHidden/>
    <w:qFormat/>
    <w:uiPriority w:val="0"/>
    <w:rPr>
      <w:b/>
      <w:bCs/>
    </w:rPr>
  </w:style>
  <w:style w:type="paragraph" w:styleId="30">
    <w:name w:val="Body Text First Indent"/>
    <w:basedOn w:val="14"/>
    <w:link w:val="149"/>
    <w:qFormat/>
    <w:uiPriority w:val="0"/>
    <w:pPr>
      <w:spacing w:after="120" w:line="240" w:lineRule="auto"/>
      <w:ind w:firstLine="420" w:firstLineChars="100"/>
    </w:pPr>
    <w:rPr>
      <w:sz w:val="21"/>
    </w:rPr>
  </w:style>
  <w:style w:type="paragraph" w:styleId="31">
    <w:name w:val="Body Text First Indent 2"/>
    <w:basedOn w:val="1"/>
    <w:link w:val="146"/>
    <w:qFormat/>
    <w:uiPriority w:val="0"/>
    <w:pPr>
      <w:ind w:firstLine="420" w:firstLineChars="200"/>
    </w:pPr>
    <w:rPr>
      <w:rFonts w:ascii="Times New Roman" w:hAnsi="Times New Roman"/>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rFonts w:ascii="Tahoma" w:hAnsi="Tahoma"/>
      <w:b/>
      <w:bCs/>
      <w:sz w:val="24"/>
      <w:szCs w:val="20"/>
    </w:rPr>
  </w:style>
  <w:style w:type="character" w:styleId="36">
    <w:name w:val="page number"/>
    <w:qFormat/>
    <w:uiPriority w:val="0"/>
  </w:style>
  <w:style w:type="character" w:styleId="37">
    <w:name w:val="FollowedHyperlink"/>
    <w:unhideWhenUsed/>
    <w:qFormat/>
    <w:uiPriority w:val="99"/>
    <w:rPr>
      <w:color w:val="954F72"/>
      <w:u w:val="single"/>
    </w:rPr>
  </w:style>
  <w:style w:type="character" w:styleId="38">
    <w:name w:val="Emphasis"/>
    <w:qFormat/>
    <w:uiPriority w:val="0"/>
  </w:style>
  <w:style w:type="character" w:styleId="39">
    <w:name w:val="HTML Definition"/>
    <w:qFormat/>
    <w:uiPriority w:val="0"/>
  </w:style>
  <w:style w:type="character" w:styleId="40">
    <w:name w:val="HTML Typewriter"/>
    <w:qFormat/>
    <w:uiPriority w:val="0"/>
    <w:rPr>
      <w:rFonts w:hint="default" w:ascii="monospace" w:hAnsi="monospace" w:eastAsia="monospace" w:cs="monospace"/>
      <w:sz w:val="20"/>
    </w:rPr>
  </w:style>
  <w:style w:type="character" w:styleId="41">
    <w:name w:val="HTML Acronym"/>
    <w:qFormat/>
    <w:uiPriority w:val="0"/>
  </w:style>
  <w:style w:type="character" w:styleId="42">
    <w:name w:val="HTML Variable"/>
    <w:qFormat/>
    <w:uiPriority w:val="0"/>
    <w:rPr>
      <w:rFonts w:ascii="Tahoma" w:hAnsi="Tahoma"/>
      <w:sz w:val="24"/>
      <w:szCs w:val="20"/>
    </w:rPr>
  </w:style>
  <w:style w:type="character" w:styleId="43">
    <w:name w:val="Hyperlink"/>
    <w:basedOn w:val="34"/>
    <w:qFormat/>
    <w:uiPriority w:val="99"/>
    <w:rPr>
      <w:rFonts w:ascii="Tahoma" w:hAnsi="Tahoma"/>
      <w:color w:val="0000FF"/>
      <w:sz w:val="24"/>
      <w:szCs w:val="20"/>
      <w:u w:val="single"/>
    </w:rPr>
  </w:style>
  <w:style w:type="character" w:styleId="44">
    <w:name w:val="HTML Code"/>
    <w:qFormat/>
    <w:uiPriority w:val="0"/>
    <w:rPr>
      <w:rFonts w:ascii="monospace" w:hAnsi="monospace" w:eastAsia="monospace" w:cs="monospace"/>
      <w:sz w:val="20"/>
    </w:rPr>
  </w:style>
  <w:style w:type="character" w:styleId="45">
    <w:name w:val="annotation reference"/>
    <w:semiHidden/>
    <w:qFormat/>
    <w:uiPriority w:val="0"/>
    <w:rPr>
      <w:rFonts w:ascii="Tahoma" w:hAnsi="Tahoma"/>
      <w:sz w:val="21"/>
      <w:szCs w:val="21"/>
    </w:rPr>
  </w:style>
  <w:style w:type="character" w:styleId="46">
    <w:name w:val="HTML Cite"/>
    <w:qFormat/>
    <w:uiPriority w:val="0"/>
  </w:style>
  <w:style w:type="character" w:styleId="47">
    <w:name w:val="HTML Keyboard"/>
    <w:qFormat/>
    <w:uiPriority w:val="0"/>
    <w:rPr>
      <w:rFonts w:hint="default" w:ascii="monospace" w:hAnsi="monospace" w:eastAsia="monospace" w:cs="monospace"/>
      <w:sz w:val="20"/>
    </w:rPr>
  </w:style>
  <w:style w:type="character" w:styleId="48">
    <w:name w:val="HTML Sample"/>
    <w:qFormat/>
    <w:uiPriority w:val="0"/>
    <w:rPr>
      <w:rFonts w:hint="default" w:ascii="monospace" w:hAnsi="monospace" w:eastAsia="monospace" w:cs="monospace"/>
    </w:rPr>
  </w:style>
  <w:style w:type="paragraph" w:customStyle="1" w:styleId="4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50">
    <w:name w:val="标题 1 Char"/>
    <w:link w:val="2"/>
    <w:qFormat/>
    <w:uiPriority w:val="0"/>
    <w:rPr>
      <w:rFonts w:ascii="Tahoma" w:hAnsi="Tahoma"/>
      <w:b/>
      <w:bCs/>
      <w:kern w:val="44"/>
      <w:sz w:val="44"/>
      <w:szCs w:val="44"/>
    </w:rPr>
  </w:style>
  <w:style w:type="character" w:customStyle="1" w:styleId="51">
    <w:name w:val="标题 2 Char"/>
    <w:link w:val="3"/>
    <w:semiHidden/>
    <w:qFormat/>
    <w:uiPriority w:val="0"/>
    <w:rPr>
      <w:rFonts w:ascii="Cambria" w:hAnsi="Cambria" w:eastAsia="宋体" w:cs="Times New Roman"/>
      <w:b/>
      <w:bCs/>
      <w:kern w:val="2"/>
      <w:sz w:val="32"/>
      <w:szCs w:val="32"/>
    </w:rPr>
  </w:style>
  <w:style w:type="character" w:customStyle="1" w:styleId="52">
    <w:name w:val="标题 6 Char"/>
    <w:link w:val="6"/>
    <w:qFormat/>
    <w:uiPriority w:val="0"/>
    <w:rPr>
      <w:rFonts w:ascii="Arial" w:hAnsi="Arial" w:eastAsia="黑体"/>
      <w:b/>
      <w:bCs/>
      <w:kern w:val="2"/>
      <w:sz w:val="24"/>
      <w:szCs w:val="24"/>
      <w:lang w:val="en-US" w:eastAsia="zh-CN" w:bidi="ar-SA"/>
    </w:rPr>
  </w:style>
  <w:style w:type="character" w:customStyle="1" w:styleId="53">
    <w:name w:val="正文缩进 Char"/>
    <w:link w:val="9"/>
    <w:qFormat/>
    <w:locked/>
    <w:uiPriority w:val="0"/>
    <w:rPr>
      <w:rFonts w:eastAsia="宋体"/>
      <w:kern w:val="2"/>
      <w:sz w:val="21"/>
      <w:lang w:val="en-US" w:eastAsia="zh-CN" w:bidi="ar-SA"/>
    </w:rPr>
  </w:style>
  <w:style w:type="character" w:customStyle="1" w:styleId="54">
    <w:name w:val="文档结构图 Char"/>
    <w:link w:val="11"/>
    <w:qFormat/>
    <w:uiPriority w:val="0"/>
    <w:rPr>
      <w:rFonts w:ascii="宋体" w:hAnsi="Tahoma"/>
      <w:kern w:val="2"/>
      <w:sz w:val="18"/>
      <w:szCs w:val="18"/>
    </w:rPr>
  </w:style>
  <w:style w:type="character" w:customStyle="1" w:styleId="55">
    <w:name w:val="批注文字 Char1"/>
    <w:link w:val="12"/>
    <w:qFormat/>
    <w:uiPriority w:val="0"/>
    <w:rPr>
      <w:rFonts w:eastAsia="宋体"/>
      <w:kern w:val="2"/>
      <w:sz w:val="21"/>
      <w:szCs w:val="24"/>
      <w:lang w:val="en-US" w:eastAsia="zh-CN" w:bidi="ar-SA"/>
    </w:rPr>
  </w:style>
  <w:style w:type="character" w:customStyle="1" w:styleId="56">
    <w:name w:val="正文文本缩进 Char1"/>
    <w:link w:val="15"/>
    <w:qFormat/>
    <w:uiPriority w:val="0"/>
    <w:rPr>
      <w:rFonts w:ascii="Tahoma" w:hAnsi="Tahoma"/>
      <w:kern w:val="2"/>
      <w:sz w:val="21"/>
      <w:szCs w:val="24"/>
    </w:rPr>
  </w:style>
  <w:style w:type="character" w:customStyle="1" w:styleId="57">
    <w:name w:val="纯文本 Char2"/>
    <w:link w:val="17"/>
    <w:qFormat/>
    <w:uiPriority w:val="0"/>
    <w:rPr>
      <w:rFonts w:ascii="宋体" w:hAnsi="Courier New" w:eastAsia="宋体"/>
      <w:kern w:val="2"/>
      <w:sz w:val="21"/>
      <w:szCs w:val="20"/>
      <w:lang w:val="en-US" w:eastAsia="zh-CN" w:bidi="ar-SA"/>
    </w:rPr>
  </w:style>
  <w:style w:type="character" w:customStyle="1" w:styleId="58">
    <w:name w:val="页脚 Char"/>
    <w:link w:val="21"/>
    <w:qFormat/>
    <w:uiPriority w:val="99"/>
    <w:rPr>
      <w:rFonts w:ascii="Tahoma" w:hAnsi="Tahoma"/>
      <w:kern w:val="2"/>
      <w:sz w:val="18"/>
      <w:szCs w:val="18"/>
    </w:rPr>
  </w:style>
  <w:style w:type="character" w:customStyle="1" w:styleId="59">
    <w:name w:val="页眉 Char"/>
    <w:link w:val="22"/>
    <w:qFormat/>
    <w:uiPriority w:val="99"/>
    <w:rPr>
      <w:rFonts w:ascii="Tahoma" w:hAnsi="Tahoma"/>
      <w:kern w:val="2"/>
      <w:sz w:val="18"/>
      <w:szCs w:val="18"/>
    </w:rPr>
  </w:style>
  <w:style w:type="character" w:customStyle="1" w:styleId="60">
    <w:name w:val="apple-converted-space"/>
    <w:qFormat/>
    <w:uiPriority w:val="0"/>
  </w:style>
  <w:style w:type="character" w:customStyle="1" w:styleId="61">
    <w:name w:val="批注文字 字符"/>
    <w:qFormat/>
    <w:uiPriority w:val="0"/>
    <w:rPr>
      <w:rFonts w:eastAsia="宋体"/>
      <w:kern w:val="2"/>
      <w:sz w:val="21"/>
      <w:szCs w:val="24"/>
      <w:lang w:val="en-US" w:eastAsia="zh-CN" w:bidi="ar-SA"/>
    </w:rPr>
  </w:style>
  <w:style w:type="character" w:customStyle="1" w:styleId="62">
    <w:name w:val="正文缩进 Char1"/>
    <w:qFormat/>
    <w:locked/>
    <w:uiPriority w:val="0"/>
    <w:rPr>
      <w:rFonts w:eastAsia="宋体"/>
      <w:kern w:val="2"/>
      <w:sz w:val="21"/>
      <w:lang w:val="en-US" w:eastAsia="zh-CN" w:bidi="ar-SA"/>
    </w:rPr>
  </w:style>
  <w:style w:type="character" w:customStyle="1" w:styleId="63">
    <w:name w:val="gjfg"/>
    <w:qFormat/>
    <w:uiPriority w:val="0"/>
  </w:style>
  <w:style w:type="character" w:customStyle="1" w:styleId="64">
    <w:name w:val="纯文本 字符3"/>
    <w:qFormat/>
    <w:uiPriority w:val="0"/>
    <w:rPr>
      <w:rFonts w:ascii="宋体" w:hAnsi="Courier New" w:eastAsia="宋体"/>
      <w:kern w:val="2"/>
      <w:sz w:val="21"/>
      <w:szCs w:val="20"/>
      <w:lang w:val="en-US" w:eastAsia="zh-CN" w:bidi="ar-SA"/>
    </w:rPr>
  </w:style>
  <w:style w:type="character" w:customStyle="1" w:styleId="65">
    <w:name w:val="纯文本 Char"/>
    <w:qFormat/>
    <w:uiPriority w:val="0"/>
    <w:rPr>
      <w:rFonts w:ascii="宋体" w:hAnsi="Courier New" w:eastAsia="宋体"/>
    </w:rPr>
  </w:style>
  <w:style w:type="character" w:customStyle="1" w:styleId="66">
    <w:name w:val="main12"/>
    <w:qFormat/>
    <w:uiPriority w:val="0"/>
    <w:rPr>
      <w:rFonts w:ascii="Arial" w:hAnsi="Arial" w:cs="Arial"/>
      <w:color w:val="000000"/>
      <w:sz w:val="18"/>
      <w:szCs w:val="18"/>
    </w:rPr>
  </w:style>
  <w:style w:type="character" w:customStyle="1" w:styleId="67">
    <w:name w:val="font01"/>
    <w:qFormat/>
    <w:uiPriority w:val="0"/>
    <w:rPr>
      <w:rFonts w:hint="eastAsia" w:ascii="宋体" w:hAnsi="宋体" w:eastAsia="宋体" w:cs="宋体"/>
      <w:color w:val="000000"/>
      <w:sz w:val="22"/>
      <w:szCs w:val="22"/>
      <w:u w:val="none"/>
    </w:rPr>
  </w:style>
  <w:style w:type="character" w:customStyle="1" w:styleId="68">
    <w:name w:val="正文文本缩进 Char"/>
    <w:qFormat/>
    <w:uiPriority w:val="0"/>
    <w:rPr>
      <w:rFonts w:ascii="Times New Roman" w:hAnsi="Times New Roman" w:eastAsia="宋体" w:cs="Times New Roman"/>
      <w:kern w:val="2"/>
      <w:sz w:val="21"/>
      <w:szCs w:val="24"/>
    </w:rPr>
  </w:style>
  <w:style w:type="character" w:customStyle="1" w:styleId="69">
    <w:name w:val="纯文本 Char4"/>
    <w:qFormat/>
    <w:uiPriority w:val="0"/>
    <w:rPr>
      <w:rFonts w:ascii="宋体" w:hAnsi="Courier New" w:eastAsia="宋体" w:cs="Courier New"/>
      <w:kern w:val="2"/>
      <w:sz w:val="21"/>
      <w:szCs w:val="21"/>
      <w:lang w:val="en-US" w:eastAsia="zh-CN" w:bidi="ar-SA"/>
    </w:rPr>
  </w:style>
  <w:style w:type="character" w:customStyle="1" w:styleId="70">
    <w:name w:val="fontstyle01"/>
    <w:qFormat/>
    <w:uiPriority w:val="0"/>
    <w:rPr>
      <w:rFonts w:hint="eastAsia" w:ascii="宋体" w:hAnsi="宋体" w:eastAsia="宋体"/>
      <w:color w:val="000000"/>
      <w:sz w:val="22"/>
      <w:szCs w:val="22"/>
    </w:rPr>
  </w:style>
  <w:style w:type="character" w:customStyle="1" w:styleId="71">
    <w:name w:val="未处理的提及1"/>
    <w:unhideWhenUsed/>
    <w:qFormat/>
    <w:uiPriority w:val="99"/>
    <w:rPr>
      <w:rFonts w:ascii="Tahoma" w:hAnsi="Tahoma"/>
      <w:color w:val="808080"/>
      <w:sz w:val="24"/>
      <w:szCs w:val="20"/>
      <w:shd w:val="clear" w:color="auto" w:fill="E6E6E6"/>
    </w:rPr>
  </w:style>
  <w:style w:type="character" w:customStyle="1" w:styleId="72">
    <w:name w:val="纯文本 字符2"/>
    <w:qFormat/>
    <w:uiPriority w:val="0"/>
    <w:rPr>
      <w:rFonts w:ascii="宋体" w:hAnsi="Courier New" w:eastAsia="宋体"/>
      <w:kern w:val="2"/>
      <w:sz w:val="21"/>
      <w:lang w:val="en-US" w:eastAsia="zh-CN" w:bidi="ar-SA"/>
    </w:rPr>
  </w:style>
  <w:style w:type="character" w:customStyle="1" w:styleId="73">
    <w:name w:val="纯文本 字符1"/>
    <w:qFormat/>
    <w:uiPriority w:val="0"/>
    <w:rPr>
      <w:rFonts w:ascii="Ђˎ̥" w:hAnsi="Verdana" w:eastAsia="Ђˎ̥" w:cs="Verdana"/>
      <w:szCs w:val="21"/>
    </w:rPr>
  </w:style>
  <w:style w:type="character" w:customStyle="1" w:styleId="74">
    <w:name w:val="页脚 字符"/>
    <w:qFormat/>
    <w:uiPriority w:val="99"/>
  </w:style>
  <w:style w:type="character" w:customStyle="1" w:styleId="75">
    <w:name w:val="标题 Char"/>
    <w:qFormat/>
    <w:uiPriority w:val="10"/>
    <w:rPr>
      <w:rFonts w:ascii="Calibri Light" w:hAnsi="Calibri Light" w:cs="Times New Roman"/>
      <w:b/>
      <w:bCs/>
      <w:kern w:val="2"/>
      <w:sz w:val="32"/>
      <w:szCs w:val="32"/>
    </w:rPr>
  </w:style>
  <w:style w:type="character" w:customStyle="1" w:styleId="76">
    <w:name w:val="批注文字 Char"/>
    <w:qFormat/>
    <w:uiPriority w:val="0"/>
    <w:rPr>
      <w:rFonts w:eastAsia="宋体"/>
      <w:kern w:val="2"/>
      <w:sz w:val="21"/>
      <w:szCs w:val="24"/>
      <w:lang w:val="en-US" w:eastAsia="zh-CN" w:bidi="ar-SA"/>
    </w:rPr>
  </w:style>
  <w:style w:type="character" w:customStyle="1" w:styleId="77">
    <w:name w:val="Char Char10"/>
    <w:qFormat/>
    <w:locked/>
    <w:uiPriority w:val="0"/>
    <w:rPr>
      <w:rFonts w:ascii="宋体" w:hAnsi="宋体" w:eastAsia="宋体"/>
      <w:kern w:val="2"/>
      <w:sz w:val="21"/>
      <w:szCs w:val="24"/>
      <w:lang w:val="en-US" w:eastAsia="zh-CN" w:bidi="ar-SA"/>
    </w:rPr>
  </w:style>
  <w:style w:type="character" w:customStyle="1" w:styleId="78">
    <w:name w:val="批注文字 字符1"/>
    <w:qFormat/>
    <w:uiPriority w:val="0"/>
    <w:rPr>
      <w:rFonts w:eastAsia="宋体"/>
      <w:kern w:val="2"/>
      <w:sz w:val="21"/>
      <w:szCs w:val="24"/>
      <w:lang w:val="en-US" w:eastAsia="zh-CN" w:bidi="ar-SA"/>
    </w:rPr>
  </w:style>
  <w:style w:type="character" w:customStyle="1" w:styleId="79">
    <w:name w:val="font21"/>
    <w:qFormat/>
    <w:uiPriority w:val="0"/>
    <w:rPr>
      <w:rFonts w:hint="eastAsia" w:ascii="宋体" w:hAnsi="宋体" w:eastAsia="宋体" w:cs="宋体"/>
      <w:color w:val="000000"/>
      <w:sz w:val="22"/>
      <w:szCs w:val="22"/>
      <w:u w:val="none"/>
    </w:rPr>
  </w:style>
  <w:style w:type="character" w:customStyle="1" w:styleId="80">
    <w:name w:val="redfilefwwh"/>
    <w:qFormat/>
    <w:uiPriority w:val="0"/>
    <w:rPr>
      <w:color w:val="BA2636"/>
      <w:sz w:val="18"/>
      <w:szCs w:val="18"/>
    </w:rPr>
  </w:style>
  <w:style w:type="character" w:customStyle="1" w:styleId="81">
    <w:name w:val="列出段落 Char"/>
    <w:qFormat/>
    <w:locked/>
    <w:uiPriority w:val="34"/>
    <w:rPr>
      <w:rFonts w:ascii="Times New Roman" w:hAnsi="Times New Roman" w:eastAsia="宋体" w:cs="Times New Roman"/>
      <w:kern w:val="0"/>
      <w:sz w:val="24"/>
      <w:szCs w:val="20"/>
    </w:rPr>
  </w:style>
  <w:style w:type="character" w:customStyle="1" w:styleId="82">
    <w:name w:val="Char Char1"/>
    <w:qFormat/>
    <w:uiPriority w:val="0"/>
    <w:rPr>
      <w:rFonts w:eastAsia="宋体"/>
      <w:kern w:val="2"/>
      <w:sz w:val="21"/>
      <w:szCs w:val="24"/>
      <w:lang w:val="en-US" w:eastAsia="zh-CN" w:bidi="ar-SA"/>
    </w:rPr>
  </w:style>
  <w:style w:type="character" w:customStyle="1" w:styleId="83">
    <w:name w:val="无"/>
    <w:qFormat/>
    <w:uiPriority w:val="0"/>
  </w:style>
  <w:style w:type="character" w:customStyle="1" w:styleId="84">
    <w:name w:val="qxdate"/>
    <w:qFormat/>
    <w:uiPriority w:val="0"/>
    <w:rPr>
      <w:color w:val="333333"/>
      <w:sz w:val="18"/>
      <w:szCs w:val="18"/>
    </w:rPr>
  </w:style>
  <w:style w:type="character" w:customStyle="1" w:styleId="85">
    <w:name w:val="纯文本 字符4"/>
    <w:qFormat/>
    <w:uiPriority w:val="0"/>
    <w:rPr>
      <w:rFonts w:ascii="宋体" w:hAnsi="Courier New" w:eastAsia="宋体"/>
      <w:kern w:val="2"/>
      <w:sz w:val="21"/>
      <w:szCs w:val="20"/>
      <w:lang w:val="en-US" w:eastAsia="zh-CN" w:bidi="ar-SA"/>
    </w:rPr>
  </w:style>
  <w:style w:type="character" w:customStyle="1" w:styleId="86">
    <w:name w:val="纯文本 字符"/>
    <w:qFormat/>
    <w:uiPriority w:val="0"/>
    <w:rPr>
      <w:rFonts w:ascii="宋体" w:hAnsi="Courier New" w:eastAsia="宋体" w:cs="Courier New"/>
      <w:szCs w:val="21"/>
    </w:rPr>
  </w:style>
  <w:style w:type="character" w:customStyle="1" w:styleId="87">
    <w:name w:val="cfdate"/>
    <w:qFormat/>
    <w:uiPriority w:val="0"/>
    <w:rPr>
      <w:color w:val="333333"/>
      <w:sz w:val="18"/>
      <w:szCs w:val="18"/>
    </w:rPr>
  </w:style>
  <w:style w:type="character" w:customStyle="1" w:styleId="88">
    <w:name w:val="displayarti"/>
    <w:qFormat/>
    <w:uiPriority w:val="0"/>
    <w:rPr>
      <w:color w:val="FFFFFF"/>
      <w:shd w:val="clear" w:color="auto" w:fill="A00000"/>
    </w:rPr>
  </w:style>
  <w:style w:type="character" w:customStyle="1" w:styleId="89">
    <w:name w:val="普通文字 Char Char5"/>
    <w:qFormat/>
    <w:uiPriority w:val="0"/>
    <w:rPr>
      <w:rFonts w:ascii="宋体" w:hAnsi="Courier New" w:eastAsia="宋体"/>
      <w:szCs w:val="21"/>
      <w:lang w:bidi="ar-SA"/>
    </w:rPr>
  </w:style>
  <w:style w:type="character" w:customStyle="1" w:styleId="90">
    <w:name w:val="font11"/>
    <w:qFormat/>
    <w:uiPriority w:val="0"/>
    <w:rPr>
      <w:rFonts w:hint="default" w:ascii="Times New Roman" w:hAnsi="Times New Roman" w:cs="Times New Roman"/>
      <w:color w:val="000000"/>
      <w:sz w:val="20"/>
      <w:szCs w:val="20"/>
      <w:u w:val="none"/>
    </w:rPr>
  </w:style>
  <w:style w:type="character" w:customStyle="1" w:styleId="91">
    <w:name w:val="纯文本 Char1"/>
    <w:qFormat/>
    <w:uiPriority w:val="0"/>
    <w:rPr>
      <w:rFonts w:ascii="宋体" w:hAnsi="Courier New" w:eastAsia="宋体"/>
      <w:kern w:val="2"/>
      <w:sz w:val="21"/>
      <w:szCs w:val="20"/>
      <w:lang w:val="en-US" w:eastAsia="zh-CN" w:bidi="ar-SA"/>
    </w:rPr>
  </w:style>
  <w:style w:type="character" w:customStyle="1" w:styleId="92">
    <w:name w:val="font61"/>
    <w:qFormat/>
    <w:uiPriority w:val="0"/>
    <w:rPr>
      <w:rFonts w:hint="eastAsia" w:ascii="宋体" w:hAnsi="宋体" w:eastAsia="宋体" w:cs="宋体"/>
      <w:color w:val="000000"/>
      <w:sz w:val="21"/>
      <w:szCs w:val="21"/>
      <w:u w:val="none"/>
    </w:rPr>
  </w:style>
  <w:style w:type="character" w:customStyle="1" w:styleId="93">
    <w:name w:val="列出段落 Char1"/>
    <w:link w:val="94"/>
    <w:qFormat/>
    <w:locked/>
    <w:uiPriority w:val="0"/>
    <w:rPr>
      <w:kern w:val="2"/>
      <w:sz w:val="21"/>
      <w:szCs w:val="24"/>
    </w:rPr>
  </w:style>
  <w:style w:type="paragraph" w:styleId="94">
    <w:name w:val="List Paragraph"/>
    <w:basedOn w:val="1"/>
    <w:link w:val="93"/>
    <w:qFormat/>
    <w:uiPriority w:val="0"/>
    <w:pPr>
      <w:ind w:firstLine="420" w:firstLineChars="200"/>
    </w:pPr>
  </w:style>
  <w:style w:type="character" w:customStyle="1" w:styleId="95">
    <w:name w:val="redfilenumber"/>
    <w:qFormat/>
    <w:uiPriority w:val="0"/>
    <w:rPr>
      <w:color w:val="BA2636"/>
      <w:sz w:val="18"/>
      <w:szCs w:val="18"/>
    </w:rPr>
  </w:style>
  <w:style w:type="paragraph" w:customStyle="1" w:styleId="96">
    <w:name w:val="样式1"/>
    <w:basedOn w:val="1"/>
    <w:qFormat/>
    <w:uiPriority w:val="0"/>
    <w:pPr>
      <w:widowControl/>
      <w:jc w:val="left"/>
    </w:pPr>
    <w:rPr>
      <w:rFonts w:ascii="宋体" w:hAnsi="宋体"/>
      <w:kern w:val="0"/>
      <w:szCs w:val="21"/>
    </w:rPr>
  </w:style>
  <w:style w:type="paragraph" w:customStyle="1" w:styleId="97">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98">
    <w:name w:val="xl88"/>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9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0">
    <w:name w:val="xl72"/>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101">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02">
    <w:name w:val="xl8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03">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4">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正文_0_0"/>
    <w:qFormat/>
    <w:uiPriority w:val="0"/>
    <w:pPr>
      <w:widowControl w:val="0"/>
      <w:spacing w:line="360" w:lineRule="auto"/>
      <w:ind w:firstLine="480" w:firstLineChars="200"/>
      <w:jc w:val="both"/>
    </w:pPr>
    <w:rPr>
      <w:rFonts w:ascii="宋体" w:hAnsi="宋体" w:eastAsia="宋体" w:cs="Times New Roman"/>
      <w:color w:val="000000"/>
      <w:kern w:val="2"/>
      <w:sz w:val="24"/>
      <w:szCs w:val="24"/>
      <w:lang w:val="en-US" w:eastAsia="zh-CN" w:bidi="ar-SA"/>
    </w:rPr>
  </w:style>
  <w:style w:type="paragraph" w:customStyle="1" w:styleId="106">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07">
    <w:name w:val="xl7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08">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0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
    <w:name w:val="段"/>
    <w:next w:val="1"/>
    <w:qFormat/>
    <w:uiPriority w:val="99"/>
    <w:pPr>
      <w:autoSpaceDE w:val="0"/>
      <w:autoSpaceDN w:val="0"/>
      <w:ind w:firstLine="200"/>
      <w:jc w:val="both"/>
    </w:pPr>
    <w:rPr>
      <w:rFonts w:ascii="宋体" w:hAnsi="宋体" w:eastAsia="宋体" w:cs="Times New Roman"/>
      <w:sz w:val="21"/>
      <w:szCs w:val="21"/>
      <w:lang w:val="en-US" w:eastAsia="zh-CN" w:bidi="ar-SA"/>
    </w:rPr>
  </w:style>
  <w:style w:type="paragraph" w:customStyle="1" w:styleId="111">
    <w:name w:val="1"/>
    <w:basedOn w:val="1"/>
    <w:next w:val="17"/>
    <w:qFormat/>
    <w:uiPriority w:val="0"/>
    <w:rPr>
      <w:rFonts w:ascii="宋体" w:hAnsi="Courier New"/>
      <w:szCs w:val="20"/>
    </w:rPr>
  </w:style>
  <w:style w:type="paragraph" w:customStyle="1" w:styleId="112">
    <w:name w:val="Char Char8"/>
    <w:basedOn w:val="1"/>
    <w:qFormat/>
    <w:uiPriority w:val="0"/>
    <w:rPr>
      <w:rFonts w:ascii="Tahoma" w:hAnsi="Tahoma" w:eastAsia="Times New Roman"/>
      <w:kern w:val="0"/>
      <w:sz w:val="24"/>
      <w:szCs w:val="20"/>
    </w:rPr>
  </w:style>
  <w:style w:type="paragraph" w:customStyle="1" w:styleId="11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15">
    <w:name w:val="p17"/>
    <w:basedOn w:val="1"/>
    <w:qFormat/>
    <w:uiPriority w:val="0"/>
    <w:pPr>
      <w:widowControl/>
    </w:pPr>
    <w:rPr>
      <w:rFonts w:ascii="宋体" w:hAnsi="宋体" w:cs="宋体"/>
      <w:kern w:val="0"/>
      <w:szCs w:val="21"/>
    </w:rPr>
  </w:style>
  <w:style w:type="paragraph" w:customStyle="1" w:styleId="11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18">
    <w:name w:val="xl8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19">
    <w:name w:val="Char Char2 Char Char"/>
    <w:basedOn w:val="1"/>
    <w:qFormat/>
    <w:uiPriority w:val="0"/>
    <w:rPr>
      <w:rFonts w:ascii="Tahoma" w:hAnsi="Tahoma"/>
      <w:sz w:val="24"/>
      <w:szCs w:val="20"/>
    </w:rPr>
  </w:style>
  <w:style w:type="paragraph" w:customStyle="1" w:styleId="120">
    <w:name w:val="TOC 标题1"/>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121">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2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3">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4">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5">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6">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27">
    <w:name w:val="Body text|3"/>
    <w:basedOn w:val="1"/>
    <w:qFormat/>
    <w:uiPriority w:val="0"/>
    <w:pPr>
      <w:spacing w:after="460"/>
      <w:jc w:val="center"/>
    </w:pPr>
    <w:rPr>
      <w:rFonts w:ascii="宋体" w:hAnsi="宋体" w:cs="宋体"/>
      <w:kern w:val="0"/>
      <w:sz w:val="34"/>
      <w:szCs w:val="34"/>
    </w:rPr>
  </w:style>
  <w:style w:type="paragraph" w:customStyle="1" w:styleId="128">
    <w:name w:val="CM14"/>
    <w:basedOn w:val="49"/>
    <w:next w:val="49"/>
    <w:qFormat/>
    <w:uiPriority w:val="0"/>
    <w:pPr>
      <w:spacing w:line="468" w:lineRule="atLeast"/>
    </w:pPr>
    <w:rPr>
      <w:rFonts w:ascii="Sim Sun" w:eastAsia="Sim Sun" w:cs="Times New Roman"/>
      <w:color w:val="auto"/>
    </w:rPr>
  </w:style>
  <w:style w:type="paragraph" w:customStyle="1" w:styleId="129">
    <w:name w:val="普通(网站)1"/>
    <w:basedOn w:val="1"/>
    <w:qFormat/>
    <w:uiPriority w:val="0"/>
    <w:pPr>
      <w:jc w:val="left"/>
    </w:pPr>
    <w:rPr>
      <w:kern w:val="0"/>
      <w:sz w:val="24"/>
    </w:rPr>
  </w:style>
  <w:style w:type="paragraph" w:customStyle="1" w:styleId="130">
    <w:name w:val="CM15"/>
    <w:basedOn w:val="49"/>
    <w:next w:val="49"/>
    <w:qFormat/>
    <w:uiPriority w:val="0"/>
    <w:pPr>
      <w:spacing w:line="468" w:lineRule="atLeast"/>
    </w:pPr>
    <w:rPr>
      <w:rFonts w:ascii="Sim Sun" w:eastAsia="Sim Sun" w:cs="Times New Roman"/>
      <w:color w:val="auto"/>
    </w:rPr>
  </w:style>
  <w:style w:type="paragraph" w:customStyle="1" w:styleId="131">
    <w:name w:val="列出段落1"/>
    <w:basedOn w:val="1"/>
    <w:qFormat/>
    <w:uiPriority w:val="0"/>
    <w:pPr>
      <w:ind w:firstLine="420" w:firstLineChars="200"/>
    </w:pPr>
    <w:rPr>
      <w:rFonts w:ascii="仿宋_GB2312" w:eastAsia="仿宋_GB2312"/>
      <w:sz w:val="32"/>
    </w:rPr>
  </w:style>
  <w:style w:type="paragraph" w:customStyle="1" w:styleId="132">
    <w:name w:val="Table Paragraph"/>
    <w:basedOn w:val="1"/>
    <w:qFormat/>
    <w:uiPriority w:val="1"/>
  </w:style>
  <w:style w:type="paragraph" w:customStyle="1" w:styleId="133">
    <w:name w:val="首行缩进"/>
    <w:basedOn w:val="1"/>
    <w:qFormat/>
    <w:uiPriority w:val="0"/>
    <w:pPr>
      <w:ind w:firstLine="480" w:firstLineChars="200"/>
    </w:pPr>
  </w:style>
  <w:style w:type="paragraph" w:customStyle="1" w:styleId="134">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35">
    <w:name w:val="p0"/>
    <w:basedOn w:val="1"/>
    <w:qFormat/>
    <w:uiPriority w:val="0"/>
    <w:pPr>
      <w:widowControl/>
    </w:pPr>
    <w:rPr>
      <w:kern w:val="0"/>
      <w:szCs w:val="20"/>
    </w:rPr>
  </w:style>
  <w:style w:type="paragraph" w:customStyle="1" w:styleId="13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7">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38">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9">
    <w:name w:val="Body text|1"/>
    <w:basedOn w:val="1"/>
    <w:qFormat/>
    <w:uiPriority w:val="0"/>
    <w:pPr>
      <w:spacing w:line="350" w:lineRule="auto"/>
      <w:ind w:firstLine="400"/>
      <w:jc w:val="left"/>
    </w:pPr>
    <w:rPr>
      <w:rFonts w:ascii="宋体" w:hAnsi="宋体" w:cs="宋体"/>
      <w:kern w:val="0"/>
      <w:sz w:val="30"/>
      <w:szCs w:val="30"/>
    </w:rPr>
  </w:style>
  <w:style w:type="paragraph" w:customStyle="1" w:styleId="140">
    <w:name w:val="xl85"/>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41">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2">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43">
    <w:name w:val="xl8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44">
    <w:name w:val="_Style 36"/>
    <w:basedOn w:val="1"/>
    <w:qFormat/>
    <w:uiPriority w:val="0"/>
    <w:rPr>
      <w:rFonts w:ascii="Tahoma" w:hAnsi="Tahoma"/>
      <w:sz w:val="24"/>
      <w:szCs w:val="20"/>
    </w:rPr>
  </w:style>
  <w:style w:type="paragraph" w:customStyle="1" w:styleId="145">
    <w:name w:val="正文_0"/>
    <w:qFormat/>
    <w:uiPriority w:val="0"/>
    <w:pPr>
      <w:widowControl w:val="0"/>
      <w:tabs>
        <w:tab w:val="left" w:pos="480"/>
      </w:tabs>
      <w:spacing w:line="360" w:lineRule="auto"/>
      <w:jc w:val="both"/>
    </w:pPr>
    <w:rPr>
      <w:rFonts w:ascii="Times New Roman" w:hAnsi="Times New Roman" w:eastAsia="宋体" w:cs="Times New Roman"/>
      <w:kern w:val="2"/>
      <w:sz w:val="24"/>
      <w:szCs w:val="22"/>
      <w:lang w:val="en-US" w:eastAsia="zh-CN" w:bidi="ar-SA"/>
    </w:rPr>
  </w:style>
  <w:style w:type="character" w:customStyle="1" w:styleId="146">
    <w:name w:val="正文首行缩进 2 Char"/>
    <w:basedOn w:val="56"/>
    <w:link w:val="31"/>
    <w:qFormat/>
    <w:uiPriority w:val="0"/>
    <w:rPr>
      <w:rFonts w:ascii="Tahoma" w:hAnsi="Tahoma"/>
      <w:kern w:val="2"/>
      <w:sz w:val="21"/>
      <w:szCs w:val="24"/>
    </w:rPr>
  </w:style>
  <w:style w:type="character" w:customStyle="1" w:styleId="147">
    <w:name w:val="标题 3 Char"/>
    <w:link w:val="4"/>
    <w:qFormat/>
    <w:uiPriority w:val="0"/>
    <w:rPr>
      <w:b/>
      <w:bCs/>
      <w:kern w:val="2"/>
      <w:sz w:val="32"/>
      <w:szCs w:val="32"/>
    </w:rPr>
  </w:style>
  <w:style w:type="character" w:customStyle="1" w:styleId="148">
    <w:name w:val="正文文本 Char"/>
    <w:basedOn w:val="34"/>
    <w:link w:val="14"/>
    <w:qFormat/>
    <w:uiPriority w:val="0"/>
    <w:rPr>
      <w:kern w:val="2"/>
      <w:sz w:val="24"/>
      <w:szCs w:val="24"/>
    </w:rPr>
  </w:style>
  <w:style w:type="character" w:customStyle="1" w:styleId="149">
    <w:name w:val="正文首行缩进 Char"/>
    <w:basedOn w:val="148"/>
    <w:link w:val="30"/>
    <w:qFormat/>
    <w:uiPriority w:val="0"/>
    <w:rPr>
      <w:kern w:val="2"/>
      <w:sz w:val="21"/>
      <w:szCs w:val="24"/>
    </w:rPr>
  </w:style>
  <w:style w:type="paragraph" w:customStyle="1" w:styleId="150">
    <w:name w:val="纯文本1"/>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025DEE-EA4F-4D22-B281-45C9EDE1D9B0}">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57</Pages>
  <Words>8209</Words>
  <Characters>9337</Characters>
  <Lines>273</Lines>
  <Paragraphs>77</Paragraphs>
  <TotalTime>38</TotalTime>
  <ScaleCrop>false</ScaleCrop>
  <LinksUpToDate>false</LinksUpToDate>
  <CharactersWithSpaces>9504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2023-08-25T02:31:00Z</dcterms:created>
  <dc:creator>微软用户</dc:creator>
  <cp:lastModifiedBy>Shallow </cp:lastModifiedBy>
  <cp:lastPrinted>2021-11-17T01:54:00Z</cp:lastPrinted>
  <dcterms:modified xsi:type="dcterms:W3CDTF">2025-09-11T07:30:09Z</dcterms:modified>
  <dc:title>医疗设备采购</dc:title>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50A151C8A1F14CC08F2226210BA53F68_13</vt:lpwstr>
  </property>
  <property fmtid="{D5CDD505-2E9C-101B-9397-08002B2CF9AE}" pid="4" name="KSOTemplateDocerSaveRecord">
    <vt:lpwstr>eyJoZGlkIjoiYzBlNjQ1OWJmZjhkZDAyOGFiYTQzYjkzZGIzYjZlN2UiLCJ1c2VySWQiOiIyMjg4ODc4NTMifQ==</vt:lpwstr>
  </property>
</Properties>
</file>