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9F242">
      <w:pPr>
        <w:pStyle w:val="4"/>
        <w:ind w:left="0"/>
        <w:jc w:val="center"/>
        <w:rPr>
          <w:rFonts w:hint="default" w:ascii="宋体" w:hAnsi="宋体" w:eastAsia="宋体" w:cs="宋体"/>
          <w:bCs w:val="0"/>
          <w:color w:val="auto"/>
          <w:sz w:val="28"/>
          <w:szCs w:val="28"/>
          <w:lang w:val="en-US" w:eastAsia="zh-CN"/>
        </w:rPr>
      </w:pPr>
      <w:bookmarkStart w:id="0" w:name="_Toc28359079"/>
      <w:bookmarkStart w:id="1" w:name="_Toc28359002"/>
      <w:bookmarkStart w:id="2" w:name="_Toc35393790"/>
      <w:bookmarkStart w:id="3" w:name="_Toc35393621"/>
      <w:bookmarkStart w:id="4" w:name="_Hlk24379207"/>
      <w:r>
        <w:rPr>
          <w:rFonts w:hint="eastAsia" w:ascii="宋体" w:hAnsi="宋体" w:cs="宋体"/>
          <w:bCs w:val="0"/>
          <w:color w:val="auto"/>
          <w:sz w:val="28"/>
          <w:szCs w:val="28"/>
          <w:lang w:eastAsia="zh-CN"/>
        </w:rPr>
        <w:t>广西润扬项目管理有限公司</w:t>
      </w:r>
      <w:r>
        <w:rPr>
          <w:rFonts w:hint="eastAsia" w:ascii="宋体" w:hAnsi="宋体" w:cs="宋体"/>
          <w:bCs w:val="0"/>
          <w:color w:val="auto"/>
          <w:sz w:val="28"/>
          <w:szCs w:val="28"/>
          <w:lang w:val="en-US" w:eastAsia="zh-CN"/>
        </w:rPr>
        <w:t>关于全州县文桥镇文桥中心小学和文昌中心小学保障性租赁住房改建项目</w:t>
      </w:r>
      <w:r>
        <w:rPr>
          <w:rFonts w:hint="eastAsia" w:ascii="宋体" w:hAnsi="宋体" w:cs="宋体"/>
          <w:bCs w:val="0"/>
          <w:color w:val="auto"/>
          <w:sz w:val="28"/>
          <w:szCs w:val="28"/>
          <w:lang w:eastAsia="zh-CN"/>
        </w:rPr>
        <w:t xml:space="preserve">（GLZC2025-C2-240093-GXRY </w:t>
      </w:r>
      <w:r>
        <w:rPr>
          <w:rFonts w:hint="eastAsia" w:ascii="宋体" w:hAnsi="宋体" w:cs="宋体"/>
          <w:color w:val="auto"/>
          <w:sz w:val="28"/>
          <w:szCs w:val="28"/>
          <w:lang w:val="en-US" w:eastAsia="zh-CN"/>
        </w:rPr>
        <w:t>）更正公告</w:t>
      </w:r>
    </w:p>
    <w:p w14:paraId="6D412E80">
      <w:pPr>
        <w:pageBreakBefore w:val="0"/>
        <w:kinsoku/>
        <w:wordWrap/>
        <w:overflowPunct/>
        <w:topLinePunct w:val="0"/>
        <w:autoSpaceDE/>
        <w:autoSpaceDN/>
        <w:bidi w:val="0"/>
        <w:spacing w:line="240" w:lineRule="auto"/>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一、项目基本情况</w:t>
      </w:r>
      <w:bookmarkEnd w:id="0"/>
      <w:bookmarkEnd w:id="1"/>
      <w:bookmarkEnd w:id="2"/>
      <w:bookmarkEnd w:id="3"/>
    </w:p>
    <w:p w14:paraId="07D0BEDF">
      <w:pPr>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原公告的项目编号：</w:t>
      </w:r>
      <w:r>
        <w:rPr>
          <w:rFonts w:hint="eastAsia" w:ascii="宋体" w:hAnsi="宋体" w:cs="宋体"/>
          <w:color w:val="auto"/>
          <w:sz w:val="21"/>
          <w:szCs w:val="21"/>
          <w:lang w:val="en-US" w:eastAsia="zh-CN"/>
        </w:rPr>
        <w:t xml:space="preserve">GLZC2025-C2-240093-GXRY </w:t>
      </w:r>
      <w:r>
        <w:rPr>
          <w:rFonts w:hint="eastAsia" w:ascii="宋体" w:hAnsi="宋体" w:eastAsia="宋体" w:cs="宋体"/>
          <w:color w:val="auto"/>
          <w:sz w:val="21"/>
          <w:szCs w:val="21"/>
          <w:lang w:val="en-US" w:eastAsia="zh-CN"/>
        </w:rPr>
        <w:t xml:space="preserve">        </w:t>
      </w:r>
    </w:p>
    <w:p w14:paraId="10185022">
      <w:pPr>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原公告的项目名称：</w:t>
      </w:r>
      <w:bookmarkEnd w:id="4"/>
      <w:r>
        <w:rPr>
          <w:rFonts w:hint="eastAsia" w:ascii="宋体" w:hAnsi="宋体" w:cs="宋体"/>
          <w:color w:val="auto"/>
          <w:sz w:val="21"/>
          <w:szCs w:val="21"/>
          <w:lang w:val="en-US" w:eastAsia="zh-CN"/>
        </w:rPr>
        <w:t>全州县文桥镇文桥中心小学和文昌中心小学保障性租赁住房改建项目</w:t>
      </w:r>
    </w:p>
    <w:p w14:paraId="709F6306">
      <w:pPr>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首次公告日期：2025年</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23</w:t>
      </w:r>
      <w:r>
        <w:rPr>
          <w:rFonts w:hint="eastAsia" w:ascii="宋体" w:hAnsi="宋体" w:eastAsia="宋体" w:cs="宋体"/>
          <w:color w:val="auto"/>
          <w:sz w:val="21"/>
          <w:szCs w:val="21"/>
        </w:rPr>
        <w:t>日   </w:t>
      </w:r>
    </w:p>
    <w:p w14:paraId="10FC1105">
      <w:pPr>
        <w:pageBreakBefore w:val="0"/>
        <w:kinsoku/>
        <w:wordWrap/>
        <w:overflowPunct/>
        <w:topLinePunct w:val="0"/>
        <w:autoSpaceDE/>
        <w:autoSpaceDN/>
        <w:bidi w:val="0"/>
        <w:spacing w:line="24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二、更正信息 </w:t>
      </w:r>
    </w:p>
    <w:p w14:paraId="7E0E2BDF">
      <w:pPr>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更正事项：竞争性磋商文件                    </w:t>
      </w:r>
    </w:p>
    <w:p w14:paraId="127AA4B8">
      <w:pPr>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color w:val="auto"/>
          <w:sz w:val="21"/>
          <w:szCs w:val="21"/>
          <w:lang w:val="en-US" w:eastAsia="zh-CN"/>
        </w:rPr>
        <w:t>更正内容：</w:t>
      </w:r>
      <w:r>
        <w:rPr>
          <w:rFonts w:hint="eastAsia" w:ascii="宋体" w:hAnsi="宋体" w:eastAsia="宋体" w:cs="宋体"/>
          <w:b/>
          <w:bCs/>
          <w:color w:val="auto"/>
          <w:sz w:val="21"/>
          <w:szCs w:val="21"/>
          <w:highlight w:val="none"/>
          <w:lang w:val="en-US" w:eastAsia="zh-CN"/>
        </w:rPr>
        <w:t xml:space="preserve">  </w:t>
      </w:r>
    </w:p>
    <w:tbl>
      <w:tblPr>
        <w:tblStyle w:val="12"/>
        <w:tblW w:w="5437" w:type="pct"/>
        <w:tblInd w:w="-3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695"/>
        <w:gridCol w:w="894"/>
        <w:gridCol w:w="4558"/>
        <w:gridCol w:w="4712"/>
      </w:tblGrid>
      <w:tr w14:paraId="11A5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32" w:hRule="atLeast"/>
        </w:trPr>
        <w:tc>
          <w:tcPr>
            <w:tcW w:w="320" w:type="pct"/>
            <w:shd w:val="clear" w:color="auto" w:fill="auto"/>
            <w:tcMar>
              <w:top w:w="60" w:type="dxa"/>
              <w:left w:w="120" w:type="dxa"/>
              <w:bottom w:w="60" w:type="dxa"/>
              <w:right w:w="120" w:type="dxa"/>
            </w:tcMar>
            <w:vAlign w:val="center"/>
          </w:tcPr>
          <w:p w14:paraId="1D5A591B">
            <w:pPr>
              <w:jc w:val="center"/>
              <w:rPr>
                <w:rFonts w:hint="eastAsia"/>
                <w:color w:val="auto"/>
              </w:rPr>
            </w:pPr>
            <w:r>
              <w:rPr>
                <w:rFonts w:hint="eastAsia"/>
                <w:color w:val="auto"/>
                <w:lang w:val="en-US" w:eastAsia="zh-CN"/>
              </w:rPr>
              <w:t>序号</w:t>
            </w:r>
          </w:p>
        </w:tc>
        <w:tc>
          <w:tcPr>
            <w:tcW w:w="411" w:type="pct"/>
            <w:shd w:val="clear" w:color="auto" w:fill="auto"/>
            <w:tcMar>
              <w:top w:w="60" w:type="dxa"/>
              <w:left w:w="120" w:type="dxa"/>
              <w:bottom w:w="60" w:type="dxa"/>
              <w:right w:w="120" w:type="dxa"/>
            </w:tcMar>
            <w:vAlign w:val="center"/>
          </w:tcPr>
          <w:p w14:paraId="6BE7FACD">
            <w:pPr>
              <w:jc w:val="center"/>
              <w:rPr>
                <w:rFonts w:hint="eastAsia"/>
                <w:color w:val="auto"/>
              </w:rPr>
            </w:pPr>
            <w:r>
              <w:rPr>
                <w:rFonts w:hint="eastAsia"/>
                <w:color w:val="auto"/>
                <w:lang w:val="en-US" w:eastAsia="zh-CN"/>
              </w:rPr>
              <w:t>更正项</w:t>
            </w:r>
          </w:p>
        </w:tc>
        <w:tc>
          <w:tcPr>
            <w:tcW w:w="2098" w:type="pct"/>
            <w:shd w:val="clear" w:color="auto" w:fill="auto"/>
            <w:tcMar>
              <w:top w:w="60" w:type="dxa"/>
              <w:left w:w="120" w:type="dxa"/>
              <w:bottom w:w="60" w:type="dxa"/>
              <w:right w:w="120" w:type="dxa"/>
            </w:tcMar>
            <w:vAlign w:val="center"/>
          </w:tcPr>
          <w:p w14:paraId="533A8069">
            <w:pPr>
              <w:jc w:val="center"/>
              <w:rPr>
                <w:rFonts w:hint="eastAsia"/>
                <w:color w:val="auto"/>
              </w:rPr>
            </w:pPr>
            <w:r>
              <w:rPr>
                <w:rFonts w:hint="eastAsia"/>
                <w:color w:val="auto"/>
                <w:lang w:val="en-US" w:eastAsia="zh-CN"/>
              </w:rPr>
              <w:t>更正前内容</w:t>
            </w:r>
          </w:p>
        </w:tc>
        <w:tc>
          <w:tcPr>
            <w:tcW w:w="2169" w:type="pct"/>
            <w:shd w:val="clear" w:color="auto" w:fill="auto"/>
            <w:tcMar>
              <w:top w:w="60" w:type="dxa"/>
              <w:left w:w="120" w:type="dxa"/>
              <w:bottom w:w="60" w:type="dxa"/>
              <w:right w:w="120" w:type="dxa"/>
            </w:tcMar>
            <w:vAlign w:val="center"/>
          </w:tcPr>
          <w:p w14:paraId="29AFE35E">
            <w:pPr>
              <w:jc w:val="center"/>
              <w:rPr>
                <w:rFonts w:hint="eastAsia"/>
                <w:color w:val="auto"/>
              </w:rPr>
            </w:pPr>
            <w:r>
              <w:rPr>
                <w:rFonts w:hint="eastAsia"/>
                <w:color w:val="auto"/>
                <w:lang w:val="en-US" w:eastAsia="zh-CN"/>
              </w:rPr>
              <w:t>更正后内容</w:t>
            </w:r>
          </w:p>
        </w:tc>
      </w:tr>
      <w:tr w14:paraId="55B1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9" w:hRule="atLeast"/>
        </w:trPr>
        <w:tc>
          <w:tcPr>
            <w:tcW w:w="320" w:type="pct"/>
            <w:shd w:val="clear" w:color="auto" w:fill="auto"/>
            <w:tcMar>
              <w:top w:w="60" w:type="dxa"/>
              <w:left w:w="120" w:type="dxa"/>
              <w:bottom w:w="60" w:type="dxa"/>
              <w:right w:w="120" w:type="dxa"/>
            </w:tcMar>
            <w:vAlign w:val="center"/>
          </w:tcPr>
          <w:p w14:paraId="56DB5762">
            <w:pPr>
              <w:jc w:val="center"/>
              <w:rPr>
                <w:rFonts w:hint="default"/>
                <w:color w:val="auto"/>
                <w:lang w:val="en-US" w:eastAsia="zh-CN"/>
              </w:rPr>
            </w:pPr>
            <w:r>
              <w:rPr>
                <w:rFonts w:hint="eastAsia"/>
                <w:color w:val="auto"/>
                <w:lang w:val="en-US" w:eastAsia="zh-CN"/>
              </w:rPr>
              <w:t>1</w:t>
            </w:r>
          </w:p>
        </w:tc>
        <w:tc>
          <w:tcPr>
            <w:tcW w:w="411" w:type="pct"/>
            <w:shd w:val="clear" w:color="auto" w:fill="auto"/>
            <w:tcMar>
              <w:top w:w="60" w:type="dxa"/>
              <w:left w:w="120" w:type="dxa"/>
              <w:bottom w:w="60" w:type="dxa"/>
              <w:right w:w="120" w:type="dxa"/>
            </w:tcMar>
            <w:vAlign w:val="center"/>
          </w:tcPr>
          <w:p w14:paraId="72231612">
            <w:pPr>
              <w:rPr>
                <w:rFonts w:hint="eastAsia" w:eastAsia="宋体"/>
                <w:color w:val="auto"/>
                <w:lang w:eastAsia="zh-CN"/>
              </w:rPr>
            </w:pPr>
            <w:r>
              <w:rPr>
                <w:rFonts w:hint="eastAsia"/>
                <w:b/>
                <w:bCs/>
              </w:rPr>
              <w:t>竞争性磋商公告</w:t>
            </w:r>
            <w:r>
              <w:rPr>
                <w:rFonts w:hint="eastAsia"/>
                <w:b/>
                <w:bCs/>
                <w:lang w:eastAsia="zh-CN"/>
              </w:rPr>
              <w:t>；</w:t>
            </w:r>
            <w:r>
              <w:rPr>
                <w:rFonts w:hint="eastAsia"/>
                <w:b/>
                <w:bCs/>
              </w:rPr>
              <w:t>磋商供应商须知</w:t>
            </w:r>
          </w:p>
        </w:tc>
        <w:tc>
          <w:tcPr>
            <w:tcW w:w="2098" w:type="pct"/>
            <w:shd w:val="clear" w:color="auto" w:fill="auto"/>
            <w:tcMar>
              <w:top w:w="60" w:type="dxa"/>
              <w:left w:w="120" w:type="dxa"/>
              <w:bottom w:w="60" w:type="dxa"/>
              <w:right w:w="120" w:type="dxa"/>
            </w:tcMar>
            <w:vAlign w:val="center"/>
          </w:tcPr>
          <w:p w14:paraId="05ECECEB">
            <w:pPr>
              <w:adjustRightInd w:val="0"/>
              <w:spacing w:line="360" w:lineRule="auto"/>
              <w:jc w:val="both"/>
              <w:textAlignment w:val="baseline"/>
              <w:rPr>
                <w:rFonts w:hint="default" w:ascii="宋体" w:hAnsi="宋体" w:eastAsia="宋体" w:cs="宋体"/>
                <w:color w:val="auto"/>
                <w:szCs w:val="21"/>
                <w:lang w:val="en-US" w:eastAsia="zh-CN"/>
              </w:rPr>
            </w:pPr>
            <w:r>
              <w:rPr>
                <w:rFonts w:hint="eastAsia" w:ascii="宋体" w:hAnsi="宋体"/>
                <w:color w:val="auto"/>
                <w:szCs w:val="21"/>
              </w:rPr>
              <w:t>响应文件解密：</w:t>
            </w:r>
            <w:r>
              <w:rPr>
                <w:rFonts w:hint="eastAsia" w:ascii="宋体" w:hAnsi="宋体"/>
                <w:bCs/>
                <w:color w:val="auto"/>
                <w:szCs w:val="21"/>
              </w:rPr>
              <w:t>响应文件提交截止时间后，</w:t>
            </w:r>
            <w:r>
              <w:rPr>
                <w:rFonts w:hint="eastAsia" w:ascii="宋体" w:hAnsi="宋体"/>
                <w:color w:val="auto"/>
                <w:szCs w:val="21"/>
              </w:rPr>
              <w:t>广西政府采购云平台</w:t>
            </w:r>
            <w:r>
              <w:rPr>
                <w:rFonts w:hint="eastAsia" w:ascii="宋体" w:hAnsi="宋体"/>
                <w:bCs/>
                <w:color w:val="auto"/>
                <w:szCs w:val="21"/>
              </w:rPr>
              <w:t>自动提取所有供应商响应文件，各供应商须</w:t>
            </w:r>
            <w:bookmarkStart w:id="8" w:name="_GoBack"/>
            <w:bookmarkEnd w:id="8"/>
            <w:r>
              <w:rPr>
                <w:rFonts w:hint="eastAsia" w:ascii="宋体" w:hAnsi="宋体"/>
                <w:bCs/>
                <w:color w:val="auto"/>
                <w:szCs w:val="21"/>
              </w:rPr>
              <w:t>在提交响应文件截止</w:t>
            </w:r>
            <w:r>
              <w:rPr>
                <w:rFonts w:hint="eastAsia" w:ascii="宋体" w:hAnsi="宋体" w:cs="宋体"/>
                <w:bCs/>
                <w:color w:val="auto"/>
                <w:szCs w:val="21"/>
              </w:rPr>
              <w:t>后30分钟内（</w:t>
            </w:r>
            <w:r>
              <w:rPr>
                <w:rFonts w:hint="eastAsia" w:ascii="宋体" w:hAnsi="宋体"/>
                <w:color w:val="auto"/>
                <w:szCs w:val="21"/>
              </w:rPr>
              <w:t>2025年</w:t>
            </w:r>
            <w:r>
              <w:rPr>
                <w:rFonts w:hint="eastAsia" w:ascii="宋体" w:hAnsi="宋体"/>
                <w:color w:val="auto"/>
                <w:szCs w:val="21"/>
                <w:lang w:eastAsia="zh-CN"/>
              </w:rPr>
              <w:t>10月9日10时</w:t>
            </w:r>
            <w:r>
              <w:rPr>
                <w:rFonts w:hint="eastAsia" w:ascii="宋体" w:hAnsi="宋体"/>
                <w:color w:val="auto"/>
                <w:szCs w:val="21"/>
                <w:lang w:val="en-US" w:eastAsia="zh-CN"/>
              </w:rPr>
              <w:t>0</w:t>
            </w:r>
            <w:r>
              <w:rPr>
                <w:rFonts w:hint="eastAsia" w:ascii="宋体" w:hAnsi="宋体"/>
                <w:color w:val="auto"/>
                <w:szCs w:val="21"/>
                <w:lang w:eastAsia="zh-CN"/>
              </w:rPr>
              <w:t>0 分</w:t>
            </w:r>
            <w:r>
              <w:rPr>
                <w:rFonts w:hint="eastAsia" w:ascii="宋体" w:hAnsi="宋体"/>
                <w:color w:val="auto"/>
                <w:szCs w:val="21"/>
              </w:rPr>
              <w:t>至</w:t>
            </w:r>
            <w:r>
              <w:rPr>
                <w:rFonts w:hint="eastAsia" w:ascii="宋体" w:hAnsi="宋体" w:cs="宋体"/>
                <w:bCs/>
                <w:color w:val="auto"/>
                <w:szCs w:val="21"/>
              </w:rPr>
              <w:t>10时</w:t>
            </w:r>
            <w:r>
              <w:rPr>
                <w:rFonts w:hint="eastAsia" w:ascii="宋体" w:hAnsi="宋体" w:cs="宋体"/>
                <w:bCs/>
                <w:color w:val="auto"/>
                <w:szCs w:val="21"/>
                <w:lang w:val="en-US" w:eastAsia="zh-CN"/>
              </w:rPr>
              <w:t>3</w:t>
            </w:r>
            <w:r>
              <w:rPr>
                <w:rFonts w:hint="eastAsia" w:ascii="宋体" w:hAnsi="宋体" w:cs="宋体"/>
                <w:bCs/>
                <w:color w:val="auto"/>
                <w:szCs w:val="21"/>
              </w:rPr>
              <w:t>0分)</w:t>
            </w:r>
          </w:p>
        </w:tc>
        <w:tc>
          <w:tcPr>
            <w:tcW w:w="2169" w:type="pct"/>
            <w:shd w:val="clear" w:color="auto" w:fill="auto"/>
            <w:tcMar>
              <w:top w:w="60" w:type="dxa"/>
              <w:left w:w="120" w:type="dxa"/>
              <w:bottom w:w="60" w:type="dxa"/>
              <w:right w:w="120" w:type="dxa"/>
            </w:tcMar>
            <w:vAlign w:val="center"/>
          </w:tcPr>
          <w:p w14:paraId="44387806">
            <w:pPr>
              <w:adjustRightInd w:val="0"/>
              <w:spacing w:line="360" w:lineRule="auto"/>
              <w:jc w:val="both"/>
              <w:textAlignment w:val="baseline"/>
              <w:rPr>
                <w:rFonts w:hint="eastAsia" w:ascii="宋体" w:hAnsi="宋体" w:cs="宋体"/>
                <w:color w:val="auto"/>
                <w:szCs w:val="21"/>
              </w:rPr>
            </w:pPr>
            <w:r>
              <w:rPr>
                <w:rFonts w:hint="eastAsia" w:ascii="宋体" w:hAnsi="宋体"/>
                <w:color w:val="auto"/>
                <w:szCs w:val="21"/>
              </w:rPr>
              <w:t>响应文件解密：</w:t>
            </w:r>
            <w:r>
              <w:rPr>
                <w:rFonts w:hint="eastAsia" w:ascii="宋体" w:hAnsi="宋体"/>
                <w:bCs/>
                <w:color w:val="auto"/>
                <w:szCs w:val="21"/>
              </w:rPr>
              <w:t>响应文件提交截止时间后，</w:t>
            </w:r>
            <w:r>
              <w:rPr>
                <w:rFonts w:hint="eastAsia" w:ascii="宋体" w:hAnsi="宋体"/>
                <w:color w:val="auto"/>
                <w:szCs w:val="21"/>
              </w:rPr>
              <w:t>广西政府采购云平台</w:t>
            </w:r>
            <w:r>
              <w:rPr>
                <w:rFonts w:hint="eastAsia" w:ascii="宋体" w:hAnsi="宋体"/>
                <w:bCs/>
                <w:color w:val="auto"/>
                <w:szCs w:val="21"/>
              </w:rPr>
              <w:t>自动提取所有供应商响应文件，各供应商须在提交响应文件截止</w:t>
            </w:r>
            <w:r>
              <w:rPr>
                <w:rFonts w:hint="eastAsia" w:ascii="宋体" w:hAnsi="宋体" w:cs="宋体"/>
                <w:bCs/>
                <w:color w:val="auto"/>
                <w:szCs w:val="21"/>
              </w:rPr>
              <w:t>后30分钟内（</w:t>
            </w:r>
            <w:r>
              <w:rPr>
                <w:rFonts w:hint="eastAsia" w:ascii="宋体" w:hAnsi="宋体"/>
                <w:color w:val="auto"/>
                <w:szCs w:val="21"/>
              </w:rPr>
              <w:t>2025年</w:t>
            </w:r>
            <w:r>
              <w:rPr>
                <w:rFonts w:hint="eastAsia" w:ascii="宋体" w:hAnsi="宋体"/>
                <w:color w:val="auto"/>
                <w:szCs w:val="21"/>
                <w:lang w:eastAsia="zh-CN"/>
              </w:rPr>
              <w:t>10月9日10时</w:t>
            </w:r>
            <w:r>
              <w:rPr>
                <w:rFonts w:hint="eastAsia" w:ascii="宋体" w:hAnsi="宋体"/>
                <w:color w:val="auto"/>
                <w:szCs w:val="21"/>
                <w:lang w:val="en-US" w:eastAsia="zh-CN"/>
              </w:rPr>
              <w:t>3</w:t>
            </w:r>
            <w:r>
              <w:rPr>
                <w:rFonts w:hint="eastAsia" w:ascii="宋体" w:hAnsi="宋体"/>
                <w:color w:val="auto"/>
                <w:szCs w:val="21"/>
                <w:lang w:eastAsia="zh-CN"/>
              </w:rPr>
              <w:t>0 分</w:t>
            </w:r>
            <w:r>
              <w:rPr>
                <w:rFonts w:hint="eastAsia" w:ascii="宋体" w:hAnsi="宋体"/>
                <w:color w:val="auto"/>
                <w:szCs w:val="21"/>
              </w:rPr>
              <w:t>至</w:t>
            </w:r>
            <w:r>
              <w:rPr>
                <w:rFonts w:hint="eastAsia" w:ascii="宋体" w:hAnsi="宋体"/>
                <w:color w:val="auto"/>
                <w:szCs w:val="21"/>
                <w:lang w:val="en-US" w:eastAsia="zh-CN"/>
              </w:rPr>
              <w:t>11</w:t>
            </w:r>
            <w:r>
              <w:rPr>
                <w:rFonts w:hint="eastAsia" w:ascii="宋体" w:hAnsi="宋体" w:cs="宋体"/>
                <w:bCs/>
                <w:color w:val="auto"/>
                <w:szCs w:val="21"/>
              </w:rPr>
              <w:t>时</w:t>
            </w:r>
            <w:r>
              <w:rPr>
                <w:rFonts w:hint="eastAsia" w:ascii="宋体" w:hAnsi="宋体" w:cs="宋体"/>
                <w:bCs/>
                <w:color w:val="auto"/>
                <w:szCs w:val="21"/>
                <w:lang w:val="en-US" w:eastAsia="zh-CN"/>
              </w:rPr>
              <w:t>0</w:t>
            </w:r>
            <w:r>
              <w:rPr>
                <w:rFonts w:hint="eastAsia" w:ascii="宋体" w:hAnsi="宋体" w:cs="宋体"/>
                <w:bCs/>
                <w:color w:val="auto"/>
                <w:szCs w:val="21"/>
              </w:rPr>
              <w:t>0分)</w:t>
            </w:r>
          </w:p>
        </w:tc>
      </w:tr>
      <w:tr w14:paraId="6D7E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9" w:hRule="atLeast"/>
        </w:trPr>
        <w:tc>
          <w:tcPr>
            <w:tcW w:w="320" w:type="pct"/>
            <w:shd w:val="clear" w:color="auto" w:fill="auto"/>
            <w:tcMar>
              <w:top w:w="60" w:type="dxa"/>
              <w:left w:w="120" w:type="dxa"/>
              <w:bottom w:w="60" w:type="dxa"/>
              <w:right w:w="120" w:type="dxa"/>
            </w:tcMar>
            <w:vAlign w:val="center"/>
          </w:tcPr>
          <w:p w14:paraId="3FD06709">
            <w:pPr>
              <w:jc w:val="center"/>
              <w:rPr>
                <w:rFonts w:hint="default"/>
                <w:color w:val="auto"/>
                <w:lang w:val="en-US" w:eastAsia="zh-CN"/>
              </w:rPr>
            </w:pPr>
            <w:r>
              <w:rPr>
                <w:rFonts w:hint="eastAsia"/>
                <w:color w:val="auto"/>
                <w:lang w:val="en-US" w:eastAsia="zh-CN"/>
              </w:rPr>
              <w:t>2</w:t>
            </w:r>
          </w:p>
        </w:tc>
        <w:tc>
          <w:tcPr>
            <w:tcW w:w="411" w:type="pct"/>
            <w:shd w:val="clear" w:color="auto" w:fill="auto"/>
            <w:tcMar>
              <w:top w:w="60" w:type="dxa"/>
              <w:left w:w="120" w:type="dxa"/>
              <w:bottom w:w="60" w:type="dxa"/>
              <w:right w:w="120" w:type="dxa"/>
            </w:tcMar>
            <w:vAlign w:val="center"/>
          </w:tcPr>
          <w:p w14:paraId="6B9C182A">
            <w:pPr>
              <w:pStyle w:val="23"/>
              <w:snapToGrid w:val="0"/>
              <w:jc w:val="left"/>
              <w:rPr>
                <w:rFonts w:hint="eastAsia" w:ascii="宋体" w:hAnsi="宋体" w:cs="宋体"/>
                <w:b w:val="0"/>
                <w:color w:val="auto"/>
                <w:sz w:val="21"/>
                <w:szCs w:val="21"/>
              </w:rPr>
            </w:pPr>
            <w:r>
              <w:rPr>
                <w:rFonts w:hint="eastAsia"/>
                <w:color w:val="auto"/>
              </w:rPr>
              <w:t>第三部分 专用合同条款</w:t>
            </w:r>
            <w:r>
              <w:rPr>
                <w:rFonts w:hint="eastAsia"/>
                <w:color w:val="auto"/>
                <w:lang w:val="en-US" w:eastAsia="zh-CN"/>
              </w:rPr>
              <w:t xml:space="preserve"> </w:t>
            </w:r>
          </w:p>
          <w:p w14:paraId="0CB965C6">
            <w:pPr>
              <w:rPr>
                <w:rFonts w:hint="eastAsia" w:eastAsia="宋体"/>
                <w:color w:val="auto"/>
                <w:lang w:val="en-US" w:eastAsia="zh-CN"/>
              </w:rPr>
            </w:pPr>
          </w:p>
        </w:tc>
        <w:tc>
          <w:tcPr>
            <w:tcW w:w="2098" w:type="pct"/>
            <w:shd w:val="clear" w:color="auto" w:fill="auto"/>
            <w:tcMar>
              <w:top w:w="60" w:type="dxa"/>
              <w:left w:w="120" w:type="dxa"/>
              <w:bottom w:w="60" w:type="dxa"/>
              <w:right w:w="120" w:type="dxa"/>
            </w:tcMar>
            <w:vAlign w:val="center"/>
          </w:tcPr>
          <w:p w14:paraId="39B61117">
            <w:pPr>
              <w:pStyle w:val="23"/>
              <w:snapToGrid w:val="0"/>
              <w:jc w:val="left"/>
              <w:rPr>
                <w:rFonts w:hint="eastAsia" w:ascii="宋体" w:hAnsi="宋体" w:cs="宋体"/>
                <w:b w:val="0"/>
                <w:color w:val="auto"/>
                <w:sz w:val="21"/>
                <w:szCs w:val="21"/>
              </w:rPr>
            </w:pPr>
            <w:bookmarkStart w:id="5" w:name="_Toc351203643"/>
            <w:r>
              <w:rPr>
                <w:rFonts w:hint="eastAsia" w:ascii="宋体" w:hAnsi="宋体" w:cs="宋体"/>
                <w:b w:val="0"/>
                <w:color w:val="auto"/>
                <w:sz w:val="21"/>
                <w:szCs w:val="21"/>
              </w:rPr>
              <w:t>11. 价格调整</w:t>
            </w:r>
            <w:bookmarkEnd w:id="5"/>
          </w:p>
          <w:p w14:paraId="2B2492A9">
            <w:pPr>
              <w:pStyle w:val="25"/>
              <w:rPr>
                <w:rFonts w:hint="eastAsia" w:ascii="宋体" w:hAnsi="宋体" w:eastAsia="宋体" w:cs="宋体"/>
                <w:color w:val="auto"/>
              </w:rPr>
            </w:pPr>
            <w:r>
              <w:rPr>
                <w:rFonts w:hint="eastAsia" w:ascii="宋体" w:hAnsi="宋体" w:eastAsia="宋体" w:cs="宋体"/>
                <w:color w:val="auto"/>
              </w:rPr>
              <w:t>因市场价格波动调整合同价格，采用以下第</w:t>
            </w:r>
            <w:r>
              <w:rPr>
                <w:rFonts w:hint="eastAsia" w:ascii="宋体" w:hAnsi="宋体" w:eastAsia="宋体" w:cs="宋体"/>
                <w:color w:val="auto"/>
                <w:u w:val="single"/>
              </w:rPr>
              <w:t xml:space="preserve"> 3 </w:t>
            </w:r>
            <w:r>
              <w:rPr>
                <w:rFonts w:hint="eastAsia" w:ascii="宋体" w:hAnsi="宋体" w:eastAsia="宋体" w:cs="宋体"/>
                <w:color w:val="auto"/>
              </w:rPr>
              <w:t>种方式对合同价格进行调整：</w:t>
            </w:r>
          </w:p>
          <w:p w14:paraId="44465030">
            <w:pPr>
              <w:pStyle w:val="24"/>
              <w:snapToGrid w:val="0"/>
              <w:spacing w:line="440" w:lineRule="exact"/>
              <w:ind w:firstLine="420" w:firstLineChars="200"/>
              <w:jc w:val="left"/>
              <w:rPr>
                <w:rFonts w:hint="eastAsia" w:ascii="宋体" w:hAnsi="宋体" w:cs="宋体"/>
                <w:b/>
                <w:bCs/>
                <w:color w:val="auto"/>
                <w:highlight w:val="none"/>
                <w:lang w:val="en-US" w:eastAsia="zh-CN"/>
              </w:rPr>
            </w:pPr>
            <w:r>
              <w:rPr>
                <w:rFonts w:hint="eastAsia" w:ascii="宋体" w:hAnsi="宋体" w:cs="宋体"/>
                <w:color w:val="auto"/>
              </w:rPr>
              <w:t>第3种方式：</w:t>
            </w:r>
            <w:r>
              <w:rPr>
                <w:rFonts w:hint="eastAsia" w:ascii="宋体" w:hAnsi="宋体" w:cs="宋体"/>
                <w:color w:val="auto"/>
                <w:u w:val="single"/>
              </w:rPr>
              <w:t xml:space="preserve"> 承包人应根据施工期间主要材料可能由于市场价格上涨（或下跌）因素自行考虑由此引起的风险并计入投标报价中。承包人应对自己的报价承担风险。但是若本工程施工期间由于市场价格上涨（或下跌）比2024年第9期《桂林市建设工程造价信息》公布价格相差±5%（含5%）以上时，材料价格可以进行调整。调整方法：材料价格（材料价格以该材料施工使用期间《桂林市建设工程造价信息》桂林市平均价格为准）高（低）出±5%（含5%）以上部分×(中标的投标报价÷招标预算控制价)，调增或调减合同价</w:t>
            </w:r>
            <w:r>
              <w:rPr>
                <w:rFonts w:hint="eastAsia" w:ascii="宋体" w:hAnsi="宋体" w:cs="宋体"/>
                <w:color w:val="auto"/>
              </w:rPr>
              <w:t>。</w:t>
            </w:r>
          </w:p>
        </w:tc>
        <w:tc>
          <w:tcPr>
            <w:tcW w:w="2169" w:type="pct"/>
            <w:shd w:val="clear" w:color="auto" w:fill="auto"/>
            <w:tcMar>
              <w:top w:w="60" w:type="dxa"/>
              <w:left w:w="120" w:type="dxa"/>
              <w:bottom w:w="60" w:type="dxa"/>
              <w:right w:w="120" w:type="dxa"/>
            </w:tcMar>
            <w:vAlign w:val="top"/>
          </w:tcPr>
          <w:p w14:paraId="47534A81">
            <w:pPr>
              <w:pStyle w:val="23"/>
              <w:snapToGrid w:val="0"/>
              <w:jc w:val="both"/>
              <w:rPr>
                <w:rFonts w:hint="eastAsia" w:ascii="宋体" w:hAnsi="宋体" w:cs="宋体"/>
                <w:b w:val="0"/>
                <w:color w:val="auto"/>
                <w:sz w:val="21"/>
                <w:szCs w:val="21"/>
              </w:rPr>
            </w:pPr>
            <w:r>
              <w:rPr>
                <w:rFonts w:hint="eastAsia" w:ascii="宋体" w:hAnsi="宋体" w:cs="宋体"/>
                <w:b w:val="0"/>
                <w:color w:val="auto"/>
                <w:sz w:val="21"/>
                <w:szCs w:val="21"/>
              </w:rPr>
              <w:t>11. 价格调整</w:t>
            </w:r>
          </w:p>
          <w:p w14:paraId="0EB929DD">
            <w:pPr>
              <w:pStyle w:val="25"/>
              <w:jc w:val="both"/>
              <w:rPr>
                <w:rFonts w:hint="eastAsia" w:ascii="宋体" w:hAnsi="宋体" w:eastAsia="宋体" w:cs="宋体"/>
                <w:color w:val="auto"/>
              </w:rPr>
            </w:pPr>
            <w:r>
              <w:rPr>
                <w:rFonts w:hint="eastAsia" w:ascii="宋体" w:hAnsi="宋体" w:eastAsia="宋体" w:cs="宋体"/>
                <w:color w:val="auto"/>
              </w:rPr>
              <w:t>因市场价格波动调整合同价格，采用以下第</w:t>
            </w:r>
            <w:r>
              <w:rPr>
                <w:rFonts w:hint="eastAsia" w:ascii="宋体" w:hAnsi="宋体" w:eastAsia="宋体" w:cs="宋体"/>
                <w:color w:val="auto"/>
                <w:u w:val="single"/>
              </w:rPr>
              <w:t xml:space="preserve"> 3 </w:t>
            </w:r>
            <w:r>
              <w:rPr>
                <w:rFonts w:hint="eastAsia" w:ascii="宋体" w:hAnsi="宋体" w:eastAsia="宋体" w:cs="宋体"/>
                <w:color w:val="auto"/>
              </w:rPr>
              <w:t>种方式对合同价格进行调整：</w:t>
            </w:r>
          </w:p>
          <w:p w14:paraId="5B95F61C">
            <w:pPr>
              <w:pStyle w:val="24"/>
              <w:snapToGrid w:val="0"/>
              <w:spacing w:line="440" w:lineRule="exact"/>
              <w:ind w:firstLine="420" w:firstLineChars="200"/>
              <w:jc w:val="both"/>
              <w:rPr>
                <w:rFonts w:hint="eastAsia" w:ascii="宋体" w:hAnsi="宋体" w:cs="宋体"/>
                <w:color w:val="auto"/>
                <w:u w:val="single"/>
              </w:rPr>
            </w:pPr>
            <w:r>
              <w:rPr>
                <w:rFonts w:hint="eastAsia" w:ascii="宋体" w:hAnsi="宋体" w:cs="宋体"/>
                <w:color w:val="auto"/>
              </w:rPr>
              <w:t>第3种方式：</w:t>
            </w:r>
            <w:r>
              <w:rPr>
                <w:rFonts w:hint="eastAsia" w:ascii="宋体" w:hAnsi="宋体" w:cs="宋体"/>
                <w:color w:val="auto"/>
                <w:u w:val="single"/>
              </w:rPr>
              <w:t xml:space="preserve"> 承包人应根据施工期间主要材料可能由于市场价格上涨（或下跌）因素自行考虑由此引起的风险并计入投标报价中。承包人应对自己的报价承担风险。但是若本工程施工期间由于市场价格上涨（或下跌）比《桂林市建设工程造价信息》公布价格相差±5%（含5%）以上时，材料价格可以进行调整。调整方法：材料价格（材料价格以该材料施工使用期间《桂林市建设工程造价信息》桂林市平均价格为准）高（低）出±5%（含5%）以上部分×(中标的投标报价÷招标预算控制价)，调增或调减合同价</w:t>
            </w:r>
            <w:r>
              <w:rPr>
                <w:rFonts w:hint="eastAsia" w:ascii="宋体" w:hAnsi="宋体" w:cs="宋体"/>
                <w:color w:val="auto"/>
              </w:rPr>
              <w:t>。</w:t>
            </w:r>
          </w:p>
          <w:p w14:paraId="4289AED0">
            <w:pPr>
              <w:adjustRightInd w:val="0"/>
              <w:spacing w:line="360" w:lineRule="auto"/>
              <w:jc w:val="both"/>
              <w:textAlignment w:val="baseline"/>
              <w:rPr>
                <w:rFonts w:hint="eastAsia" w:ascii="宋体" w:hAnsi="宋体" w:cs="宋体"/>
                <w:b/>
                <w:bCs/>
                <w:color w:val="auto"/>
                <w:highlight w:val="none"/>
                <w:lang w:val="en-US" w:eastAsia="zh-CN"/>
              </w:rPr>
            </w:pPr>
          </w:p>
        </w:tc>
      </w:tr>
    </w:tbl>
    <w:p w14:paraId="4751F95E">
      <w:pPr>
        <w:keepNext w:val="0"/>
        <w:keepLines w:val="0"/>
        <w:pageBreakBefore w:val="0"/>
        <w:widowControl/>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 w:val="21"/>
          <w:szCs w:val="21"/>
          <w:lang w:val="en-US" w:eastAsia="zh-CN"/>
        </w:rPr>
      </w:pPr>
      <w:r>
        <w:rPr>
          <w:rFonts w:hint="eastAsia" w:ascii="微软雅黑" w:hAnsi="微软雅黑" w:eastAsia="微软雅黑" w:cs="微软雅黑"/>
          <w:i w:val="0"/>
          <w:iCs w:val="0"/>
          <w:caps w:val="0"/>
          <w:color w:val="auto"/>
          <w:spacing w:val="0"/>
          <w:sz w:val="21"/>
          <w:szCs w:val="21"/>
        </w:rPr>
        <w:t xml:space="preserve">  </w:t>
      </w:r>
      <w:r>
        <w:rPr>
          <w:rFonts w:hint="eastAsia" w:ascii="宋体" w:hAnsi="宋体" w:eastAsia="宋体" w:cs="宋体"/>
          <w:color w:val="auto"/>
          <w:sz w:val="21"/>
          <w:szCs w:val="21"/>
          <w:lang w:val="en-US" w:eastAsia="zh-CN"/>
        </w:rPr>
        <w:t>更正日期：202</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年</w:t>
      </w: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val="en-US" w:eastAsia="zh-CN"/>
        </w:rPr>
        <w:t>月</w:t>
      </w:r>
      <w:r>
        <w:rPr>
          <w:rFonts w:hint="eastAsia" w:ascii="宋体" w:hAnsi="宋体" w:cs="宋体"/>
          <w:color w:val="auto"/>
          <w:sz w:val="21"/>
          <w:szCs w:val="21"/>
          <w:lang w:val="en-US" w:eastAsia="zh-CN"/>
        </w:rPr>
        <w:t>25</w:t>
      </w:r>
      <w:r>
        <w:rPr>
          <w:rFonts w:hint="eastAsia" w:ascii="宋体" w:hAnsi="宋体" w:eastAsia="宋体" w:cs="宋体"/>
          <w:color w:val="auto"/>
          <w:sz w:val="21"/>
          <w:szCs w:val="21"/>
          <w:lang w:val="en-US" w:eastAsia="zh-CN"/>
        </w:rPr>
        <w:t>日　          </w:t>
      </w:r>
    </w:p>
    <w:p w14:paraId="1404C512">
      <w:pPr>
        <w:keepNext w:val="0"/>
        <w:keepLines w:val="0"/>
        <w:pageBreakBefore w:val="0"/>
        <w:widowControl/>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三、其他补充事宜      </w:t>
      </w:r>
      <w:r>
        <w:rPr>
          <w:rFonts w:hint="eastAsia" w:ascii="宋体" w:hAnsi="宋体" w:eastAsia="宋体" w:cs="宋体"/>
          <w:color w:val="auto"/>
          <w:sz w:val="21"/>
          <w:szCs w:val="21"/>
          <w:lang w:val="en-US" w:eastAsia="zh-CN"/>
        </w:rPr>
        <w:t xml:space="preserve">          </w:t>
      </w:r>
    </w:p>
    <w:p w14:paraId="5182D959">
      <w:pPr>
        <w:keepNext w:val="0"/>
        <w:keepLines w:val="0"/>
        <w:pageBreakBefore w:val="0"/>
        <w:widowControl/>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竞争性磋商文件</w:t>
      </w:r>
      <w:r>
        <w:rPr>
          <w:rFonts w:hint="eastAsia" w:ascii="宋体" w:hAnsi="宋体" w:eastAsia="宋体" w:cs="宋体"/>
          <w:color w:val="auto"/>
          <w:sz w:val="21"/>
          <w:szCs w:val="21"/>
          <w:lang w:val="en-US" w:eastAsia="zh-CN"/>
        </w:rPr>
        <w:t>中相应内容均做相应更正，其他内容不变。                </w:t>
      </w:r>
    </w:p>
    <w:p w14:paraId="557968C9">
      <w:pPr>
        <w:keepNext w:val="0"/>
        <w:keepLines w:val="0"/>
        <w:pageBreakBefore w:val="0"/>
        <w:widowControl/>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四、对本次公告提出询问，请按以下方式联系。</w:t>
      </w:r>
    </w:p>
    <w:p w14:paraId="5A80C5C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全州县住房和城乡建设局</w:t>
      </w:r>
      <w:r>
        <w:rPr>
          <w:rFonts w:hint="eastAsia" w:ascii="宋体" w:hAnsi="宋体" w:eastAsia="宋体" w:cs="宋体"/>
          <w:color w:val="auto"/>
          <w:szCs w:val="21"/>
          <w:highlight w:val="none"/>
        </w:rPr>
        <w:t xml:space="preserve"> </w:t>
      </w:r>
    </w:p>
    <w:p w14:paraId="4D126E12">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地    址：全州县创业大厦 2 楼 </w:t>
      </w:r>
    </w:p>
    <w:p w14:paraId="7BFD3C50">
      <w:pPr>
        <w:spacing w:line="360" w:lineRule="auto"/>
        <w:ind w:firstLine="420" w:firstLineChars="200"/>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val="en-US" w:eastAsia="zh-CN"/>
        </w:rPr>
        <w:t>唐主任</w:t>
      </w:r>
    </w:p>
    <w:p w14:paraId="158C36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项目联系方式： 0773-4815106   </w:t>
      </w:r>
    </w:p>
    <w:p w14:paraId="14B26E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3C33C35A">
      <w:pPr>
        <w:spacing w:line="360" w:lineRule="auto"/>
        <w:ind w:firstLine="420" w:firstLineChars="200"/>
        <w:rPr>
          <w:rFonts w:hint="eastAsia" w:ascii="宋体" w:hAnsi="宋体" w:eastAsia="宋体" w:cs="宋体"/>
          <w:color w:val="auto"/>
          <w:szCs w:val="21"/>
          <w:highlight w:val="none"/>
          <w:lang w:eastAsia="zh-CN"/>
        </w:rPr>
      </w:pPr>
      <w:bookmarkStart w:id="6" w:name="_Toc28359087"/>
      <w:bookmarkStart w:id="7" w:name="_Toc28359010"/>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广西润扬项目管理有限公司</w:t>
      </w:r>
    </w:p>
    <w:p w14:paraId="09C1FF24">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lang w:eastAsia="zh-CN"/>
        </w:rPr>
        <w:t>桂林市叠彩区大河乡五福村委会蔡家渡102号</w:t>
      </w:r>
    </w:p>
    <w:p w14:paraId="6F72041D">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eastAsia="zh-CN"/>
        </w:rPr>
        <w:t>陈</w:t>
      </w:r>
      <w:r>
        <w:rPr>
          <w:rFonts w:hint="eastAsia" w:ascii="宋体" w:hAnsi="宋体" w:eastAsia="宋体" w:cs="宋体"/>
          <w:color w:val="auto"/>
          <w:szCs w:val="21"/>
          <w:highlight w:val="none"/>
          <w:lang w:val="en-US" w:eastAsia="zh-CN"/>
        </w:rPr>
        <w:t xml:space="preserve">叠        </w:t>
      </w:r>
      <w:r>
        <w:rPr>
          <w:rFonts w:hint="eastAsia" w:ascii="宋体" w:hAnsi="宋体" w:eastAsia="宋体" w:cs="宋体"/>
          <w:color w:val="auto"/>
          <w:szCs w:val="21"/>
          <w:highlight w:val="none"/>
          <w:lang w:eastAsia="zh-CN"/>
        </w:rPr>
        <w:t>项目联系方式：</w:t>
      </w:r>
      <w:r>
        <w:rPr>
          <w:rFonts w:hint="eastAsia" w:ascii="宋体" w:hAnsi="宋体" w:eastAsia="宋体" w:cs="宋体"/>
          <w:color w:val="auto"/>
          <w:szCs w:val="21"/>
          <w:highlight w:val="none"/>
          <w:lang w:val="en-US" w:eastAsia="zh-CN"/>
        </w:rPr>
        <w:t>0773-8287012</w:t>
      </w:r>
      <w:bookmarkEnd w:id="6"/>
      <w:bookmarkEnd w:id="7"/>
    </w:p>
    <w:p w14:paraId="68F671EE">
      <w:pPr>
        <w:keepNext w:val="0"/>
        <w:keepLines w:val="0"/>
        <w:pageBreakBefore w:val="0"/>
        <w:kinsoku/>
        <w:wordWrap/>
        <w:overflowPunct/>
        <w:topLinePunct w:val="0"/>
        <w:autoSpaceDE/>
        <w:autoSpaceDN/>
        <w:bidi w:val="0"/>
        <w:adjustRightInd/>
        <w:snapToGrid/>
        <w:spacing w:line="288" w:lineRule="auto"/>
        <w:ind w:firstLine="420" w:firstLineChars="200"/>
        <w:jc w:val="right"/>
        <w:textAlignment w:val="auto"/>
        <w:rPr>
          <w:rFonts w:hint="eastAsia" w:ascii="宋体" w:hAnsi="宋体" w:cs="宋体"/>
          <w:sz w:val="21"/>
          <w:szCs w:val="21"/>
          <w:lang w:eastAsia="zh-CN"/>
        </w:rPr>
      </w:pPr>
      <w:r>
        <w:rPr>
          <w:rFonts w:hint="eastAsia" w:ascii="宋体" w:hAnsi="宋体" w:cs="宋体"/>
          <w:sz w:val="21"/>
          <w:szCs w:val="21"/>
          <w:lang w:eastAsia="zh-CN"/>
        </w:rPr>
        <w:t>广西润扬项目管理有限公司</w:t>
      </w:r>
    </w:p>
    <w:p w14:paraId="15D86D2C">
      <w:pPr>
        <w:keepNext w:val="0"/>
        <w:keepLines w:val="0"/>
        <w:pageBreakBefore w:val="0"/>
        <w:kinsoku/>
        <w:wordWrap/>
        <w:overflowPunct/>
        <w:topLinePunct w:val="0"/>
        <w:autoSpaceDE/>
        <w:autoSpaceDN/>
        <w:bidi w:val="0"/>
        <w:adjustRightInd/>
        <w:snapToGrid/>
        <w:spacing w:line="288" w:lineRule="auto"/>
        <w:ind w:firstLine="420" w:firstLineChars="200"/>
        <w:jc w:val="right"/>
        <w:textAlignment w:val="auto"/>
        <w:rPr>
          <w:rFonts w:hint="default" w:ascii="宋体" w:hAnsi="宋体" w:cs="宋体"/>
          <w:sz w:val="21"/>
          <w:szCs w:val="21"/>
          <w:lang w:val="en-US" w:eastAsia="zh-CN"/>
        </w:rPr>
      </w:pPr>
      <w:r>
        <w:rPr>
          <w:rFonts w:hint="eastAsia" w:ascii="宋体" w:hAnsi="宋体" w:cs="宋体"/>
          <w:sz w:val="21"/>
          <w:szCs w:val="21"/>
          <w:lang w:val="en-US" w:eastAsia="zh-CN"/>
        </w:rPr>
        <w:t>2025年9月25日</w:t>
      </w:r>
    </w:p>
    <w:p w14:paraId="39EC3B1B">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sz w:val="21"/>
          <w:szCs w:val="21"/>
          <w:lang w:eastAsia="zh-CN"/>
        </w:rPr>
      </w:pPr>
    </w:p>
    <w:sectPr>
      <w:footerReference r:id="rId3" w:type="default"/>
      <w:pgSz w:w="11906" w:h="16838"/>
      <w:pgMar w:top="850" w:right="1080" w:bottom="68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7A"/>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8F3A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EB36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9EB36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16B4B55"/>
    <w:rsid w:val="04E13A54"/>
    <w:rsid w:val="07866B35"/>
    <w:rsid w:val="0898267C"/>
    <w:rsid w:val="0A622F41"/>
    <w:rsid w:val="0A884819"/>
    <w:rsid w:val="0B341057"/>
    <w:rsid w:val="0B547C49"/>
    <w:rsid w:val="101A42BE"/>
    <w:rsid w:val="10594DE6"/>
    <w:rsid w:val="12C329EB"/>
    <w:rsid w:val="13FD3CDB"/>
    <w:rsid w:val="174F2A9F"/>
    <w:rsid w:val="17A34B99"/>
    <w:rsid w:val="1B2D30F7"/>
    <w:rsid w:val="1B903686"/>
    <w:rsid w:val="207E61A3"/>
    <w:rsid w:val="20BD316F"/>
    <w:rsid w:val="22837AA1"/>
    <w:rsid w:val="26AD333E"/>
    <w:rsid w:val="284877C3"/>
    <w:rsid w:val="28EB069A"/>
    <w:rsid w:val="292F44DF"/>
    <w:rsid w:val="2AD215C5"/>
    <w:rsid w:val="2BAF778B"/>
    <w:rsid w:val="2CC94B7E"/>
    <w:rsid w:val="2D0D4B37"/>
    <w:rsid w:val="2DBD030B"/>
    <w:rsid w:val="36C34C82"/>
    <w:rsid w:val="39657AA9"/>
    <w:rsid w:val="3A0145E4"/>
    <w:rsid w:val="3DAC3EF8"/>
    <w:rsid w:val="3DF338D5"/>
    <w:rsid w:val="3F4A1C1A"/>
    <w:rsid w:val="3F9A4DFA"/>
    <w:rsid w:val="40A50BC6"/>
    <w:rsid w:val="416D1BF0"/>
    <w:rsid w:val="41BA2894"/>
    <w:rsid w:val="433E55F2"/>
    <w:rsid w:val="452E1696"/>
    <w:rsid w:val="45A32084"/>
    <w:rsid w:val="482C010F"/>
    <w:rsid w:val="49865F45"/>
    <w:rsid w:val="4A836C3D"/>
    <w:rsid w:val="4AFC1855"/>
    <w:rsid w:val="50292141"/>
    <w:rsid w:val="50795EBC"/>
    <w:rsid w:val="570A5ABF"/>
    <w:rsid w:val="58860BF9"/>
    <w:rsid w:val="593B1C20"/>
    <w:rsid w:val="6065645C"/>
    <w:rsid w:val="62160185"/>
    <w:rsid w:val="6B4623C8"/>
    <w:rsid w:val="6DDE33AA"/>
    <w:rsid w:val="78485FF0"/>
    <w:rsid w:val="793E0867"/>
    <w:rsid w:val="799423B6"/>
    <w:rsid w:val="7C792C1C"/>
    <w:rsid w:val="7DD30A52"/>
    <w:rsid w:val="7E8D0C00"/>
    <w:rsid w:val="7EB97C47"/>
    <w:rsid w:val="7EFE2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4">
    <w:name w:val="Default Paragraph Font"/>
    <w:autoRedefine/>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5">
    <w:name w:val="Body Text"/>
    <w:basedOn w:val="1"/>
    <w:qFormat/>
    <w:uiPriority w:val="0"/>
    <w:pPr>
      <w:spacing w:line="380" w:lineRule="exact"/>
    </w:pPr>
    <w:rPr>
      <w:rFonts w:ascii="Times New Roman" w:hAnsi="Times New Roman" w:eastAsia="宋体" w:cs="Times New Roman"/>
      <w:sz w:val="24"/>
    </w:rPr>
  </w:style>
  <w:style w:type="paragraph" w:styleId="6">
    <w:name w:val="Block Text"/>
    <w:basedOn w:val="1"/>
    <w:qFormat/>
    <w:uiPriority w:val="0"/>
    <w:pPr>
      <w:ind w:left="-718" w:leftChars="-342" w:right="-512" w:rightChars="-244" w:firstLine="560" w:firstLineChars="200"/>
    </w:pPr>
    <w:rPr>
      <w:sz w:val="28"/>
      <w:szCs w:val="24"/>
    </w:rPr>
  </w:style>
  <w:style w:type="paragraph" w:styleId="7">
    <w:name w:val="Plain Text"/>
    <w:basedOn w:val="1"/>
    <w:qFormat/>
    <w:uiPriority w:val="0"/>
    <w:rPr>
      <w:rFonts w:ascii="宋体" w:hAnsi="Courier New" w:eastAsia="宋体" w:cs="Times New Roman"/>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0"/>
    <w:pPr>
      <w:spacing w:before="240" w:after="60"/>
      <w:jc w:val="center"/>
      <w:outlineLvl w:val="0"/>
    </w:pPr>
    <w:rPr>
      <w:rFonts w:ascii="等线 Light" w:hAnsi="等线 Light" w:eastAsia="宋体" w:cs="Times New Roman"/>
      <w:b/>
      <w:bCs/>
      <w:sz w:val="32"/>
      <w:szCs w:val="32"/>
    </w:rPr>
  </w:style>
  <w:style w:type="table" w:styleId="13">
    <w:name w:val="Table Grid"/>
    <w:basedOn w:val="1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TML Sample"/>
    <w:basedOn w:val="14"/>
    <w:qFormat/>
    <w:uiPriority w:val="0"/>
    <w:rPr>
      <w:rFonts w:ascii="Courier New" w:hAnsi="Courier New"/>
    </w:rPr>
  </w:style>
  <w:style w:type="paragraph" w:customStyle="1" w:styleId="17">
    <w:name w:val="表格文字"/>
    <w:basedOn w:val="1"/>
    <w:qFormat/>
    <w:uiPriority w:val="0"/>
    <w:pPr>
      <w:jc w:val="left"/>
    </w:pPr>
    <w:rPr>
      <w:rFonts w:ascii="Calibri" w:hAnsi="Calibri" w:eastAsia="宋体" w:cs="Times New Roman"/>
      <w:bCs/>
      <w:spacing w:val="10"/>
      <w:kern w:val="0"/>
      <w:sz w:val="24"/>
    </w:rPr>
  </w:style>
  <w:style w:type="paragraph" w:customStyle="1" w:styleId="18">
    <w:name w:val="_Style 5"/>
    <w:qFormat/>
    <w:uiPriority w:val="1"/>
    <w:rPr>
      <w:rFonts w:ascii="Times New Roman" w:hAnsi="Times New Roman" w:eastAsia="宋体" w:cs="Times New Roman"/>
      <w:sz w:val="22"/>
      <w:szCs w:val="22"/>
      <w:lang w:val="en-US" w:eastAsia="zh-CN" w:bidi="ar-SA"/>
    </w:rPr>
  </w:style>
  <w:style w:type="character" w:customStyle="1" w:styleId="19">
    <w:name w:val="标题 Char"/>
    <w:autoRedefine/>
    <w:qFormat/>
    <w:uiPriority w:val="0"/>
    <w:rPr>
      <w:rFonts w:ascii="Calibri Light" w:hAnsi="Calibri Light" w:eastAsia="宋体" w:cs="Times New Roman"/>
      <w:b/>
      <w:bCs/>
      <w:kern w:val="2"/>
      <w:sz w:val="32"/>
      <w:szCs w:val="32"/>
    </w:rPr>
  </w:style>
  <w:style w:type="character" w:customStyle="1" w:styleId="20">
    <w:name w:val="fontstyle01"/>
    <w:basedOn w:val="14"/>
    <w:qFormat/>
    <w:uiPriority w:val="0"/>
    <w:rPr>
      <w:rFonts w:ascii="宋体" w:hAnsi="宋体" w:eastAsia="宋体" w:cs="宋体"/>
      <w:color w:val="000000"/>
      <w:sz w:val="52"/>
      <w:szCs w:val="52"/>
    </w:rPr>
  </w:style>
  <w:style w:type="paragraph" w:customStyle="1" w:styleId="21">
    <w:name w:val="Default"/>
    <w:basedOn w:val="22"/>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22">
    <w:name w:val="纯文本1"/>
    <w:basedOn w:val="1"/>
    <w:qFormat/>
    <w:uiPriority w:val="0"/>
    <w:pPr>
      <w:textAlignment w:val="baseline"/>
    </w:pPr>
    <w:rPr>
      <w:rFonts w:ascii="宋体" w:hAnsi="Courier New"/>
    </w:rPr>
  </w:style>
  <w:style w:type="paragraph" w:customStyle="1" w:styleId="23">
    <w:name w:val="标题 4_0"/>
    <w:basedOn w:val="24"/>
    <w:next w:val="24"/>
    <w:unhideWhenUsed/>
    <w:qFormat/>
    <w:uiPriority w:val="9"/>
    <w:pPr>
      <w:keepNext/>
      <w:keepLines/>
      <w:spacing w:line="360" w:lineRule="auto"/>
      <w:outlineLvl w:val="3"/>
    </w:pPr>
    <w:rPr>
      <w:rFonts w:ascii="Arial" w:hAnsi="Arial"/>
      <w:b/>
      <w:bCs/>
      <w:kern w:val="0"/>
      <w:sz w:val="20"/>
      <w:szCs w:val="28"/>
    </w:rPr>
  </w:style>
  <w:style w:type="paragraph" w:customStyle="1" w:styleId="2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呀2_2"/>
    <w:basedOn w:val="26"/>
    <w:qFormat/>
    <w:uiPriority w:val="0"/>
    <w:pPr>
      <w:spacing w:line="420" w:lineRule="exact"/>
      <w:ind w:firstLine="420" w:firstLineChars="200"/>
    </w:pPr>
    <w:rPr>
      <w:rFonts w:ascii="等线" w:hAnsi="等线" w:eastAsia="等线"/>
    </w:rPr>
  </w:style>
  <w:style w:type="paragraph" w:customStyle="1" w:styleId="26">
    <w:name w:val="正文呀_2"/>
    <w:basedOn w:val="27"/>
    <w:qFormat/>
    <w:uiPriority w:val="0"/>
    <w:pPr>
      <w:spacing w:line="420" w:lineRule="exact"/>
      <w:ind w:firstLine="420" w:firstLineChars="200"/>
    </w:pPr>
    <w:rPr>
      <w:rFonts w:ascii="宋体" w:hAnsi="宋体"/>
      <w:szCs w:val="21"/>
    </w:rPr>
  </w:style>
  <w:style w:type="paragraph" w:customStyle="1" w:styleId="27">
    <w:name w:val="正文_5"/>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1057</Words>
  <Characters>1170</Characters>
  <Lines>0</Lines>
  <Paragraphs>0</Paragraphs>
  <TotalTime>0</TotalTime>
  <ScaleCrop>false</ScaleCrop>
  <LinksUpToDate>false</LinksUpToDate>
  <CharactersWithSpaces>1293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2024-08-03T08:47:00Z</dcterms:created>
  <dc:creator>WIN10</dc:creator>
  <cp:lastModifiedBy>T^_^T</cp:lastModifiedBy>
  <dcterms:modified xsi:type="dcterms:W3CDTF">2025-09-25T02:57:42Z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F1D83786FB7940599EA8A31CAC60425C_12</vt:lpwstr>
  </property>
  <property fmtid="{D5CDD505-2E9C-101B-9397-08002B2CF9AE}" pid="4" name="KSOTemplateDocerSaveRecord">
    <vt:lpwstr>eyJoZGlkIjoiN2YzNjBkOTgyNWQ1YTMxYzM3MzMwNWFiODNmOWIzYWMiLCJ1c2VySWQiOiIzMzQ0Njk3NzMifQ==</vt:lpwstr>
  </property>
</Properties>
</file>