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9F242">
      <w:pPr>
        <w:pStyle w:val="4"/>
        <w:ind w:left="0"/>
        <w:jc w:val="center"/>
        <w:rPr>
          <w:rFonts w:hint="default" w:ascii="宋体" w:hAnsi="宋体" w:eastAsia="宋体" w:cs="宋体"/>
          <w:bCs w:val="0"/>
          <w:color w:val="auto"/>
          <w:sz w:val="28"/>
          <w:szCs w:val="28"/>
          <w:lang w:val="en-US" w:eastAsia="zh-CN"/>
        </w:rPr>
      </w:pPr>
      <w:bookmarkStart w:id="0" w:name="_Toc35393621"/>
      <w:bookmarkStart w:id="1" w:name="_Toc28359002"/>
      <w:bookmarkStart w:id="2" w:name="_Toc28359079"/>
      <w:bookmarkStart w:id="3" w:name="_Toc35393790"/>
      <w:bookmarkStart w:id="4" w:name="_Hlk24379207"/>
      <w:r>
        <w:rPr>
          <w:rFonts w:hint="eastAsia" w:ascii="宋体" w:hAnsi="宋体" w:cs="宋体"/>
          <w:bCs w:val="0"/>
          <w:color w:val="auto"/>
          <w:sz w:val="28"/>
          <w:szCs w:val="28"/>
          <w:lang w:eastAsia="zh-CN"/>
        </w:rPr>
        <w:t>广西润扬项目管理有限公司</w:t>
      </w:r>
      <w:r>
        <w:rPr>
          <w:rFonts w:hint="eastAsia" w:ascii="宋体" w:hAnsi="宋体" w:cs="宋体"/>
          <w:bCs w:val="0"/>
          <w:color w:val="auto"/>
          <w:sz w:val="28"/>
          <w:szCs w:val="28"/>
          <w:lang w:val="en-US" w:eastAsia="zh-CN"/>
        </w:rPr>
        <w:t>关于恭城瑶族自治县松树枯死木清理绩效承包项目（2023-2026年）监理</w:t>
      </w:r>
      <w:r>
        <w:rPr>
          <w:rFonts w:hint="eastAsia" w:ascii="宋体" w:hAnsi="宋体" w:cs="宋体"/>
          <w:bCs w:val="0"/>
          <w:color w:val="auto"/>
          <w:sz w:val="28"/>
          <w:szCs w:val="28"/>
          <w:lang w:eastAsia="zh-CN"/>
        </w:rPr>
        <w:t xml:space="preserve">（GLZC2025-C3-320032-GXRY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）更正公告</w:t>
      </w:r>
    </w:p>
    <w:p w14:paraId="6D412E80"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一、项目基本情况</w:t>
      </w:r>
      <w:bookmarkEnd w:id="0"/>
      <w:bookmarkEnd w:id="1"/>
      <w:bookmarkEnd w:id="2"/>
      <w:bookmarkEnd w:id="3"/>
    </w:p>
    <w:p w14:paraId="07D0BED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原公告的项目编号：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GLZC2025-C3-320032-GXRY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</w:t>
      </w:r>
    </w:p>
    <w:p w14:paraId="1018502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原公告的项目名称：</w:t>
      </w:r>
      <w:bookmarkEnd w:id="4"/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恭城瑶族自治县松树枯死木清理绩效承包项目（2023-2026年）监理</w:t>
      </w:r>
    </w:p>
    <w:p w14:paraId="709F630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首次公告日期：2025年6月6日   </w:t>
      </w:r>
    </w:p>
    <w:p w14:paraId="10FC1105"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 xml:space="preserve">二、更正信息 </w:t>
      </w:r>
    </w:p>
    <w:p w14:paraId="7E0E2BD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更正事项：竞争性磋商文件                    </w:t>
      </w:r>
    </w:p>
    <w:p w14:paraId="127AA4B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更正内容：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 xml:space="preserve">  </w:t>
      </w:r>
    </w:p>
    <w:tbl>
      <w:tblPr>
        <w:tblStyle w:val="12"/>
        <w:tblW w:w="5381" w:type="pct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8"/>
        <w:gridCol w:w="1162"/>
        <w:gridCol w:w="4338"/>
        <w:gridCol w:w="4540"/>
      </w:tblGrid>
      <w:tr w14:paraId="11A55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329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5A591B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序号</w:t>
            </w:r>
          </w:p>
        </w:tc>
        <w:tc>
          <w:tcPr>
            <w:tcW w:w="540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E7FACD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更正项</w:t>
            </w:r>
          </w:p>
        </w:tc>
        <w:tc>
          <w:tcPr>
            <w:tcW w:w="2018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3A8069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更正前内容</w:t>
            </w:r>
          </w:p>
        </w:tc>
        <w:tc>
          <w:tcPr>
            <w:tcW w:w="2112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AFE35E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更正后内容</w:t>
            </w:r>
          </w:p>
        </w:tc>
      </w:tr>
      <w:tr w14:paraId="55B12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9" w:hRule="atLeast"/>
        </w:trPr>
        <w:tc>
          <w:tcPr>
            <w:tcW w:w="329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DB5762"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540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231612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第四章 评审办法</w:t>
            </w:r>
          </w:p>
        </w:tc>
        <w:tc>
          <w:tcPr>
            <w:tcW w:w="2018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A352FE">
            <w:pPr>
              <w:adjustRightInd w:val="0"/>
              <w:spacing w:line="360" w:lineRule="auto"/>
              <w:jc w:val="both"/>
              <w:textAlignment w:val="baseline"/>
              <w:rPr>
                <w:rFonts w:hint="eastAsia" w:ascii="宋体" w:hAnsi="宋体" w:cs="宋体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信誉</w:t>
            </w: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  <w:lang w:val="en-US" w:eastAsia="zh-CN"/>
              </w:rPr>
              <w:t>能力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分</w:t>
            </w: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  <w:lang w:val="en-US" w:eastAsia="zh-CN"/>
              </w:rPr>
              <w:t xml:space="preserve"> </w:t>
            </w:r>
          </w:p>
          <w:p w14:paraId="05ECECEB">
            <w:pPr>
              <w:adjustRightInd w:val="0"/>
              <w:spacing w:line="360" w:lineRule="auto"/>
              <w:jc w:val="both"/>
              <w:textAlignment w:val="baseline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8.2拟投入人员中具有中级及以上（含中级）监理工程师职称的，每一个得 4.5 分，以提供职称证书为准，否则不得分，满分 9 分。</w:t>
            </w:r>
          </w:p>
        </w:tc>
        <w:tc>
          <w:tcPr>
            <w:tcW w:w="2112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584672">
            <w:pPr>
              <w:adjustRightInd w:val="0"/>
              <w:spacing w:line="360" w:lineRule="auto"/>
              <w:jc w:val="both"/>
              <w:textAlignment w:val="baseline"/>
              <w:rPr>
                <w:rFonts w:hint="eastAsia" w:ascii="宋体" w:hAnsi="宋体" w:cs="宋体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信誉</w:t>
            </w: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  <w:lang w:val="en-US" w:eastAsia="zh-CN"/>
              </w:rPr>
              <w:t>能力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分</w:t>
            </w: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  <w:lang w:val="en-US" w:eastAsia="zh-CN"/>
              </w:rPr>
              <w:t xml:space="preserve"> </w:t>
            </w:r>
          </w:p>
          <w:p w14:paraId="44387806">
            <w:pPr>
              <w:adjustRightInd w:val="0"/>
              <w:spacing w:line="360" w:lineRule="auto"/>
              <w:jc w:val="both"/>
              <w:textAlignment w:val="baseline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8.2拟投入人员中具有监理工程师</w:t>
            </w:r>
            <w:bookmarkStart w:id="5" w:name="_GoBack"/>
            <w:bookmarkEnd w:id="5"/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资格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的，每一个得 4.5 分，以提供相应证书为准，否则不得分，满分 9 分。</w:t>
            </w:r>
          </w:p>
        </w:tc>
      </w:tr>
    </w:tbl>
    <w:p w14:paraId="4751F9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  <w:t xml:space="preserve"> 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更正日期：202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日　          </w:t>
      </w:r>
    </w:p>
    <w:p w14:paraId="1404C5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三、其他补充事宜      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         </w:t>
      </w:r>
    </w:p>
    <w:p w14:paraId="5182D9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竞争性磋商文件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中相应内容均做相应更正，其他内容不变。                </w:t>
      </w:r>
    </w:p>
    <w:p w14:paraId="557968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四、对本次公告提出询问，请按以下方式联系。</w:t>
      </w:r>
    </w:p>
    <w:p w14:paraId="057A5B9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firstLine="525" w:firstLineChars="250"/>
      </w:pPr>
      <w:r>
        <w:t>1.采购人信息</w:t>
      </w:r>
    </w:p>
    <w:p w14:paraId="5FA1657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firstLine="525" w:firstLineChars="250"/>
      </w:pPr>
      <w:r>
        <w:t>名    称：</w:t>
      </w:r>
      <w:r>
        <w:rPr>
          <w:rFonts w:hint="eastAsia"/>
          <w:lang w:eastAsia="zh-CN"/>
        </w:rPr>
        <w:t xml:space="preserve"> 恭城瑶族自治县林业局</w:t>
      </w:r>
      <w:r>
        <w:t>　</w:t>
      </w:r>
    </w:p>
    <w:p w14:paraId="4619585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firstLine="525" w:firstLineChars="250"/>
        <w:rPr>
          <w:color w:val="auto"/>
        </w:rPr>
      </w:pPr>
      <w:r>
        <w:rPr>
          <w:color w:val="auto"/>
        </w:rPr>
        <w:t>地    址：</w:t>
      </w:r>
      <w:r>
        <w:rPr>
          <w:rFonts w:hint="eastAsia"/>
          <w:color w:val="auto"/>
          <w:lang w:eastAsia="zh-CN"/>
        </w:rPr>
        <w:t>广西壮族自治区桂林市恭城瑶族自治县滨江苑一区5号</w:t>
      </w:r>
      <w:r>
        <w:rPr>
          <w:rFonts w:hint="eastAsia"/>
          <w:color w:val="auto"/>
        </w:rPr>
        <w:t>  </w:t>
      </w:r>
      <w:r>
        <w:rPr>
          <w:color w:val="auto"/>
        </w:rPr>
        <w:t>　</w:t>
      </w:r>
    </w:p>
    <w:p w14:paraId="28CBA4F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firstLine="525" w:firstLineChars="250"/>
        <w:rPr>
          <w:rFonts w:hint="eastAsia"/>
          <w:color w:val="auto"/>
          <w:highlight w:val="none"/>
        </w:rPr>
      </w:pPr>
      <w:r>
        <w:rPr>
          <w:color w:val="auto"/>
          <w:highlight w:val="none"/>
        </w:rPr>
        <w:t>项目联系人：蒋</w:t>
      </w:r>
      <w:r>
        <w:rPr>
          <w:rFonts w:hint="eastAsia"/>
          <w:color w:val="auto"/>
          <w:highlight w:val="none"/>
          <w:lang w:val="en-US" w:eastAsia="zh-CN"/>
        </w:rPr>
        <w:t>工</w:t>
      </w:r>
      <w:r>
        <w:rPr>
          <w:rFonts w:hint="eastAsia"/>
          <w:color w:val="auto"/>
          <w:highlight w:val="none"/>
        </w:rPr>
        <w:t>  </w:t>
      </w:r>
    </w:p>
    <w:p w14:paraId="65E940B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firstLine="525" w:firstLineChars="250"/>
      </w:pPr>
      <w:r>
        <w:rPr>
          <w:color w:val="auto"/>
          <w:highlight w:val="none"/>
        </w:rPr>
        <w:t>联系方式：</w:t>
      </w:r>
      <w:r>
        <w:rPr>
          <w:rFonts w:hint="eastAsia"/>
          <w:color w:val="auto"/>
          <w:highlight w:val="none"/>
          <w:lang w:eastAsia="zh-CN"/>
        </w:rPr>
        <w:t>0773-8217589</w:t>
      </w:r>
      <w:r>
        <w:t>　　</w:t>
      </w:r>
    </w:p>
    <w:p w14:paraId="69ED9B3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firstLine="525" w:firstLineChars="250"/>
      </w:pPr>
      <w:r>
        <w:t>2.采购代理机构信息</w:t>
      </w:r>
    </w:p>
    <w:p w14:paraId="55BC58F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firstLine="525" w:firstLineChars="250"/>
      </w:pPr>
      <w:r>
        <w:t>名    称：</w:t>
      </w:r>
      <w:r>
        <w:rPr>
          <w:rFonts w:hint="eastAsia"/>
          <w:lang w:eastAsia="zh-CN"/>
        </w:rPr>
        <w:t xml:space="preserve">广西润扬项目管理有限公司    </w:t>
      </w:r>
      <w:r>
        <w:t xml:space="preserve">　　　　　　　　　 </w:t>
      </w:r>
    </w:p>
    <w:p w14:paraId="439D79B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firstLine="525" w:firstLineChars="250"/>
      </w:pPr>
      <w:r>
        <w:t>地　  址：</w:t>
      </w:r>
      <w:r>
        <w:rPr>
          <w:rFonts w:hint="eastAsia"/>
          <w:lang w:eastAsia="zh-CN"/>
        </w:rPr>
        <w:t>桂林市叠彩区大河乡五福村委会蔡家渡102号</w:t>
      </w:r>
      <w:r>
        <w:t>　　　　　　　　　</w:t>
      </w:r>
    </w:p>
    <w:p w14:paraId="13B5947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firstLine="525" w:firstLineChars="250"/>
        <w:rPr>
          <w:rFonts w:hint="eastAsia"/>
          <w:lang w:eastAsia="zh-CN"/>
        </w:rPr>
      </w:pPr>
      <w:r>
        <w:rPr>
          <w:rFonts w:hint="eastAsia"/>
          <w:lang w:eastAsia="zh-CN"/>
        </w:rPr>
        <w:t>项目联系人：</w:t>
      </w:r>
      <w:r>
        <w:rPr>
          <w:rFonts w:hint="eastAsia"/>
          <w:lang w:val="en-US" w:eastAsia="zh-CN"/>
        </w:rPr>
        <w:t>陈工</w:t>
      </w:r>
      <w:r>
        <w:rPr>
          <w:rFonts w:hint="eastAsia"/>
          <w:lang w:eastAsia="zh-CN"/>
        </w:rPr>
        <w:t>  </w:t>
      </w:r>
    </w:p>
    <w:p w14:paraId="06FF397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firstLine="525" w:firstLineChars="250"/>
      </w:pPr>
      <w:r>
        <w:rPr>
          <w:rFonts w:hint="eastAsia"/>
          <w:lang w:eastAsia="zh-CN"/>
        </w:rPr>
        <w:t>联系方式：00773-8287012</w:t>
      </w:r>
      <w:r>
        <w:t xml:space="preserve">          　</w:t>
      </w:r>
    </w:p>
    <w:p w14:paraId="68F671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right"/>
        <w:textAlignment w:val="auto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广西润扬项目管理有限公司</w:t>
      </w:r>
    </w:p>
    <w:p w14:paraId="15D86D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righ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2025年6月11日</w:t>
      </w:r>
    </w:p>
    <w:p w14:paraId="39EC3B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eastAsia="zh-CN"/>
        </w:rPr>
      </w:pPr>
    </w:p>
    <w:sectPr>
      <w:footerReference r:id="rId3" w:type="default"/>
      <w:pgSz w:w="11906" w:h="16838"/>
      <w:pgMar w:top="850" w:right="1080" w:bottom="68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8F3AE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9EB36B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9EB36B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A884819"/>
    <w:rsid w:val="0B547C49"/>
    <w:rsid w:val="10594DE6"/>
    <w:rsid w:val="13FD3CDB"/>
    <w:rsid w:val="17A34B99"/>
    <w:rsid w:val="20BD316F"/>
    <w:rsid w:val="22837AA1"/>
    <w:rsid w:val="26AD333E"/>
    <w:rsid w:val="284877C3"/>
    <w:rsid w:val="28EB069A"/>
    <w:rsid w:val="2AD215C5"/>
    <w:rsid w:val="2BAF778B"/>
    <w:rsid w:val="2CC94B7E"/>
    <w:rsid w:val="2D0D4B37"/>
    <w:rsid w:val="2DBD030B"/>
    <w:rsid w:val="36C34C82"/>
    <w:rsid w:val="39657AA9"/>
    <w:rsid w:val="3A0145E4"/>
    <w:rsid w:val="3DF338D5"/>
    <w:rsid w:val="3F4A1C1A"/>
    <w:rsid w:val="40A50BC6"/>
    <w:rsid w:val="41BA2894"/>
    <w:rsid w:val="433E55F2"/>
    <w:rsid w:val="452E1696"/>
    <w:rsid w:val="45A32084"/>
    <w:rsid w:val="482C010F"/>
    <w:rsid w:val="4A836C3D"/>
    <w:rsid w:val="4AFC1855"/>
    <w:rsid w:val="50292141"/>
    <w:rsid w:val="50795EBC"/>
    <w:rsid w:val="570A5ABF"/>
    <w:rsid w:val="58860BF9"/>
    <w:rsid w:val="593B1C20"/>
    <w:rsid w:val="6065645C"/>
    <w:rsid w:val="62160185"/>
    <w:rsid w:val="6B4623C8"/>
    <w:rsid w:val="6DDE33AA"/>
    <w:rsid w:val="78485FF0"/>
    <w:rsid w:val="793E0867"/>
    <w:rsid w:val="799423B6"/>
    <w:rsid w:val="7C792C1C"/>
    <w:rsid w:val="7EFE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Body Text"/>
    <w:basedOn w:val="1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</w:rPr>
  </w:style>
  <w:style w:type="paragraph" w:styleId="6">
    <w:name w:val="Block Text"/>
    <w:basedOn w:val="1"/>
    <w:qFormat/>
    <w:uiPriority w:val="0"/>
    <w:pPr>
      <w:ind w:left="-718" w:leftChars="-342" w:right="-512" w:rightChars="-244" w:firstLine="560" w:firstLineChars="200"/>
    </w:pPr>
    <w:rPr>
      <w:sz w:val="28"/>
      <w:szCs w:val="24"/>
    </w:rPr>
  </w:style>
  <w:style w:type="paragraph" w:styleId="7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 w:eastAsia="宋体" w:cs="Times New Roman"/>
      <w:b/>
      <w:bCs/>
      <w:sz w:val="32"/>
      <w:szCs w:val="32"/>
    </w:rPr>
  </w:style>
  <w:style w:type="table" w:styleId="13">
    <w:name w:val="Table Grid"/>
    <w:basedOn w:val="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TML Sample"/>
    <w:basedOn w:val="14"/>
    <w:qFormat/>
    <w:uiPriority w:val="0"/>
    <w:rPr>
      <w:rFonts w:ascii="Courier New" w:hAnsi="Courier New"/>
    </w:rPr>
  </w:style>
  <w:style w:type="paragraph" w:customStyle="1" w:styleId="17">
    <w:name w:val="表格文字"/>
    <w:basedOn w:val="1"/>
    <w:qFormat/>
    <w:uiPriority w:val="0"/>
    <w:pPr>
      <w:jc w:val="left"/>
    </w:pPr>
    <w:rPr>
      <w:rFonts w:ascii="Calibri" w:hAnsi="Calibri" w:eastAsia="宋体" w:cs="Times New Roman"/>
      <w:bCs/>
      <w:spacing w:val="10"/>
      <w:kern w:val="0"/>
      <w:sz w:val="24"/>
    </w:rPr>
  </w:style>
  <w:style w:type="paragraph" w:customStyle="1" w:styleId="18">
    <w:name w:val="_Style 5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19">
    <w:name w:val="标题 Char"/>
    <w:autoRedefine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20">
    <w:name w:val="fontstyle01"/>
    <w:basedOn w:val="14"/>
    <w:qFormat/>
    <w:uiPriority w:val="0"/>
    <w:rPr>
      <w:rFonts w:ascii="宋体" w:hAnsi="宋体" w:eastAsia="宋体" w:cs="宋体"/>
      <w:color w:val="000000"/>
      <w:sz w:val="52"/>
      <w:szCs w:val="52"/>
    </w:rPr>
  </w:style>
  <w:style w:type="paragraph" w:customStyle="1" w:styleId="21">
    <w:name w:val="Default"/>
    <w:basedOn w:val="2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  <w:style w:type="paragraph" w:customStyle="1" w:styleId="22">
    <w:name w:val="纯文本1"/>
    <w:basedOn w:val="1"/>
    <w:qFormat/>
    <w:uiPriority w:val="0"/>
    <w:pPr>
      <w:textAlignment w:val="baseline"/>
    </w:pPr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481</Words>
  <Characters>587</Characters>
  <Lines>0</Lines>
  <Paragraphs>0</Paragraphs>
  <TotalTime>24</TotalTime>
  <ScaleCrop>false</ScaleCrop>
  <LinksUpToDate>false</LinksUpToDate>
  <CharactersWithSpaces>741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2024-08-03T08:47:00Z</dcterms:created>
  <dc:creator>WIN10</dc:creator>
  <cp:lastModifiedBy>T^_^T</cp:lastModifiedBy>
  <dcterms:modified xsi:type="dcterms:W3CDTF">2025-06-11T03:19:37Z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F1D83786FB7940599EA8A31CAC60425C_12</vt:lpwstr>
  </property>
  <property fmtid="{D5CDD505-2E9C-101B-9397-08002B2CF9AE}" pid="4" name="KSOTemplateDocerSaveRecord">
    <vt:lpwstr>eyJoZGlkIjoiN2YzNjBkOTgyNWQ1YTMxYzM3MzMwNWFiODNmOWIzYWMiLCJ1c2VySWQiOiIzMzQ0Njk3NzMifQ==</vt:lpwstr>
  </property>
</Properties>
</file>